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F219C" w14:textId="77777777" w:rsidR="00A77B3E" w:rsidRDefault="00E3223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3D91C89" w14:textId="77777777" w:rsidR="00A77B3E" w:rsidRDefault="00E3223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61095</w:t>
      </w:r>
    </w:p>
    <w:p w14:paraId="7B289CD1" w14:textId="77777777" w:rsidR="00A77B3E" w:rsidRDefault="00E3223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014F117" w14:textId="77777777" w:rsidR="00A77B3E" w:rsidRDefault="00A77B3E">
      <w:pPr>
        <w:spacing w:line="360" w:lineRule="auto"/>
        <w:jc w:val="both"/>
      </w:pPr>
    </w:p>
    <w:p w14:paraId="1E71E03D" w14:textId="77777777" w:rsidR="00A77B3E" w:rsidRDefault="00E3223D">
      <w:pPr>
        <w:spacing w:line="360" w:lineRule="auto"/>
        <w:jc w:val="both"/>
      </w:pPr>
      <w:bookmarkStart w:id="0" w:name="OLE_LINK67"/>
      <w:bookmarkStart w:id="1" w:name="OLE_LINK68"/>
      <w:r>
        <w:rPr>
          <w:rFonts w:ascii="Book Antiqua" w:eastAsia="Book Antiqua" w:hAnsi="Book Antiqua" w:cs="Book Antiqua"/>
          <w:b/>
          <w:i/>
          <w:color w:val="000000"/>
        </w:rPr>
        <w:t>Observational Study</w:t>
      </w:r>
    </w:p>
    <w:p w14:paraId="11B458AF" w14:textId="77777777" w:rsidR="00A77B3E" w:rsidRDefault="00E3223D">
      <w:pPr>
        <w:spacing w:line="360" w:lineRule="auto"/>
        <w:jc w:val="both"/>
      </w:pPr>
      <w:bookmarkStart w:id="2" w:name="OLE_LINK57"/>
      <w:bookmarkStart w:id="3" w:name="OLE_LINK58"/>
      <w:bookmarkStart w:id="4" w:name="OLE_LINK114"/>
      <w:bookmarkStart w:id="5" w:name="OLE_LINK115"/>
      <w:bookmarkEnd w:id="0"/>
      <w:bookmarkEnd w:id="1"/>
      <w:r>
        <w:rPr>
          <w:rFonts w:ascii="Book Antiqua" w:eastAsia="Book Antiqua" w:hAnsi="Book Antiqua" w:cs="Book Antiqua"/>
          <w:b/>
          <w:color w:val="000000"/>
        </w:rPr>
        <w:t xml:space="preserve">Advanced small-bowel well-differentiated neuroendocrine tumours: An </w:t>
      </w:r>
      <w:r w:rsidR="00120525">
        <w:rPr>
          <w:rFonts w:ascii="Book Antiqua" w:eastAsia="Book Antiqua" w:hAnsi="Book Antiqua" w:cs="Book Antiqua"/>
          <w:b/>
          <w:color w:val="000000"/>
        </w:rPr>
        <w:t>international survey of practi</w:t>
      </w:r>
      <w:r>
        <w:rPr>
          <w:rFonts w:ascii="Book Antiqua" w:eastAsia="Book Antiqua" w:hAnsi="Book Antiqua" w:cs="Book Antiqua"/>
          <w:b/>
          <w:color w:val="000000"/>
        </w:rPr>
        <w:t>ce on 3</w:t>
      </w:r>
      <w:r w:rsidRPr="00120525">
        <w:rPr>
          <w:rFonts w:ascii="Book Antiqua" w:eastAsia="Book Antiqua" w:hAnsi="Book Antiqua" w:cs="Book Antiqua"/>
          <w:b/>
          <w:color w:val="000000"/>
          <w:vertAlign w:val="superscript"/>
        </w:rPr>
        <w:t>rd</w:t>
      </w:r>
      <w:r w:rsidR="00971CBE">
        <w:rPr>
          <w:rFonts w:ascii="Book Antiqua" w:eastAsia="Book Antiqua" w:hAnsi="Book Antiqua" w:cs="Book Antiqua"/>
          <w:b/>
          <w:color w:val="000000"/>
        </w:rPr>
        <w:t>-</w:t>
      </w:r>
      <w:r>
        <w:rPr>
          <w:rFonts w:ascii="Book Antiqua" w:eastAsia="Book Antiqua" w:hAnsi="Book Antiqua" w:cs="Book Antiqua"/>
          <w:b/>
          <w:color w:val="000000"/>
        </w:rPr>
        <w:t>line treatment</w:t>
      </w:r>
    </w:p>
    <w:bookmarkEnd w:id="2"/>
    <w:bookmarkEnd w:id="3"/>
    <w:bookmarkEnd w:id="4"/>
    <w:bookmarkEnd w:id="5"/>
    <w:p w14:paraId="4EBAE0DA" w14:textId="77777777" w:rsidR="00A77B3E" w:rsidRDefault="00A77B3E">
      <w:pPr>
        <w:spacing w:line="360" w:lineRule="auto"/>
        <w:jc w:val="both"/>
      </w:pPr>
    </w:p>
    <w:p w14:paraId="7250FCA2" w14:textId="77777777" w:rsidR="00A77B3E" w:rsidRDefault="005F6CDF">
      <w:pPr>
        <w:spacing w:line="360" w:lineRule="auto"/>
        <w:jc w:val="both"/>
      </w:pPr>
      <w:bookmarkStart w:id="6" w:name="OLE_LINK25"/>
      <w:r>
        <w:rPr>
          <w:rFonts w:ascii="Book Antiqua" w:eastAsia="Book Antiqua" w:hAnsi="Book Antiqua" w:cs="Book Antiqua"/>
          <w:color w:val="000000"/>
        </w:rPr>
        <w:t>Lamarca</w:t>
      </w:r>
      <w:r>
        <w:rPr>
          <w:rFonts w:ascii="Book Antiqua" w:hAnsi="Book Antiqua" w:cs="Book Antiqua" w:hint="eastAsia"/>
          <w:color w:val="000000"/>
          <w:lang w:eastAsia="zh-CN"/>
        </w:rPr>
        <w:t xml:space="preserve"> A</w:t>
      </w:r>
      <w:bookmarkEnd w:id="6"/>
      <w:r>
        <w:rPr>
          <w:rFonts w:ascii="Book Antiqua" w:hAnsi="Book Antiqua" w:cs="Book Antiqua" w:hint="eastAsia"/>
          <w:color w:val="000000"/>
          <w:lang w:eastAsia="zh-CN"/>
        </w:rPr>
        <w:t xml:space="preserve"> </w:t>
      </w:r>
      <w:r w:rsidRPr="005F6CD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61"/>
      <w:bookmarkStart w:id="8" w:name="OLE_LINK116"/>
      <w:r w:rsidR="00E3223D">
        <w:rPr>
          <w:rFonts w:ascii="Book Antiqua" w:eastAsia="Book Antiqua" w:hAnsi="Book Antiqua" w:cs="Book Antiqua"/>
          <w:color w:val="000000"/>
        </w:rPr>
        <w:t xml:space="preserve">Advanced SBNETs: Survey of </w:t>
      </w:r>
      <w:r w:rsidR="00120525">
        <w:rPr>
          <w:rFonts w:ascii="Book Antiqua" w:eastAsia="Book Antiqua" w:hAnsi="Book Antiqua" w:cs="Book Antiqua"/>
          <w:color w:val="000000"/>
        </w:rPr>
        <w:t>practice</w:t>
      </w:r>
      <w:bookmarkEnd w:id="7"/>
      <w:bookmarkEnd w:id="8"/>
    </w:p>
    <w:p w14:paraId="27F8D335" w14:textId="77777777" w:rsidR="00A77B3E" w:rsidRDefault="00A77B3E">
      <w:pPr>
        <w:spacing w:line="360" w:lineRule="auto"/>
        <w:jc w:val="both"/>
      </w:pPr>
    </w:p>
    <w:p w14:paraId="0FCB5194" w14:textId="77777777" w:rsidR="00A77B3E" w:rsidRDefault="00E3223D">
      <w:pPr>
        <w:spacing w:line="360" w:lineRule="auto"/>
        <w:jc w:val="both"/>
      </w:pPr>
      <w:r>
        <w:rPr>
          <w:rFonts w:ascii="Book Antiqua" w:eastAsia="Book Antiqua" w:hAnsi="Book Antiqua" w:cs="Book Antiqua"/>
          <w:color w:val="000000"/>
        </w:rPr>
        <w:t xml:space="preserve">Angela Lamarca, Mauro Cives, Louis de Mestier, Joakim Crona, Francesca Spada, Kjell Öberg, Marianne Pavel, Teresa </w:t>
      </w:r>
      <w:bookmarkStart w:id="9" w:name="OLE_LINK26"/>
      <w:bookmarkStart w:id="10" w:name="OLE_LINK27"/>
      <w:r>
        <w:rPr>
          <w:rFonts w:ascii="Book Antiqua" w:eastAsia="Book Antiqua" w:hAnsi="Book Antiqua" w:cs="Book Antiqua"/>
          <w:color w:val="000000"/>
        </w:rPr>
        <w:t>Alonso-Gordoa</w:t>
      </w:r>
      <w:bookmarkEnd w:id="9"/>
      <w:bookmarkEnd w:id="10"/>
    </w:p>
    <w:p w14:paraId="06054C86" w14:textId="77777777" w:rsidR="00A77B3E" w:rsidRDefault="00A77B3E">
      <w:pPr>
        <w:spacing w:line="360" w:lineRule="auto"/>
        <w:jc w:val="both"/>
      </w:pPr>
    </w:p>
    <w:p w14:paraId="1455552C" w14:textId="77777777" w:rsidR="00A77B3E" w:rsidRDefault="00E3223D">
      <w:pPr>
        <w:spacing w:line="360" w:lineRule="auto"/>
        <w:jc w:val="both"/>
        <w:rPr>
          <w:rFonts w:ascii="Book Antiqua" w:hAnsi="Book Antiqua" w:cs="Book Antiqua"/>
          <w:color w:val="000000"/>
          <w:lang w:eastAsia="zh-CN"/>
        </w:rPr>
      </w:pPr>
      <w:bookmarkStart w:id="11" w:name="OLE_LINK3"/>
      <w:bookmarkStart w:id="12" w:name="OLE_LINK4"/>
      <w:bookmarkStart w:id="13" w:name="OLE_LINK35"/>
      <w:r>
        <w:rPr>
          <w:rFonts w:ascii="Book Antiqua" w:eastAsia="Book Antiqua" w:hAnsi="Book Antiqua" w:cs="Book Antiqua"/>
          <w:b/>
          <w:bCs/>
          <w:color w:val="000000"/>
        </w:rPr>
        <w:t>Angela Lamarca,</w:t>
      </w:r>
      <w:bookmarkEnd w:id="11"/>
      <w:bookmarkEnd w:id="12"/>
      <w:r>
        <w:rPr>
          <w:rFonts w:ascii="Book Antiqua" w:eastAsia="Book Antiqua" w:hAnsi="Book Antiqua" w:cs="Book Antiqua"/>
          <w:b/>
          <w:bCs/>
          <w:color w:val="000000"/>
        </w:rPr>
        <w:t xml:space="preserve"> </w:t>
      </w:r>
      <w:bookmarkStart w:id="14" w:name="OLE_LINK72"/>
      <w:bookmarkStart w:id="15" w:name="OLE_LINK73"/>
      <w:bookmarkStart w:id="16" w:name="OLE_LINK28"/>
      <w:bookmarkStart w:id="17" w:name="OLE_LINK29"/>
      <w:bookmarkEnd w:id="13"/>
      <w:r>
        <w:rPr>
          <w:rFonts w:ascii="Book Antiqua" w:eastAsia="Book Antiqua" w:hAnsi="Book Antiqua" w:cs="Book Antiqua"/>
          <w:color w:val="000000"/>
        </w:rPr>
        <w:t>D</w:t>
      </w:r>
      <w:bookmarkStart w:id="18" w:name="OLE_LINK1"/>
      <w:bookmarkStart w:id="19" w:name="OLE_LINK2"/>
      <w:r>
        <w:rPr>
          <w:rFonts w:ascii="Book Antiqua" w:eastAsia="Book Antiqua" w:hAnsi="Book Antiqua" w:cs="Book Antiqua"/>
          <w:color w:val="000000"/>
        </w:rPr>
        <w:t xml:space="preserve">epartment of Medical Oncology, </w:t>
      </w:r>
      <w:bookmarkStart w:id="20" w:name="OLE_LINK5"/>
      <w:bookmarkStart w:id="21" w:name="OLE_LINK6"/>
      <w:r w:rsidR="007340D7" w:rsidRPr="007340D7">
        <w:rPr>
          <w:rFonts w:ascii="Book Antiqua" w:eastAsia="Book Antiqua" w:hAnsi="Book Antiqua" w:cs="Book Antiqua"/>
          <w:color w:val="000000"/>
        </w:rPr>
        <w:t>European Neuroendocrine Tumor Society</w:t>
      </w:r>
      <w:r w:rsidR="007340D7" w:rsidRPr="007340D7" w:rsidDel="007340D7">
        <w:rPr>
          <w:rFonts w:ascii="Book Antiqua" w:eastAsia="Book Antiqua" w:hAnsi="Book Antiqua" w:cs="Book Antiqua"/>
          <w:color w:val="000000"/>
        </w:rPr>
        <w:t xml:space="preserve"> </w:t>
      </w:r>
      <w:r>
        <w:rPr>
          <w:rFonts w:ascii="Book Antiqua" w:eastAsia="Book Antiqua" w:hAnsi="Book Antiqua" w:cs="Book Antiqua"/>
          <w:color w:val="000000"/>
        </w:rPr>
        <w:t>Centre of Excellence</w:t>
      </w:r>
      <w:bookmarkEnd w:id="14"/>
      <w:bookmarkEnd w:id="15"/>
      <w:r>
        <w:rPr>
          <w:rFonts w:ascii="Book Antiqua" w:eastAsia="Book Antiqua" w:hAnsi="Book Antiqua" w:cs="Book Antiqua"/>
          <w:color w:val="000000"/>
        </w:rPr>
        <w:t xml:space="preserve">, </w:t>
      </w:r>
      <w:bookmarkStart w:id="22" w:name="OLE_LINK74"/>
      <w:bookmarkStart w:id="23" w:name="OLE_LINK75"/>
      <w:bookmarkStart w:id="24" w:name="OLE_LINK7"/>
      <w:bookmarkStart w:id="25" w:name="OLE_LINK8"/>
      <w:bookmarkEnd w:id="16"/>
      <w:bookmarkEnd w:id="17"/>
      <w:bookmarkEnd w:id="18"/>
      <w:bookmarkEnd w:id="19"/>
      <w:bookmarkEnd w:id="20"/>
      <w:bookmarkEnd w:id="21"/>
      <w:r w:rsidR="007340D7">
        <w:rPr>
          <w:rFonts w:ascii="Book Antiqua" w:eastAsia="Book Antiqua" w:hAnsi="Book Antiqua" w:cs="Book Antiqua"/>
          <w:color w:val="000000"/>
        </w:rPr>
        <w:t>The Christie NHS Foundation Trust, University of Manchester</w:t>
      </w:r>
      <w:bookmarkEnd w:id="22"/>
      <w:bookmarkEnd w:id="23"/>
      <w:r w:rsidR="007340D7">
        <w:rPr>
          <w:rFonts w:ascii="Book Antiqua" w:eastAsia="Book Antiqua" w:hAnsi="Book Antiqua" w:cs="Book Antiqua"/>
          <w:color w:val="000000"/>
        </w:rPr>
        <w:t>,</w:t>
      </w:r>
      <w:r w:rsidR="007340D7">
        <w:rPr>
          <w:rFonts w:ascii="Book Antiqua" w:hAnsi="Book Antiqua" w:cs="Book Antiqua" w:hint="eastAsia"/>
          <w:color w:val="000000"/>
          <w:lang w:eastAsia="zh-CN"/>
        </w:rPr>
        <w:t xml:space="preserve"> </w:t>
      </w:r>
      <w:r>
        <w:rPr>
          <w:rFonts w:ascii="Book Antiqua" w:eastAsia="Book Antiqua" w:hAnsi="Book Antiqua" w:cs="Book Antiqua"/>
          <w:color w:val="000000"/>
        </w:rPr>
        <w:t>Manchester M20</w:t>
      </w:r>
      <w:r w:rsidR="00FD73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4BX, </w:t>
      </w:r>
      <w:bookmarkStart w:id="26" w:name="OLE_LINK69"/>
      <w:bookmarkStart w:id="27" w:name="OLE_LINK70"/>
      <w:bookmarkStart w:id="28" w:name="OLE_LINK71"/>
      <w:r>
        <w:rPr>
          <w:rFonts w:ascii="Book Antiqua" w:eastAsia="Book Antiqua" w:hAnsi="Book Antiqua" w:cs="Book Antiqua"/>
          <w:color w:val="000000"/>
        </w:rPr>
        <w:t>United Kingdom</w:t>
      </w:r>
    </w:p>
    <w:bookmarkEnd w:id="24"/>
    <w:bookmarkEnd w:id="25"/>
    <w:bookmarkEnd w:id="26"/>
    <w:bookmarkEnd w:id="27"/>
    <w:bookmarkEnd w:id="28"/>
    <w:p w14:paraId="28B13E12" w14:textId="77777777" w:rsidR="00A77B3E" w:rsidRDefault="00A77B3E">
      <w:pPr>
        <w:spacing w:line="360" w:lineRule="auto"/>
        <w:jc w:val="both"/>
        <w:rPr>
          <w:lang w:eastAsia="zh-CN"/>
        </w:rPr>
      </w:pPr>
    </w:p>
    <w:p w14:paraId="32A6FE26" w14:textId="77777777" w:rsidR="00A77B3E" w:rsidRDefault="00E3223D">
      <w:pPr>
        <w:spacing w:line="360" w:lineRule="auto"/>
        <w:jc w:val="both"/>
      </w:pPr>
      <w:r>
        <w:rPr>
          <w:rFonts w:ascii="Book Antiqua" w:eastAsia="Book Antiqua" w:hAnsi="Book Antiqua" w:cs="Book Antiqua"/>
          <w:b/>
          <w:bCs/>
          <w:color w:val="000000"/>
        </w:rPr>
        <w:t xml:space="preserve">Mauro Cives, </w:t>
      </w:r>
      <w:bookmarkStart w:id="29" w:name="OLE_LINK76"/>
      <w:bookmarkStart w:id="30" w:name="OLE_LINK77"/>
      <w:r>
        <w:rPr>
          <w:rFonts w:ascii="Book Antiqua" w:eastAsia="Book Antiqua" w:hAnsi="Book Antiqua" w:cs="Book Antiqua"/>
          <w:color w:val="000000"/>
        </w:rPr>
        <w:t>Department of Biomedical Sciences and Human Oncology</w:t>
      </w:r>
      <w:bookmarkEnd w:id="29"/>
      <w:bookmarkEnd w:id="30"/>
      <w:r>
        <w:rPr>
          <w:rFonts w:ascii="Book Antiqua" w:eastAsia="Book Antiqua" w:hAnsi="Book Antiqua" w:cs="Book Antiqua"/>
          <w:color w:val="000000"/>
        </w:rPr>
        <w:t xml:space="preserve">, </w:t>
      </w:r>
      <w:bookmarkStart w:id="31" w:name="OLE_LINK9"/>
      <w:bookmarkStart w:id="32" w:name="OLE_LINK10"/>
      <w:bookmarkStart w:id="33" w:name="OLE_LINK78"/>
      <w:bookmarkStart w:id="34" w:name="OLE_LINK79"/>
      <w:r>
        <w:rPr>
          <w:rFonts w:ascii="Book Antiqua" w:eastAsia="Book Antiqua" w:hAnsi="Book Antiqua" w:cs="Book Antiqua"/>
          <w:color w:val="000000"/>
        </w:rPr>
        <w:t xml:space="preserve">University of </w:t>
      </w:r>
      <w:bookmarkEnd w:id="31"/>
      <w:bookmarkEnd w:id="32"/>
      <w:r w:rsidR="000E60EA" w:rsidRPr="000E60EA">
        <w:rPr>
          <w:rFonts w:ascii="Book Antiqua" w:eastAsia="Book Antiqua" w:hAnsi="Book Antiqua" w:cs="Book Antiqua"/>
          <w:color w:val="000000"/>
        </w:rPr>
        <w:t>Bari Aldo Moro</w:t>
      </w:r>
      <w:bookmarkEnd w:id="33"/>
      <w:bookmarkEnd w:id="34"/>
      <w:r w:rsidR="00FB07CD">
        <w:rPr>
          <w:rFonts w:ascii="Book Antiqua" w:eastAsia="Book Antiqua" w:hAnsi="Book Antiqua" w:cs="Book Antiqua"/>
          <w:color w:val="000000"/>
        </w:rPr>
        <w:t xml:space="preserve">, Bari </w:t>
      </w:r>
      <w:bookmarkStart w:id="35" w:name="OLE_LINK80"/>
      <w:bookmarkStart w:id="36" w:name="OLE_LINK81"/>
      <w:r w:rsidR="00FB07CD" w:rsidRPr="00FB07CD">
        <w:rPr>
          <w:rFonts w:ascii="Book Antiqua" w:eastAsia="Book Antiqua" w:hAnsi="Book Antiqua" w:cs="Book Antiqua"/>
          <w:color w:val="000000"/>
        </w:rPr>
        <w:t>70121</w:t>
      </w:r>
      <w:bookmarkEnd w:id="35"/>
      <w:bookmarkEnd w:id="36"/>
      <w:r>
        <w:rPr>
          <w:rFonts w:ascii="Book Antiqua" w:eastAsia="Book Antiqua" w:hAnsi="Book Antiqua" w:cs="Book Antiqua"/>
          <w:color w:val="000000"/>
        </w:rPr>
        <w:t>, Italy</w:t>
      </w:r>
    </w:p>
    <w:p w14:paraId="4B70C7D4" w14:textId="77777777" w:rsidR="00A77B3E" w:rsidRDefault="00A77B3E">
      <w:pPr>
        <w:spacing w:line="360" w:lineRule="auto"/>
        <w:jc w:val="both"/>
      </w:pPr>
    </w:p>
    <w:p w14:paraId="40AEE98E" w14:textId="77777777" w:rsidR="00A77B3E" w:rsidRPr="008763C0" w:rsidRDefault="00E3223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Louis de Mestier, </w:t>
      </w:r>
      <w:bookmarkStart w:id="37" w:name="OLE_LINK82"/>
      <w:bookmarkStart w:id="38" w:name="OLE_LINK83"/>
      <w:bookmarkStart w:id="39" w:name="OLE_LINK84"/>
      <w:r>
        <w:rPr>
          <w:rFonts w:ascii="Book Antiqua" w:eastAsia="Book Antiqua" w:hAnsi="Book Antiqua" w:cs="Book Antiqua"/>
          <w:color w:val="000000"/>
        </w:rPr>
        <w:t xml:space="preserve">Department of Gastroenterology and Pancreatology, </w:t>
      </w:r>
      <w:r w:rsidR="007340D7" w:rsidRPr="007340D7">
        <w:rPr>
          <w:rFonts w:ascii="Book Antiqua" w:eastAsia="Book Antiqua" w:hAnsi="Book Antiqua" w:cs="Book Antiqua"/>
          <w:color w:val="000000"/>
        </w:rPr>
        <w:t>European Neuroendocrine Tumor Society</w:t>
      </w:r>
      <w:r w:rsidR="007340D7" w:rsidRPr="007340D7" w:rsidDel="007340D7">
        <w:rPr>
          <w:rFonts w:ascii="Book Antiqua" w:eastAsia="Book Antiqua" w:hAnsi="Book Antiqua" w:cs="Book Antiqua"/>
          <w:color w:val="000000"/>
        </w:rPr>
        <w:t xml:space="preserve"> </w:t>
      </w:r>
      <w:r>
        <w:rPr>
          <w:rFonts w:ascii="Book Antiqua" w:eastAsia="Book Antiqua" w:hAnsi="Book Antiqua" w:cs="Book Antiqua"/>
          <w:color w:val="000000"/>
        </w:rPr>
        <w:t>Center of Excellence</w:t>
      </w:r>
      <w:bookmarkEnd w:id="37"/>
      <w:bookmarkEnd w:id="38"/>
      <w:bookmarkEnd w:id="39"/>
      <w:r>
        <w:rPr>
          <w:rFonts w:ascii="Book Antiqua" w:eastAsia="Book Antiqua" w:hAnsi="Book Antiqua" w:cs="Book Antiqua"/>
          <w:color w:val="000000"/>
        </w:rPr>
        <w:t xml:space="preserve">, </w:t>
      </w:r>
      <w:bookmarkStart w:id="40" w:name="OLE_LINK11"/>
      <w:bookmarkStart w:id="41" w:name="OLE_LINK12"/>
      <w:r>
        <w:rPr>
          <w:rFonts w:ascii="Book Antiqua" w:eastAsia="Book Antiqua" w:hAnsi="Book Antiqua" w:cs="Book Antiqua"/>
          <w:color w:val="000000"/>
        </w:rPr>
        <w:t>Paris-Diderot University</w:t>
      </w:r>
      <w:bookmarkEnd w:id="40"/>
      <w:bookmarkEnd w:id="41"/>
      <w:r>
        <w:rPr>
          <w:rFonts w:ascii="Book Antiqua" w:eastAsia="Book Antiqua" w:hAnsi="Book Antiqua" w:cs="Book Antiqua"/>
          <w:color w:val="000000"/>
        </w:rPr>
        <w:t xml:space="preserve">, Clichy </w:t>
      </w:r>
      <w:bookmarkStart w:id="42" w:name="OLE_LINK85"/>
      <w:bookmarkStart w:id="43" w:name="OLE_LINK86"/>
      <w:r w:rsidR="00C1775F" w:rsidRPr="00C1775F">
        <w:rPr>
          <w:rFonts w:ascii="Book Antiqua" w:eastAsia="Book Antiqua" w:hAnsi="Book Antiqua" w:cs="Book Antiqua"/>
          <w:color w:val="000000"/>
        </w:rPr>
        <w:t>75006</w:t>
      </w:r>
      <w:bookmarkEnd w:id="42"/>
      <w:bookmarkEnd w:id="43"/>
      <w:r>
        <w:rPr>
          <w:rFonts w:ascii="Book Antiqua" w:eastAsia="Book Antiqua" w:hAnsi="Book Antiqua" w:cs="Book Antiqua"/>
          <w:color w:val="000000"/>
        </w:rPr>
        <w:t>, France</w:t>
      </w:r>
    </w:p>
    <w:p w14:paraId="1142C8C0" w14:textId="77777777" w:rsidR="00A77B3E" w:rsidRDefault="00A77B3E">
      <w:pPr>
        <w:spacing w:line="360" w:lineRule="auto"/>
        <w:jc w:val="both"/>
      </w:pPr>
    </w:p>
    <w:p w14:paraId="4A1C3143" w14:textId="77777777" w:rsidR="00A77B3E" w:rsidRDefault="00E3223D">
      <w:pPr>
        <w:spacing w:line="360" w:lineRule="auto"/>
        <w:jc w:val="both"/>
      </w:pPr>
      <w:r>
        <w:rPr>
          <w:rFonts w:ascii="Book Antiqua" w:eastAsia="Book Antiqua" w:hAnsi="Book Antiqua" w:cs="Book Antiqua"/>
          <w:b/>
          <w:bCs/>
          <w:color w:val="000000"/>
        </w:rPr>
        <w:t xml:space="preserve">Joakim Crona, </w:t>
      </w:r>
      <w:bookmarkStart w:id="44" w:name="OLE_LINK87"/>
      <w:bookmarkStart w:id="45" w:name="OLE_LINK88"/>
      <w:r>
        <w:rPr>
          <w:rFonts w:ascii="Book Antiqua" w:eastAsia="Book Antiqua" w:hAnsi="Book Antiqua" w:cs="Book Antiqua"/>
          <w:color w:val="000000"/>
        </w:rPr>
        <w:t>Department of Medical Sciences</w:t>
      </w:r>
      <w:bookmarkEnd w:id="44"/>
      <w:bookmarkEnd w:id="45"/>
      <w:r>
        <w:rPr>
          <w:rFonts w:ascii="Book Antiqua" w:eastAsia="Book Antiqua" w:hAnsi="Book Antiqua" w:cs="Book Antiqua"/>
          <w:color w:val="000000"/>
        </w:rPr>
        <w:t xml:space="preserve">, </w:t>
      </w:r>
      <w:bookmarkStart w:id="46" w:name="OLE_LINK13"/>
      <w:bookmarkStart w:id="47" w:name="OLE_LINK14"/>
      <w:bookmarkStart w:id="48" w:name="OLE_LINK15"/>
      <w:bookmarkStart w:id="49" w:name="OLE_LINK16"/>
      <w:r>
        <w:rPr>
          <w:rFonts w:ascii="Book Antiqua" w:eastAsia="Book Antiqua" w:hAnsi="Book Antiqua" w:cs="Book Antiqua"/>
          <w:color w:val="000000"/>
        </w:rPr>
        <w:t>Uppsala University</w:t>
      </w:r>
      <w:bookmarkEnd w:id="46"/>
      <w:bookmarkEnd w:id="47"/>
      <w:bookmarkEnd w:id="48"/>
      <w:bookmarkEnd w:id="49"/>
      <w:r>
        <w:rPr>
          <w:rFonts w:ascii="Book Antiqua" w:eastAsia="Book Antiqua" w:hAnsi="Book Antiqua" w:cs="Book Antiqua"/>
          <w:color w:val="000000"/>
        </w:rPr>
        <w:t xml:space="preserve">, Uppsala </w:t>
      </w:r>
      <w:bookmarkStart w:id="50" w:name="OLE_LINK89"/>
      <w:bookmarkStart w:id="51" w:name="OLE_LINK90"/>
      <w:r w:rsidR="005B294E">
        <w:rPr>
          <w:rFonts w:ascii="Book Antiqua" w:eastAsia="Book Antiqua" w:hAnsi="Book Antiqua" w:cs="Book Antiqua"/>
          <w:color w:val="000000"/>
        </w:rPr>
        <w:t>SE-751 85</w:t>
      </w:r>
      <w:bookmarkEnd w:id="50"/>
      <w:bookmarkEnd w:id="51"/>
      <w:r>
        <w:rPr>
          <w:rFonts w:ascii="Book Antiqua" w:eastAsia="Book Antiqua" w:hAnsi="Book Antiqua" w:cs="Book Antiqua"/>
          <w:color w:val="000000"/>
        </w:rPr>
        <w:t>, Sweden</w:t>
      </w:r>
    </w:p>
    <w:p w14:paraId="369AA411" w14:textId="77777777" w:rsidR="00A77B3E" w:rsidRDefault="00A77B3E">
      <w:pPr>
        <w:spacing w:line="360" w:lineRule="auto"/>
        <w:jc w:val="both"/>
      </w:pPr>
    </w:p>
    <w:p w14:paraId="6594FA03" w14:textId="77777777" w:rsidR="00A77B3E" w:rsidRDefault="00E3223D">
      <w:pPr>
        <w:spacing w:line="360" w:lineRule="auto"/>
        <w:jc w:val="both"/>
      </w:pPr>
      <w:r>
        <w:rPr>
          <w:rFonts w:ascii="Book Antiqua" w:eastAsia="Book Antiqua" w:hAnsi="Book Antiqua" w:cs="Book Antiqua"/>
          <w:b/>
          <w:bCs/>
          <w:color w:val="000000"/>
        </w:rPr>
        <w:t xml:space="preserve">Francesca Spada, </w:t>
      </w:r>
      <w:bookmarkStart w:id="52" w:name="OLE_LINK91"/>
      <w:bookmarkStart w:id="53" w:name="OLE_LINK92"/>
      <w:r>
        <w:rPr>
          <w:rFonts w:ascii="Book Antiqua" w:eastAsia="Book Antiqua" w:hAnsi="Book Antiqua" w:cs="Book Antiqua"/>
          <w:color w:val="000000"/>
        </w:rPr>
        <w:t>Gastrointestinal Medical Oncology and Neuroendocrine Tumors Unit</w:t>
      </w:r>
      <w:bookmarkEnd w:id="52"/>
      <w:bookmarkEnd w:id="53"/>
      <w:r>
        <w:rPr>
          <w:rFonts w:ascii="Book Antiqua" w:eastAsia="Book Antiqua" w:hAnsi="Book Antiqua" w:cs="Book Antiqua"/>
          <w:color w:val="000000"/>
        </w:rPr>
        <w:t xml:space="preserve">, </w:t>
      </w:r>
      <w:bookmarkStart w:id="54" w:name="OLE_LINK17"/>
      <w:bookmarkStart w:id="55" w:name="OLE_LINK18"/>
      <w:r>
        <w:rPr>
          <w:rFonts w:ascii="Book Antiqua" w:eastAsia="Book Antiqua" w:hAnsi="Book Antiqua" w:cs="Book Antiqua"/>
          <w:color w:val="000000"/>
        </w:rPr>
        <w:t>European Institute of Oncology</w:t>
      </w:r>
      <w:bookmarkEnd w:id="54"/>
      <w:bookmarkEnd w:id="55"/>
      <w:r>
        <w:rPr>
          <w:rFonts w:ascii="Book Antiqua" w:eastAsia="Book Antiqua" w:hAnsi="Book Antiqua" w:cs="Book Antiqua"/>
          <w:color w:val="000000"/>
        </w:rPr>
        <w:t>, Milan</w:t>
      </w:r>
      <w:r w:rsidR="00E77353">
        <w:rPr>
          <w:rFonts w:ascii="Book Antiqua" w:eastAsia="Book Antiqua" w:hAnsi="Book Antiqua" w:cs="Book Antiqua"/>
          <w:color w:val="000000"/>
        </w:rPr>
        <w:t xml:space="preserve"> </w:t>
      </w:r>
      <w:bookmarkStart w:id="56" w:name="OLE_LINK93"/>
      <w:bookmarkStart w:id="57" w:name="OLE_LINK94"/>
      <w:bookmarkStart w:id="58" w:name="OLE_LINK95"/>
      <w:r w:rsidR="00E77353" w:rsidRPr="00E77353">
        <w:rPr>
          <w:rFonts w:ascii="Book Antiqua" w:eastAsia="Book Antiqua" w:hAnsi="Book Antiqua" w:cs="Book Antiqua"/>
          <w:color w:val="000000"/>
        </w:rPr>
        <w:t>20141</w:t>
      </w:r>
      <w:bookmarkEnd w:id="56"/>
      <w:bookmarkEnd w:id="57"/>
      <w:bookmarkEnd w:id="58"/>
      <w:r>
        <w:rPr>
          <w:rFonts w:ascii="Book Antiqua" w:eastAsia="Book Antiqua" w:hAnsi="Book Antiqua" w:cs="Book Antiqua"/>
          <w:color w:val="000000"/>
        </w:rPr>
        <w:t>, Italy</w:t>
      </w:r>
    </w:p>
    <w:p w14:paraId="1F483D21" w14:textId="77777777" w:rsidR="00A77B3E" w:rsidRDefault="00A77B3E">
      <w:pPr>
        <w:spacing w:line="360" w:lineRule="auto"/>
        <w:jc w:val="both"/>
      </w:pPr>
    </w:p>
    <w:p w14:paraId="315DCE04" w14:textId="77777777" w:rsidR="00A77B3E" w:rsidRDefault="00E3223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Kjell Öberg, </w:t>
      </w:r>
      <w:r>
        <w:rPr>
          <w:rFonts w:ascii="Book Antiqua" w:eastAsia="Book Antiqua" w:hAnsi="Book Antiqua" w:cs="Book Antiqua"/>
          <w:color w:val="000000"/>
        </w:rPr>
        <w:t xml:space="preserve">Department of Endocrine Oncology, </w:t>
      </w:r>
      <w:bookmarkStart w:id="59" w:name="OLE_LINK98"/>
      <w:bookmarkStart w:id="60" w:name="OLE_LINK99"/>
      <w:r>
        <w:rPr>
          <w:rFonts w:ascii="Book Antiqua" w:eastAsia="Book Antiqua" w:hAnsi="Book Antiqua" w:cs="Book Antiqua"/>
          <w:color w:val="000000"/>
        </w:rPr>
        <w:t>Uppsala University Hospital</w:t>
      </w:r>
      <w:bookmarkEnd w:id="59"/>
      <w:bookmarkEnd w:id="60"/>
      <w:r>
        <w:rPr>
          <w:rFonts w:ascii="Book Antiqua" w:eastAsia="Book Antiqua" w:hAnsi="Book Antiqua" w:cs="Book Antiqua"/>
          <w:color w:val="000000"/>
        </w:rPr>
        <w:t>, Uppsala</w:t>
      </w:r>
      <w:r w:rsidR="005B294E">
        <w:rPr>
          <w:rFonts w:ascii="Book Antiqua" w:hAnsi="Book Antiqua" w:cs="Book Antiqua" w:hint="eastAsia"/>
          <w:color w:val="000000"/>
          <w:lang w:eastAsia="zh-CN"/>
        </w:rPr>
        <w:t xml:space="preserve"> </w:t>
      </w:r>
      <w:bookmarkStart w:id="61" w:name="OLE_LINK19"/>
      <w:bookmarkStart w:id="62" w:name="OLE_LINK20"/>
      <w:bookmarkStart w:id="63" w:name="OLE_LINK96"/>
      <w:bookmarkStart w:id="64" w:name="OLE_LINK97"/>
      <w:r w:rsidR="005B294E">
        <w:rPr>
          <w:rFonts w:ascii="Book Antiqua" w:eastAsia="Book Antiqua" w:hAnsi="Book Antiqua" w:cs="Book Antiqua"/>
          <w:color w:val="000000"/>
        </w:rPr>
        <w:t>SE-751 85</w:t>
      </w:r>
      <w:bookmarkEnd w:id="61"/>
      <w:bookmarkEnd w:id="62"/>
      <w:bookmarkEnd w:id="63"/>
      <w:bookmarkEnd w:id="64"/>
      <w:r>
        <w:rPr>
          <w:rFonts w:ascii="Book Antiqua" w:eastAsia="Book Antiqua" w:hAnsi="Book Antiqua" w:cs="Book Antiqua"/>
          <w:color w:val="000000"/>
        </w:rPr>
        <w:t>, Sweden</w:t>
      </w:r>
    </w:p>
    <w:p w14:paraId="76B53DAD" w14:textId="77777777" w:rsidR="005B294E" w:rsidRPr="005B294E" w:rsidRDefault="005B294E">
      <w:pPr>
        <w:spacing w:line="360" w:lineRule="auto"/>
        <w:jc w:val="both"/>
        <w:rPr>
          <w:lang w:eastAsia="zh-CN"/>
        </w:rPr>
      </w:pPr>
    </w:p>
    <w:p w14:paraId="220C07F7" w14:textId="77777777" w:rsidR="00A77B3E" w:rsidRDefault="00E3223D">
      <w:pPr>
        <w:spacing w:line="360" w:lineRule="auto"/>
        <w:jc w:val="both"/>
      </w:pPr>
      <w:r>
        <w:rPr>
          <w:rFonts w:ascii="Book Antiqua" w:eastAsia="Book Antiqua" w:hAnsi="Book Antiqua" w:cs="Book Antiqua"/>
          <w:b/>
          <w:bCs/>
          <w:color w:val="000000"/>
        </w:rPr>
        <w:t xml:space="preserve">Marianne Pavel, </w:t>
      </w:r>
      <w:r>
        <w:rPr>
          <w:rFonts w:ascii="Book Antiqua" w:eastAsia="Book Antiqua" w:hAnsi="Book Antiqua" w:cs="Book Antiqua"/>
          <w:color w:val="000000"/>
        </w:rPr>
        <w:t>Department of Endocrinology, Universita</w:t>
      </w:r>
      <w:r w:rsidR="0065635A">
        <w:rPr>
          <w:rFonts w:ascii="Book Antiqua" w:eastAsia="Book Antiqua" w:hAnsi="Book Antiqua" w:cs="Book Antiqua"/>
          <w:color w:val="000000"/>
        </w:rPr>
        <w:t xml:space="preserve">tsklinikum Erlangen, Erlangen </w:t>
      </w:r>
      <w:bookmarkStart w:id="65" w:name="OLE_LINK100"/>
      <w:bookmarkStart w:id="66" w:name="OLE_LINK101"/>
      <w:r w:rsidR="00E77353" w:rsidRPr="00E77353">
        <w:rPr>
          <w:rFonts w:ascii="Book Antiqua" w:eastAsia="Book Antiqua" w:hAnsi="Book Antiqua" w:cs="Book Antiqua"/>
          <w:color w:val="000000"/>
        </w:rPr>
        <w:t>91054</w:t>
      </w:r>
      <w:bookmarkEnd w:id="65"/>
      <w:bookmarkEnd w:id="66"/>
      <w:r>
        <w:rPr>
          <w:rFonts w:ascii="Book Antiqua" w:eastAsia="Book Antiqua" w:hAnsi="Book Antiqua" w:cs="Book Antiqua"/>
          <w:color w:val="000000"/>
        </w:rPr>
        <w:t>, Germany</w:t>
      </w:r>
    </w:p>
    <w:p w14:paraId="429A5AC8" w14:textId="77777777" w:rsidR="00A77B3E" w:rsidRDefault="00A77B3E">
      <w:pPr>
        <w:spacing w:line="360" w:lineRule="auto"/>
        <w:jc w:val="both"/>
      </w:pPr>
    </w:p>
    <w:p w14:paraId="36999282" w14:textId="77777777" w:rsidR="00A77B3E" w:rsidRDefault="00E3223D">
      <w:pPr>
        <w:spacing w:line="360" w:lineRule="auto"/>
        <w:jc w:val="both"/>
      </w:pPr>
      <w:r>
        <w:rPr>
          <w:rFonts w:ascii="Book Antiqua" w:eastAsia="Book Antiqua" w:hAnsi="Book Antiqua" w:cs="Book Antiqua"/>
          <w:b/>
          <w:bCs/>
          <w:color w:val="000000"/>
        </w:rPr>
        <w:t xml:space="preserve">Teresa Alonso-Gordoa, </w:t>
      </w:r>
      <w:r>
        <w:rPr>
          <w:rFonts w:ascii="Book Antiqua" w:eastAsia="Book Antiqua" w:hAnsi="Book Antiqua" w:cs="Book Antiqua"/>
          <w:color w:val="000000"/>
        </w:rPr>
        <w:t xml:space="preserve">Medical Oncology Department, The Ramón y Cajal Health Research Institute, Alcalá University, </w:t>
      </w:r>
      <w:bookmarkStart w:id="67" w:name="OLE_LINK23"/>
      <w:bookmarkStart w:id="68" w:name="OLE_LINK24"/>
      <w:r>
        <w:rPr>
          <w:rFonts w:ascii="Book Antiqua" w:eastAsia="Book Antiqua" w:hAnsi="Book Antiqua" w:cs="Book Antiqua"/>
          <w:color w:val="000000"/>
        </w:rPr>
        <w:t>University Hospital Ramon y Cajal</w:t>
      </w:r>
      <w:bookmarkEnd w:id="67"/>
      <w:bookmarkEnd w:id="68"/>
      <w:r>
        <w:rPr>
          <w:rFonts w:ascii="Book Antiqua" w:eastAsia="Book Antiqua" w:hAnsi="Book Antiqua" w:cs="Book Antiqua"/>
          <w:color w:val="000000"/>
        </w:rPr>
        <w:t>, Madrid</w:t>
      </w:r>
      <w:r w:rsidR="00E77353">
        <w:rPr>
          <w:rFonts w:ascii="Book Antiqua" w:eastAsia="Book Antiqua" w:hAnsi="Book Antiqua" w:cs="Book Antiqua"/>
          <w:color w:val="000000"/>
        </w:rPr>
        <w:t xml:space="preserve"> </w:t>
      </w:r>
      <w:bookmarkStart w:id="69" w:name="OLE_LINK102"/>
      <w:bookmarkStart w:id="70" w:name="OLE_LINK103"/>
      <w:r w:rsidR="00E77353">
        <w:rPr>
          <w:rFonts w:ascii="Book Antiqua" w:eastAsia="Book Antiqua" w:hAnsi="Book Antiqua" w:cs="Book Antiqua"/>
          <w:color w:val="000000"/>
        </w:rPr>
        <w:t>28034</w:t>
      </w:r>
      <w:bookmarkEnd w:id="69"/>
      <w:bookmarkEnd w:id="70"/>
      <w:r>
        <w:rPr>
          <w:rFonts w:ascii="Book Antiqua" w:eastAsia="Book Antiqua" w:hAnsi="Book Antiqua" w:cs="Book Antiqua"/>
          <w:color w:val="000000"/>
        </w:rPr>
        <w:t>, Spain</w:t>
      </w:r>
    </w:p>
    <w:p w14:paraId="3C9655A0" w14:textId="77777777" w:rsidR="00A77B3E" w:rsidRDefault="00A77B3E">
      <w:pPr>
        <w:spacing w:line="360" w:lineRule="auto"/>
        <w:jc w:val="both"/>
      </w:pPr>
    </w:p>
    <w:p w14:paraId="6E5FB124" w14:textId="77777777" w:rsidR="00A77B3E" w:rsidRDefault="00E3223D">
      <w:pPr>
        <w:spacing w:line="360" w:lineRule="auto"/>
        <w:jc w:val="both"/>
      </w:pPr>
      <w:r>
        <w:rPr>
          <w:rFonts w:ascii="Book Antiqua" w:eastAsia="Book Antiqua" w:hAnsi="Book Antiqua" w:cs="Book Antiqua"/>
          <w:b/>
          <w:bCs/>
          <w:color w:val="000000"/>
        </w:rPr>
        <w:t xml:space="preserve">Author contributions: </w:t>
      </w:r>
      <w:bookmarkStart w:id="71" w:name="OLE_LINK117"/>
      <w:bookmarkStart w:id="72" w:name="OLE_LINK118"/>
      <w:r w:rsidR="0065525F">
        <w:rPr>
          <w:rFonts w:ascii="Book Antiqua" w:eastAsia="Book Antiqua" w:hAnsi="Book Antiqua" w:cs="Book Antiqua"/>
          <w:color w:val="000000"/>
        </w:rPr>
        <w:t>Lamarca</w:t>
      </w:r>
      <w:r w:rsidR="0065525F">
        <w:rPr>
          <w:rFonts w:ascii="Book Antiqua" w:hAnsi="Book Antiqua" w:cs="Book Antiqua"/>
          <w:color w:val="000000"/>
          <w:lang w:eastAsia="zh-CN"/>
        </w:rPr>
        <w:t xml:space="preserve"> A</w:t>
      </w:r>
      <w:r w:rsidR="0065525F">
        <w:rPr>
          <w:rFonts w:ascii="Book Antiqua" w:eastAsia="Book Antiqua" w:hAnsi="Book Antiqua" w:cs="Book Antiqua"/>
          <w:color w:val="000000"/>
        </w:rPr>
        <w:t xml:space="preserve"> and Alonso-Gordoa T</w:t>
      </w:r>
      <w:r>
        <w:rPr>
          <w:rFonts w:ascii="Book Antiqua" w:eastAsia="Book Antiqua" w:hAnsi="Book Antiqua" w:cs="Book Antiqua"/>
          <w:color w:val="000000"/>
        </w:rPr>
        <w:t xml:space="preserve"> designed the survey, which was also revie</w:t>
      </w:r>
      <w:r w:rsidR="0065525F">
        <w:rPr>
          <w:rFonts w:ascii="Book Antiqua" w:eastAsia="Book Antiqua" w:hAnsi="Book Antiqua" w:cs="Book Antiqua"/>
          <w:color w:val="000000"/>
        </w:rPr>
        <w:t>wed and approved by all authors</w:t>
      </w:r>
      <w:r w:rsidR="0065525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5525F">
        <w:rPr>
          <w:rFonts w:ascii="Book Antiqua" w:eastAsia="Book Antiqua" w:hAnsi="Book Antiqua" w:cs="Book Antiqua"/>
          <w:color w:val="000000"/>
        </w:rPr>
        <w:t>Lamarca</w:t>
      </w:r>
      <w:r w:rsidR="0065525F">
        <w:rPr>
          <w:rFonts w:ascii="Book Antiqua" w:hAnsi="Book Antiqua" w:cs="Book Antiqua"/>
          <w:color w:val="000000"/>
          <w:lang w:eastAsia="zh-CN"/>
        </w:rPr>
        <w:t xml:space="preserve"> A</w:t>
      </w:r>
      <w:r w:rsidR="0065525F">
        <w:rPr>
          <w:rFonts w:ascii="Book Antiqua" w:eastAsia="Book Antiqua" w:hAnsi="Book Antiqua" w:cs="Book Antiqua"/>
          <w:color w:val="000000"/>
        </w:rPr>
        <w:t xml:space="preserve"> </w:t>
      </w:r>
      <w:r>
        <w:rPr>
          <w:rFonts w:ascii="Book Antiqua" w:eastAsia="Book Antiqua" w:hAnsi="Book Antiqua" w:cs="Book Antiqua"/>
          <w:color w:val="000000"/>
        </w:rPr>
        <w:t>analysed the data and prepared first draft of manuscript. All authors reviewed the manuscript and approved final version. </w:t>
      </w:r>
    </w:p>
    <w:bookmarkEnd w:id="71"/>
    <w:bookmarkEnd w:id="72"/>
    <w:p w14:paraId="681B9FFF" w14:textId="77777777" w:rsidR="00A77B3E" w:rsidRDefault="00A77B3E">
      <w:pPr>
        <w:spacing w:line="360" w:lineRule="auto"/>
        <w:jc w:val="both"/>
      </w:pPr>
    </w:p>
    <w:p w14:paraId="06D5E576" w14:textId="77777777" w:rsidR="00A77B3E" w:rsidRDefault="00E3223D">
      <w:pPr>
        <w:spacing w:line="360" w:lineRule="auto"/>
        <w:jc w:val="both"/>
      </w:pPr>
      <w:r>
        <w:rPr>
          <w:rFonts w:ascii="Book Antiqua" w:eastAsia="Book Antiqua" w:hAnsi="Book Antiqua" w:cs="Book Antiqua"/>
          <w:b/>
          <w:bCs/>
          <w:color w:val="000000"/>
        </w:rPr>
        <w:t xml:space="preserve">Corresponding author: Angela Lamarca, MD, MSc, PhD, </w:t>
      </w:r>
      <w:r w:rsidR="00FD73E3">
        <w:rPr>
          <w:rFonts w:ascii="Book Antiqua" w:eastAsia="Book Antiqua" w:hAnsi="Book Antiqua" w:cs="Book Antiqua"/>
          <w:color w:val="000000"/>
        </w:rPr>
        <w:t xml:space="preserve">Department of Medical Oncology, </w:t>
      </w:r>
      <w:bookmarkStart w:id="73" w:name="OLE_LINK32"/>
      <w:bookmarkStart w:id="74" w:name="OLE_LINK33"/>
      <w:bookmarkStart w:id="75" w:name="OLE_LINK34"/>
      <w:r w:rsidR="007340D7" w:rsidRPr="007340D7">
        <w:rPr>
          <w:rFonts w:ascii="Book Antiqua" w:eastAsia="Book Antiqua" w:hAnsi="Book Antiqua" w:cs="Book Antiqua"/>
          <w:color w:val="000000"/>
        </w:rPr>
        <w:t>European Neuroendocrine Tumor Society</w:t>
      </w:r>
      <w:r w:rsidR="007340D7" w:rsidRPr="007340D7" w:rsidDel="007340D7">
        <w:rPr>
          <w:rFonts w:ascii="Book Antiqua" w:eastAsia="Book Antiqua" w:hAnsi="Book Antiqua" w:cs="Book Antiqua"/>
          <w:color w:val="000000"/>
        </w:rPr>
        <w:t xml:space="preserve"> </w:t>
      </w:r>
      <w:r w:rsidR="00FD73E3">
        <w:rPr>
          <w:rFonts w:ascii="Book Antiqua" w:eastAsia="Book Antiqua" w:hAnsi="Book Antiqua" w:cs="Book Antiqua"/>
          <w:color w:val="000000"/>
        </w:rPr>
        <w:t>Centre of Excellence</w:t>
      </w:r>
      <w:bookmarkEnd w:id="73"/>
      <w:bookmarkEnd w:id="74"/>
      <w:bookmarkEnd w:id="75"/>
      <w:r w:rsidR="00FD73E3">
        <w:rPr>
          <w:rFonts w:ascii="Book Antiqua" w:eastAsia="Book Antiqua" w:hAnsi="Book Antiqua" w:cs="Book Antiqua"/>
          <w:color w:val="000000"/>
        </w:rPr>
        <w:t xml:space="preserve">, </w:t>
      </w:r>
      <w:bookmarkStart w:id="76" w:name="OLE_LINK21"/>
      <w:bookmarkStart w:id="77" w:name="OLE_LINK22"/>
      <w:bookmarkStart w:id="78" w:name="OLE_LINK36"/>
      <w:r w:rsidR="00971CBE">
        <w:rPr>
          <w:rFonts w:ascii="Book Antiqua" w:eastAsia="Book Antiqua" w:hAnsi="Book Antiqua" w:cs="Book Antiqua"/>
          <w:color w:val="000000"/>
        </w:rPr>
        <w:t>The Christie NHS Foundation Trust, University of Manchester,</w:t>
      </w:r>
      <w:bookmarkEnd w:id="76"/>
      <w:bookmarkEnd w:id="77"/>
      <w:r w:rsidR="00971CBE">
        <w:rPr>
          <w:rFonts w:ascii="Book Antiqua" w:eastAsia="Book Antiqua" w:hAnsi="Book Antiqua" w:cs="Book Antiqua"/>
          <w:color w:val="000000"/>
        </w:rPr>
        <w:t xml:space="preserve"> </w:t>
      </w:r>
      <w:r w:rsidR="008E4FAA" w:rsidRPr="008E4FAA">
        <w:rPr>
          <w:rFonts w:ascii="Book Antiqua" w:eastAsia="Book Antiqua" w:hAnsi="Book Antiqua" w:cs="Book Antiqua"/>
          <w:color w:val="000000"/>
        </w:rPr>
        <w:t>Wilmslow Road</w:t>
      </w:r>
      <w:r w:rsidR="008E4FAA">
        <w:rPr>
          <w:rFonts w:ascii="Book Antiqua" w:hAnsi="Book Antiqua" w:cs="Book Antiqua" w:hint="eastAsia"/>
          <w:color w:val="000000"/>
          <w:lang w:eastAsia="zh-CN"/>
        </w:rPr>
        <w:t>,</w:t>
      </w:r>
      <w:r w:rsidR="008E4FAA" w:rsidRPr="008E4FAA">
        <w:rPr>
          <w:rFonts w:ascii="Book Antiqua" w:eastAsia="Book Antiqua" w:hAnsi="Book Antiqua" w:cs="Book Antiqua"/>
          <w:color w:val="000000"/>
        </w:rPr>
        <w:t xml:space="preserve"> </w:t>
      </w:r>
      <w:r>
        <w:rPr>
          <w:rFonts w:ascii="Book Antiqua" w:eastAsia="Book Antiqua" w:hAnsi="Book Antiqua" w:cs="Book Antiqua"/>
          <w:color w:val="000000"/>
        </w:rPr>
        <w:t>Manchester M20</w:t>
      </w:r>
      <w:r w:rsidR="00662207">
        <w:rPr>
          <w:rFonts w:ascii="Book Antiqua" w:eastAsia="Book Antiqua" w:hAnsi="Book Antiqua" w:cs="Book Antiqua"/>
          <w:color w:val="000000"/>
        </w:rPr>
        <w:t xml:space="preserve"> </w:t>
      </w:r>
      <w:r>
        <w:rPr>
          <w:rFonts w:ascii="Book Antiqua" w:eastAsia="Book Antiqua" w:hAnsi="Book Antiqua" w:cs="Book Antiqua"/>
          <w:color w:val="000000"/>
        </w:rPr>
        <w:t>4BX, United Kingdom</w:t>
      </w:r>
      <w:bookmarkEnd w:id="78"/>
      <w:r>
        <w:rPr>
          <w:rFonts w:ascii="Book Antiqua" w:eastAsia="Book Antiqua" w:hAnsi="Book Antiqua" w:cs="Book Antiqua"/>
          <w:color w:val="000000"/>
        </w:rPr>
        <w:t>. angela.lamarca@nhs.net</w:t>
      </w:r>
    </w:p>
    <w:p w14:paraId="56D0A1F4" w14:textId="77777777" w:rsidR="00A77B3E" w:rsidRDefault="00A77B3E">
      <w:pPr>
        <w:spacing w:line="360" w:lineRule="auto"/>
        <w:jc w:val="both"/>
      </w:pPr>
    </w:p>
    <w:p w14:paraId="1CE1EF6D" w14:textId="77777777" w:rsidR="00A77B3E" w:rsidRDefault="00E3223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2020</w:t>
      </w:r>
    </w:p>
    <w:p w14:paraId="22AADDA6" w14:textId="77777777" w:rsidR="00A77B3E" w:rsidRDefault="00E3223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1005F3DD" w14:textId="1242BDDD" w:rsidR="00A77B3E" w:rsidRDefault="00E3223D">
      <w:pPr>
        <w:spacing w:line="360" w:lineRule="auto"/>
        <w:jc w:val="both"/>
      </w:pPr>
      <w:r>
        <w:rPr>
          <w:rFonts w:ascii="Book Antiqua" w:eastAsia="Book Antiqua" w:hAnsi="Book Antiqua" w:cs="Book Antiqua"/>
          <w:b/>
          <w:bCs/>
          <w:color w:val="000000"/>
        </w:rPr>
        <w:t xml:space="preserve">Accepted: </w:t>
      </w:r>
      <w:r w:rsidR="00FD5CAD" w:rsidRPr="00FD5CAD">
        <w:rPr>
          <w:rFonts w:ascii="Book Antiqua" w:eastAsia="Book Antiqua" w:hAnsi="Book Antiqua" w:cs="Book Antiqua"/>
          <w:color w:val="000000"/>
        </w:rPr>
        <w:t>February 26, 2021</w:t>
      </w:r>
    </w:p>
    <w:p w14:paraId="4F690E7F" w14:textId="005DD25C" w:rsidR="00A77B3E" w:rsidRPr="00913870" w:rsidRDefault="00E3223D">
      <w:pPr>
        <w:spacing w:line="360" w:lineRule="auto"/>
        <w:jc w:val="both"/>
        <w:rPr>
          <w:lang w:eastAsia="zh-CN"/>
        </w:rPr>
      </w:pPr>
      <w:r>
        <w:rPr>
          <w:rFonts w:ascii="Book Antiqua" w:eastAsia="Book Antiqua" w:hAnsi="Book Antiqua" w:cs="Book Antiqua"/>
          <w:b/>
          <w:bCs/>
          <w:color w:val="000000"/>
        </w:rPr>
        <w:t xml:space="preserve">Published online: </w:t>
      </w:r>
      <w:r w:rsidR="00913870" w:rsidRPr="00913870">
        <w:rPr>
          <w:rFonts w:ascii="Book Antiqua" w:hAnsi="Book Antiqua" w:cs="Book Antiqua" w:hint="eastAsia"/>
          <w:bCs/>
          <w:color w:val="000000"/>
          <w:lang w:eastAsia="zh-CN"/>
        </w:rPr>
        <w:t>March 14, 2021</w:t>
      </w:r>
    </w:p>
    <w:p w14:paraId="0C5DF43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B6F49F6" w14:textId="77777777" w:rsidR="00A77B3E" w:rsidRDefault="00E3223D">
      <w:pPr>
        <w:spacing w:line="360" w:lineRule="auto"/>
        <w:jc w:val="both"/>
      </w:pPr>
      <w:r>
        <w:rPr>
          <w:rFonts w:ascii="Book Antiqua" w:eastAsia="Book Antiqua" w:hAnsi="Book Antiqua" w:cs="Book Antiqua"/>
          <w:b/>
          <w:color w:val="000000"/>
        </w:rPr>
        <w:t>Abstract</w:t>
      </w:r>
    </w:p>
    <w:p w14:paraId="477523A1" w14:textId="77777777" w:rsidR="00A77B3E" w:rsidRDefault="00E3223D">
      <w:pPr>
        <w:spacing w:line="360" w:lineRule="auto"/>
        <w:jc w:val="both"/>
      </w:pPr>
      <w:r>
        <w:rPr>
          <w:rFonts w:ascii="Book Antiqua" w:eastAsia="Book Antiqua" w:hAnsi="Book Antiqua" w:cs="Book Antiqua"/>
          <w:color w:val="000000"/>
        </w:rPr>
        <w:t>BACKGROUND</w:t>
      </w:r>
    </w:p>
    <w:p w14:paraId="73E4B957" w14:textId="77777777" w:rsidR="00A77B3E" w:rsidRDefault="002C2605">
      <w:pPr>
        <w:spacing w:line="360" w:lineRule="auto"/>
        <w:jc w:val="both"/>
      </w:pPr>
      <w:bookmarkStart w:id="79" w:name="OLE_LINK121"/>
      <w:bookmarkStart w:id="80" w:name="OLE_LINK122"/>
      <w:bookmarkStart w:id="81" w:name="OLE_LINK123"/>
      <w:r>
        <w:rPr>
          <w:rFonts w:ascii="Book Antiqua" w:eastAsia="Book Antiqua" w:hAnsi="Book Antiqua" w:cs="Book Antiqua"/>
          <w:color w:val="000000"/>
          <w:szCs w:val="22"/>
        </w:rPr>
        <w:t>Somatostatin analogues</w:t>
      </w:r>
      <w:r w:rsidR="00E3223D">
        <w:rPr>
          <w:rFonts w:ascii="Book Antiqua" w:eastAsia="Book Antiqua" w:hAnsi="Book Antiqua" w:cs="Book Antiqua"/>
          <w:color w:val="000000"/>
          <w:szCs w:val="22"/>
        </w:rPr>
        <w:t xml:space="preserve"> are an established first</w:t>
      </w:r>
      <w:r w:rsidR="00B95D34">
        <w:rPr>
          <w:rFonts w:ascii="Book Antiqua" w:eastAsia="Book Antiqua" w:hAnsi="Book Antiqua" w:cs="Book Antiqua"/>
          <w:color w:val="000000"/>
          <w:szCs w:val="22"/>
        </w:rPr>
        <w:t>-</w:t>
      </w:r>
      <w:r w:rsidR="00E3223D">
        <w:rPr>
          <w:rFonts w:ascii="Book Antiqua" w:eastAsia="Book Antiqua" w:hAnsi="Book Antiqua" w:cs="Book Antiqua"/>
          <w:color w:val="000000"/>
          <w:szCs w:val="22"/>
        </w:rPr>
        <w:t xml:space="preserve">line therapy for well differentiated </w:t>
      </w:r>
      <w:bookmarkStart w:id="82" w:name="OLE_LINK44"/>
      <w:bookmarkStart w:id="83" w:name="OLE_LINK30"/>
      <w:r w:rsidR="00E3223D">
        <w:rPr>
          <w:rFonts w:ascii="Book Antiqua" w:eastAsia="Book Antiqua" w:hAnsi="Book Antiqua" w:cs="Book Antiqua"/>
          <w:color w:val="000000"/>
          <w:szCs w:val="22"/>
        </w:rPr>
        <w:t>small bowel neuroendocrine tumour</w:t>
      </w:r>
      <w:bookmarkEnd w:id="82"/>
      <w:r w:rsidR="00E3223D">
        <w:rPr>
          <w:rFonts w:ascii="Book Antiqua" w:eastAsia="Book Antiqua" w:hAnsi="Book Antiqua" w:cs="Book Antiqua"/>
          <w:color w:val="000000"/>
          <w:szCs w:val="22"/>
        </w:rPr>
        <w:t>s</w:t>
      </w:r>
      <w:bookmarkEnd w:id="83"/>
      <w:r w:rsidR="00E3223D">
        <w:rPr>
          <w:rFonts w:ascii="Book Antiqua" w:eastAsia="Book Antiqua" w:hAnsi="Book Antiqua" w:cs="Book Antiqua"/>
          <w:color w:val="000000"/>
          <w:szCs w:val="22"/>
        </w:rPr>
        <w:t xml:space="preserve"> (Wd-SBNETs), while and </w:t>
      </w:r>
      <w:bookmarkStart w:id="84" w:name="OLE_LINK37"/>
      <w:bookmarkStart w:id="85" w:name="OLE_LINK38"/>
      <w:bookmarkStart w:id="86" w:name="OLE_LINK49"/>
      <w:r w:rsidR="00F44C9C">
        <w:rPr>
          <w:rFonts w:ascii="Book Antiqua" w:eastAsia="Book Antiqua" w:hAnsi="Book Antiqua" w:cs="Book Antiqua"/>
          <w:color w:val="000000"/>
          <w:szCs w:val="22"/>
        </w:rPr>
        <w:t>peptide receptor radionuclide therapy</w:t>
      </w:r>
      <w:bookmarkEnd w:id="84"/>
      <w:bookmarkEnd w:id="85"/>
      <w:bookmarkEnd w:id="86"/>
      <w:r w:rsidR="00E3223D">
        <w:rPr>
          <w:rFonts w:ascii="Book Antiqua" w:eastAsia="Book Antiqua" w:hAnsi="Book Antiqua" w:cs="Book Antiqua"/>
          <w:color w:val="000000"/>
          <w:szCs w:val="22"/>
        </w:rPr>
        <w:t xml:space="preserve"> (PRRT) is frequently used as a second</w:t>
      </w:r>
      <w:r w:rsidR="00B95D34">
        <w:rPr>
          <w:rFonts w:ascii="Book Antiqua" w:eastAsia="Book Antiqua" w:hAnsi="Book Antiqua" w:cs="Book Antiqua"/>
          <w:color w:val="000000"/>
          <w:szCs w:val="22"/>
        </w:rPr>
        <w:t>-</w:t>
      </w:r>
      <w:r w:rsidR="0097767C">
        <w:rPr>
          <w:rFonts w:ascii="Book Antiqua" w:eastAsia="Book Antiqua" w:hAnsi="Book Antiqua" w:cs="Book Antiqua"/>
          <w:color w:val="000000"/>
          <w:szCs w:val="22"/>
        </w:rPr>
        <w:t>line therapy. </w:t>
      </w:r>
      <w:r w:rsidR="00E3223D">
        <w:rPr>
          <w:rFonts w:ascii="Book Antiqua" w:eastAsia="Book Antiqua" w:hAnsi="Book Antiqua" w:cs="Book Antiqua"/>
          <w:color w:val="000000"/>
          <w:szCs w:val="22"/>
        </w:rPr>
        <w:t>Adequate treatment selection of third-line treatment remains challenging due to the limited prospective data currently available on the best therapeutic sequence.</w:t>
      </w:r>
      <w:r w:rsidR="00B702F8">
        <w:rPr>
          <w:rFonts w:ascii="Book Antiqua" w:eastAsia="Book Antiqua" w:hAnsi="Book Antiqua" w:cs="Book Antiqua"/>
          <w:color w:val="000000"/>
          <w:szCs w:val="22"/>
        </w:rPr>
        <w:t xml:space="preserve"> </w:t>
      </w:r>
    </w:p>
    <w:bookmarkEnd w:id="79"/>
    <w:bookmarkEnd w:id="80"/>
    <w:bookmarkEnd w:id="81"/>
    <w:p w14:paraId="28A7475A" w14:textId="77777777" w:rsidR="00A77B3E" w:rsidRDefault="00A77B3E">
      <w:pPr>
        <w:spacing w:line="360" w:lineRule="auto"/>
        <w:jc w:val="both"/>
      </w:pPr>
    </w:p>
    <w:p w14:paraId="34690E34" w14:textId="77777777" w:rsidR="00A77B3E" w:rsidRDefault="00E3223D">
      <w:pPr>
        <w:spacing w:line="360" w:lineRule="auto"/>
        <w:jc w:val="both"/>
      </w:pPr>
      <w:r>
        <w:rPr>
          <w:rFonts w:ascii="Book Antiqua" w:eastAsia="Book Antiqua" w:hAnsi="Book Antiqua" w:cs="Book Antiqua"/>
          <w:color w:val="000000"/>
        </w:rPr>
        <w:t>AIM</w:t>
      </w:r>
    </w:p>
    <w:p w14:paraId="3D52B7CF" w14:textId="77777777" w:rsidR="00A77B3E" w:rsidRDefault="007340D7">
      <w:pPr>
        <w:spacing w:line="360" w:lineRule="auto"/>
        <w:jc w:val="both"/>
      </w:pPr>
      <w:bookmarkStart w:id="87" w:name="OLE_LINK124"/>
      <w:bookmarkStart w:id="88" w:name="OLE_LINK125"/>
      <w:r>
        <w:rPr>
          <w:rFonts w:ascii="Book Antiqua" w:hAnsi="Book Antiqua" w:cs="Book Antiqua" w:hint="eastAsia"/>
          <w:color w:val="000000"/>
          <w:szCs w:val="22"/>
          <w:lang w:eastAsia="zh-CN"/>
        </w:rPr>
        <w:t>T</w:t>
      </w:r>
      <w:r w:rsidR="00E3223D">
        <w:rPr>
          <w:rFonts w:ascii="Book Antiqua" w:eastAsia="Book Antiqua" w:hAnsi="Book Antiqua" w:cs="Book Antiqua"/>
          <w:color w:val="000000"/>
          <w:szCs w:val="22"/>
        </w:rPr>
        <w:t>o understand current practice and rationale for decision-making by physicians in the 3</w:t>
      </w:r>
      <w:r w:rsidR="00E3223D">
        <w:rPr>
          <w:rFonts w:ascii="Book Antiqua" w:eastAsia="Book Antiqua" w:hAnsi="Book Antiqua" w:cs="Book Antiqua"/>
          <w:color w:val="000000"/>
          <w:szCs w:val="28"/>
          <w:vertAlign w:val="superscript"/>
        </w:rPr>
        <w:t>rd</w:t>
      </w:r>
      <w:r w:rsidR="00E3223D">
        <w:rPr>
          <w:rFonts w:ascii="Book Antiqua" w:eastAsia="Book Antiqua" w:hAnsi="Book Antiqua" w:cs="Book Antiqua"/>
          <w:color w:val="000000"/>
          <w:szCs w:val="22"/>
        </w:rPr>
        <w:t>-line setting</w:t>
      </w:r>
      <w:r>
        <w:rPr>
          <w:rFonts w:ascii="Book Antiqua" w:hAnsi="Book Antiqua" w:cs="Book Antiqua" w:hint="eastAsia"/>
          <w:color w:val="000000"/>
          <w:szCs w:val="22"/>
          <w:lang w:eastAsia="zh-CN"/>
        </w:rPr>
        <w:t xml:space="preserve"> by </w:t>
      </w:r>
      <w:r>
        <w:rPr>
          <w:rFonts w:ascii="Book Antiqua" w:hAnsi="Book Antiqua" w:cs="Book Antiqua"/>
          <w:color w:val="000000"/>
          <w:szCs w:val="22"/>
          <w:lang w:eastAsia="zh-CN"/>
        </w:rPr>
        <w:t>building</w:t>
      </w:r>
      <w:r>
        <w:rPr>
          <w:rFonts w:ascii="Book Antiqua" w:hAnsi="Book Antiqua" w:cs="Book Antiqua" w:hint="eastAsia"/>
          <w:color w:val="000000"/>
          <w:szCs w:val="22"/>
          <w:lang w:eastAsia="zh-CN"/>
        </w:rPr>
        <w:t xml:space="preserve"> an</w:t>
      </w:r>
      <w:r>
        <w:rPr>
          <w:rFonts w:ascii="Book Antiqua" w:hAnsi="Book Antiqua" w:cs="Book Antiqua"/>
          <w:color w:val="000000"/>
          <w:szCs w:val="22"/>
          <w:lang w:eastAsia="zh-CN"/>
        </w:rPr>
        <w:t xml:space="preserve"> online survey</w:t>
      </w:r>
      <w:r w:rsidR="00E3223D">
        <w:rPr>
          <w:rFonts w:ascii="Book Antiqua" w:eastAsia="Book Antiqua" w:hAnsi="Book Antiqua" w:cs="Book Antiqua"/>
          <w:color w:val="000000"/>
          <w:szCs w:val="22"/>
        </w:rPr>
        <w:t>. </w:t>
      </w:r>
    </w:p>
    <w:bookmarkEnd w:id="87"/>
    <w:bookmarkEnd w:id="88"/>
    <w:p w14:paraId="29624EA7" w14:textId="77777777" w:rsidR="00A77B3E" w:rsidRDefault="00A77B3E">
      <w:pPr>
        <w:spacing w:line="360" w:lineRule="auto"/>
        <w:jc w:val="both"/>
      </w:pPr>
    </w:p>
    <w:p w14:paraId="3B7016F6" w14:textId="77777777" w:rsidR="00A77B3E" w:rsidRDefault="00E3223D">
      <w:pPr>
        <w:spacing w:line="360" w:lineRule="auto"/>
        <w:jc w:val="both"/>
      </w:pPr>
      <w:r>
        <w:rPr>
          <w:rFonts w:ascii="Book Antiqua" w:eastAsia="Book Antiqua" w:hAnsi="Book Antiqua" w:cs="Book Antiqua"/>
          <w:color w:val="000000"/>
        </w:rPr>
        <w:t>METHODS</w:t>
      </w:r>
    </w:p>
    <w:p w14:paraId="562DC158" w14:textId="77777777" w:rsidR="00A77B3E" w:rsidRDefault="00E3223D">
      <w:pPr>
        <w:spacing w:line="360" w:lineRule="auto"/>
        <w:jc w:val="both"/>
      </w:pPr>
      <w:bookmarkStart w:id="89" w:name="OLE_LINK126"/>
      <w:bookmarkStart w:id="90" w:name="OLE_LINK127"/>
      <w:r>
        <w:rPr>
          <w:rFonts w:ascii="Book Antiqua" w:eastAsia="Book Antiqua" w:hAnsi="Book Antiqua" w:cs="Book Antiqua"/>
          <w:color w:val="000000"/>
        </w:rPr>
        <w:t>Weighted average (WA) of likelihood of usage between responders (1 very unlikely; 4 very likely) was used to reflect the relevance of factors explored.</w:t>
      </w:r>
    </w:p>
    <w:bookmarkEnd w:id="89"/>
    <w:bookmarkEnd w:id="90"/>
    <w:p w14:paraId="345F2EFA" w14:textId="77777777" w:rsidR="00A77B3E" w:rsidRDefault="00A77B3E">
      <w:pPr>
        <w:spacing w:line="360" w:lineRule="auto"/>
        <w:jc w:val="both"/>
      </w:pPr>
    </w:p>
    <w:p w14:paraId="4299F6C6" w14:textId="77777777" w:rsidR="00A77B3E" w:rsidRDefault="00E3223D">
      <w:pPr>
        <w:spacing w:line="360" w:lineRule="auto"/>
        <w:jc w:val="both"/>
      </w:pPr>
      <w:r>
        <w:rPr>
          <w:rFonts w:ascii="Book Antiqua" w:eastAsia="Book Antiqua" w:hAnsi="Book Antiqua" w:cs="Book Antiqua"/>
          <w:color w:val="000000"/>
        </w:rPr>
        <w:t>RESULTS</w:t>
      </w:r>
    </w:p>
    <w:p w14:paraId="279CEE7C" w14:textId="77777777" w:rsidR="00A77B3E" w:rsidRDefault="00E3223D">
      <w:pPr>
        <w:spacing w:line="360" w:lineRule="auto"/>
        <w:jc w:val="both"/>
      </w:pPr>
      <w:bookmarkStart w:id="91" w:name="OLE_LINK128"/>
      <w:bookmarkStart w:id="92" w:name="OLE_LINK129"/>
      <w:r>
        <w:rPr>
          <w:rFonts w:ascii="Book Antiqua" w:eastAsia="Book Antiqua" w:hAnsi="Book Antiqua" w:cs="Book Antiqua"/>
          <w:color w:val="000000"/>
          <w:szCs w:val="22"/>
        </w:rPr>
        <w:t xml:space="preserve">Replies from representatives of 28 centers were received (5/8/2020-21/9/2020); medical oncologist (53.6%), gastroenterologist (17.9%); United Kingdom (21.4%), Spain (17.9%), Italy (14.3%). Majority from </w:t>
      </w:r>
      <w:bookmarkStart w:id="93" w:name="OLE_LINK50"/>
      <w:bookmarkStart w:id="94" w:name="OLE_LINK56"/>
      <w:r w:rsidR="00971CBE">
        <w:rPr>
          <w:rFonts w:ascii="Book Antiqua" w:eastAsia="Book Antiqua" w:hAnsi="Book Antiqua" w:cs="Book Antiqua"/>
          <w:color w:val="000000"/>
          <w:szCs w:val="22"/>
        </w:rPr>
        <w:t>European Neuroendocrine Tumor Society</w:t>
      </w:r>
      <w:bookmarkEnd w:id="93"/>
      <w:bookmarkEnd w:id="94"/>
      <w:r w:rsidR="00971CB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ENETS</w:t>
      </w:r>
      <w:r w:rsidR="00971CBE">
        <w:rPr>
          <w:rFonts w:ascii="Book Antiqua" w:eastAsia="Book Antiqua" w:hAnsi="Book Antiqua" w:cs="Book Antiqua"/>
          <w:color w:val="000000"/>
          <w:szCs w:val="22"/>
        </w:rPr>
        <w:t>) Centres of Excellence</w:t>
      </w:r>
      <w:r>
        <w:rPr>
          <w:rFonts w:ascii="Book Antiqua" w:eastAsia="Book Antiqua" w:hAnsi="Book Antiqua" w:cs="Book Antiqua"/>
          <w:color w:val="000000"/>
          <w:szCs w:val="22"/>
        </w:rPr>
        <w:t xml:space="preserve"> (57.1%), who followed ENETS guidelines (82.1%). Generally speaking, 3</w:t>
      </w:r>
      <w:r>
        <w:rPr>
          <w:rFonts w:ascii="Book Antiqua" w:eastAsia="Book Antiqua" w:hAnsi="Book Antiqua" w:cs="Book Antiqua"/>
          <w:color w:val="000000"/>
          <w:szCs w:val="28"/>
          <w:vertAlign w:val="superscript"/>
        </w:rPr>
        <w:t>rd</w:t>
      </w:r>
      <w:r>
        <w:rPr>
          <w:rFonts w:ascii="Book Antiqua" w:eastAsia="Book Antiqua" w:hAnsi="Book Antiqua" w:cs="Book Antiqua"/>
          <w:color w:val="000000"/>
          <w:szCs w:val="22"/>
        </w:rPr>
        <w:t xml:space="preserve">-line treatment for Wd-SBNETs was: everolimus (EVE) (66.7%), PRRT (18.5%), liver embolization (LE) (7.4%) and interferon-alpha (IFN) (3.7%); chemotherapy (0%); decision was based on clinical trial data (59.3%), or personal experience (22.2%). EVE was </w:t>
      </w:r>
      <w:r w:rsidR="00971CBE">
        <w:rPr>
          <w:rFonts w:ascii="Book Antiqua" w:eastAsia="Book Antiqua" w:hAnsi="Book Antiqua" w:cs="Book Antiqua"/>
          <w:color w:val="000000"/>
          <w:szCs w:val="22"/>
        </w:rPr>
        <w:t xml:space="preserve">most </w:t>
      </w:r>
      <w:r>
        <w:rPr>
          <w:rFonts w:ascii="Book Antiqua" w:eastAsia="Book Antiqua" w:hAnsi="Book Antiqua" w:cs="Book Antiqua"/>
          <w:color w:val="000000"/>
          <w:szCs w:val="22"/>
        </w:rPr>
        <w:t>likely used if Ki-67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(WA 3.27/4) or age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70 years (WA 3.23/4), in the 3</w:t>
      </w:r>
      <w:r>
        <w:rPr>
          <w:rFonts w:ascii="Book Antiqua" w:eastAsia="Book Antiqua" w:hAnsi="Book Antiqua" w:cs="Book Antiqua"/>
          <w:color w:val="000000"/>
          <w:szCs w:val="28"/>
          <w:vertAlign w:val="superscript"/>
        </w:rPr>
        <w:t>rd</w:t>
      </w:r>
      <w:r>
        <w:rPr>
          <w:rFonts w:ascii="Book Antiqua" w:eastAsia="Book Antiqua" w:hAnsi="Book Antiqua" w:cs="Book Antiqua"/>
          <w:color w:val="000000"/>
          <w:szCs w:val="22"/>
        </w:rPr>
        <w:t xml:space="preserve">-line setting (WA 3.23/4); regardless </w:t>
      </w:r>
      <w:r w:rsidR="00971CBE">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presence/absence of carcinoid syndrome (CS), rate of progression or extent of disease. Chemotherapy was mainly utilised only if rapid progression (within 6 mo) (WA 3.35/4), Ki-67 10</w:t>
      </w:r>
      <w:r w:rsidR="00A705F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-20% (WA 2.77/4), negative </w:t>
      </w:r>
      <w:r w:rsidR="009E0BE9" w:rsidRPr="009E0BE9">
        <w:rPr>
          <w:rFonts w:ascii="Book Antiqua" w:eastAsia="Book Antiqua" w:hAnsi="Book Antiqua" w:cs="Book Antiqua"/>
          <w:color w:val="000000"/>
          <w:szCs w:val="22"/>
        </w:rPr>
        <w:t>somatostatin receptor</w:t>
      </w:r>
      <w:r>
        <w:rPr>
          <w:rFonts w:ascii="Book Antiqua" w:eastAsia="Book Antiqua" w:hAnsi="Book Antiqua" w:cs="Book Antiqua"/>
          <w:color w:val="000000"/>
          <w:szCs w:val="22"/>
        </w:rPr>
        <w:t xml:space="preserve"> imaging (WA 2.65/4) or high tumour burden (WA 2.77/4); temozolomide or streptozocin was used with capecitabine or 5-</w:t>
      </w:r>
      <w:r w:rsidR="00971CBE">
        <w:rPr>
          <w:rFonts w:ascii="Book Antiqua" w:eastAsia="Book Antiqua" w:hAnsi="Book Antiqua" w:cs="Book Antiqua"/>
          <w:color w:val="000000"/>
          <w:szCs w:val="22"/>
        </w:rPr>
        <w:t>fluorouracil (5-</w:t>
      </w:r>
      <w:r>
        <w:rPr>
          <w:rFonts w:ascii="Book Antiqua" w:eastAsia="Book Antiqua" w:hAnsi="Book Antiqua" w:cs="Book Antiqua"/>
          <w:color w:val="000000"/>
          <w:szCs w:val="22"/>
        </w:rPr>
        <w:t>FU</w:t>
      </w:r>
      <w:r w:rsidR="00971CB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(57.7%), FOLFOX</w:t>
      </w:r>
      <w:r w:rsidR="00971CBE">
        <w:rPr>
          <w:rFonts w:ascii="Book Antiqua" w:eastAsia="Book Antiqua" w:hAnsi="Book Antiqua" w:cs="Book Antiqua"/>
          <w:color w:val="000000"/>
          <w:szCs w:val="22"/>
        </w:rPr>
        <w:t xml:space="preserve"> (5-FU combined with oxaliplatin)</w:t>
      </w:r>
      <w:r>
        <w:rPr>
          <w:rFonts w:ascii="Book Antiqua" w:eastAsia="Book Antiqua" w:hAnsi="Book Antiqua" w:cs="Book Antiqua"/>
          <w:color w:val="000000"/>
          <w:szCs w:val="22"/>
        </w:rPr>
        <w:t xml:space="preserve"> (23.1%). LE was selected if presence of CS (WA 3.24/4) or Ki-67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(WA 2.8/4), after progression to other treatments (WA 2.8/4). IFN was rarely used (WA 1.3/4).</w:t>
      </w:r>
    </w:p>
    <w:bookmarkEnd w:id="91"/>
    <w:bookmarkEnd w:id="92"/>
    <w:p w14:paraId="4A75DBBF" w14:textId="77777777" w:rsidR="00A77B3E" w:rsidRDefault="00A77B3E">
      <w:pPr>
        <w:spacing w:line="360" w:lineRule="auto"/>
        <w:jc w:val="both"/>
      </w:pPr>
    </w:p>
    <w:p w14:paraId="267BF9EB" w14:textId="77777777" w:rsidR="00A77B3E" w:rsidRDefault="00E3223D">
      <w:pPr>
        <w:spacing w:line="360" w:lineRule="auto"/>
        <w:jc w:val="both"/>
      </w:pPr>
      <w:r>
        <w:rPr>
          <w:rFonts w:ascii="Book Antiqua" w:eastAsia="Book Antiqua" w:hAnsi="Book Antiqua" w:cs="Book Antiqua"/>
          <w:color w:val="000000"/>
        </w:rPr>
        <w:t>CONCLUSION</w:t>
      </w:r>
    </w:p>
    <w:p w14:paraId="7D2F6371" w14:textId="77777777" w:rsidR="00A77B3E" w:rsidRDefault="00E3223D">
      <w:pPr>
        <w:spacing w:line="360" w:lineRule="auto"/>
        <w:jc w:val="both"/>
      </w:pPr>
      <w:bookmarkStart w:id="95" w:name="OLE_LINK130"/>
      <w:bookmarkStart w:id="96" w:name="OLE_LINK131"/>
      <w:r>
        <w:rPr>
          <w:rFonts w:ascii="Book Antiqua" w:eastAsia="Book Antiqua" w:hAnsi="Book Antiqua" w:cs="Book Antiqua"/>
          <w:color w:val="000000"/>
          <w:szCs w:val="22"/>
        </w:rPr>
        <w:t>Everolimus was the most frequently used therapeutic option in the third-line setting. The most important factors for decision-making included Ki</w:t>
      </w:r>
      <w:r w:rsidR="00971CBE">
        <w:rPr>
          <w:rFonts w:ascii="Book Antiqua" w:eastAsia="Book Antiqua" w:hAnsi="Book Antiqua" w:cs="Book Antiqua"/>
          <w:color w:val="000000"/>
          <w:szCs w:val="22"/>
        </w:rPr>
        <w:t>-</w:t>
      </w:r>
      <w:r>
        <w:rPr>
          <w:rFonts w:ascii="Book Antiqua" w:eastAsia="Book Antiqua" w:hAnsi="Book Antiqua" w:cs="Book Antiqua"/>
          <w:color w:val="000000"/>
          <w:szCs w:val="22"/>
        </w:rPr>
        <w:t>67, rate of progression, functionality and tumour burden; since this decision is based on multiple factors, it highlights the need for a multidisciplinary assessment.</w:t>
      </w:r>
    </w:p>
    <w:bookmarkEnd w:id="95"/>
    <w:bookmarkEnd w:id="96"/>
    <w:p w14:paraId="1E06D34C" w14:textId="77777777" w:rsidR="00A77B3E" w:rsidRDefault="00A77B3E">
      <w:pPr>
        <w:spacing w:line="360" w:lineRule="auto"/>
        <w:jc w:val="both"/>
      </w:pPr>
    </w:p>
    <w:p w14:paraId="06E4DE29" w14:textId="77777777" w:rsidR="00A77B3E" w:rsidRDefault="00E3223D">
      <w:pPr>
        <w:spacing w:line="360" w:lineRule="auto"/>
        <w:jc w:val="both"/>
      </w:pPr>
      <w:r>
        <w:rPr>
          <w:rFonts w:ascii="Book Antiqua" w:eastAsia="Book Antiqua" w:hAnsi="Book Antiqua" w:cs="Book Antiqua"/>
          <w:b/>
          <w:bCs/>
          <w:color w:val="000000"/>
        </w:rPr>
        <w:t xml:space="preserve">Key Words: </w:t>
      </w:r>
      <w:bookmarkStart w:id="97" w:name="OLE_LINK104"/>
      <w:bookmarkStart w:id="98" w:name="OLE_LINK105"/>
      <w:bookmarkStart w:id="99" w:name="OLE_LINK108"/>
      <w:bookmarkStart w:id="100" w:name="OLE_LINK109"/>
      <w:bookmarkStart w:id="101" w:name="OLE_LINK119"/>
      <w:r w:rsidR="00E32D9A">
        <w:rPr>
          <w:rFonts w:ascii="Book Antiqua" w:hAnsi="Book Antiqua" w:cs="Book Antiqua" w:hint="eastAsia"/>
          <w:color w:val="000000"/>
          <w:szCs w:val="22"/>
          <w:lang w:eastAsia="zh-CN"/>
        </w:rPr>
        <w:t>N</w:t>
      </w:r>
      <w:r w:rsidR="00E32D9A">
        <w:rPr>
          <w:rFonts w:ascii="Book Antiqua" w:eastAsia="Book Antiqua" w:hAnsi="Book Antiqua" w:cs="Book Antiqua"/>
          <w:color w:val="000000"/>
          <w:szCs w:val="22"/>
        </w:rPr>
        <w:t>euroendocrine tumour</w:t>
      </w:r>
      <w:r w:rsidR="00FA6A38">
        <w:rPr>
          <w:rFonts w:ascii="Book Antiqua" w:eastAsia="Book Antiqua" w:hAnsi="Book Antiqua" w:cs="Book Antiqua"/>
          <w:color w:val="000000"/>
        </w:rPr>
        <w:t xml:space="preserve">; Small </w:t>
      </w:r>
      <w:r w:rsidR="00FA6A38" w:rsidRPr="00FA6A38">
        <w:rPr>
          <w:rFonts w:ascii="Book Antiqua" w:eastAsia="Book Antiqua" w:hAnsi="Book Antiqua" w:cs="Book Antiqua" w:hint="eastAsia"/>
          <w:color w:val="000000"/>
        </w:rPr>
        <w:t>b</w:t>
      </w:r>
      <w:r w:rsidR="00FA6A38">
        <w:rPr>
          <w:rFonts w:ascii="Book Antiqua" w:eastAsia="Book Antiqua" w:hAnsi="Book Antiqua" w:cs="Book Antiqua"/>
          <w:color w:val="000000"/>
        </w:rPr>
        <w:t>owel; Survey; Third</w:t>
      </w:r>
      <w:r w:rsidR="00B95D34">
        <w:rPr>
          <w:rFonts w:ascii="Book Antiqua" w:eastAsia="Book Antiqua" w:hAnsi="Book Antiqua" w:cs="Book Antiqua"/>
          <w:color w:val="000000"/>
        </w:rPr>
        <w:t>-</w:t>
      </w:r>
      <w:r w:rsidR="00FA6A38">
        <w:rPr>
          <w:rFonts w:ascii="Book Antiqua" w:hAnsi="Book Antiqua" w:cs="Book Antiqua" w:hint="eastAsia"/>
          <w:color w:val="000000"/>
          <w:lang w:eastAsia="zh-CN"/>
        </w:rPr>
        <w:t>l</w:t>
      </w:r>
      <w:r w:rsidR="00FA6A38">
        <w:rPr>
          <w:rFonts w:ascii="Book Antiqua" w:eastAsia="Book Antiqua" w:hAnsi="Book Antiqua" w:cs="Book Antiqua"/>
          <w:color w:val="000000"/>
        </w:rPr>
        <w:t>ine; Advanced; Practice</w:t>
      </w:r>
      <w:bookmarkEnd w:id="97"/>
      <w:bookmarkEnd w:id="98"/>
    </w:p>
    <w:bookmarkEnd w:id="99"/>
    <w:bookmarkEnd w:id="100"/>
    <w:bookmarkEnd w:id="101"/>
    <w:p w14:paraId="1348BB29" w14:textId="77777777" w:rsidR="004A1E02" w:rsidRDefault="004A1E02" w:rsidP="004A1E02">
      <w:pPr>
        <w:spacing w:line="360" w:lineRule="auto"/>
        <w:jc w:val="both"/>
        <w:rPr>
          <w:lang w:eastAsia="zh-CN"/>
        </w:rPr>
      </w:pPr>
    </w:p>
    <w:p w14:paraId="6840CCB0" w14:textId="77777777" w:rsidR="004A1E02" w:rsidRPr="00026CB8" w:rsidRDefault="004A1E02" w:rsidP="004A1E0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52B6C51" w14:textId="77777777" w:rsidR="00A77B3E" w:rsidRDefault="00A77B3E">
      <w:pPr>
        <w:spacing w:line="360" w:lineRule="auto"/>
        <w:jc w:val="both"/>
      </w:pPr>
    </w:p>
    <w:p w14:paraId="412996F2" w14:textId="7106BB1E" w:rsidR="00232DC3" w:rsidRDefault="00C56F9C">
      <w:pPr>
        <w:spacing w:line="360" w:lineRule="auto"/>
        <w:jc w:val="both"/>
        <w:rPr>
          <w:rFonts w:ascii="Book Antiqua" w:hAnsi="Book Antiqua" w:cs="Book Antiqua" w:hint="eastAsia"/>
          <w:color w:val="000000"/>
          <w:lang w:eastAsia="zh-CN"/>
        </w:rPr>
      </w:pPr>
      <w:bookmarkStart w:id="102" w:name="OLE_LINK112"/>
      <w:bookmarkStart w:id="103" w:name="OLE_LINK113"/>
      <w:r w:rsidRPr="00C56F9C">
        <w:rPr>
          <w:rFonts w:ascii="Book Antiqua" w:hAnsi="Book Antiqua" w:cs="Book Antiqua" w:hint="eastAsia"/>
          <w:b/>
          <w:color w:val="000000"/>
          <w:lang w:eastAsia="zh-CN"/>
        </w:rPr>
        <w:t xml:space="preserve">Citation: </w:t>
      </w:r>
      <w:r w:rsidR="00E3223D">
        <w:rPr>
          <w:rFonts w:ascii="Book Antiqua" w:eastAsia="Book Antiqua" w:hAnsi="Book Antiqua" w:cs="Book Antiqua"/>
          <w:color w:val="000000"/>
        </w:rPr>
        <w:t xml:space="preserve">Lamarca A, Cives M, de Mestier L, Crona J, Spada F, Öberg K, Pavel M, Alonso-Gordoa T. Advanced small-bowel well-differentiated neuroendocrine tumours: An </w:t>
      </w:r>
      <w:r w:rsidR="00211351">
        <w:rPr>
          <w:rFonts w:ascii="Book Antiqua" w:eastAsia="Book Antiqua" w:hAnsi="Book Antiqua" w:cs="Book Antiqua"/>
          <w:color w:val="000000"/>
        </w:rPr>
        <w:t>international survey of pr</w:t>
      </w:r>
      <w:r w:rsidR="00E3223D">
        <w:rPr>
          <w:rFonts w:ascii="Book Antiqua" w:eastAsia="Book Antiqua" w:hAnsi="Book Antiqua" w:cs="Book Antiqua"/>
          <w:color w:val="000000"/>
        </w:rPr>
        <w:t xml:space="preserve">actice on 3rd line treatment. </w:t>
      </w:r>
      <w:r w:rsidR="00E3223D">
        <w:rPr>
          <w:rFonts w:ascii="Book Antiqua" w:eastAsia="Book Antiqua" w:hAnsi="Book Antiqua" w:cs="Book Antiqua"/>
          <w:i/>
          <w:iCs/>
          <w:color w:val="000000"/>
        </w:rPr>
        <w:t>World J Gastroenterol</w:t>
      </w:r>
      <w:r w:rsidR="00E3223D">
        <w:rPr>
          <w:rFonts w:ascii="Book Antiqua" w:eastAsia="Book Antiqua" w:hAnsi="Book Antiqua" w:cs="Book Antiqua"/>
          <w:color w:val="000000"/>
        </w:rPr>
        <w:t xml:space="preserve"> 2021; </w:t>
      </w:r>
      <w:r w:rsidR="006109BF" w:rsidRPr="006109BF">
        <w:rPr>
          <w:rFonts w:ascii="Book Antiqua" w:eastAsia="Book Antiqua" w:hAnsi="Book Antiqua" w:cs="Book Antiqua"/>
          <w:color w:val="000000"/>
        </w:rPr>
        <w:t xml:space="preserve">27(10): </w:t>
      </w:r>
      <w:r w:rsidR="00F12853" w:rsidRPr="00F12853">
        <w:rPr>
          <w:rFonts w:ascii="Book Antiqua" w:eastAsia="Book Antiqua" w:hAnsi="Book Antiqua" w:cs="Book Antiqua"/>
          <w:color w:val="000000"/>
        </w:rPr>
        <w:t>976-989</w:t>
      </w:r>
      <w:r w:rsidR="006109BF" w:rsidRPr="006109BF">
        <w:rPr>
          <w:rFonts w:ascii="Book Antiqua" w:eastAsia="Book Antiqua" w:hAnsi="Book Antiqua" w:cs="Book Antiqua"/>
          <w:color w:val="000000"/>
        </w:rPr>
        <w:t xml:space="preserve">  </w:t>
      </w:r>
    </w:p>
    <w:p w14:paraId="0AB76F30" w14:textId="77777777" w:rsidR="00232DC3" w:rsidRDefault="006109BF">
      <w:pPr>
        <w:spacing w:line="360" w:lineRule="auto"/>
        <w:jc w:val="both"/>
        <w:rPr>
          <w:rFonts w:ascii="Book Antiqua" w:hAnsi="Book Antiqua" w:cs="Book Antiqua" w:hint="eastAsia"/>
          <w:color w:val="000000"/>
          <w:lang w:eastAsia="zh-CN"/>
        </w:rPr>
      </w:pPr>
      <w:r w:rsidRPr="00C56F9C">
        <w:rPr>
          <w:rFonts w:ascii="Book Antiqua" w:eastAsia="Book Antiqua" w:hAnsi="Book Antiqua" w:cs="Book Antiqua"/>
          <w:b/>
          <w:color w:val="000000"/>
        </w:rPr>
        <w:t xml:space="preserve">URL: </w:t>
      </w:r>
      <w:r w:rsidRPr="006109BF">
        <w:rPr>
          <w:rFonts w:ascii="Book Antiqua" w:eastAsia="Book Antiqua" w:hAnsi="Book Antiqua" w:cs="Book Antiqua"/>
          <w:color w:val="000000"/>
        </w:rPr>
        <w:t>https://www.wjgnet.com/1007-9327/full/v27/i10/</w:t>
      </w:r>
      <w:r w:rsidR="00DE27B0">
        <w:rPr>
          <w:rFonts w:ascii="Book Antiqua" w:hAnsi="Book Antiqua" w:cs="Book Antiqua" w:hint="eastAsia"/>
          <w:color w:val="000000"/>
          <w:lang w:eastAsia="zh-CN"/>
        </w:rPr>
        <w:t>97</w:t>
      </w:r>
      <w:r w:rsidR="00C05011">
        <w:rPr>
          <w:rFonts w:ascii="Book Antiqua" w:hAnsi="Book Antiqua" w:cs="Book Antiqua" w:hint="eastAsia"/>
          <w:color w:val="000000"/>
          <w:lang w:eastAsia="zh-CN"/>
        </w:rPr>
        <w:t>6</w:t>
      </w:r>
      <w:r w:rsidRPr="006109BF">
        <w:rPr>
          <w:rFonts w:ascii="Book Antiqua" w:eastAsia="Book Antiqua" w:hAnsi="Book Antiqua" w:cs="Book Antiqua"/>
          <w:color w:val="000000"/>
        </w:rPr>
        <w:t xml:space="preserve">.htm  </w:t>
      </w:r>
    </w:p>
    <w:p w14:paraId="3DE7135A" w14:textId="3A314D7E" w:rsidR="00A77B3E" w:rsidRPr="00A001E5" w:rsidRDefault="006109BF">
      <w:pPr>
        <w:spacing w:line="360" w:lineRule="auto"/>
        <w:jc w:val="both"/>
        <w:rPr>
          <w:rFonts w:hint="eastAsia"/>
          <w:lang w:eastAsia="zh-CN"/>
        </w:rPr>
      </w:pPr>
      <w:r w:rsidRPr="00C56F9C">
        <w:rPr>
          <w:rFonts w:ascii="Book Antiqua" w:eastAsia="Book Antiqua" w:hAnsi="Book Antiqua" w:cs="Book Antiqua"/>
          <w:b/>
          <w:color w:val="000000"/>
        </w:rPr>
        <w:t xml:space="preserve">DOI: </w:t>
      </w:r>
      <w:r w:rsidRPr="006109BF">
        <w:rPr>
          <w:rFonts w:ascii="Book Antiqua" w:eastAsia="Book Antiqua" w:hAnsi="Book Antiqua" w:cs="Book Antiqua"/>
          <w:color w:val="000000"/>
        </w:rPr>
        <w:t>https://dx.doi.org/10.3748/wjg.v27.i10.</w:t>
      </w:r>
      <w:r w:rsidR="00A001E5">
        <w:rPr>
          <w:rFonts w:ascii="Book Antiqua" w:hAnsi="Book Antiqua" w:cs="Book Antiqua" w:hint="eastAsia"/>
          <w:color w:val="000000"/>
          <w:lang w:eastAsia="zh-CN"/>
        </w:rPr>
        <w:t>976</w:t>
      </w:r>
    </w:p>
    <w:bookmarkEnd w:id="102"/>
    <w:bookmarkEnd w:id="103"/>
    <w:p w14:paraId="64DE38D0" w14:textId="77777777" w:rsidR="00A77B3E" w:rsidRDefault="00A77B3E">
      <w:pPr>
        <w:spacing w:line="360" w:lineRule="auto"/>
        <w:jc w:val="both"/>
      </w:pPr>
    </w:p>
    <w:p w14:paraId="3C366A97" w14:textId="77777777" w:rsidR="00D33EB1" w:rsidRDefault="00E3223D">
      <w:pPr>
        <w:spacing w:line="360" w:lineRule="auto"/>
        <w:jc w:val="both"/>
        <w:rPr>
          <w:lang w:eastAsia="zh-CN"/>
        </w:rPr>
      </w:pPr>
      <w:r>
        <w:rPr>
          <w:rFonts w:ascii="Book Antiqua" w:eastAsia="Book Antiqua" w:hAnsi="Book Antiqua" w:cs="Book Antiqua"/>
          <w:b/>
          <w:bCs/>
          <w:color w:val="000000"/>
        </w:rPr>
        <w:t xml:space="preserve">Core Tip: </w:t>
      </w:r>
      <w:bookmarkStart w:id="104" w:name="OLE_LINK110"/>
      <w:bookmarkStart w:id="105" w:name="OLE_LINK111"/>
      <w:bookmarkStart w:id="106" w:name="OLE_LINK120"/>
      <w:r>
        <w:rPr>
          <w:rFonts w:ascii="Book Antiqua" w:eastAsia="Book Antiqua" w:hAnsi="Book Antiqua" w:cs="Book Antiqua"/>
          <w:color w:val="000000"/>
        </w:rPr>
        <w:t xml:space="preserve">Our survey delineates a possible treatment algorithm in patients with advanced </w:t>
      </w:r>
      <w:r w:rsidR="002C2605" w:rsidRPr="002C2605">
        <w:rPr>
          <w:rFonts w:ascii="Book Antiqua" w:eastAsia="Book Antiqua" w:hAnsi="Book Antiqua" w:cs="Book Antiqua"/>
          <w:color w:val="000000"/>
        </w:rPr>
        <w:t>sm</w:t>
      </w:r>
      <w:r w:rsidR="002C2605">
        <w:rPr>
          <w:rFonts w:ascii="Book Antiqua" w:eastAsia="Book Antiqua" w:hAnsi="Book Antiqua" w:cs="Book Antiqua"/>
          <w:color w:val="000000"/>
        </w:rPr>
        <w:t>all bowel neuroendocrine tumour</w:t>
      </w:r>
      <w:r w:rsidR="002C2605" w:rsidRPr="002C2605">
        <w:rPr>
          <w:rFonts w:ascii="Book Antiqua" w:eastAsia="Book Antiqua" w:hAnsi="Book Antiqua" w:cs="Book Antiqua"/>
          <w:color w:val="000000"/>
        </w:rPr>
        <w:t xml:space="preserve"> </w:t>
      </w:r>
      <w:r w:rsidR="002C2605">
        <w:rPr>
          <w:rFonts w:ascii="Book Antiqua" w:hAnsi="Book Antiqua" w:cs="Book Antiqua" w:hint="eastAsia"/>
          <w:color w:val="000000"/>
          <w:lang w:eastAsia="zh-CN"/>
        </w:rPr>
        <w:t>(</w:t>
      </w:r>
      <w:r>
        <w:rPr>
          <w:rFonts w:ascii="Book Antiqua" w:eastAsia="Book Antiqua" w:hAnsi="Book Antiqua" w:cs="Book Antiqua"/>
          <w:color w:val="000000"/>
        </w:rPr>
        <w:t>SBNET</w:t>
      </w:r>
      <w:r w:rsidR="002C2605">
        <w:rPr>
          <w:rFonts w:ascii="Book Antiqua" w:hAnsi="Book Antiqua" w:cs="Book Antiqua" w:hint="eastAsia"/>
          <w:color w:val="000000"/>
          <w:lang w:eastAsia="zh-CN"/>
        </w:rPr>
        <w:t>)</w:t>
      </w:r>
      <w:r>
        <w:rPr>
          <w:rFonts w:ascii="Book Antiqua" w:eastAsia="Book Antiqua" w:hAnsi="Book Antiqua" w:cs="Book Antiqua"/>
          <w:color w:val="000000"/>
        </w:rPr>
        <w:t xml:space="preserve">. While </w:t>
      </w:r>
      <w:bookmarkStart w:id="107" w:name="OLE_LINK47"/>
      <w:bookmarkStart w:id="108" w:name="OLE_LINK48"/>
      <w:r w:rsidR="002C2605" w:rsidRPr="002C2605">
        <w:rPr>
          <w:rFonts w:ascii="Book Antiqua" w:eastAsia="Book Antiqua" w:hAnsi="Book Antiqua" w:cs="Book Antiqua"/>
          <w:color w:val="000000"/>
        </w:rPr>
        <w:t xml:space="preserve">somatostatin analogues </w:t>
      </w:r>
      <w:bookmarkEnd w:id="107"/>
      <w:bookmarkEnd w:id="108"/>
      <w:r w:rsidR="002C2605">
        <w:rPr>
          <w:rFonts w:ascii="Book Antiqua" w:hAnsi="Book Antiqua" w:cs="Book Antiqua" w:hint="eastAsia"/>
          <w:color w:val="000000"/>
          <w:lang w:eastAsia="zh-CN"/>
        </w:rPr>
        <w:t>(</w:t>
      </w:r>
      <w:r>
        <w:rPr>
          <w:rFonts w:ascii="Book Antiqua" w:eastAsia="Book Antiqua" w:hAnsi="Book Antiqua" w:cs="Book Antiqua"/>
          <w:color w:val="000000"/>
        </w:rPr>
        <w:t>SSAs</w:t>
      </w:r>
      <w:r w:rsidR="002C260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44C9C" w:rsidRPr="00F44C9C">
        <w:rPr>
          <w:rFonts w:ascii="Book Antiqua" w:eastAsia="Book Antiqua" w:hAnsi="Book Antiqua" w:cs="Book Antiqua"/>
          <w:color w:val="000000"/>
        </w:rPr>
        <w:t xml:space="preserve">peptide receptor radionuclide therapy </w:t>
      </w:r>
      <w:r w:rsidR="00F44C9C">
        <w:rPr>
          <w:rFonts w:ascii="Book Antiqua" w:hAnsi="Book Antiqua" w:cs="Book Antiqua" w:hint="eastAsia"/>
          <w:color w:val="000000"/>
          <w:lang w:eastAsia="zh-CN"/>
        </w:rPr>
        <w:t>(</w:t>
      </w:r>
      <w:r>
        <w:rPr>
          <w:rFonts w:ascii="Book Antiqua" w:eastAsia="Book Antiqua" w:hAnsi="Book Antiqua" w:cs="Book Antiqua"/>
          <w:color w:val="000000"/>
        </w:rPr>
        <w:t>PRRT</w:t>
      </w:r>
      <w:r w:rsidR="00F44C9C">
        <w:rPr>
          <w:rFonts w:ascii="Book Antiqua" w:hAnsi="Book Antiqua" w:cs="Book Antiqua" w:hint="eastAsia"/>
          <w:color w:val="000000"/>
          <w:lang w:eastAsia="zh-CN"/>
        </w:rPr>
        <w:t>)</w:t>
      </w:r>
      <w:r>
        <w:rPr>
          <w:rFonts w:ascii="Book Antiqua" w:eastAsia="Book Antiqua" w:hAnsi="Book Antiqua" w:cs="Book Antiqua"/>
          <w:color w:val="000000"/>
        </w:rPr>
        <w:t xml:space="preserve"> and everolimus are usually considered preferred first, second and third-line options respectively, chemotherapy is generally used when all other available treatments have </w:t>
      </w:r>
      <w:r w:rsidR="00971CBE">
        <w:rPr>
          <w:rFonts w:ascii="Book Antiqua" w:eastAsia="Book Antiqua" w:hAnsi="Book Antiqua" w:cs="Book Antiqua"/>
          <w:color w:val="000000"/>
        </w:rPr>
        <w:t>failed</w:t>
      </w:r>
      <w:r>
        <w:rPr>
          <w:rFonts w:ascii="Book Antiqua" w:eastAsia="Book Antiqua" w:hAnsi="Book Antiqua" w:cs="Book Antiqua"/>
          <w:color w:val="000000"/>
        </w:rPr>
        <w:t xml:space="preserve">. Locoregional therapies appear particularly useful when facing patients with functioning tumours, but their use </w:t>
      </w:r>
      <w:r w:rsidR="00971CBE">
        <w:rPr>
          <w:rFonts w:ascii="Book Antiqua" w:eastAsia="Book Antiqua" w:hAnsi="Book Antiqua" w:cs="Book Antiqua"/>
          <w:color w:val="000000"/>
        </w:rPr>
        <w:t>is mainly limited to after at least two prior</w:t>
      </w:r>
      <w:r>
        <w:rPr>
          <w:rFonts w:ascii="Book Antiqua" w:eastAsia="Book Antiqua" w:hAnsi="Book Antiqua" w:cs="Book Antiqua"/>
          <w:color w:val="000000"/>
        </w:rPr>
        <w:t xml:space="preserve"> lines of treatment. We were also able to identify relevant unanswered questions in the field of advanced SBNET treatment, mainly in regards to the role of maintenance SSA after PRRT for non-functioning tumours. Multiple factors were identified as relevant at time of decision making; among them, Ki-67, rate of progression, tumour functionality and tumour burden may have a key role in helping physicians tailoring the treatment. Based on this, we would encourage for treatment decisions to be made within a multidisciplinary setting.</w:t>
      </w:r>
      <w:bookmarkEnd w:id="104"/>
      <w:bookmarkEnd w:id="105"/>
    </w:p>
    <w:bookmarkEnd w:id="106"/>
    <w:p w14:paraId="0EA3F355" w14:textId="77777777" w:rsidR="00A77B3E" w:rsidRDefault="00D33EB1">
      <w:pPr>
        <w:spacing w:line="360" w:lineRule="auto"/>
        <w:jc w:val="both"/>
        <w:rPr>
          <w:lang w:eastAsia="zh-CN"/>
        </w:rPr>
      </w:pPr>
      <w:r>
        <w:rPr>
          <w:lang w:eastAsia="zh-CN"/>
        </w:rPr>
        <w:br w:type="page"/>
      </w:r>
      <w:r w:rsidR="00E3223D">
        <w:rPr>
          <w:rFonts w:ascii="Book Antiqua" w:eastAsia="Book Antiqua" w:hAnsi="Book Antiqua" w:cs="Book Antiqua"/>
          <w:b/>
          <w:caps/>
          <w:color w:val="000000"/>
          <w:u w:val="single"/>
        </w:rPr>
        <w:t>INTRODUCTION</w:t>
      </w:r>
    </w:p>
    <w:p w14:paraId="42BABA80" w14:textId="77777777" w:rsidR="00A77B3E" w:rsidRDefault="00E3223D">
      <w:pPr>
        <w:spacing w:line="360" w:lineRule="auto"/>
        <w:jc w:val="both"/>
      </w:pPr>
      <w:bookmarkStart w:id="109" w:name="OLE_LINK132"/>
      <w:bookmarkStart w:id="110" w:name="OLE_LINK133"/>
      <w:r>
        <w:rPr>
          <w:rFonts w:ascii="Book Antiqua" w:eastAsia="Book Antiqua" w:hAnsi="Book Antiqua" w:cs="Book Antiqua"/>
          <w:color w:val="000000"/>
          <w:szCs w:val="22"/>
        </w:rPr>
        <w:t>Neuroendocrine neoplasms are rare and heterogeneous</w:t>
      </w:r>
      <w:r w:rsidR="006928EF">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22"/>
        </w:rPr>
        <w:t>. One of the main primary sites of development of well-differentiated</w:t>
      </w:r>
      <w:bookmarkStart w:id="111" w:name="OLE_LINK45"/>
      <w:bookmarkStart w:id="112" w:name="OLE_LINK46"/>
      <w:r>
        <w:rPr>
          <w:rFonts w:ascii="Book Antiqua" w:eastAsia="Book Antiqua" w:hAnsi="Book Antiqua" w:cs="Book Antiqua"/>
          <w:color w:val="000000"/>
          <w:szCs w:val="22"/>
        </w:rPr>
        <w:t xml:space="preserve"> </w:t>
      </w:r>
      <w:bookmarkStart w:id="113" w:name="OLE_LINK106"/>
      <w:bookmarkStart w:id="114" w:name="OLE_LINK107"/>
      <w:r>
        <w:rPr>
          <w:rFonts w:ascii="Book Antiqua" w:eastAsia="Book Antiqua" w:hAnsi="Book Antiqua" w:cs="Book Antiqua"/>
          <w:color w:val="000000"/>
          <w:szCs w:val="22"/>
        </w:rPr>
        <w:t>neuroendocrine tumour</w:t>
      </w:r>
      <w:bookmarkEnd w:id="113"/>
      <w:bookmarkEnd w:id="114"/>
      <w:r>
        <w:rPr>
          <w:rFonts w:ascii="Book Antiqua" w:eastAsia="Book Antiqua" w:hAnsi="Book Antiqua" w:cs="Book Antiqua"/>
          <w:color w:val="000000"/>
          <w:szCs w:val="22"/>
        </w:rPr>
        <w:t xml:space="preserve">s </w:t>
      </w:r>
      <w:bookmarkEnd w:id="111"/>
      <w:bookmarkEnd w:id="112"/>
      <w:r>
        <w:rPr>
          <w:rFonts w:ascii="Book Antiqua" w:eastAsia="Book Antiqua" w:hAnsi="Book Antiqua" w:cs="Book Antiqua"/>
          <w:color w:val="000000"/>
          <w:szCs w:val="22"/>
        </w:rPr>
        <w:t>(NETs) is the small bowel (SBNETs)</w:t>
      </w:r>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2"/>
        </w:rPr>
        <w:t>. These are characterised by the production of certain bioactive compounds (such as serotonin) which may derive on specific symptoms, such as carcinoid syndrome (CS)</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w:t>
      </w:r>
    </w:p>
    <w:p w14:paraId="1091AA4D" w14:textId="77777777" w:rsidR="00A77B3E" w:rsidRDefault="00E3223D" w:rsidP="006928EF">
      <w:pPr>
        <w:spacing w:line="360" w:lineRule="auto"/>
        <w:ind w:firstLineChars="100" w:firstLine="240"/>
        <w:jc w:val="both"/>
      </w:pPr>
      <w:r>
        <w:rPr>
          <w:rFonts w:ascii="Book Antiqua" w:eastAsia="Book Antiqua" w:hAnsi="Book Antiqua" w:cs="Book Antiqua"/>
          <w:color w:val="000000"/>
          <w:szCs w:val="22"/>
        </w:rPr>
        <w:t>Nearly half of SBNETs are diagnosed at a non-resectable, advanced stage, being only suitable for palliative therapeutic approaches</w:t>
      </w:r>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For treatment decision making, assessment of hormonal syndrome, disease stage, burden of disease, somatostatin receptor (SSTR) expression and tumour grade are crucial</w:t>
      </w:r>
      <w:r w:rsidR="00E207D0">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18"/>
          <w:vertAlign w:val="superscript"/>
        </w:rPr>
        <w:t>6]</w:t>
      </w:r>
      <w:r>
        <w:rPr>
          <w:rFonts w:ascii="Book Antiqua" w:eastAsia="Book Antiqua" w:hAnsi="Book Antiqua" w:cs="Book Antiqua"/>
          <w:color w:val="000000"/>
          <w:szCs w:val="22"/>
        </w:rPr>
        <w:t>, with available guidelines informing on treatment options</w:t>
      </w:r>
      <w:r>
        <w:rPr>
          <w:rFonts w:ascii="Book Antiqua" w:eastAsia="Book Antiqua" w:hAnsi="Book Antiqua" w:cs="Book Antiqua"/>
          <w:color w:val="000000"/>
          <w:szCs w:val="18"/>
          <w:vertAlign w:val="superscript"/>
        </w:rPr>
        <w:t>[7-11]</w:t>
      </w:r>
      <w:r>
        <w:rPr>
          <w:rFonts w:ascii="Book Antiqua" w:eastAsia="Book Antiqua" w:hAnsi="Book Antiqua" w:cs="Book Antiqua"/>
          <w:color w:val="000000"/>
          <w:szCs w:val="22"/>
        </w:rPr>
        <w:t>.</w:t>
      </w:r>
    </w:p>
    <w:p w14:paraId="3F3F11BB" w14:textId="77777777" w:rsidR="00A77B3E" w:rsidRDefault="00E3223D" w:rsidP="00E207D0">
      <w:pPr>
        <w:spacing w:line="360" w:lineRule="auto"/>
        <w:ind w:firstLineChars="100" w:firstLine="240"/>
        <w:jc w:val="both"/>
      </w:pPr>
      <w:r>
        <w:rPr>
          <w:rFonts w:ascii="Book Antiqua" w:eastAsia="Book Antiqua" w:hAnsi="Book Antiqua" w:cs="Book Antiqua"/>
          <w:color w:val="000000"/>
          <w:szCs w:val="22"/>
        </w:rPr>
        <w:t xml:space="preserve">In recent years, management of SBNETs has changed significantly, with development of new anti-tumour treatment options. There is now high-level evidence phase III clinical trial data supporting the use of </w:t>
      </w:r>
      <w:bookmarkStart w:id="115" w:name="OLE_LINK31"/>
      <w:r>
        <w:rPr>
          <w:rFonts w:ascii="Book Antiqua" w:eastAsia="Book Antiqua" w:hAnsi="Book Antiqua" w:cs="Book Antiqua"/>
          <w:color w:val="000000"/>
          <w:szCs w:val="22"/>
        </w:rPr>
        <w:t>somatostatin analogues</w:t>
      </w:r>
      <w:bookmarkEnd w:id="115"/>
      <w:r>
        <w:rPr>
          <w:rFonts w:ascii="Book Antiqua" w:eastAsia="Book Antiqua" w:hAnsi="Book Antiqua" w:cs="Book Antiqua"/>
          <w:color w:val="000000"/>
          <w:szCs w:val="22"/>
        </w:rPr>
        <w:t xml:space="preserve"> (SSAs)</w:t>
      </w:r>
      <w:r w:rsidR="003358FB">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which have shown both anti-tumour and anti-secretory effects. Above-label dosages of SSAs may also provide antitumour activity after progression on standard doses of SSAs, particularly in patients with slow-growing tumours</w:t>
      </w:r>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xml:space="preserve">. After progression to SSA, the results of the </w:t>
      </w:r>
      <w:bookmarkStart w:id="116" w:name="OLE_LINK41"/>
      <w:r>
        <w:rPr>
          <w:rFonts w:ascii="Book Antiqua" w:eastAsia="Book Antiqua" w:hAnsi="Book Antiqua" w:cs="Book Antiqua"/>
          <w:color w:val="000000"/>
          <w:szCs w:val="22"/>
        </w:rPr>
        <w:t xml:space="preserve">NETTER-1 trial </w:t>
      </w:r>
      <w:bookmarkEnd w:id="116"/>
      <w:r>
        <w:rPr>
          <w:rFonts w:ascii="Book Antiqua" w:eastAsia="Book Antiqua" w:hAnsi="Book Antiqua" w:cs="Book Antiqua"/>
          <w:color w:val="000000"/>
          <w:szCs w:val="22"/>
        </w:rPr>
        <w:t xml:space="preserve">support the use of peptide-receptor radionuclide therapy (PRRT) with </w:t>
      </w:r>
      <w:r>
        <w:rPr>
          <w:rFonts w:ascii="Book Antiqua" w:eastAsia="Book Antiqua" w:hAnsi="Book Antiqua" w:cs="Book Antiqua"/>
          <w:color w:val="000000"/>
          <w:szCs w:val="28"/>
          <w:vertAlign w:val="superscript"/>
        </w:rPr>
        <w:t>177</w:t>
      </w:r>
      <w:r>
        <w:rPr>
          <w:rFonts w:ascii="Book Antiqua" w:eastAsia="Book Antiqua" w:hAnsi="Book Antiqua" w:cs="Book Antiqua"/>
          <w:color w:val="000000"/>
          <w:szCs w:val="22"/>
        </w:rPr>
        <w:t>Lu-DOTATATE in SBNETs with high SSTRs expression (expected to account for above 80% of cases)</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In addition, the RADIANT-4 trial supported the use of everolimus over placebo for non-functioning SBNETs after progression to one prior line of treatment</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w:t>
      </w:r>
    </w:p>
    <w:p w14:paraId="719810E4" w14:textId="77777777" w:rsidR="000D7385" w:rsidRDefault="00E3223D" w:rsidP="000D7385">
      <w:pPr>
        <w:spacing w:line="360" w:lineRule="auto"/>
        <w:ind w:firstLineChars="100" w:firstLine="240"/>
        <w:jc w:val="both"/>
        <w:rPr>
          <w:lang w:eastAsia="zh-CN"/>
        </w:rPr>
      </w:pPr>
      <w:r>
        <w:rPr>
          <w:rFonts w:ascii="Book Antiqua" w:eastAsia="Book Antiqua" w:hAnsi="Book Antiqua" w:cs="Book Antiqua"/>
          <w:color w:val="000000"/>
          <w:szCs w:val="22"/>
        </w:rPr>
        <w:t xml:space="preserve">SBNETs have a better prognosis than other gastrointestinal malignancies, with estimated median survival from time of identification of metastatic disease </w:t>
      </w:r>
      <w:r w:rsidR="00971CBE">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above 5 years</w:t>
      </w:r>
      <w:r w:rsidR="000D7385">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22"/>
        </w:rPr>
        <w:t>. In view of this, many patients are fit enough for multiple lines of treatment. In view of increasing treatment options</w:t>
      </w:r>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and despite available guidelines</w:t>
      </w:r>
      <w:r w:rsidR="000D7385">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selection of the best treatment strategy remains challenging. The use of SSAs in the first-line setting for patients diagnosed with SBNETs </w:t>
      </w:r>
      <w:r w:rsidR="00971CBE">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supported by randomised clinical trial results and reflected in multiple guidelines. As mentioned above, options for second-line treatment could include PRRT or everolimus, with most recent guidelines supporting the use of PRRT over everolimus in the second-line setting especially if tumour expresses SSTR</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w:t>
      </w:r>
    </w:p>
    <w:p w14:paraId="71CCF27C" w14:textId="77777777" w:rsidR="00A77B3E" w:rsidRDefault="00E3223D" w:rsidP="000D7385">
      <w:pPr>
        <w:spacing w:line="360" w:lineRule="auto"/>
        <w:ind w:firstLineChars="100" w:firstLine="240"/>
        <w:jc w:val="both"/>
      </w:pPr>
      <w:r>
        <w:rPr>
          <w:rFonts w:ascii="Book Antiqua" w:eastAsia="Book Antiqua" w:hAnsi="Book Antiqua" w:cs="Book Antiqua"/>
          <w:color w:val="000000"/>
          <w:szCs w:val="22"/>
        </w:rPr>
        <w:t>Thus, it is expected that majority of patients will receive first-line SSA and second-line PRRT as the predominant treatment strategy. However, the right choice for third-line treatment remains unclear and practice regarding the use of everolimus, chemotherapy and other therapy options is likely to vary significantly between different institutions. Such therapeutic options may include everolimus</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(approved for patients with non-functioning SBNETs), liver embolization</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chemotherapy (mainly alkylating-based or oxaliplatin-based and generally</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combined </w:t>
      </w:r>
      <w:r w:rsidR="00971CBE">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fluoropyrimidine)</w:t>
      </w:r>
      <w:r w:rsidR="00AD7994">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xml:space="preserve"> and interferon-alpha</w:t>
      </w:r>
      <w:r w:rsidR="00AD7994">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w:t>
      </w:r>
    </w:p>
    <w:p w14:paraId="5E7F8265" w14:textId="77777777" w:rsidR="00A77B3E" w:rsidRDefault="00E3223D" w:rsidP="00AD7994">
      <w:pPr>
        <w:spacing w:line="360" w:lineRule="auto"/>
        <w:ind w:firstLineChars="100" w:firstLine="240"/>
        <w:jc w:val="both"/>
      </w:pPr>
      <w:r>
        <w:rPr>
          <w:rFonts w:ascii="Book Antiqua" w:eastAsia="Book Antiqua" w:hAnsi="Book Antiqua" w:cs="Book Antiqua"/>
          <w:color w:val="000000"/>
          <w:szCs w:val="22"/>
        </w:rPr>
        <w:t>This survey of practice aims to provide an understanding of current practice and main factors used for treatment selection in advanced SBNETs</w:t>
      </w:r>
      <w:r w:rsidR="00971CBE">
        <w:rPr>
          <w:rFonts w:ascii="Book Antiqua" w:eastAsia="Book Antiqua" w:hAnsi="Book Antiqua" w:cs="Book Antiqua"/>
          <w:color w:val="000000"/>
          <w:szCs w:val="22"/>
        </w:rPr>
        <w:t>, with special focus on third-line treatment strategies</w:t>
      </w:r>
      <w:r>
        <w:rPr>
          <w:rFonts w:ascii="Book Antiqua" w:eastAsia="Book Antiqua" w:hAnsi="Book Antiqua" w:cs="Book Antiqua"/>
          <w:color w:val="000000"/>
          <w:szCs w:val="22"/>
        </w:rPr>
        <w:t>.</w:t>
      </w:r>
    </w:p>
    <w:bookmarkEnd w:id="109"/>
    <w:bookmarkEnd w:id="110"/>
    <w:p w14:paraId="5CBA4690" w14:textId="77777777" w:rsidR="00A77B3E" w:rsidRDefault="00A77B3E">
      <w:pPr>
        <w:spacing w:line="360" w:lineRule="auto"/>
        <w:jc w:val="both"/>
      </w:pPr>
    </w:p>
    <w:p w14:paraId="7131F566" w14:textId="77777777" w:rsidR="00A77B3E" w:rsidRDefault="00E3223D">
      <w:pPr>
        <w:spacing w:line="360" w:lineRule="auto"/>
        <w:jc w:val="both"/>
      </w:pPr>
      <w:r>
        <w:rPr>
          <w:rFonts w:ascii="Book Antiqua" w:eastAsia="Book Antiqua" w:hAnsi="Book Antiqua" w:cs="Book Antiqua"/>
          <w:b/>
          <w:caps/>
          <w:color w:val="000000"/>
          <w:u w:val="single"/>
        </w:rPr>
        <w:t>MATERIALS AND METHODS</w:t>
      </w:r>
    </w:p>
    <w:p w14:paraId="24A04A42" w14:textId="77777777" w:rsidR="00A77B3E" w:rsidRDefault="00E3223D">
      <w:pPr>
        <w:spacing w:line="360" w:lineRule="auto"/>
        <w:jc w:val="both"/>
      </w:pPr>
      <w:bookmarkStart w:id="117" w:name="OLE_LINK138"/>
      <w:bookmarkStart w:id="118" w:name="OLE_LINK139"/>
      <w:bookmarkStart w:id="119" w:name="OLE_LINK134"/>
      <w:bookmarkStart w:id="120" w:name="OLE_LINK135"/>
      <w:r>
        <w:rPr>
          <w:rFonts w:ascii="Book Antiqua" w:eastAsia="Book Antiqua" w:hAnsi="Book Antiqua" w:cs="Book Antiqua"/>
          <w:color w:val="000000"/>
          <w:szCs w:val="22"/>
        </w:rPr>
        <w:t xml:space="preserve">An online survey was built and shared with </w:t>
      </w:r>
      <w:r w:rsidR="00971CBE">
        <w:rPr>
          <w:rFonts w:ascii="Book Antiqua" w:eastAsia="Book Antiqua" w:hAnsi="Book Antiqua" w:cs="Book Antiqua"/>
          <w:color w:val="000000"/>
          <w:szCs w:val="22"/>
        </w:rPr>
        <w:t>European Neuroendocrine Tumor Society (</w:t>
      </w:r>
      <w:r>
        <w:rPr>
          <w:rFonts w:ascii="Book Antiqua" w:eastAsia="Book Antiqua" w:hAnsi="Book Antiqua" w:cs="Book Antiqua"/>
          <w:color w:val="000000"/>
          <w:szCs w:val="22"/>
        </w:rPr>
        <w:t>ENETS</w:t>
      </w:r>
      <w:r w:rsidR="00971CB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Centres of Excellence (CoE)</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xml:space="preserve"> and other health care professionals with expertise in NETs (</w:t>
      </w:r>
      <w:r w:rsidRPr="00B702F8">
        <w:rPr>
          <w:rFonts w:ascii="Book Antiqua" w:eastAsia="Book Antiqua" w:hAnsi="Book Antiqua" w:cs="Book Antiqua"/>
          <w:i/>
          <w:color w:val="000000"/>
          <w:szCs w:val="22"/>
        </w:rPr>
        <w:t>via</w:t>
      </w:r>
      <w:r>
        <w:rPr>
          <w:rFonts w:ascii="Book Antiqua" w:eastAsia="Book Antiqua" w:hAnsi="Book Antiqua" w:cs="Book Antiqua"/>
          <w:color w:val="000000"/>
          <w:szCs w:val="22"/>
        </w:rPr>
        <w:t xml:space="preserve"> NETConnect group</w:t>
      </w:r>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The survey contained questions regarding current practice, with special focus on factors currently influencing treatment decision making in SBNETs and especially on third</w:t>
      </w:r>
      <w:r w:rsidR="00B95D34">
        <w:rPr>
          <w:rFonts w:ascii="Book Antiqua" w:eastAsia="Book Antiqua" w:hAnsi="Book Antiqua" w:cs="Book Antiqua"/>
          <w:color w:val="000000"/>
          <w:szCs w:val="22"/>
        </w:rPr>
        <w:t>-</w:t>
      </w:r>
      <w:r>
        <w:rPr>
          <w:rFonts w:ascii="Book Antiqua" w:eastAsia="Book Antiqua" w:hAnsi="Book Antiqua" w:cs="Book Antiqua"/>
          <w:color w:val="000000"/>
          <w:szCs w:val="22"/>
        </w:rPr>
        <w:t>line treatment options. Even though baseline characteristics of responders (</w:t>
      </w:r>
      <w:r w:rsidRPr="00005BA0">
        <w:rPr>
          <w:rFonts w:ascii="Book Antiqua" w:eastAsia="Book Antiqua" w:hAnsi="Book Antiqua" w:cs="Book Antiqua"/>
          <w:i/>
          <w:color w:val="000000"/>
          <w:szCs w:val="22"/>
        </w:rPr>
        <w:t>i.e.</w:t>
      </w:r>
      <w:r w:rsidR="00FA0872" w:rsidRPr="00FA08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country, specialty, whether they practiced in an ENETS CoE or not) were collected, participation was anonymous and aimed to reflect </w:t>
      </w:r>
      <w:r w:rsidR="00971CBE">
        <w:rPr>
          <w:rFonts w:ascii="Book Antiqua" w:eastAsia="Book Antiqua" w:hAnsi="Book Antiqua" w:cs="Book Antiqua"/>
          <w:color w:val="000000"/>
          <w:szCs w:val="22"/>
        </w:rPr>
        <w:t xml:space="preserve">their </w:t>
      </w:r>
      <w:r>
        <w:rPr>
          <w:rFonts w:ascii="Book Antiqua" w:eastAsia="Book Antiqua" w:hAnsi="Book Antiqua" w:cs="Book Antiqua"/>
          <w:color w:val="000000"/>
          <w:szCs w:val="22"/>
        </w:rPr>
        <w:t>personal views.</w:t>
      </w:r>
    </w:p>
    <w:p w14:paraId="344D97B9" w14:textId="77777777" w:rsidR="00A77B3E" w:rsidRDefault="00E3223D" w:rsidP="00005BA0">
      <w:pPr>
        <w:spacing w:line="360" w:lineRule="auto"/>
        <w:ind w:firstLineChars="100" w:firstLine="240"/>
        <w:jc w:val="both"/>
      </w:pPr>
      <w:r>
        <w:rPr>
          <w:rFonts w:ascii="Book Antiqua" w:eastAsia="Book Antiqua" w:hAnsi="Book Antiqua" w:cs="Book Antiqua"/>
          <w:color w:val="000000"/>
          <w:szCs w:val="22"/>
        </w:rPr>
        <w:t>The primary aim of this survey was to provide information on the patterns of use of third-line treatments in SBNET patients. The secondary aim was to define the factors associated with treatment selection in the third-line setting.</w:t>
      </w:r>
      <w:r w:rsidR="00971CB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Replies were collected between 5/8/2020 until 21/9/2020 and all data </w:t>
      </w:r>
      <w:r w:rsidR="00971CBE">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analysed together. Duplicate </w:t>
      </w:r>
      <w:bookmarkStart w:id="121" w:name="OLE_LINK136"/>
      <w:bookmarkStart w:id="122" w:name="OLE_LINK137"/>
      <w:r>
        <w:rPr>
          <w:rFonts w:ascii="Book Antiqua" w:eastAsia="Book Antiqua" w:hAnsi="Book Antiqua" w:cs="Book Antiqua"/>
          <w:color w:val="000000"/>
          <w:szCs w:val="22"/>
        </w:rPr>
        <w:t>replies from an individual centre were excluded, if all provided replies concurred. In order to assess for likelihood of prescribing a specific treatment in a specific scenario, respondents were asked to determine how likely they were to do so and replies collected in numbers ranging between 1 (very unlikely) to 4 (very likely). Joined analysis was performed by calculating weighted average (WA) of likelihood of usage between responders for each scenario explored, to reflect the relevance of each factor in the dec</w:t>
      </w:r>
      <w:bookmarkEnd w:id="121"/>
      <w:bookmarkEnd w:id="122"/>
      <w:r>
        <w:rPr>
          <w:rFonts w:ascii="Book Antiqua" w:eastAsia="Book Antiqua" w:hAnsi="Book Antiqua" w:cs="Book Antiqua"/>
          <w:color w:val="000000"/>
          <w:szCs w:val="22"/>
        </w:rPr>
        <w:t>ision making; reported WA ranged between 1 and 4 (1 very unlikely; 4 very likely).</w:t>
      </w:r>
    </w:p>
    <w:bookmarkEnd w:id="117"/>
    <w:bookmarkEnd w:id="118"/>
    <w:p w14:paraId="1FC27491" w14:textId="77777777" w:rsidR="00A77B3E" w:rsidRDefault="00A77B3E">
      <w:pPr>
        <w:spacing w:line="360" w:lineRule="auto"/>
        <w:jc w:val="both"/>
      </w:pPr>
    </w:p>
    <w:p w14:paraId="01FEA8C9" w14:textId="77777777" w:rsidR="00A77B3E" w:rsidRDefault="00E3223D">
      <w:pPr>
        <w:spacing w:line="360" w:lineRule="auto"/>
        <w:jc w:val="both"/>
      </w:pPr>
      <w:r>
        <w:rPr>
          <w:rFonts w:ascii="Book Antiqua" w:eastAsia="Book Antiqua" w:hAnsi="Book Antiqua" w:cs="Book Antiqua"/>
          <w:b/>
          <w:caps/>
          <w:color w:val="000000"/>
          <w:u w:val="single"/>
        </w:rPr>
        <w:t>RESULTS</w:t>
      </w:r>
    </w:p>
    <w:p w14:paraId="219DCCC9" w14:textId="77777777" w:rsidR="00A77B3E" w:rsidRDefault="00E3223D">
      <w:pPr>
        <w:spacing w:line="360" w:lineRule="auto"/>
        <w:jc w:val="both"/>
        <w:rPr>
          <w:rFonts w:ascii="Book Antiqua" w:eastAsia="Book Antiqua" w:hAnsi="Book Antiqua" w:cs="Book Antiqua"/>
          <w:color w:val="000000"/>
          <w:szCs w:val="22"/>
        </w:rPr>
      </w:pPr>
      <w:bookmarkStart w:id="123" w:name="OLE_LINK140"/>
      <w:bookmarkStart w:id="124" w:name="OLE_LINK141"/>
      <w:r>
        <w:rPr>
          <w:rFonts w:ascii="Book Antiqua" w:eastAsia="Book Antiqua" w:hAnsi="Book Antiqua" w:cs="Book Antiqua"/>
          <w:color w:val="000000"/>
          <w:szCs w:val="22"/>
        </w:rPr>
        <w:t xml:space="preserve">Answers from 28 health care providers </w:t>
      </w:r>
      <w:r w:rsidR="00971CBE">
        <w:rPr>
          <w:rFonts w:ascii="Book Antiqua" w:eastAsia="Book Antiqua" w:hAnsi="Book Antiqua" w:cs="Book Antiqua"/>
          <w:color w:val="000000"/>
          <w:szCs w:val="22"/>
        </w:rPr>
        <w:t>were</w:t>
      </w:r>
      <w:r>
        <w:rPr>
          <w:rFonts w:ascii="Book Antiqua" w:eastAsia="Book Antiqua" w:hAnsi="Book Antiqua" w:cs="Book Antiqua"/>
          <w:color w:val="000000"/>
          <w:szCs w:val="22"/>
        </w:rPr>
        <w:t xml:space="preserve"> collected.</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Characteristics of responders are summarized in </w:t>
      </w:r>
      <w:r w:rsidRPr="000F55C6">
        <w:rPr>
          <w:rFonts w:ascii="Book Antiqua" w:eastAsia="Book Antiqua" w:hAnsi="Book Antiqua" w:cs="Book Antiqua"/>
          <w:bCs/>
          <w:color w:val="000000"/>
          <w:szCs w:val="22"/>
        </w:rPr>
        <w:t xml:space="preserve">Table 1. </w:t>
      </w:r>
      <w:r w:rsidRPr="000F55C6">
        <w:rPr>
          <w:rFonts w:ascii="Book Antiqua" w:eastAsia="Book Antiqua" w:hAnsi="Book Antiqua" w:cs="Book Antiqua"/>
          <w:color w:val="000000"/>
          <w:szCs w:val="22"/>
        </w:rPr>
        <w:t>Most responders were medical oncologist (53.6%) or gastroenterologist (17.9%), from United Kingdom (21.4%), Spain (17.9%) or Italy (14.3%). Majority were completed by healthcare professionals working in ENETS CoEs (57.1%) who reported using ENETs guidelines for informing their practice (82.1%).</w:t>
      </w:r>
    </w:p>
    <w:p w14:paraId="3DC6037A" w14:textId="77777777" w:rsidR="00971CBE" w:rsidRPr="000F55C6" w:rsidRDefault="00971CBE">
      <w:pPr>
        <w:spacing w:line="360" w:lineRule="auto"/>
        <w:jc w:val="both"/>
      </w:pPr>
    </w:p>
    <w:p w14:paraId="70804299" w14:textId="77777777" w:rsidR="00A77B3E" w:rsidRPr="00005BA0" w:rsidRDefault="00E3223D">
      <w:pPr>
        <w:spacing w:line="360" w:lineRule="auto"/>
        <w:jc w:val="both"/>
        <w:rPr>
          <w:rFonts w:ascii="Book Antiqua" w:eastAsia="Book Antiqua" w:hAnsi="Book Antiqua" w:cs="Book Antiqua"/>
          <w:b/>
          <w:i/>
          <w:color w:val="000000"/>
          <w:szCs w:val="26"/>
        </w:rPr>
      </w:pPr>
      <w:r w:rsidRPr="00005BA0">
        <w:rPr>
          <w:rFonts w:ascii="Book Antiqua" w:eastAsia="Book Antiqua" w:hAnsi="Book Antiqua" w:cs="Book Antiqua"/>
          <w:b/>
          <w:i/>
          <w:color w:val="000000"/>
          <w:szCs w:val="26"/>
        </w:rPr>
        <w:t>First-line and second-line treatments</w:t>
      </w:r>
    </w:p>
    <w:p w14:paraId="0387DB46" w14:textId="77777777" w:rsidR="00A77B3E" w:rsidRPr="000F55C6" w:rsidRDefault="00E3223D" w:rsidP="00005BA0">
      <w:pPr>
        <w:spacing w:line="360" w:lineRule="auto"/>
        <w:jc w:val="both"/>
      </w:pPr>
      <w:r w:rsidRPr="000F55C6">
        <w:rPr>
          <w:rFonts w:ascii="Book Antiqua" w:eastAsia="Book Antiqua" w:hAnsi="Book Antiqua" w:cs="Book Antiqua"/>
          <w:color w:val="000000"/>
          <w:szCs w:val="22"/>
        </w:rPr>
        <w:t>The most frequently used first- and second-line therapies for advanced SBNET were SSAs (88.9%) and PRRT (70.4%), respectively (</w:t>
      </w:r>
      <w:r w:rsidRPr="000F55C6">
        <w:rPr>
          <w:rFonts w:ascii="Book Antiqua" w:eastAsia="Book Antiqua" w:hAnsi="Book Antiqua" w:cs="Book Antiqua"/>
          <w:bCs/>
          <w:color w:val="000000"/>
          <w:szCs w:val="22"/>
        </w:rPr>
        <w:t>Figure 1</w:t>
      </w:r>
      <w:r w:rsidRPr="000F55C6">
        <w:rPr>
          <w:rFonts w:ascii="Book Antiqua" w:eastAsia="Book Antiqua" w:hAnsi="Book Antiqua" w:cs="Book Antiqua"/>
          <w:color w:val="000000"/>
          <w:szCs w:val="22"/>
        </w:rPr>
        <w:t>). Rationale for such choice was based on clinical trial evidence in 96.3% and 74.1% of responses, respectively. A proportion of responders selected alternative second-line options after SSA, such as high-dose SSA (3/24; 12.5%) or everolimus (2/24; 8.3%) (</w:t>
      </w:r>
      <w:r w:rsidRPr="000F55C6">
        <w:rPr>
          <w:rFonts w:ascii="Book Antiqua" w:eastAsia="Book Antiqua" w:hAnsi="Book Antiqua" w:cs="Book Antiqua"/>
          <w:bCs/>
          <w:color w:val="000000"/>
          <w:szCs w:val="22"/>
        </w:rPr>
        <w:t>Figure 1</w:t>
      </w:r>
      <w:r w:rsidRPr="000F55C6">
        <w:rPr>
          <w:rFonts w:ascii="Book Antiqua" w:eastAsia="Book Antiqua" w:hAnsi="Book Antiqua" w:cs="Book Antiqua"/>
          <w:color w:val="000000"/>
          <w:szCs w:val="22"/>
        </w:rPr>
        <w:t>).</w:t>
      </w:r>
    </w:p>
    <w:p w14:paraId="0DF3D14B" w14:textId="77777777" w:rsidR="00A77B3E" w:rsidRDefault="00E3223D" w:rsidP="00BB2EDC">
      <w:pPr>
        <w:spacing w:line="360" w:lineRule="auto"/>
        <w:ind w:firstLineChars="100" w:firstLine="240"/>
        <w:jc w:val="both"/>
      </w:pPr>
      <w:r w:rsidRPr="000F55C6">
        <w:rPr>
          <w:rFonts w:ascii="Book Antiqua" w:eastAsia="Book Antiqua" w:hAnsi="Book Antiqua" w:cs="Book Antiqua"/>
          <w:color w:val="000000"/>
          <w:szCs w:val="22"/>
        </w:rPr>
        <w:t>The likelihood of using SSAs for all SBNET patients (regardless of baseline characteristics) in the first-line setting had a weighted average of 3.48 (out of a maximum on 4) (</w:t>
      </w:r>
      <w:r w:rsidR="00BB2EDC">
        <w:rPr>
          <w:rFonts w:ascii="Book Antiqua" w:eastAsia="Book Antiqua" w:hAnsi="Book Antiqua" w:cs="Book Antiqua"/>
          <w:bCs/>
          <w:color w:val="000000"/>
          <w:szCs w:val="22"/>
        </w:rPr>
        <w:t>Figure 2</w:t>
      </w:r>
      <w:r w:rsidRPr="000F55C6">
        <w:rPr>
          <w:rFonts w:ascii="Book Antiqua" w:eastAsia="Book Antiqua" w:hAnsi="Book Antiqua" w:cs="Book Antiqua"/>
          <w:bCs/>
          <w:color w:val="000000"/>
          <w:szCs w:val="22"/>
        </w:rPr>
        <w:t>A; full deta</w:t>
      </w:r>
      <w:r w:rsidR="00BB2EDC">
        <w:rPr>
          <w:rFonts w:ascii="Book Antiqua" w:eastAsia="Book Antiqua" w:hAnsi="Book Antiqua" w:cs="Book Antiqua"/>
          <w:bCs/>
          <w:color w:val="000000"/>
          <w:szCs w:val="22"/>
        </w:rPr>
        <w:t xml:space="preserve">ils in </w:t>
      </w:r>
      <w:r w:rsidR="00BB2EDC">
        <w:rPr>
          <w:rFonts w:ascii="Book Antiqua" w:hAnsi="Book Antiqua" w:cs="Book Antiqua" w:hint="eastAsia"/>
          <w:bCs/>
          <w:color w:val="000000"/>
          <w:szCs w:val="22"/>
          <w:lang w:eastAsia="zh-CN"/>
        </w:rPr>
        <w:t>S</w:t>
      </w:r>
      <w:r w:rsidR="00BB2EDC">
        <w:rPr>
          <w:rFonts w:ascii="Book Antiqua" w:eastAsia="Book Antiqua" w:hAnsi="Book Antiqua" w:cs="Book Antiqua"/>
          <w:bCs/>
          <w:color w:val="000000"/>
          <w:szCs w:val="22"/>
        </w:rPr>
        <w:t xml:space="preserve">upplementary </w:t>
      </w:r>
      <w:r w:rsidR="00BB2EDC">
        <w:rPr>
          <w:rFonts w:ascii="Book Antiqua" w:hAnsi="Book Antiqua" w:cs="Book Antiqua" w:hint="eastAsia"/>
          <w:bCs/>
          <w:color w:val="000000"/>
          <w:szCs w:val="22"/>
          <w:lang w:eastAsia="zh-CN"/>
        </w:rPr>
        <w:t>Figure</w:t>
      </w:r>
      <w:r w:rsidR="00BB2EDC">
        <w:rPr>
          <w:rFonts w:ascii="Book Antiqua" w:eastAsia="Book Antiqua" w:hAnsi="Book Antiqua" w:cs="Book Antiqua"/>
          <w:bCs/>
          <w:color w:val="000000"/>
          <w:szCs w:val="22"/>
        </w:rPr>
        <w:t xml:space="preserve"> 1</w:t>
      </w:r>
      <w:r w:rsidRPr="000F55C6">
        <w:rPr>
          <w:rFonts w:ascii="Book Antiqua" w:eastAsia="Book Antiqua" w:hAnsi="Book Antiqua" w:cs="Book Antiqua"/>
          <w:bCs/>
          <w:color w:val="000000"/>
          <w:szCs w:val="22"/>
        </w:rPr>
        <w:t>A</w:t>
      </w:r>
      <w:r w:rsidRPr="000F55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patients who were most likely to receive SSA in the first-line setting were those with functioning tumours (CS) (weighted average 3.93/4) and/or Ki-67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(weighted average 3.85/4), among others. Patients with rapid progression (&lt;6 mo) (weighted average 2.33/4), negative SSTR imaging (weighted average 2.19/4) and/or Ki-67 10</w:t>
      </w:r>
      <w:r w:rsidR="00BB2EDC">
        <w:rPr>
          <w:rFonts w:ascii="Book Antiqua" w:hAnsi="Book Antiqua" w:cs="Book Antiqua" w:hint="eastAsia"/>
          <w:color w:val="000000"/>
          <w:szCs w:val="22"/>
          <w:lang w:eastAsia="zh-CN"/>
        </w:rPr>
        <w:t>%</w:t>
      </w:r>
      <w:r>
        <w:rPr>
          <w:rFonts w:ascii="Book Antiqua" w:eastAsia="Book Antiqua" w:hAnsi="Book Antiqua" w:cs="Book Antiqua"/>
          <w:color w:val="000000"/>
          <w:szCs w:val="22"/>
        </w:rPr>
        <w:t>-20% (weighted average 2.85/4) were the least likely to receive this treatment.</w:t>
      </w:r>
    </w:p>
    <w:p w14:paraId="5DB0DAF3" w14:textId="77777777" w:rsidR="00A77B3E" w:rsidRPr="0074771C" w:rsidRDefault="00E3223D" w:rsidP="0074771C">
      <w:pPr>
        <w:spacing w:line="360" w:lineRule="auto"/>
        <w:ind w:firstLineChars="100" w:firstLine="240"/>
        <w:jc w:val="both"/>
      </w:pPr>
      <w:r>
        <w:rPr>
          <w:rFonts w:ascii="Book Antiqua" w:eastAsia="Book Antiqua" w:hAnsi="Book Antiqua" w:cs="Book Antiqua"/>
          <w:color w:val="000000"/>
          <w:szCs w:val="22"/>
        </w:rPr>
        <w:t xml:space="preserve">In terms of the use of PRRT in the second-line setting, the patients who were most likely to receive PRRT </w:t>
      </w:r>
      <w:r w:rsidRPr="0074771C">
        <w:rPr>
          <w:rFonts w:ascii="Book Antiqua" w:eastAsia="Book Antiqua" w:hAnsi="Book Antiqua" w:cs="Book Antiqua"/>
          <w:color w:val="000000"/>
          <w:szCs w:val="22"/>
        </w:rPr>
        <w:t>(</w:t>
      </w:r>
      <w:r w:rsidR="002D3354">
        <w:rPr>
          <w:rFonts w:ascii="Book Antiqua" w:eastAsia="Book Antiqua" w:hAnsi="Book Antiqua" w:cs="Book Antiqua"/>
          <w:bCs/>
          <w:color w:val="000000"/>
          <w:szCs w:val="22"/>
        </w:rPr>
        <w:t>Figure 2</w:t>
      </w:r>
      <w:r w:rsidRPr="0074771C">
        <w:rPr>
          <w:rFonts w:ascii="Book Antiqua" w:eastAsia="Book Antiqua" w:hAnsi="Book Antiqua" w:cs="Book Antiqua"/>
          <w:bCs/>
          <w:color w:val="000000"/>
          <w:szCs w:val="22"/>
        </w:rPr>
        <w:t>B; full details i</w:t>
      </w:r>
      <w:r w:rsidR="002D3354">
        <w:rPr>
          <w:rFonts w:ascii="Book Antiqua" w:eastAsia="Book Antiqua" w:hAnsi="Book Antiqua" w:cs="Book Antiqua"/>
          <w:bCs/>
          <w:color w:val="000000"/>
          <w:szCs w:val="22"/>
        </w:rPr>
        <w:t xml:space="preserve">n </w:t>
      </w:r>
      <w:r w:rsidR="002D3354">
        <w:rPr>
          <w:rFonts w:ascii="Book Antiqua" w:hAnsi="Book Antiqua" w:cs="Book Antiqua" w:hint="eastAsia"/>
          <w:bCs/>
          <w:color w:val="000000"/>
          <w:szCs w:val="22"/>
          <w:lang w:eastAsia="zh-CN"/>
        </w:rPr>
        <w:t>S</w:t>
      </w:r>
      <w:r w:rsidRPr="0074771C">
        <w:rPr>
          <w:rFonts w:ascii="Book Antiqua" w:eastAsia="Book Antiqua" w:hAnsi="Book Antiqua" w:cs="Book Antiqua"/>
          <w:bCs/>
          <w:color w:val="000000"/>
          <w:szCs w:val="22"/>
        </w:rPr>
        <w:t xml:space="preserve">upplementary </w:t>
      </w:r>
      <w:r w:rsidR="002D3354">
        <w:rPr>
          <w:rFonts w:ascii="Book Antiqua" w:hAnsi="Book Antiqua" w:cs="Book Antiqua" w:hint="eastAsia"/>
          <w:bCs/>
          <w:color w:val="000000"/>
          <w:szCs w:val="22"/>
          <w:lang w:eastAsia="zh-CN"/>
        </w:rPr>
        <w:t>Figure</w:t>
      </w:r>
      <w:r w:rsidR="002D3354">
        <w:rPr>
          <w:rFonts w:ascii="Book Antiqua" w:eastAsia="Book Antiqua" w:hAnsi="Book Antiqua" w:cs="Book Antiqua"/>
          <w:bCs/>
          <w:color w:val="000000"/>
          <w:szCs w:val="22"/>
        </w:rPr>
        <w:t xml:space="preserve"> 1</w:t>
      </w:r>
      <w:r w:rsidRPr="0074771C">
        <w:rPr>
          <w:rFonts w:ascii="Book Antiqua" w:eastAsia="Book Antiqua" w:hAnsi="Book Antiqua" w:cs="Book Antiqua"/>
          <w:bCs/>
          <w:color w:val="000000"/>
          <w:szCs w:val="22"/>
        </w:rPr>
        <w:t>B</w:t>
      </w:r>
      <w:r w:rsidRPr="0074771C">
        <w:rPr>
          <w:rFonts w:ascii="Book Antiqua" w:eastAsia="Book Antiqua" w:hAnsi="Book Antiqua" w:cs="Book Antiqua"/>
          <w:color w:val="000000"/>
          <w:szCs w:val="22"/>
        </w:rPr>
        <w:t>) were those with positive SSTR imaging (weighted average 3.81/4) and slow progression (&gt;</w:t>
      </w:r>
      <w:r w:rsidR="007340D7">
        <w:rPr>
          <w:rFonts w:ascii="Book Antiqua" w:hAnsi="Book Antiqua" w:cs="Book Antiqua" w:hint="eastAsia"/>
          <w:color w:val="000000"/>
          <w:szCs w:val="22"/>
          <w:lang w:eastAsia="zh-CN"/>
        </w:rPr>
        <w:t xml:space="preserve"> </w:t>
      </w:r>
      <w:r w:rsidRPr="0074771C">
        <w:rPr>
          <w:rFonts w:ascii="Book Antiqua" w:eastAsia="Book Antiqua" w:hAnsi="Book Antiqua" w:cs="Book Antiqua"/>
          <w:color w:val="000000"/>
          <w:szCs w:val="22"/>
        </w:rPr>
        <w:t>1 year) (weighted average 3.62/4), among others. Patients with negative (weighted average 1.12/4) or heterogenous (weighted average 2.19/4) SSTR imaging were the least likely to be offered this treatment, followed by patients with low tumour burden (weighted average 3.04/4) and rapid progression (&lt;</w:t>
      </w:r>
      <w:r w:rsidR="007340D7">
        <w:rPr>
          <w:rFonts w:ascii="Book Antiqua" w:hAnsi="Book Antiqua" w:cs="Book Antiqua" w:hint="eastAsia"/>
          <w:color w:val="000000"/>
          <w:szCs w:val="22"/>
          <w:lang w:eastAsia="zh-CN"/>
        </w:rPr>
        <w:t xml:space="preserve"> </w:t>
      </w:r>
      <w:r w:rsidR="00971CBE">
        <w:rPr>
          <w:rFonts w:ascii="Book Antiqua" w:eastAsia="Book Antiqua" w:hAnsi="Book Antiqua" w:cs="Book Antiqua"/>
          <w:color w:val="000000"/>
          <w:szCs w:val="22"/>
        </w:rPr>
        <w:t>6</w:t>
      </w:r>
      <w:r w:rsidRPr="0074771C">
        <w:rPr>
          <w:rFonts w:ascii="Book Antiqua" w:eastAsia="Book Antiqua" w:hAnsi="Book Antiqua" w:cs="Book Antiqua"/>
          <w:color w:val="000000"/>
          <w:szCs w:val="22"/>
        </w:rPr>
        <w:t xml:space="preserve"> mo) (weighted average 3.00/4).</w:t>
      </w:r>
    </w:p>
    <w:p w14:paraId="64CC78A9" w14:textId="77777777" w:rsidR="00A77B3E" w:rsidRDefault="00E3223D" w:rsidP="002D3354">
      <w:pPr>
        <w:spacing w:line="360" w:lineRule="auto"/>
        <w:ind w:firstLineChars="100" w:firstLine="240"/>
        <w:jc w:val="both"/>
      </w:pPr>
      <w:r w:rsidRPr="0074771C">
        <w:rPr>
          <w:rFonts w:ascii="Book Antiqua" w:eastAsia="Book Antiqua" w:hAnsi="Book Antiqua" w:cs="Book Antiqua"/>
          <w:color w:val="000000"/>
          <w:szCs w:val="22"/>
        </w:rPr>
        <w:t>Regarding the use of PRRT, most considered this only after clinical or radiological progression on SSA (76.9%); however, there was no consensus regarding the use of concomitant SSA during/after PRRT (</w:t>
      </w:r>
      <w:r w:rsidRPr="0074771C">
        <w:rPr>
          <w:rFonts w:ascii="Book Antiqua" w:eastAsia="Book Antiqua" w:hAnsi="Book Antiqua" w:cs="Book Antiqua"/>
          <w:bCs/>
          <w:color w:val="000000"/>
          <w:szCs w:val="22"/>
        </w:rPr>
        <w:t>Figure 3</w:t>
      </w:r>
      <w:r w:rsidRPr="0074771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38.5% always used SSA during/after PRRT (regardless presence/absence of CS), 26.9% used SSA during PRRT and maintain after PRRT only if evidence of CS and 30.8% used SSA during/after PRRT only in the presence of CS. One respondent (3.9%) specified that SSA was given during PRRT and individualised decision thereafter (details of factors involved not provided).</w:t>
      </w:r>
    </w:p>
    <w:p w14:paraId="133DEA2D" w14:textId="77777777" w:rsidR="001E4C08" w:rsidRDefault="001E4C08">
      <w:pPr>
        <w:spacing w:line="360" w:lineRule="auto"/>
        <w:jc w:val="both"/>
        <w:rPr>
          <w:rFonts w:ascii="Book Antiqua" w:hAnsi="Book Antiqua" w:cs="Book Antiqua"/>
          <w:b/>
          <w:i/>
          <w:color w:val="000000"/>
          <w:szCs w:val="26"/>
          <w:lang w:eastAsia="zh-CN"/>
        </w:rPr>
      </w:pPr>
    </w:p>
    <w:p w14:paraId="494D80B6" w14:textId="77777777" w:rsidR="00A77B3E" w:rsidRPr="001E4C08" w:rsidRDefault="00E3223D">
      <w:pPr>
        <w:spacing w:line="360" w:lineRule="auto"/>
        <w:jc w:val="both"/>
        <w:rPr>
          <w:b/>
          <w:i/>
        </w:rPr>
      </w:pPr>
      <w:r w:rsidRPr="001E4C08">
        <w:rPr>
          <w:rFonts w:ascii="Book Antiqua" w:eastAsia="Book Antiqua" w:hAnsi="Book Antiqua" w:cs="Book Antiqua"/>
          <w:b/>
          <w:i/>
          <w:color w:val="000000"/>
          <w:szCs w:val="26"/>
        </w:rPr>
        <w:t>Third-line treatment</w:t>
      </w:r>
    </w:p>
    <w:p w14:paraId="3D4FA115" w14:textId="77777777" w:rsidR="00A77B3E" w:rsidRPr="000242E9" w:rsidRDefault="00E3223D">
      <w:pPr>
        <w:spacing w:line="360" w:lineRule="auto"/>
        <w:jc w:val="both"/>
      </w:pPr>
      <w:r>
        <w:rPr>
          <w:rFonts w:ascii="Book Antiqua" w:eastAsia="Book Antiqua" w:hAnsi="Book Antiqua" w:cs="Book Antiqua"/>
          <w:color w:val="000000"/>
          <w:szCs w:val="22"/>
        </w:rPr>
        <w:t xml:space="preserve">Third-line treatment choice was as follows: everolimus (66.7%), PRRT (18.5%), liver embolization (7.4%) and interferon-alpha (3.7%) </w:t>
      </w:r>
      <w:r w:rsidRPr="000242E9">
        <w:rPr>
          <w:rFonts w:ascii="Book Antiqua" w:eastAsia="Book Antiqua" w:hAnsi="Book Antiqua" w:cs="Book Antiqua"/>
          <w:color w:val="000000"/>
          <w:szCs w:val="22"/>
        </w:rPr>
        <w:t>(</w:t>
      </w:r>
      <w:r w:rsidRPr="000242E9">
        <w:rPr>
          <w:rFonts w:ascii="Book Antiqua" w:eastAsia="Book Antiqua" w:hAnsi="Book Antiqua" w:cs="Book Antiqua"/>
          <w:bCs/>
          <w:color w:val="000000"/>
          <w:szCs w:val="22"/>
        </w:rPr>
        <w:t>Figure 1</w:t>
      </w:r>
      <w:r w:rsidRPr="000242E9">
        <w:rPr>
          <w:rFonts w:ascii="Book Antiqua" w:eastAsia="Book Antiqua" w:hAnsi="Book Antiqua" w:cs="Book Antiqua"/>
          <w:color w:val="000000"/>
          <w:szCs w:val="22"/>
        </w:rPr>
        <w:t>); none of the responders selected chemotherapy as their preferred third-line therapy (0%). These replies were mainly based on clinical trial evidence (59.3%) and personal experience (22.2%). All five responders who selected PRRT as a third-line treatment did so following second-line treatment with high-dose SSA (2 responders), everolimus (2 responders) or liver embolization (1 responder); none of the responders considered rechallenge with PRRT</w:t>
      </w:r>
      <w:r w:rsidR="00971CBE">
        <w:rPr>
          <w:rFonts w:ascii="Book Antiqua" w:eastAsia="Book Antiqua" w:hAnsi="Book Antiqua" w:cs="Book Antiqua"/>
          <w:color w:val="000000"/>
          <w:szCs w:val="22"/>
        </w:rPr>
        <w:t xml:space="preserve"> as a predominant strategy</w:t>
      </w:r>
      <w:r w:rsidRPr="000242E9">
        <w:rPr>
          <w:rFonts w:ascii="Book Antiqua" w:eastAsia="Book Antiqua" w:hAnsi="Book Antiqua" w:cs="Book Antiqua"/>
          <w:color w:val="000000"/>
          <w:szCs w:val="22"/>
        </w:rPr>
        <w:t>.</w:t>
      </w:r>
    </w:p>
    <w:p w14:paraId="32E369BD" w14:textId="77777777" w:rsidR="00A77B3E" w:rsidRPr="000242E9" w:rsidRDefault="00E3223D">
      <w:pPr>
        <w:spacing w:line="360" w:lineRule="auto"/>
        <w:jc w:val="both"/>
      </w:pPr>
      <w:r w:rsidRPr="000242E9">
        <w:rPr>
          <w:rFonts w:ascii="Book Antiqua" w:eastAsia="Book Antiqua" w:hAnsi="Book Antiqua" w:cs="Book Antiqua"/>
          <w:color w:val="000000"/>
          <w:szCs w:val="22"/>
        </w:rPr>
        <w:t>Half of the responders (51.9%) would consider a trial at any point during patient’s pathway; 11.1%</w:t>
      </w:r>
      <w:r w:rsidR="00971CBE">
        <w:rPr>
          <w:rFonts w:ascii="Book Antiqua" w:eastAsia="Book Antiqua" w:hAnsi="Book Antiqua" w:cs="Book Antiqua"/>
          <w:color w:val="000000"/>
          <w:szCs w:val="22"/>
        </w:rPr>
        <w:t>,</w:t>
      </w:r>
      <w:r w:rsidRPr="000242E9">
        <w:rPr>
          <w:rFonts w:ascii="Book Antiqua" w:eastAsia="Book Antiqua" w:hAnsi="Book Antiqua" w:cs="Book Antiqua"/>
          <w:color w:val="000000"/>
          <w:szCs w:val="22"/>
        </w:rPr>
        <w:t xml:space="preserve"> 11.1%, 14.8% and 11.1% would do so in the first-, second-, third- and beyond third-line setting, respectively.</w:t>
      </w:r>
    </w:p>
    <w:p w14:paraId="595C3999" w14:textId="77777777" w:rsidR="00DB2863" w:rsidRDefault="00DB2863">
      <w:pPr>
        <w:spacing w:line="360" w:lineRule="auto"/>
        <w:jc w:val="both"/>
        <w:rPr>
          <w:rFonts w:ascii="Book Antiqua" w:hAnsi="Book Antiqua" w:cs="Book Antiqua"/>
          <w:b/>
          <w:i/>
          <w:color w:val="000000"/>
          <w:szCs w:val="26"/>
          <w:lang w:eastAsia="zh-CN"/>
        </w:rPr>
      </w:pPr>
    </w:p>
    <w:p w14:paraId="421A766D" w14:textId="77777777" w:rsidR="00A77B3E" w:rsidRPr="00DB2863" w:rsidRDefault="00E3223D">
      <w:pPr>
        <w:spacing w:line="360" w:lineRule="auto"/>
        <w:jc w:val="both"/>
        <w:rPr>
          <w:b/>
          <w:i/>
        </w:rPr>
      </w:pPr>
      <w:r w:rsidRPr="00DB2863">
        <w:rPr>
          <w:rFonts w:ascii="Book Antiqua" w:eastAsia="Book Antiqua" w:hAnsi="Book Antiqua" w:cs="Book Antiqua"/>
          <w:b/>
          <w:i/>
          <w:color w:val="000000"/>
          <w:szCs w:val="26"/>
        </w:rPr>
        <w:t>Factors associated with third-line treatment choices</w:t>
      </w:r>
    </w:p>
    <w:p w14:paraId="0C3E1741" w14:textId="77777777" w:rsidR="00A77B3E" w:rsidRPr="0019539C" w:rsidRDefault="00E3223D">
      <w:pPr>
        <w:spacing w:line="360" w:lineRule="auto"/>
        <w:jc w:val="both"/>
      </w:pPr>
      <w:r w:rsidRPr="000242E9">
        <w:rPr>
          <w:rFonts w:ascii="Book Antiqua" w:eastAsia="Book Antiqua" w:hAnsi="Book Antiqua" w:cs="Book Antiqua"/>
          <w:color w:val="000000"/>
          <w:szCs w:val="22"/>
        </w:rPr>
        <w:t>Everolimus was mainly used in the third-line setting (weighted average 3.23/4) or after progression to all other available treatment options (weighted average 3.15/4). The patients who were most likely to receive everolimus (</w:t>
      </w:r>
      <w:r w:rsidR="0019539C">
        <w:rPr>
          <w:rFonts w:ascii="Book Antiqua" w:eastAsia="Book Antiqua" w:hAnsi="Book Antiqua" w:cs="Book Antiqua"/>
          <w:bCs/>
          <w:color w:val="000000"/>
          <w:szCs w:val="22"/>
        </w:rPr>
        <w:t>Figure 2</w:t>
      </w:r>
      <w:r w:rsidRPr="000242E9">
        <w:rPr>
          <w:rFonts w:ascii="Book Antiqua" w:eastAsia="Book Antiqua" w:hAnsi="Book Antiqua" w:cs="Book Antiqua"/>
          <w:bCs/>
          <w:color w:val="000000"/>
          <w:szCs w:val="22"/>
        </w:rPr>
        <w:t xml:space="preserve">C; full details in </w:t>
      </w:r>
      <w:bookmarkStart w:id="125" w:name="OLE_LINK42"/>
      <w:bookmarkStart w:id="126" w:name="OLE_LINK43"/>
      <w:r w:rsidR="0019539C">
        <w:rPr>
          <w:rFonts w:ascii="Book Antiqua" w:hAnsi="Book Antiqua" w:cs="Book Antiqua" w:hint="eastAsia"/>
          <w:bCs/>
          <w:color w:val="000000"/>
          <w:szCs w:val="22"/>
          <w:lang w:eastAsia="zh-CN"/>
        </w:rPr>
        <w:t>S</w:t>
      </w:r>
      <w:r w:rsidRPr="000242E9">
        <w:rPr>
          <w:rFonts w:ascii="Book Antiqua" w:eastAsia="Book Antiqua" w:hAnsi="Book Antiqua" w:cs="Book Antiqua"/>
          <w:bCs/>
          <w:color w:val="000000"/>
          <w:szCs w:val="22"/>
        </w:rPr>
        <w:t xml:space="preserve">upplementary </w:t>
      </w:r>
      <w:r w:rsidR="0019539C">
        <w:rPr>
          <w:rFonts w:ascii="Book Antiqua" w:hAnsi="Book Antiqua" w:cs="Book Antiqua" w:hint="eastAsia"/>
          <w:bCs/>
          <w:color w:val="000000"/>
          <w:szCs w:val="22"/>
          <w:lang w:eastAsia="zh-CN"/>
        </w:rPr>
        <w:t>Figure</w:t>
      </w:r>
      <w:bookmarkEnd w:id="125"/>
      <w:bookmarkEnd w:id="126"/>
      <w:r w:rsidR="0019539C">
        <w:rPr>
          <w:rFonts w:ascii="Book Antiqua" w:eastAsia="Book Antiqua" w:hAnsi="Book Antiqua" w:cs="Book Antiqua"/>
          <w:bCs/>
          <w:color w:val="000000"/>
          <w:szCs w:val="22"/>
        </w:rPr>
        <w:t xml:space="preserve"> 1</w:t>
      </w:r>
      <w:r w:rsidRPr="000242E9">
        <w:rPr>
          <w:rFonts w:ascii="Book Antiqua" w:eastAsia="Book Antiqua" w:hAnsi="Book Antiqua" w:cs="Book Antiqua"/>
          <w:bCs/>
          <w:color w:val="000000"/>
          <w:szCs w:val="22"/>
        </w:rPr>
        <w:t>C</w:t>
      </w:r>
      <w:r w:rsidRPr="000242E9">
        <w:rPr>
          <w:rFonts w:ascii="Book Antiqua" w:eastAsia="Book Antiqua" w:hAnsi="Book Antiqua" w:cs="Book Antiqua"/>
          <w:color w:val="000000"/>
        </w:rPr>
        <w:t>) were those with Ki-67 &lt;</w:t>
      </w:r>
      <w:r w:rsidR="007340D7">
        <w:rPr>
          <w:rFonts w:ascii="Book Antiqua" w:hAnsi="Book Antiqua" w:cs="Book Antiqua" w:hint="eastAsia"/>
          <w:color w:val="000000"/>
          <w:lang w:eastAsia="zh-CN"/>
        </w:rPr>
        <w:t xml:space="preserve"> </w:t>
      </w:r>
      <w:r w:rsidRPr="000242E9">
        <w:rPr>
          <w:rFonts w:ascii="Book Antiqua" w:eastAsia="Book Antiqua" w:hAnsi="Book Antiqua" w:cs="Book Antiqua"/>
          <w:color w:val="000000"/>
        </w:rPr>
        <w:t>10% (weighted average 3.27/4) and/or age &lt;</w:t>
      </w:r>
      <w:r w:rsidR="007340D7">
        <w:rPr>
          <w:rFonts w:ascii="Book Antiqua" w:hAnsi="Book Antiqua" w:cs="Book Antiqua" w:hint="eastAsia"/>
          <w:color w:val="000000"/>
          <w:lang w:eastAsia="zh-CN"/>
        </w:rPr>
        <w:t xml:space="preserve"> </w:t>
      </w:r>
      <w:r w:rsidRPr="000242E9">
        <w:rPr>
          <w:rFonts w:ascii="Book Antiqua" w:eastAsia="Book Antiqua" w:hAnsi="Book Antiqua" w:cs="Book Antiqua"/>
          <w:color w:val="000000"/>
        </w:rPr>
        <w:t>70 years (weighted average 3</w:t>
      </w:r>
      <w:r>
        <w:rPr>
          <w:rFonts w:ascii="Book Antiqua" w:eastAsia="Book Antiqua" w:hAnsi="Book Antiqua" w:cs="Book Antiqua"/>
          <w:color w:val="000000"/>
        </w:rPr>
        <w:t>.23/4), within others. Choice of everolimus did not seem to vary depending on presence (weighted average 2.81/4) or absence (weighted average 3.19/4) of CS, rate of progressi</w:t>
      </w:r>
      <w:r w:rsidR="0019539C">
        <w:rPr>
          <w:rFonts w:ascii="Book Antiqua" w:eastAsia="Book Antiqua" w:hAnsi="Book Antiqua" w:cs="Book Antiqua"/>
          <w:color w:val="000000"/>
        </w:rPr>
        <w:t xml:space="preserve">on, extent of disease or Ki-67 </w:t>
      </w:r>
      <w:r w:rsidR="0019539C">
        <w:rPr>
          <w:rFonts w:ascii="Book Antiqua" w:hAnsi="Book Antiqua" w:cs="Book Antiqua" w:hint="eastAsia"/>
          <w:color w:val="000000"/>
          <w:lang w:eastAsia="zh-CN"/>
        </w:rPr>
        <w:t>(</w:t>
      </w:r>
      <w:r>
        <w:rPr>
          <w:rFonts w:ascii="Book Antiqua" w:eastAsia="Book Antiqua" w:hAnsi="Book Antiqua" w:cs="Book Antiqua"/>
          <w:color w:val="000000"/>
        </w:rPr>
        <w:t>weighted average 3.27/4 if Ki-67 &lt;</w:t>
      </w:r>
      <w:r w:rsidR="00734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weighted average 3.15/4 if Ki67 10</w:t>
      </w:r>
      <w:r w:rsidR="0019539C">
        <w:rPr>
          <w:rFonts w:ascii="Book Antiqua" w:hAnsi="Book Antiqua" w:cs="Book Antiqua" w:hint="eastAsia"/>
          <w:color w:val="000000"/>
          <w:szCs w:val="22"/>
          <w:lang w:eastAsia="zh-CN"/>
        </w:rPr>
        <w:t>%</w:t>
      </w:r>
      <w:r w:rsidR="0019539C">
        <w:rPr>
          <w:rFonts w:ascii="Book Antiqua" w:eastAsia="Book Antiqua" w:hAnsi="Book Antiqua" w:cs="Book Antiqua"/>
          <w:color w:val="000000"/>
          <w:szCs w:val="22"/>
        </w:rPr>
        <w:t>-20%</w:t>
      </w:r>
      <w:r w:rsidR="0019539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full details </w:t>
      </w:r>
      <w:r w:rsidR="0019539C">
        <w:rPr>
          <w:rFonts w:ascii="Book Antiqua" w:eastAsia="Book Antiqua" w:hAnsi="Book Antiqua" w:cs="Book Antiqua"/>
          <w:bCs/>
          <w:color w:val="000000"/>
          <w:szCs w:val="22"/>
        </w:rPr>
        <w:t>Figure 2</w:t>
      </w:r>
      <w:r w:rsidRPr="0019539C">
        <w:rPr>
          <w:rFonts w:ascii="Book Antiqua" w:eastAsia="Book Antiqua" w:hAnsi="Book Antiqua" w:cs="Book Antiqua"/>
          <w:bCs/>
          <w:color w:val="000000"/>
          <w:szCs w:val="22"/>
        </w:rPr>
        <w:t xml:space="preserve">C; full details in </w:t>
      </w:r>
      <w:r w:rsidR="0019539C">
        <w:rPr>
          <w:rFonts w:ascii="Book Antiqua" w:hAnsi="Book Antiqua" w:cs="Book Antiqua"/>
          <w:bCs/>
          <w:color w:val="000000"/>
          <w:szCs w:val="22"/>
          <w:lang w:eastAsia="zh-CN"/>
        </w:rPr>
        <w:t>S</w:t>
      </w:r>
      <w:r w:rsidR="0019539C">
        <w:rPr>
          <w:rFonts w:ascii="Book Antiqua" w:eastAsia="Book Antiqua" w:hAnsi="Book Antiqua" w:cs="Book Antiqua"/>
          <w:bCs/>
          <w:color w:val="000000"/>
          <w:szCs w:val="22"/>
        </w:rPr>
        <w:t xml:space="preserve">upplementary </w:t>
      </w:r>
      <w:r w:rsidR="0019539C">
        <w:rPr>
          <w:rFonts w:ascii="Book Antiqua" w:hAnsi="Book Antiqua" w:cs="Book Antiqua"/>
          <w:bCs/>
          <w:color w:val="000000"/>
          <w:szCs w:val="22"/>
          <w:lang w:eastAsia="zh-CN"/>
        </w:rPr>
        <w:t>Figure</w:t>
      </w:r>
      <w:r w:rsidR="0019539C">
        <w:rPr>
          <w:rFonts w:ascii="Book Antiqua" w:eastAsia="Book Antiqua" w:hAnsi="Book Antiqua" w:cs="Book Antiqua"/>
          <w:bCs/>
          <w:color w:val="000000"/>
          <w:szCs w:val="22"/>
        </w:rPr>
        <w:t xml:space="preserve"> 1</w:t>
      </w:r>
      <w:r w:rsidRPr="0019539C">
        <w:rPr>
          <w:rFonts w:ascii="Book Antiqua" w:eastAsia="Book Antiqua" w:hAnsi="Book Antiqua" w:cs="Book Antiqua"/>
          <w:bCs/>
          <w:color w:val="000000"/>
          <w:szCs w:val="22"/>
        </w:rPr>
        <w:t>C</w:t>
      </w:r>
      <w:r w:rsidRPr="0019539C">
        <w:rPr>
          <w:rFonts w:ascii="Book Antiqua" w:eastAsia="Book Antiqua" w:hAnsi="Book Antiqua" w:cs="Book Antiqua"/>
          <w:color w:val="000000"/>
          <w:szCs w:val="22"/>
        </w:rPr>
        <w:t>.</w:t>
      </w:r>
    </w:p>
    <w:p w14:paraId="450EE26B" w14:textId="77777777" w:rsidR="00A77B3E" w:rsidRDefault="00E3223D" w:rsidP="0019539C">
      <w:pPr>
        <w:spacing w:line="360" w:lineRule="auto"/>
        <w:ind w:firstLineChars="100" w:firstLine="240"/>
        <w:jc w:val="both"/>
      </w:pPr>
      <w:r>
        <w:rPr>
          <w:rFonts w:ascii="Book Antiqua" w:eastAsia="Book Antiqua" w:hAnsi="Book Antiqua" w:cs="Book Antiqua"/>
          <w:color w:val="000000"/>
          <w:szCs w:val="22"/>
        </w:rPr>
        <w:t xml:space="preserve">None of the responders selected chemotherapy as the preferred main third-line treatment option. Despite these, factors associated with its use were explored. Similar to the scenario described with everolimus, chemotherapy was mainly used predominantly after progression on all other available treatment options (weighted average 3.31/4) </w:t>
      </w:r>
      <w:r w:rsidRPr="00A1183F">
        <w:rPr>
          <w:rFonts w:ascii="Book Antiqua" w:eastAsia="Book Antiqua" w:hAnsi="Book Antiqua" w:cs="Book Antiqua"/>
          <w:color w:val="000000"/>
          <w:szCs w:val="22"/>
        </w:rPr>
        <w:t>(</w:t>
      </w:r>
      <w:r w:rsidR="00A1183F">
        <w:rPr>
          <w:rFonts w:ascii="Book Antiqua" w:eastAsia="Book Antiqua" w:hAnsi="Book Antiqua" w:cs="Book Antiqua"/>
          <w:bCs/>
          <w:color w:val="000000"/>
          <w:szCs w:val="22"/>
        </w:rPr>
        <w:t>Figure 2</w:t>
      </w:r>
      <w:r w:rsidRPr="00A1183F">
        <w:rPr>
          <w:rFonts w:ascii="Book Antiqua" w:eastAsia="Book Antiqua" w:hAnsi="Book Antiqua" w:cs="Book Antiqua"/>
          <w:bCs/>
          <w:color w:val="000000"/>
          <w:szCs w:val="22"/>
        </w:rPr>
        <w:t xml:space="preserve">D; full details in </w:t>
      </w:r>
      <w:r w:rsidR="00A1183F">
        <w:rPr>
          <w:rFonts w:ascii="Book Antiqua" w:hAnsi="Book Antiqua" w:cs="Book Antiqua"/>
          <w:bCs/>
          <w:color w:val="000000"/>
          <w:szCs w:val="22"/>
          <w:lang w:eastAsia="zh-CN"/>
        </w:rPr>
        <w:t>S</w:t>
      </w:r>
      <w:r w:rsidR="00A1183F">
        <w:rPr>
          <w:rFonts w:ascii="Book Antiqua" w:eastAsia="Book Antiqua" w:hAnsi="Book Antiqua" w:cs="Book Antiqua"/>
          <w:bCs/>
          <w:color w:val="000000"/>
          <w:szCs w:val="22"/>
        </w:rPr>
        <w:t xml:space="preserve">upplementary </w:t>
      </w:r>
      <w:r w:rsidR="00A1183F">
        <w:rPr>
          <w:rFonts w:ascii="Book Antiqua" w:hAnsi="Book Antiqua" w:cs="Book Antiqua"/>
          <w:bCs/>
          <w:color w:val="000000"/>
          <w:szCs w:val="22"/>
          <w:lang w:eastAsia="zh-CN"/>
        </w:rPr>
        <w:t>Figure</w:t>
      </w:r>
      <w:r w:rsidR="00A1183F">
        <w:rPr>
          <w:rFonts w:ascii="Book Antiqua" w:eastAsia="Book Antiqua" w:hAnsi="Book Antiqua" w:cs="Book Antiqua"/>
          <w:bCs/>
          <w:color w:val="000000"/>
          <w:szCs w:val="22"/>
        </w:rPr>
        <w:t xml:space="preserve"> 1</w:t>
      </w:r>
      <w:r w:rsidRPr="00A1183F">
        <w:rPr>
          <w:rFonts w:ascii="Book Antiqua" w:eastAsia="Book Antiqua" w:hAnsi="Book Antiqua" w:cs="Book Antiqua"/>
          <w:bCs/>
          <w:color w:val="000000"/>
          <w:szCs w:val="22"/>
        </w:rPr>
        <w:t>D</w:t>
      </w:r>
      <w:r w:rsidRPr="00A1183F">
        <w:rPr>
          <w:rFonts w:ascii="Book Antiqua" w:eastAsia="Book Antiqua" w:hAnsi="Book Antiqua" w:cs="Book Antiqua"/>
          <w:color w:val="000000"/>
          <w:szCs w:val="22"/>
        </w:rPr>
        <w:t>). In addition, chemotherapy</w:t>
      </w:r>
      <w:r>
        <w:rPr>
          <w:rFonts w:ascii="Book Antiqua" w:eastAsia="Book Antiqua" w:hAnsi="Book Antiqua" w:cs="Book Antiqua"/>
          <w:color w:val="000000"/>
          <w:szCs w:val="22"/>
        </w:rPr>
        <w:t xml:space="preserve"> was mainly chosen for patients with rapid progression</w:t>
      </w:r>
      <w:r w:rsidR="00971CBE">
        <w:rPr>
          <w:rFonts w:ascii="Book Antiqua" w:eastAsia="Book Antiqua" w:hAnsi="Book Antiqua" w:cs="Book Antiqua"/>
          <w:color w:val="000000"/>
          <w:szCs w:val="22"/>
        </w:rPr>
        <w:t xml:space="preserve"> to prior treatment</w:t>
      </w:r>
      <w:r>
        <w:rPr>
          <w:rFonts w:ascii="Book Antiqua" w:eastAsia="Book Antiqua" w:hAnsi="Book Antiqua" w:cs="Book Antiqua"/>
          <w:color w:val="000000"/>
          <w:szCs w:val="22"/>
        </w:rPr>
        <w:t xml:space="preserve"> (within 6 mo) (weighted average 3.35/4), Ki-67 10</w:t>
      </w:r>
      <w:r w:rsidR="00A1183F">
        <w:rPr>
          <w:rFonts w:ascii="Book Antiqua" w:hAnsi="Book Antiqua" w:cs="Book Antiqua" w:hint="eastAsia"/>
          <w:color w:val="000000"/>
          <w:szCs w:val="22"/>
          <w:lang w:eastAsia="zh-CN"/>
        </w:rPr>
        <w:t>%</w:t>
      </w:r>
      <w:r>
        <w:rPr>
          <w:rFonts w:ascii="Book Antiqua" w:eastAsia="Book Antiqua" w:hAnsi="Book Antiqua" w:cs="Book Antiqua"/>
          <w:color w:val="000000"/>
          <w:szCs w:val="22"/>
        </w:rPr>
        <w:t>-20% (weighted average 2.77/4), negative SSTR (weighted average 2.65/4) and high tumour burden (weighted average 2.77/4). Combination of temozolomide or streptozocine with capecitabine or 5-fluorouracil</w:t>
      </w:r>
      <w:r w:rsidR="00971CBE">
        <w:rPr>
          <w:rFonts w:ascii="Book Antiqua" w:eastAsia="Book Antiqua" w:hAnsi="Book Antiqua" w:cs="Book Antiqua"/>
          <w:color w:val="000000"/>
          <w:szCs w:val="22"/>
        </w:rPr>
        <w:t xml:space="preserve"> (5-FU)</w:t>
      </w:r>
      <w:r>
        <w:rPr>
          <w:rFonts w:ascii="Book Antiqua" w:eastAsia="Book Antiqua" w:hAnsi="Book Antiqua" w:cs="Book Antiqua"/>
          <w:color w:val="000000"/>
          <w:szCs w:val="22"/>
        </w:rPr>
        <w:t xml:space="preserve"> was the most popular choice of chemotherapy (57.7%), followed by FOLFOX</w:t>
      </w:r>
      <w:r w:rsidR="00971CBE">
        <w:rPr>
          <w:rFonts w:ascii="Book Antiqua" w:eastAsia="Book Antiqua" w:hAnsi="Book Antiqua" w:cs="Book Antiqua"/>
          <w:color w:val="000000"/>
          <w:szCs w:val="22"/>
        </w:rPr>
        <w:t xml:space="preserve"> (5-FU combined with oxaliplatin)</w:t>
      </w:r>
      <w:r>
        <w:rPr>
          <w:rFonts w:ascii="Book Antiqua" w:eastAsia="Book Antiqua" w:hAnsi="Book Antiqua" w:cs="Book Antiqua"/>
          <w:color w:val="000000"/>
          <w:szCs w:val="22"/>
        </w:rPr>
        <w:t xml:space="preserve"> (23.1%).</w:t>
      </w:r>
    </w:p>
    <w:p w14:paraId="6710F97C" w14:textId="77777777" w:rsidR="00A77B3E" w:rsidRPr="00B1169C" w:rsidRDefault="00E3223D" w:rsidP="00A1183F">
      <w:pPr>
        <w:spacing w:line="360" w:lineRule="auto"/>
        <w:ind w:firstLineChars="100" w:firstLine="240"/>
        <w:jc w:val="both"/>
      </w:pPr>
      <w:r>
        <w:rPr>
          <w:rFonts w:ascii="Book Antiqua" w:eastAsia="Book Antiqua" w:hAnsi="Book Antiqua" w:cs="Book Antiqua"/>
          <w:color w:val="000000"/>
          <w:szCs w:val="22"/>
        </w:rPr>
        <w:t xml:space="preserve">The use of liver-directed therapies, such as transarterial liver embolization, was also limited to second-line (weighted average 2.20/4) and third-line scenarios (weighted average 2.6/4); with a predominance of use after progression to all other available treatment options (weighted average 2.80/4) </w:t>
      </w:r>
      <w:r w:rsidRPr="00B1169C">
        <w:rPr>
          <w:rFonts w:ascii="Book Antiqua" w:eastAsia="Book Antiqua" w:hAnsi="Book Antiqua" w:cs="Book Antiqua"/>
          <w:color w:val="000000"/>
          <w:szCs w:val="22"/>
        </w:rPr>
        <w:t>(</w:t>
      </w:r>
      <w:r w:rsidR="00D01490">
        <w:rPr>
          <w:rFonts w:ascii="Book Antiqua" w:eastAsia="Book Antiqua" w:hAnsi="Book Antiqua" w:cs="Book Antiqua"/>
          <w:bCs/>
          <w:color w:val="000000"/>
          <w:szCs w:val="22"/>
        </w:rPr>
        <w:t>Figure 2</w:t>
      </w:r>
      <w:r w:rsidRPr="00B1169C">
        <w:rPr>
          <w:rFonts w:ascii="Book Antiqua" w:eastAsia="Book Antiqua" w:hAnsi="Book Antiqua" w:cs="Book Antiqua"/>
          <w:bCs/>
          <w:color w:val="000000"/>
          <w:szCs w:val="22"/>
        </w:rPr>
        <w:t>E; full details in</w:t>
      </w:r>
      <w:r w:rsidR="00D01490" w:rsidRPr="00D01490">
        <w:rPr>
          <w:rFonts w:ascii="Book Antiqua" w:hAnsi="Book Antiqua" w:cs="Book Antiqua"/>
          <w:bCs/>
          <w:color w:val="000000"/>
          <w:szCs w:val="22"/>
          <w:lang w:eastAsia="zh-CN"/>
        </w:rPr>
        <w:t xml:space="preserve"> </w:t>
      </w:r>
      <w:r w:rsidR="00D01490">
        <w:rPr>
          <w:rFonts w:ascii="Book Antiqua" w:hAnsi="Book Antiqua" w:cs="Book Antiqua"/>
          <w:bCs/>
          <w:color w:val="000000"/>
          <w:szCs w:val="22"/>
          <w:lang w:eastAsia="zh-CN"/>
        </w:rPr>
        <w:t>S</w:t>
      </w:r>
      <w:r w:rsidR="00D01490">
        <w:rPr>
          <w:rFonts w:ascii="Book Antiqua" w:eastAsia="Book Antiqua" w:hAnsi="Book Antiqua" w:cs="Book Antiqua"/>
          <w:bCs/>
          <w:color w:val="000000"/>
          <w:szCs w:val="22"/>
        </w:rPr>
        <w:t xml:space="preserve">upplementary </w:t>
      </w:r>
      <w:r w:rsidR="00D01490">
        <w:rPr>
          <w:rFonts w:ascii="Book Antiqua" w:hAnsi="Book Antiqua" w:cs="Book Antiqua"/>
          <w:bCs/>
          <w:color w:val="000000"/>
          <w:szCs w:val="22"/>
          <w:lang w:eastAsia="zh-CN"/>
        </w:rPr>
        <w:t>Figure</w:t>
      </w:r>
      <w:r w:rsidR="00D01490">
        <w:rPr>
          <w:rFonts w:ascii="Book Antiqua" w:eastAsia="Book Antiqua" w:hAnsi="Book Antiqua" w:cs="Book Antiqua"/>
          <w:bCs/>
          <w:color w:val="000000"/>
          <w:szCs w:val="22"/>
        </w:rPr>
        <w:t xml:space="preserve"> 1</w:t>
      </w:r>
      <w:r w:rsidRPr="00B1169C">
        <w:rPr>
          <w:rFonts w:ascii="Book Antiqua" w:eastAsia="Book Antiqua" w:hAnsi="Book Antiqua" w:cs="Book Antiqua"/>
          <w:bCs/>
          <w:color w:val="000000"/>
          <w:szCs w:val="22"/>
        </w:rPr>
        <w:t>E</w:t>
      </w:r>
      <w:r w:rsidRPr="00B1169C">
        <w:rPr>
          <w:rFonts w:ascii="Book Antiqua" w:eastAsia="Book Antiqua" w:hAnsi="Book Antiqua" w:cs="Book Antiqua"/>
          <w:color w:val="000000"/>
          <w:szCs w:val="22"/>
        </w:rPr>
        <w:t>). The patients who were most likely to receive liver embolization were those with presence of CS (weighted average 3.24/4) and Ki-67 &lt;</w:t>
      </w:r>
      <w:r w:rsidR="007340D7">
        <w:rPr>
          <w:rFonts w:ascii="Book Antiqua" w:hAnsi="Book Antiqua" w:cs="Book Antiqua" w:hint="eastAsia"/>
          <w:color w:val="000000"/>
          <w:szCs w:val="22"/>
          <w:lang w:eastAsia="zh-CN"/>
        </w:rPr>
        <w:t xml:space="preserve"> </w:t>
      </w:r>
      <w:r w:rsidRPr="00B1169C">
        <w:rPr>
          <w:rFonts w:ascii="Book Antiqua" w:eastAsia="Book Antiqua" w:hAnsi="Book Antiqua" w:cs="Book Antiqua"/>
          <w:color w:val="000000"/>
          <w:szCs w:val="22"/>
        </w:rPr>
        <w:t>10% (weighted average 2.8/4), within others. Patients with extensive skeletal metastases were the least likely to be offered liver embolization (weighted average 1.64/4).</w:t>
      </w:r>
    </w:p>
    <w:p w14:paraId="1140095A" w14:textId="77777777" w:rsidR="00A77B3E" w:rsidRDefault="00E3223D" w:rsidP="00D01490">
      <w:pPr>
        <w:spacing w:line="360" w:lineRule="auto"/>
        <w:ind w:firstLineChars="100" w:firstLine="240"/>
        <w:jc w:val="both"/>
      </w:pPr>
      <w:r w:rsidRPr="00B1169C">
        <w:rPr>
          <w:rFonts w:ascii="Book Antiqua" w:eastAsia="Book Antiqua" w:hAnsi="Book Antiqua" w:cs="Book Antiqua"/>
          <w:color w:val="000000"/>
          <w:szCs w:val="22"/>
        </w:rPr>
        <w:t>Use of interferon-alpha was rarely reported, with overall weighted average 1.3/4 (</w:t>
      </w:r>
      <w:r w:rsidR="00D01490">
        <w:rPr>
          <w:rFonts w:ascii="Book Antiqua" w:eastAsia="Book Antiqua" w:hAnsi="Book Antiqua" w:cs="Book Antiqua"/>
          <w:bCs/>
          <w:color w:val="000000"/>
          <w:szCs w:val="22"/>
        </w:rPr>
        <w:t>Figure 2</w:t>
      </w:r>
      <w:r w:rsidRPr="00B1169C">
        <w:rPr>
          <w:rFonts w:ascii="Book Antiqua" w:eastAsia="Book Antiqua" w:hAnsi="Book Antiqua" w:cs="Book Antiqua"/>
          <w:bCs/>
          <w:color w:val="000000"/>
          <w:szCs w:val="22"/>
        </w:rPr>
        <w:t xml:space="preserve">F; full details in </w:t>
      </w:r>
      <w:r w:rsidR="00D01490">
        <w:rPr>
          <w:rFonts w:ascii="Book Antiqua" w:hAnsi="Book Antiqua" w:cs="Book Antiqua"/>
          <w:bCs/>
          <w:color w:val="000000"/>
          <w:szCs w:val="22"/>
          <w:lang w:eastAsia="zh-CN"/>
        </w:rPr>
        <w:t>S</w:t>
      </w:r>
      <w:r w:rsidR="00D01490">
        <w:rPr>
          <w:rFonts w:ascii="Book Antiqua" w:eastAsia="Book Antiqua" w:hAnsi="Book Antiqua" w:cs="Book Antiqua"/>
          <w:bCs/>
          <w:color w:val="000000"/>
          <w:szCs w:val="22"/>
        </w:rPr>
        <w:t xml:space="preserve">upplementary </w:t>
      </w:r>
      <w:r w:rsidR="00D01490">
        <w:rPr>
          <w:rFonts w:ascii="Book Antiqua" w:hAnsi="Book Antiqua" w:cs="Book Antiqua"/>
          <w:bCs/>
          <w:color w:val="000000"/>
          <w:szCs w:val="22"/>
          <w:lang w:eastAsia="zh-CN"/>
        </w:rPr>
        <w:t>Figure</w:t>
      </w:r>
      <w:r w:rsidR="00D01490">
        <w:rPr>
          <w:rFonts w:ascii="Book Antiqua" w:eastAsia="Book Antiqua" w:hAnsi="Book Antiqua" w:cs="Book Antiqua"/>
          <w:bCs/>
          <w:color w:val="000000"/>
          <w:szCs w:val="22"/>
        </w:rPr>
        <w:t xml:space="preserve"> 1</w:t>
      </w:r>
      <w:r w:rsidRPr="00B1169C">
        <w:rPr>
          <w:rFonts w:ascii="Book Antiqua" w:eastAsia="Book Antiqua" w:hAnsi="Book Antiqua" w:cs="Book Antiqua"/>
          <w:bCs/>
          <w:color w:val="000000"/>
          <w:szCs w:val="22"/>
        </w:rPr>
        <w:t>F</w:t>
      </w:r>
      <w:r w:rsidRPr="00B116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According to responses collected, no specific factors were associated with its use.</w:t>
      </w:r>
    </w:p>
    <w:bookmarkEnd w:id="119"/>
    <w:bookmarkEnd w:id="120"/>
    <w:bookmarkEnd w:id="123"/>
    <w:bookmarkEnd w:id="124"/>
    <w:p w14:paraId="60B38C79" w14:textId="77777777" w:rsidR="00A77B3E" w:rsidRDefault="00A77B3E">
      <w:pPr>
        <w:spacing w:line="360" w:lineRule="auto"/>
        <w:jc w:val="both"/>
      </w:pPr>
    </w:p>
    <w:p w14:paraId="6320E26F" w14:textId="77777777" w:rsidR="00A77B3E" w:rsidRDefault="00E3223D">
      <w:pPr>
        <w:spacing w:line="360" w:lineRule="auto"/>
        <w:jc w:val="both"/>
      </w:pPr>
      <w:r>
        <w:rPr>
          <w:rFonts w:ascii="Book Antiqua" w:eastAsia="Book Antiqua" w:hAnsi="Book Antiqua" w:cs="Book Antiqua"/>
          <w:b/>
          <w:caps/>
          <w:color w:val="000000"/>
          <w:u w:val="single"/>
        </w:rPr>
        <w:t>DISCUSSION</w:t>
      </w:r>
    </w:p>
    <w:p w14:paraId="7F9BAC6A" w14:textId="77777777" w:rsidR="00A77B3E" w:rsidRDefault="00E3223D">
      <w:pPr>
        <w:spacing w:line="360" w:lineRule="auto"/>
        <w:jc w:val="both"/>
      </w:pPr>
      <w:bookmarkStart w:id="127" w:name="OLE_LINK142"/>
      <w:bookmarkStart w:id="128" w:name="OLE_LINK143"/>
      <w:bookmarkStart w:id="129" w:name="OLE_LINK144"/>
      <w:r>
        <w:rPr>
          <w:rFonts w:ascii="Book Antiqua" w:eastAsia="Book Antiqua" w:hAnsi="Book Antiqua" w:cs="Book Antiqua"/>
          <w:color w:val="000000"/>
          <w:szCs w:val="22"/>
        </w:rPr>
        <w:t>This survey aimed to address one of the main caveats in the management of SBNET: treatment decision making</w:t>
      </w:r>
      <w:r w:rsidR="00971CBE">
        <w:rPr>
          <w:rFonts w:ascii="Book Antiqua" w:eastAsia="Book Antiqua" w:hAnsi="Book Antiqua" w:cs="Book Antiqua"/>
          <w:color w:val="000000"/>
          <w:szCs w:val="22"/>
        </w:rPr>
        <w:t xml:space="preserve"> in terms of therapy sequencing</w:t>
      </w:r>
      <w:r>
        <w:rPr>
          <w:rFonts w:ascii="Book Antiqua" w:eastAsia="Book Antiqua" w:hAnsi="Book Antiqua" w:cs="Book Antiqua"/>
          <w:color w:val="000000"/>
          <w:szCs w:val="22"/>
        </w:rPr>
        <w:t>, with special interest in the third</w:t>
      </w:r>
      <w:r w:rsidR="00B95D34">
        <w:rPr>
          <w:rFonts w:ascii="Book Antiqua" w:eastAsia="Book Antiqua" w:hAnsi="Book Antiqua" w:cs="Book Antiqua"/>
          <w:color w:val="000000"/>
          <w:szCs w:val="22"/>
        </w:rPr>
        <w:t>-</w:t>
      </w:r>
      <w:r>
        <w:rPr>
          <w:rFonts w:ascii="Book Antiqua" w:eastAsia="Book Antiqua" w:hAnsi="Book Antiqua" w:cs="Book Antiqua"/>
          <w:color w:val="000000"/>
          <w:szCs w:val="22"/>
        </w:rPr>
        <w:t>line setting. Our results identified everolimus as the preferred option of third-line therapy, with multiple factors identified as relevant at time of decision making, such as Ki-67, rate of progression, tumour functionality</w:t>
      </w:r>
      <w:r w:rsidR="00971CBE">
        <w:rPr>
          <w:rFonts w:ascii="Book Antiqua" w:eastAsia="Book Antiqua" w:hAnsi="Book Antiqua" w:cs="Book Antiqua"/>
          <w:color w:val="000000"/>
          <w:szCs w:val="22"/>
        </w:rPr>
        <w:t xml:space="preserve"> (CS)</w:t>
      </w:r>
      <w:r>
        <w:rPr>
          <w:rFonts w:ascii="Book Antiqua" w:eastAsia="Book Antiqua" w:hAnsi="Book Antiqua" w:cs="Book Antiqua"/>
          <w:color w:val="000000"/>
          <w:szCs w:val="22"/>
        </w:rPr>
        <w:t xml:space="preserve"> and tumour burden. The data underline that treatment decisions should be made within a multidisciplinary setting, where all available therapeutic options can be considered.</w:t>
      </w:r>
    </w:p>
    <w:p w14:paraId="12325486" w14:textId="77777777" w:rsidR="00A77B3E" w:rsidRPr="00242EDC" w:rsidRDefault="00E3223D" w:rsidP="00242EDC">
      <w:pPr>
        <w:spacing w:line="360" w:lineRule="auto"/>
        <w:ind w:firstLineChars="100" w:firstLine="240"/>
        <w:jc w:val="both"/>
      </w:pPr>
      <w:r>
        <w:rPr>
          <w:rFonts w:ascii="Book Antiqua" w:eastAsia="Book Antiqua" w:hAnsi="Book Antiqua" w:cs="Book Antiqua"/>
          <w:color w:val="000000"/>
          <w:szCs w:val="22"/>
        </w:rPr>
        <w:t>Choice of SSAs and PRRT as predominant first- and second-line treatments was expected. This is in keeping with current available guidelines</w:t>
      </w:r>
      <w:r w:rsidR="00242EDC">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and can be accepted as current standard of care as supported by phase III clinical trial evidence</w:t>
      </w:r>
      <w:r w:rsidR="00242EDC">
        <w:rPr>
          <w:rFonts w:ascii="Book Antiqua" w:eastAsia="Book Antiqua" w:hAnsi="Book Antiqua" w:cs="Book Antiqua"/>
          <w:color w:val="000000"/>
          <w:szCs w:val="28"/>
          <w:vertAlign w:val="superscript"/>
        </w:rPr>
        <w:t>[12,13,</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The only exception would be those patients with SSTR2 negative disease who would not be eligible for PRRT and had been excluded from the NETTER-1 clinical trial</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Results of our survey do reflect this as well (</w:t>
      </w:r>
      <w:r w:rsidR="001448A7">
        <w:rPr>
          <w:rFonts w:ascii="Book Antiqua" w:eastAsia="Book Antiqua" w:hAnsi="Book Antiqua" w:cs="Book Antiqua"/>
          <w:bCs/>
          <w:color w:val="000000"/>
          <w:szCs w:val="22"/>
        </w:rPr>
        <w:t>Figure 2</w:t>
      </w:r>
      <w:r w:rsidRPr="00242EDC">
        <w:rPr>
          <w:rFonts w:ascii="Book Antiqua" w:eastAsia="Book Antiqua" w:hAnsi="Book Antiqua" w:cs="Book Antiqua"/>
          <w:bCs/>
          <w:color w:val="000000"/>
          <w:szCs w:val="22"/>
        </w:rPr>
        <w:t xml:space="preserve">B; full details in </w:t>
      </w:r>
      <w:r w:rsidR="001448A7">
        <w:rPr>
          <w:rFonts w:ascii="Book Antiqua" w:hAnsi="Book Antiqua" w:cs="Book Antiqua"/>
          <w:bCs/>
          <w:color w:val="000000"/>
          <w:szCs w:val="22"/>
          <w:lang w:eastAsia="zh-CN"/>
        </w:rPr>
        <w:t>S</w:t>
      </w:r>
      <w:r w:rsidR="001448A7">
        <w:rPr>
          <w:rFonts w:ascii="Book Antiqua" w:eastAsia="Book Antiqua" w:hAnsi="Book Antiqua" w:cs="Book Antiqua"/>
          <w:bCs/>
          <w:color w:val="000000"/>
          <w:szCs w:val="22"/>
        </w:rPr>
        <w:t xml:space="preserve">upplementary </w:t>
      </w:r>
      <w:r w:rsidR="001448A7">
        <w:rPr>
          <w:rFonts w:ascii="Book Antiqua" w:hAnsi="Book Antiqua" w:cs="Book Antiqua"/>
          <w:bCs/>
          <w:color w:val="000000"/>
          <w:szCs w:val="22"/>
          <w:lang w:eastAsia="zh-CN"/>
        </w:rPr>
        <w:t>Figure</w:t>
      </w:r>
      <w:r w:rsidR="001448A7">
        <w:rPr>
          <w:rFonts w:ascii="Book Antiqua" w:eastAsia="Book Antiqua" w:hAnsi="Book Antiqua" w:cs="Book Antiqua"/>
          <w:bCs/>
          <w:color w:val="000000"/>
          <w:szCs w:val="22"/>
        </w:rPr>
        <w:t xml:space="preserve"> 1</w:t>
      </w:r>
      <w:r w:rsidRPr="00242EDC">
        <w:rPr>
          <w:rFonts w:ascii="Book Antiqua" w:eastAsia="Book Antiqua" w:hAnsi="Book Antiqua" w:cs="Book Antiqua"/>
          <w:bCs/>
          <w:color w:val="000000"/>
          <w:szCs w:val="22"/>
        </w:rPr>
        <w:t>B</w:t>
      </w:r>
      <w:r w:rsidRPr="00242EDC">
        <w:rPr>
          <w:rFonts w:ascii="Book Antiqua" w:eastAsia="Book Antiqua" w:hAnsi="Book Antiqua" w:cs="Book Antiqua"/>
          <w:color w:val="000000"/>
          <w:szCs w:val="22"/>
        </w:rPr>
        <w:t>).</w:t>
      </w:r>
    </w:p>
    <w:p w14:paraId="2FE14F74" w14:textId="77777777" w:rsidR="00A77B3E" w:rsidRDefault="00E3223D" w:rsidP="001448A7">
      <w:pPr>
        <w:spacing w:line="360" w:lineRule="auto"/>
        <w:ind w:firstLineChars="100" w:firstLine="240"/>
        <w:jc w:val="both"/>
      </w:pPr>
      <w:r w:rsidRPr="00242EDC">
        <w:rPr>
          <w:rFonts w:ascii="Book Antiqua" w:eastAsia="Book Antiqua" w:hAnsi="Book Antiqua" w:cs="Book Antiqua"/>
          <w:color w:val="000000"/>
          <w:szCs w:val="22"/>
        </w:rPr>
        <w:t xml:space="preserve">As shown in </w:t>
      </w:r>
      <w:r w:rsidRPr="00242EDC">
        <w:rPr>
          <w:rFonts w:ascii="Book Antiqua" w:eastAsia="Book Antiqua" w:hAnsi="Book Antiqua" w:cs="Book Antiqua"/>
          <w:bCs/>
          <w:color w:val="000000"/>
          <w:szCs w:val="22"/>
        </w:rPr>
        <w:t>Figure 1</w:t>
      </w:r>
      <w:r w:rsidRPr="00242EDC">
        <w:rPr>
          <w:rFonts w:ascii="Book Antiqua" w:eastAsia="Book Antiqua" w:hAnsi="Book Antiqua" w:cs="Book Antiqua"/>
          <w:color w:val="000000"/>
          <w:szCs w:val="22"/>
        </w:rPr>
        <w:t>, a small prop</w:t>
      </w:r>
      <w:r>
        <w:rPr>
          <w:rFonts w:ascii="Book Antiqua" w:eastAsia="Book Antiqua" w:hAnsi="Book Antiqua" w:cs="Book Antiqua"/>
          <w:color w:val="000000"/>
          <w:szCs w:val="22"/>
        </w:rPr>
        <w:t>ortion of responders chose treatment with high-dose SSAs following progression to standard-dose SSAs. While the specific factors involved in this choice were not explored in the present survey, it is worth highlighting that this therapeutic option is suggested by guidelines mainly for patients with slowly-progressive SBNET and refractory functioning syndrome</w:t>
      </w:r>
      <w:r w:rsidR="00A66EB0">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Results of the recently reported CLARINET-FORTE trial would support its anti-proliferative use following progression to SSA in selected scenarios, especially in case of Ki-67 ≤</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w:t>
      </w:r>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This phase II study included a cohort of 51 patients diagnosed with SBNET, who following progression to standard 4-weekly 120 mg lanreotide, received an increased dose of this same drug (120 mg 2-weekly)</w:t>
      </w:r>
      <w:r w:rsidR="00971CBE">
        <w:rPr>
          <w:rFonts w:ascii="Book Antiqua" w:eastAsia="Book Antiqua" w:hAnsi="Book Antiqua" w:cs="Book Antiqua"/>
          <w:color w:val="000000"/>
          <w:szCs w:val="22"/>
        </w:rPr>
        <w:t>; m</w:t>
      </w:r>
      <w:r>
        <w:rPr>
          <w:rFonts w:ascii="Book Antiqua" w:eastAsia="Book Antiqua" w:hAnsi="Book Antiqua" w:cs="Book Antiqua"/>
          <w:color w:val="000000"/>
          <w:szCs w:val="22"/>
        </w:rPr>
        <w:t>edian duration of prior lanreotide exposure was 1.3 years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1.0-1.9) and 82.4% of patients had low-burden liver disease (affecting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25% of liver parenchyma). Among the 51 patients with advanced SBNET included, median progression-free survival (PFS) was 8.3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5.6-11.1) mo, with median PFS of 8.6 mo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5.6-13.8) and 5.5 mo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2.6-nr) for Ki-67 ≤</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and &gt;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tumours, respectively. In view of this, authors concluded that high-dose SSAs could be recommended in selected patients, “before switching to an alternative, more toxic treatment”.</w:t>
      </w:r>
    </w:p>
    <w:p w14:paraId="71B1E683" w14:textId="77777777" w:rsidR="00A77B3E" w:rsidRDefault="00E3223D" w:rsidP="00A66EB0">
      <w:pPr>
        <w:spacing w:line="360" w:lineRule="auto"/>
        <w:ind w:firstLineChars="100" w:firstLine="240"/>
        <w:jc w:val="both"/>
      </w:pPr>
      <w:r>
        <w:rPr>
          <w:rFonts w:ascii="Book Antiqua" w:eastAsia="Book Antiqua" w:hAnsi="Book Antiqua" w:cs="Book Antiqua"/>
          <w:color w:val="000000"/>
          <w:szCs w:val="22"/>
        </w:rPr>
        <w:t>Our survey highlights three main unanswered questions around the use of PRRT in SBNETs.</w:t>
      </w:r>
    </w:p>
    <w:p w14:paraId="50E51378" w14:textId="77777777" w:rsidR="00A77B3E" w:rsidRDefault="00E3223D" w:rsidP="006C0E5B">
      <w:pPr>
        <w:spacing w:line="360" w:lineRule="auto"/>
        <w:ind w:firstLineChars="100" w:firstLine="240"/>
        <w:jc w:val="both"/>
      </w:pPr>
      <w:r>
        <w:rPr>
          <w:rFonts w:ascii="Book Antiqua" w:eastAsia="Book Antiqua" w:hAnsi="Book Antiqua" w:cs="Book Antiqua"/>
          <w:color w:val="000000"/>
          <w:szCs w:val="22"/>
        </w:rPr>
        <w:t xml:space="preserve">First, </w:t>
      </w:r>
      <w:r w:rsidR="00971CBE">
        <w:rPr>
          <w:rFonts w:ascii="Book Antiqua" w:eastAsia="Book Antiqua" w:hAnsi="Book Antiqua" w:cs="Book Antiqua"/>
          <w:color w:val="000000"/>
          <w:szCs w:val="22"/>
        </w:rPr>
        <w:t xml:space="preserve">there was discrepancy in terms of </w:t>
      </w:r>
      <w:r>
        <w:rPr>
          <w:rFonts w:ascii="Book Antiqua" w:eastAsia="Book Antiqua" w:hAnsi="Book Antiqua" w:cs="Book Antiqua"/>
          <w:color w:val="000000"/>
          <w:szCs w:val="22"/>
        </w:rPr>
        <w:t xml:space="preserve">the </w:t>
      </w:r>
      <w:r w:rsidR="00971CBE">
        <w:rPr>
          <w:rFonts w:ascii="Book Antiqua" w:eastAsia="Book Antiqua" w:hAnsi="Book Antiqua" w:cs="Book Antiqua"/>
          <w:color w:val="000000"/>
          <w:szCs w:val="22"/>
        </w:rPr>
        <w:t xml:space="preserve">current use of </w:t>
      </w:r>
      <w:r>
        <w:rPr>
          <w:rFonts w:ascii="Book Antiqua" w:eastAsia="Book Antiqua" w:hAnsi="Book Antiqua" w:cs="Book Antiqua"/>
          <w:color w:val="000000"/>
          <w:szCs w:val="22"/>
        </w:rPr>
        <w:t>concomitant SSAs</w:t>
      </w:r>
      <w:r w:rsidR="00971CBE">
        <w:rPr>
          <w:rFonts w:ascii="Book Antiqua" w:eastAsia="Book Antiqua" w:hAnsi="Book Antiqua" w:cs="Book Antiqua"/>
          <w:color w:val="000000"/>
          <w:szCs w:val="22"/>
        </w:rPr>
        <w:t xml:space="preserve"> during and after PRRT</w:t>
      </w:r>
      <w:r>
        <w:rPr>
          <w:rFonts w:ascii="Book Antiqua" w:eastAsia="Book Antiqua" w:hAnsi="Book Antiqua" w:cs="Book Antiqua"/>
          <w:color w:val="000000"/>
          <w:szCs w:val="22"/>
        </w:rPr>
        <w:t xml:space="preserve"> (especially in non-functioning tumours). The NETTER-1 clinical trial recruited patients with SBNETs and as part of the study protocol, all patients (regardless of presence or absence of CS) received concomitant 4-weekly long-acting octreotide injection</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Thus, strictly speaking, NETTER-1 trial showed that PRRT was superior to high dose SSA when PRRT was given concomitantly with SSA (during and after PRRT). There is some evidence suggesting that combination of “hot” (PRRT) and “cold” (SSA) somatostatin analogue therapy could impact biodistribution of PRRT and may enable higher doses of PRRT to be delivered to tumour sites</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However, the benefit of maintenance SSA following PRRT completion is of much controversy. Some retrospective studies have suggested a benefit in terms of prolonged PFS</w:t>
      </w:r>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2"/>
        </w:rPr>
        <w:t>, but selection bias (due to retrospective design) may confound findings. Thus, in the absence of CS, there is still disagreement regarding the benefit derived from maintenance SSAs after completion of PRRT and further studies are required to inform practice.</w:t>
      </w:r>
    </w:p>
    <w:p w14:paraId="7F28C160" w14:textId="77777777" w:rsidR="00A77B3E" w:rsidRDefault="00E3223D" w:rsidP="00592FBB">
      <w:pPr>
        <w:spacing w:line="360" w:lineRule="auto"/>
        <w:ind w:firstLineChars="100" w:firstLine="240"/>
        <w:jc w:val="both"/>
      </w:pPr>
      <w:r>
        <w:rPr>
          <w:rFonts w:ascii="Book Antiqua" w:eastAsia="Book Antiqua" w:hAnsi="Book Antiqua" w:cs="Book Antiqua"/>
          <w:color w:val="000000"/>
          <w:szCs w:val="22"/>
        </w:rPr>
        <w:t>Second, the potential role of rechallenge with PRRT</w:t>
      </w:r>
      <w:r w:rsidR="00971CBE">
        <w:rPr>
          <w:rFonts w:ascii="Book Antiqua" w:eastAsia="Book Antiqua" w:hAnsi="Book Antiqua" w:cs="Book Antiqua"/>
          <w:color w:val="000000"/>
          <w:szCs w:val="22"/>
        </w:rPr>
        <w:t xml:space="preserve"> remains unclear</w:t>
      </w:r>
      <w:r>
        <w:rPr>
          <w:rFonts w:ascii="Book Antiqua" w:eastAsia="Book Antiqua" w:hAnsi="Book Antiqua" w:cs="Book Antiqua"/>
          <w:color w:val="000000"/>
          <w:szCs w:val="22"/>
        </w:rPr>
        <w:t>. None of the responders chose rechallenge with PRRT in this survey as part of the main treatment pathway. However, it is likely that this is still a valid option of treatment for selected patients. There are data supporting the safety and efficacy of rechallenge with PRRT, mainly for patients with prolonged PFS to prior PRRT. In a series of 35 patients (23 SBNET), with median PFS of 33 mo (95%CI</w:t>
      </w:r>
      <w:r w:rsidR="00592FBB">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30</w:t>
      </w:r>
      <w:r w:rsidR="00C1412E">
        <w:rPr>
          <w:rFonts w:ascii="Book Antiqua" w:eastAsia="Book Antiqua" w:hAnsi="Book Antiqua" w:cs="Book Antiqua"/>
          <w:color w:val="000000"/>
          <w:szCs w:val="22"/>
        </w:rPr>
        <w:t>-</w:t>
      </w:r>
      <w:r>
        <w:rPr>
          <w:rFonts w:ascii="Book Antiqua" w:eastAsia="Book Antiqua" w:hAnsi="Book Antiqua" w:cs="Book Antiqua"/>
          <w:color w:val="000000"/>
          <w:szCs w:val="22"/>
        </w:rPr>
        <w:t>36) to prior PRRT, rechallenge with PRRT was shown to be safe (both in terms of kidney toxicity and myelosuppression)</w:t>
      </w:r>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2"/>
        </w:rPr>
        <w:t xml:space="preserve">. Main benefit was in the form of disease stabilisation (identified in 81.3% of patients), with partial response identified in 1 patient (3.1%). Median PFS reported </w:t>
      </w:r>
      <w:r w:rsidR="00971CBE">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rechallenge PRRT was 6</w:t>
      </w:r>
      <w:r w:rsidR="00971CB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mo (95%CI</w:t>
      </w:r>
      <w:r w:rsidR="00592FBB">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0</w:t>
      </w:r>
      <w:r w:rsidR="00452ED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16). Other series </w:t>
      </w:r>
      <w:r w:rsidR="00971CBE">
        <w:rPr>
          <w:rFonts w:ascii="Book Antiqua" w:eastAsia="Book Antiqua" w:hAnsi="Book Antiqua" w:cs="Book Antiqua"/>
          <w:color w:val="000000"/>
          <w:szCs w:val="22"/>
        </w:rPr>
        <w:t>also identified a possible</w:t>
      </w:r>
      <w:r>
        <w:rPr>
          <w:rFonts w:ascii="Book Antiqua" w:eastAsia="Book Antiqua" w:hAnsi="Book Antiqua" w:cs="Book Antiqua"/>
          <w:color w:val="000000"/>
          <w:szCs w:val="22"/>
        </w:rPr>
        <w:t xml:space="preserve"> association between </w:t>
      </w:r>
      <w:r w:rsidR="00971CBE">
        <w:rPr>
          <w:rFonts w:ascii="Book Antiqua" w:eastAsia="Book Antiqua" w:hAnsi="Book Antiqua" w:cs="Book Antiqua"/>
          <w:color w:val="000000"/>
          <w:szCs w:val="22"/>
        </w:rPr>
        <w:t xml:space="preserve">initial </w:t>
      </w:r>
      <w:r>
        <w:rPr>
          <w:rFonts w:ascii="Book Antiqua" w:eastAsia="Book Antiqua" w:hAnsi="Book Antiqua" w:cs="Book Antiqua"/>
          <w:color w:val="000000"/>
          <w:szCs w:val="22"/>
        </w:rPr>
        <w:t>response</w:t>
      </w:r>
      <w:r w:rsidR="00971CBE">
        <w:rPr>
          <w:rFonts w:ascii="Book Antiqua" w:eastAsia="Book Antiqua" w:hAnsi="Book Antiqua" w:cs="Book Antiqua"/>
          <w:color w:val="000000"/>
          <w:szCs w:val="22"/>
        </w:rPr>
        <w:t xml:space="preserve"> (in terms of prolonged PFS)</w:t>
      </w:r>
      <w:r>
        <w:rPr>
          <w:rFonts w:ascii="Book Antiqua" w:eastAsia="Book Antiqua" w:hAnsi="Book Antiqua" w:cs="Book Antiqua"/>
          <w:color w:val="000000"/>
          <w:szCs w:val="22"/>
        </w:rPr>
        <w:t xml:space="preserve"> to PRRT</w:t>
      </w:r>
      <w:r w:rsidR="00971CBE">
        <w:rPr>
          <w:rFonts w:ascii="Book Antiqua" w:eastAsia="Book Antiqua" w:hAnsi="Book Antiqua" w:cs="Book Antiqua"/>
          <w:color w:val="000000"/>
          <w:szCs w:val="22"/>
        </w:rPr>
        <w:t>on first use</w:t>
      </w:r>
      <w:r>
        <w:rPr>
          <w:rFonts w:ascii="Book Antiqua" w:eastAsia="Book Antiqua" w:hAnsi="Book Antiqua" w:cs="Book Antiqua"/>
          <w:color w:val="000000"/>
          <w:szCs w:val="22"/>
        </w:rPr>
        <w:t xml:space="preserve"> and PFS </w:t>
      </w:r>
      <w:r w:rsidR="00971CBE">
        <w:rPr>
          <w:rFonts w:ascii="Book Antiqua" w:eastAsia="Book Antiqua" w:hAnsi="Book Antiqua" w:cs="Book Antiqua"/>
          <w:color w:val="000000"/>
          <w:szCs w:val="22"/>
        </w:rPr>
        <w:t xml:space="preserve">benefit on PRRT </w:t>
      </w:r>
      <w:r>
        <w:rPr>
          <w:rFonts w:ascii="Book Antiqua" w:eastAsia="Book Antiqua" w:hAnsi="Book Antiqua" w:cs="Book Antiqua"/>
          <w:color w:val="000000"/>
          <w:szCs w:val="22"/>
        </w:rPr>
        <w:t>rechallenge</w:t>
      </w:r>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In view of these findings, and despite absence of prospective trial data, rechallenge PRRT may be a treatment option in selected patients (mainly patients with prolonged PFS to prior PRRT), despite low partial response rate and limited median PFS.</w:t>
      </w:r>
    </w:p>
    <w:p w14:paraId="598F7776" w14:textId="77777777" w:rsidR="00A77B3E" w:rsidRDefault="00E3223D" w:rsidP="00592FBB">
      <w:pPr>
        <w:spacing w:line="360" w:lineRule="auto"/>
        <w:ind w:firstLineChars="100" w:firstLine="240"/>
        <w:jc w:val="both"/>
      </w:pPr>
      <w:r>
        <w:rPr>
          <w:rFonts w:ascii="Book Antiqua" w:eastAsia="Book Antiqua" w:hAnsi="Book Antiqua" w:cs="Book Antiqua"/>
          <w:color w:val="000000"/>
          <w:szCs w:val="22"/>
        </w:rPr>
        <w:t>Third, the potential role of PRRT earlier in patients’ pathway</w:t>
      </w:r>
      <w:r w:rsidR="00971CBE">
        <w:rPr>
          <w:rFonts w:ascii="Book Antiqua" w:eastAsia="Book Antiqua" w:hAnsi="Book Antiqua" w:cs="Book Antiqua"/>
          <w:color w:val="000000"/>
          <w:szCs w:val="22"/>
        </w:rPr>
        <w:t xml:space="preserve"> remains undefined</w:t>
      </w:r>
      <w:r>
        <w:rPr>
          <w:rFonts w:ascii="Book Antiqua" w:eastAsia="Book Antiqua" w:hAnsi="Book Antiqua" w:cs="Book Antiqua"/>
          <w:color w:val="000000"/>
          <w:szCs w:val="22"/>
        </w:rPr>
        <w:t>. There is currently no clinical trial data supporting this and available guidelines do consider PRRT after SSA for SBNETs</w:t>
      </w:r>
      <w:r w:rsidR="00592FBB">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This was reflected in our survey results, in which none of the responders selected PRRT as a first-line treatment, highlighting that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further clinical trials would be required prior to any changes in current clinical practice. In this scenario, ongoing studies such as COMPETE (NCT03049189) and NETTER-2 (NCT03972488) are likely to provide useful insight to inform future practice.</w:t>
      </w:r>
    </w:p>
    <w:p w14:paraId="6FE6BFCF" w14:textId="77777777" w:rsidR="00A77B3E" w:rsidRDefault="00E3223D" w:rsidP="00CC4AC2">
      <w:pPr>
        <w:spacing w:line="360" w:lineRule="auto"/>
        <w:ind w:firstLineChars="100" w:firstLine="240"/>
        <w:jc w:val="both"/>
      </w:pPr>
      <w:r>
        <w:rPr>
          <w:rFonts w:ascii="Book Antiqua" w:eastAsia="Book Antiqua" w:hAnsi="Book Antiqua" w:cs="Book Antiqua"/>
          <w:color w:val="000000"/>
          <w:szCs w:val="22"/>
        </w:rPr>
        <w:t>There was a clear trend in favour of everolimus as the preferred choice of treatment in the third-line setting and this is likely based on vast clinical experience with everolimus. It is worth noting that the presence or absence of CS did not play a significant role on the likelihood of everolimus being considered. The fact that the weighted average was higher for non-functioning tumours (3.19/4) was not really surprising, in view of the benefit from everolimus over placebo in the setting of non-functioning SBNETs from the RADIANT-4 trial results</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However, the weighted average for functioning tumours SBNETs was high (2.81/4). This was despite the fact that everolimus is approved only in the setting of non-functioning SBNETs</w:t>
      </w:r>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which is reflected in current guidelines</w:t>
      </w:r>
      <w:r w:rsidR="00CC4AC2">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and derived from the negative results of the RADIANT-2 study</w:t>
      </w:r>
      <w:bookmarkStart w:id="130" w:name="OLE_LINK59"/>
      <w:bookmarkStart w:id="131" w:name="OLE_LINK60"/>
      <w:r>
        <w:rPr>
          <w:rFonts w:ascii="Book Antiqua" w:eastAsia="Book Antiqua" w:hAnsi="Book Antiqua" w:cs="Book Antiqua"/>
          <w:color w:val="000000"/>
          <w:szCs w:val="18"/>
          <w:vertAlign w:val="superscript"/>
        </w:rPr>
        <w:t>[</w:t>
      </w:r>
      <w:bookmarkEnd w:id="130"/>
      <w:bookmarkEnd w:id="131"/>
      <w:r>
        <w:rPr>
          <w:rFonts w:ascii="Book Antiqua" w:eastAsia="Book Antiqua" w:hAnsi="Book Antiqua" w:cs="Book Antiqua"/>
          <w:color w:val="000000"/>
          <w:szCs w:val="18"/>
          <w:vertAlign w:val="superscript"/>
        </w:rPr>
        <w:t>29]</w:t>
      </w:r>
      <w:r>
        <w:rPr>
          <w:rFonts w:ascii="Book Antiqua" w:eastAsia="Book Antiqua" w:hAnsi="Book Antiqua" w:cs="Book Antiqua"/>
          <w:color w:val="000000"/>
          <w:szCs w:val="22"/>
        </w:rPr>
        <w:t>.</w:t>
      </w:r>
    </w:p>
    <w:p w14:paraId="02594F28" w14:textId="77777777" w:rsidR="00A77B3E" w:rsidRDefault="00E3223D" w:rsidP="00CC4AC2">
      <w:pPr>
        <w:spacing w:line="360" w:lineRule="auto"/>
        <w:ind w:firstLineChars="100" w:firstLine="240"/>
        <w:jc w:val="both"/>
      </w:pPr>
      <w:r>
        <w:rPr>
          <w:rFonts w:ascii="Book Antiqua" w:eastAsia="Book Antiqua" w:hAnsi="Book Antiqua" w:cs="Book Antiqua"/>
          <w:color w:val="000000"/>
          <w:szCs w:val="22"/>
        </w:rPr>
        <w:t>Based on our findings, interferon-alpha seems to have a minor role in the management of SBNETs and to be rarely used in clinical practice. Liver embolization was a preferred treatment option for patients with functioning tumours, in keeping with data from</w:t>
      </w:r>
      <w:r w:rsidR="00971CBE">
        <w:rPr>
          <w:rFonts w:ascii="Book Antiqua" w:eastAsia="Book Antiqua" w:hAnsi="Book Antiqua" w:cs="Book Antiqua"/>
          <w:color w:val="000000"/>
          <w:szCs w:val="22"/>
        </w:rPr>
        <w:t xml:space="preserve"> recent</w:t>
      </w:r>
      <w:r>
        <w:rPr>
          <w:rFonts w:ascii="Book Antiqua" w:eastAsia="Book Antiqua" w:hAnsi="Book Antiqua" w:cs="Book Antiqua"/>
          <w:color w:val="000000"/>
          <w:szCs w:val="22"/>
        </w:rPr>
        <w:t xml:space="preserve"> systematic review and meta-analysis</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which reported a pooled</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symptomatic response of 55.2%. Chemotherapy was mainly used as a rescue treatment when progression to other available treatments was shown, and was mainly suggested for patients with rapid progression. These findings were expected and in keeping with current guideline recommendations</w:t>
      </w:r>
      <w:r w:rsidR="00773EB5">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As shown in our survey, most suitable choice of chemotherapy remains unclear, and despite a preference for temozolomide and capecitabine-based combinations, many responders reported to use other </w:t>
      </w:r>
      <w:r w:rsidR="00971CBE">
        <w:rPr>
          <w:rFonts w:ascii="Book Antiqua" w:eastAsia="Book Antiqua" w:hAnsi="Book Antiqua" w:cs="Book Antiqua"/>
          <w:color w:val="000000"/>
          <w:szCs w:val="22"/>
        </w:rPr>
        <w:t>schedules</w:t>
      </w:r>
      <w:r>
        <w:rPr>
          <w:rFonts w:ascii="Book Antiqua" w:eastAsia="Book Antiqua" w:hAnsi="Book Antiqua" w:cs="Book Antiqua"/>
          <w:color w:val="000000"/>
          <w:szCs w:val="22"/>
        </w:rPr>
        <w:t>. Collaborative work and trials in this setting are urgently needed.</w:t>
      </w:r>
    </w:p>
    <w:p w14:paraId="373E54D3" w14:textId="77777777" w:rsidR="00A77B3E" w:rsidRDefault="00E3223D" w:rsidP="00773EB5">
      <w:pPr>
        <w:spacing w:line="360" w:lineRule="auto"/>
        <w:ind w:firstLineChars="100" w:firstLine="240"/>
        <w:jc w:val="both"/>
      </w:pPr>
      <w:r>
        <w:rPr>
          <w:rFonts w:ascii="Book Antiqua" w:eastAsia="Book Antiqua" w:hAnsi="Book Antiqua" w:cs="Book Antiqua"/>
          <w:color w:val="000000"/>
          <w:szCs w:val="22"/>
        </w:rPr>
        <w:t>Our results identified that many factors are involved in treatment choices, not only in second-line but also in the third-line setting, when choosing between a variety of treatment options such as everolimus, chemotherapy, liver embolization and interferon-alpha. The main factors identified as relevant for decision making were Ki-67, rate of progression, tumour functionality and tumour burden. It is therefore clear that “one size does not fit all” when selecting treatment options, especially in the third-line setting. Based on this, discussion within multidisciplinary meetings when disease progression to prior therapies is documented is recommended, to secure that the best treatment choice is made.</w:t>
      </w:r>
    </w:p>
    <w:p w14:paraId="6D48EB55" w14:textId="77777777" w:rsidR="00A77B3E" w:rsidRDefault="00E3223D" w:rsidP="00773EB5">
      <w:pPr>
        <w:spacing w:line="360" w:lineRule="auto"/>
        <w:ind w:firstLineChars="100" w:firstLine="240"/>
        <w:jc w:val="both"/>
      </w:pPr>
      <w:r>
        <w:rPr>
          <w:rFonts w:ascii="Book Antiqua" w:eastAsia="Book Antiqua" w:hAnsi="Book Antiqua" w:cs="Book Antiqua"/>
          <w:color w:val="000000"/>
          <w:szCs w:val="22"/>
        </w:rPr>
        <w:t>The main strength of this work is the fact that responders were clinicians with wide experience in the management of NETs, thus including the insights of healthcare professionals with adequate expertise to answer the proposed questions and dilemmas. Unfortunately, the number of replies was limited, which is the main limitation of our work.</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addition, variability in drug access between different countries was likely to impact on some of the decision making steps, although it was not interrogated in the present work. Since treatment choices are based on approval and accessibility to drugs as well as reimbursement it remains unclear how much our findings are applicable to other countries including outside Europe.</w:t>
      </w:r>
      <w:bookmarkEnd w:id="127"/>
      <w:bookmarkEnd w:id="128"/>
      <w:bookmarkEnd w:id="129"/>
    </w:p>
    <w:p w14:paraId="21791411" w14:textId="77777777" w:rsidR="00A77B3E" w:rsidRDefault="00A77B3E">
      <w:pPr>
        <w:spacing w:line="360" w:lineRule="auto"/>
        <w:jc w:val="both"/>
      </w:pPr>
    </w:p>
    <w:p w14:paraId="3D039124" w14:textId="77777777" w:rsidR="00A77B3E" w:rsidRDefault="00E3223D">
      <w:pPr>
        <w:spacing w:line="360" w:lineRule="auto"/>
        <w:jc w:val="both"/>
      </w:pPr>
      <w:r>
        <w:rPr>
          <w:rFonts w:ascii="Book Antiqua" w:eastAsia="Book Antiqua" w:hAnsi="Book Antiqua" w:cs="Book Antiqua"/>
          <w:b/>
          <w:caps/>
          <w:color w:val="000000"/>
          <w:u w:val="single"/>
        </w:rPr>
        <w:t>CONCLUSION</w:t>
      </w:r>
    </w:p>
    <w:p w14:paraId="4CE3D810" w14:textId="77777777" w:rsidR="00A77B3E" w:rsidRDefault="00E3223D">
      <w:pPr>
        <w:spacing w:line="360" w:lineRule="auto"/>
        <w:jc w:val="both"/>
      </w:pPr>
      <w:bookmarkStart w:id="132" w:name="OLE_LINK145"/>
      <w:bookmarkStart w:id="133" w:name="OLE_LINK146"/>
      <w:r>
        <w:rPr>
          <w:rFonts w:ascii="Book Antiqua" w:eastAsia="Book Antiqua" w:hAnsi="Book Antiqua" w:cs="Book Antiqua"/>
          <w:color w:val="000000"/>
          <w:szCs w:val="22"/>
        </w:rPr>
        <w:t xml:space="preserve">In conclusion, our survey delineates a possible treatment algorithm in patients with advanced SBNET. While SSAs, PRRT and everolimus are usually considered preferred first, second and third-line options respectively, chemotherapy is generally used when all other available treatments have </w:t>
      </w:r>
      <w:r w:rsidR="00971CBE">
        <w:rPr>
          <w:rFonts w:ascii="Book Antiqua" w:eastAsia="Book Antiqua" w:hAnsi="Book Antiqua" w:cs="Book Antiqua"/>
          <w:color w:val="000000"/>
          <w:szCs w:val="22"/>
        </w:rPr>
        <w:t>failed</w:t>
      </w:r>
      <w:r>
        <w:rPr>
          <w:rFonts w:ascii="Book Antiqua" w:eastAsia="Book Antiqua" w:hAnsi="Book Antiqua" w:cs="Book Antiqua"/>
          <w:color w:val="000000"/>
          <w:szCs w:val="22"/>
        </w:rPr>
        <w:t xml:space="preserve">. Locoregional therapies appear particularly useful when facing patients with functioning tumours, but their use </w:t>
      </w:r>
      <w:r w:rsidR="00971CBE">
        <w:rPr>
          <w:rFonts w:ascii="Book Antiqua" w:eastAsia="Book Antiqua" w:hAnsi="Book Antiqua" w:cs="Book Antiqua"/>
          <w:color w:val="000000"/>
          <w:szCs w:val="22"/>
        </w:rPr>
        <w:t xml:space="preserve">is mainly limited to after at least </w:t>
      </w:r>
      <w:r>
        <w:rPr>
          <w:rFonts w:ascii="Book Antiqua" w:eastAsia="Book Antiqua" w:hAnsi="Book Antiqua" w:cs="Book Antiqua"/>
          <w:color w:val="000000"/>
          <w:szCs w:val="22"/>
        </w:rPr>
        <w:t xml:space="preserve">two </w:t>
      </w:r>
      <w:r w:rsidR="00971CBE">
        <w:rPr>
          <w:rFonts w:ascii="Book Antiqua" w:eastAsia="Book Antiqua" w:hAnsi="Book Antiqua" w:cs="Book Antiqua"/>
          <w:color w:val="000000"/>
          <w:szCs w:val="22"/>
        </w:rPr>
        <w:t xml:space="preserve">prior </w:t>
      </w:r>
      <w:r>
        <w:rPr>
          <w:rFonts w:ascii="Book Antiqua" w:eastAsia="Book Antiqua" w:hAnsi="Book Antiqua" w:cs="Book Antiqua"/>
          <w:color w:val="000000"/>
          <w:szCs w:val="22"/>
        </w:rPr>
        <w:t>lines of treatment. We were also able to identify relevant unanswered questions in the field of advanced SBNET treatment, mainly in regards to the role of maintenance SSA after PRRT for non-functioning tumours. Multiple factors were identified as relevant at time of decision making; among them, Ki-67, rate of progression, tumour functionality and tumour burden may have a key role in helping physicians tailoring the treatment. Based on this, we would encourage for treatment decisions to be made within a multidisciplinary setting.</w:t>
      </w:r>
    </w:p>
    <w:bookmarkEnd w:id="132"/>
    <w:bookmarkEnd w:id="133"/>
    <w:p w14:paraId="5BE4AA50" w14:textId="77777777" w:rsidR="00A77B3E" w:rsidRDefault="00A77B3E">
      <w:pPr>
        <w:spacing w:line="360" w:lineRule="auto"/>
        <w:jc w:val="both"/>
      </w:pPr>
    </w:p>
    <w:p w14:paraId="6E66AA5B" w14:textId="77777777" w:rsidR="00A77B3E" w:rsidRDefault="00E3223D">
      <w:pPr>
        <w:spacing w:line="360" w:lineRule="auto"/>
        <w:jc w:val="both"/>
      </w:pPr>
      <w:r>
        <w:rPr>
          <w:rFonts w:ascii="Book Antiqua" w:eastAsia="Book Antiqua" w:hAnsi="Book Antiqua" w:cs="Book Antiqua"/>
          <w:b/>
          <w:caps/>
          <w:color w:val="000000"/>
          <w:u w:val="single"/>
        </w:rPr>
        <w:t>ARTICLE HIGHLIGHTS</w:t>
      </w:r>
    </w:p>
    <w:p w14:paraId="73A26974" w14:textId="77777777" w:rsidR="00A77B3E" w:rsidRDefault="00E3223D">
      <w:pPr>
        <w:spacing w:line="360" w:lineRule="auto"/>
        <w:jc w:val="both"/>
      </w:pPr>
      <w:r>
        <w:rPr>
          <w:rFonts w:ascii="Book Antiqua" w:eastAsia="Book Antiqua" w:hAnsi="Book Antiqua" w:cs="Book Antiqua"/>
          <w:b/>
          <w:i/>
          <w:color w:val="000000"/>
        </w:rPr>
        <w:t>Research background</w:t>
      </w:r>
    </w:p>
    <w:p w14:paraId="38B485D8" w14:textId="77777777" w:rsidR="00A77B3E" w:rsidRPr="00097BD0" w:rsidRDefault="00E3223D">
      <w:pPr>
        <w:spacing w:line="360" w:lineRule="auto"/>
        <w:jc w:val="both"/>
        <w:rPr>
          <w:lang w:eastAsia="zh-CN"/>
        </w:rPr>
      </w:pPr>
      <w:bookmarkStart w:id="134" w:name="OLE_LINK147"/>
      <w:bookmarkStart w:id="135" w:name="OLE_LINK148"/>
      <w:bookmarkStart w:id="136" w:name="OLE_LINK149"/>
      <w:r>
        <w:rPr>
          <w:rFonts w:ascii="Book Antiqua" w:eastAsia="Book Antiqua" w:hAnsi="Book Antiqua" w:cs="Book Antiqua"/>
          <w:color w:val="000000"/>
        </w:rPr>
        <w:t xml:space="preserve">Adequate sequencing of treatment for </w:t>
      </w:r>
      <w:r w:rsidR="00773EB5" w:rsidRPr="00773EB5">
        <w:rPr>
          <w:rFonts w:ascii="Book Antiqua" w:eastAsia="Book Antiqua" w:hAnsi="Book Antiqua" w:cs="Book Antiqua"/>
          <w:color w:val="000000"/>
        </w:rPr>
        <w:t>small bowel neuroendocrine tumour</w:t>
      </w:r>
      <w:r w:rsidR="00773EB5">
        <w:rPr>
          <w:rFonts w:ascii="Book Antiqua" w:hAnsi="Book Antiqua" w:cs="Book Antiqua" w:hint="eastAsia"/>
          <w:color w:val="000000"/>
          <w:lang w:eastAsia="zh-CN"/>
        </w:rPr>
        <w:t xml:space="preserve"> (</w:t>
      </w:r>
      <w:r>
        <w:rPr>
          <w:rFonts w:ascii="Book Antiqua" w:eastAsia="Book Antiqua" w:hAnsi="Book Antiqua" w:cs="Book Antiqua"/>
          <w:color w:val="000000"/>
        </w:rPr>
        <w:t>SBNET</w:t>
      </w:r>
      <w:r w:rsidR="00773EB5">
        <w:rPr>
          <w:rFonts w:ascii="Book Antiqua" w:hAnsi="Book Antiqua" w:cs="Book Antiqua" w:hint="eastAsia"/>
          <w:color w:val="000000"/>
          <w:lang w:eastAsia="zh-CN"/>
        </w:rPr>
        <w:t>)</w:t>
      </w:r>
      <w:r>
        <w:rPr>
          <w:rFonts w:ascii="Book Antiqua" w:eastAsia="Book Antiqua" w:hAnsi="Book Antiqua" w:cs="Book Antiqua"/>
          <w:color w:val="000000"/>
        </w:rPr>
        <w:t> is unclear and likely to rely on multiple factors.</w:t>
      </w:r>
    </w:p>
    <w:bookmarkEnd w:id="134"/>
    <w:bookmarkEnd w:id="135"/>
    <w:bookmarkEnd w:id="136"/>
    <w:p w14:paraId="007F8F4E" w14:textId="77777777" w:rsidR="00A77B3E" w:rsidRDefault="00A77B3E">
      <w:pPr>
        <w:spacing w:line="360" w:lineRule="auto"/>
        <w:jc w:val="both"/>
      </w:pPr>
    </w:p>
    <w:p w14:paraId="38A96307" w14:textId="77777777" w:rsidR="00A77B3E" w:rsidRDefault="00E3223D">
      <w:pPr>
        <w:spacing w:line="360" w:lineRule="auto"/>
        <w:jc w:val="both"/>
      </w:pPr>
      <w:r>
        <w:rPr>
          <w:rFonts w:ascii="Book Antiqua" w:eastAsia="Book Antiqua" w:hAnsi="Book Antiqua" w:cs="Book Antiqua"/>
          <w:b/>
          <w:i/>
          <w:color w:val="000000"/>
        </w:rPr>
        <w:t>Research motivation</w:t>
      </w:r>
    </w:p>
    <w:p w14:paraId="5548C628" w14:textId="77777777" w:rsidR="00A77B3E" w:rsidRDefault="00E3223D">
      <w:pPr>
        <w:spacing w:line="360" w:lineRule="auto"/>
        <w:jc w:val="both"/>
      </w:pPr>
      <w:r>
        <w:rPr>
          <w:rFonts w:ascii="Book Antiqua" w:eastAsia="Book Antiqua" w:hAnsi="Book Antiqua" w:cs="Book Antiqua"/>
          <w:color w:val="000000"/>
        </w:rPr>
        <w:t>We aimed to understand current practice for advanced SBNET. </w:t>
      </w:r>
    </w:p>
    <w:p w14:paraId="63E6BDD4" w14:textId="77777777" w:rsidR="00A77B3E" w:rsidRDefault="00A77B3E">
      <w:pPr>
        <w:spacing w:line="360" w:lineRule="auto"/>
        <w:jc w:val="both"/>
      </w:pPr>
    </w:p>
    <w:p w14:paraId="260D4AEE" w14:textId="77777777" w:rsidR="00A77B3E" w:rsidRDefault="00E3223D">
      <w:pPr>
        <w:spacing w:line="360" w:lineRule="auto"/>
        <w:jc w:val="both"/>
      </w:pPr>
      <w:r>
        <w:rPr>
          <w:rFonts w:ascii="Book Antiqua" w:eastAsia="Book Antiqua" w:hAnsi="Book Antiqua" w:cs="Book Antiqua"/>
          <w:b/>
          <w:i/>
          <w:color w:val="000000"/>
        </w:rPr>
        <w:t>Research objectives</w:t>
      </w:r>
    </w:p>
    <w:p w14:paraId="670048ED" w14:textId="77777777" w:rsidR="00A77B3E" w:rsidRDefault="00E3223D">
      <w:pPr>
        <w:spacing w:line="360" w:lineRule="auto"/>
        <w:jc w:val="both"/>
      </w:pPr>
      <w:r>
        <w:rPr>
          <w:rFonts w:ascii="Book Antiqua" w:eastAsia="Book Antiqua" w:hAnsi="Book Antiqua" w:cs="Book Antiqua"/>
          <w:color w:val="000000"/>
        </w:rPr>
        <w:t>This international survey aimed to collect data on current algorithms and main factors involved in decision making process. </w:t>
      </w:r>
    </w:p>
    <w:p w14:paraId="10FA9C58" w14:textId="77777777" w:rsidR="00A77B3E" w:rsidRDefault="00A77B3E">
      <w:pPr>
        <w:spacing w:line="360" w:lineRule="auto"/>
        <w:jc w:val="both"/>
      </w:pPr>
    </w:p>
    <w:p w14:paraId="794C9330" w14:textId="77777777" w:rsidR="00A77B3E" w:rsidRDefault="00E3223D">
      <w:pPr>
        <w:spacing w:line="360" w:lineRule="auto"/>
        <w:jc w:val="both"/>
      </w:pPr>
      <w:r>
        <w:rPr>
          <w:rFonts w:ascii="Book Antiqua" w:eastAsia="Book Antiqua" w:hAnsi="Book Antiqua" w:cs="Book Antiqua"/>
          <w:b/>
          <w:i/>
          <w:color w:val="000000"/>
        </w:rPr>
        <w:t>Research methods</w:t>
      </w:r>
    </w:p>
    <w:p w14:paraId="09B793A0" w14:textId="77777777" w:rsidR="00A77B3E" w:rsidRDefault="00E3223D">
      <w:pPr>
        <w:spacing w:line="360" w:lineRule="auto"/>
        <w:jc w:val="both"/>
      </w:pPr>
      <w:r>
        <w:rPr>
          <w:rFonts w:ascii="Book Antiqua" w:eastAsia="Book Antiqua" w:hAnsi="Book Antiqua" w:cs="Book Antiqua"/>
          <w:color w:val="000000"/>
        </w:rPr>
        <w:t xml:space="preserve">An international survey was completed by many health care professionals with an expertise in </w:t>
      </w:r>
      <w:r w:rsidR="00633FF5" w:rsidRPr="00633FF5">
        <w:rPr>
          <w:rFonts w:ascii="Book Antiqua" w:eastAsia="Book Antiqua" w:hAnsi="Book Antiqua" w:cs="Book Antiqua"/>
          <w:color w:val="000000"/>
        </w:rPr>
        <w:t>neuroendocrine tumours</w:t>
      </w:r>
      <w:r>
        <w:rPr>
          <w:rFonts w:ascii="Book Antiqua" w:eastAsia="Book Antiqua" w:hAnsi="Book Antiqua" w:cs="Book Antiqua"/>
          <w:color w:val="000000"/>
        </w:rPr>
        <w:t>. </w:t>
      </w:r>
    </w:p>
    <w:p w14:paraId="62A705EA" w14:textId="77777777" w:rsidR="00A77B3E" w:rsidRDefault="00A77B3E">
      <w:pPr>
        <w:spacing w:line="360" w:lineRule="auto"/>
        <w:jc w:val="both"/>
      </w:pPr>
    </w:p>
    <w:p w14:paraId="3C9AC2F7" w14:textId="77777777" w:rsidR="00A77B3E" w:rsidRDefault="00E3223D">
      <w:pPr>
        <w:spacing w:line="360" w:lineRule="auto"/>
        <w:jc w:val="both"/>
      </w:pPr>
      <w:r>
        <w:rPr>
          <w:rFonts w:ascii="Book Antiqua" w:eastAsia="Book Antiqua" w:hAnsi="Book Antiqua" w:cs="Book Antiqua"/>
          <w:b/>
          <w:i/>
          <w:color w:val="000000"/>
        </w:rPr>
        <w:t>Research results</w:t>
      </w:r>
    </w:p>
    <w:p w14:paraId="18365938" w14:textId="77777777" w:rsidR="00A77B3E" w:rsidRDefault="00E3223D">
      <w:pPr>
        <w:spacing w:line="360" w:lineRule="auto"/>
        <w:jc w:val="both"/>
      </w:pPr>
      <w:bookmarkStart w:id="137" w:name="OLE_LINK150"/>
      <w:bookmarkStart w:id="138" w:name="OLE_LINK151"/>
      <w:r>
        <w:rPr>
          <w:rFonts w:ascii="Book Antiqua" w:eastAsia="Book Antiqua" w:hAnsi="Book Antiqua" w:cs="Book Antiqua"/>
          <w:color w:val="000000"/>
        </w:rPr>
        <w:t xml:space="preserve">Our survey delineates a possible treatment algorithm in patients with advanced SBNET. While </w:t>
      </w:r>
      <w:r w:rsidR="004A3E89" w:rsidRPr="004A3E89">
        <w:rPr>
          <w:rFonts w:ascii="Book Antiqua" w:eastAsia="Book Antiqua" w:hAnsi="Book Antiqua" w:cs="Book Antiqua"/>
          <w:color w:val="000000"/>
        </w:rPr>
        <w:t xml:space="preserve">somatostatin analogues </w:t>
      </w:r>
      <w:r w:rsidR="004A3E89">
        <w:rPr>
          <w:rFonts w:ascii="Book Antiqua" w:hAnsi="Book Antiqua" w:cs="Book Antiqua" w:hint="eastAsia"/>
          <w:color w:val="000000"/>
          <w:lang w:eastAsia="zh-CN"/>
        </w:rPr>
        <w:t>(</w:t>
      </w:r>
      <w:r>
        <w:rPr>
          <w:rFonts w:ascii="Book Antiqua" w:eastAsia="Book Antiqua" w:hAnsi="Book Antiqua" w:cs="Book Antiqua"/>
          <w:color w:val="000000"/>
        </w:rPr>
        <w:t>SSAs</w:t>
      </w:r>
      <w:r w:rsidR="004A3E8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A3E89" w:rsidRPr="004A3E89">
        <w:rPr>
          <w:rFonts w:ascii="Book Antiqua" w:eastAsia="Book Antiqua" w:hAnsi="Book Antiqua" w:cs="Book Antiqua"/>
          <w:color w:val="000000"/>
        </w:rPr>
        <w:t xml:space="preserve">peptide receptor radionuclide therapy </w:t>
      </w:r>
      <w:r w:rsidR="004A3E89">
        <w:rPr>
          <w:rFonts w:ascii="Book Antiqua" w:hAnsi="Book Antiqua" w:cs="Book Antiqua" w:hint="eastAsia"/>
          <w:color w:val="000000"/>
          <w:lang w:eastAsia="zh-CN"/>
        </w:rPr>
        <w:t>(</w:t>
      </w:r>
      <w:r>
        <w:rPr>
          <w:rFonts w:ascii="Book Antiqua" w:eastAsia="Book Antiqua" w:hAnsi="Book Antiqua" w:cs="Book Antiqua"/>
          <w:color w:val="000000"/>
        </w:rPr>
        <w:t>PRRT</w:t>
      </w:r>
      <w:r w:rsidR="004A3E89">
        <w:rPr>
          <w:rFonts w:ascii="Book Antiqua" w:hAnsi="Book Antiqua" w:cs="Book Antiqua" w:hint="eastAsia"/>
          <w:color w:val="000000"/>
          <w:lang w:eastAsia="zh-CN"/>
        </w:rPr>
        <w:t>)</w:t>
      </w:r>
      <w:r>
        <w:rPr>
          <w:rFonts w:ascii="Book Antiqua" w:eastAsia="Book Antiqua" w:hAnsi="Book Antiqua" w:cs="Book Antiqua"/>
          <w:color w:val="000000"/>
        </w:rPr>
        <w:t xml:space="preserve"> and everolimus are usually considered preferred first, second and third-line options respectively, chemotherapy is generally used when all other available treatments have been used. Locoregional therapies appear particularly useful when facing patients with functioning tumours, but their use commonly follows the first two lines of treatment. </w:t>
      </w:r>
    </w:p>
    <w:bookmarkEnd w:id="137"/>
    <w:bookmarkEnd w:id="138"/>
    <w:p w14:paraId="78098ADD" w14:textId="77777777" w:rsidR="00A77B3E" w:rsidRDefault="00A77B3E">
      <w:pPr>
        <w:spacing w:line="360" w:lineRule="auto"/>
        <w:jc w:val="both"/>
      </w:pPr>
    </w:p>
    <w:p w14:paraId="2121321A" w14:textId="77777777" w:rsidR="00A77B3E" w:rsidRDefault="00E3223D">
      <w:pPr>
        <w:spacing w:line="360" w:lineRule="auto"/>
        <w:jc w:val="both"/>
      </w:pPr>
      <w:r>
        <w:rPr>
          <w:rFonts w:ascii="Book Antiqua" w:eastAsia="Book Antiqua" w:hAnsi="Book Antiqua" w:cs="Book Antiqua"/>
          <w:b/>
          <w:i/>
          <w:color w:val="000000"/>
        </w:rPr>
        <w:t>Research conclusions</w:t>
      </w:r>
    </w:p>
    <w:p w14:paraId="118BE5FE" w14:textId="77777777" w:rsidR="00A77B3E" w:rsidRDefault="00E3223D">
      <w:pPr>
        <w:spacing w:line="360" w:lineRule="auto"/>
        <w:jc w:val="both"/>
      </w:pPr>
      <w:bookmarkStart w:id="139" w:name="OLE_LINK152"/>
      <w:bookmarkStart w:id="140" w:name="OLE_LINK153"/>
      <w:r>
        <w:rPr>
          <w:rFonts w:ascii="Book Antiqua" w:eastAsia="Book Antiqua" w:hAnsi="Book Antiqua" w:cs="Book Antiqua"/>
          <w:color w:val="000000"/>
        </w:rPr>
        <w:t>We were also able to identify relevant unanswered questions in the field of advanced SBNET treatment, mainly in regards to the role of maintenance SSA after PRRT for non-functioning tumours. Multiple factors were identified as relevant at time of decision making; among them, Ki-67, rate of progression, tumour functionality and tumour burden may have a key role in helping physicians tailoring the treatment. </w:t>
      </w:r>
    </w:p>
    <w:bookmarkEnd w:id="139"/>
    <w:bookmarkEnd w:id="140"/>
    <w:p w14:paraId="3F02ECE2" w14:textId="77777777" w:rsidR="00A77B3E" w:rsidRDefault="00A77B3E">
      <w:pPr>
        <w:spacing w:line="360" w:lineRule="auto"/>
        <w:jc w:val="both"/>
      </w:pPr>
    </w:p>
    <w:p w14:paraId="6E466900" w14:textId="77777777" w:rsidR="00A77B3E" w:rsidRDefault="00E3223D">
      <w:pPr>
        <w:spacing w:line="360" w:lineRule="auto"/>
        <w:jc w:val="both"/>
      </w:pPr>
      <w:r>
        <w:rPr>
          <w:rFonts w:ascii="Book Antiqua" w:eastAsia="Book Antiqua" w:hAnsi="Book Antiqua" w:cs="Book Antiqua"/>
          <w:b/>
          <w:i/>
          <w:color w:val="000000"/>
        </w:rPr>
        <w:t>Research perspectives</w:t>
      </w:r>
    </w:p>
    <w:p w14:paraId="1E37091B" w14:textId="77777777" w:rsidR="00A77B3E" w:rsidRDefault="00E3223D">
      <w:pPr>
        <w:spacing w:line="360" w:lineRule="auto"/>
        <w:jc w:val="both"/>
      </w:pPr>
      <w:bookmarkStart w:id="141" w:name="OLE_LINK154"/>
      <w:bookmarkStart w:id="142" w:name="OLE_LINK155"/>
      <w:r>
        <w:rPr>
          <w:rFonts w:ascii="Book Antiqua" w:eastAsia="Book Antiqua" w:hAnsi="Book Antiqua" w:cs="Book Antiqua"/>
          <w:color w:val="000000"/>
        </w:rPr>
        <w:t>Based on this, we would encourage for treatment decisions to be made within a multidisciplinary setting.</w:t>
      </w:r>
    </w:p>
    <w:bookmarkEnd w:id="141"/>
    <w:bookmarkEnd w:id="142"/>
    <w:p w14:paraId="40651E0F" w14:textId="77777777" w:rsidR="00A77B3E" w:rsidRDefault="00A77B3E">
      <w:pPr>
        <w:spacing w:line="360" w:lineRule="auto"/>
        <w:jc w:val="both"/>
      </w:pPr>
    </w:p>
    <w:p w14:paraId="023F09B5" w14:textId="77777777" w:rsidR="00A77B3E" w:rsidRDefault="00E3223D">
      <w:pPr>
        <w:spacing w:line="360" w:lineRule="auto"/>
        <w:jc w:val="both"/>
      </w:pPr>
      <w:r>
        <w:rPr>
          <w:rFonts w:ascii="Book Antiqua" w:eastAsia="Book Antiqua" w:hAnsi="Book Antiqua" w:cs="Book Antiqua"/>
          <w:b/>
          <w:caps/>
          <w:color w:val="000000"/>
          <w:u w:val="single"/>
        </w:rPr>
        <w:t>ACKNOWLEDGEMENTS</w:t>
      </w:r>
    </w:p>
    <w:p w14:paraId="47641994" w14:textId="77777777" w:rsidR="00A77B3E" w:rsidRDefault="00E3223D">
      <w:pPr>
        <w:spacing w:line="360" w:lineRule="auto"/>
        <w:jc w:val="both"/>
      </w:pPr>
      <w:bookmarkStart w:id="143" w:name="OLE_LINK156"/>
      <w:bookmarkStart w:id="144" w:name="OLE_LINK157"/>
      <w:r>
        <w:rPr>
          <w:rFonts w:ascii="Book Antiqua" w:eastAsia="Book Antiqua" w:hAnsi="Book Antiqua" w:cs="Book Antiqua"/>
          <w:color w:val="000000"/>
        </w:rPr>
        <w:t>Dr Angela Lamarca received funding from The Christie Charity. Dr</w:t>
      </w:r>
      <w:r w:rsidR="00452ED9">
        <w:rPr>
          <w:rFonts w:ascii="Book Antiqua" w:eastAsia="Book Antiqua" w:hAnsi="Book Antiqua" w:cs="Book Antiqua"/>
          <w:color w:val="000000"/>
        </w:rPr>
        <w:t>.</w:t>
      </w:r>
      <w:r>
        <w:rPr>
          <w:rFonts w:ascii="Book Antiqua" w:eastAsia="Book Antiqua" w:hAnsi="Book Antiqua" w:cs="Book Antiqua"/>
          <w:color w:val="000000"/>
        </w:rPr>
        <w:t xml:space="preserve"> Joakim Crona received funding from Cancerfonden. The design of the survey and its distribution was supported by COR2ED and the NETConnect group (funded by Ipsen).</w:t>
      </w:r>
    </w:p>
    <w:bookmarkEnd w:id="143"/>
    <w:bookmarkEnd w:id="144"/>
    <w:p w14:paraId="66361EC7" w14:textId="77777777" w:rsidR="00A77B3E" w:rsidRDefault="00A77B3E">
      <w:pPr>
        <w:spacing w:line="360" w:lineRule="auto"/>
        <w:jc w:val="both"/>
      </w:pPr>
    </w:p>
    <w:p w14:paraId="4547AB3C" w14:textId="77777777" w:rsidR="00A77B3E" w:rsidRPr="001C4443" w:rsidRDefault="00E3223D" w:rsidP="001C4443">
      <w:pPr>
        <w:adjustRightInd w:val="0"/>
        <w:snapToGrid w:val="0"/>
        <w:spacing w:line="360" w:lineRule="auto"/>
        <w:jc w:val="both"/>
        <w:rPr>
          <w:rFonts w:ascii="Book Antiqua" w:hAnsi="Book Antiqua"/>
        </w:rPr>
      </w:pPr>
      <w:r w:rsidRPr="001C4443">
        <w:rPr>
          <w:rFonts w:ascii="Book Antiqua" w:eastAsia="Book Antiqua" w:hAnsi="Book Antiqua" w:cs="Book Antiqua"/>
          <w:b/>
        </w:rPr>
        <w:t>REFERENCES</w:t>
      </w:r>
    </w:p>
    <w:p w14:paraId="6980E8B2"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bookmarkStart w:id="145" w:name="OLE_LINK62"/>
      <w:bookmarkStart w:id="146" w:name="OLE_LINK63"/>
      <w:bookmarkStart w:id="147" w:name="OLE_LINK64"/>
      <w:bookmarkStart w:id="148" w:name="OLE_LINK65"/>
      <w:r w:rsidRPr="00542DD8">
        <w:rPr>
          <w:rFonts w:ascii="Book Antiqua" w:hAnsi="Book Antiqua"/>
        </w:rPr>
        <w:t>1 </w:t>
      </w:r>
      <w:r w:rsidRPr="00542DD8">
        <w:rPr>
          <w:rFonts w:ascii="Book Antiqua" w:hAnsi="Book Antiqua"/>
          <w:b/>
          <w:bCs/>
        </w:rPr>
        <w:t>Dasari A</w:t>
      </w:r>
      <w:r w:rsidRPr="00542DD8">
        <w:rPr>
          <w:rFonts w:ascii="Book Antiqua" w:hAnsi="Book Antiqua"/>
        </w:rPr>
        <w:t>, Shen C, Halperin D, Zhao B, Zhou S, Xu Y, Shih T, Yao JC. Trends in the Incidence, Prevalence, and Survival Outcomes in Patients With Neuroendocrine Tumors in the United States. </w:t>
      </w:r>
      <w:r w:rsidRPr="00542DD8">
        <w:rPr>
          <w:rFonts w:ascii="Book Antiqua" w:hAnsi="Book Antiqua"/>
          <w:i/>
          <w:iCs/>
        </w:rPr>
        <w:t>JAMA Oncol</w:t>
      </w:r>
      <w:r w:rsidRPr="00542DD8">
        <w:rPr>
          <w:rFonts w:ascii="Book Antiqua" w:hAnsi="Book Antiqua"/>
        </w:rPr>
        <w:t> 2017; </w:t>
      </w:r>
      <w:r w:rsidRPr="00542DD8">
        <w:rPr>
          <w:rFonts w:ascii="Book Antiqua" w:hAnsi="Book Antiqua"/>
          <w:b/>
          <w:bCs/>
        </w:rPr>
        <w:t>3</w:t>
      </w:r>
      <w:r w:rsidRPr="00542DD8">
        <w:rPr>
          <w:rFonts w:ascii="Book Antiqua" w:hAnsi="Book Antiqua"/>
        </w:rPr>
        <w:t>: 1335-1342 [PMID: 28448665 DOI: 10.1001/jamaoncol.2017.0589]</w:t>
      </w:r>
    </w:p>
    <w:p w14:paraId="116BF4F2" w14:textId="77777777" w:rsidR="00542DD8" w:rsidRPr="00797D1D"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2 </w:t>
      </w:r>
      <w:r w:rsidR="00797D1D" w:rsidRPr="00797D1D">
        <w:rPr>
          <w:rFonts w:ascii="Book Antiqua" w:hAnsi="Book Antiqua"/>
          <w:b/>
          <w:bCs/>
        </w:rPr>
        <w:t>Auernhammer CJ</w:t>
      </w:r>
      <w:r w:rsidR="00797D1D" w:rsidRPr="00797D1D">
        <w:rPr>
          <w:rFonts w:ascii="Book Antiqua" w:hAnsi="Book Antiqua"/>
          <w:bCs/>
        </w:rPr>
        <w:t xml:space="preserve">, Spitzweg C, Angele MK, Boeck S, Grossman A, Nölting S, Ilhan H, Knösel T, Mayerle J, Reincke M, Bartenstein P. Advanced neuroendocrine tumours of the small intestine and pancreas: clinical developments, controversies, and future strategies. </w:t>
      </w:r>
      <w:r w:rsidR="00797D1D">
        <w:rPr>
          <w:rFonts w:ascii="Book Antiqua" w:hAnsi="Book Antiqua"/>
          <w:bCs/>
          <w:i/>
        </w:rPr>
        <w:t>Lancet Diabetes Endocrinol</w:t>
      </w:r>
      <w:r w:rsidR="00797D1D" w:rsidRPr="00797D1D">
        <w:rPr>
          <w:rFonts w:ascii="Book Antiqua" w:hAnsi="Book Antiqua"/>
          <w:bCs/>
          <w:i/>
        </w:rPr>
        <w:t xml:space="preserve"> </w:t>
      </w:r>
      <w:r w:rsidR="00797D1D">
        <w:rPr>
          <w:rFonts w:ascii="Book Antiqua" w:hAnsi="Book Antiqua"/>
          <w:bCs/>
        </w:rPr>
        <w:t>2018</w:t>
      </w:r>
      <w:r w:rsidR="00797D1D" w:rsidRPr="00797D1D">
        <w:rPr>
          <w:rFonts w:ascii="Book Antiqua" w:hAnsi="Book Antiqua"/>
          <w:bCs/>
        </w:rPr>
        <w:t>;</w:t>
      </w:r>
      <w:r w:rsidR="00797D1D">
        <w:rPr>
          <w:rFonts w:ascii="Book Antiqua" w:hAnsi="Book Antiqua" w:hint="eastAsia"/>
          <w:bCs/>
        </w:rPr>
        <w:t xml:space="preserve"> </w:t>
      </w:r>
      <w:r w:rsidR="00797D1D" w:rsidRPr="00797D1D">
        <w:rPr>
          <w:rFonts w:ascii="Book Antiqua" w:hAnsi="Book Antiqua"/>
          <w:b/>
          <w:bCs/>
        </w:rPr>
        <w:t>6</w:t>
      </w:r>
      <w:r w:rsidR="00797D1D" w:rsidRPr="00797D1D">
        <w:rPr>
          <w:rFonts w:ascii="Book Antiqua" w:hAnsi="Book Antiqua"/>
          <w:bCs/>
        </w:rPr>
        <w:t>:</w:t>
      </w:r>
      <w:r w:rsidR="00797D1D">
        <w:rPr>
          <w:rFonts w:ascii="Book Antiqua" w:hAnsi="Book Antiqua" w:hint="eastAsia"/>
          <w:bCs/>
        </w:rPr>
        <w:t xml:space="preserve"> </w:t>
      </w:r>
      <w:r w:rsidR="00797D1D">
        <w:rPr>
          <w:rFonts w:ascii="Book Antiqua" w:hAnsi="Book Antiqua"/>
          <w:bCs/>
        </w:rPr>
        <w:t>404-415</w:t>
      </w:r>
      <w:r w:rsidR="00797D1D" w:rsidRPr="00797D1D">
        <w:rPr>
          <w:rFonts w:ascii="Book Antiqua" w:hAnsi="Book Antiqua"/>
          <w:bCs/>
        </w:rPr>
        <w:t xml:space="preserve"> </w:t>
      </w:r>
      <w:r w:rsidR="00797D1D">
        <w:rPr>
          <w:rFonts w:ascii="Book Antiqua" w:hAnsi="Book Antiqua" w:hint="eastAsia"/>
          <w:bCs/>
        </w:rPr>
        <w:t>[</w:t>
      </w:r>
      <w:r w:rsidR="00797D1D" w:rsidRPr="00797D1D">
        <w:rPr>
          <w:rFonts w:ascii="Book Antiqua" w:hAnsi="Book Antiqua"/>
          <w:bCs/>
        </w:rPr>
        <w:t>PMID: 29229497</w:t>
      </w:r>
      <w:r w:rsidR="00797D1D">
        <w:rPr>
          <w:rFonts w:ascii="Book Antiqua" w:hAnsi="Book Antiqua" w:hint="eastAsia"/>
          <w:bCs/>
        </w:rPr>
        <w:t xml:space="preserve"> DOI</w:t>
      </w:r>
      <w:r w:rsidR="00797D1D" w:rsidRPr="00797D1D">
        <w:rPr>
          <w:rFonts w:ascii="Book Antiqua" w:hAnsi="Book Antiqua"/>
          <w:bCs/>
        </w:rPr>
        <w:t>: 10.1016/S2213-8587(17)30401-1</w:t>
      </w:r>
      <w:r w:rsidR="00797D1D">
        <w:rPr>
          <w:rFonts w:ascii="Book Antiqua" w:hAnsi="Book Antiqua" w:hint="eastAsia"/>
          <w:bCs/>
        </w:rPr>
        <w:t>]</w:t>
      </w:r>
    </w:p>
    <w:p w14:paraId="75A09A30"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3 </w:t>
      </w:r>
      <w:r w:rsidRPr="00542DD8">
        <w:rPr>
          <w:rFonts w:ascii="Book Antiqua" w:hAnsi="Book Antiqua"/>
          <w:b/>
          <w:bCs/>
        </w:rPr>
        <w:t>Lyseng-Williamson KA</w:t>
      </w:r>
      <w:r w:rsidRPr="00542DD8">
        <w:rPr>
          <w:rFonts w:ascii="Book Antiqua" w:hAnsi="Book Antiqua"/>
        </w:rPr>
        <w:t>. Telotristat Ethyl: A Review in Carcinoid Syndrome Diarrhoea. </w:t>
      </w:r>
      <w:r w:rsidRPr="00542DD8">
        <w:rPr>
          <w:rFonts w:ascii="Book Antiqua" w:hAnsi="Book Antiqua"/>
          <w:i/>
          <w:iCs/>
        </w:rPr>
        <w:t>Drugs</w:t>
      </w:r>
      <w:r w:rsidRPr="00542DD8">
        <w:rPr>
          <w:rFonts w:ascii="Book Antiqua" w:hAnsi="Book Antiqua"/>
        </w:rPr>
        <w:t> 2018; </w:t>
      </w:r>
      <w:r w:rsidRPr="00542DD8">
        <w:rPr>
          <w:rFonts w:ascii="Book Antiqua" w:hAnsi="Book Antiqua"/>
          <w:b/>
          <w:bCs/>
        </w:rPr>
        <w:t>78</w:t>
      </w:r>
      <w:r w:rsidRPr="00542DD8">
        <w:rPr>
          <w:rFonts w:ascii="Book Antiqua" w:hAnsi="Book Antiqua"/>
        </w:rPr>
        <w:t>: 941-950 [PMID: 29931594 DOI: 10.1007/s40265-018-0935-1]</w:t>
      </w:r>
    </w:p>
    <w:p w14:paraId="2D481F12" w14:textId="77777777" w:rsidR="00121E05" w:rsidRPr="00121E05" w:rsidRDefault="00121E05" w:rsidP="00542DD8">
      <w:pPr>
        <w:pStyle w:val="a9"/>
        <w:shd w:val="clear" w:color="auto" w:fill="FFFFFF"/>
        <w:adjustRightInd w:val="0"/>
        <w:snapToGrid w:val="0"/>
        <w:spacing w:before="0" w:beforeAutospacing="0" w:after="0" w:afterAutospacing="0" w:line="360" w:lineRule="auto"/>
        <w:jc w:val="both"/>
        <w:rPr>
          <w:rFonts w:ascii="Book Antiqua" w:hAnsi="Book Antiqua"/>
          <w:highlight w:val="yellow"/>
        </w:rPr>
      </w:pPr>
      <w:r w:rsidRPr="00121E05">
        <w:rPr>
          <w:rFonts w:ascii="Book Antiqua" w:hAnsi="Book Antiqua" w:hint="eastAsia"/>
        </w:rPr>
        <w:t xml:space="preserve">4 </w:t>
      </w:r>
      <w:r w:rsidRPr="00121E05">
        <w:rPr>
          <w:rFonts w:ascii="Book Antiqua" w:hAnsi="Book Antiqua"/>
          <w:b/>
        </w:rPr>
        <w:t>Scott AT</w:t>
      </w:r>
      <w:r w:rsidRPr="00121E05">
        <w:rPr>
          <w:rFonts w:ascii="Book Antiqua" w:hAnsi="Book Antiqua"/>
        </w:rPr>
        <w:t>, Howe JR. Management of Small Bowel Neuroendocrine Tumors.</w:t>
      </w:r>
      <w:r w:rsidRPr="00121E05">
        <w:rPr>
          <w:rFonts w:ascii="Book Antiqua" w:hAnsi="Book Antiqua"/>
          <w:i/>
        </w:rPr>
        <w:t xml:space="preserve"> J Oncol Pract</w:t>
      </w:r>
      <w:r>
        <w:rPr>
          <w:rFonts w:ascii="Book Antiqua" w:hAnsi="Book Antiqua"/>
        </w:rPr>
        <w:t xml:space="preserve"> 2018</w:t>
      </w:r>
      <w:r w:rsidRPr="00121E05">
        <w:rPr>
          <w:rFonts w:ascii="Book Antiqua" w:hAnsi="Book Antiqua"/>
        </w:rPr>
        <w:t>;</w:t>
      </w:r>
      <w:r>
        <w:rPr>
          <w:rFonts w:ascii="Book Antiqua" w:hAnsi="Book Antiqua" w:hint="eastAsia"/>
        </w:rPr>
        <w:t xml:space="preserve"> </w:t>
      </w:r>
      <w:r>
        <w:rPr>
          <w:rFonts w:ascii="Book Antiqua" w:hAnsi="Book Antiqua"/>
        </w:rPr>
        <w:t>14</w:t>
      </w:r>
      <w:r w:rsidRPr="00121E05">
        <w:rPr>
          <w:rFonts w:ascii="Book Antiqua" w:hAnsi="Book Antiqua"/>
        </w:rPr>
        <w:t>:</w:t>
      </w:r>
      <w:r>
        <w:rPr>
          <w:rFonts w:ascii="Book Antiqua" w:hAnsi="Book Antiqua" w:hint="eastAsia"/>
        </w:rPr>
        <w:t xml:space="preserve"> </w:t>
      </w:r>
      <w:r>
        <w:rPr>
          <w:rFonts w:ascii="Book Antiqua" w:hAnsi="Book Antiqua"/>
        </w:rPr>
        <w:t>471-482</w:t>
      </w:r>
      <w:r w:rsidRPr="00121E05">
        <w:rPr>
          <w:rFonts w:ascii="Book Antiqua" w:hAnsi="Book Antiqua"/>
        </w:rPr>
        <w:t xml:space="preserve"> </w:t>
      </w:r>
      <w:r>
        <w:rPr>
          <w:rFonts w:ascii="Book Antiqua" w:hAnsi="Book Antiqua" w:hint="eastAsia"/>
        </w:rPr>
        <w:t>[</w:t>
      </w:r>
      <w:r w:rsidRPr="00121E05">
        <w:rPr>
          <w:rFonts w:ascii="Book Antiqua" w:hAnsi="Book Antiqua"/>
        </w:rPr>
        <w:t>PMID: 30096273</w:t>
      </w:r>
      <w:r>
        <w:rPr>
          <w:rFonts w:ascii="Book Antiqua" w:hAnsi="Book Antiqua" w:hint="eastAsia"/>
        </w:rPr>
        <w:t xml:space="preserve"> DOI</w:t>
      </w:r>
      <w:r>
        <w:rPr>
          <w:rFonts w:ascii="Book Antiqua" w:hAnsi="Book Antiqua"/>
        </w:rPr>
        <w:t>: 10.1200/JOP.18.00135</w:t>
      </w:r>
      <w:r>
        <w:rPr>
          <w:rFonts w:ascii="Book Antiqua" w:hAnsi="Book Antiqua" w:hint="eastAsia"/>
        </w:rPr>
        <w:t>]</w:t>
      </w:r>
    </w:p>
    <w:p w14:paraId="42DCC44A"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23197D">
        <w:rPr>
          <w:rFonts w:ascii="Book Antiqua" w:hAnsi="Book Antiqua"/>
          <w:highlight w:val="yellow"/>
        </w:rPr>
        <w:t>5 </w:t>
      </w:r>
      <w:bookmarkStart w:id="149" w:name="OLE_LINK166"/>
      <w:bookmarkStart w:id="150" w:name="OLE_LINK167"/>
      <w:bookmarkStart w:id="151" w:name="OLE_LINK168"/>
      <w:r w:rsidR="0023197D" w:rsidRPr="0023197D">
        <w:rPr>
          <w:rFonts w:ascii="Book Antiqua" w:hAnsi="Book Antiqua"/>
          <w:b/>
          <w:bCs/>
          <w:highlight w:val="yellow"/>
        </w:rPr>
        <w:t>Lloyd RV</w:t>
      </w:r>
      <w:r w:rsidR="0023197D" w:rsidRPr="0023197D">
        <w:rPr>
          <w:rFonts w:ascii="Book Antiqua" w:hAnsi="Book Antiqua"/>
          <w:bCs/>
          <w:highlight w:val="yellow"/>
        </w:rPr>
        <w:t>, Osamura RY, Klöppel G, Rosai J</w:t>
      </w:r>
      <w:r w:rsidR="0023197D" w:rsidRPr="0023197D">
        <w:rPr>
          <w:rFonts w:ascii="Book Antiqua" w:hAnsi="Book Antiqua" w:hint="eastAsia"/>
          <w:highlight w:val="yellow"/>
        </w:rPr>
        <w:t>.</w:t>
      </w:r>
      <w:r w:rsidRPr="0023197D">
        <w:rPr>
          <w:rFonts w:ascii="Book Antiqua" w:hAnsi="Book Antiqua"/>
          <w:highlight w:val="yellow"/>
        </w:rPr>
        <w:t xml:space="preserve"> WHO classification of tumours: pathology and genetics of tumours of endocrine organs</w:t>
      </w:r>
      <w:bookmarkEnd w:id="149"/>
      <w:bookmarkEnd w:id="150"/>
      <w:bookmarkEnd w:id="151"/>
      <w:r w:rsidRPr="0023197D">
        <w:rPr>
          <w:rFonts w:ascii="Book Antiqua" w:hAnsi="Book Antiqua"/>
          <w:highlight w:val="yellow"/>
        </w:rPr>
        <w:t xml:space="preserve">. </w:t>
      </w:r>
      <w:bookmarkStart w:id="152" w:name="OLE_LINK175"/>
      <w:bookmarkStart w:id="153" w:name="OLE_LINK176"/>
      <w:r w:rsidR="0023197D" w:rsidRPr="0023197D">
        <w:rPr>
          <w:rFonts w:ascii="Book Antiqua" w:hAnsi="Book Antiqua"/>
          <w:highlight w:val="yellow"/>
        </w:rPr>
        <w:t>4th ed</w:t>
      </w:r>
      <w:r w:rsidR="0023197D">
        <w:rPr>
          <w:rFonts w:ascii="Book Antiqua" w:hAnsi="Book Antiqua"/>
          <w:highlight w:val="yellow"/>
        </w:rPr>
        <w:t>.</w:t>
      </w:r>
      <w:bookmarkEnd w:id="152"/>
      <w:bookmarkEnd w:id="153"/>
      <w:r w:rsidR="0023197D">
        <w:rPr>
          <w:rFonts w:ascii="Book Antiqua" w:hAnsi="Book Antiqua"/>
          <w:highlight w:val="yellow"/>
        </w:rPr>
        <w:t xml:space="preserve"> Lyon: IARC</w:t>
      </w:r>
      <w:r w:rsidR="0023197D">
        <w:rPr>
          <w:rFonts w:ascii="Book Antiqua" w:hAnsi="Book Antiqua" w:hint="eastAsia"/>
          <w:highlight w:val="yellow"/>
        </w:rPr>
        <w:t>,</w:t>
      </w:r>
      <w:r w:rsidR="006B2868">
        <w:rPr>
          <w:rFonts w:ascii="Book Antiqua" w:hAnsi="Book Antiqua"/>
          <w:highlight w:val="yellow"/>
        </w:rPr>
        <w:t xml:space="preserve"> 2017</w:t>
      </w:r>
    </w:p>
    <w:p w14:paraId="2A63210D"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9F0F34">
        <w:rPr>
          <w:rFonts w:ascii="Book Antiqua" w:hAnsi="Book Antiqua"/>
          <w:highlight w:val="yellow"/>
        </w:rPr>
        <w:t>6</w:t>
      </w:r>
      <w:r w:rsidR="009F0F34" w:rsidRPr="009F0F34">
        <w:rPr>
          <w:rFonts w:ascii="Book Antiqua" w:hAnsi="Book Antiqua"/>
          <w:b/>
          <w:bCs/>
          <w:highlight w:val="yellow"/>
        </w:rPr>
        <w:t xml:space="preserve"> Bosman</w:t>
      </w:r>
      <w:r w:rsidR="009F0F34" w:rsidRPr="009F0F34">
        <w:rPr>
          <w:rFonts w:ascii="Book Antiqua" w:hAnsi="Book Antiqua" w:hint="eastAsia"/>
          <w:b/>
          <w:bCs/>
          <w:highlight w:val="yellow"/>
        </w:rPr>
        <w:t xml:space="preserve"> FT</w:t>
      </w:r>
      <w:r w:rsidR="009F0F34" w:rsidRPr="009F0F34">
        <w:rPr>
          <w:rFonts w:ascii="Book Antiqua" w:hAnsi="Book Antiqua"/>
          <w:bCs/>
          <w:highlight w:val="yellow"/>
        </w:rPr>
        <w:t>, Carneiro</w:t>
      </w:r>
      <w:r w:rsidR="009F0F34" w:rsidRPr="009F0F34">
        <w:rPr>
          <w:rFonts w:ascii="Book Antiqua" w:hAnsi="Book Antiqua" w:hint="eastAsia"/>
          <w:bCs/>
          <w:highlight w:val="yellow"/>
        </w:rPr>
        <w:t xml:space="preserve"> F</w:t>
      </w:r>
      <w:r w:rsidR="009F0F34" w:rsidRPr="009F0F34">
        <w:rPr>
          <w:rFonts w:ascii="Book Antiqua" w:hAnsi="Book Antiqua"/>
          <w:bCs/>
          <w:highlight w:val="yellow"/>
        </w:rPr>
        <w:t xml:space="preserve">, Hruban </w:t>
      </w:r>
      <w:r w:rsidR="009F0F34" w:rsidRPr="009F0F34">
        <w:rPr>
          <w:rFonts w:ascii="Book Antiqua" w:hAnsi="Book Antiqua" w:hint="eastAsia"/>
          <w:bCs/>
          <w:highlight w:val="yellow"/>
        </w:rPr>
        <w:t>RH</w:t>
      </w:r>
      <w:r w:rsidR="009F0F34" w:rsidRPr="009F0F34">
        <w:rPr>
          <w:rFonts w:ascii="Book Antiqua" w:hAnsi="Book Antiqua"/>
          <w:bCs/>
          <w:highlight w:val="yellow"/>
        </w:rPr>
        <w:t>, Theise</w:t>
      </w:r>
      <w:r w:rsidR="009F0F34" w:rsidRPr="009F0F34">
        <w:rPr>
          <w:rFonts w:ascii="Book Antiqua" w:hAnsi="Book Antiqua" w:hint="eastAsia"/>
          <w:bCs/>
          <w:highlight w:val="yellow"/>
        </w:rPr>
        <w:t xml:space="preserve"> ND.</w:t>
      </w:r>
      <w:r w:rsidRPr="009F0F34">
        <w:rPr>
          <w:rFonts w:ascii="Book Antiqua" w:hAnsi="Book Antiqua"/>
          <w:highlight w:val="yellow"/>
        </w:rPr>
        <w:t xml:space="preserve"> </w:t>
      </w:r>
      <w:bookmarkStart w:id="154" w:name="OLE_LINK169"/>
      <w:bookmarkStart w:id="155" w:name="OLE_LINK170"/>
      <w:bookmarkStart w:id="156" w:name="OLE_LINK158"/>
      <w:bookmarkStart w:id="157" w:name="OLE_LINK159"/>
      <w:r w:rsidRPr="009F0F34">
        <w:rPr>
          <w:rFonts w:ascii="Book Antiqua" w:hAnsi="Book Antiqua"/>
          <w:highlight w:val="yellow"/>
        </w:rPr>
        <w:t>WHO classification of tumours of the digestive system</w:t>
      </w:r>
      <w:bookmarkEnd w:id="154"/>
      <w:bookmarkEnd w:id="155"/>
      <w:bookmarkEnd w:id="156"/>
      <w:bookmarkEnd w:id="157"/>
      <w:r w:rsidRPr="009F0F34">
        <w:rPr>
          <w:rFonts w:ascii="Book Antiqua" w:hAnsi="Book Antiqua"/>
          <w:highlight w:val="yellow"/>
        </w:rPr>
        <w:t xml:space="preserve">. </w:t>
      </w:r>
      <w:r w:rsidR="009F0F34" w:rsidRPr="009F0F34">
        <w:rPr>
          <w:rFonts w:ascii="Book Antiqua" w:hAnsi="Book Antiqua"/>
          <w:highlight w:val="yellow"/>
        </w:rPr>
        <w:t xml:space="preserve">4th ed. </w:t>
      </w:r>
      <w:r w:rsidR="006B2868" w:rsidRPr="006B2868">
        <w:rPr>
          <w:rFonts w:ascii="Book Antiqua" w:hAnsi="Book Antiqua"/>
          <w:highlight w:val="yellow"/>
        </w:rPr>
        <w:t>Europe</w:t>
      </w:r>
      <w:r w:rsidR="006B2868" w:rsidRPr="006B2868">
        <w:rPr>
          <w:rFonts w:ascii="Book Antiqua" w:hAnsi="Book Antiqua" w:hint="eastAsia"/>
          <w:highlight w:val="yellow"/>
        </w:rPr>
        <w:t>:</w:t>
      </w:r>
      <w:r w:rsidR="006B2868" w:rsidRPr="006B2868">
        <w:rPr>
          <w:rFonts w:ascii="Book Antiqua" w:hAnsi="Book Antiqua"/>
          <w:highlight w:val="yellow"/>
        </w:rPr>
        <w:t xml:space="preserve"> </w:t>
      </w:r>
      <w:r w:rsidR="009F0F34" w:rsidRPr="009F0F34">
        <w:rPr>
          <w:rFonts w:ascii="Book Antiqua" w:hAnsi="Book Antiqua"/>
          <w:highlight w:val="yellow"/>
        </w:rPr>
        <w:t>World Health Organization</w:t>
      </w:r>
      <w:r w:rsidR="006B2868">
        <w:rPr>
          <w:rFonts w:ascii="Book Antiqua" w:hAnsi="Book Antiqua" w:hint="eastAsia"/>
          <w:highlight w:val="yellow"/>
        </w:rPr>
        <w:t>, 2010</w:t>
      </w:r>
    </w:p>
    <w:p w14:paraId="37F7C537"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7 </w:t>
      </w:r>
      <w:r w:rsidRPr="00542DD8">
        <w:rPr>
          <w:rFonts w:ascii="Book Antiqua" w:hAnsi="Book Antiqua"/>
          <w:b/>
          <w:bCs/>
        </w:rPr>
        <w:t>Pavel M</w:t>
      </w:r>
      <w:r w:rsidRPr="00542DD8">
        <w:rPr>
          <w:rFonts w:ascii="Book Antiqua" w:hAnsi="Book Antiqua"/>
        </w:rPr>
        <w:t>, O'Toole D, Costa F, Capdevila J, Gross D, Kianmanesh R, Krenning E, Knigge U, Salazar R, Pape UF, Öberg K; Vienna Consensus Conference participants. ENETS Consensus Guidelines Update for the Management of Distant Metastatic Disease of Intestinal, Pancreatic, Bronchial Neuroendocrine Neoplasms (NEN) and NEN of Unknown Primary Site. </w:t>
      </w:r>
      <w:r w:rsidRPr="00542DD8">
        <w:rPr>
          <w:rFonts w:ascii="Book Antiqua" w:hAnsi="Book Antiqua"/>
          <w:i/>
          <w:iCs/>
        </w:rPr>
        <w:t>Neuroendocrinology</w:t>
      </w:r>
      <w:r w:rsidRPr="00542DD8">
        <w:rPr>
          <w:rFonts w:ascii="Book Antiqua" w:hAnsi="Book Antiqua"/>
        </w:rPr>
        <w:t> 2016; </w:t>
      </w:r>
      <w:r w:rsidRPr="00542DD8">
        <w:rPr>
          <w:rFonts w:ascii="Book Antiqua" w:hAnsi="Book Antiqua"/>
          <w:b/>
          <w:bCs/>
        </w:rPr>
        <w:t>103</w:t>
      </w:r>
      <w:r w:rsidRPr="00542DD8">
        <w:rPr>
          <w:rFonts w:ascii="Book Antiqua" w:hAnsi="Book Antiqua"/>
        </w:rPr>
        <w:t>: 172-185 [PMID: 26731013 DOI: 10.1159/000443167]</w:t>
      </w:r>
    </w:p>
    <w:p w14:paraId="3755B27C"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8 </w:t>
      </w:r>
      <w:r w:rsidRPr="00542DD8">
        <w:rPr>
          <w:rFonts w:ascii="Book Antiqua" w:hAnsi="Book Antiqua"/>
          <w:b/>
          <w:bCs/>
        </w:rPr>
        <w:t>Pavel M</w:t>
      </w:r>
      <w:r w:rsidRPr="00542DD8">
        <w:rPr>
          <w:rFonts w:ascii="Book Antiqua" w:hAnsi="Book Antiqua"/>
        </w:rPr>
        <w:t>, Öberg K, Falconi M, Krenning EP, Sundin A, Perren A, Berruti A; ESMO Guidelines Committee. Electronic address: clinicalguidelines@esmo.org. Gastroenteropancreatic neuroendocrine neoplasms: ESMO Clinical Practice Guidelines for diagnosis, treatment and follow-up. </w:t>
      </w:r>
      <w:r w:rsidRPr="00542DD8">
        <w:rPr>
          <w:rFonts w:ascii="Book Antiqua" w:hAnsi="Book Antiqua"/>
          <w:i/>
          <w:iCs/>
        </w:rPr>
        <w:t>Ann Oncol</w:t>
      </w:r>
      <w:r w:rsidRPr="00542DD8">
        <w:rPr>
          <w:rFonts w:ascii="Book Antiqua" w:hAnsi="Book Antiqua"/>
        </w:rPr>
        <w:t> 2020; </w:t>
      </w:r>
      <w:r w:rsidRPr="00542DD8">
        <w:rPr>
          <w:rFonts w:ascii="Book Antiqua" w:hAnsi="Book Antiqua"/>
          <w:b/>
          <w:bCs/>
        </w:rPr>
        <w:t>31</w:t>
      </w:r>
      <w:r w:rsidRPr="00542DD8">
        <w:rPr>
          <w:rFonts w:ascii="Book Antiqua" w:hAnsi="Book Antiqua"/>
        </w:rPr>
        <w:t>: 844-860 [PMID: 32272208 DOI: 10.1016/j.annonc.2020.03.304]</w:t>
      </w:r>
    </w:p>
    <w:p w14:paraId="6DAD2147"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9 </w:t>
      </w:r>
      <w:r w:rsidRPr="00542DD8">
        <w:rPr>
          <w:rFonts w:ascii="Book Antiqua" w:hAnsi="Book Antiqua"/>
          <w:b/>
          <w:bCs/>
        </w:rPr>
        <w:t>de Mestier L</w:t>
      </w:r>
      <w:r w:rsidRPr="00542DD8">
        <w:rPr>
          <w:rFonts w:ascii="Book Antiqua" w:hAnsi="Book Antiqua"/>
        </w:rPr>
        <w:t>, Lepage C, Baudin E, Coriat R, Courbon F, Couvelard A, Do Cao C, Frampas E, Gaujoux S, Gincul R, Goudet P, Lombard-Bohas C, Poncet G, Smith D, Ruszniewski P, Lecomte T, Bouché O, Walter T, Cadiot G; Thésaurus National de Cancérologie Digestive (TNCD). Digestive Neuroendocrine Neoplasms (NEN): French Intergroup clinical practice guidelines for diagnosis, treatment and follow-up (SNFGE, GTE, RENATEN, TENPATH, FFCD, GERCOR, UNICANCER, SFCD, SFED, SFRO, SFR). </w:t>
      </w:r>
      <w:r w:rsidRPr="00542DD8">
        <w:rPr>
          <w:rFonts w:ascii="Book Antiqua" w:hAnsi="Book Antiqua"/>
          <w:i/>
          <w:iCs/>
        </w:rPr>
        <w:t>Dig Liver Dis</w:t>
      </w:r>
      <w:r w:rsidRPr="00542DD8">
        <w:rPr>
          <w:rFonts w:ascii="Book Antiqua" w:hAnsi="Book Antiqua"/>
        </w:rPr>
        <w:t> 2020; </w:t>
      </w:r>
      <w:r w:rsidRPr="00542DD8">
        <w:rPr>
          <w:rFonts w:ascii="Book Antiqua" w:hAnsi="Book Antiqua"/>
          <w:b/>
          <w:bCs/>
        </w:rPr>
        <w:t>52</w:t>
      </w:r>
      <w:r w:rsidRPr="00542DD8">
        <w:rPr>
          <w:rFonts w:ascii="Book Antiqua" w:hAnsi="Book Antiqua"/>
        </w:rPr>
        <w:t>: 473-492 [PMID: 32234416 DOI: 10.1016/j.dld.2020.02.011]</w:t>
      </w:r>
    </w:p>
    <w:p w14:paraId="25E27FA7"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10 </w:t>
      </w:r>
      <w:r w:rsidRPr="00542DD8">
        <w:rPr>
          <w:rFonts w:ascii="Book Antiqua" w:hAnsi="Book Antiqua"/>
          <w:b/>
          <w:bCs/>
        </w:rPr>
        <w:t>Kvols LK</w:t>
      </w:r>
      <w:r w:rsidRPr="00542DD8">
        <w:rPr>
          <w:rFonts w:ascii="Book Antiqua" w:hAnsi="Book Antiqua"/>
        </w:rPr>
        <w:t>, Brendtro KL; North American Neuroendocrine Tumor Society (NANETS). The North American Neuroendocrine Tumor Society (NANETS) guidelines: mission, goals, and process. </w:t>
      </w:r>
      <w:r w:rsidRPr="00542DD8">
        <w:rPr>
          <w:rFonts w:ascii="Book Antiqua" w:hAnsi="Book Antiqua"/>
          <w:i/>
          <w:iCs/>
        </w:rPr>
        <w:t>Pancreas</w:t>
      </w:r>
      <w:r w:rsidRPr="00542DD8">
        <w:rPr>
          <w:rFonts w:ascii="Book Antiqua" w:hAnsi="Book Antiqua"/>
        </w:rPr>
        <w:t> 2010; </w:t>
      </w:r>
      <w:r w:rsidRPr="00542DD8">
        <w:rPr>
          <w:rFonts w:ascii="Book Antiqua" w:hAnsi="Book Antiqua"/>
          <w:b/>
          <w:bCs/>
        </w:rPr>
        <w:t>39</w:t>
      </w:r>
      <w:r w:rsidRPr="00542DD8">
        <w:rPr>
          <w:rFonts w:ascii="Book Antiqua" w:hAnsi="Book Antiqua"/>
        </w:rPr>
        <w:t>: 705-706 [PMID: 20664469 DOI: 10.1097/MPA.0b013e3181eb7451]</w:t>
      </w:r>
    </w:p>
    <w:p w14:paraId="7D480201"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9F0F34">
        <w:rPr>
          <w:rFonts w:ascii="Book Antiqua" w:hAnsi="Book Antiqua"/>
          <w:highlight w:val="yellow"/>
        </w:rPr>
        <w:t xml:space="preserve">11 National Comprehensive Cancer Network (NCCN) Guidelines. </w:t>
      </w:r>
      <w:r w:rsidR="00A73F76">
        <w:rPr>
          <w:rFonts w:ascii="Book Antiqua" w:hAnsi="Book Antiqua"/>
          <w:highlight w:val="yellow"/>
        </w:rPr>
        <w:t>[cited  October</w:t>
      </w:r>
      <w:r w:rsidR="00452ED9">
        <w:rPr>
          <w:rFonts w:ascii="Book Antiqua" w:hAnsi="Book Antiqua"/>
          <w:highlight w:val="yellow"/>
        </w:rPr>
        <w:t xml:space="preserve"> 26,</w:t>
      </w:r>
      <w:r w:rsidR="00A73F76">
        <w:rPr>
          <w:rFonts w:ascii="Book Antiqua" w:hAnsi="Book Antiqua"/>
          <w:highlight w:val="yellow"/>
        </w:rPr>
        <w:t xml:space="preserve"> 2020]</w:t>
      </w:r>
      <w:r w:rsidR="00A73F76">
        <w:rPr>
          <w:rFonts w:ascii="Book Antiqua" w:hAnsi="Book Antiqua" w:hint="eastAsia"/>
          <w:highlight w:val="yellow"/>
        </w:rPr>
        <w:t xml:space="preserve">. </w:t>
      </w:r>
      <w:r w:rsidRPr="009F0F34">
        <w:rPr>
          <w:rFonts w:ascii="Book Antiqua" w:hAnsi="Book Antiqua"/>
          <w:highlight w:val="yellow"/>
        </w:rPr>
        <w:t>Available from: https://www. nccn. org/professionals/p</w:t>
      </w:r>
      <w:r w:rsidR="0059549A">
        <w:rPr>
          <w:rFonts w:ascii="Book Antiqua" w:hAnsi="Book Antiqua"/>
          <w:highlight w:val="yellow"/>
        </w:rPr>
        <w:t>hysician_gls/pdf/hepatobiliary.</w:t>
      </w:r>
      <w:r w:rsidRPr="009F0F34">
        <w:rPr>
          <w:rFonts w:ascii="Book Antiqua" w:hAnsi="Book Antiqua"/>
          <w:highlight w:val="yellow"/>
        </w:rPr>
        <w:t>pdf</w:t>
      </w:r>
    </w:p>
    <w:p w14:paraId="4E81E67C"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12 </w:t>
      </w:r>
      <w:r w:rsidRPr="00542DD8">
        <w:rPr>
          <w:rFonts w:ascii="Book Antiqua" w:hAnsi="Book Antiqua"/>
          <w:b/>
          <w:bCs/>
        </w:rPr>
        <w:t>Caplin ME</w:t>
      </w:r>
      <w:r w:rsidRPr="00542DD8">
        <w:rPr>
          <w:rFonts w:ascii="Book Antiqua" w:hAnsi="Book Antiqua"/>
        </w:rPr>
        <w:t>, Pavel M, Ćwikła JB, Phan AT, Raderer M, Sedláčková E, Cadiot G, Wolin EM, Capdevila J, Wall L, Rindi G, Langley A, Martinez S, Blumberg J, Ruszniewski P; CLARINET Investigators. Lanreotide in metastatic enteropancreatic neuroendocrine tumors. </w:t>
      </w:r>
      <w:r w:rsidRPr="00542DD8">
        <w:rPr>
          <w:rFonts w:ascii="Book Antiqua" w:hAnsi="Book Antiqua"/>
          <w:i/>
          <w:iCs/>
        </w:rPr>
        <w:t>N Engl J Med</w:t>
      </w:r>
      <w:r w:rsidRPr="00542DD8">
        <w:rPr>
          <w:rFonts w:ascii="Book Antiqua" w:hAnsi="Book Antiqua"/>
        </w:rPr>
        <w:t> 2014; </w:t>
      </w:r>
      <w:r w:rsidRPr="00542DD8">
        <w:rPr>
          <w:rFonts w:ascii="Book Antiqua" w:hAnsi="Book Antiqua"/>
          <w:b/>
          <w:bCs/>
        </w:rPr>
        <w:t>371</w:t>
      </w:r>
      <w:r w:rsidRPr="00542DD8">
        <w:rPr>
          <w:rFonts w:ascii="Book Antiqua" w:hAnsi="Book Antiqua"/>
        </w:rPr>
        <w:t>: 224-233 [PMID: 25014687 DOI: 10.1056/NEJMoa1316158]</w:t>
      </w:r>
    </w:p>
    <w:p w14:paraId="68740247" w14:textId="77777777" w:rsidR="00542DD8" w:rsidRPr="00542DD8" w:rsidRDefault="00542DD8" w:rsidP="00B356D5">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13 </w:t>
      </w:r>
      <w:r w:rsidRPr="00542DD8">
        <w:rPr>
          <w:rFonts w:ascii="Book Antiqua" w:hAnsi="Book Antiqua"/>
          <w:b/>
          <w:bCs/>
        </w:rPr>
        <w:t>Rinke A</w:t>
      </w:r>
      <w:r w:rsidRPr="00542DD8">
        <w:rPr>
          <w:rFonts w:ascii="Book Antiqua" w:hAnsi="Book Antiqua"/>
        </w:rPr>
        <w:t>, Müller HH, Schade-Brittinger C, Klose KJ, Barth P, Wied M, Mayer C, Aminossadati B, Pape UF, Bläker M, Harder J, Arnold C, Gress T, Arnold R; PROMID Stud</w:t>
      </w:r>
      <w:bookmarkStart w:id="158" w:name="OLE_LINK190"/>
      <w:bookmarkStart w:id="159" w:name="OLE_LINK191"/>
      <w:r w:rsidRPr="00542DD8">
        <w:rPr>
          <w:rFonts w:ascii="Book Antiqua" w:hAnsi="Book Antiqua"/>
        </w:rPr>
        <w:t>y Group. Placebo-controlled, double-blind, prospective, randomized study on the effect of octreotide LAR in the control of tumor growth in patients with metastatic neuroendocrine midgut tumors: a report from the PROMID Study Group. </w:t>
      </w:r>
      <w:r w:rsidRPr="00542DD8">
        <w:rPr>
          <w:rFonts w:ascii="Book Antiqua" w:hAnsi="Book Antiqua"/>
          <w:i/>
          <w:iCs/>
        </w:rPr>
        <w:t>J Clin Oncol</w:t>
      </w:r>
      <w:r w:rsidRPr="00542DD8">
        <w:rPr>
          <w:rFonts w:ascii="Book Antiqua" w:hAnsi="Book Antiqua"/>
        </w:rPr>
        <w:t> 2009; </w:t>
      </w:r>
      <w:r w:rsidRPr="00542DD8">
        <w:rPr>
          <w:rFonts w:ascii="Book Antiqua" w:hAnsi="Book Antiqua"/>
          <w:b/>
          <w:bCs/>
        </w:rPr>
        <w:t>27</w:t>
      </w:r>
      <w:r w:rsidRPr="00542DD8">
        <w:rPr>
          <w:rFonts w:ascii="Book Antiqua" w:hAnsi="Book Antiqua"/>
        </w:rPr>
        <w:t>: 4656-4663 [PMID: 19704057 DOI: 10.1200/JCO.2009.22.8510]</w:t>
      </w:r>
    </w:p>
    <w:p w14:paraId="458858D3" w14:textId="77777777" w:rsidR="00542DD8" w:rsidRPr="00542DD8" w:rsidRDefault="00542DD8" w:rsidP="00B356D5">
      <w:pPr>
        <w:pStyle w:val="a9"/>
        <w:shd w:val="clear" w:color="auto" w:fill="FFFFFF"/>
        <w:adjustRightInd w:val="0"/>
        <w:snapToGrid w:val="0"/>
        <w:spacing w:before="0" w:beforeAutospacing="0" w:after="0" w:afterAutospacing="0" w:line="360" w:lineRule="auto"/>
        <w:jc w:val="both"/>
        <w:rPr>
          <w:rFonts w:ascii="Book Antiqua" w:hAnsi="Book Antiqua"/>
        </w:rPr>
      </w:pPr>
      <w:r w:rsidRPr="00B356D5">
        <w:rPr>
          <w:rFonts w:ascii="Book Antiqua" w:hAnsi="Book Antiqua"/>
        </w:rPr>
        <w:t>14 </w:t>
      </w:r>
      <w:r w:rsidR="00ED4022">
        <w:rPr>
          <w:rFonts w:ascii="Book Antiqua" w:hAnsi="Book Antiqua"/>
          <w:b/>
          <w:bCs/>
        </w:rPr>
        <w:t xml:space="preserve"> Pavel</w:t>
      </w:r>
      <w:r w:rsidR="00ED4022">
        <w:rPr>
          <w:rFonts w:ascii="Book Antiqua" w:hAnsi="Book Antiqua" w:hint="eastAsia"/>
          <w:b/>
          <w:bCs/>
        </w:rPr>
        <w:t xml:space="preserve"> ME</w:t>
      </w:r>
      <w:r w:rsidR="00902266" w:rsidRPr="00ED4022">
        <w:rPr>
          <w:rFonts w:ascii="Book Antiqua" w:hAnsi="Book Antiqua"/>
          <w:bCs/>
        </w:rPr>
        <w:t xml:space="preserve">, </w:t>
      </w:r>
      <w:r w:rsidR="00ED4022" w:rsidRPr="00ED4022">
        <w:rPr>
          <w:rFonts w:ascii="Book Antiqua" w:hAnsi="Book Antiqua"/>
          <w:bCs/>
        </w:rPr>
        <w:t>Ćwikła</w:t>
      </w:r>
      <w:r w:rsidR="00ED4022" w:rsidRPr="00ED4022">
        <w:rPr>
          <w:rFonts w:ascii="Book Antiqua" w:hAnsi="Book Antiqua" w:hint="eastAsia"/>
          <w:bCs/>
        </w:rPr>
        <w:t xml:space="preserve"> J</w:t>
      </w:r>
      <w:r w:rsidR="00902266" w:rsidRPr="00ED4022">
        <w:rPr>
          <w:rFonts w:ascii="Book Antiqua" w:hAnsi="Book Antiqua"/>
          <w:bCs/>
        </w:rPr>
        <w:t xml:space="preserve">, </w:t>
      </w:r>
      <w:r w:rsidR="00ED4022" w:rsidRPr="00ED4022">
        <w:rPr>
          <w:rFonts w:ascii="Book Antiqua" w:hAnsi="Book Antiqua"/>
          <w:bCs/>
        </w:rPr>
        <w:t>Lombard-Bohas</w:t>
      </w:r>
      <w:r w:rsidR="00ED4022" w:rsidRPr="00ED4022">
        <w:rPr>
          <w:rFonts w:ascii="Book Antiqua" w:hAnsi="Book Antiqua" w:hint="eastAsia"/>
          <w:bCs/>
        </w:rPr>
        <w:t xml:space="preserve"> C</w:t>
      </w:r>
      <w:r w:rsidR="00902266" w:rsidRPr="00ED4022">
        <w:rPr>
          <w:rFonts w:ascii="Book Antiqua" w:hAnsi="Book Antiqua"/>
          <w:bCs/>
        </w:rPr>
        <w:t xml:space="preserve">, </w:t>
      </w:r>
      <w:r w:rsidR="00ED4022" w:rsidRPr="00ED4022">
        <w:rPr>
          <w:rFonts w:ascii="Book Antiqua" w:hAnsi="Book Antiqua"/>
          <w:bCs/>
        </w:rPr>
        <w:t>Borbath</w:t>
      </w:r>
      <w:r w:rsidR="00ED4022" w:rsidRPr="00ED4022">
        <w:rPr>
          <w:rFonts w:ascii="Book Antiqua" w:hAnsi="Book Antiqua" w:hint="eastAsia"/>
          <w:bCs/>
        </w:rPr>
        <w:t xml:space="preserve"> I</w:t>
      </w:r>
      <w:r w:rsidR="00902266" w:rsidRPr="00ED4022">
        <w:rPr>
          <w:rFonts w:ascii="Book Antiqua" w:hAnsi="Book Antiqua"/>
          <w:bCs/>
        </w:rPr>
        <w:t xml:space="preserve">, </w:t>
      </w:r>
      <w:r w:rsidR="00ED4022" w:rsidRPr="00ED4022">
        <w:rPr>
          <w:rFonts w:ascii="Book Antiqua" w:hAnsi="Book Antiqua"/>
          <w:bCs/>
        </w:rPr>
        <w:t>Shah</w:t>
      </w:r>
      <w:r w:rsidR="00ED4022" w:rsidRPr="00ED4022">
        <w:rPr>
          <w:rFonts w:ascii="Book Antiqua" w:hAnsi="Book Antiqua" w:hint="eastAsia"/>
          <w:bCs/>
        </w:rPr>
        <w:t xml:space="preserve"> T</w:t>
      </w:r>
      <w:r w:rsidR="00902266" w:rsidRPr="00ED4022">
        <w:rPr>
          <w:rFonts w:ascii="Book Antiqua" w:hAnsi="Book Antiqua"/>
          <w:bCs/>
        </w:rPr>
        <w:t xml:space="preserve">, </w:t>
      </w:r>
      <w:r w:rsidR="00ED4022" w:rsidRPr="00ED4022">
        <w:rPr>
          <w:rFonts w:ascii="Book Antiqua" w:hAnsi="Book Antiqua"/>
          <w:bCs/>
        </w:rPr>
        <w:t>Pape</w:t>
      </w:r>
      <w:r w:rsidR="00ED4022" w:rsidRPr="00ED4022">
        <w:rPr>
          <w:rFonts w:ascii="Book Antiqua" w:hAnsi="Book Antiqua" w:hint="eastAsia"/>
          <w:bCs/>
        </w:rPr>
        <w:t xml:space="preserve"> U</w:t>
      </w:r>
      <w:r w:rsidR="00902266" w:rsidRPr="00ED4022">
        <w:rPr>
          <w:rFonts w:ascii="Book Antiqua" w:hAnsi="Book Antiqua"/>
          <w:bCs/>
        </w:rPr>
        <w:t>, Truong</w:t>
      </w:r>
      <w:r w:rsidR="00ED4022" w:rsidRPr="00ED4022">
        <w:rPr>
          <w:rFonts w:ascii="Book Antiqua" w:hAnsi="Book Antiqua"/>
          <w:bCs/>
        </w:rPr>
        <w:t xml:space="preserve"> Thanh</w:t>
      </w:r>
      <w:r w:rsidR="00ED4022" w:rsidRPr="00ED4022">
        <w:rPr>
          <w:rFonts w:ascii="Book Antiqua" w:hAnsi="Book Antiqua" w:hint="eastAsia"/>
          <w:bCs/>
        </w:rPr>
        <w:t xml:space="preserve"> X</w:t>
      </w:r>
      <w:r w:rsidR="00902266" w:rsidRPr="00ED4022">
        <w:rPr>
          <w:rFonts w:ascii="Book Antiqua" w:hAnsi="Book Antiqua"/>
          <w:bCs/>
        </w:rPr>
        <w:t xml:space="preserve">, </w:t>
      </w:r>
      <w:r w:rsidR="00ED4022" w:rsidRPr="00ED4022">
        <w:rPr>
          <w:rFonts w:ascii="Book Antiqua" w:hAnsi="Book Antiqua"/>
          <w:bCs/>
        </w:rPr>
        <w:t>Houchard</w:t>
      </w:r>
      <w:r w:rsidR="00ED4022" w:rsidRPr="00ED4022">
        <w:rPr>
          <w:rFonts w:ascii="Book Antiqua" w:hAnsi="Book Antiqua" w:hint="eastAsia"/>
          <w:bCs/>
        </w:rPr>
        <w:t xml:space="preserve"> A</w:t>
      </w:r>
      <w:r w:rsidR="00902266" w:rsidRPr="00ED4022">
        <w:rPr>
          <w:rFonts w:ascii="Book Antiqua" w:hAnsi="Book Antiqua"/>
          <w:bCs/>
        </w:rPr>
        <w:t>, Ruszniewski</w:t>
      </w:r>
      <w:r w:rsidR="00ED4022" w:rsidRPr="00ED4022">
        <w:rPr>
          <w:rFonts w:ascii="Book Antiqua" w:hAnsi="Book Antiqua" w:hint="eastAsia"/>
          <w:bCs/>
        </w:rPr>
        <w:t xml:space="preserve"> P</w:t>
      </w:r>
      <w:r w:rsidR="00902266" w:rsidRPr="00ED4022">
        <w:rPr>
          <w:rFonts w:ascii="Book Antiqua" w:hAnsi="Book Antiqua" w:hint="eastAsia"/>
          <w:bCs/>
        </w:rPr>
        <w:t>.</w:t>
      </w:r>
      <w:r w:rsidRPr="00B356D5">
        <w:rPr>
          <w:rFonts w:ascii="Book Antiqua" w:hAnsi="Book Antiqua"/>
        </w:rPr>
        <w:t xml:space="preserve"> </w:t>
      </w:r>
      <w:bookmarkStart w:id="160" w:name="OLE_LINK187"/>
      <w:bookmarkStart w:id="161" w:name="OLE_LINK188"/>
      <w:bookmarkStart w:id="162" w:name="OLE_LINK189"/>
      <w:bookmarkStart w:id="163" w:name="OLE_LINK172"/>
      <w:r w:rsidRPr="00B356D5">
        <w:rPr>
          <w:rFonts w:ascii="Book Antiqua" w:hAnsi="Book Antiqua"/>
        </w:rPr>
        <w:t>Efficacy and safety of lanreotide autogel (LAN) 120 mg every 14 days in progressive pancreatic or midgut neuroendocrine tumours (NETs): CLARINET FORTE study results</w:t>
      </w:r>
      <w:bookmarkEnd w:id="160"/>
      <w:bookmarkEnd w:id="161"/>
      <w:bookmarkEnd w:id="162"/>
      <w:bookmarkEnd w:id="163"/>
      <w:r w:rsidRPr="00B356D5">
        <w:rPr>
          <w:rFonts w:ascii="Book Antiqua" w:hAnsi="Book Antiqua"/>
        </w:rPr>
        <w:t xml:space="preserve">. </w:t>
      </w:r>
      <w:r w:rsidR="00B356D5" w:rsidRPr="00B356D5">
        <w:rPr>
          <w:rFonts w:ascii="Book Antiqua" w:hAnsi="Book Antiqua"/>
          <w:i/>
        </w:rPr>
        <w:t>Ann Oncol</w:t>
      </w:r>
      <w:r w:rsidR="00902266" w:rsidRPr="00B356D5">
        <w:rPr>
          <w:rFonts w:ascii="Book Antiqua" w:hAnsi="Book Antiqua"/>
        </w:rPr>
        <w:t xml:space="preserve"> </w:t>
      </w:r>
      <w:bookmarkStart w:id="164" w:name="OLE_LINK173"/>
      <w:bookmarkStart w:id="165" w:name="OLE_LINK174"/>
      <w:r w:rsidR="00B356D5">
        <w:rPr>
          <w:rFonts w:ascii="Book Antiqua" w:hAnsi="Book Antiqua"/>
        </w:rPr>
        <w:t>2020</w:t>
      </w:r>
      <w:r w:rsidR="00B356D5">
        <w:rPr>
          <w:rFonts w:ascii="Book Antiqua" w:hAnsi="Book Antiqua" w:hint="eastAsia"/>
        </w:rPr>
        <w:t>;</w:t>
      </w:r>
      <w:r w:rsidR="00B356D5">
        <w:rPr>
          <w:rFonts w:ascii="Book Antiqua" w:hAnsi="Book Antiqua"/>
        </w:rPr>
        <w:t xml:space="preserve"> </w:t>
      </w:r>
      <w:r w:rsidR="00B356D5" w:rsidRPr="00ED4022">
        <w:rPr>
          <w:rFonts w:ascii="Book Antiqua" w:hAnsi="Book Antiqua"/>
          <w:b/>
        </w:rPr>
        <w:t>31</w:t>
      </w:r>
      <w:r w:rsidR="00B356D5">
        <w:rPr>
          <w:rFonts w:ascii="Book Antiqua" w:hAnsi="Book Antiqua"/>
        </w:rPr>
        <w:t>: S711-S724</w:t>
      </w:r>
      <w:r w:rsidR="00B356D5">
        <w:rPr>
          <w:rFonts w:ascii="Book Antiqua" w:hAnsi="Book Antiqua" w:hint="eastAsia"/>
        </w:rPr>
        <w:t xml:space="preserve"> [</w:t>
      </w:r>
      <w:r w:rsidR="00B356D5" w:rsidRPr="00B356D5">
        <w:rPr>
          <w:rFonts w:ascii="Book Antiqua" w:hAnsi="Book Antiqua" w:hint="eastAsia"/>
        </w:rPr>
        <w:t xml:space="preserve">DOI: </w:t>
      </w:r>
      <w:r w:rsidR="00902266" w:rsidRPr="00B356D5">
        <w:rPr>
          <w:rFonts w:ascii="Book Antiqua" w:hAnsi="Book Antiqua"/>
        </w:rPr>
        <w:t>10.1016/annonc/annonc281</w:t>
      </w:r>
      <w:bookmarkEnd w:id="164"/>
      <w:bookmarkEnd w:id="165"/>
      <w:r w:rsidR="00B356D5">
        <w:rPr>
          <w:rFonts w:ascii="Book Antiqua" w:hAnsi="Book Antiqua" w:hint="eastAsia"/>
        </w:rPr>
        <w:t>]</w:t>
      </w:r>
    </w:p>
    <w:p w14:paraId="1AC47A3C" w14:textId="77777777" w:rsidR="00542DD8" w:rsidRPr="00542DD8" w:rsidRDefault="00542DD8" w:rsidP="00B356D5">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15 </w:t>
      </w:r>
      <w:r w:rsidRPr="00542DD8">
        <w:rPr>
          <w:rFonts w:ascii="Book Antiqua" w:hAnsi="Book Antiqua"/>
          <w:b/>
          <w:bCs/>
        </w:rPr>
        <w:t>Strosberg J</w:t>
      </w:r>
      <w:r w:rsidRPr="00542DD8">
        <w:rPr>
          <w:rFonts w:ascii="Book Antiqua" w:hAnsi="Book Antiqua"/>
        </w:rPr>
        <w:t>, El-Haddad G, Wolin E, Hendifar A, Yao J, Chasen B, Mittra E, Kunz PL, Kulke MH, Jacene H, Bushnell D, O'Dorisio TM, Baum RP, Kulkarni HR, Caplin M, Lebtahi R, Hobday T, Delpassand E, Van Cutsem E, Benson A, Srirajaskanthan R, Pavel M, Mora J, Berlin J, Gran</w:t>
      </w:r>
      <w:bookmarkEnd w:id="158"/>
      <w:bookmarkEnd w:id="159"/>
      <w:r w:rsidRPr="00542DD8">
        <w:rPr>
          <w:rFonts w:ascii="Book Antiqua" w:hAnsi="Book Antiqua"/>
        </w:rPr>
        <w:t>de E, Reed N, Seregni E, Öberg K, Lopera Sierra M, Santoro P, Thevenet T, Erion JL, Ruszniewski P, Kwekkeboom D, Krenning E; NETTER-1 Trial Investigators. Phase 3 Trial of </w:t>
      </w:r>
      <w:r w:rsidRPr="00542DD8">
        <w:rPr>
          <w:rFonts w:ascii="Book Antiqua" w:hAnsi="Book Antiqua"/>
          <w:vertAlign w:val="superscript"/>
        </w:rPr>
        <w:t>177</w:t>
      </w:r>
      <w:r w:rsidRPr="00542DD8">
        <w:rPr>
          <w:rFonts w:ascii="Book Antiqua" w:hAnsi="Book Antiqua"/>
        </w:rPr>
        <w:t>Lu-Dotatate for Midgut Neuroendocrine Tumors. </w:t>
      </w:r>
      <w:r w:rsidRPr="00542DD8">
        <w:rPr>
          <w:rFonts w:ascii="Book Antiqua" w:hAnsi="Book Antiqua"/>
          <w:i/>
          <w:iCs/>
        </w:rPr>
        <w:t>N Engl J Med</w:t>
      </w:r>
      <w:r w:rsidRPr="00542DD8">
        <w:rPr>
          <w:rFonts w:ascii="Book Antiqua" w:hAnsi="Book Antiqua"/>
        </w:rPr>
        <w:t> 2017; </w:t>
      </w:r>
      <w:r w:rsidRPr="00542DD8">
        <w:rPr>
          <w:rFonts w:ascii="Book Antiqua" w:hAnsi="Book Antiqua"/>
          <w:b/>
          <w:bCs/>
        </w:rPr>
        <w:t>376</w:t>
      </w:r>
      <w:r w:rsidRPr="00542DD8">
        <w:rPr>
          <w:rFonts w:ascii="Book Antiqua" w:hAnsi="Book Antiqua"/>
        </w:rPr>
        <w:t>: 125-135 [PMID: 28076709 DOI: 10.1056/NEJMoa1607427]</w:t>
      </w:r>
    </w:p>
    <w:p w14:paraId="7E9212A1" w14:textId="77777777" w:rsidR="00542DD8" w:rsidRPr="009F0F34"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16 </w:t>
      </w:r>
      <w:r w:rsidR="009F0F34" w:rsidRPr="009F0F34">
        <w:rPr>
          <w:rFonts w:ascii="Book Antiqua" w:hAnsi="Book Antiqua"/>
          <w:b/>
          <w:bCs/>
        </w:rPr>
        <w:t>Yao JC</w:t>
      </w:r>
      <w:r w:rsidR="009F0F34" w:rsidRPr="009F0F34">
        <w:rPr>
          <w:rFonts w:ascii="Book Antiqua" w:hAnsi="Book Antiqua"/>
          <w:bCs/>
        </w:rPr>
        <w:t xml:space="preserve">, Fazio N, Singh S, Buzzoni R, Carnaghi C, Wolin E, Tomasek J, Raderer M, Lahner H, Voi M, Pacaud LB, Rouyrre N, Sachs C, Valle JW, Fave GD, Van Cutsem E, Tesselaar M, Shimada Y, Oh DY, Strosberg J, Kulke MH, Pavel ME; RAD001 in Advanced Neuroendocrine Tumours, Fourth Trial (RADIANT-4) Study Group. Everolimus for the treatment of advanced, non-functional neuroendocrine tumours of the lung or gastrointestinal tract (RADIANT-4): a randomised, placebo-controlled, phase 3 study. </w:t>
      </w:r>
      <w:r w:rsidR="009F0F34" w:rsidRPr="009F0F34">
        <w:rPr>
          <w:rFonts w:ascii="Book Antiqua" w:hAnsi="Book Antiqua"/>
          <w:bCs/>
          <w:i/>
        </w:rPr>
        <w:t>Lancet</w:t>
      </w:r>
      <w:r w:rsidR="009F0F34">
        <w:rPr>
          <w:rFonts w:ascii="Book Antiqua" w:hAnsi="Book Antiqua"/>
          <w:bCs/>
        </w:rPr>
        <w:t xml:space="preserve"> 2016</w:t>
      </w:r>
      <w:r w:rsidR="009F0F34" w:rsidRPr="009F0F34">
        <w:rPr>
          <w:rFonts w:ascii="Book Antiqua" w:hAnsi="Book Antiqua"/>
          <w:bCs/>
        </w:rPr>
        <w:t>;</w:t>
      </w:r>
      <w:r w:rsidR="009F0F34">
        <w:rPr>
          <w:rFonts w:ascii="Book Antiqua" w:hAnsi="Book Antiqua" w:hint="eastAsia"/>
          <w:bCs/>
        </w:rPr>
        <w:t xml:space="preserve"> </w:t>
      </w:r>
      <w:r w:rsidR="009F0F34" w:rsidRPr="009F0F34">
        <w:rPr>
          <w:rFonts w:ascii="Book Antiqua" w:hAnsi="Book Antiqua"/>
          <w:b/>
          <w:bCs/>
        </w:rPr>
        <w:t>387</w:t>
      </w:r>
      <w:r w:rsidR="009F0F34" w:rsidRPr="009F0F34">
        <w:rPr>
          <w:rFonts w:ascii="Book Antiqua" w:hAnsi="Book Antiqua"/>
          <w:bCs/>
        </w:rPr>
        <w:t>:</w:t>
      </w:r>
      <w:r w:rsidR="009F0F34">
        <w:rPr>
          <w:rFonts w:ascii="Book Antiqua" w:hAnsi="Book Antiqua" w:hint="eastAsia"/>
          <w:bCs/>
        </w:rPr>
        <w:t xml:space="preserve"> </w:t>
      </w:r>
      <w:r w:rsidR="009F0F34">
        <w:rPr>
          <w:rFonts w:ascii="Book Antiqua" w:hAnsi="Book Antiqua"/>
          <w:bCs/>
        </w:rPr>
        <w:t>968-977</w:t>
      </w:r>
      <w:r w:rsidR="009F0F34" w:rsidRPr="009F0F34">
        <w:rPr>
          <w:rFonts w:ascii="Book Antiqua" w:hAnsi="Book Antiqua"/>
          <w:bCs/>
        </w:rPr>
        <w:t xml:space="preserve"> </w:t>
      </w:r>
      <w:r w:rsidR="009F0F34">
        <w:rPr>
          <w:rFonts w:ascii="Book Antiqua" w:hAnsi="Book Antiqua" w:hint="eastAsia"/>
          <w:bCs/>
        </w:rPr>
        <w:t>[</w:t>
      </w:r>
      <w:r w:rsidR="0032556D" w:rsidRPr="009F0F34">
        <w:rPr>
          <w:rFonts w:ascii="Book Antiqua" w:hAnsi="Book Antiqua"/>
          <w:bCs/>
        </w:rPr>
        <w:t>PMID: 26703889</w:t>
      </w:r>
      <w:r w:rsidR="0032556D">
        <w:rPr>
          <w:rFonts w:ascii="Book Antiqua" w:hAnsi="Book Antiqua" w:hint="eastAsia"/>
          <w:bCs/>
        </w:rPr>
        <w:t xml:space="preserve"> </w:t>
      </w:r>
      <w:r w:rsidR="009F0F34">
        <w:rPr>
          <w:rFonts w:ascii="Book Antiqua" w:hAnsi="Book Antiqua" w:hint="eastAsia"/>
          <w:bCs/>
        </w:rPr>
        <w:t>DOI</w:t>
      </w:r>
      <w:r w:rsidR="009F0F34" w:rsidRPr="009F0F34">
        <w:rPr>
          <w:rFonts w:ascii="Book Antiqua" w:hAnsi="Book Antiqua"/>
          <w:bCs/>
        </w:rPr>
        <w:t>: 10.1016/S0140-6736(15)00817-X</w:t>
      </w:r>
      <w:r w:rsidR="0032556D">
        <w:rPr>
          <w:rFonts w:ascii="Book Antiqua" w:hAnsi="Book Antiqua" w:hint="eastAsia"/>
          <w:bCs/>
        </w:rPr>
        <w:t>]</w:t>
      </w:r>
    </w:p>
    <w:p w14:paraId="44E1AB97"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17 </w:t>
      </w:r>
      <w:r w:rsidRPr="00542DD8">
        <w:rPr>
          <w:rFonts w:ascii="Book Antiqua" w:hAnsi="Book Antiqua"/>
          <w:b/>
          <w:bCs/>
        </w:rPr>
        <w:t>Kanabar R</w:t>
      </w:r>
      <w:r w:rsidRPr="00542DD8">
        <w:rPr>
          <w:rFonts w:ascii="Book Antiqua" w:hAnsi="Book Antiqua"/>
        </w:rPr>
        <w:t>, Barriuso J, McNamara MG, Mansoor W, Hubner RA, Valle JW, Lamarca A. Liver embolisation for patients with neuroendocrine neoplasms: systematic review. </w:t>
      </w:r>
      <w:r w:rsidRPr="00542DD8">
        <w:rPr>
          <w:rFonts w:ascii="Book Antiqua" w:hAnsi="Book Antiqua"/>
          <w:i/>
          <w:iCs/>
        </w:rPr>
        <w:t>Neuroendocrinology</w:t>
      </w:r>
      <w:r w:rsidRPr="00542DD8">
        <w:rPr>
          <w:rFonts w:ascii="Book Antiqua" w:hAnsi="Book Antiqua"/>
        </w:rPr>
        <w:t> 2020 [PMID: 32172229 DOI: 10.1159/000507194]</w:t>
      </w:r>
    </w:p>
    <w:p w14:paraId="2080987F"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18 </w:t>
      </w:r>
      <w:r w:rsidRPr="00542DD8">
        <w:rPr>
          <w:rFonts w:ascii="Book Antiqua" w:hAnsi="Book Antiqua"/>
          <w:b/>
          <w:bCs/>
        </w:rPr>
        <w:t>Oberg K</w:t>
      </w:r>
      <w:r w:rsidRPr="00542DD8">
        <w:rPr>
          <w:rFonts w:ascii="Book Antiqua" w:hAnsi="Book Antiqua"/>
        </w:rPr>
        <w:t>. Chemotherapy and biotherapy in the treatment of neuroendocrine tumours. </w:t>
      </w:r>
      <w:r w:rsidRPr="00542DD8">
        <w:rPr>
          <w:rFonts w:ascii="Book Antiqua" w:hAnsi="Book Antiqua"/>
          <w:i/>
          <w:iCs/>
        </w:rPr>
        <w:t>Ann Oncol</w:t>
      </w:r>
      <w:r w:rsidRPr="00542DD8">
        <w:rPr>
          <w:rFonts w:ascii="Book Antiqua" w:hAnsi="Book Antiqua"/>
        </w:rPr>
        <w:t> 2001; </w:t>
      </w:r>
      <w:r w:rsidRPr="00542DD8">
        <w:rPr>
          <w:rFonts w:ascii="Book Antiqua" w:hAnsi="Book Antiqua"/>
          <w:b/>
          <w:bCs/>
        </w:rPr>
        <w:t>12 Suppl 2</w:t>
      </w:r>
      <w:r w:rsidRPr="00542DD8">
        <w:rPr>
          <w:rFonts w:ascii="Book Antiqua" w:hAnsi="Book Antiqua"/>
        </w:rPr>
        <w:t>: S111-S114 [PMID: 11762335 DOI: 10.1093/annonc/12.suppl_2.s111]</w:t>
      </w:r>
    </w:p>
    <w:p w14:paraId="00671569"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19 </w:t>
      </w:r>
      <w:r w:rsidRPr="00542DD8">
        <w:rPr>
          <w:rFonts w:ascii="Book Antiqua" w:hAnsi="Book Antiqua"/>
          <w:b/>
          <w:bCs/>
        </w:rPr>
        <w:t>Lamarca A</w:t>
      </w:r>
      <w:r w:rsidRPr="00542DD8">
        <w:rPr>
          <w:rFonts w:ascii="Book Antiqua" w:hAnsi="Book Antiqua"/>
        </w:rPr>
        <w:t>, Elliott E, Barriuso J, Backen A, McNamara MG, Hubner R, Valle JW. Chemotherapy for advanced non-pancreatic well-differentiated neuroendocrine tumours of the gastrointestinal tract, a systematic review and meta-analysis: A lost cause? </w:t>
      </w:r>
      <w:r w:rsidRPr="00542DD8">
        <w:rPr>
          <w:rFonts w:ascii="Book Antiqua" w:hAnsi="Book Antiqua"/>
          <w:i/>
          <w:iCs/>
        </w:rPr>
        <w:t>Cancer Treat Rev</w:t>
      </w:r>
      <w:r w:rsidRPr="00542DD8">
        <w:rPr>
          <w:rFonts w:ascii="Book Antiqua" w:hAnsi="Book Antiqua"/>
        </w:rPr>
        <w:t> 2016; </w:t>
      </w:r>
      <w:r w:rsidRPr="00542DD8">
        <w:rPr>
          <w:rFonts w:ascii="Book Antiqua" w:hAnsi="Book Antiqua"/>
          <w:b/>
          <w:bCs/>
        </w:rPr>
        <w:t>44</w:t>
      </w:r>
      <w:r w:rsidRPr="00542DD8">
        <w:rPr>
          <w:rFonts w:ascii="Book Antiqua" w:hAnsi="Book Antiqua"/>
        </w:rPr>
        <w:t>: 26-41 [PMID: 26855376 DOI: 10.1016/j.ctrv.2016.01.005]</w:t>
      </w:r>
    </w:p>
    <w:p w14:paraId="0DAD0562"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20 </w:t>
      </w:r>
      <w:r w:rsidRPr="00542DD8">
        <w:rPr>
          <w:rFonts w:ascii="Book Antiqua" w:hAnsi="Book Antiqua"/>
          <w:b/>
          <w:bCs/>
        </w:rPr>
        <w:t>Yao JC</w:t>
      </w:r>
      <w:r w:rsidRPr="00542DD8">
        <w:rPr>
          <w:rFonts w:ascii="Book Antiqua" w:hAnsi="Book Antiqua"/>
        </w:rPr>
        <w:t>, Guthrie KA, Moran C, Strosberg JR, Kulke MH, Chan JA, LoConte N, McWilliams RR, Wolin EM, Mattar B, McDonough S, Chen H, Blanke CD, Hochster HS. Phase III Prospective Randomized Comparison Trial of Depot Octreotide Plus Interferon Alfa-2b Versus Depot Octreotide Plus Bevacizumab in Patients With Advanced Carcinoid Tumors: SWOG S0518. </w:t>
      </w:r>
      <w:r w:rsidRPr="00542DD8">
        <w:rPr>
          <w:rFonts w:ascii="Book Antiqua" w:hAnsi="Book Antiqua"/>
          <w:i/>
          <w:iCs/>
        </w:rPr>
        <w:t>J Clin Oncol</w:t>
      </w:r>
      <w:r w:rsidRPr="00542DD8">
        <w:rPr>
          <w:rFonts w:ascii="Book Antiqua" w:hAnsi="Book Antiqua"/>
        </w:rPr>
        <w:t> 2017; </w:t>
      </w:r>
      <w:r w:rsidRPr="00542DD8">
        <w:rPr>
          <w:rFonts w:ascii="Book Antiqua" w:hAnsi="Book Antiqua"/>
          <w:b/>
          <w:bCs/>
        </w:rPr>
        <w:t>35</w:t>
      </w:r>
      <w:r w:rsidRPr="00542DD8">
        <w:rPr>
          <w:rFonts w:ascii="Book Antiqua" w:hAnsi="Book Antiqua"/>
        </w:rPr>
        <w:t>: 1695-1703 [PMID: 28384065 DOI: 10.1200/JCO.2016.70.4072]</w:t>
      </w:r>
    </w:p>
    <w:p w14:paraId="41B448D6"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21 </w:t>
      </w:r>
      <w:r w:rsidRPr="00542DD8">
        <w:rPr>
          <w:rFonts w:ascii="Book Antiqua" w:hAnsi="Book Antiqua"/>
          <w:b/>
          <w:bCs/>
        </w:rPr>
        <w:t>Oberg K</w:t>
      </w:r>
      <w:r w:rsidRPr="00542DD8">
        <w:rPr>
          <w:rFonts w:ascii="Book Antiqua" w:hAnsi="Book Antiqua"/>
        </w:rPr>
        <w:t>. Interferon in the management of neuroendocrine GEP-tumors: a review. </w:t>
      </w:r>
      <w:r w:rsidRPr="00542DD8">
        <w:rPr>
          <w:rFonts w:ascii="Book Antiqua" w:hAnsi="Book Antiqua"/>
          <w:i/>
          <w:iCs/>
        </w:rPr>
        <w:t>Digestion</w:t>
      </w:r>
      <w:r w:rsidRPr="00542DD8">
        <w:rPr>
          <w:rFonts w:ascii="Book Antiqua" w:hAnsi="Book Antiqua"/>
        </w:rPr>
        <w:t> 2000; </w:t>
      </w:r>
      <w:r w:rsidRPr="00542DD8">
        <w:rPr>
          <w:rFonts w:ascii="Book Antiqua" w:hAnsi="Book Antiqua"/>
          <w:b/>
          <w:bCs/>
        </w:rPr>
        <w:t>62 Suppl 1</w:t>
      </w:r>
      <w:r w:rsidRPr="00542DD8">
        <w:rPr>
          <w:rFonts w:ascii="Book Antiqua" w:hAnsi="Book Antiqua"/>
        </w:rPr>
        <w:t>: 92-97 [PMID: 10940694 DOI: 10.1159/000051862]</w:t>
      </w:r>
    </w:p>
    <w:p w14:paraId="3C5AFF7B" w14:textId="77777777" w:rsidR="0032725D"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32725D">
        <w:rPr>
          <w:rFonts w:ascii="Book Antiqua" w:hAnsi="Book Antiqua"/>
          <w:highlight w:val="yellow"/>
        </w:rPr>
        <w:t>22 </w:t>
      </w:r>
      <w:r w:rsidRPr="0032725D">
        <w:rPr>
          <w:rFonts w:ascii="Book Antiqua" w:hAnsi="Book Antiqua"/>
          <w:b/>
          <w:bCs/>
          <w:highlight w:val="yellow"/>
        </w:rPr>
        <w:t>ENETS</w:t>
      </w:r>
      <w:r w:rsidR="0032725D" w:rsidRPr="0032725D">
        <w:rPr>
          <w:rFonts w:ascii="Book Antiqua" w:hAnsi="Book Antiqua" w:hint="eastAsia"/>
          <w:b/>
          <w:bCs/>
          <w:highlight w:val="yellow"/>
        </w:rPr>
        <w:t>.</w:t>
      </w:r>
      <w:r w:rsidRPr="0032725D">
        <w:rPr>
          <w:rFonts w:ascii="Book Antiqua" w:hAnsi="Book Antiqua"/>
          <w:highlight w:val="yellow"/>
        </w:rPr>
        <w:t xml:space="preserve"> ENETS Centre of Excellence (CoE) Centres. </w:t>
      </w:r>
      <w:bookmarkStart w:id="166" w:name="OLE_LINK177"/>
      <w:r w:rsidR="0032725D">
        <w:rPr>
          <w:rFonts w:ascii="Book Antiqua" w:hAnsi="Book Antiqua" w:hint="eastAsia"/>
          <w:highlight w:val="yellow"/>
        </w:rPr>
        <w:t>[</w:t>
      </w:r>
      <w:r w:rsidR="00A73F76">
        <w:rPr>
          <w:rFonts w:ascii="Book Antiqua" w:hAnsi="Book Antiqua" w:hint="eastAsia"/>
          <w:highlight w:val="yellow"/>
        </w:rPr>
        <w:t>cit</w:t>
      </w:r>
      <w:r w:rsidR="0032725D">
        <w:rPr>
          <w:rFonts w:ascii="Book Antiqua" w:hAnsi="Book Antiqua"/>
          <w:highlight w:val="yellow"/>
        </w:rPr>
        <w:t xml:space="preserve">ed </w:t>
      </w:r>
      <w:r w:rsidR="00436C78" w:rsidRPr="0032725D">
        <w:rPr>
          <w:rFonts w:ascii="Book Antiqua" w:hAnsi="Book Antiqua"/>
          <w:highlight w:val="yellow"/>
        </w:rPr>
        <w:t>Oct</w:t>
      </w:r>
      <w:r w:rsidR="00436C78" w:rsidRPr="0032725D">
        <w:rPr>
          <w:rFonts w:ascii="Book Antiqua" w:hAnsi="Book Antiqua" w:hint="eastAsia"/>
          <w:highlight w:val="yellow"/>
        </w:rPr>
        <w:t>ober</w:t>
      </w:r>
      <w:r w:rsidR="00436C78">
        <w:rPr>
          <w:rFonts w:ascii="Book Antiqua" w:hAnsi="Book Antiqua"/>
          <w:highlight w:val="yellow"/>
        </w:rPr>
        <w:t xml:space="preserve"> </w:t>
      </w:r>
      <w:r w:rsidR="00436C78" w:rsidRPr="0032725D">
        <w:rPr>
          <w:rFonts w:ascii="Book Antiqua" w:hAnsi="Book Antiqua"/>
          <w:highlight w:val="yellow"/>
        </w:rPr>
        <w:t>26</w:t>
      </w:r>
      <w:r w:rsidR="00436C78">
        <w:rPr>
          <w:rFonts w:ascii="Book Antiqua" w:hAnsi="Book Antiqua"/>
          <w:highlight w:val="yellow"/>
        </w:rPr>
        <w:t xml:space="preserve">, </w:t>
      </w:r>
      <w:r w:rsidR="0032725D">
        <w:rPr>
          <w:rFonts w:ascii="Book Antiqua" w:hAnsi="Book Antiqua"/>
          <w:highlight w:val="yellow"/>
        </w:rPr>
        <w:t>2020</w:t>
      </w:r>
      <w:r w:rsidR="0032725D">
        <w:rPr>
          <w:rFonts w:ascii="Book Antiqua" w:hAnsi="Book Antiqua" w:hint="eastAsia"/>
          <w:highlight w:val="yellow"/>
        </w:rPr>
        <w:t>]</w:t>
      </w:r>
      <w:r w:rsidR="00A73F76">
        <w:rPr>
          <w:rFonts w:ascii="Book Antiqua" w:hAnsi="Book Antiqua" w:hint="eastAsia"/>
          <w:highlight w:val="yellow"/>
        </w:rPr>
        <w:t>.</w:t>
      </w:r>
      <w:r w:rsidR="0032725D">
        <w:rPr>
          <w:rFonts w:ascii="Book Antiqua" w:hAnsi="Book Antiqua" w:hint="eastAsia"/>
          <w:highlight w:val="yellow"/>
        </w:rPr>
        <w:t xml:space="preserve"> </w:t>
      </w:r>
      <w:bookmarkStart w:id="167" w:name="OLE_LINK178"/>
      <w:bookmarkStart w:id="168" w:name="OLE_LINK179"/>
      <w:bookmarkEnd w:id="166"/>
      <w:r w:rsidR="0032725D" w:rsidRPr="0032725D">
        <w:rPr>
          <w:rFonts w:ascii="Book Antiqua" w:hAnsi="Book Antiqua" w:hint="eastAsia"/>
          <w:highlight w:val="yellow"/>
        </w:rPr>
        <w:t>Available from:</w:t>
      </w:r>
      <w:bookmarkEnd w:id="167"/>
      <w:bookmarkEnd w:id="168"/>
      <w:r w:rsidR="0032725D" w:rsidRPr="0032725D">
        <w:rPr>
          <w:rFonts w:ascii="Book Antiqua" w:hAnsi="Book Antiqua" w:hint="eastAsia"/>
          <w:highlight w:val="yellow"/>
        </w:rPr>
        <w:t xml:space="preserve"> </w:t>
      </w:r>
      <w:r w:rsidR="0032725D">
        <w:rPr>
          <w:rFonts w:ascii="Book Antiqua" w:hAnsi="Book Antiqua"/>
          <w:highlight w:val="yellow"/>
        </w:rPr>
        <w:t>https://www.enets.org/coe.html</w:t>
      </w:r>
      <w:r w:rsidRPr="0032725D">
        <w:rPr>
          <w:rFonts w:ascii="Book Antiqua" w:hAnsi="Book Antiqua"/>
          <w:highlight w:val="yellow"/>
        </w:rPr>
        <w:t xml:space="preserve"> </w:t>
      </w:r>
    </w:p>
    <w:p w14:paraId="0A07F784" w14:textId="77777777" w:rsidR="00542DD8" w:rsidRPr="0032725D"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32725D">
        <w:rPr>
          <w:rFonts w:ascii="Book Antiqua" w:hAnsi="Book Antiqua"/>
          <w:highlight w:val="yellow"/>
        </w:rPr>
        <w:t>23 </w:t>
      </w:r>
      <w:r w:rsidRPr="0032725D">
        <w:rPr>
          <w:rFonts w:ascii="Book Antiqua" w:hAnsi="Book Antiqua"/>
          <w:b/>
          <w:bCs/>
          <w:highlight w:val="yellow"/>
        </w:rPr>
        <w:t>NETConnnect</w:t>
      </w:r>
      <w:r w:rsidR="0032725D" w:rsidRPr="0032725D">
        <w:rPr>
          <w:rFonts w:ascii="Book Antiqua" w:hAnsi="Book Antiqua" w:hint="eastAsia"/>
          <w:b/>
          <w:bCs/>
          <w:highlight w:val="yellow"/>
        </w:rPr>
        <w:t>.</w:t>
      </w:r>
      <w:r w:rsidRPr="0032725D">
        <w:rPr>
          <w:rFonts w:ascii="Book Antiqua" w:hAnsi="Book Antiqua"/>
          <w:highlight w:val="yellow"/>
        </w:rPr>
        <w:t> NET CONNECT.</w:t>
      </w:r>
      <w:r w:rsidR="0032725D" w:rsidRPr="0032725D">
        <w:rPr>
          <w:rFonts w:ascii="Book Antiqua" w:hAnsi="Book Antiqua" w:hint="eastAsia"/>
          <w:highlight w:val="yellow"/>
        </w:rPr>
        <w:t xml:space="preserve"> </w:t>
      </w:r>
      <w:bookmarkStart w:id="169" w:name="OLE_LINK160"/>
      <w:bookmarkStart w:id="170" w:name="OLE_LINK171"/>
      <w:bookmarkStart w:id="171" w:name="OLE_LINK180"/>
      <w:bookmarkStart w:id="172" w:name="OLE_LINK181"/>
      <w:r w:rsidR="0032725D" w:rsidRPr="0032725D">
        <w:rPr>
          <w:rFonts w:ascii="Book Antiqua" w:hAnsi="Book Antiqua" w:hint="eastAsia"/>
          <w:highlight w:val="yellow"/>
        </w:rPr>
        <w:t>[</w:t>
      </w:r>
      <w:r w:rsidR="00A73F76">
        <w:rPr>
          <w:rFonts w:ascii="Book Antiqua" w:hAnsi="Book Antiqua" w:hint="eastAsia"/>
          <w:highlight w:val="yellow"/>
        </w:rPr>
        <w:t>cit</w:t>
      </w:r>
      <w:r w:rsidR="0032725D" w:rsidRPr="0032725D">
        <w:rPr>
          <w:rFonts w:ascii="Book Antiqua" w:hAnsi="Book Antiqua"/>
          <w:highlight w:val="yellow"/>
        </w:rPr>
        <w:t>ed</w:t>
      </w:r>
      <w:r w:rsidR="00436C78">
        <w:rPr>
          <w:rFonts w:ascii="Book Antiqua" w:hAnsi="Book Antiqua"/>
          <w:highlight w:val="yellow"/>
        </w:rPr>
        <w:t xml:space="preserve"> </w:t>
      </w:r>
      <w:r w:rsidR="0032725D" w:rsidRPr="0032725D">
        <w:rPr>
          <w:rFonts w:ascii="Book Antiqua" w:hAnsi="Book Antiqua"/>
          <w:highlight w:val="yellow"/>
        </w:rPr>
        <w:t>Oct</w:t>
      </w:r>
      <w:r w:rsidR="0032725D" w:rsidRPr="0032725D">
        <w:rPr>
          <w:rFonts w:ascii="Book Antiqua" w:hAnsi="Book Antiqua" w:hint="eastAsia"/>
          <w:highlight w:val="yellow"/>
        </w:rPr>
        <w:t>ober</w:t>
      </w:r>
      <w:r w:rsidR="00436C78">
        <w:rPr>
          <w:rFonts w:ascii="Book Antiqua" w:hAnsi="Book Antiqua"/>
          <w:highlight w:val="yellow"/>
        </w:rPr>
        <w:t xml:space="preserve"> </w:t>
      </w:r>
      <w:r w:rsidR="00436C78" w:rsidRPr="0032725D">
        <w:rPr>
          <w:rFonts w:ascii="Book Antiqua" w:hAnsi="Book Antiqua"/>
          <w:highlight w:val="yellow"/>
        </w:rPr>
        <w:t>26</w:t>
      </w:r>
      <w:r w:rsidR="00436C78">
        <w:rPr>
          <w:rFonts w:ascii="Book Antiqua" w:hAnsi="Book Antiqua"/>
          <w:highlight w:val="yellow"/>
        </w:rPr>
        <w:t>,</w:t>
      </w:r>
      <w:r w:rsidR="0032725D" w:rsidRPr="0032725D">
        <w:rPr>
          <w:rFonts w:ascii="Book Antiqua" w:hAnsi="Book Antiqua"/>
          <w:highlight w:val="yellow"/>
        </w:rPr>
        <w:t xml:space="preserve"> 2020</w:t>
      </w:r>
      <w:r w:rsidR="0032725D" w:rsidRPr="0032725D">
        <w:rPr>
          <w:rFonts w:ascii="Book Antiqua" w:hAnsi="Book Antiqua" w:hint="eastAsia"/>
          <w:highlight w:val="yellow"/>
        </w:rPr>
        <w:t>]</w:t>
      </w:r>
      <w:bookmarkEnd w:id="169"/>
      <w:bookmarkEnd w:id="170"/>
      <w:r w:rsidR="00A73F76">
        <w:rPr>
          <w:rFonts w:ascii="Book Antiqua" w:hAnsi="Book Antiqua" w:hint="eastAsia"/>
          <w:highlight w:val="yellow"/>
        </w:rPr>
        <w:t>.</w:t>
      </w:r>
      <w:r w:rsidR="0032725D" w:rsidRPr="0032725D">
        <w:rPr>
          <w:rFonts w:ascii="Book Antiqua" w:hAnsi="Book Antiqua" w:hint="eastAsia"/>
          <w:highlight w:val="yellow"/>
        </w:rPr>
        <w:t xml:space="preserve"> Available from:</w:t>
      </w:r>
      <w:bookmarkEnd w:id="171"/>
      <w:bookmarkEnd w:id="172"/>
      <w:r w:rsidR="0032725D" w:rsidRPr="0032725D">
        <w:rPr>
          <w:rFonts w:ascii="Book Antiqua" w:hAnsi="Book Antiqua" w:hint="eastAsia"/>
          <w:highlight w:val="yellow"/>
        </w:rPr>
        <w:t xml:space="preserve"> </w:t>
      </w:r>
      <w:r w:rsidR="0032725D" w:rsidRPr="0032725D">
        <w:rPr>
          <w:rFonts w:ascii="Book Antiqua" w:hAnsi="Book Antiqua"/>
          <w:highlight w:val="yellow"/>
        </w:rPr>
        <w:t xml:space="preserve"> https://net</w:t>
      </w:r>
      <w:r w:rsidR="0032725D" w:rsidRPr="0032725D">
        <w:rPr>
          <w:rFonts w:ascii="Book Antiqua" w:hAnsi="Book Antiqua" w:hint="eastAsia"/>
          <w:highlight w:val="yellow"/>
        </w:rPr>
        <w:t>-</w:t>
      </w:r>
      <w:r w:rsidRPr="0032725D">
        <w:rPr>
          <w:rFonts w:ascii="Book Antiqua" w:hAnsi="Book Antiqua"/>
          <w:highlight w:val="yellow"/>
        </w:rPr>
        <w:t>connect.info/#:~:text=NET%20CONNECT%20is%20a%20group%20of%20both%20established,experts%20in%20the%20field%20of%20neuroendocrine%20tumors%20%28NET%29</w:t>
      </w:r>
    </w:p>
    <w:p w14:paraId="6EAF30A8"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24 </w:t>
      </w:r>
      <w:r w:rsidRPr="00542DD8">
        <w:rPr>
          <w:rFonts w:ascii="Book Antiqua" w:hAnsi="Book Antiqua"/>
          <w:b/>
          <w:bCs/>
        </w:rPr>
        <w:t>Cherk MH</w:t>
      </w:r>
      <w:r w:rsidRPr="00542DD8">
        <w:rPr>
          <w:rFonts w:ascii="Book Antiqua" w:hAnsi="Book Antiqua"/>
        </w:rPr>
        <w:t>, Kong G, Hicks RJ, Hofman MS. Changes in biodistribution on </w:t>
      </w:r>
      <w:r w:rsidRPr="00542DD8">
        <w:rPr>
          <w:rFonts w:ascii="Book Antiqua" w:hAnsi="Book Antiqua"/>
          <w:vertAlign w:val="superscript"/>
        </w:rPr>
        <w:t>68</w:t>
      </w:r>
      <w:r w:rsidRPr="00542DD8">
        <w:rPr>
          <w:rFonts w:ascii="Book Antiqua" w:hAnsi="Book Antiqua"/>
        </w:rPr>
        <w:t>Ga-DOTA-Octreotate PET/CT after long acting somatostatin analogue therapy in neuroendocrine tumour patients may result in pseudoprogression. </w:t>
      </w:r>
      <w:r w:rsidRPr="00542DD8">
        <w:rPr>
          <w:rFonts w:ascii="Book Antiqua" w:hAnsi="Book Antiqua"/>
          <w:i/>
          <w:iCs/>
        </w:rPr>
        <w:t>Cancer Imaging</w:t>
      </w:r>
      <w:r w:rsidRPr="00542DD8">
        <w:rPr>
          <w:rFonts w:ascii="Book Antiqua" w:hAnsi="Book Antiqua"/>
        </w:rPr>
        <w:t> 2018; </w:t>
      </w:r>
      <w:r w:rsidRPr="00542DD8">
        <w:rPr>
          <w:rFonts w:ascii="Book Antiqua" w:hAnsi="Book Antiqua"/>
          <w:b/>
          <w:bCs/>
        </w:rPr>
        <w:t>18</w:t>
      </w:r>
      <w:r w:rsidRPr="00542DD8">
        <w:rPr>
          <w:rFonts w:ascii="Book Antiqua" w:hAnsi="Book Antiqua"/>
        </w:rPr>
        <w:t>: 3 [PMID: 29361984 DOI: 10.1186/s40644-018-0136-x]</w:t>
      </w:r>
    </w:p>
    <w:p w14:paraId="51EA9597"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25 </w:t>
      </w:r>
      <w:r w:rsidRPr="00542DD8">
        <w:rPr>
          <w:rFonts w:ascii="Book Antiqua" w:hAnsi="Book Antiqua"/>
          <w:b/>
          <w:bCs/>
        </w:rPr>
        <w:t>Yordanova A</w:t>
      </w:r>
      <w:r w:rsidRPr="00542DD8">
        <w:rPr>
          <w:rFonts w:ascii="Book Antiqua" w:hAnsi="Book Antiqua"/>
        </w:rPr>
        <w:t>, Wicharz MM, Mayer K, Brossart P, Gonzalez-Carmona MA, Strassburg CP, Fimmers R, Essler M, Ahmadzadehfar H. The Role of Adding Somatostatin Analogues to Peptide Receptor Radionuclide Therapy as a Combination and Maintenance Therapy. </w:t>
      </w:r>
      <w:r w:rsidRPr="00542DD8">
        <w:rPr>
          <w:rFonts w:ascii="Book Antiqua" w:hAnsi="Book Antiqua"/>
          <w:i/>
          <w:iCs/>
        </w:rPr>
        <w:t>Clin Cancer Res</w:t>
      </w:r>
      <w:r w:rsidRPr="00542DD8">
        <w:rPr>
          <w:rFonts w:ascii="Book Antiqua" w:hAnsi="Book Antiqua"/>
        </w:rPr>
        <w:t> 2018; </w:t>
      </w:r>
      <w:r w:rsidRPr="00542DD8">
        <w:rPr>
          <w:rFonts w:ascii="Book Antiqua" w:hAnsi="Book Antiqua"/>
          <w:b/>
          <w:bCs/>
        </w:rPr>
        <w:t>24</w:t>
      </w:r>
      <w:r w:rsidRPr="00542DD8">
        <w:rPr>
          <w:rFonts w:ascii="Book Antiqua" w:hAnsi="Book Antiqua"/>
        </w:rPr>
        <w:t>: 4672-4679 [PMID: 29950352 DOI: 10.1158/1078-0432.CCR-18-0947]</w:t>
      </w:r>
    </w:p>
    <w:p w14:paraId="2F79A5BC"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26 </w:t>
      </w:r>
      <w:r w:rsidRPr="00542DD8">
        <w:rPr>
          <w:rFonts w:ascii="Book Antiqua" w:hAnsi="Book Antiqua"/>
          <w:b/>
          <w:bCs/>
        </w:rPr>
        <w:t>Rudisile S</w:t>
      </w:r>
      <w:r w:rsidRPr="00542DD8">
        <w:rPr>
          <w:rFonts w:ascii="Book Antiqua" w:hAnsi="Book Antiqua"/>
        </w:rPr>
        <w:t>, Gosewisch A, Wenter V, Unterrainer M, Böning G, Gildehaus FJ, Fendler WP, Auernhammer CJ, Spitzweg C, Bartenstein P, Todica A, Ilhan H. Salvage PRRT with </w:t>
      </w:r>
      <w:r w:rsidRPr="00542DD8">
        <w:rPr>
          <w:rFonts w:ascii="Book Antiqua" w:hAnsi="Book Antiqua"/>
          <w:vertAlign w:val="superscript"/>
        </w:rPr>
        <w:t>177</w:t>
      </w:r>
      <w:r w:rsidRPr="00542DD8">
        <w:rPr>
          <w:rFonts w:ascii="Book Antiqua" w:hAnsi="Book Antiqua"/>
        </w:rPr>
        <w:t>Lu-DOTA-octreotate in extensively pretreated patients with metastatic neuroendocrine tumor (NET): dosimetry, toxicity, efficacy, and survival. </w:t>
      </w:r>
      <w:r w:rsidRPr="00542DD8">
        <w:rPr>
          <w:rFonts w:ascii="Book Antiqua" w:hAnsi="Book Antiqua"/>
          <w:i/>
          <w:iCs/>
        </w:rPr>
        <w:t>BMC Cancer</w:t>
      </w:r>
      <w:r w:rsidRPr="00542DD8">
        <w:rPr>
          <w:rFonts w:ascii="Book Antiqua" w:hAnsi="Book Antiqua"/>
        </w:rPr>
        <w:t> 2019; </w:t>
      </w:r>
      <w:r w:rsidRPr="00542DD8">
        <w:rPr>
          <w:rFonts w:ascii="Book Antiqua" w:hAnsi="Book Antiqua"/>
          <w:b/>
          <w:bCs/>
        </w:rPr>
        <w:t>19</w:t>
      </w:r>
      <w:r w:rsidRPr="00542DD8">
        <w:rPr>
          <w:rFonts w:ascii="Book Antiqua" w:hAnsi="Book Antiqua"/>
        </w:rPr>
        <w:t>: 788 [PMID: 31395036 DOI: 10.1186/s12885-019-6000-y]</w:t>
      </w:r>
    </w:p>
    <w:p w14:paraId="68D7FC01"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27 </w:t>
      </w:r>
      <w:r w:rsidRPr="00542DD8">
        <w:rPr>
          <w:rFonts w:ascii="Book Antiqua" w:hAnsi="Book Antiqua"/>
          <w:b/>
          <w:bCs/>
        </w:rPr>
        <w:t>van der Zwan WA</w:t>
      </w:r>
      <w:r w:rsidRPr="00542DD8">
        <w:rPr>
          <w:rFonts w:ascii="Book Antiqua" w:hAnsi="Book Antiqua"/>
        </w:rPr>
        <w:t>, Brabander T, Kam BLR, Teunissen JJM, Feelders RA, Hofland J, Krenning EP, de Herder WW. Salvage peptide receptor radionuclide therapy with [</w:t>
      </w:r>
      <w:r w:rsidRPr="00542DD8">
        <w:rPr>
          <w:rFonts w:ascii="Book Antiqua" w:hAnsi="Book Antiqua"/>
          <w:vertAlign w:val="superscript"/>
        </w:rPr>
        <w:t>177</w:t>
      </w:r>
      <w:r w:rsidRPr="00542DD8">
        <w:rPr>
          <w:rFonts w:ascii="Book Antiqua" w:hAnsi="Book Antiqua"/>
        </w:rPr>
        <w:t>Lu-DOTA,Tyr</w:t>
      </w:r>
      <w:r w:rsidRPr="00542DD8">
        <w:rPr>
          <w:rFonts w:ascii="Book Antiqua" w:hAnsi="Book Antiqua"/>
          <w:vertAlign w:val="superscript"/>
        </w:rPr>
        <w:t>3</w:t>
      </w:r>
      <w:r w:rsidRPr="00542DD8">
        <w:rPr>
          <w:rFonts w:ascii="Book Antiqua" w:hAnsi="Book Antiqua"/>
        </w:rPr>
        <w:t>]octreotate in patients with bronchial and gastroenteropancreatic neuroendocrine tumours. </w:t>
      </w:r>
      <w:r w:rsidRPr="00542DD8">
        <w:rPr>
          <w:rFonts w:ascii="Book Antiqua" w:hAnsi="Book Antiqua"/>
          <w:i/>
          <w:iCs/>
        </w:rPr>
        <w:t>Eur J Nucl Med Mol Imaging</w:t>
      </w:r>
      <w:r w:rsidRPr="00542DD8">
        <w:rPr>
          <w:rFonts w:ascii="Book Antiqua" w:hAnsi="Book Antiqua"/>
        </w:rPr>
        <w:t> 2019; </w:t>
      </w:r>
      <w:r w:rsidRPr="00542DD8">
        <w:rPr>
          <w:rFonts w:ascii="Book Antiqua" w:hAnsi="Book Antiqua"/>
          <w:b/>
          <w:bCs/>
        </w:rPr>
        <w:t>46</w:t>
      </w:r>
      <w:r w:rsidRPr="00542DD8">
        <w:rPr>
          <w:rFonts w:ascii="Book Antiqua" w:hAnsi="Book Antiqua"/>
        </w:rPr>
        <w:t>: 704-717 [PMID: 30267116 DOI: 10.1007/s00259-018-4158-1]</w:t>
      </w:r>
    </w:p>
    <w:p w14:paraId="40EBA2FB"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32725D">
        <w:rPr>
          <w:rFonts w:ascii="Book Antiqua" w:hAnsi="Book Antiqua"/>
          <w:highlight w:val="yellow"/>
        </w:rPr>
        <w:t>28 </w:t>
      </w:r>
      <w:r w:rsidRPr="0032725D">
        <w:rPr>
          <w:rFonts w:ascii="Book Antiqua" w:hAnsi="Book Antiqua"/>
          <w:b/>
          <w:bCs/>
          <w:highlight w:val="yellow"/>
        </w:rPr>
        <w:t>EMC</w:t>
      </w:r>
      <w:r w:rsidR="0032725D" w:rsidRPr="0032725D">
        <w:rPr>
          <w:rFonts w:ascii="Book Antiqua" w:hAnsi="Book Antiqua" w:hint="eastAsia"/>
          <w:b/>
          <w:bCs/>
          <w:highlight w:val="yellow"/>
        </w:rPr>
        <w:t>.</w:t>
      </w:r>
      <w:r w:rsidRPr="0032725D">
        <w:rPr>
          <w:rFonts w:ascii="Book Antiqua" w:hAnsi="Book Antiqua"/>
          <w:highlight w:val="yellow"/>
        </w:rPr>
        <w:t xml:space="preserve"> Afinitor 10mg tablets (SPC). </w:t>
      </w:r>
      <w:r w:rsidR="0032725D" w:rsidRPr="0032725D">
        <w:rPr>
          <w:rFonts w:ascii="Book Antiqua" w:hAnsi="Book Antiqua" w:hint="eastAsia"/>
          <w:highlight w:val="yellow"/>
        </w:rPr>
        <w:t>[</w:t>
      </w:r>
      <w:r w:rsidR="006779C9">
        <w:rPr>
          <w:rFonts w:ascii="Book Antiqua" w:hAnsi="Book Antiqua" w:hint="eastAsia"/>
          <w:highlight w:val="yellow"/>
        </w:rPr>
        <w:t>cit</w:t>
      </w:r>
      <w:r w:rsidR="0032725D" w:rsidRPr="0032725D">
        <w:rPr>
          <w:rFonts w:ascii="Book Antiqua" w:hAnsi="Book Antiqua"/>
          <w:highlight w:val="yellow"/>
        </w:rPr>
        <w:t>ed Oct</w:t>
      </w:r>
      <w:r w:rsidR="0032725D" w:rsidRPr="0032725D">
        <w:rPr>
          <w:rFonts w:ascii="Book Antiqua" w:hAnsi="Book Antiqua" w:hint="eastAsia"/>
          <w:highlight w:val="yellow"/>
        </w:rPr>
        <w:t>ober</w:t>
      </w:r>
      <w:r w:rsidR="007C1364">
        <w:rPr>
          <w:rFonts w:ascii="Book Antiqua" w:hAnsi="Book Antiqua"/>
          <w:highlight w:val="yellow"/>
        </w:rPr>
        <w:t xml:space="preserve"> </w:t>
      </w:r>
      <w:r w:rsidR="007C1364" w:rsidRPr="0032725D">
        <w:rPr>
          <w:rFonts w:ascii="Book Antiqua" w:hAnsi="Book Antiqua"/>
          <w:highlight w:val="yellow"/>
        </w:rPr>
        <w:t>2</w:t>
      </w:r>
      <w:r w:rsidR="007C1364" w:rsidRPr="0032725D">
        <w:rPr>
          <w:rFonts w:ascii="Book Antiqua" w:hAnsi="Book Antiqua" w:hint="eastAsia"/>
          <w:highlight w:val="yellow"/>
        </w:rPr>
        <w:t>8</w:t>
      </w:r>
      <w:r w:rsidR="007C1364">
        <w:rPr>
          <w:rFonts w:ascii="Book Antiqua" w:hAnsi="Book Antiqua"/>
          <w:highlight w:val="yellow"/>
        </w:rPr>
        <w:t>,</w:t>
      </w:r>
      <w:r w:rsidR="0032725D" w:rsidRPr="0032725D">
        <w:rPr>
          <w:rFonts w:ascii="Book Antiqua" w:hAnsi="Book Antiqua"/>
          <w:highlight w:val="yellow"/>
        </w:rPr>
        <w:t xml:space="preserve"> 2020</w:t>
      </w:r>
      <w:r w:rsidR="0032725D" w:rsidRPr="0032725D">
        <w:rPr>
          <w:rFonts w:ascii="Book Antiqua" w:hAnsi="Book Antiqua" w:hint="eastAsia"/>
          <w:highlight w:val="yellow"/>
        </w:rPr>
        <w:t>]</w:t>
      </w:r>
      <w:r w:rsidR="006779C9">
        <w:rPr>
          <w:rFonts w:ascii="Book Antiqua" w:hAnsi="Book Antiqua" w:hint="eastAsia"/>
          <w:highlight w:val="yellow"/>
        </w:rPr>
        <w:t>.</w:t>
      </w:r>
      <w:r w:rsidR="0032725D" w:rsidRPr="0032725D">
        <w:rPr>
          <w:rFonts w:ascii="Book Antiqua" w:hAnsi="Book Antiqua" w:hint="eastAsia"/>
          <w:highlight w:val="yellow"/>
        </w:rPr>
        <w:t xml:space="preserve"> Available from: </w:t>
      </w:r>
      <w:r w:rsidRPr="0032725D">
        <w:rPr>
          <w:rFonts w:ascii="Book Antiqua" w:hAnsi="Book Antiqua"/>
          <w:highlight w:val="yellow"/>
        </w:rPr>
        <w:t>https://www.medicines.org</w:t>
      </w:r>
      <w:r w:rsidR="0032725D" w:rsidRPr="0032725D">
        <w:rPr>
          <w:rFonts w:ascii="Book Antiqua" w:hAnsi="Book Antiqua"/>
          <w:highlight w:val="yellow"/>
        </w:rPr>
        <w:t>.uk/emc/product/6658/smpc#gref</w:t>
      </w:r>
    </w:p>
    <w:p w14:paraId="2AD85140" w14:textId="77777777" w:rsidR="00542DD8" w:rsidRPr="00542DD8" w:rsidRDefault="00542DD8" w:rsidP="00542DD8">
      <w:pPr>
        <w:pStyle w:val="a9"/>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29 </w:t>
      </w:r>
      <w:r w:rsidRPr="00542DD8">
        <w:rPr>
          <w:rFonts w:ascii="Book Antiqua" w:hAnsi="Book Antiqua"/>
          <w:b/>
          <w:bCs/>
        </w:rPr>
        <w:t>Pavel ME</w:t>
      </w:r>
      <w:r w:rsidRPr="00542DD8">
        <w:rPr>
          <w:rFonts w:ascii="Book Antiqua" w:hAnsi="Book Antiqua"/>
        </w:rPr>
        <w:t>, Baudin E, Öberg KE, Hainsworth JD, Voi M, Rouyrre N, Peeters M, Gross DJ, Yao JC. Efficacy of everolimus plus octreotide LAR in patients with advanced neuroendocrine tumor and carcinoid syndrome: final overall survival from the randomized, placebo-controlled phase 3 RADIANT-2 study. </w:t>
      </w:r>
      <w:r w:rsidRPr="00542DD8">
        <w:rPr>
          <w:rFonts w:ascii="Book Antiqua" w:hAnsi="Book Antiqua"/>
          <w:i/>
          <w:iCs/>
        </w:rPr>
        <w:t>Ann Oncol</w:t>
      </w:r>
      <w:r w:rsidRPr="00542DD8">
        <w:rPr>
          <w:rFonts w:ascii="Book Antiqua" w:hAnsi="Book Antiqua"/>
        </w:rPr>
        <w:t> 2019; </w:t>
      </w:r>
      <w:r w:rsidRPr="00542DD8">
        <w:rPr>
          <w:rFonts w:ascii="Book Antiqua" w:hAnsi="Book Antiqua"/>
          <w:b/>
          <w:bCs/>
        </w:rPr>
        <w:t>30</w:t>
      </w:r>
      <w:r w:rsidRPr="00542DD8">
        <w:rPr>
          <w:rFonts w:ascii="Book Antiqua" w:hAnsi="Book Antiqua"/>
        </w:rPr>
        <w:t>: 2010 [PMID: 31406974 DOI: 10.1093/annonc/mdz222]</w:t>
      </w:r>
    </w:p>
    <w:p w14:paraId="47B1C477" w14:textId="77777777" w:rsidR="001C4443" w:rsidRPr="001C4443" w:rsidRDefault="001C4443" w:rsidP="001C4443">
      <w:pPr>
        <w:pStyle w:val="a9"/>
        <w:shd w:val="clear" w:color="auto" w:fill="FFFFFF"/>
        <w:adjustRightInd w:val="0"/>
        <w:snapToGrid w:val="0"/>
        <w:spacing w:before="0" w:beforeAutospacing="0" w:after="0" w:afterAutospacing="0" w:line="360" w:lineRule="auto"/>
        <w:jc w:val="both"/>
        <w:rPr>
          <w:rFonts w:ascii="Book Antiqua" w:hAnsi="Book Antiqua"/>
        </w:rPr>
      </w:pPr>
    </w:p>
    <w:bookmarkEnd w:id="145"/>
    <w:bookmarkEnd w:id="146"/>
    <w:bookmarkEnd w:id="147"/>
    <w:bookmarkEnd w:id="148"/>
    <w:p w14:paraId="09CAD643" w14:textId="77777777" w:rsidR="00A77B3E" w:rsidRDefault="001C4443">
      <w:pPr>
        <w:spacing w:line="360" w:lineRule="auto"/>
        <w:jc w:val="both"/>
      </w:pPr>
      <w:r>
        <w:rPr>
          <w:rFonts w:ascii="Book Antiqua" w:eastAsia="Book Antiqua" w:hAnsi="Book Antiqua" w:cs="Book Antiqua"/>
          <w:b/>
          <w:color w:val="000000"/>
        </w:rPr>
        <w:br w:type="page"/>
      </w:r>
      <w:r w:rsidR="00E3223D">
        <w:rPr>
          <w:rFonts w:ascii="Book Antiqua" w:eastAsia="Book Antiqua" w:hAnsi="Book Antiqua" w:cs="Book Antiqua"/>
          <w:b/>
          <w:color w:val="000000"/>
        </w:rPr>
        <w:t>Footnotes</w:t>
      </w:r>
    </w:p>
    <w:p w14:paraId="458A7153" w14:textId="77777777" w:rsidR="00D21E11" w:rsidRPr="00A37D48" w:rsidRDefault="00D21E11" w:rsidP="00D21E11">
      <w:pPr>
        <w:adjustRightInd w:val="0"/>
        <w:snapToGrid w:val="0"/>
        <w:spacing w:line="360" w:lineRule="auto"/>
        <w:rPr>
          <w:rFonts w:ascii="Book Antiqua" w:hAnsi="Book Antiqua"/>
          <w:b/>
        </w:rPr>
      </w:pPr>
      <w:bookmarkStart w:id="173" w:name="OLE_LINK279"/>
      <w:bookmarkStart w:id="174" w:name="OLE_LINK280"/>
      <w:bookmarkStart w:id="175" w:name="OLE_LINK281"/>
      <w:r w:rsidRPr="00A37D48">
        <w:rPr>
          <w:rFonts w:ascii="Book Antiqua" w:hAnsi="Book Antiqua"/>
          <w:b/>
        </w:rPr>
        <w:t>Institutional review board statement</w:t>
      </w:r>
      <w:r w:rsidRPr="00A37D48">
        <w:rPr>
          <w:rFonts w:ascii="Book Antiqua" w:hAnsi="Book Antiqua"/>
          <w:b/>
          <w:iCs/>
          <w:color w:val="000000"/>
        </w:rPr>
        <w:t xml:space="preserve">: </w:t>
      </w:r>
      <w:r w:rsidRPr="00D21E11">
        <w:rPr>
          <w:rFonts w:ascii="Book Antiqua" w:hAnsi="Book Antiqua"/>
        </w:rPr>
        <w:t>This was an online survey and participat</w:t>
      </w:r>
      <w:r>
        <w:rPr>
          <w:rFonts w:ascii="Book Antiqua" w:hAnsi="Book Antiqua"/>
        </w:rPr>
        <w:t>ion was anonymous and voluntary</w:t>
      </w:r>
      <w:r>
        <w:rPr>
          <w:rFonts w:ascii="Book Antiqua" w:hAnsi="Book Antiqua" w:hint="eastAsia"/>
          <w:lang w:eastAsia="zh-CN"/>
        </w:rPr>
        <w:t xml:space="preserve">, the </w:t>
      </w:r>
      <w:r w:rsidRPr="00D21E11">
        <w:rPr>
          <w:rFonts w:ascii="Book Antiqua" w:hAnsi="Book Antiqua"/>
          <w:lang w:eastAsia="zh-CN"/>
        </w:rPr>
        <w:t>Institutional review board statement is not applicable to our study</w:t>
      </w:r>
      <w:r w:rsidRPr="00A37D48">
        <w:rPr>
          <w:rFonts w:ascii="Book Antiqua" w:hAnsi="Book Antiqua"/>
        </w:rPr>
        <w:t>.</w:t>
      </w:r>
    </w:p>
    <w:p w14:paraId="6B2A64B3" w14:textId="77777777" w:rsidR="00D21E11" w:rsidRPr="00A37D48" w:rsidRDefault="00D21E11" w:rsidP="00D21E11">
      <w:pPr>
        <w:autoSpaceDE w:val="0"/>
        <w:autoSpaceDN w:val="0"/>
        <w:adjustRightInd w:val="0"/>
        <w:snapToGrid w:val="0"/>
        <w:spacing w:line="360" w:lineRule="auto"/>
        <w:rPr>
          <w:rFonts w:ascii="Book Antiqua" w:hAnsi="Book Antiqua"/>
          <w:bCs/>
          <w:iCs/>
          <w:color w:val="000000"/>
        </w:rPr>
      </w:pPr>
    </w:p>
    <w:p w14:paraId="54662847" w14:textId="77777777" w:rsidR="00D21E11" w:rsidRDefault="00D21E11" w:rsidP="00D21E11">
      <w:pPr>
        <w:spacing w:line="360" w:lineRule="auto"/>
        <w:jc w:val="both"/>
        <w:rPr>
          <w:rFonts w:ascii="Book Antiqua" w:hAnsi="Book Antiqua"/>
          <w:lang w:eastAsia="zh-CN"/>
        </w:rPr>
      </w:pPr>
      <w:r w:rsidRPr="00A37D48">
        <w:rPr>
          <w:rFonts w:ascii="Book Antiqua" w:hAnsi="Book Antiqua"/>
          <w:b/>
        </w:rPr>
        <w:t>Informed consent statement</w:t>
      </w:r>
      <w:r w:rsidRPr="00A37D48">
        <w:rPr>
          <w:rFonts w:ascii="Book Antiqua" w:hAnsi="Book Antiqua"/>
          <w:b/>
          <w:iCs/>
          <w:color w:val="000000"/>
        </w:rPr>
        <w:t xml:space="preserve">: </w:t>
      </w:r>
      <w:r>
        <w:rPr>
          <w:rFonts w:ascii="Book Antiqua" w:hAnsi="Book Antiqua"/>
        </w:rPr>
        <w:t>This was an online survey and participation was anonymous and voluntary</w:t>
      </w:r>
      <w:r>
        <w:rPr>
          <w:rFonts w:ascii="Book Antiqua" w:hAnsi="Book Antiqua"/>
          <w:lang w:eastAsia="zh-CN"/>
        </w:rPr>
        <w:t xml:space="preserve">, the </w:t>
      </w:r>
      <w:r w:rsidRPr="00D21E11">
        <w:rPr>
          <w:rFonts w:ascii="Book Antiqua" w:hAnsi="Book Antiqua"/>
          <w:lang w:eastAsia="zh-CN"/>
        </w:rPr>
        <w:t>Informed consent statement</w:t>
      </w:r>
      <w:r>
        <w:rPr>
          <w:rFonts w:ascii="Book Antiqua" w:hAnsi="Book Antiqua"/>
          <w:lang w:eastAsia="zh-CN"/>
        </w:rPr>
        <w:t xml:space="preserve"> is not applicable to our study</w:t>
      </w:r>
      <w:r w:rsidRPr="00A37D48">
        <w:rPr>
          <w:rFonts w:ascii="Book Antiqua" w:hAnsi="Book Antiqua"/>
        </w:rPr>
        <w:t>.</w:t>
      </w:r>
      <w:bookmarkEnd w:id="173"/>
      <w:bookmarkEnd w:id="174"/>
      <w:bookmarkEnd w:id="175"/>
    </w:p>
    <w:p w14:paraId="6E24125E" w14:textId="77777777" w:rsidR="00D21E11" w:rsidRDefault="00D21E11" w:rsidP="00D21E11">
      <w:pPr>
        <w:spacing w:line="360" w:lineRule="auto"/>
        <w:jc w:val="both"/>
        <w:rPr>
          <w:rFonts w:ascii="Book Antiqua" w:hAnsi="Book Antiqua" w:cs="Book Antiqua"/>
          <w:b/>
          <w:bCs/>
          <w:color w:val="000000"/>
          <w:szCs w:val="22"/>
          <w:lang w:eastAsia="zh-CN"/>
        </w:rPr>
      </w:pPr>
    </w:p>
    <w:p w14:paraId="78E19389" w14:textId="77777777" w:rsidR="00A77B3E" w:rsidRDefault="00E3223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Dr Angela Lamarca received travel and educational support from Ipsen, Pfizer, Bayer, AAA, SirtEx, Novartis, Mylan and Delcath; speaker honoraria from Merck, Pfizer, Ipsen, Incyte and AAA; advisory honoraria from EISAI, Nutricia Ipsen, QED and Roche.</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Dr. Mauro Cives received travel support from Ipsen, Novartis, Pfizer and AAA; speaker honoraria from Ipsen, Novartis and AAA; advisory honoraria from AAA.</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Dr. Joakim Crona received educational honoraria from Novartis.</w:t>
      </w:r>
    </w:p>
    <w:p w14:paraId="00E5E47C" w14:textId="77777777" w:rsidR="00A77B3E" w:rsidRDefault="00E3223D">
      <w:pPr>
        <w:spacing w:line="360" w:lineRule="auto"/>
        <w:jc w:val="both"/>
      </w:pPr>
      <w:r>
        <w:rPr>
          <w:rFonts w:ascii="Book Antiqua" w:eastAsia="Book Antiqua" w:hAnsi="Book Antiqua" w:cs="Book Antiqua"/>
          <w:color w:val="000000"/>
          <w:szCs w:val="22"/>
        </w:rPr>
        <w:t>Dr. Louis de Mestier received advisory honoraria from Ipsen, Novartis and Pfizer, and speaker honoraria from Ipsen, Novartis, Pfizer and Keocyt.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Marianne Pavel received honoraria for presentations and/or advisory role from Novartis, IPSEN, AAA, Pfizer, Riemser, Lexicon, Prime Oncology, Boehringer Ingelheim.</w:t>
      </w:r>
      <w:r w:rsidR="007340D7">
        <w:rPr>
          <w:rStyle w:val="Ninguno"/>
          <w:rFonts w:ascii="Book Antiqua" w:hAnsi="Book Antiqua" w:cs="Book Antiqua" w:hint="eastAsia"/>
          <w:color w:val="000000"/>
          <w:szCs w:val="22"/>
          <w:lang w:eastAsia="zh-CN"/>
        </w:rPr>
        <w:t xml:space="preserve"> </w:t>
      </w:r>
      <w:r>
        <w:rPr>
          <w:rStyle w:val="Ninguno"/>
          <w:rFonts w:ascii="Book Antiqua" w:eastAsia="Book Antiqua" w:hAnsi="Book Antiqua" w:cs="Book Antiqua"/>
          <w:color w:val="000000"/>
          <w:szCs w:val="22"/>
        </w:rPr>
        <w:t xml:space="preserve">Teresa Alonso-Gordoa declares </w:t>
      </w:r>
      <w:r>
        <w:rPr>
          <w:rFonts w:ascii="Book Antiqua" w:eastAsia="Book Antiqua" w:hAnsi="Book Antiqua" w:cs="Book Antiqua"/>
          <w:color w:val="000000"/>
          <w:szCs w:val="22"/>
        </w:rPr>
        <w:t>consultant or advisory honoraria from IPSEN, Adacap, Roche, Pfizer, Sanofi, Bayer, Janssen, Astellas, BMS, Merck and Eisai and speaker honoraria from IPSEN, Adacap, Pfizer, Janssen, Astellas.</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All coauthors are member of the NETConnect Initiative supported by Ipsen. </w:t>
      </w:r>
    </w:p>
    <w:p w14:paraId="0E7B2A50" w14:textId="77777777" w:rsidR="00A77B3E" w:rsidRPr="00B07632" w:rsidRDefault="00A77B3E">
      <w:pPr>
        <w:spacing w:line="360" w:lineRule="auto"/>
        <w:jc w:val="both"/>
        <w:rPr>
          <w:lang w:eastAsia="zh-CN"/>
        </w:rPr>
      </w:pPr>
    </w:p>
    <w:p w14:paraId="2612FA8F" w14:textId="77777777" w:rsidR="00A77B3E" w:rsidRDefault="00E3223D">
      <w:pPr>
        <w:spacing w:line="360" w:lineRule="auto"/>
        <w:jc w:val="both"/>
      </w:pPr>
      <w:bookmarkStart w:id="176" w:name="OLE_LINK66"/>
      <w:r>
        <w:rPr>
          <w:rFonts w:ascii="Book Antiqua" w:eastAsia="Book Antiqua" w:hAnsi="Book Antiqua" w:cs="Book Antiqua"/>
          <w:b/>
          <w:bCs/>
          <w:color w:val="000000"/>
        </w:rPr>
        <w:t>STROBE statement</w:t>
      </w:r>
      <w:bookmarkEnd w:id="176"/>
      <w:r>
        <w:rPr>
          <w:rFonts w:ascii="Book Antiqua" w:eastAsia="Book Antiqua" w:hAnsi="Book Antiqua" w:cs="Book Antiqua"/>
          <w:b/>
          <w:bCs/>
          <w:color w:val="000000"/>
        </w:rPr>
        <w:t xml:space="preserve">: </w:t>
      </w:r>
      <w:r w:rsidR="00F87E5B">
        <w:rPr>
          <w:rFonts w:ascii="Book Antiqua" w:eastAsia="Book Antiqua" w:hAnsi="Book Antiqua" w:cs="Book Antiqua"/>
          <w:color w:val="000000"/>
          <w:szCs w:val="20"/>
          <w:shd w:val="clear" w:color="auto" w:fill="FFFFFF"/>
        </w:rPr>
        <w:t xml:space="preserve">The authors have read the </w:t>
      </w:r>
      <w:r w:rsidR="00F87E5B" w:rsidRPr="00F87E5B">
        <w:rPr>
          <w:rFonts w:ascii="Book Antiqua" w:eastAsia="Book Antiqua" w:hAnsi="Book Antiqua" w:cs="Book Antiqua"/>
          <w:color w:val="000000"/>
          <w:szCs w:val="20"/>
          <w:shd w:val="clear" w:color="auto" w:fill="FFFFFF"/>
        </w:rPr>
        <w:t>STROBE statement</w:t>
      </w:r>
      <w:r w:rsidR="00F87E5B">
        <w:rPr>
          <w:rFonts w:ascii="Book Antiqua" w:eastAsia="Book Antiqua" w:hAnsi="Book Antiqua" w:cs="Book Antiqua"/>
          <w:color w:val="000000"/>
          <w:szCs w:val="20"/>
          <w:shd w:val="clear" w:color="auto" w:fill="FFFFFF"/>
        </w:rPr>
        <w:t xml:space="preserve">, and the manuscript was prepared and revised according to the </w:t>
      </w:r>
      <w:r w:rsidR="00F87E5B" w:rsidRPr="00F87E5B">
        <w:rPr>
          <w:rFonts w:ascii="Book Antiqua" w:eastAsia="Book Antiqua" w:hAnsi="Book Antiqua" w:cs="Book Antiqua"/>
          <w:color w:val="000000"/>
          <w:szCs w:val="20"/>
          <w:shd w:val="clear" w:color="auto" w:fill="FFFFFF"/>
        </w:rPr>
        <w:t>STROBE statement</w:t>
      </w:r>
      <w:r w:rsidR="00F87E5B">
        <w:rPr>
          <w:rFonts w:ascii="Book Antiqua" w:eastAsia="Book Antiqua" w:hAnsi="Book Antiqua" w:cs="Book Antiqua"/>
          <w:color w:val="000000"/>
          <w:szCs w:val="20"/>
          <w:shd w:val="clear" w:color="auto" w:fill="FFFFFF"/>
        </w:rPr>
        <w:t>.</w:t>
      </w:r>
    </w:p>
    <w:p w14:paraId="41230778" w14:textId="77777777" w:rsidR="00A77B3E" w:rsidRDefault="00A77B3E">
      <w:pPr>
        <w:spacing w:line="360" w:lineRule="auto"/>
        <w:jc w:val="both"/>
      </w:pPr>
    </w:p>
    <w:p w14:paraId="77E25BAC" w14:textId="77777777" w:rsidR="00A77B3E" w:rsidRDefault="00E3223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E3CC2C" w14:textId="77777777" w:rsidR="00A77B3E" w:rsidRDefault="00A77B3E">
      <w:pPr>
        <w:spacing w:line="360" w:lineRule="auto"/>
        <w:jc w:val="both"/>
      </w:pPr>
    </w:p>
    <w:p w14:paraId="5B1C8308" w14:textId="77777777" w:rsidR="00A77B3E" w:rsidRDefault="00E3223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8329E">
        <w:rPr>
          <w:rFonts w:ascii="Book Antiqua" w:eastAsia="Book Antiqua" w:hAnsi="Book Antiqua" w:cs="Book Antiqua"/>
          <w:color w:val="000000"/>
        </w:rPr>
        <w:t>manuscript</w:t>
      </w:r>
    </w:p>
    <w:p w14:paraId="6FDBBBF2" w14:textId="77777777" w:rsidR="00A77B3E" w:rsidRDefault="00A77B3E">
      <w:pPr>
        <w:spacing w:line="360" w:lineRule="auto"/>
        <w:jc w:val="both"/>
      </w:pPr>
    </w:p>
    <w:p w14:paraId="5BC61E49" w14:textId="77777777" w:rsidR="00A77B3E" w:rsidRDefault="00E3223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2020</w:t>
      </w:r>
    </w:p>
    <w:p w14:paraId="5A84BB99" w14:textId="77777777" w:rsidR="00A77B3E" w:rsidRDefault="00E3223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7, 2021</w:t>
      </w:r>
    </w:p>
    <w:p w14:paraId="311DB7B2" w14:textId="15D6654A" w:rsidR="00A77B3E" w:rsidRDefault="00E3223D">
      <w:pPr>
        <w:spacing w:line="360" w:lineRule="auto"/>
        <w:jc w:val="both"/>
      </w:pPr>
      <w:r>
        <w:rPr>
          <w:rFonts w:ascii="Book Antiqua" w:eastAsia="Book Antiqua" w:hAnsi="Book Antiqua" w:cs="Book Antiqua"/>
          <w:b/>
          <w:color w:val="000000"/>
        </w:rPr>
        <w:t xml:space="preserve">Article in press: </w:t>
      </w:r>
      <w:r w:rsidR="00913870" w:rsidRPr="00FD5CAD">
        <w:rPr>
          <w:rFonts w:ascii="Book Antiqua" w:eastAsia="Book Antiqua" w:hAnsi="Book Antiqua" w:cs="Book Antiqua"/>
          <w:color w:val="000000"/>
        </w:rPr>
        <w:t>February 26, 2021</w:t>
      </w:r>
    </w:p>
    <w:p w14:paraId="5C1CFCB5" w14:textId="77777777" w:rsidR="00A77B3E" w:rsidRDefault="00A77B3E">
      <w:pPr>
        <w:spacing w:line="360" w:lineRule="auto"/>
        <w:jc w:val="both"/>
      </w:pPr>
    </w:p>
    <w:p w14:paraId="5F178BCF" w14:textId="77777777" w:rsidR="00A77B3E" w:rsidRDefault="00E3223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55B7F29" w14:textId="77777777" w:rsidR="00A77B3E" w:rsidRDefault="00E3223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4229FE25" w14:textId="77777777" w:rsidR="00A77B3E" w:rsidRDefault="00E3223D">
      <w:pPr>
        <w:spacing w:line="360" w:lineRule="auto"/>
        <w:jc w:val="both"/>
      </w:pPr>
      <w:r>
        <w:rPr>
          <w:rFonts w:ascii="Book Antiqua" w:eastAsia="Book Antiqua" w:hAnsi="Book Antiqua" w:cs="Book Antiqua"/>
          <w:b/>
          <w:color w:val="000000"/>
        </w:rPr>
        <w:t>Peer-review report’s scientific quality classification</w:t>
      </w:r>
    </w:p>
    <w:p w14:paraId="60079866" w14:textId="77777777" w:rsidR="00A77B3E" w:rsidRDefault="00E3223D">
      <w:pPr>
        <w:spacing w:line="360" w:lineRule="auto"/>
        <w:jc w:val="both"/>
      </w:pPr>
      <w:r>
        <w:rPr>
          <w:rFonts w:ascii="Book Antiqua" w:eastAsia="Book Antiqua" w:hAnsi="Book Antiqua" w:cs="Book Antiqua"/>
          <w:color w:val="000000"/>
        </w:rPr>
        <w:t>Grade A (Excellent): A</w:t>
      </w:r>
    </w:p>
    <w:p w14:paraId="1E6E5B6C" w14:textId="77777777" w:rsidR="00A77B3E" w:rsidRDefault="00E3223D">
      <w:pPr>
        <w:spacing w:line="360" w:lineRule="auto"/>
        <w:jc w:val="both"/>
      </w:pPr>
      <w:r>
        <w:rPr>
          <w:rFonts w:ascii="Book Antiqua" w:eastAsia="Book Antiqua" w:hAnsi="Book Antiqua" w:cs="Book Antiqua"/>
          <w:color w:val="000000"/>
        </w:rPr>
        <w:t>Grade B (Very good): 0</w:t>
      </w:r>
    </w:p>
    <w:p w14:paraId="0AB5F3F6" w14:textId="77777777" w:rsidR="00A77B3E" w:rsidRDefault="00E3223D">
      <w:pPr>
        <w:spacing w:line="360" w:lineRule="auto"/>
        <w:jc w:val="both"/>
      </w:pPr>
      <w:r>
        <w:rPr>
          <w:rFonts w:ascii="Book Antiqua" w:eastAsia="Book Antiqua" w:hAnsi="Book Antiqua" w:cs="Book Antiqua"/>
          <w:color w:val="000000"/>
        </w:rPr>
        <w:t>Grade C (Good): 0</w:t>
      </w:r>
    </w:p>
    <w:p w14:paraId="015CE0EA" w14:textId="77777777" w:rsidR="00A77B3E" w:rsidRDefault="00E3223D">
      <w:pPr>
        <w:spacing w:line="360" w:lineRule="auto"/>
        <w:jc w:val="both"/>
      </w:pPr>
      <w:r>
        <w:rPr>
          <w:rFonts w:ascii="Book Antiqua" w:eastAsia="Book Antiqua" w:hAnsi="Book Antiqua" w:cs="Book Antiqua"/>
          <w:color w:val="000000"/>
        </w:rPr>
        <w:t>Grade D (Fair): 0</w:t>
      </w:r>
    </w:p>
    <w:p w14:paraId="632D1B7E" w14:textId="77777777" w:rsidR="00A77B3E" w:rsidRDefault="00E3223D">
      <w:pPr>
        <w:spacing w:line="360" w:lineRule="auto"/>
        <w:jc w:val="both"/>
      </w:pPr>
      <w:r>
        <w:rPr>
          <w:rFonts w:ascii="Book Antiqua" w:eastAsia="Book Antiqua" w:hAnsi="Book Antiqua" w:cs="Book Antiqua"/>
          <w:color w:val="000000"/>
        </w:rPr>
        <w:t>Grade E (Poor): 0</w:t>
      </w:r>
    </w:p>
    <w:p w14:paraId="54848A3D" w14:textId="77777777" w:rsidR="00A77B3E" w:rsidRDefault="00A77B3E">
      <w:pPr>
        <w:spacing w:line="360" w:lineRule="auto"/>
        <w:jc w:val="both"/>
      </w:pPr>
    </w:p>
    <w:p w14:paraId="7BB826D0" w14:textId="0EB3B45D" w:rsidR="00A77B3E" w:rsidRPr="006109BF" w:rsidRDefault="00E3223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HS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D8329E">
        <w:rPr>
          <w:rFonts w:ascii="Book Antiqua" w:eastAsia="Book Antiqua" w:hAnsi="Book Antiqua" w:cs="Book Antiqua"/>
          <w:b/>
          <w:color w:val="000000"/>
        </w:rPr>
        <w:t xml:space="preserve"> L-Editor:</w:t>
      </w:r>
      <w:r w:rsidR="006109BF">
        <w:rPr>
          <w:rFonts w:ascii="Book Antiqua" w:hAnsi="Book Antiqua" w:cs="Book Antiqua" w:hint="eastAsia"/>
          <w:b/>
          <w:color w:val="000000"/>
          <w:lang w:eastAsia="zh-CN"/>
        </w:rPr>
        <w:t xml:space="preserve"> A</w:t>
      </w:r>
      <w:r>
        <w:rPr>
          <w:rFonts w:ascii="Book Antiqua" w:eastAsia="Book Antiqua" w:hAnsi="Book Antiqua" w:cs="Book Antiqua"/>
          <w:b/>
          <w:color w:val="000000"/>
        </w:rPr>
        <w:t xml:space="preserve"> P-Editor:</w:t>
      </w:r>
      <w:r w:rsidRPr="006109BF">
        <w:rPr>
          <w:rFonts w:ascii="Book Antiqua" w:eastAsia="Book Antiqua" w:hAnsi="Book Antiqua" w:cs="Book Antiqua"/>
          <w:color w:val="000000"/>
        </w:rPr>
        <w:t xml:space="preserve"> </w:t>
      </w:r>
      <w:r w:rsidR="006109BF" w:rsidRPr="006109BF">
        <w:rPr>
          <w:rFonts w:ascii="Book Antiqua" w:hAnsi="Book Antiqua" w:cs="Book Antiqua" w:hint="eastAsia"/>
          <w:color w:val="000000"/>
          <w:lang w:eastAsia="zh-CN"/>
        </w:rPr>
        <w:t>Ma YJ</w:t>
      </w:r>
    </w:p>
    <w:p w14:paraId="62B605E7" w14:textId="77777777" w:rsidR="0025308E" w:rsidRDefault="0025308E">
      <w:pPr>
        <w:spacing w:line="360" w:lineRule="auto"/>
        <w:jc w:val="both"/>
        <w:sectPr w:rsidR="0025308E">
          <w:pgSz w:w="12240" w:h="15840"/>
          <w:pgMar w:top="1440" w:right="1440" w:bottom="1440" w:left="1440" w:header="720" w:footer="720" w:gutter="0"/>
          <w:cols w:space="720"/>
          <w:docGrid w:linePitch="360"/>
        </w:sectPr>
      </w:pPr>
    </w:p>
    <w:p w14:paraId="7C0D50FF" w14:textId="77777777" w:rsidR="00BF3E93" w:rsidRDefault="00E3223D">
      <w:pPr>
        <w:spacing w:line="360" w:lineRule="auto"/>
        <w:jc w:val="both"/>
        <w:rPr>
          <w:rFonts w:ascii="Book Antiqua" w:hAnsi="Book Antiqua" w:cs="Book Antiqua"/>
          <w:b/>
          <w:color w:val="000000"/>
          <w:szCs w:val="26"/>
          <w:lang w:eastAsia="zh-CN"/>
        </w:rPr>
      </w:pPr>
      <w:r>
        <w:rPr>
          <w:rFonts w:ascii="Book Antiqua" w:eastAsia="Book Antiqua" w:hAnsi="Book Antiqua" w:cs="Book Antiqua"/>
          <w:b/>
          <w:color w:val="000000"/>
        </w:rPr>
        <w:t>Figure Legends</w:t>
      </w:r>
    </w:p>
    <w:p w14:paraId="25E93DED" w14:textId="77777777" w:rsidR="00B95D34" w:rsidRDefault="00B95D34">
      <w:pPr>
        <w:spacing w:line="360" w:lineRule="auto"/>
        <w:jc w:val="both"/>
        <w:rPr>
          <w:rFonts w:ascii="Book Antiqua" w:eastAsia="Book Antiqua" w:hAnsi="Book Antiqua" w:cs="Book Antiqua"/>
          <w:b/>
          <w:color w:val="000000"/>
          <w:szCs w:val="26"/>
        </w:rPr>
      </w:pPr>
      <w:r>
        <w:rPr>
          <w:rFonts w:ascii="Book Antiqua" w:eastAsia="Book Antiqua" w:hAnsi="Book Antiqua" w:cs="Book Antiqua"/>
          <w:b/>
          <w:noProof/>
          <w:color w:val="000000"/>
          <w:szCs w:val="26"/>
          <w:lang w:eastAsia="zh-CN"/>
        </w:rPr>
        <w:drawing>
          <wp:inline distT="0" distB="0" distL="0" distR="0" wp14:anchorId="5ABABA19" wp14:editId="488240E0">
            <wp:extent cx="4969565" cy="4969565"/>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0513" cy="4970513"/>
                    </a:xfrm>
                    <a:prstGeom prst="rect">
                      <a:avLst/>
                    </a:prstGeom>
                    <a:noFill/>
                  </pic:spPr>
                </pic:pic>
              </a:graphicData>
            </a:graphic>
          </wp:inline>
        </w:drawing>
      </w:r>
    </w:p>
    <w:p w14:paraId="7FF9672A" w14:textId="77777777" w:rsidR="00A77B3E" w:rsidRPr="00880058" w:rsidRDefault="00880058">
      <w:pPr>
        <w:spacing w:line="360" w:lineRule="auto"/>
        <w:jc w:val="both"/>
        <w:rPr>
          <w:lang w:eastAsia="zh-CN"/>
        </w:rPr>
      </w:pPr>
      <w:r w:rsidRPr="00880058">
        <w:rPr>
          <w:rFonts w:ascii="Book Antiqua" w:eastAsia="Book Antiqua" w:hAnsi="Book Antiqua" w:cs="Book Antiqua"/>
          <w:b/>
          <w:color w:val="000000"/>
          <w:szCs w:val="26"/>
        </w:rPr>
        <w:t>Figure 1</w:t>
      </w:r>
      <w:r w:rsidR="00E3223D" w:rsidRPr="00880058">
        <w:rPr>
          <w:rFonts w:ascii="Book Antiqua" w:eastAsia="Book Antiqua" w:hAnsi="Book Antiqua" w:cs="Book Antiqua"/>
          <w:b/>
          <w:color w:val="000000"/>
          <w:szCs w:val="26"/>
        </w:rPr>
        <w:t xml:space="preserve"> Summary of treatment predominant flow by line of therapy</w:t>
      </w:r>
      <w:r w:rsidRPr="00880058">
        <w:rPr>
          <w:rFonts w:ascii="Book Antiqua" w:hAnsi="Book Antiqua" w:cs="Book Antiqua" w:hint="eastAsia"/>
          <w:b/>
          <w:color w:val="000000"/>
          <w:szCs w:val="26"/>
          <w:lang w:eastAsia="zh-CN"/>
        </w:rPr>
        <w:t>.</w:t>
      </w:r>
      <w:r>
        <w:rPr>
          <w:rFonts w:hint="eastAsia"/>
          <w:lang w:eastAsia="zh-CN"/>
        </w:rPr>
        <w:t xml:space="preserve"> </w:t>
      </w:r>
      <w:r>
        <w:rPr>
          <w:rFonts w:ascii="Book Antiqua" w:eastAsia="Book Antiqua" w:hAnsi="Book Antiqua" w:cs="Book Antiqua"/>
          <w:color w:val="000000"/>
          <w:szCs w:val="22"/>
        </w:rPr>
        <w:t xml:space="preserve">SSA: </w:t>
      </w:r>
      <w:bookmarkStart w:id="177" w:name="OLE_LINK51"/>
      <w:bookmarkStart w:id="178" w:name="OLE_LINK52"/>
      <w:r>
        <w:rPr>
          <w:rFonts w:ascii="Book Antiqua" w:hAnsi="Book Antiqua" w:cs="Book Antiqua" w:hint="eastAsia"/>
          <w:color w:val="000000"/>
          <w:szCs w:val="22"/>
          <w:lang w:eastAsia="zh-CN"/>
        </w:rPr>
        <w:t>S</w:t>
      </w:r>
      <w:r>
        <w:rPr>
          <w:rFonts w:ascii="Book Antiqua" w:eastAsia="Book Antiqua" w:hAnsi="Book Antiqua" w:cs="Book Antiqua"/>
          <w:color w:val="000000"/>
          <w:szCs w:val="22"/>
        </w:rPr>
        <w:t>omatostatin analogues</w:t>
      </w:r>
      <w:bookmarkEnd w:id="177"/>
      <w:bookmarkEnd w:id="178"/>
      <w:r>
        <w:rPr>
          <w:rFonts w:ascii="Book Antiqua" w:eastAsia="Book Antiqua" w:hAnsi="Book Antiqua" w:cs="Book Antiqua"/>
          <w:color w:val="000000"/>
          <w:szCs w:val="22"/>
        </w:rPr>
        <w:t xml:space="preserve">; PRRT: </w:t>
      </w:r>
      <w:bookmarkStart w:id="179" w:name="OLE_LINK53"/>
      <w:r>
        <w:rPr>
          <w:rFonts w:ascii="Book Antiqua" w:hAnsi="Book Antiqua" w:cs="Book Antiqua" w:hint="eastAsia"/>
          <w:color w:val="000000"/>
          <w:szCs w:val="22"/>
          <w:lang w:eastAsia="zh-CN"/>
        </w:rPr>
        <w:t>P</w:t>
      </w:r>
      <w:r w:rsidR="00E3223D">
        <w:rPr>
          <w:rFonts w:ascii="Book Antiqua" w:eastAsia="Book Antiqua" w:hAnsi="Book Antiqua" w:cs="Book Antiqua"/>
          <w:color w:val="000000"/>
          <w:szCs w:val="22"/>
        </w:rPr>
        <w:t>eptide receptor radi</w:t>
      </w:r>
      <w:r>
        <w:rPr>
          <w:rFonts w:ascii="Book Antiqua" w:eastAsia="Book Antiqua" w:hAnsi="Book Antiqua" w:cs="Book Antiqua"/>
          <w:color w:val="000000"/>
          <w:szCs w:val="22"/>
        </w:rPr>
        <w:t>onuclide therapy</w:t>
      </w:r>
      <w:bookmarkEnd w:id="179"/>
      <w:r>
        <w:rPr>
          <w:rFonts w:ascii="Book Antiqua" w:eastAsia="Book Antiqua" w:hAnsi="Book Antiqua" w:cs="Book Antiqua"/>
          <w:color w:val="000000"/>
          <w:szCs w:val="22"/>
        </w:rPr>
        <w:t xml:space="preserve">; Liver embol: </w:t>
      </w:r>
      <w:r>
        <w:rPr>
          <w:rFonts w:ascii="Book Antiqua" w:hAnsi="Book Antiqua" w:cs="Book Antiqua" w:hint="eastAsia"/>
          <w:color w:val="000000"/>
          <w:szCs w:val="22"/>
          <w:lang w:eastAsia="zh-CN"/>
        </w:rPr>
        <w:t>L</w:t>
      </w:r>
      <w:r>
        <w:rPr>
          <w:rFonts w:ascii="Book Antiqua" w:eastAsia="Book Antiqua" w:hAnsi="Book Antiqua" w:cs="Book Antiqua"/>
          <w:color w:val="000000"/>
          <w:szCs w:val="22"/>
        </w:rPr>
        <w:t xml:space="preserve">iver embolization; HD-SSA: </w:t>
      </w:r>
      <w:r>
        <w:rPr>
          <w:rFonts w:ascii="Book Antiqua" w:hAnsi="Book Antiqua" w:cs="Book Antiqua" w:hint="eastAsia"/>
          <w:color w:val="000000"/>
          <w:szCs w:val="22"/>
          <w:lang w:eastAsia="zh-CN"/>
        </w:rPr>
        <w:t>H</w:t>
      </w:r>
      <w:r w:rsidR="00E3223D">
        <w:rPr>
          <w:rFonts w:ascii="Book Antiqua" w:eastAsia="Book Antiqua" w:hAnsi="Book Antiqua" w:cs="Book Antiqua"/>
          <w:color w:val="000000"/>
          <w:szCs w:val="22"/>
        </w:rPr>
        <w:t xml:space="preserve">igh-dose of </w:t>
      </w:r>
      <w:r>
        <w:rPr>
          <w:rFonts w:ascii="Book Antiqua" w:hAnsi="Book Antiqua" w:cs="Book Antiqua" w:hint="eastAsia"/>
          <w:color w:val="000000"/>
          <w:szCs w:val="22"/>
          <w:lang w:eastAsia="zh-CN"/>
        </w:rPr>
        <w:t>s</w:t>
      </w:r>
      <w:r>
        <w:rPr>
          <w:rFonts w:ascii="Book Antiqua" w:eastAsia="Book Antiqua" w:hAnsi="Book Antiqua" w:cs="Book Antiqua"/>
          <w:color w:val="000000"/>
          <w:szCs w:val="22"/>
        </w:rPr>
        <w:t>omatostatin analogues</w:t>
      </w:r>
      <w:r>
        <w:rPr>
          <w:rFonts w:ascii="Book Antiqua" w:hAnsi="Book Antiqua" w:cs="Book Antiqua" w:hint="eastAsia"/>
          <w:color w:val="000000"/>
          <w:szCs w:val="22"/>
          <w:lang w:eastAsia="zh-CN"/>
        </w:rPr>
        <w:t>.</w:t>
      </w:r>
    </w:p>
    <w:p w14:paraId="1DF7ADB2" w14:textId="77777777" w:rsidR="00BF3E93" w:rsidRPr="003E0238" w:rsidRDefault="00BF3E93">
      <w:pPr>
        <w:spacing w:line="360" w:lineRule="auto"/>
        <w:jc w:val="both"/>
        <w:rPr>
          <w:rFonts w:ascii="Book Antiqua" w:hAnsi="Book Antiqua" w:cs="Book Antiqua"/>
          <w:color w:val="000000"/>
          <w:szCs w:val="26"/>
          <w:lang w:eastAsia="zh-CN"/>
        </w:rPr>
      </w:pPr>
    </w:p>
    <w:p w14:paraId="41CF4DD2" w14:textId="77777777" w:rsidR="00FE39E6" w:rsidRDefault="003E0238">
      <w:pPr>
        <w:spacing w:line="360" w:lineRule="auto"/>
        <w:jc w:val="both"/>
        <w:rPr>
          <w:rFonts w:ascii="Book Antiqua" w:hAnsi="Book Antiqua" w:cs="Book Antiqua"/>
          <w:noProof/>
          <w:color w:val="000000"/>
          <w:szCs w:val="26"/>
          <w:lang w:eastAsia="zh-CN"/>
        </w:rPr>
      </w:pPr>
      <w:r>
        <w:rPr>
          <w:rFonts w:ascii="Book Antiqua" w:hAnsi="Book Antiqua" w:cs="Book Antiqua"/>
          <w:noProof/>
          <w:color w:val="000000"/>
          <w:szCs w:val="26"/>
          <w:lang w:eastAsia="zh-CN"/>
        </w:rPr>
        <w:br w:type="page"/>
      </w:r>
      <w:r>
        <w:rPr>
          <w:rFonts w:ascii="Book Antiqua" w:hAnsi="Book Antiqua" w:cs="Book Antiqua"/>
          <w:noProof/>
          <w:color w:val="000000"/>
          <w:szCs w:val="26"/>
          <w:lang w:eastAsia="zh-CN"/>
        </w:rPr>
        <w:drawing>
          <wp:inline distT="0" distB="0" distL="0" distR="0" wp14:anchorId="47FFAB83" wp14:editId="3663AE23">
            <wp:extent cx="5885084" cy="3484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2243" cy="3483283"/>
                    </a:xfrm>
                    <a:prstGeom prst="rect">
                      <a:avLst/>
                    </a:prstGeom>
                    <a:noFill/>
                  </pic:spPr>
                </pic:pic>
              </a:graphicData>
            </a:graphic>
          </wp:inline>
        </w:drawing>
      </w:r>
    </w:p>
    <w:p w14:paraId="48E9480E" w14:textId="77777777" w:rsidR="003E0238" w:rsidRDefault="00E77353">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59264" behindDoc="0" locked="0" layoutInCell="1" allowOverlap="1" wp14:anchorId="291C3D9F" wp14:editId="3B74CC7C">
                <wp:simplePos x="0" y="0"/>
                <wp:positionH relativeFrom="column">
                  <wp:posOffset>0</wp:posOffset>
                </wp:positionH>
                <wp:positionV relativeFrom="paragraph">
                  <wp:posOffset>-72390</wp:posOffset>
                </wp:positionV>
                <wp:extent cx="314325" cy="352425"/>
                <wp:effectExtent l="0" t="1905"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C2F4E" w14:textId="77777777" w:rsidR="00E4136D" w:rsidRDefault="00E4136D">
                            <w:pPr>
                              <w:rPr>
                                <w:lang w:eastAsia="zh-CN"/>
                              </w:rPr>
                            </w:pPr>
                            <w:r>
                              <w:rPr>
                                <w:rFonts w:hint="eastAsia"/>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91C3D9F" id="_x0000_t202" coordsize="21600,21600" o:spt="202" path="m,l,21600r21600,l21600,xe">
                <v:stroke joinstyle="miter"/>
                <v:path gradientshapeok="t" o:connecttype="rect"/>
              </v:shapetype>
              <v:shape id="Text Box 15" o:spid="_x0000_s1026" type="#_x0000_t202" style="position:absolute;left:0;text-align:left;margin-left:0;margin-top:-5.7pt;width:24.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" stroked="f">
                <v:textbox>
                  <w:txbxContent>
                    <w:p w14:paraId="418C2F4E" w14:textId="77777777" w:rsidR="00E4136D" w:rsidRDefault="00E4136D">
                      <w:pPr>
                        <w:rPr>
                          <w:lang w:eastAsia="zh-CN"/>
                        </w:rPr>
                      </w:pPr>
                      <w:r>
                        <w:rPr>
                          <w:rFonts w:hint="eastAsia"/>
                          <w:lang w:eastAsia="zh-CN"/>
                        </w:rPr>
                        <w:t>B</w:t>
                      </w:r>
                    </w:p>
                  </w:txbxContent>
                </v:textbox>
              </v:shape>
            </w:pict>
          </mc:Fallback>
        </mc:AlternateContent>
      </w:r>
      <w:r>
        <w:rPr>
          <w:rFonts w:ascii="Book Antiqua" w:hAnsi="Book Antiqua" w:cs="Book Antiqua"/>
          <w:noProof/>
          <w:color w:val="000000"/>
          <w:szCs w:val="26"/>
          <w:lang w:eastAsia="zh-CN"/>
        </w:rPr>
        <mc:AlternateContent>
          <mc:Choice Requires="wps">
            <w:drawing>
              <wp:anchor distT="0" distB="0" distL="114300" distR="114300" simplePos="0" relativeHeight="251658240" behindDoc="0" locked="0" layoutInCell="1" allowOverlap="1" wp14:anchorId="0AD59514" wp14:editId="3EC4E68C">
                <wp:simplePos x="0" y="0"/>
                <wp:positionH relativeFrom="column">
                  <wp:posOffset>0</wp:posOffset>
                </wp:positionH>
                <wp:positionV relativeFrom="paragraph">
                  <wp:posOffset>-3491865</wp:posOffset>
                </wp:positionV>
                <wp:extent cx="314325" cy="323850"/>
                <wp:effectExtent l="0" t="1905"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61346" w14:textId="77777777" w:rsidR="00E4136D" w:rsidRDefault="00E4136D">
                            <w:pPr>
                              <w:rPr>
                                <w:lang w:eastAsia="zh-CN"/>
                              </w:rPr>
                            </w:pPr>
                            <w:r>
                              <w:rPr>
                                <w:rFonts w:hint="eastAsia"/>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AD59514" id="Text Box 14" o:spid="_x0000_s1027" type="#_x0000_t202" style="position:absolute;left:0;text-align:left;margin-left:0;margin-top:-274.95pt;width:24.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" stroked="f">
                <v:textbox>
                  <w:txbxContent>
                    <w:p w14:paraId="1BF61346" w14:textId="77777777" w:rsidR="00E4136D" w:rsidRDefault="00E4136D">
                      <w:pPr>
                        <w:rPr>
                          <w:lang w:eastAsia="zh-CN"/>
                        </w:rPr>
                      </w:pPr>
                      <w:r>
                        <w:rPr>
                          <w:rFonts w:hint="eastAsia"/>
                          <w:lang w:eastAsia="zh-CN"/>
                        </w:rPr>
                        <w:t>A</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22CD713D" wp14:editId="3E7DE59C">
            <wp:extent cx="5844137" cy="3457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282" cy="3460619"/>
                    </a:xfrm>
                    <a:prstGeom prst="rect">
                      <a:avLst/>
                    </a:prstGeom>
                    <a:noFill/>
                  </pic:spPr>
                </pic:pic>
              </a:graphicData>
            </a:graphic>
          </wp:inline>
        </w:drawing>
      </w:r>
    </w:p>
    <w:p w14:paraId="387E27F7" w14:textId="77777777" w:rsidR="003E0238" w:rsidRDefault="003E0238">
      <w:pPr>
        <w:spacing w:line="360" w:lineRule="auto"/>
        <w:jc w:val="both"/>
        <w:rPr>
          <w:rFonts w:ascii="Book Antiqua" w:hAnsi="Book Antiqua" w:cs="Book Antiqua"/>
          <w:color w:val="000000"/>
          <w:szCs w:val="26"/>
          <w:lang w:eastAsia="zh-CN"/>
        </w:rPr>
      </w:pPr>
    </w:p>
    <w:p w14:paraId="5ACFF144" w14:textId="77777777" w:rsidR="003E0238" w:rsidRDefault="00644A8E">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61312" behindDoc="0" locked="0" layoutInCell="1" allowOverlap="1" wp14:anchorId="7EDE7134" wp14:editId="36A9C86F">
                <wp:simplePos x="0" y="0"/>
                <wp:positionH relativeFrom="column">
                  <wp:posOffset>38100</wp:posOffset>
                </wp:positionH>
                <wp:positionV relativeFrom="paragraph">
                  <wp:posOffset>-635</wp:posOffset>
                </wp:positionV>
                <wp:extent cx="371475" cy="361950"/>
                <wp:effectExtent l="0" t="0" r="9525"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9DC52" w14:textId="77777777" w:rsidR="00E4136D" w:rsidRDefault="00B95D34">
                            <w:pPr>
                              <w:rPr>
                                <w:lang w:eastAsia="zh-CN"/>
                              </w:rPr>
                            </w:pPr>
                            <w:r>
                              <w:rPr>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EDE7134" id="Text Box 17" o:spid="_x0000_s1028" type="#_x0000_t202" style="position:absolute;left:0;text-align:left;margin-left:3pt;margin-top:-.05pt;width:29.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" stroked="f">
                <v:textbox>
                  <w:txbxContent>
                    <w:p w14:paraId="3589DC52" w14:textId="77777777" w:rsidR="00E4136D" w:rsidRDefault="00B95D34">
                      <w:pPr>
                        <w:rPr>
                          <w:lang w:eastAsia="zh-CN"/>
                        </w:rPr>
                      </w:pPr>
                      <w:r>
                        <w:rPr>
                          <w:lang w:eastAsia="zh-CN"/>
                        </w:rPr>
                        <w:t>C</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2A7B1D92" wp14:editId="502A3C4F">
            <wp:extent cx="5838825" cy="36007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1658" cy="3602511"/>
                    </a:xfrm>
                    <a:prstGeom prst="rect">
                      <a:avLst/>
                    </a:prstGeom>
                    <a:noFill/>
                  </pic:spPr>
                </pic:pic>
              </a:graphicData>
            </a:graphic>
          </wp:inline>
        </w:drawing>
      </w:r>
    </w:p>
    <w:p w14:paraId="7667A2EE" w14:textId="77777777" w:rsidR="003E0238" w:rsidRDefault="00E77353">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62336" behindDoc="0" locked="0" layoutInCell="1" allowOverlap="1" wp14:anchorId="7F588D78" wp14:editId="03382E95">
                <wp:simplePos x="0" y="0"/>
                <wp:positionH relativeFrom="column">
                  <wp:posOffset>28575</wp:posOffset>
                </wp:positionH>
                <wp:positionV relativeFrom="paragraph">
                  <wp:posOffset>-41910</wp:posOffset>
                </wp:positionV>
                <wp:extent cx="371475" cy="367665"/>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75A9" w14:textId="77777777" w:rsidR="00E4136D" w:rsidRDefault="00B95D34">
                            <w:pPr>
                              <w:rPr>
                                <w:lang w:eastAsia="zh-CN"/>
                              </w:rPr>
                            </w:pPr>
                            <w:r>
                              <w:rPr>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F588D78" id="Text Box 18" o:spid="_x0000_s1029" type="#_x0000_t202" style="position:absolute;left:0;text-align:left;margin-left:2.25pt;margin-top:-3.3pt;width:29.2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" stroked="f">
                <v:textbox>
                  <w:txbxContent>
                    <w:p w14:paraId="1EEC75A9" w14:textId="77777777" w:rsidR="00E4136D" w:rsidRDefault="00B95D34">
                      <w:pPr>
                        <w:rPr>
                          <w:lang w:eastAsia="zh-CN"/>
                        </w:rPr>
                      </w:pPr>
                      <w:r>
                        <w:rPr>
                          <w:lang w:eastAsia="zh-CN"/>
                        </w:rPr>
                        <w:t>D</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1D5FB285" wp14:editId="7B50481F">
            <wp:extent cx="5889427" cy="373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717" cy="3732082"/>
                    </a:xfrm>
                    <a:prstGeom prst="rect">
                      <a:avLst/>
                    </a:prstGeom>
                    <a:noFill/>
                  </pic:spPr>
                </pic:pic>
              </a:graphicData>
            </a:graphic>
          </wp:inline>
        </w:drawing>
      </w:r>
    </w:p>
    <w:p w14:paraId="00E26D84" w14:textId="77777777" w:rsidR="003E0238" w:rsidRDefault="00E77353">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63360" behindDoc="0" locked="0" layoutInCell="1" allowOverlap="1" wp14:anchorId="51EBB9C2" wp14:editId="5B4221EA">
                <wp:simplePos x="0" y="0"/>
                <wp:positionH relativeFrom="column">
                  <wp:posOffset>-19050</wp:posOffset>
                </wp:positionH>
                <wp:positionV relativeFrom="paragraph">
                  <wp:posOffset>2540</wp:posOffset>
                </wp:positionV>
                <wp:extent cx="419100" cy="381000"/>
                <wp:effectExtent l="0" t="1905"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AD5B5" w14:textId="77777777" w:rsidR="00233211" w:rsidRDefault="00B95D34">
                            <w:pPr>
                              <w:rPr>
                                <w:lang w:eastAsia="zh-CN"/>
                              </w:rPr>
                            </w:pPr>
                            <w:r>
                              <w:rPr>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EBB9C2" id="Text Box 19" o:spid="_x0000_s1030" type="#_x0000_t202" style="position:absolute;left:0;text-align:left;margin-left:-1.5pt;margin-top:.2pt;width:33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" stroked="f">
                <v:textbox>
                  <w:txbxContent>
                    <w:p w14:paraId="437AD5B5" w14:textId="77777777" w:rsidR="00233211" w:rsidRDefault="00B95D34">
                      <w:pPr>
                        <w:rPr>
                          <w:lang w:eastAsia="zh-CN"/>
                        </w:rPr>
                      </w:pPr>
                      <w:r>
                        <w:rPr>
                          <w:lang w:eastAsia="zh-CN"/>
                        </w:rPr>
                        <w:t>E</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131BF111" wp14:editId="31FBD199">
            <wp:extent cx="5886450" cy="36909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3975" cy="3695685"/>
                    </a:xfrm>
                    <a:prstGeom prst="rect">
                      <a:avLst/>
                    </a:prstGeom>
                    <a:noFill/>
                  </pic:spPr>
                </pic:pic>
              </a:graphicData>
            </a:graphic>
          </wp:inline>
        </w:drawing>
      </w:r>
    </w:p>
    <w:p w14:paraId="0990078B" w14:textId="77777777" w:rsidR="00B95D34" w:rsidRPr="00FE39E6" w:rsidRDefault="00B95D34">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65408" behindDoc="0" locked="0" layoutInCell="1" allowOverlap="1" wp14:anchorId="24A4ABCE" wp14:editId="5C5FD3C7">
                <wp:simplePos x="0" y="0"/>
                <wp:positionH relativeFrom="column">
                  <wp:posOffset>0</wp:posOffset>
                </wp:positionH>
                <wp:positionV relativeFrom="paragraph">
                  <wp:posOffset>52705</wp:posOffset>
                </wp:positionV>
                <wp:extent cx="419100" cy="3810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78702" w14:textId="77777777" w:rsidR="00B95D34" w:rsidRDefault="00B95D34" w:rsidP="00B95D34">
                            <w:pPr>
                              <w:rPr>
                                <w:lang w:eastAsia="zh-CN"/>
                              </w:rPr>
                            </w:pPr>
                            <w:r>
                              <w:rPr>
                                <w:lang w:eastAsia="zh-C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A4ABCE" id="_x0000_s1031" type="#_x0000_t202" style="position:absolute;left:0;text-align:left;margin-left:0;margin-top:4.15pt;width:33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" stroked="f">
                <v:textbox>
                  <w:txbxContent>
                    <w:p w14:paraId="7DA78702" w14:textId="77777777" w:rsidR="00B95D34" w:rsidRDefault="00B95D34" w:rsidP="00B95D34">
                      <w:pPr>
                        <w:rPr>
                          <w:lang w:eastAsia="zh-CN"/>
                        </w:rPr>
                      </w:pPr>
                      <w:r>
                        <w:rPr>
                          <w:lang w:eastAsia="zh-CN"/>
                        </w:rPr>
                        <w:t>F</w:t>
                      </w:r>
                    </w:p>
                  </w:txbxContent>
                </v:textbox>
              </v:shape>
            </w:pict>
          </mc:Fallback>
        </mc:AlternateContent>
      </w:r>
      <w:r>
        <w:rPr>
          <w:rFonts w:ascii="Book Antiqua" w:hAnsi="Book Antiqua" w:cs="Book Antiqua"/>
          <w:noProof/>
          <w:color w:val="000000"/>
          <w:szCs w:val="26"/>
          <w:lang w:eastAsia="zh-CN"/>
        </w:rPr>
        <w:drawing>
          <wp:inline distT="0" distB="0" distL="0" distR="0" wp14:anchorId="634C603E" wp14:editId="04151A65">
            <wp:extent cx="5925820" cy="3706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820" cy="3706495"/>
                    </a:xfrm>
                    <a:prstGeom prst="rect">
                      <a:avLst/>
                    </a:prstGeom>
                    <a:noFill/>
                  </pic:spPr>
                </pic:pic>
              </a:graphicData>
            </a:graphic>
          </wp:inline>
        </w:drawing>
      </w:r>
    </w:p>
    <w:p w14:paraId="757E27E0" w14:textId="77777777" w:rsidR="00A77B3E" w:rsidRPr="000210E7" w:rsidRDefault="009610F0">
      <w:pPr>
        <w:spacing w:line="360" w:lineRule="auto"/>
        <w:jc w:val="both"/>
        <w:rPr>
          <w:lang w:eastAsia="zh-CN"/>
        </w:rPr>
      </w:pPr>
      <w:r w:rsidRPr="009610F0">
        <w:rPr>
          <w:rFonts w:ascii="Book Antiqua" w:eastAsia="Book Antiqua" w:hAnsi="Book Antiqua" w:cs="Book Antiqua"/>
          <w:b/>
          <w:color w:val="000000"/>
          <w:szCs w:val="26"/>
        </w:rPr>
        <w:t>Figure 2</w:t>
      </w:r>
      <w:r w:rsidR="00E3223D" w:rsidRPr="009610F0">
        <w:rPr>
          <w:rFonts w:ascii="Book Antiqua" w:eastAsia="Book Antiqua" w:hAnsi="Book Antiqua" w:cs="Book Antiqua"/>
          <w:b/>
          <w:color w:val="000000"/>
          <w:szCs w:val="26"/>
        </w:rPr>
        <w:t xml:space="preserve"> Factors associated with treatment decision making process</w:t>
      </w:r>
      <w:r w:rsidRPr="009610F0">
        <w:rPr>
          <w:rFonts w:ascii="Book Antiqua" w:hAnsi="Book Antiqua" w:cs="Book Antiqua" w:hint="eastAsia"/>
          <w:b/>
          <w:color w:val="000000"/>
          <w:szCs w:val="26"/>
          <w:lang w:eastAsia="zh-CN"/>
        </w:rPr>
        <w:t>.</w:t>
      </w:r>
      <w:r w:rsidR="00EF7533">
        <w:rPr>
          <w:rFonts w:hint="eastAsia"/>
          <w:b/>
          <w:lang w:eastAsia="zh-CN"/>
        </w:rPr>
        <w:t xml:space="preserve"> </w:t>
      </w:r>
      <w:r w:rsidR="00EF7533">
        <w:rPr>
          <w:rFonts w:ascii="Book Antiqua" w:eastAsia="Book Antiqua" w:hAnsi="Book Antiqua" w:cs="Book Antiqua"/>
          <w:color w:val="000000"/>
          <w:szCs w:val="22"/>
        </w:rPr>
        <w:t xml:space="preserve">A: </w:t>
      </w:r>
      <w:r w:rsidR="00EF7533">
        <w:rPr>
          <w:rFonts w:ascii="Book Antiqua" w:hAnsi="Book Antiqua" w:cs="Book Antiqua" w:hint="eastAsia"/>
          <w:color w:val="000000"/>
          <w:szCs w:val="22"/>
          <w:lang w:eastAsia="zh-CN"/>
        </w:rPr>
        <w:t>F</w:t>
      </w:r>
      <w:r w:rsidR="00E3223D">
        <w:rPr>
          <w:rFonts w:ascii="Book Antiqua" w:eastAsia="Book Antiqua" w:hAnsi="Book Antiqua" w:cs="Book Antiqua"/>
          <w:color w:val="000000"/>
          <w:szCs w:val="22"/>
        </w:rPr>
        <w:t xml:space="preserve">actors associated with use of </w:t>
      </w:r>
      <w:r w:rsidR="007D33F6">
        <w:rPr>
          <w:rFonts w:ascii="Book Antiqua" w:hAnsi="Book Antiqua" w:cs="Book Antiqua"/>
          <w:color w:val="000000"/>
          <w:szCs w:val="22"/>
          <w:lang w:eastAsia="zh-CN"/>
        </w:rPr>
        <w:t>s</w:t>
      </w:r>
      <w:r w:rsidR="007D33F6">
        <w:rPr>
          <w:rFonts w:ascii="Book Antiqua" w:eastAsia="Book Antiqua" w:hAnsi="Book Antiqua" w:cs="Book Antiqua"/>
          <w:color w:val="000000"/>
          <w:szCs w:val="22"/>
        </w:rPr>
        <w:t>omatostatin analogues</w:t>
      </w:r>
      <w:r w:rsidR="00E3223D">
        <w:rPr>
          <w:rFonts w:ascii="Book Antiqua" w:eastAsia="Book Antiqua" w:hAnsi="Book Antiqua" w:cs="Book Antiqua"/>
          <w:color w:val="000000"/>
          <w:szCs w:val="22"/>
        </w:rPr>
        <w:t xml:space="preserve"> in the first-line setting</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B: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 xml:space="preserve">actors associated with use of </w:t>
      </w:r>
      <w:r w:rsidR="00DD108C">
        <w:rPr>
          <w:rFonts w:ascii="Book Antiqua" w:eastAsia="Book Antiqua" w:hAnsi="Book Antiqua" w:cs="Book Antiqua"/>
          <w:color w:val="000000"/>
          <w:szCs w:val="22"/>
        </w:rPr>
        <w:t>peptide receptor radionuclide therapy</w:t>
      </w:r>
      <w:r w:rsidR="00EF7533">
        <w:rPr>
          <w:rFonts w:ascii="Book Antiqua" w:eastAsia="Book Antiqua" w:hAnsi="Book Antiqua" w:cs="Book Antiqua"/>
          <w:color w:val="000000"/>
          <w:szCs w:val="22"/>
        </w:rPr>
        <w:t xml:space="preserve"> in the second-line setting</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C: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actors associated with use of everolimus</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D: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actors associated with use of chemotherapy</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E: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actors associated with use of liver embolization</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F: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actors associated with use of Interferon-alpha</w:t>
      </w:r>
      <w:r w:rsidR="00EF7533">
        <w:rPr>
          <w:rFonts w:ascii="Book Antiqua" w:hAnsi="Book Antiqua" w:cs="Book Antiqua" w:hint="eastAsia"/>
          <w:color w:val="000000"/>
          <w:szCs w:val="22"/>
          <w:lang w:eastAsia="zh-CN"/>
        </w:rPr>
        <w:t>.</w:t>
      </w:r>
      <w:r w:rsidR="00EF7533">
        <w:rPr>
          <w:rFonts w:hint="eastAsia"/>
          <w:lang w:eastAsia="zh-CN"/>
        </w:rPr>
        <w:t xml:space="preserve"> </w:t>
      </w:r>
      <w:r w:rsidR="000210E7">
        <w:rPr>
          <w:rFonts w:ascii="Book Antiqua" w:eastAsia="Book Antiqua" w:hAnsi="Book Antiqua" w:cs="Book Antiqua"/>
          <w:color w:val="000000"/>
          <w:szCs w:val="22"/>
        </w:rPr>
        <w:t xml:space="preserve">SSA: </w:t>
      </w:r>
      <w:r w:rsidR="000210E7">
        <w:rPr>
          <w:rFonts w:ascii="Book Antiqua" w:hAnsi="Book Antiqua" w:cs="Book Antiqua" w:hint="eastAsia"/>
          <w:color w:val="000000"/>
          <w:szCs w:val="22"/>
          <w:lang w:eastAsia="zh-CN"/>
        </w:rPr>
        <w:t>S</w:t>
      </w:r>
      <w:r w:rsidR="00E3223D">
        <w:rPr>
          <w:rFonts w:ascii="Book Antiqua" w:eastAsia="Book Antiqua" w:hAnsi="Book Antiqua" w:cs="Book Antiqua"/>
          <w:color w:val="000000"/>
          <w:szCs w:val="22"/>
        </w:rPr>
        <w:t xml:space="preserve">omatostatin analogues; SSTR2 –ve: </w:t>
      </w:r>
      <w:bookmarkStart w:id="180" w:name="OLE_LINK39"/>
      <w:bookmarkStart w:id="181" w:name="OLE_LINK40"/>
      <w:r w:rsidR="000210E7">
        <w:rPr>
          <w:rFonts w:ascii="Book Antiqua" w:hAnsi="Book Antiqua" w:cs="Book Antiqua" w:hint="eastAsia"/>
          <w:color w:val="000000"/>
          <w:szCs w:val="22"/>
          <w:lang w:eastAsia="zh-CN"/>
        </w:rPr>
        <w:t>S</w:t>
      </w:r>
      <w:r w:rsidR="00E3223D">
        <w:rPr>
          <w:rFonts w:ascii="Book Antiqua" w:eastAsia="Book Antiqua" w:hAnsi="Book Antiqua" w:cs="Book Antiqua"/>
          <w:color w:val="000000"/>
          <w:szCs w:val="22"/>
        </w:rPr>
        <w:t>omatostatin receptor</w:t>
      </w:r>
      <w:bookmarkEnd w:id="180"/>
      <w:bookmarkEnd w:id="181"/>
      <w:r w:rsidR="00E3223D">
        <w:rPr>
          <w:rFonts w:ascii="Book Antiqua" w:eastAsia="Book Antiqua" w:hAnsi="Book Antiqua" w:cs="Book Antiqua"/>
          <w:color w:val="000000"/>
          <w:szCs w:val="22"/>
        </w:rPr>
        <w:t xml:space="preserve"> positive disea</w:t>
      </w:r>
      <w:r w:rsidR="000210E7">
        <w:rPr>
          <w:rFonts w:ascii="Book Antiqua" w:eastAsia="Book Antiqua" w:hAnsi="Book Antiqua" w:cs="Book Antiqua"/>
          <w:color w:val="000000"/>
          <w:szCs w:val="22"/>
        </w:rPr>
        <w:t xml:space="preserve">se (imaging based); SSTR2 +ve: </w:t>
      </w:r>
      <w:r w:rsidR="000210E7">
        <w:rPr>
          <w:rFonts w:ascii="Book Antiqua" w:hAnsi="Book Antiqua" w:cs="Book Antiqua" w:hint="eastAsia"/>
          <w:color w:val="000000"/>
          <w:szCs w:val="22"/>
          <w:lang w:eastAsia="zh-CN"/>
        </w:rPr>
        <w:t>S</w:t>
      </w:r>
      <w:r w:rsidR="00E3223D">
        <w:rPr>
          <w:rFonts w:ascii="Book Antiqua" w:eastAsia="Book Antiqua" w:hAnsi="Book Antiqua" w:cs="Book Antiqua"/>
          <w:color w:val="000000"/>
          <w:szCs w:val="22"/>
        </w:rPr>
        <w:t>omatostatin receptor negative d</w:t>
      </w:r>
      <w:r w:rsidR="000210E7">
        <w:rPr>
          <w:rFonts w:ascii="Book Antiqua" w:eastAsia="Book Antiqua" w:hAnsi="Book Antiqua" w:cs="Book Antiqua"/>
          <w:color w:val="000000"/>
          <w:szCs w:val="22"/>
        </w:rPr>
        <w:t xml:space="preserve">isease (imaging based); heter: </w:t>
      </w:r>
      <w:r w:rsidR="000210E7">
        <w:rPr>
          <w:rFonts w:ascii="Book Antiqua" w:hAnsi="Book Antiqua" w:cs="Book Antiqua" w:hint="eastAsia"/>
          <w:color w:val="000000"/>
          <w:szCs w:val="22"/>
          <w:lang w:eastAsia="zh-CN"/>
        </w:rPr>
        <w:t>H</w:t>
      </w:r>
      <w:r w:rsidR="000210E7">
        <w:rPr>
          <w:rFonts w:ascii="Book Antiqua" w:eastAsia="Book Antiqua" w:hAnsi="Book Antiqua" w:cs="Book Antiqua"/>
          <w:color w:val="000000"/>
          <w:szCs w:val="22"/>
        </w:rPr>
        <w:t xml:space="preserve">eterogeneous; mts: </w:t>
      </w:r>
      <w:r w:rsidR="000210E7">
        <w:rPr>
          <w:rFonts w:ascii="Book Antiqua" w:hAnsi="Book Antiqua" w:cs="Book Antiqua" w:hint="eastAsia"/>
          <w:color w:val="000000"/>
          <w:szCs w:val="22"/>
          <w:lang w:eastAsia="zh-CN"/>
        </w:rPr>
        <w:t>M</w:t>
      </w:r>
      <w:r w:rsidR="000210E7">
        <w:rPr>
          <w:rFonts w:ascii="Book Antiqua" w:eastAsia="Book Antiqua" w:hAnsi="Book Antiqua" w:cs="Book Antiqua"/>
          <w:color w:val="000000"/>
          <w:szCs w:val="22"/>
        </w:rPr>
        <w:t xml:space="preserve">etastases; m: months; TOTAL: </w:t>
      </w:r>
      <w:r w:rsidR="000210E7">
        <w:rPr>
          <w:rFonts w:ascii="Book Antiqua" w:hAnsi="Book Antiqua" w:cs="Book Antiqua" w:hint="eastAsia"/>
          <w:color w:val="000000"/>
          <w:szCs w:val="22"/>
          <w:lang w:eastAsia="zh-CN"/>
        </w:rPr>
        <w:t>R</w:t>
      </w:r>
      <w:r w:rsidR="00E3223D">
        <w:rPr>
          <w:rFonts w:ascii="Book Antiqua" w:eastAsia="Book Antiqua" w:hAnsi="Book Antiqua" w:cs="Book Antiqua"/>
          <w:color w:val="000000"/>
          <w:szCs w:val="22"/>
        </w:rPr>
        <w:t>epresents the average of all factors</w:t>
      </w:r>
      <w:r w:rsidR="00DD108C">
        <w:rPr>
          <w:rFonts w:ascii="Book Antiqua" w:eastAsia="Book Antiqua" w:hAnsi="Book Antiqua" w:cs="Book Antiqua"/>
          <w:color w:val="000000"/>
          <w:szCs w:val="22"/>
        </w:rPr>
        <w:t xml:space="preserve">; PRRT: </w:t>
      </w:r>
      <w:r w:rsidR="00DD108C" w:rsidRPr="00DD108C">
        <w:rPr>
          <w:rFonts w:ascii="Book Antiqua" w:eastAsia="Book Antiqua" w:hAnsi="Book Antiqua" w:cs="Book Antiqua"/>
          <w:caps/>
          <w:color w:val="000000"/>
          <w:szCs w:val="22"/>
        </w:rPr>
        <w:t>p</w:t>
      </w:r>
      <w:r w:rsidR="00DD108C">
        <w:rPr>
          <w:rFonts w:ascii="Book Antiqua" w:eastAsia="Book Antiqua" w:hAnsi="Book Antiqua" w:cs="Book Antiqua"/>
          <w:color w:val="000000"/>
          <w:szCs w:val="22"/>
        </w:rPr>
        <w:t>eptide receptor radionuclide therapy</w:t>
      </w:r>
      <w:r w:rsidR="000210E7">
        <w:rPr>
          <w:rFonts w:ascii="Book Antiqua" w:hAnsi="Book Antiqua" w:cs="Book Antiqua" w:hint="eastAsia"/>
          <w:color w:val="000000"/>
          <w:szCs w:val="22"/>
          <w:lang w:eastAsia="zh-CN"/>
        </w:rPr>
        <w:t>.</w:t>
      </w:r>
    </w:p>
    <w:p w14:paraId="03CCB38D" w14:textId="77777777" w:rsidR="003E0238" w:rsidRDefault="00EF7533">
      <w:pPr>
        <w:spacing w:line="360" w:lineRule="auto"/>
        <w:jc w:val="both"/>
        <w:rPr>
          <w:rFonts w:ascii="Book Antiqua" w:hAnsi="Book Antiqua" w:cs="Book Antiqua"/>
          <w:b/>
          <w:color w:val="000000"/>
          <w:szCs w:val="26"/>
          <w:lang w:eastAsia="zh-CN"/>
        </w:rPr>
      </w:pPr>
      <w:r>
        <w:rPr>
          <w:rFonts w:ascii="Book Antiqua" w:eastAsia="Book Antiqua" w:hAnsi="Book Antiqua" w:cs="Book Antiqua"/>
          <w:b/>
          <w:color w:val="000000"/>
          <w:szCs w:val="26"/>
        </w:rPr>
        <w:br w:type="page"/>
      </w:r>
    </w:p>
    <w:p w14:paraId="5F10EB22" w14:textId="77777777" w:rsidR="00B95D34" w:rsidRDefault="00B95D34">
      <w:pPr>
        <w:spacing w:line="360" w:lineRule="auto"/>
        <w:jc w:val="both"/>
        <w:rPr>
          <w:rFonts w:ascii="Book Antiqua" w:eastAsia="Book Antiqua" w:hAnsi="Book Antiqua" w:cs="Book Antiqua"/>
          <w:b/>
          <w:color w:val="000000"/>
          <w:szCs w:val="26"/>
        </w:rPr>
      </w:pPr>
      <w:r>
        <w:rPr>
          <w:rFonts w:ascii="Book Antiqua" w:eastAsia="Book Antiqua" w:hAnsi="Book Antiqua" w:cs="Book Antiqua"/>
          <w:b/>
          <w:noProof/>
          <w:color w:val="000000"/>
          <w:szCs w:val="26"/>
          <w:lang w:eastAsia="zh-CN"/>
        </w:rPr>
        <w:drawing>
          <wp:inline distT="0" distB="0" distL="0" distR="0" wp14:anchorId="38A24F70" wp14:editId="45CE3EC0">
            <wp:extent cx="5822626"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075" cy="3200647"/>
                    </a:xfrm>
                    <a:prstGeom prst="rect">
                      <a:avLst/>
                    </a:prstGeom>
                    <a:noFill/>
                  </pic:spPr>
                </pic:pic>
              </a:graphicData>
            </a:graphic>
          </wp:inline>
        </w:drawing>
      </w:r>
    </w:p>
    <w:p w14:paraId="2719590F" w14:textId="77777777" w:rsidR="009A2856" w:rsidRDefault="00EF7533">
      <w:pPr>
        <w:spacing w:line="360" w:lineRule="auto"/>
        <w:jc w:val="both"/>
        <w:rPr>
          <w:rFonts w:ascii="Book Antiqua" w:hAnsi="Book Antiqua" w:cs="Book Antiqua"/>
          <w:b/>
          <w:color w:val="000000"/>
          <w:szCs w:val="26"/>
          <w:lang w:eastAsia="zh-CN"/>
        </w:rPr>
      </w:pPr>
      <w:r w:rsidRPr="00EF7533">
        <w:rPr>
          <w:rFonts w:ascii="Book Antiqua" w:eastAsia="Book Antiqua" w:hAnsi="Book Antiqua" w:cs="Book Antiqua"/>
          <w:b/>
          <w:color w:val="000000"/>
          <w:szCs w:val="26"/>
        </w:rPr>
        <w:t>Figure 3</w:t>
      </w:r>
      <w:r w:rsidR="00E3223D" w:rsidRPr="00EF7533">
        <w:rPr>
          <w:rFonts w:ascii="Book Antiqua" w:eastAsia="Book Antiqua" w:hAnsi="Book Antiqua" w:cs="Book Antiqua"/>
          <w:b/>
          <w:color w:val="000000"/>
          <w:szCs w:val="26"/>
        </w:rPr>
        <w:t xml:space="preserve"> Ongoing controversies around use of </w:t>
      </w:r>
      <w:r w:rsidRPr="00EF7533">
        <w:rPr>
          <w:rFonts w:ascii="Book Antiqua" w:hAnsi="Book Antiqua" w:cs="Book Antiqua" w:hint="eastAsia"/>
          <w:b/>
          <w:color w:val="000000"/>
          <w:szCs w:val="22"/>
          <w:lang w:eastAsia="zh-CN"/>
        </w:rPr>
        <w:t>p</w:t>
      </w:r>
      <w:r w:rsidRPr="00EF7533">
        <w:rPr>
          <w:rFonts w:ascii="Book Antiqua" w:eastAsia="Book Antiqua" w:hAnsi="Book Antiqua" w:cs="Book Antiqua"/>
          <w:b/>
          <w:color w:val="000000"/>
          <w:szCs w:val="22"/>
        </w:rPr>
        <w:t>eptide receptor radionuclide therapy</w:t>
      </w:r>
      <w:r w:rsidRPr="00EF7533">
        <w:rPr>
          <w:rFonts w:ascii="Book Antiqua" w:eastAsia="Book Antiqua" w:hAnsi="Book Antiqua" w:cs="Book Antiqua"/>
          <w:b/>
          <w:color w:val="000000"/>
          <w:szCs w:val="26"/>
        </w:rPr>
        <w:t xml:space="preserve"> </w:t>
      </w:r>
      <w:r w:rsidR="00E3223D" w:rsidRPr="00EF7533">
        <w:rPr>
          <w:rFonts w:ascii="Book Antiqua" w:eastAsia="Book Antiqua" w:hAnsi="Book Antiqua" w:cs="Book Antiqua"/>
          <w:b/>
          <w:color w:val="000000"/>
          <w:szCs w:val="26"/>
        </w:rPr>
        <w:t>in current practice</w:t>
      </w:r>
      <w:r w:rsidRPr="00EF7533">
        <w:rPr>
          <w:rFonts w:ascii="Book Antiqua" w:hAnsi="Book Antiqua" w:cs="Book Antiqua" w:hint="eastAsia"/>
          <w:b/>
          <w:color w:val="000000"/>
          <w:szCs w:val="26"/>
          <w:lang w:eastAsia="zh-CN"/>
        </w:rPr>
        <w:t>.</w:t>
      </w:r>
    </w:p>
    <w:p w14:paraId="127A68E6" w14:textId="77777777" w:rsidR="009A2856" w:rsidRPr="009A2856" w:rsidRDefault="009A2856" w:rsidP="00192EDC">
      <w:pPr>
        <w:pStyle w:val="2"/>
        <w:adjustRightInd w:val="0"/>
        <w:snapToGrid w:val="0"/>
        <w:spacing w:before="0" w:after="0" w:line="360" w:lineRule="auto"/>
        <w:jc w:val="both"/>
        <w:rPr>
          <w:rFonts w:ascii="Book Antiqua" w:eastAsiaTheme="minorEastAsia" w:hAnsi="Book Antiqua" w:cs="Times New Roman"/>
          <w:sz w:val="24"/>
          <w:szCs w:val="24"/>
          <w:lang w:val="en-GB" w:eastAsia="zh-CN"/>
        </w:rPr>
      </w:pPr>
      <w:r>
        <w:rPr>
          <w:rFonts w:ascii="Book Antiqua" w:hAnsi="Book Antiqua" w:cs="Book Antiqua"/>
          <w:b w:val="0"/>
          <w:color w:val="000000"/>
          <w:szCs w:val="26"/>
          <w:lang w:eastAsia="zh-CN"/>
        </w:rPr>
        <w:br w:type="page"/>
      </w:r>
      <w:bookmarkStart w:id="182" w:name="OLE_LINK54"/>
      <w:bookmarkStart w:id="183" w:name="OLE_LINK55"/>
      <w:r w:rsidR="00192EDC">
        <w:rPr>
          <w:rFonts w:ascii="Book Antiqua" w:eastAsia="Times New Roman" w:hAnsi="Book Antiqua" w:cs="Times New Roman"/>
          <w:sz w:val="24"/>
          <w:szCs w:val="24"/>
          <w:lang w:val="en-GB"/>
        </w:rPr>
        <w:t>Table 1</w:t>
      </w:r>
      <w:r w:rsidRPr="009A2856">
        <w:rPr>
          <w:rFonts w:ascii="Book Antiqua" w:eastAsia="Times New Roman" w:hAnsi="Book Antiqua" w:cs="Times New Roman"/>
          <w:sz w:val="24"/>
          <w:szCs w:val="24"/>
          <w:lang w:val="en-GB"/>
        </w:rPr>
        <w:t xml:space="preserve"> Baseline characteristics of responders</w:t>
      </w:r>
    </w:p>
    <w:tbl>
      <w:tblPr>
        <w:tblW w:w="0" w:type="auto"/>
        <w:tblBorders>
          <w:top w:val="single" w:sz="4" w:space="0" w:color="auto"/>
          <w:bottom w:val="single" w:sz="4" w:space="0" w:color="auto"/>
        </w:tblBorders>
        <w:tblLook w:val="04A0" w:firstRow="1" w:lastRow="0" w:firstColumn="1" w:lastColumn="0" w:noHBand="0" w:noVBand="1"/>
      </w:tblPr>
      <w:tblGrid>
        <w:gridCol w:w="3195"/>
        <w:gridCol w:w="2311"/>
        <w:gridCol w:w="2311"/>
        <w:gridCol w:w="1403"/>
      </w:tblGrid>
      <w:tr w:rsidR="009A2856" w:rsidRPr="00104166" w14:paraId="3384E003" w14:textId="77777777" w:rsidTr="0071733B">
        <w:tc>
          <w:tcPr>
            <w:tcW w:w="3195" w:type="dxa"/>
            <w:tcBorders>
              <w:top w:val="single" w:sz="4" w:space="0" w:color="auto"/>
              <w:bottom w:val="single" w:sz="4" w:space="0" w:color="auto"/>
            </w:tcBorders>
            <w:shd w:val="clear" w:color="auto" w:fill="auto"/>
          </w:tcPr>
          <w:p w14:paraId="7D16E7DD" w14:textId="77777777" w:rsidR="009A2856" w:rsidRPr="009A2856" w:rsidRDefault="009A2856" w:rsidP="009A2856">
            <w:pPr>
              <w:adjustRightInd w:val="0"/>
              <w:snapToGrid w:val="0"/>
              <w:spacing w:line="360" w:lineRule="auto"/>
              <w:jc w:val="both"/>
              <w:rPr>
                <w:rFonts w:ascii="Book Antiqua" w:eastAsia="宋体" w:hAnsi="Book Antiqua"/>
                <w:b/>
                <w:lang w:val="en-GB"/>
              </w:rPr>
            </w:pPr>
          </w:p>
        </w:tc>
        <w:tc>
          <w:tcPr>
            <w:tcW w:w="2311" w:type="dxa"/>
            <w:tcBorders>
              <w:top w:val="single" w:sz="4" w:space="0" w:color="auto"/>
              <w:bottom w:val="single" w:sz="4" w:space="0" w:color="auto"/>
            </w:tcBorders>
            <w:shd w:val="clear" w:color="auto" w:fill="auto"/>
          </w:tcPr>
          <w:p w14:paraId="72C9FED8" w14:textId="77777777" w:rsidR="009A2856" w:rsidRPr="009A2856" w:rsidRDefault="009A2856" w:rsidP="009A2856">
            <w:pPr>
              <w:adjustRightInd w:val="0"/>
              <w:snapToGrid w:val="0"/>
              <w:spacing w:line="360" w:lineRule="auto"/>
              <w:jc w:val="both"/>
              <w:rPr>
                <w:rFonts w:ascii="Book Antiqua" w:eastAsia="宋体" w:hAnsi="Book Antiqua"/>
                <w:b/>
                <w:lang w:val="en-GB"/>
              </w:rPr>
            </w:pPr>
          </w:p>
        </w:tc>
        <w:tc>
          <w:tcPr>
            <w:tcW w:w="2311" w:type="dxa"/>
            <w:tcBorders>
              <w:top w:val="single" w:sz="4" w:space="0" w:color="auto"/>
              <w:bottom w:val="single" w:sz="4" w:space="0" w:color="auto"/>
            </w:tcBorders>
            <w:shd w:val="clear" w:color="auto" w:fill="auto"/>
          </w:tcPr>
          <w:p w14:paraId="4A42A485" w14:textId="77777777" w:rsidR="009A2856" w:rsidRPr="009A2856" w:rsidRDefault="009A2856" w:rsidP="009A2856">
            <w:pPr>
              <w:adjustRightInd w:val="0"/>
              <w:snapToGrid w:val="0"/>
              <w:spacing w:line="360" w:lineRule="auto"/>
              <w:jc w:val="both"/>
              <w:rPr>
                <w:rFonts w:ascii="Book Antiqua" w:eastAsia="宋体" w:hAnsi="Book Antiqua"/>
                <w:b/>
                <w:lang w:val="en-GB"/>
              </w:rPr>
            </w:pPr>
            <w:r w:rsidRPr="009A2856">
              <w:rPr>
                <w:rFonts w:ascii="Book Antiqua" w:eastAsia="宋体" w:hAnsi="Book Antiqua"/>
                <w:b/>
                <w:lang w:val="en-GB"/>
              </w:rPr>
              <w:t>Number of responses</w:t>
            </w:r>
          </w:p>
        </w:tc>
        <w:tc>
          <w:tcPr>
            <w:tcW w:w="1403" w:type="dxa"/>
            <w:tcBorders>
              <w:top w:val="single" w:sz="4" w:space="0" w:color="auto"/>
              <w:bottom w:val="single" w:sz="4" w:space="0" w:color="auto"/>
            </w:tcBorders>
            <w:shd w:val="clear" w:color="auto" w:fill="auto"/>
          </w:tcPr>
          <w:p w14:paraId="79AE6C7D" w14:textId="77777777" w:rsidR="009A2856" w:rsidRPr="009A2856" w:rsidRDefault="009A2856" w:rsidP="009A2856">
            <w:pPr>
              <w:adjustRightInd w:val="0"/>
              <w:snapToGrid w:val="0"/>
              <w:spacing w:line="360" w:lineRule="auto"/>
              <w:jc w:val="both"/>
              <w:rPr>
                <w:rFonts w:ascii="Book Antiqua" w:eastAsia="宋体" w:hAnsi="Book Antiqua"/>
                <w:b/>
                <w:lang w:val="en-GB"/>
              </w:rPr>
            </w:pPr>
            <w:r w:rsidRPr="009A2856">
              <w:rPr>
                <w:rFonts w:ascii="Book Antiqua" w:eastAsia="宋体" w:hAnsi="Book Antiqua"/>
                <w:b/>
                <w:lang w:val="en-GB"/>
              </w:rPr>
              <w:t>Percentage (%)</w:t>
            </w:r>
          </w:p>
        </w:tc>
      </w:tr>
      <w:tr w:rsidR="009A2856" w:rsidRPr="009A2856" w14:paraId="492E29D3" w14:textId="77777777" w:rsidTr="0071733B">
        <w:trPr>
          <w:trHeight w:val="300"/>
        </w:trPr>
        <w:tc>
          <w:tcPr>
            <w:tcW w:w="3195" w:type="dxa"/>
            <w:vMerge w:val="restart"/>
            <w:tcBorders>
              <w:top w:val="single" w:sz="4" w:space="0" w:color="auto"/>
            </w:tcBorders>
            <w:shd w:val="clear" w:color="auto" w:fill="auto"/>
            <w:noWrap/>
          </w:tcPr>
          <w:p w14:paraId="0B929C7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宋体" w:hAnsi="Book Antiqua"/>
                <w:lang w:val="en-GB"/>
              </w:rPr>
              <w:t>Specialty</w:t>
            </w:r>
          </w:p>
        </w:tc>
        <w:tc>
          <w:tcPr>
            <w:tcW w:w="2311" w:type="dxa"/>
            <w:tcBorders>
              <w:top w:val="single" w:sz="4" w:space="0" w:color="auto"/>
            </w:tcBorders>
            <w:shd w:val="clear" w:color="auto" w:fill="auto"/>
            <w:noWrap/>
          </w:tcPr>
          <w:p w14:paraId="1288949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Medical Oncology</w:t>
            </w:r>
          </w:p>
        </w:tc>
        <w:tc>
          <w:tcPr>
            <w:tcW w:w="2311" w:type="dxa"/>
            <w:tcBorders>
              <w:top w:val="single" w:sz="4" w:space="0" w:color="auto"/>
            </w:tcBorders>
            <w:shd w:val="clear" w:color="auto" w:fill="auto"/>
            <w:noWrap/>
            <w:hideMark/>
          </w:tcPr>
          <w:p w14:paraId="1CB909C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15</w:t>
            </w:r>
          </w:p>
        </w:tc>
        <w:tc>
          <w:tcPr>
            <w:tcW w:w="1403" w:type="dxa"/>
            <w:tcBorders>
              <w:top w:val="single" w:sz="4" w:space="0" w:color="auto"/>
            </w:tcBorders>
            <w:shd w:val="clear" w:color="auto" w:fill="auto"/>
          </w:tcPr>
          <w:p w14:paraId="01B99FA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53.6%</w:t>
            </w:r>
          </w:p>
        </w:tc>
      </w:tr>
      <w:tr w:rsidR="009A2856" w:rsidRPr="009A2856" w14:paraId="2DC48A8C" w14:textId="77777777" w:rsidTr="0071733B">
        <w:trPr>
          <w:trHeight w:val="300"/>
        </w:trPr>
        <w:tc>
          <w:tcPr>
            <w:tcW w:w="3195" w:type="dxa"/>
            <w:vMerge/>
            <w:shd w:val="clear" w:color="auto" w:fill="auto"/>
            <w:noWrap/>
          </w:tcPr>
          <w:p w14:paraId="0B0755E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378408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Clinical Oncology</w:t>
            </w:r>
          </w:p>
        </w:tc>
        <w:tc>
          <w:tcPr>
            <w:tcW w:w="2311" w:type="dxa"/>
            <w:shd w:val="clear" w:color="auto" w:fill="auto"/>
            <w:noWrap/>
            <w:hideMark/>
          </w:tcPr>
          <w:p w14:paraId="274FAC2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3</w:t>
            </w:r>
          </w:p>
        </w:tc>
        <w:tc>
          <w:tcPr>
            <w:tcW w:w="1403" w:type="dxa"/>
            <w:shd w:val="clear" w:color="auto" w:fill="auto"/>
          </w:tcPr>
          <w:p w14:paraId="368BD70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10.7%</w:t>
            </w:r>
          </w:p>
        </w:tc>
      </w:tr>
      <w:tr w:rsidR="009A2856" w:rsidRPr="009A2856" w14:paraId="32D972EF" w14:textId="77777777" w:rsidTr="0071733B">
        <w:trPr>
          <w:trHeight w:val="300"/>
        </w:trPr>
        <w:tc>
          <w:tcPr>
            <w:tcW w:w="3195" w:type="dxa"/>
            <w:vMerge/>
            <w:shd w:val="clear" w:color="auto" w:fill="auto"/>
            <w:noWrap/>
          </w:tcPr>
          <w:p w14:paraId="6803EB6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969F63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Gastroenterology</w:t>
            </w:r>
          </w:p>
        </w:tc>
        <w:tc>
          <w:tcPr>
            <w:tcW w:w="2311" w:type="dxa"/>
            <w:shd w:val="clear" w:color="auto" w:fill="auto"/>
            <w:noWrap/>
            <w:hideMark/>
          </w:tcPr>
          <w:p w14:paraId="7117F0E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w:t>
            </w:r>
          </w:p>
        </w:tc>
        <w:tc>
          <w:tcPr>
            <w:tcW w:w="1403" w:type="dxa"/>
            <w:shd w:val="clear" w:color="auto" w:fill="auto"/>
          </w:tcPr>
          <w:p w14:paraId="3E8296A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17.7%</w:t>
            </w:r>
          </w:p>
        </w:tc>
      </w:tr>
      <w:tr w:rsidR="009A2856" w:rsidRPr="009A2856" w14:paraId="65633981" w14:textId="77777777" w:rsidTr="0071733B">
        <w:trPr>
          <w:trHeight w:val="300"/>
        </w:trPr>
        <w:tc>
          <w:tcPr>
            <w:tcW w:w="3195" w:type="dxa"/>
            <w:vMerge/>
            <w:shd w:val="clear" w:color="auto" w:fill="auto"/>
            <w:noWrap/>
          </w:tcPr>
          <w:p w14:paraId="5B1B097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74842B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Endocrinology</w:t>
            </w:r>
          </w:p>
        </w:tc>
        <w:tc>
          <w:tcPr>
            <w:tcW w:w="2311" w:type="dxa"/>
            <w:shd w:val="clear" w:color="auto" w:fill="auto"/>
            <w:noWrap/>
            <w:hideMark/>
          </w:tcPr>
          <w:p w14:paraId="6A33A6A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3</w:t>
            </w:r>
          </w:p>
        </w:tc>
        <w:tc>
          <w:tcPr>
            <w:tcW w:w="1403" w:type="dxa"/>
            <w:shd w:val="clear" w:color="auto" w:fill="auto"/>
          </w:tcPr>
          <w:p w14:paraId="5A8CC4B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10.7%</w:t>
            </w:r>
          </w:p>
        </w:tc>
      </w:tr>
      <w:tr w:rsidR="009A2856" w:rsidRPr="009A2856" w14:paraId="1C7C58DA" w14:textId="77777777" w:rsidTr="0071733B">
        <w:trPr>
          <w:trHeight w:val="300"/>
        </w:trPr>
        <w:tc>
          <w:tcPr>
            <w:tcW w:w="3195" w:type="dxa"/>
            <w:vMerge/>
            <w:shd w:val="clear" w:color="auto" w:fill="auto"/>
            <w:noWrap/>
          </w:tcPr>
          <w:p w14:paraId="2AA1FD5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238055D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Surgery</w:t>
            </w:r>
          </w:p>
        </w:tc>
        <w:tc>
          <w:tcPr>
            <w:tcW w:w="2311" w:type="dxa"/>
            <w:shd w:val="clear" w:color="auto" w:fill="auto"/>
            <w:noWrap/>
            <w:hideMark/>
          </w:tcPr>
          <w:p w14:paraId="0D69AFD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2A8A737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29BC8E29" w14:textId="77777777" w:rsidTr="0071733B">
        <w:trPr>
          <w:trHeight w:val="300"/>
        </w:trPr>
        <w:tc>
          <w:tcPr>
            <w:tcW w:w="3195" w:type="dxa"/>
            <w:vMerge w:val="restart"/>
            <w:shd w:val="clear" w:color="auto" w:fill="auto"/>
            <w:noWrap/>
          </w:tcPr>
          <w:p w14:paraId="696954A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Country of practice</w:t>
            </w:r>
          </w:p>
        </w:tc>
        <w:tc>
          <w:tcPr>
            <w:tcW w:w="2311" w:type="dxa"/>
            <w:shd w:val="clear" w:color="auto" w:fill="auto"/>
            <w:noWrap/>
          </w:tcPr>
          <w:p w14:paraId="08E139A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Belgium</w:t>
            </w:r>
          </w:p>
        </w:tc>
        <w:tc>
          <w:tcPr>
            <w:tcW w:w="2311" w:type="dxa"/>
            <w:shd w:val="clear" w:color="auto" w:fill="auto"/>
            <w:noWrap/>
            <w:hideMark/>
          </w:tcPr>
          <w:p w14:paraId="436D6AD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57A9D77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703935D2" w14:textId="77777777" w:rsidTr="0071733B">
        <w:trPr>
          <w:trHeight w:val="300"/>
        </w:trPr>
        <w:tc>
          <w:tcPr>
            <w:tcW w:w="3195" w:type="dxa"/>
            <w:vMerge/>
            <w:shd w:val="clear" w:color="auto" w:fill="auto"/>
            <w:noWrap/>
          </w:tcPr>
          <w:p w14:paraId="41A673C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29B3FAE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Germany</w:t>
            </w:r>
          </w:p>
        </w:tc>
        <w:tc>
          <w:tcPr>
            <w:tcW w:w="2311" w:type="dxa"/>
            <w:shd w:val="clear" w:color="auto" w:fill="auto"/>
            <w:noWrap/>
            <w:hideMark/>
          </w:tcPr>
          <w:p w14:paraId="78AC209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w:t>
            </w:r>
          </w:p>
        </w:tc>
        <w:tc>
          <w:tcPr>
            <w:tcW w:w="1403" w:type="dxa"/>
            <w:shd w:val="clear" w:color="auto" w:fill="auto"/>
          </w:tcPr>
          <w:p w14:paraId="7E6B2A0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3.6%</w:t>
            </w:r>
          </w:p>
        </w:tc>
      </w:tr>
      <w:tr w:rsidR="009A2856" w:rsidRPr="009A2856" w14:paraId="5A040A9B" w14:textId="77777777" w:rsidTr="0071733B">
        <w:trPr>
          <w:trHeight w:val="300"/>
        </w:trPr>
        <w:tc>
          <w:tcPr>
            <w:tcW w:w="3195" w:type="dxa"/>
            <w:vMerge/>
            <w:shd w:val="clear" w:color="auto" w:fill="auto"/>
            <w:noWrap/>
          </w:tcPr>
          <w:p w14:paraId="5DD2B84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7F4EA9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France</w:t>
            </w:r>
          </w:p>
        </w:tc>
        <w:tc>
          <w:tcPr>
            <w:tcW w:w="2311" w:type="dxa"/>
            <w:shd w:val="clear" w:color="auto" w:fill="auto"/>
            <w:noWrap/>
            <w:hideMark/>
          </w:tcPr>
          <w:p w14:paraId="09D8786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5090B1D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11DC3593" w14:textId="77777777" w:rsidTr="0071733B">
        <w:trPr>
          <w:trHeight w:val="300"/>
        </w:trPr>
        <w:tc>
          <w:tcPr>
            <w:tcW w:w="3195" w:type="dxa"/>
            <w:vMerge/>
            <w:shd w:val="clear" w:color="auto" w:fill="auto"/>
            <w:noWrap/>
          </w:tcPr>
          <w:p w14:paraId="6817B34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046666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Italy</w:t>
            </w:r>
          </w:p>
        </w:tc>
        <w:tc>
          <w:tcPr>
            <w:tcW w:w="2311" w:type="dxa"/>
            <w:shd w:val="clear" w:color="auto" w:fill="auto"/>
            <w:noWrap/>
            <w:hideMark/>
          </w:tcPr>
          <w:p w14:paraId="57D2E6D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4</w:t>
            </w:r>
          </w:p>
        </w:tc>
        <w:tc>
          <w:tcPr>
            <w:tcW w:w="1403" w:type="dxa"/>
            <w:shd w:val="clear" w:color="auto" w:fill="auto"/>
          </w:tcPr>
          <w:p w14:paraId="50EF92B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14.3%</w:t>
            </w:r>
          </w:p>
        </w:tc>
      </w:tr>
      <w:tr w:rsidR="009A2856" w:rsidRPr="009A2856" w14:paraId="246F3B52" w14:textId="77777777" w:rsidTr="0071733B">
        <w:trPr>
          <w:trHeight w:val="300"/>
        </w:trPr>
        <w:tc>
          <w:tcPr>
            <w:tcW w:w="3195" w:type="dxa"/>
            <w:vMerge/>
            <w:shd w:val="clear" w:color="auto" w:fill="auto"/>
            <w:noWrap/>
          </w:tcPr>
          <w:p w14:paraId="47FFF9A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42187C4A"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Netherlands</w:t>
            </w:r>
          </w:p>
        </w:tc>
        <w:tc>
          <w:tcPr>
            <w:tcW w:w="2311" w:type="dxa"/>
            <w:shd w:val="clear" w:color="auto" w:fill="auto"/>
            <w:noWrap/>
            <w:hideMark/>
          </w:tcPr>
          <w:p w14:paraId="406504D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7E7688E8"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7AF6AA83" w14:textId="77777777" w:rsidTr="0071733B">
        <w:trPr>
          <w:trHeight w:val="300"/>
        </w:trPr>
        <w:tc>
          <w:tcPr>
            <w:tcW w:w="3195" w:type="dxa"/>
            <w:vMerge/>
            <w:shd w:val="clear" w:color="auto" w:fill="auto"/>
            <w:noWrap/>
          </w:tcPr>
          <w:p w14:paraId="5A43893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6BF2CC7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Spain</w:t>
            </w:r>
          </w:p>
        </w:tc>
        <w:tc>
          <w:tcPr>
            <w:tcW w:w="2311" w:type="dxa"/>
            <w:shd w:val="clear" w:color="auto" w:fill="auto"/>
            <w:noWrap/>
            <w:hideMark/>
          </w:tcPr>
          <w:p w14:paraId="5C9A6C0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w:t>
            </w:r>
          </w:p>
        </w:tc>
        <w:tc>
          <w:tcPr>
            <w:tcW w:w="1403" w:type="dxa"/>
            <w:shd w:val="clear" w:color="auto" w:fill="auto"/>
          </w:tcPr>
          <w:p w14:paraId="2B30674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17.9%</w:t>
            </w:r>
          </w:p>
        </w:tc>
      </w:tr>
      <w:tr w:rsidR="009A2856" w:rsidRPr="009A2856" w14:paraId="5709F1BE" w14:textId="77777777" w:rsidTr="0071733B">
        <w:trPr>
          <w:trHeight w:val="300"/>
        </w:trPr>
        <w:tc>
          <w:tcPr>
            <w:tcW w:w="3195" w:type="dxa"/>
            <w:vMerge/>
            <w:shd w:val="clear" w:color="auto" w:fill="auto"/>
            <w:noWrap/>
          </w:tcPr>
          <w:p w14:paraId="63F86BB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4C49E6C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Sweden</w:t>
            </w:r>
          </w:p>
        </w:tc>
        <w:tc>
          <w:tcPr>
            <w:tcW w:w="2311" w:type="dxa"/>
            <w:shd w:val="clear" w:color="auto" w:fill="auto"/>
            <w:noWrap/>
            <w:hideMark/>
          </w:tcPr>
          <w:p w14:paraId="4A277E8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682E65F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400026FD" w14:textId="77777777" w:rsidTr="0071733B">
        <w:trPr>
          <w:trHeight w:val="300"/>
        </w:trPr>
        <w:tc>
          <w:tcPr>
            <w:tcW w:w="3195" w:type="dxa"/>
            <w:vMerge/>
            <w:shd w:val="clear" w:color="auto" w:fill="auto"/>
            <w:noWrap/>
          </w:tcPr>
          <w:p w14:paraId="338BF76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1B9E8A5A"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Switzerland</w:t>
            </w:r>
          </w:p>
        </w:tc>
        <w:tc>
          <w:tcPr>
            <w:tcW w:w="2311" w:type="dxa"/>
            <w:shd w:val="clear" w:color="auto" w:fill="auto"/>
            <w:noWrap/>
            <w:hideMark/>
          </w:tcPr>
          <w:p w14:paraId="2C2E5C1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098EA29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1B2DA8DE" w14:textId="77777777" w:rsidTr="0071733B">
        <w:trPr>
          <w:trHeight w:val="300"/>
        </w:trPr>
        <w:tc>
          <w:tcPr>
            <w:tcW w:w="3195" w:type="dxa"/>
            <w:vMerge/>
            <w:shd w:val="clear" w:color="auto" w:fill="auto"/>
            <w:noWrap/>
          </w:tcPr>
          <w:p w14:paraId="60E4913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BA4255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United Kingdom</w:t>
            </w:r>
          </w:p>
        </w:tc>
        <w:tc>
          <w:tcPr>
            <w:tcW w:w="2311" w:type="dxa"/>
            <w:shd w:val="clear" w:color="auto" w:fill="auto"/>
            <w:noWrap/>
            <w:hideMark/>
          </w:tcPr>
          <w:p w14:paraId="2338D76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6</w:t>
            </w:r>
          </w:p>
        </w:tc>
        <w:tc>
          <w:tcPr>
            <w:tcW w:w="1403" w:type="dxa"/>
            <w:shd w:val="clear" w:color="auto" w:fill="auto"/>
          </w:tcPr>
          <w:p w14:paraId="56ABE2E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21.4%</w:t>
            </w:r>
          </w:p>
        </w:tc>
      </w:tr>
      <w:tr w:rsidR="009A2856" w:rsidRPr="009A2856" w14:paraId="0C80E81A" w14:textId="77777777" w:rsidTr="0071733B">
        <w:trPr>
          <w:trHeight w:val="300"/>
        </w:trPr>
        <w:tc>
          <w:tcPr>
            <w:tcW w:w="3195" w:type="dxa"/>
            <w:vMerge/>
            <w:shd w:val="clear" w:color="auto" w:fill="auto"/>
            <w:noWrap/>
          </w:tcPr>
          <w:p w14:paraId="41B40F6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3C002EA"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Other</w:t>
            </w:r>
          </w:p>
        </w:tc>
        <w:tc>
          <w:tcPr>
            <w:tcW w:w="2311" w:type="dxa"/>
            <w:shd w:val="clear" w:color="auto" w:fill="auto"/>
            <w:noWrap/>
            <w:hideMark/>
          </w:tcPr>
          <w:p w14:paraId="683CA7B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79FA259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76400C85" w14:textId="77777777" w:rsidTr="0071733B">
        <w:trPr>
          <w:trHeight w:val="300"/>
        </w:trPr>
        <w:tc>
          <w:tcPr>
            <w:tcW w:w="3195" w:type="dxa"/>
            <w:vMerge w:val="restart"/>
            <w:shd w:val="clear" w:color="auto" w:fill="auto"/>
            <w:noWrap/>
          </w:tcPr>
          <w:p w14:paraId="4854E39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宋体" w:hAnsi="Book Antiqua"/>
                <w:lang w:val="en-GB"/>
              </w:rPr>
              <w:t>Practice at ENETS Centre of Excellence</w:t>
            </w:r>
          </w:p>
        </w:tc>
        <w:tc>
          <w:tcPr>
            <w:tcW w:w="2311" w:type="dxa"/>
            <w:shd w:val="clear" w:color="auto" w:fill="auto"/>
            <w:noWrap/>
          </w:tcPr>
          <w:p w14:paraId="7BAD0AB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Yes</w:t>
            </w:r>
          </w:p>
        </w:tc>
        <w:tc>
          <w:tcPr>
            <w:tcW w:w="2311" w:type="dxa"/>
            <w:shd w:val="clear" w:color="auto" w:fill="auto"/>
            <w:noWrap/>
            <w:hideMark/>
          </w:tcPr>
          <w:p w14:paraId="3882463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16</w:t>
            </w:r>
          </w:p>
        </w:tc>
        <w:tc>
          <w:tcPr>
            <w:tcW w:w="1403" w:type="dxa"/>
            <w:shd w:val="clear" w:color="auto" w:fill="auto"/>
          </w:tcPr>
          <w:p w14:paraId="78CD479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57.1%</w:t>
            </w:r>
          </w:p>
        </w:tc>
      </w:tr>
      <w:tr w:rsidR="009A2856" w:rsidRPr="009A2856" w14:paraId="558FD91F" w14:textId="77777777" w:rsidTr="0071733B">
        <w:trPr>
          <w:trHeight w:val="300"/>
        </w:trPr>
        <w:tc>
          <w:tcPr>
            <w:tcW w:w="3195" w:type="dxa"/>
            <w:vMerge/>
            <w:shd w:val="clear" w:color="auto" w:fill="auto"/>
            <w:noWrap/>
          </w:tcPr>
          <w:p w14:paraId="122D520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6FB0152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No</w:t>
            </w:r>
          </w:p>
        </w:tc>
        <w:tc>
          <w:tcPr>
            <w:tcW w:w="2311" w:type="dxa"/>
            <w:shd w:val="clear" w:color="auto" w:fill="auto"/>
            <w:noWrap/>
            <w:hideMark/>
          </w:tcPr>
          <w:p w14:paraId="51277D3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12</w:t>
            </w:r>
          </w:p>
        </w:tc>
        <w:tc>
          <w:tcPr>
            <w:tcW w:w="1403" w:type="dxa"/>
            <w:shd w:val="clear" w:color="auto" w:fill="auto"/>
          </w:tcPr>
          <w:p w14:paraId="72FC568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42.9%</w:t>
            </w:r>
          </w:p>
        </w:tc>
      </w:tr>
      <w:tr w:rsidR="009A2856" w:rsidRPr="009A2856" w14:paraId="4495A401" w14:textId="77777777" w:rsidTr="0071733B">
        <w:trPr>
          <w:trHeight w:val="300"/>
        </w:trPr>
        <w:tc>
          <w:tcPr>
            <w:tcW w:w="3195" w:type="dxa"/>
            <w:vMerge w:val="restart"/>
            <w:shd w:val="clear" w:color="auto" w:fill="auto"/>
            <w:noWrap/>
          </w:tcPr>
          <w:p w14:paraId="0A896C1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宋体" w:hAnsi="Book Antiqua"/>
                <w:lang w:val="en-GB"/>
              </w:rPr>
              <w:t>Use of guidelines to inform management of SBNETs</w:t>
            </w:r>
          </w:p>
        </w:tc>
        <w:tc>
          <w:tcPr>
            <w:tcW w:w="2311" w:type="dxa"/>
            <w:shd w:val="clear" w:color="auto" w:fill="auto"/>
            <w:noWrap/>
          </w:tcPr>
          <w:p w14:paraId="550411B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Yes</w:t>
            </w:r>
          </w:p>
        </w:tc>
        <w:tc>
          <w:tcPr>
            <w:tcW w:w="2311" w:type="dxa"/>
            <w:shd w:val="clear" w:color="auto" w:fill="auto"/>
            <w:noWrap/>
            <w:hideMark/>
          </w:tcPr>
          <w:p w14:paraId="1829244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28</w:t>
            </w:r>
          </w:p>
        </w:tc>
        <w:tc>
          <w:tcPr>
            <w:tcW w:w="1403" w:type="dxa"/>
            <w:shd w:val="clear" w:color="auto" w:fill="auto"/>
          </w:tcPr>
          <w:p w14:paraId="7D6270F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100.0%</w:t>
            </w:r>
          </w:p>
        </w:tc>
      </w:tr>
      <w:tr w:rsidR="009A2856" w:rsidRPr="009A2856" w14:paraId="311A44DF" w14:textId="77777777" w:rsidTr="0071733B">
        <w:trPr>
          <w:trHeight w:val="300"/>
        </w:trPr>
        <w:tc>
          <w:tcPr>
            <w:tcW w:w="3195" w:type="dxa"/>
            <w:vMerge/>
            <w:shd w:val="clear" w:color="auto" w:fill="auto"/>
            <w:noWrap/>
          </w:tcPr>
          <w:p w14:paraId="3BC18B3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0B06701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No</w:t>
            </w:r>
          </w:p>
        </w:tc>
        <w:tc>
          <w:tcPr>
            <w:tcW w:w="2311" w:type="dxa"/>
            <w:shd w:val="clear" w:color="auto" w:fill="auto"/>
            <w:noWrap/>
            <w:hideMark/>
          </w:tcPr>
          <w:p w14:paraId="1106AAD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47D4284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15D6B905" w14:textId="77777777" w:rsidTr="0071733B">
        <w:trPr>
          <w:trHeight w:val="300"/>
        </w:trPr>
        <w:tc>
          <w:tcPr>
            <w:tcW w:w="3195" w:type="dxa"/>
            <w:vMerge w:val="restart"/>
            <w:shd w:val="clear" w:color="auto" w:fill="auto"/>
            <w:noWrap/>
          </w:tcPr>
          <w:p w14:paraId="57D0FC5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宋体" w:hAnsi="Book Antiqua"/>
                <w:lang w:val="en-GB"/>
              </w:rPr>
              <w:t>Guidelines used</w:t>
            </w:r>
          </w:p>
        </w:tc>
        <w:tc>
          <w:tcPr>
            <w:tcW w:w="2311" w:type="dxa"/>
            <w:shd w:val="clear" w:color="auto" w:fill="auto"/>
            <w:noWrap/>
          </w:tcPr>
          <w:p w14:paraId="076EAEC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ENETS guidelines</w:t>
            </w:r>
          </w:p>
        </w:tc>
        <w:tc>
          <w:tcPr>
            <w:tcW w:w="2311" w:type="dxa"/>
            <w:shd w:val="clear" w:color="auto" w:fill="auto"/>
            <w:noWrap/>
            <w:hideMark/>
          </w:tcPr>
          <w:p w14:paraId="3C3452E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23</w:t>
            </w:r>
          </w:p>
        </w:tc>
        <w:tc>
          <w:tcPr>
            <w:tcW w:w="1403" w:type="dxa"/>
            <w:shd w:val="clear" w:color="auto" w:fill="auto"/>
          </w:tcPr>
          <w:p w14:paraId="3E5D216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82.1%</w:t>
            </w:r>
          </w:p>
        </w:tc>
      </w:tr>
      <w:tr w:rsidR="009A2856" w:rsidRPr="009A2856" w14:paraId="1721D178" w14:textId="77777777" w:rsidTr="0071733B">
        <w:trPr>
          <w:trHeight w:val="300"/>
        </w:trPr>
        <w:tc>
          <w:tcPr>
            <w:tcW w:w="3195" w:type="dxa"/>
            <w:vMerge/>
            <w:shd w:val="clear" w:color="auto" w:fill="auto"/>
            <w:noWrap/>
          </w:tcPr>
          <w:p w14:paraId="6984B76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237DBCC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ESMO guidelines</w:t>
            </w:r>
          </w:p>
        </w:tc>
        <w:tc>
          <w:tcPr>
            <w:tcW w:w="2311" w:type="dxa"/>
            <w:shd w:val="clear" w:color="auto" w:fill="auto"/>
            <w:noWrap/>
            <w:hideMark/>
          </w:tcPr>
          <w:p w14:paraId="29C09CA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5D47660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69B96154" w14:textId="77777777" w:rsidTr="0071733B">
        <w:trPr>
          <w:trHeight w:val="300"/>
        </w:trPr>
        <w:tc>
          <w:tcPr>
            <w:tcW w:w="3195" w:type="dxa"/>
            <w:vMerge/>
            <w:shd w:val="clear" w:color="auto" w:fill="auto"/>
            <w:noWrap/>
          </w:tcPr>
          <w:p w14:paraId="076DA18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13DB06C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NCCN guidelines</w:t>
            </w:r>
          </w:p>
        </w:tc>
        <w:tc>
          <w:tcPr>
            <w:tcW w:w="2311" w:type="dxa"/>
            <w:shd w:val="clear" w:color="auto" w:fill="auto"/>
            <w:noWrap/>
            <w:hideMark/>
          </w:tcPr>
          <w:p w14:paraId="549F930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08D836C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6144680A" w14:textId="77777777" w:rsidTr="0071733B">
        <w:trPr>
          <w:trHeight w:val="300"/>
        </w:trPr>
        <w:tc>
          <w:tcPr>
            <w:tcW w:w="3195" w:type="dxa"/>
            <w:vMerge/>
            <w:shd w:val="clear" w:color="auto" w:fill="auto"/>
            <w:noWrap/>
          </w:tcPr>
          <w:p w14:paraId="07D7BDD8"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A9AB14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NANETS guidelines</w:t>
            </w:r>
          </w:p>
        </w:tc>
        <w:tc>
          <w:tcPr>
            <w:tcW w:w="2311" w:type="dxa"/>
            <w:shd w:val="clear" w:color="auto" w:fill="auto"/>
            <w:noWrap/>
            <w:hideMark/>
          </w:tcPr>
          <w:p w14:paraId="1B8FD84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7868A30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177D7ADB" w14:textId="77777777" w:rsidTr="0071733B">
        <w:trPr>
          <w:trHeight w:val="300"/>
        </w:trPr>
        <w:tc>
          <w:tcPr>
            <w:tcW w:w="3195" w:type="dxa"/>
            <w:vMerge/>
            <w:shd w:val="clear" w:color="auto" w:fill="auto"/>
            <w:noWrap/>
          </w:tcPr>
          <w:p w14:paraId="18582F9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0A25585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Other</w:t>
            </w:r>
          </w:p>
        </w:tc>
        <w:tc>
          <w:tcPr>
            <w:tcW w:w="2311" w:type="dxa"/>
            <w:shd w:val="clear" w:color="auto" w:fill="auto"/>
            <w:noWrap/>
            <w:hideMark/>
          </w:tcPr>
          <w:p w14:paraId="55B9ED5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w:t>
            </w:r>
          </w:p>
        </w:tc>
        <w:tc>
          <w:tcPr>
            <w:tcW w:w="1403" w:type="dxa"/>
            <w:shd w:val="clear" w:color="auto" w:fill="auto"/>
          </w:tcPr>
          <w:p w14:paraId="58D2511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17.7%</w:t>
            </w:r>
          </w:p>
        </w:tc>
      </w:tr>
    </w:tbl>
    <w:bookmarkEnd w:id="182"/>
    <w:bookmarkEnd w:id="183"/>
    <w:p w14:paraId="43DEF06F" w14:textId="0CDC57A9" w:rsidR="008D2849" w:rsidRDefault="00192EDC">
      <w:pPr>
        <w:spacing w:line="360" w:lineRule="auto"/>
        <w:jc w:val="both"/>
        <w:rPr>
          <w:rFonts w:ascii="Book Antiqua" w:eastAsia="宋体" w:hAnsi="Book Antiqua"/>
          <w:lang w:val="en-GB"/>
        </w:rPr>
      </w:pPr>
      <w:r w:rsidRPr="009A2856">
        <w:rPr>
          <w:rFonts w:ascii="Book Antiqua" w:eastAsia="宋体" w:hAnsi="Book Antiqua"/>
          <w:lang w:val="en-GB"/>
        </w:rPr>
        <w:t>ENETS: European Society of N</w:t>
      </w:r>
      <w:r w:rsidR="00B8415D">
        <w:rPr>
          <w:rFonts w:ascii="Book Antiqua" w:eastAsia="宋体" w:hAnsi="Book Antiqua"/>
          <w:lang w:val="en-GB"/>
        </w:rPr>
        <w:t xml:space="preserve">euroendocrine Tumours; SBNETs: </w:t>
      </w:r>
      <w:r w:rsidR="00B8415D">
        <w:rPr>
          <w:rFonts w:ascii="Book Antiqua" w:eastAsia="宋体" w:hAnsi="Book Antiqua" w:hint="eastAsia"/>
          <w:lang w:val="en-GB" w:eastAsia="zh-CN"/>
        </w:rPr>
        <w:t>W</w:t>
      </w:r>
      <w:r w:rsidRPr="009A2856">
        <w:rPr>
          <w:rFonts w:ascii="Book Antiqua" w:eastAsia="宋体" w:hAnsi="Book Antiqua"/>
          <w:lang w:val="en-GB"/>
        </w:rPr>
        <w:t>ell-differentiated small bowel neuroendocrine tumours; NANETS: North American Neuroendocrine Tumor Society; ESMO: European Society for Medical Oncology; NCCN: National Comprehensive Cancer Network.</w:t>
      </w:r>
    </w:p>
    <w:p w14:paraId="7C1BB2E0" w14:textId="77777777" w:rsidR="008D2849" w:rsidRDefault="008D2849">
      <w:pPr>
        <w:rPr>
          <w:rFonts w:ascii="Book Antiqua" w:eastAsia="宋体" w:hAnsi="Book Antiqua"/>
          <w:lang w:val="en-GB"/>
        </w:rPr>
      </w:pPr>
      <w:r>
        <w:rPr>
          <w:rFonts w:ascii="Book Antiqua" w:eastAsia="宋体" w:hAnsi="Book Antiqua"/>
          <w:lang w:val="en-GB"/>
        </w:rPr>
        <w:br w:type="page"/>
      </w:r>
    </w:p>
    <w:p w14:paraId="21551C14" w14:textId="77777777" w:rsidR="008D2849" w:rsidRDefault="008D2849" w:rsidP="008D2849">
      <w:pPr>
        <w:jc w:val="center"/>
        <w:rPr>
          <w:rFonts w:ascii="Book Antiqua" w:hAnsi="Book Antiqua"/>
          <w:lang w:eastAsia="zh-CN"/>
        </w:rPr>
      </w:pPr>
    </w:p>
    <w:p w14:paraId="59230195" w14:textId="77777777" w:rsidR="008D2849" w:rsidRDefault="008D2849" w:rsidP="008D2849">
      <w:pPr>
        <w:jc w:val="center"/>
        <w:rPr>
          <w:rFonts w:ascii="Book Antiqua" w:hAnsi="Book Antiqua"/>
          <w:lang w:eastAsia="zh-CN"/>
        </w:rPr>
      </w:pPr>
    </w:p>
    <w:p w14:paraId="2F00948F" w14:textId="77777777" w:rsidR="008D2849" w:rsidRDefault="008D2849" w:rsidP="008D2849">
      <w:pPr>
        <w:jc w:val="center"/>
        <w:rPr>
          <w:rFonts w:ascii="Book Antiqua" w:hAnsi="Book Antiqua"/>
          <w:lang w:eastAsia="zh-CN"/>
        </w:rPr>
      </w:pPr>
    </w:p>
    <w:p w14:paraId="44500D36" w14:textId="77777777" w:rsidR="008D2849" w:rsidRDefault="008D2849" w:rsidP="008D2849">
      <w:pPr>
        <w:jc w:val="center"/>
        <w:rPr>
          <w:rFonts w:ascii="Book Antiqua" w:hAnsi="Book Antiqua"/>
          <w:lang w:eastAsia="zh-CN"/>
        </w:rPr>
      </w:pPr>
    </w:p>
    <w:p w14:paraId="4E17B399" w14:textId="77777777" w:rsidR="008D2849" w:rsidRDefault="008D2849" w:rsidP="008D2849">
      <w:pPr>
        <w:jc w:val="center"/>
        <w:rPr>
          <w:rFonts w:ascii="Book Antiqua" w:hAnsi="Book Antiqua"/>
          <w:lang w:eastAsia="zh-CN"/>
        </w:rPr>
      </w:pPr>
    </w:p>
    <w:p w14:paraId="7E51CC65" w14:textId="77777777" w:rsidR="008D2849" w:rsidRDefault="008D2849" w:rsidP="008D2849">
      <w:pPr>
        <w:jc w:val="center"/>
        <w:rPr>
          <w:rFonts w:ascii="Book Antiqua" w:hAnsi="Book Antiqua"/>
          <w:lang w:eastAsia="zh-CN"/>
        </w:rPr>
      </w:pPr>
      <w:r>
        <w:rPr>
          <w:rFonts w:ascii="Book Antiqua" w:hAnsi="Book Antiqua"/>
          <w:noProof/>
          <w:lang w:eastAsia="zh-CN"/>
        </w:rPr>
        <w:drawing>
          <wp:inline distT="0" distB="0" distL="0" distR="0" wp14:anchorId="18729D68" wp14:editId="000D4BF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31B3A66" w14:textId="77777777" w:rsidR="008D2849" w:rsidRDefault="008D2849" w:rsidP="008D2849">
      <w:pPr>
        <w:jc w:val="center"/>
        <w:rPr>
          <w:rFonts w:ascii="Book Antiqua" w:hAnsi="Book Antiqua"/>
          <w:lang w:eastAsia="zh-CN"/>
        </w:rPr>
      </w:pPr>
    </w:p>
    <w:p w14:paraId="669C30B2" w14:textId="77777777" w:rsidR="008D2849" w:rsidRPr="00763D22" w:rsidRDefault="008D2849" w:rsidP="008D28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1050E1C" w14:textId="77777777" w:rsidR="008D2849" w:rsidRPr="00763D22" w:rsidRDefault="008D2849" w:rsidP="008D28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FAFBCD" w14:textId="77777777" w:rsidR="008D2849" w:rsidRPr="00763D22" w:rsidRDefault="008D2849" w:rsidP="008D28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C9AA0B7" w14:textId="77777777" w:rsidR="008D2849" w:rsidRPr="00763D22" w:rsidRDefault="008D2849" w:rsidP="008D28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31483FE" w14:textId="77777777" w:rsidR="008D2849" w:rsidRPr="00763D22" w:rsidRDefault="008D2849" w:rsidP="008D28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187652" w14:textId="77777777" w:rsidR="008D2849" w:rsidRPr="00763D22" w:rsidRDefault="008D2849" w:rsidP="008D284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68019D5" w14:textId="77777777" w:rsidR="008D2849" w:rsidRDefault="008D2849" w:rsidP="008D2849">
      <w:pPr>
        <w:jc w:val="center"/>
        <w:rPr>
          <w:rFonts w:ascii="Book Antiqua" w:hAnsi="Book Antiqua"/>
          <w:lang w:eastAsia="zh-CN"/>
        </w:rPr>
      </w:pPr>
    </w:p>
    <w:p w14:paraId="1B6BC564" w14:textId="77777777" w:rsidR="008D2849" w:rsidRDefault="008D2849" w:rsidP="008D2849">
      <w:pPr>
        <w:jc w:val="center"/>
        <w:rPr>
          <w:rFonts w:ascii="Book Antiqua" w:hAnsi="Book Antiqua"/>
          <w:lang w:eastAsia="zh-CN"/>
        </w:rPr>
      </w:pPr>
    </w:p>
    <w:p w14:paraId="10804BF9" w14:textId="77777777" w:rsidR="008D2849" w:rsidRDefault="008D2849" w:rsidP="008D2849">
      <w:pPr>
        <w:jc w:val="center"/>
        <w:rPr>
          <w:rFonts w:ascii="Book Antiqua" w:hAnsi="Book Antiqua"/>
          <w:lang w:eastAsia="zh-CN"/>
        </w:rPr>
      </w:pPr>
    </w:p>
    <w:p w14:paraId="24EF3D3D" w14:textId="77777777" w:rsidR="008D2849" w:rsidRDefault="008D2849" w:rsidP="008D2849">
      <w:pPr>
        <w:jc w:val="center"/>
        <w:rPr>
          <w:rFonts w:ascii="Book Antiqua" w:hAnsi="Book Antiqua"/>
          <w:lang w:eastAsia="zh-CN"/>
        </w:rPr>
      </w:pPr>
      <w:r>
        <w:rPr>
          <w:rFonts w:ascii="Book Antiqua" w:hAnsi="Book Antiqua"/>
          <w:noProof/>
          <w:lang w:eastAsia="zh-CN"/>
        </w:rPr>
        <w:drawing>
          <wp:inline distT="0" distB="0" distL="0" distR="0" wp14:anchorId="19280A84" wp14:editId="30281DE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0D2654" w14:textId="77777777" w:rsidR="008D2849" w:rsidRDefault="008D2849" w:rsidP="008D2849">
      <w:pPr>
        <w:jc w:val="center"/>
        <w:rPr>
          <w:rFonts w:ascii="Book Antiqua" w:hAnsi="Book Antiqua"/>
          <w:lang w:eastAsia="zh-CN"/>
        </w:rPr>
      </w:pPr>
    </w:p>
    <w:p w14:paraId="58841DD6" w14:textId="77777777" w:rsidR="008D2849" w:rsidRDefault="008D2849" w:rsidP="008D2849">
      <w:pPr>
        <w:jc w:val="center"/>
        <w:rPr>
          <w:rFonts w:ascii="Book Antiqua" w:hAnsi="Book Antiqua"/>
          <w:lang w:eastAsia="zh-CN"/>
        </w:rPr>
      </w:pPr>
    </w:p>
    <w:p w14:paraId="5F7972DB" w14:textId="77777777" w:rsidR="008D2849" w:rsidRDefault="008D2849" w:rsidP="008D2849">
      <w:pPr>
        <w:jc w:val="center"/>
        <w:rPr>
          <w:rFonts w:ascii="Book Antiqua" w:hAnsi="Book Antiqua"/>
          <w:lang w:eastAsia="zh-CN"/>
        </w:rPr>
      </w:pPr>
    </w:p>
    <w:p w14:paraId="51382CC6" w14:textId="77777777" w:rsidR="008D2849" w:rsidRDefault="008D2849" w:rsidP="008D2849">
      <w:pPr>
        <w:jc w:val="center"/>
        <w:rPr>
          <w:rFonts w:ascii="Book Antiqua" w:hAnsi="Book Antiqua"/>
          <w:lang w:eastAsia="zh-CN"/>
        </w:rPr>
      </w:pPr>
    </w:p>
    <w:p w14:paraId="731A9360" w14:textId="77777777" w:rsidR="008D2849" w:rsidRDefault="008D2849" w:rsidP="008D2849">
      <w:pPr>
        <w:jc w:val="center"/>
        <w:rPr>
          <w:rFonts w:ascii="Book Antiqua" w:hAnsi="Book Antiqua"/>
          <w:lang w:eastAsia="zh-CN"/>
        </w:rPr>
      </w:pPr>
    </w:p>
    <w:p w14:paraId="5D94B5D8" w14:textId="77777777" w:rsidR="008D2849" w:rsidRDefault="008D2849" w:rsidP="008D2849">
      <w:pPr>
        <w:jc w:val="center"/>
        <w:rPr>
          <w:rFonts w:ascii="Book Antiqua" w:hAnsi="Book Antiqua"/>
          <w:lang w:eastAsia="zh-CN"/>
        </w:rPr>
      </w:pPr>
    </w:p>
    <w:p w14:paraId="2D1115EF" w14:textId="77777777" w:rsidR="008D2849" w:rsidRDefault="008D2849" w:rsidP="008D2849">
      <w:pPr>
        <w:jc w:val="center"/>
        <w:rPr>
          <w:rFonts w:ascii="Book Antiqua" w:hAnsi="Book Antiqua"/>
          <w:lang w:eastAsia="zh-CN"/>
        </w:rPr>
      </w:pPr>
    </w:p>
    <w:p w14:paraId="03832BF9" w14:textId="77777777" w:rsidR="008D2849" w:rsidRDefault="008D2849" w:rsidP="008D2849">
      <w:pPr>
        <w:jc w:val="center"/>
        <w:rPr>
          <w:rFonts w:ascii="Book Antiqua" w:hAnsi="Book Antiqua"/>
          <w:lang w:eastAsia="zh-CN"/>
        </w:rPr>
      </w:pPr>
    </w:p>
    <w:p w14:paraId="5A3AA122" w14:textId="77777777" w:rsidR="008D2849" w:rsidRDefault="008D2849" w:rsidP="008D2849">
      <w:pPr>
        <w:jc w:val="center"/>
        <w:rPr>
          <w:rFonts w:ascii="Book Antiqua" w:hAnsi="Book Antiqua"/>
          <w:lang w:eastAsia="zh-CN"/>
        </w:rPr>
      </w:pPr>
    </w:p>
    <w:p w14:paraId="16447F9A" w14:textId="77777777" w:rsidR="008D2849" w:rsidRPr="00763D22" w:rsidRDefault="008D2849" w:rsidP="008D2849">
      <w:pPr>
        <w:jc w:val="right"/>
        <w:rPr>
          <w:rFonts w:ascii="Book Antiqua" w:hAnsi="Book Antiqua"/>
          <w:color w:val="000000" w:themeColor="text1"/>
          <w:lang w:eastAsia="zh-CN"/>
        </w:rPr>
      </w:pPr>
    </w:p>
    <w:p w14:paraId="5CE00026" w14:textId="77777777" w:rsidR="008D2849" w:rsidRPr="00763D22" w:rsidRDefault="008D2849" w:rsidP="008D284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9EE0FAF" w14:textId="77777777" w:rsidR="00A77B3E" w:rsidRPr="008D2849" w:rsidRDefault="00A77B3E">
      <w:pPr>
        <w:spacing w:line="360" w:lineRule="auto"/>
        <w:jc w:val="both"/>
        <w:rPr>
          <w:b/>
          <w:lang w:eastAsia="zh-CN"/>
        </w:rPr>
      </w:pPr>
      <w:bookmarkStart w:id="184" w:name="_GoBack"/>
      <w:bookmarkEnd w:id="184"/>
    </w:p>
    <w:sectPr w:rsidR="00A77B3E" w:rsidRPr="008D28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016FE" w14:textId="77777777" w:rsidR="001B0FE2" w:rsidRDefault="001B0FE2" w:rsidP="00BB48AC">
      <w:r>
        <w:separator/>
      </w:r>
    </w:p>
  </w:endnote>
  <w:endnote w:type="continuationSeparator" w:id="0">
    <w:p w14:paraId="4C57428F" w14:textId="77777777" w:rsidR="001B0FE2" w:rsidRDefault="001B0FE2" w:rsidP="00BB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028532"/>
      <w:docPartObj>
        <w:docPartGallery w:val="Page Numbers (Bottom of Page)"/>
        <w:docPartUnique/>
      </w:docPartObj>
    </w:sdtPr>
    <w:sdtEndPr/>
    <w:sdtContent>
      <w:sdt>
        <w:sdtPr>
          <w:id w:val="860082579"/>
          <w:docPartObj>
            <w:docPartGallery w:val="Page Numbers (Top of Page)"/>
            <w:docPartUnique/>
          </w:docPartObj>
        </w:sdtPr>
        <w:sdtEndPr/>
        <w:sdtContent>
          <w:p w14:paraId="00F9B8D6" w14:textId="77777777" w:rsidR="00BB48AC" w:rsidRDefault="00BB48AC">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B0FE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B0FE2">
              <w:rPr>
                <w:b/>
                <w:bCs/>
                <w:noProof/>
              </w:rPr>
              <w:t>1</w:t>
            </w:r>
            <w:r>
              <w:rPr>
                <w:b/>
                <w:bCs/>
                <w:sz w:val="24"/>
                <w:szCs w:val="24"/>
              </w:rPr>
              <w:fldChar w:fldCharType="end"/>
            </w:r>
          </w:p>
        </w:sdtContent>
      </w:sdt>
    </w:sdtContent>
  </w:sdt>
  <w:p w14:paraId="07349ACE" w14:textId="77777777" w:rsidR="00BB48AC" w:rsidRDefault="00BB48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31BF1" w14:textId="77777777" w:rsidR="001B0FE2" w:rsidRDefault="001B0FE2" w:rsidP="00BB48AC">
      <w:r>
        <w:separator/>
      </w:r>
    </w:p>
  </w:footnote>
  <w:footnote w:type="continuationSeparator" w:id="0">
    <w:p w14:paraId="5DA873A7" w14:textId="77777777" w:rsidR="001B0FE2" w:rsidRDefault="001B0FE2" w:rsidP="00BB48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BA0"/>
    <w:rsid w:val="0002060F"/>
    <w:rsid w:val="000210E7"/>
    <w:rsid w:val="000242E9"/>
    <w:rsid w:val="00024B4E"/>
    <w:rsid w:val="00040D6F"/>
    <w:rsid w:val="00064453"/>
    <w:rsid w:val="000858B4"/>
    <w:rsid w:val="0009588D"/>
    <w:rsid w:val="0009745E"/>
    <w:rsid w:val="00097BD0"/>
    <w:rsid w:val="000A2027"/>
    <w:rsid w:val="000D7385"/>
    <w:rsid w:val="000E60EA"/>
    <w:rsid w:val="000F55C6"/>
    <w:rsid w:val="00104166"/>
    <w:rsid w:val="00107297"/>
    <w:rsid w:val="00112667"/>
    <w:rsid w:val="00120525"/>
    <w:rsid w:val="00121E05"/>
    <w:rsid w:val="001448A7"/>
    <w:rsid w:val="00180480"/>
    <w:rsid w:val="00190A68"/>
    <w:rsid w:val="00192EDC"/>
    <w:rsid w:val="0019539C"/>
    <w:rsid w:val="001B0FE2"/>
    <w:rsid w:val="001C4443"/>
    <w:rsid w:val="001C4993"/>
    <w:rsid w:val="001E4C08"/>
    <w:rsid w:val="001F4DD4"/>
    <w:rsid w:val="00211351"/>
    <w:rsid w:val="0023197D"/>
    <w:rsid w:val="00232DC3"/>
    <w:rsid w:val="00233211"/>
    <w:rsid w:val="00242DA0"/>
    <w:rsid w:val="00242EDC"/>
    <w:rsid w:val="0025308E"/>
    <w:rsid w:val="002C2605"/>
    <w:rsid w:val="002D3354"/>
    <w:rsid w:val="0032556D"/>
    <w:rsid w:val="0032725D"/>
    <w:rsid w:val="003358FB"/>
    <w:rsid w:val="00377A8B"/>
    <w:rsid w:val="003A513F"/>
    <w:rsid w:val="003D401A"/>
    <w:rsid w:val="003E0238"/>
    <w:rsid w:val="003E0E9E"/>
    <w:rsid w:val="00401C89"/>
    <w:rsid w:val="00436C78"/>
    <w:rsid w:val="00452ED9"/>
    <w:rsid w:val="00460AB8"/>
    <w:rsid w:val="00465C0F"/>
    <w:rsid w:val="00466BB2"/>
    <w:rsid w:val="004A1E02"/>
    <w:rsid w:val="004A3E89"/>
    <w:rsid w:val="005004D6"/>
    <w:rsid w:val="00522C1B"/>
    <w:rsid w:val="00526052"/>
    <w:rsid w:val="00542DD8"/>
    <w:rsid w:val="00592FBB"/>
    <w:rsid w:val="0059549A"/>
    <w:rsid w:val="005B294E"/>
    <w:rsid w:val="005F6CDF"/>
    <w:rsid w:val="00601309"/>
    <w:rsid w:val="00604D1B"/>
    <w:rsid w:val="00605445"/>
    <w:rsid w:val="006109BF"/>
    <w:rsid w:val="00633FF5"/>
    <w:rsid w:val="00640F7D"/>
    <w:rsid w:val="00644A8E"/>
    <w:rsid w:val="0065525F"/>
    <w:rsid w:val="0065635A"/>
    <w:rsid w:val="006602FD"/>
    <w:rsid w:val="00662207"/>
    <w:rsid w:val="006779C9"/>
    <w:rsid w:val="006928EF"/>
    <w:rsid w:val="006B2868"/>
    <w:rsid w:val="006C0E5B"/>
    <w:rsid w:val="006C6B5A"/>
    <w:rsid w:val="006F4A03"/>
    <w:rsid w:val="0071733B"/>
    <w:rsid w:val="007340D7"/>
    <w:rsid w:val="0074771C"/>
    <w:rsid w:val="00767FA4"/>
    <w:rsid w:val="00770E19"/>
    <w:rsid w:val="00773EB5"/>
    <w:rsid w:val="0078177C"/>
    <w:rsid w:val="00797D1D"/>
    <w:rsid w:val="007C1364"/>
    <w:rsid w:val="007D33F6"/>
    <w:rsid w:val="007D4AA2"/>
    <w:rsid w:val="008763C0"/>
    <w:rsid w:val="00880058"/>
    <w:rsid w:val="00884684"/>
    <w:rsid w:val="008D2849"/>
    <w:rsid w:val="008E4FAA"/>
    <w:rsid w:val="00902266"/>
    <w:rsid w:val="00902C3A"/>
    <w:rsid w:val="00913870"/>
    <w:rsid w:val="00914345"/>
    <w:rsid w:val="009610F0"/>
    <w:rsid w:val="00971CBE"/>
    <w:rsid w:val="0097767C"/>
    <w:rsid w:val="009A2856"/>
    <w:rsid w:val="009A7B91"/>
    <w:rsid w:val="009C1F95"/>
    <w:rsid w:val="009E0BE9"/>
    <w:rsid w:val="009F0F34"/>
    <w:rsid w:val="00A001E5"/>
    <w:rsid w:val="00A1183F"/>
    <w:rsid w:val="00A2465D"/>
    <w:rsid w:val="00A36D47"/>
    <w:rsid w:val="00A61ABC"/>
    <w:rsid w:val="00A656C8"/>
    <w:rsid w:val="00A66EB0"/>
    <w:rsid w:val="00A705F3"/>
    <w:rsid w:val="00A73F76"/>
    <w:rsid w:val="00A77B3E"/>
    <w:rsid w:val="00AC6F8B"/>
    <w:rsid w:val="00AD7994"/>
    <w:rsid w:val="00AF46C9"/>
    <w:rsid w:val="00AF47F0"/>
    <w:rsid w:val="00B02604"/>
    <w:rsid w:val="00B07632"/>
    <w:rsid w:val="00B1169C"/>
    <w:rsid w:val="00B356D5"/>
    <w:rsid w:val="00B35988"/>
    <w:rsid w:val="00B42113"/>
    <w:rsid w:val="00B52FB1"/>
    <w:rsid w:val="00B53B3A"/>
    <w:rsid w:val="00B645D3"/>
    <w:rsid w:val="00B702F8"/>
    <w:rsid w:val="00B8415D"/>
    <w:rsid w:val="00B95D34"/>
    <w:rsid w:val="00BB2EDC"/>
    <w:rsid w:val="00BB48AC"/>
    <w:rsid w:val="00BF3E93"/>
    <w:rsid w:val="00C05011"/>
    <w:rsid w:val="00C1412E"/>
    <w:rsid w:val="00C1775F"/>
    <w:rsid w:val="00C56F9C"/>
    <w:rsid w:val="00C6144C"/>
    <w:rsid w:val="00CA2A55"/>
    <w:rsid w:val="00CA57F6"/>
    <w:rsid w:val="00CC4AC2"/>
    <w:rsid w:val="00CF2226"/>
    <w:rsid w:val="00D01490"/>
    <w:rsid w:val="00D21E11"/>
    <w:rsid w:val="00D33EB1"/>
    <w:rsid w:val="00D8329E"/>
    <w:rsid w:val="00D9066D"/>
    <w:rsid w:val="00DB08DB"/>
    <w:rsid w:val="00DB2863"/>
    <w:rsid w:val="00DD108C"/>
    <w:rsid w:val="00DD370F"/>
    <w:rsid w:val="00DE27B0"/>
    <w:rsid w:val="00E01ADA"/>
    <w:rsid w:val="00E0597F"/>
    <w:rsid w:val="00E177B5"/>
    <w:rsid w:val="00E207D0"/>
    <w:rsid w:val="00E3223D"/>
    <w:rsid w:val="00E32D9A"/>
    <w:rsid w:val="00E3419B"/>
    <w:rsid w:val="00E4136D"/>
    <w:rsid w:val="00E77353"/>
    <w:rsid w:val="00E86F9C"/>
    <w:rsid w:val="00EC10DC"/>
    <w:rsid w:val="00ED4022"/>
    <w:rsid w:val="00EF7533"/>
    <w:rsid w:val="00F12853"/>
    <w:rsid w:val="00F44C9C"/>
    <w:rsid w:val="00F54DDE"/>
    <w:rsid w:val="00F62D1D"/>
    <w:rsid w:val="00F71844"/>
    <w:rsid w:val="00F87E5B"/>
    <w:rsid w:val="00F940D6"/>
    <w:rsid w:val="00FA0872"/>
    <w:rsid w:val="00FA6A38"/>
    <w:rsid w:val="00FB07CD"/>
    <w:rsid w:val="00FD5CAD"/>
    <w:rsid w:val="00FD73E3"/>
    <w:rsid w:val="00FE3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4A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basedOn w:val="a"/>
    <w:next w:val="a"/>
    <w:link w:val="2Char"/>
    <w:unhideWhenUsed/>
    <w:qFormat/>
    <w:rsid w:val="009A285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character" w:styleId="a3">
    <w:name w:val="annotation reference"/>
    <w:basedOn w:val="a0"/>
    <w:rsid w:val="0065635A"/>
    <w:rPr>
      <w:sz w:val="21"/>
      <w:szCs w:val="21"/>
    </w:rPr>
  </w:style>
  <w:style w:type="paragraph" w:styleId="a4">
    <w:name w:val="annotation text"/>
    <w:basedOn w:val="a"/>
    <w:link w:val="Char"/>
    <w:rsid w:val="0065635A"/>
  </w:style>
  <w:style w:type="character" w:customStyle="1" w:styleId="Char">
    <w:name w:val="批注文字 Char"/>
    <w:basedOn w:val="a0"/>
    <w:link w:val="a4"/>
    <w:rsid w:val="0065635A"/>
    <w:rPr>
      <w:sz w:val="24"/>
      <w:szCs w:val="24"/>
    </w:rPr>
  </w:style>
  <w:style w:type="paragraph" w:styleId="a5">
    <w:name w:val="annotation subject"/>
    <w:basedOn w:val="a4"/>
    <w:next w:val="a4"/>
    <w:link w:val="Char0"/>
    <w:rsid w:val="0065635A"/>
    <w:rPr>
      <w:b/>
      <w:bCs/>
    </w:rPr>
  </w:style>
  <w:style w:type="character" w:customStyle="1" w:styleId="Char0">
    <w:name w:val="批注主题 Char"/>
    <w:basedOn w:val="Char"/>
    <w:link w:val="a5"/>
    <w:rsid w:val="0065635A"/>
    <w:rPr>
      <w:b/>
      <w:bCs/>
      <w:sz w:val="24"/>
      <w:szCs w:val="24"/>
    </w:rPr>
  </w:style>
  <w:style w:type="paragraph" w:styleId="a6">
    <w:name w:val="Balloon Text"/>
    <w:basedOn w:val="a"/>
    <w:link w:val="Char1"/>
    <w:rsid w:val="0065635A"/>
    <w:rPr>
      <w:sz w:val="18"/>
      <w:szCs w:val="18"/>
    </w:rPr>
  </w:style>
  <w:style w:type="character" w:customStyle="1" w:styleId="Char1">
    <w:name w:val="批注框文本 Char"/>
    <w:basedOn w:val="a0"/>
    <w:link w:val="a6"/>
    <w:rsid w:val="0065635A"/>
    <w:rPr>
      <w:sz w:val="18"/>
      <w:szCs w:val="18"/>
    </w:rPr>
  </w:style>
  <w:style w:type="character" w:customStyle="1" w:styleId="2Char">
    <w:name w:val="标题 2 Char"/>
    <w:basedOn w:val="a0"/>
    <w:link w:val="2"/>
    <w:rsid w:val="009A2856"/>
    <w:rPr>
      <w:rFonts w:asciiTheme="majorHAnsi" w:eastAsiaTheme="majorEastAsia" w:hAnsiTheme="majorHAnsi" w:cstheme="majorBidi"/>
      <w:b/>
      <w:bCs/>
      <w:sz w:val="32"/>
      <w:szCs w:val="32"/>
    </w:rPr>
  </w:style>
  <w:style w:type="paragraph" w:styleId="a7">
    <w:name w:val="header"/>
    <w:basedOn w:val="a"/>
    <w:link w:val="Char2"/>
    <w:rsid w:val="00BB48A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B48AC"/>
    <w:rPr>
      <w:sz w:val="18"/>
      <w:szCs w:val="18"/>
    </w:rPr>
  </w:style>
  <w:style w:type="paragraph" w:styleId="a8">
    <w:name w:val="footer"/>
    <w:basedOn w:val="a"/>
    <w:link w:val="Char3"/>
    <w:uiPriority w:val="99"/>
    <w:rsid w:val="00BB48AC"/>
    <w:pPr>
      <w:tabs>
        <w:tab w:val="center" w:pos="4153"/>
        <w:tab w:val="right" w:pos="8306"/>
      </w:tabs>
      <w:snapToGrid w:val="0"/>
    </w:pPr>
    <w:rPr>
      <w:sz w:val="18"/>
      <w:szCs w:val="18"/>
    </w:rPr>
  </w:style>
  <w:style w:type="character" w:customStyle="1" w:styleId="Char3">
    <w:name w:val="页脚 Char"/>
    <w:basedOn w:val="a0"/>
    <w:link w:val="a8"/>
    <w:uiPriority w:val="99"/>
    <w:rsid w:val="00BB48AC"/>
    <w:rPr>
      <w:sz w:val="18"/>
      <w:szCs w:val="18"/>
    </w:rPr>
  </w:style>
  <w:style w:type="paragraph" w:styleId="a9">
    <w:name w:val="Normal (Web)"/>
    <w:basedOn w:val="a"/>
    <w:uiPriority w:val="99"/>
    <w:unhideWhenUsed/>
    <w:rsid w:val="001C4443"/>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2">
    <w:name w:val="heading 2"/>
    <w:basedOn w:val="a"/>
    <w:next w:val="a"/>
    <w:link w:val="2Char"/>
    <w:unhideWhenUsed/>
    <w:qFormat/>
    <w:rsid w:val="009A285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character" w:styleId="a3">
    <w:name w:val="annotation reference"/>
    <w:basedOn w:val="a0"/>
    <w:rsid w:val="0065635A"/>
    <w:rPr>
      <w:sz w:val="21"/>
      <w:szCs w:val="21"/>
    </w:rPr>
  </w:style>
  <w:style w:type="paragraph" w:styleId="a4">
    <w:name w:val="annotation text"/>
    <w:basedOn w:val="a"/>
    <w:link w:val="Char"/>
    <w:rsid w:val="0065635A"/>
  </w:style>
  <w:style w:type="character" w:customStyle="1" w:styleId="Char">
    <w:name w:val="批注文字 Char"/>
    <w:basedOn w:val="a0"/>
    <w:link w:val="a4"/>
    <w:rsid w:val="0065635A"/>
    <w:rPr>
      <w:sz w:val="24"/>
      <w:szCs w:val="24"/>
    </w:rPr>
  </w:style>
  <w:style w:type="paragraph" w:styleId="a5">
    <w:name w:val="annotation subject"/>
    <w:basedOn w:val="a4"/>
    <w:next w:val="a4"/>
    <w:link w:val="Char0"/>
    <w:rsid w:val="0065635A"/>
    <w:rPr>
      <w:b/>
      <w:bCs/>
    </w:rPr>
  </w:style>
  <w:style w:type="character" w:customStyle="1" w:styleId="Char0">
    <w:name w:val="批注主题 Char"/>
    <w:basedOn w:val="Char"/>
    <w:link w:val="a5"/>
    <w:rsid w:val="0065635A"/>
    <w:rPr>
      <w:b/>
      <w:bCs/>
      <w:sz w:val="24"/>
      <w:szCs w:val="24"/>
    </w:rPr>
  </w:style>
  <w:style w:type="paragraph" w:styleId="a6">
    <w:name w:val="Balloon Text"/>
    <w:basedOn w:val="a"/>
    <w:link w:val="Char1"/>
    <w:rsid w:val="0065635A"/>
    <w:rPr>
      <w:sz w:val="18"/>
      <w:szCs w:val="18"/>
    </w:rPr>
  </w:style>
  <w:style w:type="character" w:customStyle="1" w:styleId="Char1">
    <w:name w:val="批注框文本 Char"/>
    <w:basedOn w:val="a0"/>
    <w:link w:val="a6"/>
    <w:rsid w:val="0065635A"/>
    <w:rPr>
      <w:sz w:val="18"/>
      <w:szCs w:val="18"/>
    </w:rPr>
  </w:style>
  <w:style w:type="character" w:customStyle="1" w:styleId="2Char">
    <w:name w:val="标题 2 Char"/>
    <w:basedOn w:val="a0"/>
    <w:link w:val="2"/>
    <w:rsid w:val="009A2856"/>
    <w:rPr>
      <w:rFonts w:asciiTheme="majorHAnsi" w:eastAsiaTheme="majorEastAsia" w:hAnsiTheme="majorHAnsi" w:cstheme="majorBidi"/>
      <w:b/>
      <w:bCs/>
      <w:sz w:val="32"/>
      <w:szCs w:val="32"/>
    </w:rPr>
  </w:style>
  <w:style w:type="paragraph" w:styleId="a7">
    <w:name w:val="header"/>
    <w:basedOn w:val="a"/>
    <w:link w:val="Char2"/>
    <w:rsid w:val="00BB48A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BB48AC"/>
    <w:rPr>
      <w:sz w:val="18"/>
      <w:szCs w:val="18"/>
    </w:rPr>
  </w:style>
  <w:style w:type="paragraph" w:styleId="a8">
    <w:name w:val="footer"/>
    <w:basedOn w:val="a"/>
    <w:link w:val="Char3"/>
    <w:uiPriority w:val="99"/>
    <w:rsid w:val="00BB48AC"/>
    <w:pPr>
      <w:tabs>
        <w:tab w:val="center" w:pos="4153"/>
        <w:tab w:val="right" w:pos="8306"/>
      </w:tabs>
      <w:snapToGrid w:val="0"/>
    </w:pPr>
    <w:rPr>
      <w:sz w:val="18"/>
      <w:szCs w:val="18"/>
    </w:rPr>
  </w:style>
  <w:style w:type="character" w:customStyle="1" w:styleId="Char3">
    <w:name w:val="页脚 Char"/>
    <w:basedOn w:val="a0"/>
    <w:link w:val="a8"/>
    <w:uiPriority w:val="99"/>
    <w:rsid w:val="00BB48AC"/>
    <w:rPr>
      <w:sz w:val="18"/>
      <w:szCs w:val="18"/>
    </w:rPr>
  </w:style>
  <w:style w:type="paragraph" w:styleId="a9">
    <w:name w:val="Normal (Web)"/>
    <w:basedOn w:val="a"/>
    <w:uiPriority w:val="99"/>
    <w:unhideWhenUsed/>
    <w:rsid w:val="001C4443"/>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55378">
      <w:bodyDiv w:val="1"/>
      <w:marLeft w:val="0"/>
      <w:marRight w:val="0"/>
      <w:marTop w:val="0"/>
      <w:marBottom w:val="0"/>
      <w:divBdr>
        <w:top w:val="none" w:sz="0" w:space="0" w:color="auto"/>
        <w:left w:val="none" w:sz="0" w:space="0" w:color="auto"/>
        <w:bottom w:val="none" w:sz="0" w:space="0" w:color="auto"/>
        <w:right w:val="none" w:sz="0" w:space="0" w:color="auto"/>
      </w:divBdr>
    </w:div>
    <w:div w:id="564147577">
      <w:bodyDiv w:val="1"/>
      <w:marLeft w:val="0"/>
      <w:marRight w:val="0"/>
      <w:marTop w:val="0"/>
      <w:marBottom w:val="0"/>
      <w:divBdr>
        <w:top w:val="none" w:sz="0" w:space="0" w:color="auto"/>
        <w:left w:val="none" w:sz="0" w:space="0" w:color="auto"/>
        <w:bottom w:val="none" w:sz="0" w:space="0" w:color="auto"/>
        <w:right w:val="none" w:sz="0" w:space="0" w:color="auto"/>
      </w:divBdr>
    </w:div>
    <w:div w:id="1015496366">
      <w:bodyDiv w:val="1"/>
      <w:marLeft w:val="0"/>
      <w:marRight w:val="0"/>
      <w:marTop w:val="0"/>
      <w:marBottom w:val="0"/>
      <w:divBdr>
        <w:top w:val="none" w:sz="0" w:space="0" w:color="auto"/>
        <w:left w:val="none" w:sz="0" w:space="0" w:color="auto"/>
        <w:bottom w:val="none" w:sz="0" w:space="0" w:color="auto"/>
        <w:right w:val="none" w:sz="0" w:space="0" w:color="auto"/>
      </w:divBdr>
    </w:div>
    <w:div w:id="1097484018">
      <w:bodyDiv w:val="1"/>
      <w:marLeft w:val="0"/>
      <w:marRight w:val="0"/>
      <w:marTop w:val="0"/>
      <w:marBottom w:val="0"/>
      <w:divBdr>
        <w:top w:val="none" w:sz="0" w:space="0" w:color="auto"/>
        <w:left w:val="none" w:sz="0" w:space="0" w:color="auto"/>
        <w:bottom w:val="none" w:sz="0" w:space="0" w:color="auto"/>
        <w:right w:val="none" w:sz="0" w:space="0" w:color="auto"/>
      </w:divBdr>
    </w:div>
    <w:div w:id="1104155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6327</Words>
  <Characters>36068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The Christie NHS Foundation Trust</Company>
  <LinksUpToDate>false</LinksUpToDate>
  <CharactersWithSpaces>42311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Lamarca Angela (RBV) NHS Christie Tr</dc:creator>
  <cp:lastModifiedBy>liujihong2008@qq.con</cp:lastModifiedBy>
  <cp:revision>13</cp:revision>
  <dcterms:created xsi:type="dcterms:W3CDTF">2021-02-26T19:36:00Z</dcterms:created>
  <dcterms:modified xsi:type="dcterms:W3CDTF">2021-03-10T11:15:00Z</dcterms:modified>
</cp:coreProperties>
</file>