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4B7BD"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Name of Journal: </w:t>
      </w:r>
      <w:r w:rsidRPr="00A9578D">
        <w:rPr>
          <w:rFonts w:ascii="Book Antiqua" w:eastAsia="Book Antiqua" w:hAnsi="Book Antiqua" w:cs="Book Antiqua"/>
          <w:i/>
          <w:color w:val="000000"/>
        </w:rPr>
        <w:t>World Journal of Clinical Cases</w:t>
      </w:r>
    </w:p>
    <w:p w14:paraId="3EF9A7A6"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Manuscript NO: </w:t>
      </w:r>
      <w:r w:rsidRPr="00A9578D">
        <w:rPr>
          <w:rFonts w:ascii="Book Antiqua" w:eastAsia="Book Antiqua" w:hAnsi="Book Antiqua" w:cs="Book Antiqua"/>
          <w:color w:val="000000"/>
        </w:rPr>
        <w:t>61151</w:t>
      </w:r>
    </w:p>
    <w:p w14:paraId="0AA16AEB"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Manuscript Type: </w:t>
      </w:r>
      <w:r w:rsidRPr="00A9578D">
        <w:rPr>
          <w:rFonts w:ascii="Book Antiqua" w:eastAsia="Book Antiqua" w:hAnsi="Book Antiqua" w:cs="Book Antiqua"/>
          <w:color w:val="000000"/>
        </w:rPr>
        <w:t>ORIGINAL ARTICLE</w:t>
      </w:r>
    </w:p>
    <w:p w14:paraId="6D8F6427" w14:textId="77777777" w:rsidR="00A77B3E" w:rsidRPr="00A9578D" w:rsidRDefault="00A77B3E" w:rsidP="00A9578D">
      <w:pPr>
        <w:spacing w:line="360" w:lineRule="auto"/>
        <w:jc w:val="both"/>
        <w:rPr>
          <w:rFonts w:ascii="Book Antiqua" w:hAnsi="Book Antiqua"/>
        </w:rPr>
      </w:pPr>
    </w:p>
    <w:p w14:paraId="31022182" w14:textId="77777777" w:rsidR="00A77B3E" w:rsidRPr="00A9578D" w:rsidRDefault="008F2839" w:rsidP="00A9578D">
      <w:pPr>
        <w:spacing w:line="360" w:lineRule="auto"/>
        <w:jc w:val="both"/>
        <w:rPr>
          <w:rFonts w:ascii="Book Antiqua" w:hAnsi="Book Antiqua"/>
        </w:rPr>
      </w:pPr>
      <w:bookmarkStart w:id="0" w:name="OLE_LINK496"/>
      <w:bookmarkStart w:id="1" w:name="OLE_LINK497"/>
      <w:r w:rsidRPr="00A9578D">
        <w:rPr>
          <w:rFonts w:ascii="Book Antiqua" w:eastAsia="Book Antiqua" w:hAnsi="Book Antiqua" w:cs="Book Antiqua"/>
          <w:b/>
          <w:i/>
          <w:color w:val="000000"/>
        </w:rPr>
        <w:t>Case Control Study</w:t>
      </w:r>
    </w:p>
    <w:p w14:paraId="39CC3D16" w14:textId="77777777" w:rsidR="00A77B3E" w:rsidRPr="00A9578D" w:rsidRDefault="008F2839" w:rsidP="00A9578D">
      <w:pPr>
        <w:spacing w:line="360" w:lineRule="auto"/>
        <w:jc w:val="both"/>
        <w:rPr>
          <w:rFonts w:ascii="Book Antiqua" w:hAnsi="Book Antiqua"/>
        </w:rPr>
      </w:pPr>
      <w:bookmarkStart w:id="2" w:name="OLE_LINK490"/>
      <w:bookmarkStart w:id="3" w:name="OLE_LINK503"/>
      <w:bookmarkStart w:id="4" w:name="OLE_LINK504"/>
      <w:bookmarkEnd w:id="0"/>
      <w:bookmarkEnd w:id="1"/>
      <w:r w:rsidRPr="00A9578D">
        <w:rPr>
          <w:rFonts w:ascii="Book Antiqua" w:eastAsia="Book Antiqua" w:hAnsi="Book Antiqua" w:cs="Book Antiqua"/>
          <w:b/>
          <w:bCs/>
          <w:color w:val="000000"/>
        </w:rPr>
        <w:t>Efficacy and safety of short duration radiotherapy combined with chemotherapy for advanced rectal cancer</w:t>
      </w:r>
    </w:p>
    <w:bookmarkEnd w:id="2"/>
    <w:bookmarkEnd w:id="3"/>
    <w:bookmarkEnd w:id="4"/>
    <w:p w14:paraId="6B504C0E" w14:textId="77777777" w:rsidR="00A77B3E" w:rsidRPr="00A9578D" w:rsidRDefault="00A77B3E" w:rsidP="00A9578D">
      <w:pPr>
        <w:spacing w:line="360" w:lineRule="auto"/>
        <w:jc w:val="both"/>
        <w:rPr>
          <w:rFonts w:ascii="Book Antiqua" w:hAnsi="Book Antiqua"/>
        </w:rPr>
      </w:pPr>
    </w:p>
    <w:p w14:paraId="0282B7D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Gao SQ </w:t>
      </w:r>
      <w:r w:rsidRPr="00A9578D">
        <w:rPr>
          <w:rFonts w:ascii="Book Antiqua" w:eastAsia="Book Antiqua" w:hAnsi="Book Antiqua" w:cs="Book Antiqua"/>
          <w:i/>
          <w:iCs/>
          <w:color w:val="000000"/>
        </w:rPr>
        <w:t>et al</w:t>
      </w:r>
      <w:r w:rsidRPr="00A9578D">
        <w:rPr>
          <w:rFonts w:ascii="Book Antiqua" w:eastAsia="Book Antiqua" w:hAnsi="Book Antiqua" w:cs="Book Antiqua"/>
          <w:color w:val="000000"/>
        </w:rPr>
        <w:t xml:space="preserve">. </w:t>
      </w:r>
      <w:bookmarkStart w:id="5" w:name="OLE_LINK491"/>
      <w:bookmarkStart w:id="6" w:name="OLE_LINK492"/>
      <w:bookmarkStart w:id="7" w:name="OLE_LINK505"/>
      <w:r w:rsidRPr="00A9578D">
        <w:rPr>
          <w:rFonts w:ascii="Book Antiqua" w:eastAsia="Book Antiqua" w:hAnsi="Book Antiqua" w:cs="Book Antiqua"/>
          <w:color w:val="000000"/>
        </w:rPr>
        <w:t>Radiotherapy and chemotherapy for advanced rectal cancer</w:t>
      </w:r>
    </w:p>
    <w:bookmarkEnd w:id="5"/>
    <w:bookmarkEnd w:id="6"/>
    <w:bookmarkEnd w:id="7"/>
    <w:p w14:paraId="6BD3653B" w14:textId="77777777" w:rsidR="00A77B3E" w:rsidRPr="00A9578D" w:rsidRDefault="00A77B3E" w:rsidP="00A9578D">
      <w:pPr>
        <w:spacing w:line="360" w:lineRule="auto"/>
        <w:jc w:val="both"/>
        <w:rPr>
          <w:rFonts w:ascii="Book Antiqua" w:hAnsi="Book Antiqua"/>
        </w:rPr>
      </w:pPr>
    </w:p>
    <w:p w14:paraId="27DF7622"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Shu-Quan Gao, Ying-Chun Zhang, Chao Zhang, Sheng-Jie Wang, Wei Ren, Na Yuan, Jun-Ye Wen</w:t>
      </w:r>
    </w:p>
    <w:p w14:paraId="42C3BDE9" w14:textId="77777777" w:rsidR="00A77B3E" w:rsidRPr="00A9578D" w:rsidRDefault="00A77B3E" w:rsidP="00A9578D">
      <w:pPr>
        <w:spacing w:line="360" w:lineRule="auto"/>
        <w:jc w:val="both"/>
        <w:rPr>
          <w:rFonts w:ascii="Book Antiqua" w:hAnsi="Book Antiqua"/>
        </w:rPr>
      </w:pPr>
    </w:p>
    <w:p w14:paraId="6A59590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Shu-Quan Gao, Ying-Chun Zhang, Sheng-Jie Wang, </w:t>
      </w:r>
      <w:r w:rsidRPr="00A9578D">
        <w:rPr>
          <w:rFonts w:ascii="Book Antiqua" w:eastAsia="Book Antiqua" w:hAnsi="Book Antiqua" w:cs="Book Antiqua"/>
          <w:color w:val="000000"/>
        </w:rPr>
        <w:t xml:space="preserve">Department of Hepatobiliary Surgery, The First Affiliated Hospital of Hebei North University, Zhangjiakou 075061, Hebei Province, </w:t>
      </w:r>
      <w:bookmarkStart w:id="8" w:name="OLE_LINK493"/>
      <w:bookmarkStart w:id="9" w:name="OLE_LINK494"/>
      <w:bookmarkStart w:id="10" w:name="OLE_LINK495"/>
      <w:r w:rsidRPr="00A9578D">
        <w:rPr>
          <w:rFonts w:ascii="Book Antiqua" w:eastAsia="Book Antiqua" w:hAnsi="Book Antiqua" w:cs="Book Antiqua"/>
          <w:color w:val="000000"/>
        </w:rPr>
        <w:t>China</w:t>
      </w:r>
      <w:bookmarkEnd w:id="8"/>
      <w:bookmarkEnd w:id="9"/>
      <w:bookmarkEnd w:id="10"/>
    </w:p>
    <w:p w14:paraId="00B94307" w14:textId="77777777" w:rsidR="00A77B3E" w:rsidRPr="00A9578D" w:rsidRDefault="00A77B3E" w:rsidP="00A9578D">
      <w:pPr>
        <w:spacing w:line="360" w:lineRule="auto"/>
        <w:jc w:val="both"/>
        <w:rPr>
          <w:rFonts w:ascii="Book Antiqua" w:hAnsi="Book Antiqua"/>
        </w:rPr>
      </w:pPr>
    </w:p>
    <w:p w14:paraId="5E4D2315"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Chao Zhang, </w:t>
      </w:r>
      <w:r w:rsidRPr="00A9578D">
        <w:rPr>
          <w:rFonts w:ascii="Book Antiqua" w:eastAsia="Book Antiqua" w:hAnsi="Book Antiqua" w:cs="Book Antiqua"/>
          <w:color w:val="000000"/>
        </w:rPr>
        <w:t>Department of Interventional Medicine, The First Affiliated Hospital of Hebei North University, Zhangjiakou 075061, Hebei Province, China</w:t>
      </w:r>
    </w:p>
    <w:p w14:paraId="5047B7AB" w14:textId="77777777" w:rsidR="00A77B3E" w:rsidRPr="00A9578D" w:rsidRDefault="00A77B3E" w:rsidP="00A9578D">
      <w:pPr>
        <w:spacing w:line="360" w:lineRule="auto"/>
        <w:jc w:val="both"/>
        <w:rPr>
          <w:rFonts w:ascii="Book Antiqua" w:hAnsi="Book Antiqua"/>
        </w:rPr>
      </w:pPr>
    </w:p>
    <w:p w14:paraId="6A5DF4A8"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Wei Ren, </w:t>
      </w:r>
      <w:r w:rsidRPr="00A9578D">
        <w:rPr>
          <w:rFonts w:ascii="Book Antiqua" w:eastAsia="Book Antiqua" w:hAnsi="Book Antiqua" w:cs="Book Antiqua"/>
          <w:color w:val="000000"/>
        </w:rPr>
        <w:t>Operating Room, The First Affiliated Hospital of Hebei North University, Zhangjiakou 075061, Hebei Province, China</w:t>
      </w:r>
    </w:p>
    <w:p w14:paraId="317FD38F" w14:textId="77777777" w:rsidR="00A77B3E" w:rsidRPr="00A9578D" w:rsidRDefault="00A77B3E" w:rsidP="00A9578D">
      <w:pPr>
        <w:spacing w:line="360" w:lineRule="auto"/>
        <w:jc w:val="both"/>
        <w:rPr>
          <w:rFonts w:ascii="Book Antiqua" w:hAnsi="Book Antiqua"/>
        </w:rPr>
      </w:pPr>
    </w:p>
    <w:p w14:paraId="0FE3D876"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Na Yuan, </w:t>
      </w:r>
      <w:r w:rsidRPr="00A9578D">
        <w:rPr>
          <w:rFonts w:ascii="Book Antiqua" w:eastAsia="Book Antiqua" w:hAnsi="Book Antiqua" w:cs="Book Antiqua"/>
          <w:color w:val="000000"/>
        </w:rPr>
        <w:t>Department of Radiotherapy, The First Affiliated Hospital of Hebei North University, Zhangjiakou 075061, Hebei Province, China</w:t>
      </w:r>
    </w:p>
    <w:p w14:paraId="32F3F398" w14:textId="77777777" w:rsidR="00A77B3E" w:rsidRPr="00A9578D" w:rsidRDefault="00A77B3E" w:rsidP="00A9578D">
      <w:pPr>
        <w:spacing w:line="360" w:lineRule="auto"/>
        <w:jc w:val="both"/>
        <w:rPr>
          <w:rFonts w:ascii="Book Antiqua" w:hAnsi="Book Antiqua"/>
        </w:rPr>
      </w:pPr>
    </w:p>
    <w:p w14:paraId="53D4E80F"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Jun-Ye Wen, </w:t>
      </w:r>
      <w:r w:rsidRPr="00A9578D">
        <w:rPr>
          <w:rFonts w:ascii="Book Antiqua" w:eastAsia="Book Antiqua" w:hAnsi="Book Antiqua" w:cs="Book Antiqua"/>
          <w:color w:val="000000"/>
        </w:rPr>
        <w:t>Department of General Surgery, Hebei Provincial People’s Hospital, Shijiazhuang 050003, Hebei Province, China</w:t>
      </w:r>
    </w:p>
    <w:p w14:paraId="29D7591F" w14:textId="77777777" w:rsidR="00A77B3E" w:rsidRPr="00A9578D" w:rsidRDefault="00A77B3E" w:rsidP="00A9578D">
      <w:pPr>
        <w:spacing w:line="360" w:lineRule="auto"/>
        <w:jc w:val="both"/>
        <w:rPr>
          <w:rFonts w:ascii="Book Antiqua" w:hAnsi="Book Antiqua"/>
        </w:rPr>
      </w:pPr>
    </w:p>
    <w:p w14:paraId="4582D3A7" w14:textId="667EA4DB"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lastRenderedPageBreak/>
        <w:t xml:space="preserve">Author contributions: </w:t>
      </w:r>
      <w:bookmarkStart w:id="11" w:name="OLE_LINK506"/>
      <w:bookmarkStart w:id="12" w:name="OLE_LINK507"/>
      <w:r w:rsidRPr="00A9578D">
        <w:rPr>
          <w:rFonts w:ascii="Book Antiqua" w:eastAsia="Book Antiqua" w:hAnsi="Book Antiqua" w:cs="Book Antiqua"/>
          <w:color w:val="000000"/>
        </w:rPr>
        <w:t xml:space="preserve">Gao SQ and Zhang YC designed the study; Gao SQ, Zhang YC, </w:t>
      </w:r>
      <w:r w:rsidR="0058612F" w:rsidRPr="00A9578D">
        <w:rPr>
          <w:rFonts w:ascii="Book Antiqua" w:eastAsia="Book Antiqua" w:hAnsi="Book Antiqua" w:cs="Book Antiqua"/>
          <w:color w:val="000000"/>
        </w:rPr>
        <w:t>Zhang C, Wang SJ, Ren W, Yuan N</w:t>
      </w:r>
      <w:r w:rsidR="0058612F" w:rsidRPr="00A9578D">
        <w:rPr>
          <w:rFonts w:ascii="Book Antiqua" w:hAnsi="Book Antiqua" w:cs="Book Antiqua"/>
          <w:color w:val="000000"/>
          <w:lang w:eastAsia="zh-CN"/>
        </w:rPr>
        <w:t xml:space="preserve"> and</w:t>
      </w:r>
      <w:r w:rsidRPr="00A9578D">
        <w:rPr>
          <w:rFonts w:ascii="Book Antiqua" w:eastAsia="Book Antiqua" w:hAnsi="Book Antiqua" w:cs="Book Antiqua"/>
          <w:color w:val="000000"/>
        </w:rPr>
        <w:t xml:space="preserve"> Wen JY collected the data and materials as well as analyzed the data; all authors wrote the manuscript; Gao SQ and Zhang YC reviewed the manuscript; </w:t>
      </w:r>
      <w:r w:rsidR="00411304">
        <w:rPr>
          <w:rFonts w:ascii="Book Antiqua" w:eastAsia="Book Antiqua" w:hAnsi="Book Antiqua" w:cs="Book Antiqua"/>
          <w:color w:val="000000"/>
        </w:rPr>
        <w:t>All authors approved t</w:t>
      </w:r>
      <w:r w:rsidRPr="00A9578D">
        <w:rPr>
          <w:rFonts w:ascii="Book Antiqua" w:eastAsia="Book Antiqua" w:hAnsi="Book Antiqua" w:cs="Book Antiqua"/>
          <w:color w:val="000000"/>
        </w:rPr>
        <w:t>he final version of the manuscript.</w:t>
      </w:r>
    </w:p>
    <w:bookmarkEnd w:id="11"/>
    <w:bookmarkEnd w:id="12"/>
    <w:p w14:paraId="46FE7BE5" w14:textId="77777777" w:rsidR="00A77B3E" w:rsidRPr="00A9578D" w:rsidRDefault="00A77B3E" w:rsidP="00A9578D">
      <w:pPr>
        <w:spacing w:line="360" w:lineRule="auto"/>
        <w:jc w:val="both"/>
        <w:rPr>
          <w:rFonts w:ascii="Book Antiqua" w:hAnsi="Book Antiqua"/>
        </w:rPr>
      </w:pPr>
    </w:p>
    <w:p w14:paraId="2BE3CBF2"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Supported by </w:t>
      </w:r>
      <w:r w:rsidR="00C47DCF" w:rsidRPr="00A9578D">
        <w:rPr>
          <w:rFonts w:ascii="Book Antiqua" w:hAnsi="Book Antiqua" w:cs="Book Antiqua"/>
          <w:bCs/>
          <w:color w:val="000000"/>
          <w:lang w:eastAsia="zh-CN"/>
        </w:rPr>
        <w:t>t</w:t>
      </w:r>
      <w:bookmarkStart w:id="13" w:name="OLE_LINK508"/>
      <w:r w:rsidR="00C47DCF" w:rsidRPr="00A9578D">
        <w:rPr>
          <w:rFonts w:ascii="Book Antiqua" w:hAnsi="Book Antiqua" w:cs="Book Antiqua"/>
          <w:bCs/>
          <w:color w:val="000000"/>
          <w:lang w:eastAsia="zh-CN"/>
        </w:rPr>
        <w:t>he</w:t>
      </w:r>
      <w:r w:rsidR="00C47DCF" w:rsidRPr="00A9578D">
        <w:rPr>
          <w:rFonts w:ascii="Book Antiqua" w:hAnsi="Book Antiqua" w:cs="Book Antiqua"/>
          <w:b/>
          <w:bCs/>
          <w:color w:val="000000"/>
          <w:lang w:eastAsia="zh-CN"/>
        </w:rPr>
        <w:t xml:space="preserve"> </w:t>
      </w:r>
      <w:r w:rsidRPr="00A9578D">
        <w:rPr>
          <w:rFonts w:ascii="Book Antiqua" w:eastAsia="Book Antiqua" w:hAnsi="Book Antiqua" w:cs="Book Antiqua"/>
          <w:color w:val="000000"/>
        </w:rPr>
        <w:t>Key Science and Technology Program of Zhangjiakou, No. 1921132H</w:t>
      </w:r>
      <w:bookmarkEnd w:id="13"/>
      <w:r w:rsidRPr="00A9578D">
        <w:rPr>
          <w:rFonts w:ascii="Book Antiqua" w:eastAsia="Book Antiqua" w:hAnsi="Book Antiqua" w:cs="Book Antiqua"/>
          <w:color w:val="000000"/>
        </w:rPr>
        <w:t>.</w:t>
      </w:r>
    </w:p>
    <w:p w14:paraId="5D13CEE4" w14:textId="77777777" w:rsidR="00A77B3E" w:rsidRPr="00A9578D" w:rsidRDefault="00A77B3E" w:rsidP="00A9578D">
      <w:pPr>
        <w:spacing w:line="360" w:lineRule="auto"/>
        <w:jc w:val="both"/>
        <w:rPr>
          <w:rFonts w:ascii="Book Antiqua" w:hAnsi="Book Antiqua"/>
        </w:rPr>
      </w:pPr>
    </w:p>
    <w:p w14:paraId="5BF4E1B6"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Corresponding author: Ying-Chun Zhang, MSc, Associate Chief Physician, Associate Professor, </w:t>
      </w:r>
      <w:r w:rsidRPr="00A9578D">
        <w:rPr>
          <w:rFonts w:ascii="Book Antiqua" w:eastAsia="Book Antiqua" w:hAnsi="Book Antiqua" w:cs="Book Antiqua"/>
          <w:color w:val="000000"/>
        </w:rPr>
        <w:t>Department of Hepatobiliary Surgery, The First Affiliated Hospital of</w:t>
      </w:r>
      <w:r w:rsidR="009003DC" w:rsidRPr="00A9578D">
        <w:rPr>
          <w:rFonts w:ascii="Book Antiqua" w:eastAsia="Book Antiqua" w:hAnsi="Book Antiqua" w:cs="Book Antiqua"/>
          <w:color w:val="000000"/>
        </w:rPr>
        <w:t xml:space="preserve"> Hebei North University, No. 12</w:t>
      </w:r>
      <w:r w:rsidRPr="00A9578D">
        <w:rPr>
          <w:rFonts w:ascii="Book Antiqua" w:eastAsia="Book Antiqua" w:hAnsi="Book Antiqua" w:cs="Book Antiqua"/>
          <w:color w:val="000000"/>
        </w:rPr>
        <w:t xml:space="preserve"> Changqing Road, Qiaoxi District, Zhangjiakou 075061, Hebei Province, China. zhyingchun@sina.cn</w:t>
      </w:r>
    </w:p>
    <w:p w14:paraId="5C83D7A3" w14:textId="77777777" w:rsidR="00A77B3E" w:rsidRPr="00A9578D" w:rsidRDefault="00A77B3E" w:rsidP="00A9578D">
      <w:pPr>
        <w:spacing w:line="360" w:lineRule="auto"/>
        <w:jc w:val="both"/>
        <w:rPr>
          <w:rFonts w:ascii="Book Antiqua" w:hAnsi="Book Antiqua"/>
        </w:rPr>
      </w:pPr>
    </w:p>
    <w:p w14:paraId="48F45DDC"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Received: </w:t>
      </w:r>
      <w:bookmarkStart w:id="14" w:name="OLE_LINK1"/>
      <w:bookmarkStart w:id="15" w:name="OLE_LINK2"/>
      <w:r w:rsidRPr="00A9578D">
        <w:rPr>
          <w:rFonts w:ascii="Book Antiqua" w:eastAsia="Book Antiqua" w:hAnsi="Book Antiqua" w:cs="Book Antiqua"/>
          <w:color w:val="000000"/>
        </w:rPr>
        <w:t xml:space="preserve">December </w:t>
      </w:r>
      <w:bookmarkEnd w:id="14"/>
      <w:bookmarkEnd w:id="15"/>
      <w:r w:rsidRPr="00A9578D">
        <w:rPr>
          <w:rFonts w:ascii="Book Antiqua" w:eastAsia="Book Antiqua" w:hAnsi="Book Antiqua" w:cs="Book Antiqua"/>
          <w:color w:val="000000"/>
        </w:rPr>
        <w:t>3, 2020</w:t>
      </w:r>
    </w:p>
    <w:p w14:paraId="61C18C00" w14:textId="77777777" w:rsidR="00A77B3E" w:rsidRPr="00A9578D" w:rsidRDefault="008F2839" w:rsidP="00A9578D">
      <w:pPr>
        <w:spacing w:line="360" w:lineRule="auto"/>
        <w:jc w:val="both"/>
        <w:rPr>
          <w:rFonts w:ascii="Book Antiqua" w:hAnsi="Book Antiqua"/>
          <w:lang w:eastAsia="zh-CN"/>
        </w:rPr>
      </w:pPr>
      <w:r w:rsidRPr="00A9578D">
        <w:rPr>
          <w:rFonts w:ascii="Book Antiqua" w:eastAsia="Book Antiqua" w:hAnsi="Book Antiqua" w:cs="Book Antiqua"/>
          <w:b/>
          <w:bCs/>
          <w:color w:val="000000"/>
        </w:rPr>
        <w:t xml:space="preserve">Revised: </w:t>
      </w:r>
      <w:r w:rsidR="0058612F" w:rsidRPr="00A9578D">
        <w:rPr>
          <w:rFonts w:ascii="Book Antiqua" w:eastAsia="Book Antiqua" w:hAnsi="Book Antiqua" w:cs="Book Antiqua"/>
          <w:color w:val="000000"/>
        </w:rPr>
        <w:t>December</w:t>
      </w:r>
      <w:r w:rsidR="0058612F" w:rsidRPr="00A9578D">
        <w:rPr>
          <w:rFonts w:ascii="Book Antiqua" w:hAnsi="Book Antiqua" w:cs="Book Antiqua"/>
          <w:color w:val="000000"/>
          <w:lang w:eastAsia="zh-CN"/>
        </w:rPr>
        <w:t xml:space="preserve"> 28, 2020</w:t>
      </w:r>
    </w:p>
    <w:p w14:paraId="5924B5FD" w14:textId="35C9D50F"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Accepted: </w:t>
      </w:r>
      <w:r w:rsidR="00E97734" w:rsidRPr="00A9578D">
        <w:rPr>
          <w:rFonts w:ascii="Book Antiqua" w:eastAsia="Book Antiqua" w:hAnsi="Book Antiqua" w:cs="Book Antiqua"/>
          <w:color w:val="000000"/>
        </w:rPr>
        <w:t>January 15, 2021</w:t>
      </w:r>
    </w:p>
    <w:p w14:paraId="70668A84"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Published online: </w:t>
      </w:r>
    </w:p>
    <w:p w14:paraId="28DCE177" w14:textId="77777777" w:rsidR="00A77B3E" w:rsidRPr="00A9578D" w:rsidRDefault="00A77B3E" w:rsidP="00A9578D">
      <w:pPr>
        <w:spacing w:line="360" w:lineRule="auto"/>
        <w:jc w:val="both"/>
        <w:rPr>
          <w:rFonts w:ascii="Book Antiqua" w:hAnsi="Book Antiqua"/>
        </w:rPr>
        <w:sectPr w:rsidR="00A77B3E" w:rsidRPr="00A9578D">
          <w:footerReference w:type="default" r:id="rId6"/>
          <w:pgSz w:w="12240" w:h="15840"/>
          <w:pgMar w:top="1440" w:right="1440" w:bottom="1440" w:left="1440" w:header="720" w:footer="720" w:gutter="0"/>
          <w:cols w:space="720"/>
          <w:docGrid w:linePitch="360"/>
        </w:sectPr>
      </w:pPr>
    </w:p>
    <w:p w14:paraId="3CC26148"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lastRenderedPageBreak/>
        <w:t>Abstract</w:t>
      </w:r>
    </w:p>
    <w:p w14:paraId="081AD2D6"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BACKGROUND</w:t>
      </w:r>
    </w:p>
    <w:p w14:paraId="081720C1" w14:textId="1D65C48D" w:rsidR="00A77B3E" w:rsidRPr="00A9578D" w:rsidRDefault="008F2839" w:rsidP="00A9578D">
      <w:pPr>
        <w:spacing w:line="360" w:lineRule="auto"/>
        <w:jc w:val="both"/>
        <w:rPr>
          <w:rFonts w:ascii="Book Antiqua" w:hAnsi="Book Antiqua"/>
        </w:rPr>
      </w:pPr>
      <w:bookmarkStart w:id="16" w:name="OLE_LINK512"/>
      <w:bookmarkStart w:id="17" w:name="OLE_LINK513"/>
      <w:bookmarkStart w:id="18" w:name="OLE_LINK514"/>
      <w:r w:rsidRPr="00A9578D">
        <w:rPr>
          <w:rFonts w:ascii="Book Antiqua" w:eastAsia="Book Antiqua" w:hAnsi="Book Antiqua" w:cs="Book Antiqua"/>
          <w:color w:val="000000"/>
        </w:rPr>
        <w:t xml:space="preserve">Radiotherapy or chemoradiotherapy </w:t>
      </w:r>
      <w:r w:rsidR="00D628AD">
        <w:rPr>
          <w:rFonts w:ascii="Book Antiqua" w:eastAsia="Book Antiqua" w:hAnsi="Book Antiqua" w:cs="Book Antiqua"/>
          <w:color w:val="000000"/>
        </w:rPr>
        <w:t>i</w:t>
      </w:r>
      <w:r w:rsidRPr="00A9578D">
        <w:rPr>
          <w:rFonts w:ascii="Book Antiqua" w:eastAsia="Book Antiqua" w:hAnsi="Book Antiqua" w:cs="Book Antiqua"/>
          <w:color w:val="000000"/>
        </w:rPr>
        <w:t xml:space="preserve">s widely used for the treatment of rectal cancer preoperatively. Although the combination of radiotherapy and chemotherapy as an established preoperative neoadjuvant therapy shows high efficacy in the treatment of rectal cancer, some patients experience a response of poor tolerance and outcomes due to the long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radiotherapy. </w:t>
      </w:r>
      <w:r w:rsidR="00F837CB" w:rsidRPr="00A9578D">
        <w:rPr>
          <w:rFonts w:ascii="Book Antiqua" w:eastAsia="Book Antiqua" w:hAnsi="Book Antiqua" w:cs="Book Antiqua"/>
          <w:color w:val="000000"/>
        </w:rPr>
        <w:t>The study compared short</w:t>
      </w:r>
      <w:r w:rsidR="00B52ECA">
        <w:rPr>
          <w:rFonts w:ascii="Book Antiqua" w:eastAsia="Book Antiqua" w:hAnsi="Book Antiqua" w:cs="Book Antiqua"/>
          <w:color w:val="000000"/>
        </w:rPr>
        <w:t xml:space="preserve"> duration</w:t>
      </w:r>
      <w:r w:rsidR="00F837CB" w:rsidRPr="00A9578D">
        <w:rPr>
          <w:rFonts w:ascii="Book Antiqua" w:eastAsia="Book Antiqua" w:hAnsi="Book Antiqua" w:cs="Book Antiqua"/>
          <w:color w:val="000000"/>
        </w:rPr>
        <w:t xml:space="preserve"> radiotherapy plus chemotherapy </w:t>
      </w:r>
      <w:r w:rsidR="00F837CB" w:rsidRPr="00A9578D">
        <w:rPr>
          <w:rFonts w:ascii="Book Antiqua" w:eastAsia="Book Antiqua" w:hAnsi="Book Antiqua" w:cs="Book Antiqua"/>
          <w:i/>
          <w:iCs/>
          <w:color w:val="000000"/>
        </w:rPr>
        <w:t>vs</w:t>
      </w:r>
      <w:r w:rsidR="00F837CB" w:rsidRPr="00A9578D">
        <w:rPr>
          <w:rFonts w:ascii="Book Antiqua" w:eastAsia="Book Antiqua" w:hAnsi="Book Antiqua" w:cs="Book Antiqua"/>
          <w:color w:val="000000"/>
        </w:rPr>
        <w:t xml:space="preserve"> long</w:t>
      </w:r>
      <w:r w:rsidR="00B52ECA">
        <w:rPr>
          <w:rFonts w:ascii="Book Antiqua" w:eastAsia="Book Antiqua" w:hAnsi="Book Antiqua" w:cs="Book Antiqua"/>
          <w:color w:val="000000"/>
        </w:rPr>
        <w:t xml:space="preserve"> duration</w:t>
      </w:r>
      <w:r w:rsidR="00F837CB" w:rsidRPr="00A9578D">
        <w:rPr>
          <w:rFonts w:ascii="Book Antiqua" w:eastAsia="Book Antiqua" w:hAnsi="Book Antiqua" w:cs="Book Antiqua"/>
          <w:color w:val="000000"/>
        </w:rPr>
        <w:t xml:space="preserve"> radiotherapy plus chemotherapy for rectal cancer</w:t>
      </w:r>
      <w:r w:rsidR="00F837CB">
        <w:rPr>
          <w:rFonts w:ascii="Book Antiqua" w:eastAsia="Book Antiqua" w:hAnsi="Book Antiqua" w:cs="Book Antiqua"/>
          <w:color w:val="000000"/>
        </w:rPr>
        <w:t xml:space="preserve"> to determine </w:t>
      </w:r>
      <w:r w:rsidR="00F837CB">
        <w:rPr>
          <w:rFonts w:ascii="Book Antiqua" w:eastAsia="Book Antiqua" w:hAnsi="Book Antiqua" w:cs="Book Antiqua"/>
          <w:color w:val="000000"/>
        </w:rPr>
        <w:t>w</w:t>
      </w:r>
      <w:r w:rsidRPr="00A9578D">
        <w:rPr>
          <w:rFonts w:ascii="Book Antiqua" w:eastAsia="Book Antiqua" w:hAnsi="Book Antiqua" w:cs="Book Antiqua"/>
          <w:color w:val="000000"/>
        </w:rPr>
        <w:t>hether short</w:t>
      </w:r>
      <w:r w:rsidR="00B52ECA">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radiation treatment should be considered to diminish complications, reduce risk of recurrence and improve survival in patients with rectal cancer</w:t>
      </w:r>
      <w:r w:rsidR="00FA2E8E">
        <w:rPr>
          <w:rFonts w:ascii="Book Antiqua" w:eastAsia="Book Antiqua" w:hAnsi="Book Antiqua" w:cs="Book Antiqua"/>
          <w:color w:val="000000"/>
        </w:rPr>
        <w:t>.</w:t>
      </w:r>
      <w:r w:rsidRPr="00A9578D">
        <w:rPr>
          <w:rFonts w:ascii="Book Antiqua" w:eastAsia="Book Antiqua" w:hAnsi="Book Antiqua" w:cs="Book Antiqua"/>
          <w:color w:val="000000"/>
        </w:rPr>
        <w:t xml:space="preserve"> </w:t>
      </w:r>
    </w:p>
    <w:p w14:paraId="7A504AC0" w14:textId="77777777" w:rsidR="00A77B3E" w:rsidRPr="00A9578D" w:rsidRDefault="00A77B3E" w:rsidP="00A9578D">
      <w:pPr>
        <w:spacing w:line="360" w:lineRule="auto"/>
        <w:jc w:val="both"/>
        <w:rPr>
          <w:rFonts w:ascii="Book Antiqua" w:hAnsi="Book Antiqua"/>
        </w:rPr>
      </w:pPr>
    </w:p>
    <w:bookmarkEnd w:id="16"/>
    <w:bookmarkEnd w:id="17"/>
    <w:bookmarkEnd w:id="18"/>
    <w:p w14:paraId="7550A241"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AIM</w:t>
      </w:r>
    </w:p>
    <w:p w14:paraId="316D9738" w14:textId="77777777" w:rsidR="00A77B3E" w:rsidRPr="00A9578D" w:rsidRDefault="008F2839" w:rsidP="00A9578D">
      <w:pPr>
        <w:spacing w:line="360" w:lineRule="auto"/>
        <w:jc w:val="both"/>
        <w:rPr>
          <w:rFonts w:ascii="Book Antiqua" w:hAnsi="Book Antiqua"/>
        </w:rPr>
      </w:pPr>
      <w:bookmarkStart w:id="19" w:name="OLE_LINK515"/>
      <w:bookmarkStart w:id="20" w:name="OLE_LINK516"/>
      <w:r w:rsidRPr="00A9578D">
        <w:rPr>
          <w:rFonts w:ascii="Book Antiqua" w:eastAsia="Book Antiqua" w:hAnsi="Book Antiqua" w:cs="Book Antiqua"/>
          <w:color w:val="000000"/>
        </w:rPr>
        <w:t>To evaluate the efficacy and safety of short duration radiotherapy combined with chemotherapy for the treatment of advanced rectal cancer.</w:t>
      </w:r>
    </w:p>
    <w:p w14:paraId="544EFFB5" w14:textId="77777777" w:rsidR="00A77B3E" w:rsidRPr="00A9578D" w:rsidRDefault="00A77B3E" w:rsidP="00A9578D">
      <w:pPr>
        <w:spacing w:line="360" w:lineRule="auto"/>
        <w:jc w:val="both"/>
        <w:rPr>
          <w:rFonts w:ascii="Book Antiqua" w:hAnsi="Book Antiqua"/>
        </w:rPr>
      </w:pPr>
    </w:p>
    <w:bookmarkEnd w:id="19"/>
    <w:bookmarkEnd w:id="20"/>
    <w:p w14:paraId="75B49DB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METHODS</w:t>
      </w:r>
    </w:p>
    <w:p w14:paraId="2D1362F4" w14:textId="4A57F9AF" w:rsidR="00A77B3E" w:rsidRPr="00A9578D" w:rsidRDefault="008F2839" w:rsidP="00A9578D">
      <w:pPr>
        <w:spacing w:line="360" w:lineRule="auto"/>
        <w:jc w:val="both"/>
        <w:rPr>
          <w:rFonts w:ascii="Book Antiqua" w:hAnsi="Book Antiqua"/>
        </w:rPr>
      </w:pPr>
      <w:bookmarkStart w:id="21" w:name="OLE_LINK517"/>
      <w:bookmarkStart w:id="22" w:name="OLE_LINK518"/>
      <w:bookmarkStart w:id="23" w:name="OLE_LINK519"/>
      <w:r w:rsidRPr="00A9578D">
        <w:rPr>
          <w:rFonts w:ascii="Book Antiqua" w:eastAsia="Book Antiqua" w:hAnsi="Book Antiqua" w:cs="Book Antiqua"/>
          <w:color w:val="000000"/>
        </w:rPr>
        <w:t xml:space="preserve">One hundred patients with stage IIIB or </w:t>
      </w:r>
      <w:r w:rsidR="00FA2E8E">
        <w:rPr>
          <w:rFonts w:ascii="Book Antiqua" w:eastAsia="Book Antiqua" w:hAnsi="Book Antiqua" w:cs="Book Antiqua"/>
          <w:color w:val="000000"/>
        </w:rPr>
        <w:t>higher</w:t>
      </w:r>
      <w:r w:rsidRPr="00A9578D">
        <w:rPr>
          <w:rFonts w:ascii="Book Antiqua" w:eastAsia="Book Antiqua" w:hAnsi="Book Antiqua" w:cs="Book Antiqua"/>
          <w:color w:val="000000"/>
        </w:rPr>
        <w:t xml:space="preserve"> severe rectal cancer were selected as the study subjects at The First Affiliated Hospital of Hebei North University between December 2018 and December 2019. The patients were assigned to different groups based on the treatment regimens. Fifty patients who received preoperative short durations of radiotherapy plus chemotherapy were enrolled in an observation group and</w:t>
      </w:r>
      <w:r w:rsidR="00CF3711">
        <w:rPr>
          <w:rFonts w:ascii="Book Antiqua" w:eastAsia="Book Antiqua" w:hAnsi="Book Antiqua" w:cs="Book Antiqua"/>
          <w:color w:val="000000"/>
        </w:rPr>
        <w:t xml:space="preserve"> fifty</w:t>
      </w:r>
      <w:r w:rsidRPr="00A9578D">
        <w:rPr>
          <w:rFonts w:ascii="Book Antiqua" w:eastAsia="Book Antiqua" w:hAnsi="Book Antiqua" w:cs="Book Antiqua"/>
          <w:color w:val="000000"/>
        </w:rPr>
        <w:t xml:space="preserve"> patients who received conventional radiotherapy and chemotherapy were enrolled in a control group. Colonoscopic biopsy was performed for all patients with pathological diagnosis of rectal cancer. The expression of tumor-related factors such as RUNX3 and Ki-67 was quantitatively analyzed using immunohistochemistry in the tissues of the patients before and after treatment. Moreover, the duration of procedure, the amount of bleeding during the operation, the anus-conserving rate, the incidence of postoperative complications (wound infection, anastomotic leakage, postoperative intestinal obstruction, </w:t>
      </w:r>
      <w:r w:rsidRPr="00A9578D">
        <w:rPr>
          <w:rFonts w:ascii="Book Antiqua" w:eastAsia="Book Antiqua" w:hAnsi="Book Antiqua" w:cs="Book Antiqua"/>
          <w:i/>
          <w:iCs/>
          <w:color w:val="000000"/>
        </w:rPr>
        <w:t>etc</w:t>
      </w:r>
      <w:r w:rsidRPr="00A9578D">
        <w:rPr>
          <w:rFonts w:ascii="Book Antiqua" w:eastAsia="Book Antiqua" w:hAnsi="Book Antiqua" w:cs="Book Antiqua"/>
          <w:color w:val="000000"/>
        </w:rPr>
        <w:t xml:space="preserve">.) and postoperative pathology were compared between the two groups. The overall survival </w:t>
      </w:r>
      <w:r w:rsidRPr="00A9578D">
        <w:rPr>
          <w:rFonts w:ascii="Book Antiqua" w:eastAsia="Book Antiqua" w:hAnsi="Book Antiqua" w:cs="Book Antiqua"/>
          <w:color w:val="000000"/>
        </w:rPr>
        <w:lastRenderedPageBreak/>
        <w:t xml:space="preserve">rate, recurrence rate and distant metastasis rate were also compared through postoperative reexamination and regular follow-up. </w:t>
      </w:r>
    </w:p>
    <w:bookmarkEnd w:id="21"/>
    <w:bookmarkEnd w:id="22"/>
    <w:bookmarkEnd w:id="23"/>
    <w:p w14:paraId="5BC7ECA7" w14:textId="77777777" w:rsidR="00A77B3E" w:rsidRPr="00A9578D" w:rsidRDefault="00A77B3E" w:rsidP="00A9578D">
      <w:pPr>
        <w:spacing w:line="360" w:lineRule="auto"/>
        <w:jc w:val="both"/>
        <w:rPr>
          <w:rFonts w:ascii="Book Antiqua" w:hAnsi="Book Antiqua"/>
        </w:rPr>
      </w:pPr>
    </w:p>
    <w:p w14:paraId="1FCE9D7C"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RESULTS</w:t>
      </w:r>
    </w:p>
    <w:p w14:paraId="547C5737" w14:textId="511B471C" w:rsidR="00A77B3E" w:rsidRPr="00A9578D" w:rsidRDefault="008F2839" w:rsidP="00A9578D">
      <w:pPr>
        <w:spacing w:line="360" w:lineRule="auto"/>
        <w:jc w:val="both"/>
        <w:rPr>
          <w:rFonts w:ascii="Book Antiqua" w:hAnsi="Book Antiqua"/>
        </w:rPr>
      </w:pPr>
      <w:bookmarkStart w:id="24" w:name="OLE_LINK520"/>
      <w:bookmarkStart w:id="25" w:name="OLE_LINK521"/>
      <w:r w:rsidRPr="00A9578D">
        <w:rPr>
          <w:rFonts w:ascii="Book Antiqua" w:eastAsia="Book Antiqua" w:hAnsi="Book Antiqua" w:cs="Book Antiqua"/>
          <w:color w:val="000000"/>
        </w:rPr>
        <w:t>There was no significant difference in the positive expression rate of RUNX3 and Ki-67 between the two groups before the treatment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&gt; 0.05). Compared with the pretreatment value, the positive rate of RUNX3 was increased and the positive rate of Ki-67 was decreased in both groups after the treatment (all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&lt; 0.05). The incidence of leukopenia, thrombocytopenia, neutropenia and diarrhea were higher in the observation group than in the control group (all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&lt; 0.05). There was no significant difference in the incidence of anemia, fatigue, neurotoxicity and nausea and vomiting between the two groups (all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&gt; 0.05). No significant difference was observed in the duration of procedure, intraoperative bleeding, the anus-conserving rate and the incidence of postoperative complications between the two groups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&gt; 0.05). After </w:t>
      </w:r>
      <w:r w:rsidR="00411304">
        <w:rPr>
          <w:rFonts w:ascii="Book Antiqua" w:eastAsia="Book Antiqua" w:hAnsi="Book Antiqua" w:cs="Book Antiqua"/>
          <w:color w:val="000000"/>
        </w:rPr>
        <w:t>1</w:t>
      </w:r>
      <w:r w:rsidR="00411304"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year of follow-up, the 1-yr survival rate was 80.0% in the observation group and 68.0% in the control group</w:t>
      </w:r>
      <w:r w:rsidR="00C02942">
        <w:rPr>
          <w:rFonts w:ascii="Book Antiqua" w:eastAsia="Book Antiqua" w:hAnsi="Book Antiqua" w:cs="Book Antiqua"/>
          <w:color w:val="000000"/>
        </w:rPr>
        <w:t>,</w:t>
      </w:r>
      <w:r w:rsidRPr="00A9578D">
        <w:rPr>
          <w:rFonts w:ascii="Book Antiqua" w:eastAsia="Book Antiqua" w:hAnsi="Book Antiqua" w:cs="Book Antiqua"/>
          <w:color w:val="000000"/>
        </w:rPr>
        <w:t xml:space="preserve"> the recurrence rate was 8.0% in the observation group and 10.0% in the control group</w:t>
      </w:r>
      <w:r w:rsidR="00C02942">
        <w:rPr>
          <w:rFonts w:ascii="Book Antiqua" w:eastAsia="Book Antiqua" w:hAnsi="Book Antiqua" w:cs="Book Antiqua"/>
          <w:color w:val="000000"/>
        </w:rPr>
        <w:t>,</w:t>
      </w:r>
      <w:r w:rsidRPr="00A9578D">
        <w:rPr>
          <w:rFonts w:ascii="Book Antiqua" w:eastAsia="Book Antiqua" w:hAnsi="Book Antiqua" w:cs="Book Antiqua"/>
          <w:color w:val="000000"/>
        </w:rPr>
        <w:t xml:space="preserve"> the distant metastasis rate was 6.0% in the observation group and 8.0% in the control group difference (all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&lt; 0.05). </w:t>
      </w:r>
    </w:p>
    <w:bookmarkEnd w:id="24"/>
    <w:bookmarkEnd w:id="25"/>
    <w:p w14:paraId="412AC986" w14:textId="77777777" w:rsidR="00A77B3E" w:rsidRPr="00A9578D" w:rsidRDefault="00A77B3E" w:rsidP="00A9578D">
      <w:pPr>
        <w:spacing w:line="360" w:lineRule="auto"/>
        <w:jc w:val="both"/>
        <w:rPr>
          <w:rFonts w:ascii="Book Antiqua" w:hAnsi="Book Antiqua"/>
        </w:rPr>
      </w:pPr>
    </w:p>
    <w:p w14:paraId="2181ECC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CONCLUSION</w:t>
      </w:r>
    </w:p>
    <w:p w14:paraId="106552A1" w14:textId="33E905D0" w:rsidR="00A77B3E" w:rsidRPr="00A9578D" w:rsidRDefault="008F2839" w:rsidP="00A9578D">
      <w:pPr>
        <w:spacing w:line="360" w:lineRule="auto"/>
        <w:jc w:val="both"/>
        <w:rPr>
          <w:rFonts w:ascii="Book Antiqua" w:hAnsi="Book Antiqua"/>
        </w:rPr>
      </w:pPr>
      <w:bookmarkStart w:id="26" w:name="OLE_LINK522"/>
      <w:bookmarkStart w:id="27" w:name="OLE_LINK523"/>
      <w:r w:rsidRPr="00A9578D">
        <w:rPr>
          <w:rFonts w:ascii="Book Antiqua" w:eastAsia="Book Antiqua" w:hAnsi="Book Antiqua" w:cs="Book Antiqua"/>
          <w:color w:val="000000"/>
        </w:rPr>
        <w:t>Short</w:t>
      </w:r>
      <w:r w:rsidR="00D408A4">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radiotherapy combined with chemotherapy can improve the cure rate, prolong the survival time and reduce the incidence of complications in patients with advanced rectal cancer.</w:t>
      </w:r>
    </w:p>
    <w:bookmarkEnd w:id="26"/>
    <w:bookmarkEnd w:id="27"/>
    <w:p w14:paraId="1A1FB724" w14:textId="77777777" w:rsidR="00A77B3E" w:rsidRPr="00A9578D" w:rsidRDefault="00A77B3E" w:rsidP="00A9578D">
      <w:pPr>
        <w:spacing w:line="360" w:lineRule="auto"/>
        <w:jc w:val="both"/>
        <w:rPr>
          <w:rFonts w:ascii="Book Antiqua" w:hAnsi="Book Antiqua"/>
        </w:rPr>
      </w:pPr>
    </w:p>
    <w:p w14:paraId="4DC1B2F3" w14:textId="5D9BB8E6" w:rsidR="00A77B3E" w:rsidRPr="00A9578D" w:rsidRDefault="008F2839" w:rsidP="00A9578D">
      <w:pPr>
        <w:spacing w:line="360" w:lineRule="auto"/>
        <w:jc w:val="both"/>
        <w:rPr>
          <w:rFonts w:ascii="Book Antiqua" w:hAnsi="Book Antiqua"/>
          <w:lang w:eastAsia="zh-CN"/>
        </w:rPr>
      </w:pPr>
      <w:r w:rsidRPr="00A9578D">
        <w:rPr>
          <w:rFonts w:ascii="Book Antiqua" w:eastAsia="Book Antiqua" w:hAnsi="Book Antiqua" w:cs="Book Antiqua"/>
          <w:b/>
          <w:bCs/>
          <w:color w:val="000000"/>
        </w:rPr>
        <w:t xml:space="preserve">Key Words: </w:t>
      </w:r>
      <w:bookmarkStart w:id="28" w:name="OLE_LINK498"/>
      <w:bookmarkStart w:id="29" w:name="OLE_LINK499"/>
      <w:bookmarkStart w:id="30" w:name="OLE_LINK509"/>
      <w:r w:rsidRPr="00A9578D">
        <w:rPr>
          <w:rFonts w:ascii="Book Antiqua" w:eastAsia="Book Antiqua" w:hAnsi="Book Antiqua" w:cs="Book Antiqua"/>
          <w:color w:val="000000"/>
        </w:rPr>
        <w:t>Short course radiotherapy; Chemotherapy; Advanced rectal cancer; Runx3; Ki-67</w:t>
      </w:r>
    </w:p>
    <w:bookmarkEnd w:id="28"/>
    <w:bookmarkEnd w:id="29"/>
    <w:bookmarkEnd w:id="30"/>
    <w:p w14:paraId="1AFAEA13" w14:textId="77777777" w:rsidR="00A77B3E" w:rsidRPr="00A9578D" w:rsidRDefault="00A77B3E" w:rsidP="00A9578D">
      <w:pPr>
        <w:spacing w:line="360" w:lineRule="auto"/>
        <w:jc w:val="both"/>
        <w:rPr>
          <w:rFonts w:ascii="Book Antiqua" w:hAnsi="Book Antiqua"/>
        </w:rPr>
      </w:pPr>
    </w:p>
    <w:p w14:paraId="26F28D8E" w14:textId="77777777" w:rsidR="00A77B3E" w:rsidRPr="00A9578D" w:rsidRDefault="008F2839" w:rsidP="00A9578D">
      <w:pPr>
        <w:spacing w:line="360" w:lineRule="auto"/>
        <w:jc w:val="both"/>
        <w:rPr>
          <w:rFonts w:ascii="Book Antiqua" w:hAnsi="Book Antiqua"/>
        </w:rPr>
      </w:pPr>
      <w:bookmarkStart w:id="31" w:name="OLE_LINK500"/>
      <w:r w:rsidRPr="00A9578D">
        <w:rPr>
          <w:rFonts w:ascii="Book Antiqua" w:eastAsia="Book Antiqua" w:hAnsi="Book Antiqua" w:cs="Book Antiqua"/>
          <w:color w:val="000000"/>
        </w:rPr>
        <w:t xml:space="preserve">Gao SQ, Zhang YC, Zhang C, Wang SJ, Ren W, Yuan N, Wen JY. Efficacy and safety of short duration radiotherapy combined with chemotherapy for advanced rectal cancer. </w:t>
      </w:r>
      <w:r w:rsidRPr="00A9578D">
        <w:rPr>
          <w:rFonts w:ascii="Book Antiqua" w:eastAsia="Book Antiqua" w:hAnsi="Book Antiqua" w:cs="Book Antiqua"/>
          <w:i/>
          <w:iCs/>
          <w:color w:val="000000"/>
        </w:rPr>
        <w:t>World J Clin Cases</w:t>
      </w:r>
      <w:r w:rsidRPr="00A9578D">
        <w:rPr>
          <w:rFonts w:ascii="Book Antiqua" w:eastAsia="Book Antiqua" w:hAnsi="Book Antiqua" w:cs="Book Antiqua"/>
          <w:color w:val="000000"/>
        </w:rPr>
        <w:t xml:space="preserve"> 202</w:t>
      </w:r>
      <w:r w:rsidR="007A68FB" w:rsidRPr="00A9578D">
        <w:rPr>
          <w:rFonts w:ascii="Book Antiqua" w:eastAsia="Book Antiqua" w:hAnsi="Book Antiqua" w:cs="Book Antiqua"/>
          <w:color w:val="000000"/>
        </w:rPr>
        <w:t>1</w:t>
      </w:r>
      <w:r w:rsidRPr="00A9578D">
        <w:rPr>
          <w:rFonts w:ascii="Book Antiqua" w:eastAsia="Book Antiqua" w:hAnsi="Book Antiqua" w:cs="Book Antiqua"/>
          <w:color w:val="000000"/>
        </w:rPr>
        <w:t>; In press</w:t>
      </w:r>
    </w:p>
    <w:bookmarkEnd w:id="31"/>
    <w:p w14:paraId="422D5255" w14:textId="77777777" w:rsidR="00A77B3E" w:rsidRPr="00A9578D" w:rsidRDefault="00A77B3E" w:rsidP="00A9578D">
      <w:pPr>
        <w:spacing w:line="360" w:lineRule="auto"/>
        <w:jc w:val="both"/>
        <w:rPr>
          <w:rFonts w:ascii="Book Antiqua" w:hAnsi="Book Antiqua"/>
        </w:rPr>
      </w:pPr>
    </w:p>
    <w:p w14:paraId="5FBC673C" w14:textId="7768492B"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lastRenderedPageBreak/>
        <w:t xml:space="preserve">Core Tip: </w:t>
      </w:r>
      <w:bookmarkStart w:id="32" w:name="OLE_LINK501"/>
      <w:bookmarkStart w:id="33" w:name="OLE_LINK502"/>
      <w:bookmarkStart w:id="34" w:name="OLE_LINK510"/>
      <w:bookmarkStart w:id="35" w:name="OLE_LINK511"/>
      <w:r w:rsidR="00C02942">
        <w:rPr>
          <w:rFonts w:ascii="Book Antiqua" w:eastAsia="Book Antiqua" w:hAnsi="Book Antiqua" w:cs="Book Antiqua"/>
          <w:color w:val="000000"/>
        </w:rPr>
        <w:t>S</w:t>
      </w:r>
      <w:r w:rsidRPr="00A9578D">
        <w:rPr>
          <w:rFonts w:ascii="Book Antiqua" w:eastAsia="Book Antiqua" w:hAnsi="Book Antiqua" w:cs="Book Antiqua"/>
          <w:color w:val="000000"/>
        </w:rPr>
        <w:t xml:space="preserve">hort </w:t>
      </w:r>
      <w:r w:rsidR="00D408A4">
        <w:rPr>
          <w:rFonts w:ascii="Book Antiqua" w:eastAsia="Book Antiqua" w:hAnsi="Book Antiqua" w:cs="Book Antiqua"/>
          <w:color w:val="000000"/>
        </w:rPr>
        <w:t>duration</w:t>
      </w:r>
      <w:r w:rsidR="00D408A4"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 xml:space="preserve">radiotherapy </w:t>
      </w:r>
      <w:r w:rsidR="002D198E">
        <w:rPr>
          <w:rFonts w:ascii="Book Antiqua" w:eastAsia="Book Antiqua" w:hAnsi="Book Antiqua" w:cs="Book Antiqua"/>
          <w:color w:val="000000"/>
        </w:rPr>
        <w:t xml:space="preserve">was compared to </w:t>
      </w:r>
      <w:r w:rsidRPr="00A9578D">
        <w:rPr>
          <w:rFonts w:ascii="Book Antiqua" w:eastAsia="Book Antiqua" w:hAnsi="Book Antiqua" w:cs="Book Antiqua"/>
          <w:color w:val="000000"/>
        </w:rPr>
        <w:t xml:space="preserve">conventional fractionated radiation treatment plus chemotherapy in 100 patients with stage IIIB or more severe rectal cancer to verify whether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preoperative radiotherapy had an advantage in diminishing complications, reducing risk of recurrence and improving survival. The findings revealed that there was no significant difference in the incidence of complications between short and long </w:t>
      </w:r>
      <w:r w:rsidR="00B52ECA">
        <w:rPr>
          <w:rFonts w:ascii="Book Antiqua" w:eastAsia="Book Antiqua" w:hAnsi="Book Antiqua" w:cs="Book Antiqua"/>
          <w:color w:val="000000"/>
        </w:rPr>
        <w:t>duration</w:t>
      </w:r>
      <w:r w:rsidR="00B52ECA"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 xml:space="preserve">radiotherapy plus chemotherapy. However, short </w:t>
      </w:r>
      <w:r w:rsidR="00B52ECA">
        <w:rPr>
          <w:rFonts w:ascii="Book Antiqua" w:eastAsia="Book Antiqua" w:hAnsi="Book Antiqua" w:cs="Book Antiqua"/>
          <w:color w:val="000000"/>
        </w:rPr>
        <w:t>duration</w:t>
      </w:r>
      <w:r w:rsidR="00B52ECA"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radiotherapy improve</w:t>
      </w:r>
      <w:r w:rsidR="002D198E">
        <w:rPr>
          <w:rFonts w:ascii="Book Antiqua" w:eastAsia="Book Antiqua" w:hAnsi="Book Antiqua" w:cs="Book Antiqua"/>
          <w:color w:val="000000"/>
        </w:rPr>
        <w:t>d the</w:t>
      </w:r>
      <w:r w:rsidRPr="00A9578D">
        <w:rPr>
          <w:rFonts w:ascii="Book Antiqua" w:eastAsia="Book Antiqua" w:hAnsi="Book Antiqua" w:cs="Book Antiqua"/>
          <w:color w:val="000000"/>
        </w:rPr>
        <w:t xml:space="preserve"> 1-yr survival rate and reduce</w:t>
      </w:r>
      <w:r w:rsidR="002D198E">
        <w:rPr>
          <w:rFonts w:ascii="Book Antiqua" w:eastAsia="Book Antiqua" w:hAnsi="Book Antiqua" w:cs="Book Antiqua"/>
          <w:color w:val="000000"/>
        </w:rPr>
        <w:t>d the</w:t>
      </w:r>
      <w:r w:rsidRPr="00A9578D">
        <w:rPr>
          <w:rFonts w:ascii="Book Antiqua" w:eastAsia="Book Antiqua" w:hAnsi="Book Antiqua" w:cs="Book Antiqua"/>
          <w:color w:val="000000"/>
        </w:rPr>
        <w:t xml:space="preserve"> recurrence rate and distant metastasis rate in comparison with conventional preoperative radiotherapy.</w:t>
      </w:r>
      <w:bookmarkEnd w:id="32"/>
      <w:bookmarkEnd w:id="33"/>
    </w:p>
    <w:bookmarkEnd w:id="34"/>
    <w:bookmarkEnd w:id="35"/>
    <w:p w14:paraId="59D15943" w14:textId="77777777" w:rsidR="00A77B3E" w:rsidRPr="00A9578D" w:rsidRDefault="00A77B3E" w:rsidP="00A9578D">
      <w:pPr>
        <w:spacing w:line="360" w:lineRule="auto"/>
        <w:jc w:val="both"/>
        <w:rPr>
          <w:rFonts w:ascii="Book Antiqua" w:hAnsi="Book Antiqua"/>
        </w:rPr>
      </w:pPr>
    </w:p>
    <w:p w14:paraId="4F5A51D4" w14:textId="77777777" w:rsidR="00A77B3E" w:rsidRPr="00A9578D" w:rsidRDefault="00DA5E0F" w:rsidP="00A9578D">
      <w:pPr>
        <w:spacing w:line="360" w:lineRule="auto"/>
        <w:jc w:val="both"/>
        <w:rPr>
          <w:rFonts w:ascii="Book Antiqua" w:hAnsi="Book Antiqua"/>
        </w:rPr>
      </w:pPr>
      <w:r w:rsidRPr="00A9578D">
        <w:rPr>
          <w:rFonts w:ascii="Book Antiqua" w:eastAsia="Book Antiqua" w:hAnsi="Book Antiqua" w:cs="Book Antiqua"/>
          <w:b/>
          <w:caps/>
          <w:color w:val="000000"/>
          <w:u w:val="single"/>
        </w:rPr>
        <w:br w:type="page"/>
      </w:r>
      <w:r w:rsidR="008F2839" w:rsidRPr="00A9578D">
        <w:rPr>
          <w:rFonts w:ascii="Book Antiqua" w:eastAsia="Book Antiqua" w:hAnsi="Book Antiqua" w:cs="Book Antiqua"/>
          <w:b/>
          <w:caps/>
          <w:color w:val="000000"/>
          <w:u w:val="single"/>
        </w:rPr>
        <w:lastRenderedPageBreak/>
        <w:t>INTRODUCTION</w:t>
      </w:r>
    </w:p>
    <w:p w14:paraId="570220D5" w14:textId="62CCC362" w:rsidR="00A77B3E" w:rsidRPr="00A9578D" w:rsidRDefault="00136663" w:rsidP="00A9578D">
      <w:pPr>
        <w:spacing w:line="360" w:lineRule="auto"/>
        <w:jc w:val="both"/>
        <w:rPr>
          <w:rFonts w:ascii="Book Antiqua" w:hAnsi="Book Antiqua"/>
        </w:rPr>
      </w:pPr>
      <w:bookmarkStart w:id="36" w:name="OLE_LINK524"/>
      <w:bookmarkStart w:id="37" w:name="OLE_LINK525"/>
      <w:r>
        <w:rPr>
          <w:rFonts w:ascii="Book Antiqua" w:eastAsia="Book Antiqua" w:hAnsi="Book Antiqua" w:cs="Book Antiqua"/>
          <w:color w:val="000000"/>
        </w:rPr>
        <w:t>T</w:t>
      </w:r>
      <w:r w:rsidR="008F2839" w:rsidRPr="00A9578D">
        <w:rPr>
          <w:rFonts w:ascii="Book Antiqua" w:eastAsia="Book Antiqua" w:hAnsi="Book Antiqua" w:cs="Book Antiqua"/>
          <w:color w:val="000000"/>
        </w:rPr>
        <w:t xml:space="preserve">he morbidity and mortality of rectal cancer tend to increase year by year in China. </w:t>
      </w:r>
      <w:r>
        <w:rPr>
          <w:rFonts w:ascii="Book Antiqua" w:eastAsia="Book Antiqua" w:hAnsi="Book Antiqua" w:cs="Book Antiqua"/>
          <w:color w:val="000000"/>
        </w:rPr>
        <w:t>E</w:t>
      </w:r>
      <w:r w:rsidR="008F2839" w:rsidRPr="00A9578D">
        <w:rPr>
          <w:rFonts w:ascii="Book Antiqua" w:eastAsia="Book Antiqua" w:hAnsi="Book Antiqua" w:cs="Book Antiqua"/>
          <w:color w:val="000000"/>
        </w:rPr>
        <w:t>ffective initial screening methods for this disease have been limited. Most patients with rectal cancer visit</w:t>
      </w:r>
      <w:r w:rsidR="00B1496B">
        <w:rPr>
          <w:rFonts w:ascii="Book Antiqua" w:eastAsia="Book Antiqua" w:hAnsi="Book Antiqua" w:cs="Book Antiqua"/>
          <w:color w:val="000000"/>
        </w:rPr>
        <w:t xml:space="preserve"> the</w:t>
      </w:r>
      <w:r w:rsidR="008F2839" w:rsidRPr="00A9578D">
        <w:rPr>
          <w:rFonts w:ascii="Book Antiqua" w:eastAsia="Book Antiqua" w:hAnsi="Book Antiqua" w:cs="Book Antiqua"/>
          <w:color w:val="000000"/>
        </w:rPr>
        <w:t xml:space="preserve"> hospital with </w:t>
      </w:r>
      <w:r w:rsidR="00B1496B">
        <w:rPr>
          <w:rFonts w:ascii="Book Antiqua" w:eastAsia="Book Antiqua" w:hAnsi="Book Antiqua" w:cs="Book Antiqua"/>
          <w:color w:val="000000"/>
        </w:rPr>
        <w:t xml:space="preserve">progressive </w:t>
      </w:r>
      <w:r w:rsidR="008F2839" w:rsidRPr="00A9578D">
        <w:rPr>
          <w:rFonts w:ascii="Book Antiqua" w:eastAsia="Book Antiqua" w:hAnsi="Book Antiqua" w:cs="Book Antiqua"/>
          <w:color w:val="000000"/>
        </w:rPr>
        <w:t xml:space="preserve">disease and </w:t>
      </w:r>
      <w:r w:rsidR="00B1496B">
        <w:rPr>
          <w:rFonts w:ascii="Book Antiqua" w:eastAsia="Book Antiqua" w:hAnsi="Book Antiqua" w:cs="Book Antiqua"/>
          <w:color w:val="000000"/>
        </w:rPr>
        <w:t xml:space="preserve">are </w:t>
      </w:r>
      <w:r w:rsidR="008F2839" w:rsidRPr="00A9578D">
        <w:rPr>
          <w:rFonts w:ascii="Book Antiqua" w:eastAsia="Book Antiqua" w:hAnsi="Book Antiqua" w:cs="Book Antiqua"/>
          <w:color w:val="000000"/>
        </w:rPr>
        <w:t xml:space="preserve">staged </w:t>
      </w:r>
      <w:r w:rsidR="00B1496B">
        <w:rPr>
          <w:rFonts w:ascii="Book Antiqua" w:eastAsia="Book Antiqua" w:hAnsi="Book Antiqua" w:cs="Book Antiqua"/>
          <w:color w:val="000000"/>
        </w:rPr>
        <w:t>as</w:t>
      </w:r>
      <w:r w:rsidR="008F2839" w:rsidRPr="00A9578D">
        <w:rPr>
          <w:rFonts w:ascii="Book Antiqua" w:eastAsia="Book Antiqua" w:hAnsi="Book Antiqua" w:cs="Book Antiqua"/>
          <w:color w:val="000000"/>
        </w:rPr>
        <w:t xml:space="preserve"> moderate or advanced, which le</w:t>
      </w:r>
      <w:r w:rsidR="00B1496B">
        <w:rPr>
          <w:rFonts w:ascii="Book Antiqua" w:eastAsia="Book Antiqua" w:hAnsi="Book Antiqua" w:cs="Book Antiqua"/>
          <w:color w:val="000000"/>
        </w:rPr>
        <w:t>a</w:t>
      </w:r>
      <w:r w:rsidR="008F2839" w:rsidRPr="00A9578D">
        <w:rPr>
          <w:rFonts w:ascii="Book Antiqua" w:eastAsia="Book Antiqua" w:hAnsi="Book Antiqua" w:cs="Book Antiqua"/>
          <w:color w:val="000000"/>
        </w:rPr>
        <w:t>d</w:t>
      </w:r>
      <w:r w:rsidR="00B1496B">
        <w:rPr>
          <w:rFonts w:ascii="Book Antiqua" w:eastAsia="Book Antiqua" w:hAnsi="Book Antiqua" w:cs="Book Antiqua"/>
          <w:color w:val="000000"/>
        </w:rPr>
        <w:t>s</w:t>
      </w:r>
      <w:r w:rsidR="008F2839" w:rsidRPr="00A9578D">
        <w:rPr>
          <w:rFonts w:ascii="Book Antiqua" w:eastAsia="Book Antiqua" w:hAnsi="Book Antiqua" w:cs="Book Antiqua"/>
          <w:color w:val="000000"/>
        </w:rPr>
        <w:t xml:space="preserve"> to high cost, poor effectiveness and poor long-term survival. Meanwhile, it has placed a heavy strain on patients themselves, their family members </w:t>
      </w:r>
      <w:r w:rsidR="00B1496B">
        <w:rPr>
          <w:rFonts w:ascii="Book Antiqua" w:eastAsia="Book Antiqua" w:hAnsi="Book Antiqua" w:cs="Book Antiqua"/>
          <w:color w:val="000000"/>
        </w:rPr>
        <w:t>and</w:t>
      </w:r>
      <w:r w:rsidR="008F2839" w:rsidRPr="00A9578D">
        <w:rPr>
          <w:rFonts w:ascii="Book Antiqua" w:eastAsia="Book Antiqua" w:hAnsi="Book Antiqua" w:cs="Book Antiqua"/>
          <w:color w:val="000000"/>
        </w:rPr>
        <w:t xml:space="preserve"> society</w:t>
      </w:r>
      <w:r w:rsidR="008F2839" w:rsidRPr="00A9578D">
        <w:rPr>
          <w:rFonts w:ascii="Book Antiqua" w:eastAsia="Book Antiqua" w:hAnsi="Book Antiqua" w:cs="Book Antiqua"/>
          <w:color w:val="000000"/>
          <w:vertAlign w:val="superscript"/>
        </w:rPr>
        <w:t>[1-3]</w:t>
      </w:r>
      <w:r w:rsidR="008F2839" w:rsidRPr="00A9578D">
        <w:rPr>
          <w:rFonts w:ascii="Book Antiqua" w:eastAsia="Book Antiqua" w:hAnsi="Book Antiqua" w:cs="Book Antiqua"/>
          <w:color w:val="000000"/>
        </w:rPr>
        <w:t xml:space="preserve">. Although the combination of radiotherapy and chemotherapy as an established preoperative neoadjuvant therapy shows high efficacy in the treatment of rectal cancer, some patients experience a response of poor tolerance and safety due to the long </w:t>
      </w:r>
      <w:r w:rsidR="00B52ECA">
        <w:rPr>
          <w:rFonts w:ascii="Book Antiqua" w:eastAsia="Book Antiqua" w:hAnsi="Book Antiqua" w:cs="Book Antiqua"/>
          <w:color w:val="000000"/>
        </w:rPr>
        <w:t>duration</w:t>
      </w:r>
      <w:r w:rsidR="008F2839" w:rsidRPr="00A9578D">
        <w:rPr>
          <w:rFonts w:ascii="Book Antiqua" w:eastAsia="Book Antiqua" w:hAnsi="Book Antiqua" w:cs="Book Antiqua"/>
          <w:color w:val="000000"/>
        </w:rPr>
        <w:t xml:space="preserve"> preoperative neoadjuvant therapy</w:t>
      </w:r>
      <w:r w:rsidR="001B526E" w:rsidRPr="00A9578D">
        <w:rPr>
          <w:rFonts w:ascii="Book Antiqua" w:eastAsia="Book Antiqua" w:hAnsi="Book Antiqua" w:cs="Book Antiqua"/>
          <w:color w:val="000000"/>
          <w:vertAlign w:val="superscript"/>
        </w:rPr>
        <w:t>[4</w:t>
      </w:r>
      <w:r w:rsidR="001B526E" w:rsidRPr="00A9578D">
        <w:rPr>
          <w:rFonts w:ascii="Book Antiqua" w:hAnsi="Book Antiqua" w:cs="Book Antiqua"/>
          <w:color w:val="000000"/>
          <w:vertAlign w:val="superscript"/>
          <w:lang w:eastAsia="zh-CN"/>
        </w:rPr>
        <w:t>,</w:t>
      </w:r>
      <w:r w:rsidR="008F2839" w:rsidRPr="00A9578D">
        <w:rPr>
          <w:rFonts w:ascii="Book Antiqua" w:eastAsia="Book Antiqua" w:hAnsi="Book Antiqua" w:cs="Book Antiqua"/>
          <w:color w:val="000000"/>
          <w:vertAlign w:val="superscript"/>
        </w:rPr>
        <w:t>5]</w:t>
      </w:r>
      <w:r w:rsidR="008F2839" w:rsidRPr="00A9578D">
        <w:rPr>
          <w:rFonts w:ascii="Book Antiqua" w:eastAsia="Book Antiqua" w:hAnsi="Book Antiqua" w:cs="Book Antiqua"/>
          <w:color w:val="000000"/>
        </w:rPr>
        <w:t xml:space="preserve">. </w:t>
      </w:r>
      <w:r w:rsidR="005E34DB">
        <w:rPr>
          <w:rFonts w:ascii="Book Antiqua" w:eastAsia="Book Antiqua" w:hAnsi="Book Antiqua" w:cs="Book Antiqua"/>
          <w:color w:val="000000"/>
        </w:rPr>
        <w:t>S</w:t>
      </w:r>
      <w:r w:rsidR="008F2839" w:rsidRPr="00A9578D">
        <w:rPr>
          <w:rFonts w:ascii="Book Antiqua" w:eastAsia="Book Antiqua" w:hAnsi="Book Antiqua" w:cs="Book Antiqua"/>
          <w:color w:val="000000"/>
        </w:rPr>
        <w:t>eek</w:t>
      </w:r>
      <w:r w:rsidR="005E34DB">
        <w:rPr>
          <w:rFonts w:ascii="Book Antiqua" w:eastAsia="Book Antiqua" w:hAnsi="Book Antiqua" w:cs="Book Antiqua"/>
          <w:color w:val="000000"/>
        </w:rPr>
        <w:t>ing</w:t>
      </w:r>
      <w:r w:rsidR="008F2839" w:rsidRPr="00A9578D">
        <w:rPr>
          <w:rFonts w:ascii="Book Antiqua" w:eastAsia="Book Antiqua" w:hAnsi="Book Antiqua" w:cs="Book Antiqua"/>
          <w:color w:val="000000"/>
        </w:rPr>
        <w:t xml:space="preserve"> out the optimal therapeutic regimen is helpful to reduce the duration of preoperative adjuvant treatment and lower the incidence of complications during the treatment</w:t>
      </w:r>
      <w:r w:rsidR="00797451">
        <w:rPr>
          <w:rFonts w:ascii="Book Antiqua" w:eastAsia="Book Antiqua" w:hAnsi="Book Antiqua" w:cs="Book Antiqua"/>
          <w:color w:val="000000"/>
        </w:rPr>
        <w:t>. Then</w:t>
      </w:r>
      <w:r w:rsidR="008F2839" w:rsidRPr="00A9578D">
        <w:rPr>
          <w:rFonts w:ascii="Book Antiqua" w:eastAsia="Book Antiqua" w:hAnsi="Book Antiqua" w:cs="Book Antiqua"/>
          <w:color w:val="000000"/>
        </w:rPr>
        <w:t xml:space="preserve"> the recovery rate is improved and survival time is prolonged accordingly by discussing the effectiveness of short durations of radiotherapy combined with chemotherapy in patients with rectal cancer.</w:t>
      </w:r>
    </w:p>
    <w:bookmarkEnd w:id="36"/>
    <w:bookmarkEnd w:id="37"/>
    <w:p w14:paraId="07B27E06" w14:textId="77777777" w:rsidR="00A77B3E" w:rsidRPr="00A9578D" w:rsidRDefault="00A77B3E" w:rsidP="00A9578D">
      <w:pPr>
        <w:spacing w:line="360" w:lineRule="auto"/>
        <w:jc w:val="both"/>
        <w:rPr>
          <w:rFonts w:ascii="Book Antiqua" w:hAnsi="Book Antiqua"/>
        </w:rPr>
      </w:pPr>
    </w:p>
    <w:p w14:paraId="65995C35"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aps/>
          <w:color w:val="000000"/>
          <w:u w:val="single"/>
        </w:rPr>
        <w:t>MATERIALS AND METHODS</w:t>
      </w:r>
    </w:p>
    <w:p w14:paraId="477347A7" w14:textId="628FD4DE" w:rsidR="00A77B3E" w:rsidRPr="00A9578D" w:rsidRDefault="008F2839" w:rsidP="00A9578D">
      <w:pPr>
        <w:spacing w:line="360" w:lineRule="auto"/>
        <w:jc w:val="both"/>
        <w:rPr>
          <w:rFonts w:ascii="Book Antiqua" w:hAnsi="Book Antiqua"/>
        </w:rPr>
      </w:pPr>
      <w:bookmarkStart w:id="38" w:name="OLE_LINK526"/>
      <w:bookmarkStart w:id="39" w:name="OLE_LINK527"/>
      <w:r w:rsidRPr="00A9578D">
        <w:rPr>
          <w:rFonts w:ascii="Book Antiqua" w:eastAsia="Book Antiqua" w:hAnsi="Book Antiqua" w:cs="Book Antiqua"/>
          <w:b/>
          <w:bCs/>
          <w:i/>
          <w:iCs/>
          <w:color w:val="000000"/>
        </w:rPr>
        <w:t xml:space="preserve">General information </w:t>
      </w:r>
      <w:r w:rsidR="00797451">
        <w:rPr>
          <w:rFonts w:ascii="Book Antiqua" w:eastAsia="Book Antiqua" w:hAnsi="Book Antiqua" w:cs="Book Antiqua"/>
          <w:b/>
          <w:bCs/>
          <w:i/>
          <w:iCs/>
          <w:color w:val="000000"/>
        </w:rPr>
        <w:t xml:space="preserve">of </w:t>
      </w:r>
      <w:r w:rsidRPr="00A9578D">
        <w:rPr>
          <w:rFonts w:ascii="Book Antiqua" w:eastAsia="Book Antiqua" w:hAnsi="Book Antiqua" w:cs="Book Antiqua"/>
          <w:b/>
          <w:bCs/>
          <w:i/>
          <w:iCs/>
          <w:color w:val="000000"/>
        </w:rPr>
        <w:t>study participants</w:t>
      </w:r>
    </w:p>
    <w:p w14:paraId="2C90A8D0" w14:textId="42E625B6"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One hundred patients with stage </w:t>
      </w:r>
      <w:bookmarkStart w:id="40" w:name="OLE_LINK3"/>
      <w:bookmarkStart w:id="41" w:name="OLE_LINK4"/>
      <w:r w:rsidRPr="00A9578D">
        <w:rPr>
          <w:rFonts w:ascii="Book Antiqua" w:eastAsia="Book Antiqua" w:hAnsi="Book Antiqua" w:cs="Book Antiqua"/>
          <w:color w:val="000000"/>
        </w:rPr>
        <w:t xml:space="preserve">IIIB </w:t>
      </w:r>
      <w:bookmarkEnd w:id="40"/>
      <w:bookmarkEnd w:id="41"/>
      <w:r w:rsidRPr="00A9578D">
        <w:rPr>
          <w:rFonts w:ascii="Book Antiqua" w:eastAsia="Book Antiqua" w:hAnsi="Book Antiqua" w:cs="Book Antiqua"/>
          <w:color w:val="000000"/>
        </w:rPr>
        <w:t>or more severe rectal cancer were selected as the study subjects between December 2018 and December 2019. They were divided into two groups based on different treatment regimens received. Among them, 50 patients who received preoperative short durations of radiotherapy plus chemotherapy were included in an observation group and 50 patients who received conventional radiotherapy and chemotherapy were included in a control group.</w:t>
      </w:r>
    </w:p>
    <w:p w14:paraId="44A8F08E" w14:textId="77777777"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 xml:space="preserve">The patients included in the study were between 30 and 70 years of age without definite distant metastasis, other cancer comorbidities, surgical contraindications, cardiovascular diseases and other severe diseases. For all the participants, the participation in the study was voluntary. The rectal tumor was located close to the anus (&lt; 12 cm from the anal verge). They were diagnosed with stage IIIB rectal cancer by colonoscopic biopsy pathology results. </w:t>
      </w:r>
    </w:p>
    <w:p w14:paraId="20214BE2" w14:textId="393AEEB1"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lastRenderedPageBreak/>
        <w:t>Of 50 patients in the observation group, 31 were men and 19 were women. The age</w:t>
      </w:r>
      <w:r w:rsidR="00A44C56">
        <w:rPr>
          <w:rFonts w:ascii="Book Antiqua" w:eastAsia="Book Antiqua" w:hAnsi="Book Antiqua" w:cs="Book Antiqua"/>
          <w:color w:val="000000"/>
        </w:rPr>
        <w:t xml:space="preserve"> range</w:t>
      </w:r>
      <w:r w:rsidRPr="00A9578D">
        <w:rPr>
          <w:rFonts w:ascii="Book Antiqua" w:eastAsia="Book Antiqua" w:hAnsi="Book Antiqua" w:cs="Book Antiqua"/>
          <w:color w:val="000000"/>
        </w:rPr>
        <w:t xml:space="preserve"> of patients was between 46 and 66 (53.12 ± 9.45) years of age. In terms of tumor staging, 30 were stage </w:t>
      </w:r>
      <w:bookmarkStart w:id="42" w:name="OLE_LINK5"/>
      <w:bookmarkStart w:id="43" w:name="OLE_LINK6"/>
      <w:r w:rsidR="007F2FFA" w:rsidRPr="00A9578D">
        <w:rPr>
          <w:rFonts w:ascii="Book Antiqua" w:eastAsia="Book Antiqua" w:hAnsi="Book Antiqua" w:cs="Book Antiqua"/>
          <w:color w:val="000000"/>
        </w:rPr>
        <w:t>IIIB</w:t>
      </w:r>
      <w:r w:rsidR="00364216">
        <w:rPr>
          <w:rFonts w:ascii="Book Antiqua" w:eastAsia="Book Antiqua" w:hAnsi="Book Antiqua" w:cs="Book Antiqua"/>
          <w:color w:val="000000"/>
        </w:rPr>
        <w:t>,</w:t>
      </w:r>
      <w:r w:rsidRPr="00A9578D">
        <w:rPr>
          <w:rFonts w:ascii="Book Antiqua" w:eastAsia="Book Antiqua" w:hAnsi="Book Antiqua" w:cs="Book Antiqua"/>
          <w:color w:val="000000"/>
        </w:rPr>
        <w:t xml:space="preserve"> </w:t>
      </w:r>
      <w:bookmarkEnd w:id="42"/>
      <w:bookmarkEnd w:id="43"/>
      <w:r w:rsidRPr="00A9578D">
        <w:rPr>
          <w:rFonts w:ascii="Book Antiqua" w:eastAsia="Book Antiqua" w:hAnsi="Book Antiqua" w:cs="Book Antiqua"/>
          <w:color w:val="000000"/>
        </w:rPr>
        <w:t>and 20 were stage</w:t>
      </w:r>
      <w:r w:rsidR="007F2FFA" w:rsidRPr="00A9578D">
        <w:rPr>
          <w:rFonts w:ascii="Book Antiqua" w:hAnsi="Book Antiqua" w:cs="Book Antiqua"/>
          <w:color w:val="000000"/>
          <w:lang w:eastAsia="zh-CN"/>
        </w:rPr>
        <w:t xml:space="preserve"> </w:t>
      </w:r>
      <w:bookmarkStart w:id="44" w:name="OLE_LINK7"/>
      <w:bookmarkStart w:id="45" w:name="OLE_LINK8"/>
      <w:r w:rsidR="007F2FFA" w:rsidRPr="00A9578D">
        <w:rPr>
          <w:rFonts w:ascii="MS Mincho" w:eastAsia="MS Mincho" w:hAnsi="MS Mincho" w:cs="MS Mincho"/>
          <w:color w:val="000000"/>
        </w:rPr>
        <w:t>Ⅳ</w:t>
      </w:r>
      <w:bookmarkEnd w:id="44"/>
      <w:bookmarkEnd w:id="45"/>
      <w:r w:rsidRPr="00A9578D">
        <w:rPr>
          <w:rFonts w:ascii="Book Antiqua" w:eastAsia="Book Antiqua" w:hAnsi="Book Antiqua" w:cs="Book Antiqua"/>
          <w:color w:val="000000"/>
        </w:rPr>
        <w:t xml:space="preserve">. Karnofsky performance status score was &lt; 40 in 7 patients, 40 to 60 in 24 patients and &gt; 60 in 16 patients. </w:t>
      </w:r>
    </w:p>
    <w:p w14:paraId="3868DDD7" w14:textId="25B0CAAD"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Of 50 patients in the control group, 28 were m</w:t>
      </w:r>
      <w:r w:rsidR="00DF616B" w:rsidRPr="00A9578D">
        <w:rPr>
          <w:rFonts w:ascii="Book Antiqua" w:eastAsia="Book Antiqua" w:hAnsi="Book Antiqua" w:cs="Book Antiqua"/>
          <w:color w:val="000000"/>
        </w:rPr>
        <w:t xml:space="preserve">en and 22 were women. The </w:t>
      </w:r>
      <w:r w:rsidRPr="00A9578D">
        <w:rPr>
          <w:rFonts w:ascii="Book Antiqua" w:eastAsia="Book Antiqua" w:hAnsi="Book Antiqua" w:cs="Book Antiqua"/>
          <w:color w:val="000000"/>
        </w:rPr>
        <w:t>age</w:t>
      </w:r>
      <w:r w:rsidR="00A44C56">
        <w:rPr>
          <w:rFonts w:ascii="Book Antiqua" w:eastAsia="Book Antiqua" w:hAnsi="Book Antiqua" w:cs="Book Antiqua"/>
          <w:color w:val="000000"/>
        </w:rPr>
        <w:t xml:space="preserve"> range</w:t>
      </w:r>
      <w:r w:rsidRPr="00A9578D">
        <w:rPr>
          <w:rFonts w:ascii="Book Antiqua" w:eastAsia="Book Antiqua" w:hAnsi="Book Antiqua" w:cs="Book Antiqua"/>
          <w:color w:val="000000"/>
        </w:rPr>
        <w:t xml:space="preserve"> of patients was between 48 and 67 years of age. In terms of tumor staging, 32 were stage </w:t>
      </w:r>
      <w:r w:rsidR="00DF616B" w:rsidRPr="00A9578D">
        <w:rPr>
          <w:rFonts w:ascii="Book Antiqua" w:eastAsia="Book Antiqua" w:hAnsi="Book Antiqua" w:cs="Book Antiqua"/>
          <w:color w:val="000000"/>
        </w:rPr>
        <w:t>IIIB</w:t>
      </w:r>
      <w:r w:rsidR="00364216">
        <w:rPr>
          <w:rFonts w:ascii="Book Antiqua" w:eastAsia="Book Antiqua" w:hAnsi="Book Antiqua" w:cs="Book Antiqua"/>
          <w:color w:val="000000"/>
        </w:rPr>
        <w:t>,</w:t>
      </w:r>
      <w:r w:rsidRPr="00A9578D">
        <w:rPr>
          <w:rFonts w:ascii="Book Antiqua" w:eastAsia="Book Antiqua" w:hAnsi="Book Antiqua" w:cs="Book Antiqua"/>
          <w:color w:val="000000"/>
        </w:rPr>
        <w:t xml:space="preserve"> and 18 were stage </w:t>
      </w:r>
      <w:r w:rsidR="00DF616B" w:rsidRPr="00A9578D">
        <w:rPr>
          <w:rFonts w:ascii="MS Mincho" w:eastAsia="MS Mincho" w:hAnsi="MS Mincho" w:cs="MS Mincho"/>
          <w:color w:val="000000"/>
        </w:rPr>
        <w:t>Ⅳ</w:t>
      </w:r>
      <w:r w:rsidRPr="00A9578D">
        <w:rPr>
          <w:rFonts w:ascii="Book Antiqua" w:eastAsia="Book Antiqua" w:hAnsi="Book Antiqua" w:cs="Book Antiqua"/>
          <w:color w:val="000000"/>
        </w:rPr>
        <w:t xml:space="preserve">. </w:t>
      </w:r>
      <w:r w:rsidR="00A44C56" w:rsidRPr="00A9578D">
        <w:rPr>
          <w:rFonts w:ascii="Book Antiqua" w:eastAsia="Book Antiqua" w:hAnsi="Book Antiqua" w:cs="Book Antiqua"/>
          <w:color w:val="000000"/>
        </w:rPr>
        <w:t>Karnofsky performance status</w:t>
      </w:r>
      <w:r w:rsidRPr="00A9578D">
        <w:rPr>
          <w:rFonts w:ascii="Book Antiqua" w:eastAsia="Book Antiqua" w:hAnsi="Book Antiqua" w:cs="Book Antiqua"/>
          <w:color w:val="000000"/>
        </w:rPr>
        <w:t xml:space="preserve"> score was &lt; 40 in 8 patients, 40 to 60 in 24 patients and &gt; 60 in 18 patients. There was no significant difference in general information of the patients including gender, age, cancer staging and </w:t>
      </w:r>
      <w:r w:rsidR="00A44C56" w:rsidRPr="00A9578D">
        <w:rPr>
          <w:rFonts w:ascii="Book Antiqua" w:eastAsia="Book Antiqua" w:hAnsi="Book Antiqua" w:cs="Book Antiqua"/>
          <w:color w:val="000000"/>
        </w:rPr>
        <w:t>Karnofsky performance status</w:t>
      </w:r>
      <w:r w:rsidRPr="00A9578D">
        <w:rPr>
          <w:rFonts w:ascii="Book Antiqua" w:eastAsia="Book Antiqua" w:hAnsi="Book Antiqua" w:cs="Book Antiqua"/>
          <w:color w:val="000000"/>
        </w:rPr>
        <w:t xml:space="preserve"> score between the two groups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&gt; 0.05). The study was approved by the ethics committee of our hospital and written informed consent was obtained from each patient.</w:t>
      </w:r>
    </w:p>
    <w:p w14:paraId="2A13588C" w14:textId="77777777" w:rsidR="00A77B3E" w:rsidRPr="00A9578D" w:rsidRDefault="00A77B3E" w:rsidP="00A9578D">
      <w:pPr>
        <w:spacing w:line="360" w:lineRule="auto"/>
        <w:ind w:firstLine="480"/>
        <w:jc w:val="both"/>
        <w:rPr>
          <w:rFonts w:ascii="Book Antiqua" w:hAnsi="Book Antiqua"/>
        </w:rPr>
      </w:pPr>
    </w:p>
    <w:p w14:paraId="4338CBB9"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i/>
          <w:iCs/>
          <w:color w:val="000000"/>
        </w:rPr>
        <w:t>Treatment methods</w:t>
      </w:r>
    </w:p>
    <w:p w14:paraId="74EC6261" w14:textId="0AA34FDB"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The observation group received short</w:t>
      </w:r>
      <w:r w:rsidR="00B52ECA">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radiotherapy and chemotherapy and the control group received conventional chemoradiotherapy before the operation</w:t>
      </w:r>
      <w:r w:rsidR="001B526E" w:rsidRPr="00A9578D">
        <w:rPr>
          <w:rFonts w:ascii="Book Antiqua" w:eastAsia="Book Antiqua" w:hAnsi="Book Antiqua" w:cs="Book Antiqua"/>
          <w:color w:val="000000"/>
          <w:vertAlign w:val="superscript"/>
        </w:rPr>
        <w:t>[6</w:t>
      </w:r>
      <w:r w:rsidR="001B526E" w:rsidRPr="00A9578D">
        <w:rPr>
          <w:rFonts w:ascii="Book Antiqua" w:hAnsi="Book Antiqua" w:cs="Book Antiqua"/>
          <w:color w:val="000000"/>
          <w:vertAlign w:val="superscript"/>
          <w:lang w:eastAsia="zh-CN"/>
        </w:rPr>
        <w:t>,</w:t>
      </w:r>
      <w:r w:rsidRPr="00A9578D">
        <w:rPr>
          <w:rFonts w:ascii="Book Antiqua" w:eastAsia="Book Antiqua" w:hAnsi="Book Antiqua" w:cs="Book Antiqua"/>
          <w:color w:val="000000"/>
          <w:vertAlign w:val="superscript"/>
        </w:rPr>
        <w:t>7]</w:t>
      </w:r>
      <w:r w:rsidRPr="00A9578D">
        <w:rPr>
          <w:rFonts w:ascii="Book Antiqua" w:eastAsia="Book Antiqua" w:hAnsi="Book Antiqua" w:cs="Book Antiqua"/>
          <w:color w:val="000000"/>
        </w:rPr>
        <w:t>. For the short</w:t>
      </w:r>
      <w:r w:rsidR="00B52ECA">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radiotherapy, a total dose of 25 Gy was delivered with 5 Gy daily for 5 d</w:t>
      </w:r>
      <w:r w:rsidR="00364216">
        <w:rPr>
          <w:rFonts w:ascii="Book Antiqua" w:eastAsia="Book Antiqua" w:hAnsi="Book Antiqua" w:cs="Book Antiqua"/>
          <w:color w:val="000000"/>
        </w:rPr>
        <w:t>,</w:t>
      </w:r>
      <w:r w:rsidRPr="00A9578D">
        <w:rPr>
          <w:rFonts w:ascii="Book Antiqua" w:eastAsia="Book Antiqua" w:hAnsi="Book Antiqua" w:cs="Book Antiqua"/>
          <w:color w:val="000000"/>
        </w:rPr>
        <w:t xml:space="preserve"> and the operation was performed within 5 d after the radiotherapy. For the conventional radiation therapy, approximately 45 to 50 Gy was given with 1.8 to 2.0 Gy daily, 5 d per week, for 25 to 28 treatments</w:t>
      </w:r>
      <w:r w:rsidR="00364216">
        <w:rPr>
          <w:rFonts w:ascii="Book Antiqua" w:eastAsia="Book Antiqua" w:hAnsi="Book Antiqua" w:cs="Book Antiqua"/>
          <w:color w:val="000000"/>
        </w:rPr>
        <w:t>,</w:t>
      </w:r>
      <w:r w:rsidRPr="00A9578D">
        <w:rPr>
          <w:rFonts w:ascii="Book Antiqua" w:eastAsia="Book Antiqua" w:hAnsi="Book Antiqua" w:cs="Book Antiqua"/>
          <w:color w:val="000000"/>
        </w:rPr>
        <w:t xml:space="preserve"> and the operation was performed within 4 to 8 wk after the treatment. Total mesorectal excision was performed in both groups by the same medical team.</w:t>
      </w:r>
    </w:p>
    <w:p w14:paraId="2B870BD7" w14:textId="77777777" w:rsidR="00A77B3E" w:rsidRPr="00A9578D" w:rsidRDefault="00A77B3E" w:rsidP="00A9578D">
      <w:pPr>
        <w:spacing w:line="360" w:lineRule="auto"/>
        <w:jc w:val="both"/>
        <w:rPr>
          <w:rFonts w:ascii="Book Antiqua" w:hAnsi="Book Antiqua"/>
        </w:rPr>
      </w:pPr>
    </w:p>
    <w:p w14:paraId="76DE0075"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i/>
          <w:iCs/>
          <w:color w:val="000000"/>
        </w:rPr>
        <w:t>Measures</w:t>
      </w:r>
    </w:p>
    <w:p w14:paraId="3DC4820A" w14:textId="4160E6DE"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The expression of Runx3 and Ki-67 was compared between the two groups of patients undergoing biopsy test. Immunohistochemical assay was used to quantitatively analyze the expression of biomarkers</w:t>
      </w:r>
      <w:r w:rsidR="00364216">
        <w:rPr>
          <w:rFonts w:ascii="Book Antiqua" w:eastAsia="Book Antiqua" w:hAnsi="Book Antiqua" w:cs="Book Antiqua"/>
          <w:color w:val="000000"/>
        </w:rPr>
        <w:t xml:space="preserve"> </w:t>
      </w:r>
      <w:r w:rsidRPr="00A9578D">
        <w:rPr>
          <w:rFonts w:ascii="Book Antiqua" w:eastAsia="Book Antiqua" w:hAnsi="Book Antiqua" w:cs="Book Antiqua"/>
          <w:color w:val="000000"/>
        </w:rPr>
        <w:t>Runx3 and Ki-67. The positive expression of Runx3 was defined as yellowish-brown staining of the nucleus and cytoplasm. The extent of staining grading scale was as follow</w:t>
      </w:r>
      <w:r w:rsidR="00364216">
        <w:rPr>
          <w:rFonts w:ascii="Book Antiqua" w:eastAsia="Book Antiqua" w:hAnsi="Book Antiqua" w:cs="Book Antiqua"/>
          <w:color w:val="000000"/>
        </w:rPr>
        <w:t>s</w:t>
      </w:r>
      <w:r w:rsidRPr="00A9578D">
        <w:rPr>
          <w:rFonts w:ascii="Book Antiqua" w:eastAsia="Book Antiqua" w:hAnsi="Book Antiqua" w:cs="Book Antiqua"/>
          <w:color w:val="000000"/>
        </w:rPr>
        <w:t>: 0 = positive cell was not discovered or only yellowish-brown cytoplasm was discovered</w:t>
      </w:r>
      <w:r w:rsidR="00364216">
        <w:rPr>
          <w:rFonts w:ascii="Book Antiqua" w:eastAsia="Book Antiqua" w:hAnsi="Book Antiqua" w:cs="Book Antiqua"/>
          <w:color w:val="000000"/>
        </w:rPr>
        <w:t>,</w:t>
      </w:r>
      <w:r w:rsidRPr="00A9578D">
        <w:rPr>
          <w:rFonts w:ascii="Book Antiqua" w:eastAsia="Book Antiqua" w:hAnsi="Book Antiqua" w:cs="Book Antiqua"/>
          <w:color w:val="000000"/>
        </w:rPr>
        <w:t xml:space="preserve"> and the number of cells of nucleus stained was ≤ 1 per </w:t>
      </w:r>
      <w:r w:rsidRPr="00A9578D">
        <w:rPr>
          <w:rFonts w:ascii="Book Antiqua" w:eastAsia="Book Antiqua" w:hAnsi="Book Antiqua" w:cs="Book Antiqua"/>
          <w:color w:val="000000"/>
        </w:rPr>
        <w:lastRenderedPageBreak/>
        <w:t xml:space="preserve">high power field; 1 = mild staining; 2 = moderate staining; </w:t>
      </w:r>
      <w:r w:rsidR="00364216">
        <w:rPr>
          <w:rFonts w:ascii="Book Antiqua" w:eastAsia="Book Antiqua" w:hAnsi="Book Antiqua" w:cs="Book Antiqua"/>
          <w:color w:val="000000"/>
        </w:rPr>
        <w:t xml:space="preserve">and </w:t>
      </w:r>
      <w:r w:rsidRPr="00A9578D">
        <w:rPr>
          <w:rFonts w:ascii="Book Antiqua" w:eastAsia="Book Antiqua" w:hAnsi="Book Antiqua" w:cs="Book Antiqua"/>
          <w:color w:val="000000"/>
        </w:rPr>
        <w:t>3 = severe staining. The scale assigning a score for the percentage of cells with positive expression was as following: 0 = no staining; 1 = the number of stained cells was ≤ 25%; 2 = the number of stained cells was between 26% and 50%; 3 = the number of stained cells was &gt; 50%. If the score for exten</w:t>
      </w:r>
      <w:r w:rsidR="00907E5B">
        <w:rPr>
          <w:rFonts w:ascii="Book Antiqua" w:eastAsia="Book Antiqua" w:hAnsi="Book Antiqua" w:cs="Book Antiqua"/>
          <w:color w:val="000000"/>
        </w:rPr>
        <w:t>t</w:t>
      </w:r>
      <w:r w:rsidRPr="00A9578D">
        <w:rPr>
          <w:rFonts w:ascii="Book Antiqua" w:eastAsia="Book Antiqua" w:hAnsi="Book Antiqua" w:cs="Book Antiqua"/>
          <w:color w:val="000000"/>
        </w:rPr>
        <w:t xml:space="preserve"> and severity of staining and the percentage of cells with positive expression gave a product of ≥ 2, the expression of Runx3 was considered as positive. Ki</w:t>
      </w:r>
      <w:r w:rsidR="00907E5B">
        <w:rPr>
          <w:rFonts w:ascii="Book Antiqua" w:eastAsia="Book Antiqua" w:hAnsi="Book Antiqua" w:cs="Book Antiqua"/>
          <w:color w:val="000000"/>
        </w:rPr>
        <w:t>-</w:t>
      </w:r>
      <w:r w:rsidRPr="00A9578D">
        <w:rPr>
          <w:rFonts w:ascii="Book Antiqua" w:eastAsia="Book Antiqua" w:hAnsi="Book Antiqua" w:cs="Book Antiqua"/>
          <w:color w:val="000000"/>
        </w:rPr>
        <w:t>67 expression was determined by the following criteria</w:t>
      </w:r>
      <w:r w:rsidR="00C06AE3">
        <w:rPr>
          <w:rFonts w:ascii="Book Antiqua" w:eastAsia="Book Antiqua" w:hAnsi="Book Antiqua" w:cs="Book Antiqua"/>
          <w:color w:val="000000"/>
        </w:rPr>
        <w:t>.</w:t>
      </w:r>
      <w:r w:rsidRPr="00A9578D">
        <w:rPr>
          <w:rFonts w:ascii="Book Antiqua" w:eastAsia="Book Antiqua" w:hAnsi="Book Antiqua" w:cs="Book Antiqua"/>
          <w:color w:val="000000"/>
        </w:rPr>
        <w:t xml:space="preserve"> </w:t>
      </w:r>
      <w:r w:rsidR="00C06AE3">
        <w:rPr>
          <w:rFonts w:ascii="Book Antiqua" w:eastAsia="Book Antiqua" w:hAnsi="Book Antiqua" w:cs="Book Antiqua"/>
          <w:color w:val="000000"/>
        </w:rPr>
        <w:t>F</w:t>
      </w:r>
      <w:r w:rsidRPr="00A9578D">
        <w:rPr>
          <w:rFonts w:ascii="Book Antiqua" w:eastAsia="Book Antiqua" w:hAnsi="Book Antiqua" w:cs="Book Antiqua"/>
          <w:color w:val="000000"/>
        </w:rPr>
        <w:t>ive different fields of view under high power field were randomly selected. The total number of cells as well as the number of cells stained was observed within field of view to derive the staining rate. The equation for staining rate was as following: staining rate (%) = (the number of cells stained/the total number of cells) ×</w:t>
      </w:r>
      <w:r w:rsidR="00C06AE3">
        <w:rPr>
          <w:rFonts w:ascii="Book Antiqua" w:eastAsia="Book Antiqua" w:hAnsi="Book Antiqua" w:cs="Book Antiqua"/>
          <w:color w:val="000000"/>
        </w:rPr>
        <w:t xml:space="preserve"> </w:t>
      </w:r>
      <w:r w:rsidRPr="00A9578D">
        <w:rPr>
          <w:rFonts w:ascii="Book Antiqua" w:eastAsia="Book Antiqua" w:hAnsi="Book Antiqua" w:cs="Book Antiqua"/>
          <w:color w:val="000000"/>
        </w:rPr>
        <w:t>100%. Positive expression of Ki</w:t>
      </w:r>
      <w:r w:rsidR="00C06AE3">
        <w:rPr>
          <w:rFonts w:ascii="Book Antiqua" w:eastAsia="Book Antiqua" w:hAnsi="Book Antiqua" w:cs="Book Antiqua"/>
          <w:color w:val="000000"/>
        </w:rPr>
        <w:t>-</w:t>
      </w:r>
      <w:r w:rsidRPr="00A9578D">
        <w:rPr>
          <w:rFonts w:ascii="Book Antiqua" w:eastAsia="Book Antiqua" w:hAnsi="Book Antiqua" w:cs="Book Antiqua"/>
          <w:color w:val="000000"/>
        </w:rPr>
        <w:t>67 was identified by staining rate &gt; 10%.</w:t>
      </w:r>
    </w:p>
    <w:p w14:paraId="36BD8516" w14:textId="77777777"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 xml:space="preserve">The incidence of chemoradiotherapy-associated adverse reactions before the operation was compared between the two groups. Common adverse reactions including anemia, fatigue, neurotoxicity, nausea and vomiting, leukopenia, thrombocytopenia, neutropenia and diarrhea were observed. </w:t>
      </w:r>
    </w:p>
    <w:p w14:paraId="760540DE" w14:textId="512950D8" w:rsidR="00A77B3E" w:rsidRPr="00A9578D" w:rsidRDefault="008F2839" w:rsidP="0049320B">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 xml:space="preserve">The operation/procedure indices were compared between the two groups including the duration of operation, intraoperative blood loss, anal conservation rate and postoperative complications (surgery incision infection, anastomotic leakage, intestinal obstruction, </w:t>
      </w:r>
      <w:r w:rsidRPr="00A9578D">
        <w:rPr>
          <w:rFonts w:ascii="Book Antiqua" w:eastAsia="Book Antiqua" w:hAnsi="Book Antiqua" w:cs="Book Antiqua"/>
          <w:i/>
          <w:iCs/>
          <w:color w:val="000000"/>
        </w:rPr>
        <w:t>etc</w:t>
      </w:r>
      <w:r w:rsidRPr="00A9578D">
        <w:rPr>
          <w:rFonts w:ascii="Book Antiqua" w:eastAsia="Book Antiqua" w:hAnsi="Book Antiqua" w:cs="Book Antiqua"/>
          <w:color w:val="000000"/>
        </w:rPr>
        <w:t>.). The participants were followed-up for 1 year and 1-yr survival, recurrence and distant metastasis were calculated and compared between the two groups.</w:t>
      </w:r>
    </w:p>
    <w:p w14:paraId="42967E08" w14:textId="173398CC"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In terms of statistical methods, SPSS</w:t>
      </w:r>
      <w:r w:rsidR="00AD49D3">
        <w:rPr>
          <w:rFonts w:ascii="Book Antiqua" w:eastAsia="Book Antiqua" w:hAnsi="Book Antiqua" w:cs="Book Antiqua"/>
          <w:color w:val="000000"/>
        </w:rPr>
        <w:t xml:space="preserve"> </w:t>
      </w:r>
      <w:r w:rsidRPr="00A9578D">
        <w:rPr>
          <w:rFonts w:ascii="Book Antiqua" w:eastAsia="Book Antiqua" w:hAnsi="Book Antiqua" w:cs="Book Antiqua"/>
          <w:color w:val="000000"/>
        </w:rPr>
        <w:t>22.0 was used to process the data. Measurement data</w:t>
      </w:r>
      <w:r w:rsidR="008B7D08">
        <w:rPr>
          <w:rFonts w:ascii="Book Antiqua" w:eastAsia="Book Antiqua" w:hAnsi="Book Antiqua" w:cs="Book Antiqua"/>
          <w:color w:val="000000"/>
        </w:rPr>
        <w:t xml:space="preserve"> that</w:t>
      </w:r>
      <w:r w:rsidRPr="00A9578D">
        <w:rPr>
          <w:rFonts w:ascii="Book Antiqua" w:eastAsia="Book Antiqua" w:hAnsi="Book Antiqua" w:cs="Book Antiqua"/>
          <w:color w:val="000000"/>
        </w:rPr>
        <w:t xml:space="preserve"> was subject to normal distribution was expressed using mean ± </w:t>
      </w:r>
      <w:r w:rsidR="008B7D08">
        <w:rPr>
          <w:rFonts w:ascii="Book Antiqua" w:eastAsia="Book Antiqua" w:hAnsi="Book Antiqua" w:cs="Book Antiqua"/>
          <w:color w:val="000000"/>
        </w:rPr>
        <w:t>standard deviation,</w:t>
      </w:r>
      <w:r w:rsidRPr="00A9578D">
        <w:rPr>
          <w:rFonts w:ascii="Book Antiqua" w:eastAsia="Book Antiqua" w:hAnsi="Book Antiqua" w:cs="Book Antiqua"/>
          <w:color w:val="000000"/>
        </w:rPr>
        <w:t xml:space="preserve"> and intergroup difference</w:t>
      </w:r>
      <w:r w:rsidR="008B7D08">
        <w:rPr>
          <w:rFonts w:ascii="Book Antiqua" w:eastAsia="Book Antiqua" w:hAnsi="Book Antiqua" w:cs="Book Antiqua"/>
          <w:color w:val="000000"/>
        </w:rPr>
        <w:t>s</w:t>
      </w:r>
      <w:r w:rsidRPr="00A9578D">
        <w:rPr>
          <w:rFonts w:ascii="Book Antiqua" w:eastAsia="Book Antiqua" w:hAnsi="Book Antiqua" w:cs="Book Antiqua"/>
          <w:color w:val="000000"/>
        </w:rPr>
        <w:t xml:space="preserve"> w</w:t>
      </w:r>
      <w:r w:rsidR="008B7D08">
        <w:rPr>
          <w:rFonts w:ascii="Book Antiqua" w:eastAsia="Book Antiqua" w:hAnsi="Book Antiqua" w:cs="Book Antiqua"/>
          <w:color w:val="000000"/>
        </w:rPr>
        <w:t>ere</w:t>
      </w:r>
      <w:r w:rsidRPr="00A9578D">
        <w:rPr>
          <w:rFonts w:ascii="Book Antiqua" w:eastAsia="Book Antiqua" w:hAnsi="Book Antiqua" w:cs="Book Antiqua"/>
          <w:color w:val="000000"/>
        </w:rPr>
        <w:t xml:space="preserve"> compared using Student’s </w:t>
      </w:r>
      <w:r w:rsidRPr="00A9578D">
        <w:rPr>
          <w:rFonts w:ascii="Book Antiqua" w:eastAsia="Book Antiqua" w:hAnsi="Book Antiqua" w:cs="Book Antiqua"/>
          <w:i/>
          <w:iCs/>
          <w:color w:val="000000"/>
        </w:rPr>
        <w:t>t</w:t>
      </w:r>
      <w:r w:rsidRPr="00A9578D">
        <w:rPr>
          <w:rFonts w:ascii="Book Antiqua" w:eastAsia="Book Antiqua" w:hAnsi="Book Antiqua" w:cs="Book Antiqua"/>
          <w:color w:val="000000"/>
        </w:rPr>
        <w:t xml:space="preserve"> test. For those </w:t>
      </w:r>
      <w:r w:rsidR="00DF6F14">
        <w:rPr>
          <w:rFonts w:ascii="Book Antiqua" w:eastAsia="Book Antiqua" w:hAnsi="Book Antiqua" w:cs="Book Antiqua"/>
          <w:color w:val="000000"/>
        </w:rPr>
        <w:t xml:space="preserve">data that </w:t>
      </w:r>
      <w:r w:rsidRPr="00A9578D">
        <w:rPr>
          <w:rFonts w:ascii="Book Antiqua" w:eastAsia="Book Antiqua" w:hAnsi="Book Antiqua" w:cs="Book Antiqua"/>
          <w:color w:val="000000"/>
        </w:rPr>
        <w:t>were not subject to normal distribution, nonparametric Mann-Whitney rank-sum test was used. Enumeration data was expressed by using %</w:t>
      </w:r>
      <w:r w:rsidR="00DF6F14">
        <w:rPr>
          <w:rFonts w:ascii="Book Antiqua" w:eastAsia="Book Antiqua" w:hAnsi="Book Antiqua" w:cs="Book Antiqua"/>
          <w:color w:val="000000"/>
        </w:rPr>
        <w:t>,</w:t>
      </w:r>
      <w:r w:rsidRPr="00A9578D">
        <w:rPr>
          <w:rFonts w:ascii="Book Antiqua" w:eastAsia="Book Antiqua" w:hAnsi="Book Antiqua" w:cs="Book Antiqua"/>
          <w:color w:val="000000"/>
        </w:rPr>
        <w:t xml:space="preserve"> and intergroup difference was compared using </w:t>
      </w:r>
      <w:r w:rsidRPr="00A9578D">
        <w:rPr>
          <w:rFonts w:ascii="Book Antiqua" w:eastAsia="Book Antiqua" w:hAnsi="Book Antiqua" w:cs="Book Antiqua"/>
          <w:i/>
          <w:iCs/>
          <w:color w:val="000000"/>
        </w:rPr>
        <w:t>χ</w:t>
      </w:r>
      <w:r w:rsidRPr="00A9578D">
        <w:rPr>
          <w:rFonts w:ascii="Book Antiqua" w:eastAsia="Book Antiqua" w:hAnsi="Book Antiqua" w:cs="Book Antiqua"/>
          <w:color w:val="000000"/>
          <w:vertAlign w:val="superscript"/>
        </w:rPr>
        <w:t>2</w:t>
      </w:r>
      <w:r w:rsidRPr="00A9578D">
        <w:rPr>
          <w:rFonts w:ascii="Book Antiqua" w:eastAsia="Book Antiqua" w:hAnsi="Book Antiqua" w:cs="Book Antiqua"/>
          <w:color w:val="000000"/>
        </w:rPr>
        <w:t xml:space="preserve"> tests. </w:t>
      </w:r>
      <w:r w:rsidRPr="00A9578D">
        <w:rPr>
          <w:rFonts w:ascii="Book Antiqua" w:eastAsia="Book Antiqua" w:hAnsi="Book Antiqua" w:cs="Book Antiqua"/>
          <w:i/>
          <w:iCs/>
          <w:color w:val="000000"/>
        </w:rPr>
        <w:t>P</w:t>
      </w:r>
      <w:r w:rsidRPr="00A9578D">
        <w:rPr>
          <w:rFonts w:ascii="Book Antiqua" w:eastAsia="Book Antiqua" w:hAnsi="Book Antiqua" w:cs="Book Antiqua"/>
          <w:color w:val="000000"/>
        </w:rPr>
        <w:t xml:space="preserve"> &lt; 0.05 represented a significant difference.</w:t>
      </w:r>
    </w:p>
    <w:bookmarkEnd w:id="38"/>
    <w:bookmarkEnd w:id="39"/>
    <w:p w14:paraId="226DDCA3" w14:textId="77777777" w:rsidR="00A77B3E" w:rsidRPr="00A9578D" w:rsidRDefault="00A77B3E" w:rsidP="00A9578D">
      <w:pPr>
        <w:spacing w:line="360" w:lineRule="auto"/>
        <w:ind w:firstLine="480"/>
        <w:jc w:val="both"/>
        <w:rPr>
          <w:rFonts w:ascii="Book Antiqua" w:hAnsi="Book Antiqua"/>
        </w:rPr>
      </w:pPr>
    </w:p>
    <w:p w14:paraId="6BB629FC"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aps/>
          <w:color w:val="000000"/>
          <w:u w:val="single"/>
        </w:rPr>
        <w:t>RESULTS</w:t>
      </w:r>
    </w:p>
    <w:p w14:paraId="4675A168" w14:textId="77777777" w:rsidR="00A77B3E" w:rsidRPr="00A9578D" w:rsidRDefault="008F2839" w:rsidP="00A9578D">
      <w:pPr>
        <w:spacing w:line="360" w:lineRule="auto"/>
        <w:jc w:val="both"/>
        <w:rPr>
          <w:rFonts w:ascii="Book Antiqua" w:hAnsi="Book Antiqua"/>
        </w:rPr>
      </w:pPr>
      <w:bookmarkStart w:id="46" w:name="OLE_LINK528"/>
      <w:bookmarkStart w:id="47" w:name="OLE_LINK529"/>
      <w:r w:rsidRPr="00A9578D">
        <w:rPr>
          <w:rFonts w:ascii="Book Antiqua" w:eastAsia="Book Antiqua" w:hAnsi="Book Antiqua" w:cs="Book Antiqua"/>
          <w:b/>
          <w:bCs/>
          <w:i/>
          <w:iCs/>
          <w:color w:val="000000"/>
        </w:rPr>
        <w:lastRenderedPageBreak/>
        <w:t>Expression of Runx3 and Ki-67</w:t>
      </w:r>
    </w:p>
    <w:p w14:paraId="29BDEC2C" w14:textId="21DFA170"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There was no significant difference in the expression of Runx3 and Ki-67 at biopsy between the two groups before the treatment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&gt; 0.05). Compared with those before the treatment,</w:t>
      </w:r>
      <w:r w:rsidR="0049320B">
        <w:rPr>
          <w:rFonts w:ascii="Book Antiqua" w:eastAsia="Book Antiqua" w:hAnsi="Book Antiqua" w:cs="Book Antiqua"/>
          <w:color w:val="000000"/>
        </w:rPr>
        <w:t xml:space="preserve"> the</w:t>
      </w:r>
      <w:r w:rsidRPr="00A9578D">
        <w:rPr>
          <w:rFonts w:ascii="Book Antiqua" w:eastAsia="Book Antiqua" w:hAnsi="Book Antiqua" w:cs="Book Antiqua"/>
          <w:color w:val="000000"/>
        </w:rPr>
        <w:t xml:space="preserve"> positive rate of Runx3 expression was increased and </w:t>
      </w:r>
      <w:r w:rsidR="0049320B">
        <w:rPr>
          <w:rFonts w:ascii="Book Antiqua" w:eastAsia="Book Antiqua" w:hAnsi="Book Antiqua" w:cs="Book Antiqua"/>
          <w:color w:val="000000"/>
        </w:rPr>
        <w:t xml:space="preserve">the </w:t>
      </w:r>
      <w:r w:rsidRPr="00A9578D">
        <w:rPr>
          <w:rFonts w:ascii="Book Antiqua" w:eastAsia="Book Antiqua" w:hAnsi="Book Antiqua" w:cs="Book Antiqua"/>
          <w:color w:val="000000"/>
        </w:rPr>
        <w:t xml:space="preserve">positive rate of Ki-67 expression was decreased in both groups after the treatment (all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&lt; 0.05, </w:t>
      </w:r>
      <w:r w:rsidRPr="00A9578D">
        <w:rPr>
          <w:rFonts w:ascii="Book Antiqua" w:eastAsia="Book Antiqua" w:hAnsi="Book Antiqua" w:cs="Book Antiqua"/>
          <w:bCs/>
          <w:color w:val="000000"/>
        </w:rPr>
        <w:t>Table 1</w:t>
      </w:r>
      <w:r w:rsidRPr="00A9578D">
        <w:rPr>
          <w:rFonts w:ascii="Book Antiqua" w:eastAsia="Book Antiqua" w:hAnsi="Book Antiqua" w:cs="Book Antiqua"/>
          <w:color w:val="000000"/>
        </w:rPr>
        <w:t>).</w:t>
      </w:r>
    </w:p>
    <w:p w14:paraId="761A2235" w14:textId="77777777" w:rsidR="00A77B3E" w:rsidRPr="00A9578D" w:rsidRDefault="00A77B3E" w:rsidP="00A9578D">
      <w:pPr>
        <w:spacing w:line="360" w:lineRule="auto"/>
        <w:jc w:val="both"/>
        <w:rPr>
          <w:rFonts w:ascii="Book Antiqua" w:hAnsi="Book Antiqua"/>
        </w:rPr>
      </w:pPr>
    </w:p>
    <w:p w14:paraId="639F3D5E"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i/>
          <w:iCs/>
          <w:color w:val="000000"/>
        </w:rPr>
        <w:t>Chemoradiotherapy-induced adverse reactions</w:t>
      </w:r>
    </w:p>
    <w:p w14:paraId="6F02319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By comparing the incidence of adverse reactions between the two groups before the operation, it revealed that the incidence of leukopenia, thrombocytopenia, neutropenia and diarrhea was higher in the observation group than in the control group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&lt; 0.05, </w:t>
      </w:r>
      <w:r w:rsidRPr="00A9578D">
        <w:rPr>
          <w:rFonts w:ascii="Book Antiqua" w:eastAsia="Book Antiqua" w:hAnsi="Book Antiqua" w:cs="Book Antiqua"/>
          <w:bCs/>
          <w:color w:val="000000"/>
        </w:rPr>
        <w:t>Table 2</w:t>
      </w:r>
      <w:r w:rsidRPr="00A9578D">
        <w:rPr>
          <w:rFonts w:ascii="Book Antiqua" w:eastAsia="Book Antiqua" w:hAnsi="Book Antiqua" w:cs="Book Antiqua"/>
          <w:color w:val="000000"/>
        </w:rPr>
        <w:t>). However, there was no significant difference in the incidence of anemia, fatigue, neurotoxicity and nausea and vomiting between the two groups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&gt; 0.05).</w:t>
      </w:r>
    </w:p>
    <w:p w14:paraId="4234492A" w14:textId="77777777" w:rsidR="00A77B3E" w:rsidRPr="00A9578D" w:rsidRDefault="00A77B3E" w:rsidP="00A9578D">
      <w:pPr>
        <w:spacing w:line="360" w:lineRule="auto"/>
        <w:jc w:val="both"/>
        <w:rPr>
          <w:rFonts w:ascii="Book Antiqua" w:hAnsi="Book Antiqua"/>
        </w:rPr>
      </w:pPr>
    </w:p>
    <w:p w14:paraId="6AE7A0CE"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i/>
          <w:iCs/>
          <w:color w:val="000000"/>
        </w:rPr>
        <w:t>Operation indices</w:t>
      </w:r>
    </w:p>
    <w:p w14:paraId="5310E2CA" w14:textId="4778D775"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No significant difference was observed in the duration of surgery, intraoperative blood loss, rate of anus conservation and postoperative complications between the two groups after comparison of </w:t>
      </w:r>
      <w:r w:rsidR="009F2EB6">
        <w:rPr>
          <w:rFonts w:ascii="Book Antiqua" w:eastAsia="Book Antiqua" w:hAnsi="Book Antiqua" w:cs="Book Antiqua"/>
          <w:color w:val="000000"/>
        </w:rPr>
        <w:t xml:space="preserve">the </w:t>
      </w:r>
      <w:r w:rsidRPr="00A9578D">
        <w:rPr>
          <w:rFonts w:ascii="Book Antiqua" w:eastAsia="Book Antiqua" w:hAnsi="Book Antiqua" w:cs="Book Antiqua"/>
          <w:color w:val="000000"/>
        </w:rPr>
        <w:t>operation indices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&gt; 0.05, </w:t>
      </w:r>
      <w:r w:rsidRPr="00A9578D">
        <w:rPr>
          <w:rFonts w:ascii="Book Antiqua" w:eastAsia="Book Antiqua" w:hAnsi="Book Antiqua" w:cs="Book Antiqua"/>
          <w:bCs/>
          <w:color w:val="000000"/>
        </w:rPr>
        <w:t>Table 3</w:t>
      </w:r>
      <w:r w:rsidRPr="00A9578D">
        <w:rPr>
          <w:rFonts w:ascii="Book Antiqua" w:eastAsia="Book Antiqua" w:hAnsi="Book Antiqua" w:cs="Book Antiqua"/>
          <w:color w:val="000000"/>
        </w:rPr>
        <w:t>).</w:t>
      </w:r>
    </w:p>
    <w:p w14:paraId="49D94536" w14:textId="77777777" w:rsidR="00A77B3E" w:rsidRPr="00A9578D" w:rsidRDefault="00A77B3E" w:rsidP="00A9578D">
      <w:pPr>
        <w:spacing w:line="360" w:lineRule="auto"/>
        <w:jc w:val="both"/>
        <w:rPr>
          <w:rFonts w:ascii="Book Antiqua" w:hAnsi="Book Antiqua"/>
        </w:rPr>
      </w:pPr>
    </w:p>
    <w:p w14:paraId="2F40FCB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i/>
          <w:iCs/>
          <w:color w:val="000000"/>
        </w:rPr>
        <w:t>One-year survival, recurrence and distant metastasis</w:t>
      </w:r>
    </w:p>
    <w:p w14:paraId="6B2ABE22" w14:textId="342637D5"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After a follow-up of </w:t>
      </w:r>
      <w:r w:rsidR="00411304">
        <w:rPr>
          <w:rFonts w:ascii="Book Antiqua" w:eastAsia="Book Antiqua" w:hAnsi="Book Antiqua" w:cs="Book Antiqua"/>
          <w:color w:val="000000"/>
        </w:rPr>
        <w:t>1</w:t>
      </w:r>
      <w:r w:rsidR="00411304"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year, 1-yr survival was 80.0% (40/50) in the observation group and 68.0% (34/50) in the control group. The recurrence rate was 8.0% (4/50) in the observation group and 10.0% (5/50) in the control group. The distant metastasis rate was 6.0% (3/50) in the observation group and 8.0% (4/50) in the control group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&gt; 0.05).</w:t>
      </w:r>
    </w:p>
    <w:p w14:paraId="61CD0228" w14:textId="77777777" w:rsidR="00A77B3E" w:rsidRPr="00A9578D" w:rsidRDefault="00A77B3E" w:rsidP="00A9578D">
      <w:pPr>
        <w:spacing w:line="360" w:lineRule="auto"/>
        <w:jc w:val="both"/>
        <w:rPr>
          <w:rFonts w:ascii="Book Antiqua" w:hAnsi="Book Antiqua"/>
        </w:rPr>
      </w:pPr>
    </w:p>
    <w:bookmarkEnd w:id="46"/>
    <w:bookmarkEnd w:id="47"/>
    <w:p w14:paraId="10D8904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aps/>
          <w:color w:val="000000"/>
          <w:u w:val="single"/>
        </w:rPr>
        <w:t>DISCUSSION</w:t>
      </w:r>
    </w:p>
    <w:p w14:paraId="5F239BCE" w14:textId="1397C396" w:rsidR="00A77B3E" w:rsidRPr="00A9578D" w:rsidRDefault="009A79CC" w:rsidP="00A9578D">
      <w:pPr>
        <w:spacing w:line="360" w:lineRule="auto"/>
        <w:jc w:val="both"/>
        <w:rPr>
          <w:rFonts w:ascii="Book Antiqua" w:hAnsi="Book Antiqua"/>
        </w:rPr>
      </w:pPr>
      <w:bookmarkStart w:id="48" w:name="OLE_LINK530"/>
      <w:bookmarkStart w:id="49" w:name="OLE_LINK531"/>
      <w:bookmarkStart w:id="50" w:name="OLE_LINK532"/>
      <w:r>
        <w:rPr>
          <w:rFonts w:ascii="Book Antiqua" w:eastAsia="Book Antiqua" w:hAnsi="Book Antiqua" w:cs="Book Antiqua"/>
          <w:color w:val="000000"/>
        </w:rPr>
        <w:t xml:space="preserve">The </w:t>
      </w:r>
      <w:r w:rsidR="008F2839" w:rsidRPr="00A9578D">
        <w:rPr>
          <w:rFonts w:ascii="Book Antiqua" w:eastAsia="Book Antiqua" w:hAnsi="Book Antiqua" w:cs="Book Antiqua"/>
          <w:color w:val="000000"/>
        </w:rPr>
        <w:t xml:space="preserve">requirements for health are increasing with the improvement of quality of life. However, a large fraction of people </w:t>
      </w:r>
      <w:r w:rsidR="00804366">
        <w:rPr>
          <w:rFonts w:ascii="Book Antiqua" w:eastAsia="Book Antiqua" w:hAnsi="Book Antiqua" w:cs="Book Antiqua"/>
          <w:color w:val="000000"/>
        </w:rPr>
        <w:t>lead a</w:t>
      </w:r>
      <w:r w:rsidR="008F2839" w:rsidRPr="00A9578D">
        <w:rPr>
          <w:rFonts w:ascii="Book Antiqua" w:eastAsia="Book Antiqua" w:hAnsi="Book Antiqua" w:cs="Book Antiqua"/>
          <w:color w:val="000000"/>
        </w:rPr>
        <w:t>n unhealthy lifestyle</w:t>
      </w:r>
      <w:r w:rsidR="00804366">
        <w:rPr>
          <w:rFonts w:ascii="Book Antiqua" w:eastAsia="Book Antiqua" w:hAnsi="Book Antiqua" w:cs="Book Antiqua"/>
          <w:color w:val="000000"/>
        </w:rPr>
        <w:t>,</w:t>
      </w:r>
      <w:r w:rsidR="008F2839" w:rsidRPr="00A9578D">
        <w:rPr>
          <w:rFonts w:ascii="Book Antiqua" w:eastAsia="Book Antiqua" w:hAnsi="Book Antiqua" w:cs="Book Antiqua"/>
          <w:color w:val="000000"/>
        </w:rPr>
        <w:t xml:space="preserve"> which lead</w:t>
      </w:r>
      <w:r w:rsidR="00804366">
        <w:rPr>
          <w:rFonts w:ascii="Book Antiqua" w:eastAsia="Book Antiqua" w:hAnsi="Book Antiqua" w:cs="Book Antiqua"/>
          <w:color w:val="000000"/>
        </w:rPr>
        <w:t>s</w:t>
      </w:r>
      <w:r w:rsidR="008F2839" w:rsidRPr="00A9578D">
        <w:rPr>
          <w:rFonts w:ascii="Book Antiqua" w:eastAsia="Book Antiqua" w:hAnsi="Book Antiqua" w:cs="Book Antiqua"/>
          <w:color w:val="000000"/>
        </w:rPr>
        <w:t xml:space="preserve"> to high-risk rectal cancer. Chemoradiotherapy combined with surgery remains the main therapy for this disease. Although many studies</w:t>
      </w:r>
      <w:r w:rsidR="00804366">
        <w:rPr>
          <w:rFonts w:ascii="Book Antiqua" w:eastAsia="Book Antiqua" w:hAnsi="Book Antiqua" w:cs="Book Antiqua"/>
          <w:color w:val="000000"/>
        </w:rPr>
        <w:t xml:space="preserve"> have</w:t>
      </w:r>
      <w:r w:rsidR="008F2839" w:rsidRPr="00A9578D">
        <w:rPr>
          <w:rFonts w:ascii="Book Antiqua" w:eastAsia="Book Antiqua" w:hAnsi="Book Antiqua" w:cs="Book Antiqua"/>
          <w:color w:val="000000"/>
        </w:rPr>
        <w:t xml:space="preserve"> explored the efficacy of short </w:t>
      </w:r>
      <w:r w:rsidR="00B52ECA">
        <w:rPr>
          <w:rFonts w:ascii="Book Antiqua" w:eastAsia="Book Antiqua" w:hAnsi="Book Antiqua" w:cs="Book Antiqua"/>
          <w:color w:val="000000"/>
        </w:rPr>
        <w:t>duration</w:t>
      </w:r>
      <w:r w:rsidR="008F2839" w:rsidRPr="00A9578D">
        <w:rPr>
          <w:rFonts w:ascii="Book Antiqua" w:eastAsia="Book Antiqua" w:hAnsi="Book Antiqua" w:cs="Book Antiqua"/>
          <w:color w:val="000000"/>
        </w:rPr>
        <w:t xml:space="preserve"> radiotherapy combined with chemotherapy for the treatment of advanced rectal cancer, </w:t>
      </w:r>
      <w:r w:rsidR="008F2839" w:rsidRPr="00A9578D">
        <w:rPr>
          <w:rFonts w:ascii="Book Antiqua" w:eastAsia="Book Antiqua" w:hAnsi="Book Antiqua" w:cs="Book Antiqua"/>
          <w:color w:val="000000"/>
        </w:rPr>
        <w:lastRenderedPageBreak/>
        <w:t>the focus varies among these studies</w:t>
      </w:r>
      <w:r w:rsidR="008F2839" w:rsidRPr="00A9578D">
        <w:rPr>
          <w:rFonts w:ascii="Book Antiqua" w:eastAsia="Book Antiqua" w:hAnsi="Book Antiqua" w:cs="Book Antiqua"/>
          <w:color w:val="000000"/>
          <w:vertAlign w:val="superscript"/>
        </w:rPr>
        <w:t>[8-10]</w:t>
      </w:r>
      <w:r w:rsidR="008F2839" w:rsidRPr="00A9578D">
        <w:rPr>
          <w:rFonts w:ascii="Book Antiqua" w:eastAsia="Book Antiqua" w:hAnsi="Book Antiqua" w:cs="Book Antiqua"/>
          <w:color w:val="000000"/>
        </w:rPr>
        <w:t xml:space="preserve">. Some studies examined local resection rate in early low rectal cancer and others analyzed the short-term efficacy and adverse reactions of these treatments. The present study discussed the efficacy of short duration radiotherapy combined with chemotherapy for advanced rectal cancer </w:t>
      </w:r>
      <w:r w:rsidR="00BB4214">
        <w:rPr>
          <w:rFonts w:ascii="Book Antiqua" w:eastAsia="Book Antiqua" w:hAnsi="Book Antiqua" w:cs="Book Antiqua"/>
          <w:color w:val="000000"/>
        </w:rPr>
        <w:t xml:space="preserve">in order </w:t>
      </w:r>
      <w:r w:rsidR="008F2839" w:rsidRPr="00A9578D">
        <w:rPr>
          <w:rFonts w:ascii="Book Antiqua" w:eastAsia="Book Antiqua" w:hAnsi="Book Antiqua" w:cs="Book Antiqua"/>
          <w:color w:val="000000"/>
        </w:rPr>
        <w:t>to f</w:t>
      </w:r>
      <w:r w:rsidR="00BB4214">
        <w:rPr>
          <w:rFonts w:ascii="Book Antiqua" w:eastAsia="Book Antiqua" w:hAnsi="Book Antiqua" w:cs="Book Antiqua"/>
          <w:color w:val="000000"/>
        </w:rPr>
        <w:t>i</w:t>
      </w:r>
      <w:r w:rsidR="008F2839" w:rsidRPr="00A9578D">
        <w:rPr>
          <w:rFonts w:ascii="Book Antiqua" w:eastAsia="Book Antiqua" w:hAnsi="Book Antiqua" w:cs="Book Antiqua"/>
          <w:color w:val="000000"/>
        </w:rPr>
        <w:t>nd more suitable treatments</w:t>
      </w:r>
      <w:r w:rsidR="008F2839" w:rsidRPr="00A9578D">
        <w:rPr>
          <w:rFonts w:ascii="Book Antiqua" w:eastAsia="Book Antiqua" w:hAnsi="Book Antiqua" w:cs="Book Antiqua"/>
          <w:color w:val="000000"/>
          <w:vertAlign w:val="superscript"/>
        </w:rPr>
        <w:t>[11-13]</w:t>
      </w:r>
      <w:r w:rsidR="008F2839" w:rsidRPr="00A9578D">
        <w:rPr>
          <w:rFonts w:ascii="Book Antiqua" w:eastAsia="Book Antiqua" w:hAnsi="Book Antiqua" w:cs="Book Antiqua"/>
          <w:color w:val="000000"/>
        </w:rPr>
        <w:t xml:space="preserve">. </w:t>
      </w:r>
    </w:p>
    <w:p w14:paraId="6CC3A9D9" w14:textId="28F7DEE7" w:rsidR="0007422E" w:rsidRDefault="008F2839" w:rsidP="00A9578D">
      <w:pPr>
        <w:spacing w:line="360" w:lineRule="auto"/>
        <w:ind w:firstLineChars="100" w:firstLine="240"/>
        <w:jc w:val="both"/>
        <w:rPr>
          <w:rFonts w:ascii="Book Antiqua" w:eastAsia="Book Antiqua" w:hAnsi="Book Antiqua" w:cs="Book Antiqua"/>
          <w:color w:val="000000"/>
        </w:rPr>
      </w:pPr>
      <w:r w:rsidRPr="00A9578D">
        <w:rPr>
          <w:rFonts w:ascii="Book Antiqua" w:eastAsia="Book Antiqua" w:hAnsi="Book Antiqua" w:cs="Book Antiqua"/>
          <w:color w:val="000000"/>
        </w:rPr>
        <w:t>The occurrence and development of colorectal cancer is regulated and controlled by multiple genes. Among them, Runx3 and Ki-67 play an important role in the occurrence, development, metastasis and prognosis of colorectal cancer</w:t>
      </w:r>
      <w:r w:rsidRPr="00A9578D">
        <w:rPr>
          <w:rFonts w:ascii="Book Antiqua" w:eastAsia="Book Antiqua" w:hAnsi="Book Antiqua" w:cs="Book Antiqua"/>
          <w:color w:val="000000"/>
          <w:vertAlign w:val="superscript"/>
        </w:rPr>
        <w:t>[14]</w:t>
      </w:r>
      <w:r w:rsidRPr="00A9578D">
        <w:rPr>
          <w:rFonts w:ascii="Book Antiqua" w:eastAsia="Book Antiqua" w:hAnsi="Book Antiqua" w:cs="Book Antiqua"/>
          <w:color w:val="000000"/>
        </w:rPr>
        <w:t xml:space="preserve">. Downregulation of deactivation of Runx3 gene transcription may lead to evolution and progression of several tumors. Runx3 </w:t>
      </w:r>
      <w:r w:rsidR="00BB4214">
        <w:rPr>
          <w:rFonts w:ascii="Book Antiqua" w:eastAsia="Book Antiqua" w:hAnsi="Book Antiqua" w:cs="Book Antiqua"/>
          <w:color w:val="000000"/>
        </w:rPr>
        <w:t>is l</w:t>
      </w:r>
      <w:r w:rsidRPr="00A9578D">
        <w:rPr>
          <w:rFonts w:ascii="Book Antiqua" w:eastAsia="Book Antiqua" w:hAnsi="Book Antiqua" w:cs="Book Antiqua"/>
          <w:color w:val="000000"/>
        </w:rPr>
        <w:t xml:space="preserve">ocalized on chromosome </w:t>
      </w:r>
      <w:r w:rsidRPr="00A9578D">
        <w:rPr>
          <w:rFonts w:ascii="Book Antiqua" w:eastAsia="Book Antiqua" w:hAnsi="Book Antiqua" w:cs="Book Antiqua"/>
          <w:bCs/>
          <w:color w:val="000000"/>
        </w:rPr>
        <w:t xml:space="preserve">1p36.1 </w:t>
      </w:r>
      <w:r w:rsidR="00BB4214">
        <w:rPr>
          <w:rFonts w:ascii="Book Antiqua" w:eastAsia="Book Antiqua" w:hAnsi="Book Antiqua" w:cs="Book Antiqua"/>
          <w:bCs/>
          <w:color w:val="000000"/>
        </w:rPr>
        <w:t xml:space="preserve">and </w:t>
      </w:r>
      <w:r w:rsidRPr="00A9578D">
        <w:rPr>
          <w:rFonts w:ascii="Book Antiqua" w:eastAsia="Book Antiqua" w:hAnsi="Book Antiqua" w:cs="Book Antiqua"/>
          <w:bCs/>
          <w:color w:val="000000"/>
        </w:rPr>
        <w:t>is a</w:t>
      </w:r>
      <w:r w:rsidRPr="00A9578D">
        <w:rPr>
          <w:rFonts w:ascii="Book Antiqua" w:eastAsia="Book Antiqua" w:hAnsi="Book Antiqua" w:cs="Book Antiqua"/>
          <w:b/>
          <w:bCs/>
          <w:color w:val="000000"/>
        </w:rPr>
        <w:t xml:space="preserve"> </w:t>
      </w:r>
      <w:r w:rsidRPr="00A9578D">
        <w:rPr>
          <w:rFonts w:ascii="Book Antiqua" w:eastAsia="Book Antiqua" w:hAnsi="Book Antiqua" w:cs="Book Antiqua"/>
          <w:color w:val="000000"/>
        </w:rPr>
        <w:t>tumor suppressor gene. It can direct</w:t>
      </w:r>
      <w:r w:rsidR="00BB4214">
        <w:rPr>
          <w:rFonts w:ascii="Book Antiqua" w:eastAsia="Book Antiqua" w:hAnsi="Book Antiqua" w:cs="Book Antiqua"/>
          <w:color w:val="000000"/>
        </w:rPr>
        <w:t>ly</w:t>
      </w:r>
      <w:r w:rsidRPr="00A9578D">
        <w:rPr>
          <w:rFonts w:ascii="Book Antiqua" w:eastAsia="Book Antiqua" w:hAnsi="Book Antiqua" w:cs="Book Antiqua"/>
          <w:color w:val="000000"/>
        </w:rPr>
        <w:t xml:space="preserve"> compound activat</w:t>
      </w:r>
      <w:r w:rsidR="00BB4214">
        <w:rPr>
          <w:rFonts w:ascii="Book Antiqua" w:eastAsia="Book Antiqua" w:hAnsi="Book Antiqua" w:cs="Book Antiqua"/>
          <w:color w:val="000000"/>
        </w:rPr>
        <w:t>ion</w:t>
      </w:r>
      <w:r w:rsidRPr="00A9578D">
        <w:rPr>
          <w:rFonts w:ascii="Book Antiqua" w:eastAsia="Book Antiqua" w:hAnsi="Book Antiqua" w:cs="Book Antiqua"/>
          <w:color w:val="000000"/>
        </w:rPr>
        <w:t xml:space="preserve"> through signal transduction of transforming growth factor to switch from membrane to specific targeted sites of nucleus. Under the direction of Runx3 protein, compounds will bind to targeted sites and activate genes to achieve cell differentiation, cycle regulation, pro-apoptosis and malignant transformation. Inactivation may cause </w:t>
      </w:r>
      <w:r w:rsidR="0007422E">
        <w:rPr>
          <w:rFonts w:ascii="Book Antiqua" w:eastAsia="Book Antiqua" w:hAnsi="Book Antiqua" w:cs="Book Antiqua"/>
          <w:color w:val="000000"/>
        </w:rPr>
        <w:t xml:space="preserve">the </w:t>
      </w:r>
      <w:r w:rsidRPr="00A9578D">
        <w:rPr>
          <w:rFonts w:ascii="Book Antiqua" w:eastAsia="Book Antiqua" w:hAnsi="Book Antiqua" w:cs="Book Antiqua"/>
          <w:color w:val="000000"/>
        </w:rPr>
        <w:t xml:space="preserve">signal transduction pathway </w:t>
      </w:r>
      <w:r w:rsidR="0007422E">
        <w:rPr>
          <w:rFonts w:ascii="Book Antiqua" w:eastAsia="Book Antiqua" w:hAnsi="Book Antiqua" w:cs="Book Antiqua"/>
          <w:color w:val="000000"/>
        </w:rPr>
        <w:t xml:space="preserve">to be </w:t>
      </w:r>
      <w:r w:rsidRPr="00A9578D">
        <w:rPr>
          <w:rFonts w:ascii="Book Antiqua" w:eastAsia="Book Antiqua" w:hAnsi="Book Antiqua" w:cs="Book Antiqua"/>
          <w:color w:val="000000"/>
        </w:rPr>
        <w:t xml:space="preserve">out of control, which further induces inhibition of apoptosis and even the evolution and progression of tumors. </w:t>
      </w:r>
    </w:p>
    <w:p w14:paraId="741D0786" w14:textId="482F1F8E"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Ki-67, a nuclear protein, is associated with RNA transcription and proliferation within cells. The expression of Ki-67 is high in the period of cell differentiation and proliferation, which reflects the extent of cell differentiation and proliferation. The expression of Ki-67 is associated with the development of various tumors. Moreover, the expression levels of Ki-67 are significantly associated with the prognosis of colorectal liver metastases. The current study revealed that the expression of Runx3 was increased and the expression of</w:t>
      </w:r>
      <w:r w:rsidR="00B52ECA">
        <w:rPr>
          <w:rFonts w:ascii="Book Antiqua" w:eastAsia="Book Antiqua" w:hAnsi="Book Antiqua" w:cs="Book Antiqua"/>
          <w:color w:val="000000"/>
        </w:rPr>
        <w:t xml:space="preserve"> Ki-67</w:t>
      </w:r>
      <w:r w:rsidRPr="00A9578D">
        <w:rPr>
          <w:rFonts w:ascii="Book Antiqua" w:eastAsia="Book Antiqua" w:hAnsi="Book Antiqua" w:cs="Book Antiqua"/>
          <w:color w:val="000000"/>
        </w:rPr>
        <w:t xml:space="preserve"> was decreased in both groups after the treatment compared with those before the treatment, suggesting short</w:t>
      </w:r>
      <w:r w:rsidR="00B52ECA">
        <w:rPr>
          <w:rFonts w:ascii="Book Antiqua" w:eastAsia="Book Antiqua" w:hAnsi="Book Antiqua" w:cs="Book Antiqua"/>
          <w:color w:val="000000"/>
        </w:rPr>
        <w:t xml:space="preserve"> </w:t>
      </w:r>
      <w:r w:rsidRPr="00A9578D">
        <w:rPr>
          <w:rFonts w:ascii="Book Antiqua" w:eastAsia="Book Antiqua" w:hAnsi="Book Antiqua" w:cs="Book Antiqua"/>
          <w:color w:val="000000"/>
        </w:rPr>
        <w:t xml:space="preserve">duration radiotherapy and chemotherapy can effectively inhibit the progression of tumors and improve the treatment outcomes. </w:t>
      </w:r>
    </w:p>
    <w:p w14:paraId="18B689C8" w14:textId="063D17D5"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 xml:space="preserve">Short </w:t>
      </w:r>
      <w:r w:rsidR="00A202A3">
        <w:rPr>
          <w:rFonts w:ascii="Book Antiqua" w:eastAsia="Book Antiqua" w:hAnsi="Book Antiqua" w:cs="Book Antiqua"/>
          <w:color w:val="000000"/>
        </w:rPr>
        <w:t>duration</w:t>
      </w:r>
      <w:r w:rsidR="00A202A3"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 xml:space="preserve">radiotherapy could effectively </w:t>
      </w:r>
      <w:r w:rsidR="00A202A3" w:rsidRPr="00A9578D">
        <w:rPr>
          <w:rFonts w:ascii="Book Antiqua" w:eastAsia="Book Antiqua" w:hAnsi="Book Antiqua" w:cs="Book Antiqua"/>
          <w:color w:val="000000"/>
        </w:rPr>
        <w:t>kill</w:t>
      </w:r>
      <w:r w:rsidR="00A202A3">
        <w:rPr>
          <w:rFonts w:ascii="Book Antiqua" w:eastAsia="Book Antiqua" w:hAnsi="Book Antiqua" w:cs="Book Antiqua"/>
          <w:color w:val="000000"/>
        </w:rPr>
        <w:t xml:space="preserve"> the </w:t>
      </w:r>
      <w:r w:rsidRPr="00A9578D">
        <w:rPr>
          <w:rFonts w:ascii="Book Antiqua" w:eastAsia="Book Antiqua" w:hAnsi="Book Antiqua" w:cs="Book Antiqua"/>
          <w:color w:val="000000"/>
        </w:rPr>
        <w:t xml:space="preserve">proliferating cells outer layer of tumor in spite of high dose of single radiation and in such a short time. </w:t>
      </w:r>
      <w:r w:rsidR="00521A27">
        <w:rPr>
          <w:rFonts w:ascii="Book Antiqua" w:eastAsia="Book Antiqua" w:hAnsi="Book Antiqua" w:cs="Book Antiqua"/>
          <w:color w:val="000000"/>
        </w:rPr>
        <w:t>In addition</w:t>
      </w:r>
      <w:r w:rsidRPr="00A9578D">
        <w:rPr>
          <w:rFonts w:ascii="Book Antiqua" w:eastAsia="Book Antiqua" w:hAnsi="Book Antiqua" w:cs="Book Antiqua"/>
          <w:color w:val="000000"/>
        </w:rPr>
        <w:t>, short</w:t>
      </w:r>
      <w:r w:rsidR="00B52ECA">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radiation can effectively avoid the effect of radiation-induced complications on subsequent surgery</w:t>
      </w:r>
      <w:r w:rsidR="00521A27">
        <w:rPr>
          <w:rFonts w:ascii="Book Antiqua" w:eastAsia="Book Antiqua" w:hAnsi="Book Antiqua" w:cs="Book Antiqua"/>
          <w:color w:val="000000"/>
        </w:rPr>
        <w:t>,</w:t>
      </w:r>
      <w:r w:rsidRPr="00A9578D">
        <w:rPr>
          <w:rFonts w:ascii="Book Antiqua" w:eastAsia="Book Antiqua" w:hAnsi="Book Antiqua" w:cs="Book Antiqua"/>
          <w:color w:val="000000"/>
        </w:rPr>
        <w:t xml:space="preserve"> and </w:t>
      </w:r>
      <w:r w:rsidRPr="00A9578D">
        <w:rPr>
          <w:rFonts w:ascii="Book Antiqua" w:eastAsia="Book Antiqua" w:hAnsi="Book Antiqua" w:cs="Book Antiqua"/>
          <w:bCs/>
          <w:color w:val="000000"/>
        </w:rPr>
        <w:t xml:space="preserve">duration </w:t>
      </w:r>
      <w:r w:rsidRPr="00A9578D">
        <w:rPr>
          <w:rFonts w:ascii="Book Antiqua" w:eastAsia="Book Antiqua" w:hAnsi="Book Antiqua" w:cs="Book Antiqua"/>
          <w:color w:val="000000"/>
        </w:rPr>
        <w:t xml:space="preserve">of therapy and </w:t>
      </w:r>
      <w:r w:rsidRPr="00A9578D">
        <w:rPr>
          <w:rFonts w:ascii="Book Antiqua" w:eastAsia="Book Antiqua" w:hAnsi="Book Antiqua" w:cs="Book Antiqua"/>
          <w:bCs/>
          <w:color w:val="000000"/>
        </w:rPr>
        <w:t>treatment-free intervals</w:t>
      </w:r>
      <w:r w:rsidRPr="00A9578D">
        <w:rPr>
          <w:rFonts w:ascii="Book Antiqua" w:eastAsia="Book Antiqua" w:hAnsi="Book Antiqua" w:cs="Book Antiqua"/>
          <w:i/>
          <w:iCs/>
          <w:color w:val="000000"/>
        </w:rPr>
        <w:t xml:space="preserve"> </w:t>
      </w:r>
      <w:r w:rsidRPr="00A9578D">
        <w:rPr>
          <w:rFonts w:ascii="Book Antiqua" w:eastAsia="Book Antiqua" w:hAnsi="Book Antiqua" w:cs="Book Antiqua"/>
          <w:color w:val="000000"/>
        </w:rPr>
        <w:t xml:space="preserve">is shortened </w:t>
      </w:r>
      <w:r w:rsidRPr="00A9578D">
        <w:rPr>
          <w:rFonts w:ascii="Book Antiqua" w:eastAsia="Book Antiqua" w:hAnsi="Book Antiqua" w:cs="Book Antiqua"/>
          <w:color w:val="000000"/>
        </w:rPr>
        <w:lastRenderedPageBreak/>
        <w:t>due to the simple and easy operation, which can reduce economic burden and improve postoperative therapeutic efficacy</w:t>
      </w:r>
      <w:r w:rsidRPr="00A9578D">
        <w:rPr>
          <w:rFonts w:ascii="Book Antiqua" w:eastAsia="Book Antiqua" w:hAnsi="Book Antiqua" w:cs="Book Antiqua"/>
          <w:color w:val="000000"/>
          <w:vertAlign w:val="superscript"/>
        </w:rPr>
        <w:t>[15-17]</w:t>
      </w:r>
      <w:r w:rsidRPr="00A9578D">
        <w:rPr>
          <w:rFonts w:ascii="Book Antiqua" w:eastAsia="Book Antiqua" w:hAnsi="Book Antiqua" w:cs="Book Antiqua"/>
          <w:color w:val="000000"/>
        </w:rPr>
        <w:t>. This study indicated that short</w:t>
      </w:r>
      <w:r w:rsidR="00B52ECA">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radiotherapy combined with chemotherapy can effectively reduce the incidence of leukopenia, thrombocytopenia, neutropenia and diarrhea in patients with advanced rectal cancer. Short duration radiotherapy combined with chemotherapy can beneficially relieve postoperative complications and improve quality of life in patients with advanced rectal cancer</w:t>
      </w:r>
      <w:r w:rsidRPr="00A9578D">
        <w:rPr>
          <w:rFonts w:ascii="Book Antiqua" w:eastAsia="Book Antiqua" w:hAnsi="Book Antiqua" w:cs="Book Antiqua"/>
          <w:color w:val="000000"/>
          <w:vertAlign w:val="superscript"/>
        </w:rPr>
        <w:t>[18-21]</w:t>
      </w:r>
      <w:r w:rsidRPr="00A9578D">
        <w:rPr>
          <w:rFonts w:ascii="Book Antiqua" w:eastAsia="Book Antiqua" w:hAnsi="Book Antiqua" w:cs="Book Antiqua"/>
          <w:color w:val="000000"/>
        </w:rPr>
        <w:t xml:space="preserve">. Furthermore, operation indices </w:t>
      </w:r>
      <w:r w:rsidR="00487E62">
        <w:rPr>
          <w:rFonts w:ascii="Book Antiqua" w:eastAsia="Book Antiqua" w:hAnsi="Book Antiqua" w:cs="Book Antiqua"/>
          <w:color w:val="000000"/>
        </w:rPr>
        <w:t>we</w:t>
      </w:r>
      <w:r w:rsidRPr="00A9578D">
        <w:rPr>
          <w:rFonts w:ascii="Book Antiqua" w:eastAsia="Book Antiqua" w:hAnsi="Book Antiqua" w:cs="Book Antiqua"/>
          <w:color w:val="000000"/>
        </w:rPr>
        <w:t xml:space="preserve">re </w:t>
      </w:r>
      <w:r w:rsidR="00487E62">
        <w:rPr>
          <w:rFonts w:ascii="Book Antiqua" w:eastAsia="Book Antiqua" w:hAnsi="Book Antiqua" w:cs="Book Antiqua"/>
          <w:color w:val="000000"/>
        </w:rPr>
        <w:t xml:space="preserve">similar </w:t>
      </w:r>
      <w:r w:rsidRPr="00A9578D">
        <w:rPr>
          <w:rFonts w:ascii="Book Antiqua" w:eastAsia="Book Antiqua" w:hAnsi="Book Antiqua" w:cs="Book Antiqua"/>
          <w:color w:val="000000"/>
        </w:rPr>
        <w:t xml:space="preserve">between short duration radiotherapy combined with chemotherapy and convention chemoradiotherapy, suggesting </w:t>
      </w:r>
      <w:r w:rsidR="00487E62">
        <w:rPr>
          <w:rFonts w:ascii="Book Antiqua" w:eastAsia="Book Antiqua" w:hAnsi="Book Antiqua" w:cs="Book Antiqua"/>
          <w:color w:val="000000"/>
        </w:rPr>
        <w:t xml:space="preserve">that </w:t>
      </w:r>
      <w:r w:rsidRPr="00A9578D">
        <w:rPr>
          <w:rFonts w:ascii="Book Antiqua" w:eastAsia="Book Antiqua" w:hAnsi="Book Antiqua" w:cs="Book Antiqua"/>
          <w:color w:val="000000"/>
        </w:rPr>
        <w:t>short duration radiotherapy combined with chemotherapy is safe and is worthy of promotion</w:t>
      </w:r>
      <w:r w:rsidR="00A42B07" w:rsidRPr="00A9578D">
        <w:rPr>
          <w:rFonts w:ascii="Book Antiqua" w:eastAsia="Book Antiqua" w:hAnsi="Book Antiqua" w:cs="Book Antiqua"/>
          <w:color w:val="000000"/>
          <w:vertAlign w:val="superscript"/>
        </w:rPr>
        <w:t>[18</w:t>
      </w:r>
      <w:r w:rsidR="00A42B07" w:rsidRPr="00A9578D">
        <w:rPr>
          <w:rFonts w:ascii="Book Antiqua" w:hAnsi="Book Antiqua" w:cs="Book Antiqua"/>
          <w:color w:val="000000"/>
          <w:vertAlign w:val="superscript"/>
          <w:lang w:eastAsia="zh-CN"/>
        </w:rPr>
        <w:t>,</w:t>
      </w:r>
      <w:r w:rsidRPr="00A9578D">
        <w:rPr>
          <w:rFonts w:ascii="Book Antiqua" w:eastAsia="Book Antiqua" w:hAnsi="Book Antiqua" w:cs="Book Antiqua"/>
          <w:color w:val="000000"/>
          <w:vertAlign w:val="superscript"/>
        </w:rPr>
        <w:t>19]</w:t>
      </w:r>
      <w:r w:rsidRPr="00A9578D">
        <w:rPr>
          <w:rFonts w:ascii="Book Antiqua" w:eastAsia="Book Antiqua" w:hAnsi="Book Antiqua" w:cs="Book Antiqua"/>
          <w:color w:val="000000"/>
        </w:rPr>
        <w:t xml:space="preserve">. In addition, there is </w:t>
      </w:r>
      <w:r w:rsidR="00487E62">
        <w:rPr>
          <w:rFonts w:ascii="Book Antiqua" w:eastAsia="Book Antiqua" w:hAnsi="Book Antiqua" w:cs="Book Antiqua"/>
          <w:color w:val="000000"/>
        </w:rPr>
        <w:t>little</w:t>
      </w:r>
      <w:r w:rsidRPr="00A9578D">
        <w:rPr>
          <w:rFonts w:ascii="Book Antiqua" w:eastAsia="Book Antiqua" w:hAnsi="Book Antiqua" w:cs="Book Antiqua"/>
          <w:color w:val="000000"/>
        </w:rPr>
        <w:t xml:space="preserve"> difference in 1-yr survival, recurrence and distant metastasis rates between the two groups, which could be accounted by the short study duration. </w:t>
      </w:r>
    </w:p>
    <w:bookmarkEnd w:id="48"/>
    <w:bookmarkEnd w:id="49"/>
    <w:bookmarkEnd w:id="50"/>
    <w:p w14:paraId="2DD078ED" w14:textId="77777777" w:rsidR="00A77B3E" w:rsidRPr="00A9578D" w:rsidRDefault="00A77B3E" w:rsidP="00A9578D">
      <w:pPr>
        <w:spacing w:line="360" w:lineRule="auto"/>
        <w:ind w:firstLine="480"/>
        <w:jc w:val="both"/>
        <w:rPr>
          <w:rFonts w:ascii="Book Antiqua" w:hAnsi="Book Antiqua"/>
        </w:rPr>
      </w:pPr>
    </w:p>
    <w:p w14:paraId="31BBE993"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aps/>
          <w:color w:val="000000"/>
          <w:u w:val="single"/>
        </w:rPr>
        <w:t>CONCLUSION</w:t>
      </w:r>
    </w:p>
    <w:p w14:paraId="10FC7F34" w14:textId="164FADEA" w:rsidR="00A77B3E" w:rsidRPr="00A9578D" w:rsidRDefault="008F2839" w:rsidP="00A9578D">
      <w:pPr>
        <w:spacing w:line="360" w:lineRule="auto"/>
        <w:jc w:val="both"/>
        <w:rPr>
          <w:rFonts w:ascii="Book Antiqua" w:hAnsi="Book Antiqua"/>
        </w:rPr>
      </w:pPr>
      <w:bookmarkStart w:id="51" w:name="OLE_LINK533"/>
      <w:bookmarkStart w:id="52" w:name="OLE_LINK534"/>
      <w:r w:rsidRPr="00A9578D">
        <w:rPr>
          <w:rFonts w:ascii="Book Antiqua" w:eastAsia="Book Antiqua" w:hAnsi="Book Antiqua" w:cs="Book Antiqua"/>
          <w:color w:val="000000"/>
        </w:rPr>
        <w:t xml:space="preserve">In the future study, length of time for the periods of study observation should be prolonged to further discuss the long-term rehabilitation outcomes of short </w:t>
      </w:r>
      <w:r w:rsidR="00B52ECA">
        <w:rPr>
          <w:rFonts w:ascii="Book Antiqua" w:eastAsia="Book Antiqua" w:hAnsi="Book Antiqua" w:cs="Book Antiqua"/>
          <w:color w:val="000000"/>
        </w:rPr>
        <w:t xml:space="preserve">duration </w:t>
      </w:r>
      <w:r w:rsidRPr="00A9578D">
        <w:rPr>
          <w:rFonts w:ascii="Book Antiqua" w:eastAsia="Book Antiqua" w:hAnsi="Book Antiqua" w:cs="Book Antiqua"/>
          <w:color w:val="000000"/>
        </w:rPr>
        <w:t>radiotherapy combined with chemotherapy.</w:t>
      </w:r>
    </w:p>
    <w:bookmarkEnd w:id="51"/>
    <w:bookmarkEnd w:id="52"/>
    <w:p w14:paraId="41A8965A" w14:textId="77777777" w:rsidR="00A77B3E" w:rsidRPr="00A9578D" w:rsidRDefault="00A77B3E" w:rsidP="00A9578D">
      <w:pPr>
        <w:spacing w:line="360" w:lineRule="auto"/>
        <w:jc w:val="both"/>
        <w:rPr>
          <w:rFonts w:ascii="Book Antiqua" w:hAnsi="Book Antiqua"/>
        </w:rPr>
      </w:pPr>
    </w:p>
    <w:p w14:paraId="7B9CD7D4"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aps/>
          <w:color w:val="000000"/>
          <w:u w:val="single"/>
        </w:rPr>
        <w:t>ARTICLE HIGHLIGHTS</w:t>
      </w:r>
    </w:p>
    <w:p w14:paraId="4B10D7C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background</w:t>
      </w:r>
    </w:p>
    <w:p w14:paraId="6031C4C7" w14:textId="7EAD6DA2" w:rsidR="00A77B3E" w:rsidRPr="00A9578D" w:rsidRDefault="008F2839" w:rsidP="00A9578D">
      <w:pPr>
        <w:spacing w:line="360" w:lineRule="auto"/>
        <w:jc w:val="both"/>
        <w:rPr>
          <w:rFonts w:ascii="Book Antiqua" w:hAnsi="Book Antiqua"/>
        </w:rPr>
      </w:pPr>
      <w:bookmarkStart w:id="53" w:name="OLE_LINK535"/>
      <w:bookmarkStart w:id="54" w:name="OLE_LINK536"/>
      <w:bookmarkStart w:id="55" w:name="OLE_LINK537"/>
      <w:r w:rsidRPr="00A9578D">
        <w:rPr>
          <w:rFonts w:ascii="Book Antiqua" w:eastAsia="Book Antiqua" w:hAnsi="Book Antiqua" w:cs="Book Antiqua"/>
          <w:color w:val="000000"/>
        </w:rPr>
        <w:t xml:space="preserve">Short </w:t>
      </w:r>
      <w:r w:rsidR="00487E62">
        <w:rPr>
          <w:rFonts w:ascii="Book Antiqua" w:eastAsia="Book Antiqua" w:hAnsi="Book Antiqua" w:cs="Book Antiqua"/>
          <w:color w:val="000000"/>
        </w:rPr>
        <w:t>duration</w:t>
      </w:r>
      <w:r w:rsidR="00487E62"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 xml:space="preserve">radiation treatment may have a valuable role in the treatment of patients assessed as too frail to undergo long </w:t>
      </w:r>
      <w:r w:rsidR="00A202A3">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chemoradiation. Studies have compared short</w:t>
      </w:r>
      <w:r w:rsidR="00B52ECA">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w:t>
      </w:r>
      <w:r w:rsidRPr="00A9578D">
        <w:rPr>
          <w:rFonts w:ascii="Book Antiqua" w:eastAsia="Book Antiqua" w:hAnsi="Book Antiqua" w:cs="Book Antiqua"/>
          <w:i/>
          <w:iCs/>
          <w:color w:val="000000"/>
        </w:rPr>
        <w:t>vs</w:t>
      </w:r>
      <w:r w:rsidRPr="00A9578D">
        <w:rPr>
          <w:rFonts w:ascii="Book Antiqua" w:eastAsia="Book Antiqua" w:hAnsi="Book Antiqua" w:cs="Book Antiqua"/>
          <w:color w:val="000000"/>
        </w:rPr>
        <w:t xml:space="preserve"> long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for rectal cancer. However, the results are contradict</w:t>
      </w:r>
      <w:r w:rsidR="00487E62">
        <w:rPr>
          <w:rFonts w:ascii="Book Antiqua" w:eastAsia="Book Antiqua" w:hAnsi="Book Antiqua" w:cs="Book Antiqua"/>
          <w:color w:val="000000"/>
        </w:rPr>
        <w:t>ory</w:t>
      </w:r>
      <w:r w:rsidRPr="00A9578D">
        <w:rPr>
          <w:rFonts w:ascii="Book Antiqua" w:eastAsia="Book Antiqua" w:hAnsi="Book Antiqua" w:cs="Book Antiqua"/>
          <w:color w:val="000000"/>
        </w:rPr>
        <w:t xml:space="preserve">. The present study explored the efficacy and safety of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for advanced rectal cancer. </w:t>
      </w:r>
    </w:p>
    <w:bookmarkEnd w:id="53"/>
    <w:bookmarkEnd w:id="54"/>
    <w:bookmarkEnd w:id="55"/>
    <w:p w14:paraId="7056F2F0" w14:textId="77777777" w:rsidR="00A77B3E" w:rsidRPr="00A9578D" w:rsidRDefault="00A77B3E" w:rsidP="00A9578D">
      <w:pPr>
        <w:spacing w:line="360" w:lineRule="auto"/>
        <w:jc w:val="both"/>
        <w:rPr>
          <w:rFonts w:ascii="Book Antiqua" w:hAnsi="Book Antiqua"/>
        </w:rPr>
      </w:pPr>
    </w:p>
    <w:p w14:paraId="52B2C99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motivation</w:t>
      </w:r>
    </w:p>
    <w:p w14:paraId="2FEB7434" w14:textId="061875B6" w:rsidR="00A77B3E" w:rsidRPr="00A9578D" w:rsidRDefault="008F2839" w:rsidP="00A9578D">
      <w:pPr>
        <w:spacing w:line="360" w:lineRule="auto"/>
        <w:jc w:val="both"/>
        <w:rPr>
          <w:rFonts w:ascii="Book Antiqua" w:hAnsi="Book Antiqua"/>
        </w:rPr>
      </w:pPr>
      <w:bookmarkStart w:id="56" w:name="OLE_LINK538"/>
      <w:bookmarkStart w:id="57" w:name="OLE_LINK539"/>
      <w:bookmarkStart w:id="58" w:name="OLE_LINK540"/>
      <w:r w:rsidRPr="00A9578D">
        <w:rPr>
          <w:rFonts w:ascii="Book Antiqua" w:eastAsia="Book Antiqua" w:hAnsi="Book Antiqua" w:cs="Book Antiqua"/>
          <w:color w:val="000000"/>
        </w:rPr>
        <w:t xml:space="preserve">The present </w:t>
      </w:r>
      <w:r w:rsidR="00326407">
        <w:rPr>
          <w:rFonts w:ascii="Book Antiqua" w:eastAsia="Book Antiqua" w:hAnsi="Book Antiqua" w:cs="Book Antiqua"/>
          <w:color w:val="000000"/>
        </w:rPr>
        <w:t>study sought</w:t>
      </w:r>
      <w:r w:rsidRPr="00A9578D">
        <w:rPr>
          <w:rFonts w:ascii="Book Antiqua" w:eastAsia="Book Antiqua" w:hAnsi="Book Antiqua" w:cs="Book Antiqua"/>
          <w:color w:val="000000"/>
        </w:rPr>
        <w:t xml:space="preserve"> the optimal duration of radiation therapy for advanced rectal cancer to improve survival time and reduce complications and recurrence by comparing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w:t>
      </w:r>
      <w:r w:rsidRPr="00A9578D">
        <w:rPr>
          <w:rFonts w:ascii="Book Antiqua" w:eastAsia="Book Antiqua" w:hAnsi="Book Antiqua" w:cs="Book Antiqua"/>
          <w:i/>
          <w:iCs/>
          <w:color w:val="000000"/>
        </w:rPr>
        <w:t>vs</w:t>
      </w:r>
      <w:r w:rsidRPr="00A9578D">
        <w:rPr>
          <w:rFonts w:ascii="Book Antiqua" w:eastAsia="Book Antiqua" w:hAnsi="Book Antiqua" w:cs="Book Antiqua"/>
          <w:color w:val="000000"/>
        </w:rPr>
        <w:t xml:space="preserve"> long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radiotherapy in patients with advanced rectal cancer.</w:t>
      </w:r>
    </w:p>
    <w:bookmarkEnd w:id="56"/>
    <w:bookmarkEnd w:id="57"/>
    <w:bookmarkEnd w:id="58"/>
    <w:p w14:paraId="76D5AF07" w14:textId="77777777" w:rsidR="00A77B3E" w:rsidRPr="00A9578D" w:rsidRDefault="00A77B3E" w:rsidP="00A9578D">
      <w:pPr>
        <w:spacing w:line="360" w:lineRule="auto"/>
        <w:jc w:val="both"/>
        <w:rPr>
          <w:rFonts w:ascii="Book Antiqua" w:hAnsi="Book Antiqua"/>
        </w:rPr>
      </w:pPr>
    </w:p>
    <w:p w14:paraId="7EA88BF6"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objectives</w:t>
      </w:r>
    </w:p>
    <w:p w14:paraId="230E564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This study aimed to discuss the efficacy and safety of short duration radiotherapy combined with chemotherapy for the treatment of advanced rectal cancer. </w:t>
      </w:r>
    </w:p>
    <w:p w14:paraId="7810A9A5" w14:textId="77777777" w:rsidR="00A77B3E" w:rsidRPr="00A9578D" w:rsidRDefault="00A77B3E" w:rsidP="00A9578D">
      <w:pPr>
        <w:spacing w:line="360" w:lineRule="auto"/>
        <w:jc w:val="both"/>
        <w:rPr>
          <w:rFonts w:ascii="Book Antiqua" w:hAnsi="Book Antiqua"/>
        </w:rPr>
      </w:pPr>
    </w:p>
    <w:p w14:paraId="3249269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methods</w:t>
      </w:r>
    </w:p>
    <w:p w14:paraId="3B593376" w14:textId="36E27005" w:rsidR="00A77B3E" w:rsidRPr="00A9578D" w:rsidRDefault="008F2839" w:rsidP="00A9578D">
      <w:pPr>
        <w:spacing w:line="360" w:lineRule="auto"/>
        <w:jc w:val="both"/>
        <w:rPr>
          <w:rFonts w:ascii="Book Antiqua" w:hAnsi="Book Antiqua"/>
        </w:rPr>
      </w:pPr>
      <w:bookmarkStart w:id="59" w:name="OLE_LINK541"/>
      <w:bookmarkStart w:id="60" w:name="OLE_LINK542"/>
      <w:r w:rsidRPr="00A9578D">
        <w:rPr>
          <w:rFonts w:ascii="Book Antiqua" w:eastAsia="Book Antiqua" w:hAnsi="Book Antiqua" w:cs="Book Antiqua"/>
          <w:color w:val="000000"/>
        </w:rPr>
        <w:t xml:space="preserve">This study compared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(5 Gy in 5 fractions) with conventional long </w:t>
      </w:r>
      <w:r w:rsidR="00A202A3">
        <w:rPr>
          <w:rFonts w:ascii="Book Antiqua" w:eastAsia="Book Antiqua" w:hAnsi="Book Antiqua" w:cs="Book Antiqua"/>
          <w:color w:val="000000"/>
        </w:rPr>
        <w:t xml:space="preserve">duration </w:t>
      </w:r>
      <w:r w:rsidRPr="00A9578D">
        <w:rPr>
          <w:rFonts w:ascii="Book Antiqua" w:eastAsia="Book Antiqua" w:hAnsi="Book Antiqua" w:cs="Book Antiqua"/>
          <w:color w:val="000000"/>
        </w:rPr>
        <w:t xml:space="preserve">chemoradiation (1.8 to 2.0 Gy in 25 to 28 fractions) in 100 patients with IIIB or </w:t>
      </w:r>
      <w:r w:rsidR="0086790E">
        <w:rPr>
          <w:rFonts w:ascii="Book Antiqua" w:eastAsia="Book Antiqua" w:hAnsi="Book Antiqua" w:cs="Book Antiqua"/>
          <w:color w:val="000000"/>
        </w:rPr>
        <w:t>IV</w:t>
      </w:r>
      <w:r w:rsidRPr="00A9578D">
        <w:rPr>
          <w:rFonts w:ascii="Book Antiqua" w:eastAsia="Book Antiqua" w:hAnsi="Book Antiqua" w:cs="Book Antiqua"/>
          <w:color w:val="000000"/>
        </w:rPr>
        <w:t xml:space="preserve"> rectal cancer between December 2018 and December 2019. Expression of Runx3 and Ki-67, chemoradiotherapy-induced adverse reactions, operation indices, 1-yr survival, recurrence and distant metastasis were researched to see whether there was an advantage in the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group. </w:t>
      </w:r>
    </w:p>
    <w:p w14:paraId="681804D7" w14:textId="77777777" w:rsidR="00A77B3E" w:rsidRPr="00A9578D" w:rsidRDefault="00A77B3E" w:rsidP="00A9578D">
      <w:pPr>
        <w:spacing w:line="360" w:lineRule="auto"/>
        <w:jc w:val="both"/>
        <w:rPr>
          <w:rFonts w:ascii="Book Antiqua" w:hAnsi="Book Antiqua"/>
        </w:rPr>
      </w:pPr>
    </w:p>
    <w:bookmarkEnd w:id="59"/>
    <w:bookmarkEnd w:id="60"/>
    <w:p w14:paraId="7C7E972D"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results</w:t>
      </w:r>
    </w:p>
    <w:p w14:paraId="1F7A88D8" w14:textId="2E2728E0"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Almost no statistically significant differences were observed in the incidence and operation indices when comparing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with conventional long </w:t>
      </w:r>
      <w:r w:rsidR="00A202A3">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chemoradiation. However, the 1-yr survival rate was higher and the recurrence rate and distant metastasis rate were lower in the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group than in the long </w:t>
      </w:r>
      <w:r w:rsidR="00A202A3">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group.</w:t>
      </w:r>
    </w:p>
    <w:p w14:paraId="3AE084BC" w14:textId="77777777" w:rsidR="00A77B3E" w:rsidRPr="00A9578D" w:rsidRDefault="00A77B3E" w:rsidP="00A9578D">
      <w:pPr>
        <w:spacing w:line="360" w:lineRule="auto"/>
        <w:jc w:val="both"/>
        <w:rPr>
          <w:rFonts w:ascii="Book Antiqua" w:hAnsi="Book Antiqua"/>
        </w:rPr>
      </w:pPr>
    </w:p>
    <w:p w14:paraId="5250F7F6"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conclusions</w:t>
      </w:r>
    </w:p>
    <w:p w14:paraId="07458624" w14:textId="17D52F9F"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Based on the results,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seems to </w:t>
      </w:r>
      <w:r w:rsidR="0086790E">
        <w:rPr>
          <w:rFonts w:ascii="Book Antiqua" w:eastAsia="Book Antiqua" w:hAnsi="Book Antiqua" w:cs="Book Antiqua"/>
          <w:color w:val="000000"/>
        </w:rPr>
        <w:t xml:space="preserve">be </w:t>
      </w:r>
      <w:r w:rsidRPr="00A9578D">
        <w:rPr>
          <w:rFonts w:ascii="Book Antiqua" w:eastAsia="Book Antiqua" w:hAnsi="Book Antiqua" w:cs="Book Antiqua"/>
          <w:color w:val="000000"/>
        </w:rPr>
        <w:t xml:space="preserve">effective for the </w:t>
      </w:r>
      <w:r w:rsidR="0086790E">
        <w:rPr>
          <w:rFonts w:ascii="Book Antiqua" w:eastAsia="Book Antiqua" w:hAnsi="Book Antiqua" w:cs="Book Antiqua"/>
          <w:color w:val="000000"/>
        </w:rPr>
        <w:t xml:space="preserve">treatment of </w:t>
      </w:r>
      <w:r w:rsidRPr="00A9578D">
        <w:rPr>
          <w:rFonts w:ascii="Book Antiqua" w:eastAsia="Book Antiqua" w:hAnsi="Book Antiqua" w:cs="Book Antiqua"/>
          <w:color w:val="000000"/>
        </w:rPr>
        <w:t xml:space="preserve">advanced rectal cancer. In addition, clear survival benefits were observed with low incidence of recurrence and distant metastasis in the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group. </w:t>
      </w:r>
    </w:p>
    <w:p w14:paraId="1137CA87" w14:textId="77777777" w:rsidR="00A77B3E" w:rsidRPr="00A9578D" w:rsidRDefault="00A77B3E" w:rsidP="00A9578D">
      <w:pPr>
        <w:spacing w:line="360" w:lineRule="auto"/>
        <w:jc w:val="both"/>
        <w:rPr>
          <w:rFonts w:ascii="Book Antiqua" w:hAnsi="Book Antiqua"/>
        </w:rPr>
      </w:pPr>
    </w:p>
    <w:p w14:paraId="24616068"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perspectives</w:t>
      </w:r>
    </w:p>
    <w:p w14:paraId="46BC3492" w14:textId="110F0A1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Further studies in a multidisciplinary setting are warranted to identify whether the more convenient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should be considered if there are clear </w:t>
      </w:r>
      <w:r w:rsidRPr="00A9578D">
        <w:rPr>
          <w:rFonts w:ascii="Book Antiqua" w:eastAsia="Book Antiqua" w:hAnsi="Book Antiqua" w:cs="Book Antiqua"/>
          <w:color w:val="000000"/>
        </w:rPr>
        <w:lastRenderedPageBreak/>
        <w:t xml:space="preserve">concerns regarding a patient’s physical or psychosocial ability to tolerate long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chemoradiation to determine the most appropriate individualized therapeutic strategy. </w:t>
      </w:r>
    </w:p>
    <w:p w14:paraId="3D39A71F" w14:textId="77777777" w:rsidR="00A77B3E" w:rsidRPr="00A9578D" w:rsidRDefault="00A77B3E" w:rsidP="00A9578D">
      <w:pPr>
        <w:spacing w:line="360" w:lineRule="auto"/>
        <w:jc w:val="both"/>
        <w:rPr>
          <w:rFonts w:ascii="Book Antiqua" w:hAnsi="Book Antiqua"/>
        </w:rPr>
      </w:pPr>
    </w:p>
    <w:p w14:paraId="67CD212F"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REFERENCES</w:t>
      </w:r>
    </w:p>
    <w:p w14:paraId="437EE882" w14:textId="77777777" w:rsidR="00A77B3E" w:rsidRPr="00A9578D" w:rsidRDefault="008F2839" w:rsidP="00A9578D">
      <w:pPr>
        <w:spacing w:line="360" w:lineRule="auto"/>
        <w:jc w:val="both"/>
        <w:rPr>
          <w:rFonts w:ascii="Book Antiqua" w:hAnsi="Book Antiqua"/>
        </w:rPr>
      </w:pPr>
      <w:bookmarkStart w:id="61" w:name="OLE_LINK9"/>
      <w:bookmarkStart w:id="62" w:name="OLE_LINK10"/>
      <w:bookmarkStart w:id="63" w:name="OLE_LINK543"/>
      <w:bookmarkStart w:id="64" w:name="OLE_LINK544"/>
      <w:bookmarkStart w:id="65" w:name="OLE_LINK545"/>
      <w:r w:rsidRPr="00A9578D">
        <w:rPr>
          <w:rFonts w:ascii="Book Antiqua" w:eastAsia="Book Antiqua" w:hAnsi="Book Antiqua" w:cs="Book Antiqua"/>
          <w:color w:val="000000"/>
        </w:rPr>
        <w:t xml:space="preserve">1 </w:t>
      </w:r>
      <w:r w:rsidRPr="00A9578D">
        <w:rPr>
          <w:rFonts w:ascii="Book Antiqua" w:eastAsia="Book Antiqua" w:hAnsi="Book Antiqua" w:cs="Book Antiqua"/>
          <w:b/>
          <w:bCs/>
          <w:color w:val="000000"/>
        </w:rPr>
        <w:t>Minsky BD</w:t>
      </w:r>
      <w:r w:rsidRPr="00A9578D">
        <w:rPr>
          <w:rFonts w:ascii="Book Antiqua" w:eastAsia="Book Antiqua" w:hAnsi="Book Antiqua" w:cs="Book Antiqua"/>
          <w:color w:val="000000"/>
        </w:rPr>
        <w:t xml:space="preserve">. Emerging trends in the treatment of rectal cancer. </w:t>
      </w:r>
      <w:r w:rsidRPr="00A9578D">
        <w:rPr>
          <w:rFonts w:ascii="Book Antiqua" w:eastAsia="Book Antiqua" w:hAnsi="Book Antiqua" w:cs="Book Antiqua"/>
          <w:i/>
          <w:iCs/>
          <w:color w:val="000000"/>
        </w:rPr>
        <w:t>Acta Oncol</w:t>
      </w:r>
      <w:r w:rsidRPr="00A9578D">
        <w:rPr>
          <w:rFonts w:ascii="Book Antiqua" w:eastAsia="Book Antiqua" w:hAnsi="Book Antiqua" w:cs="Book Antiqua"/>
          <w:color w:val="000000"/>
        </w:rPr>
        <w:t xml:space="preserve"> 2019; </w:t>
      </w:r>
      <w:r w:rsidRPr="00A9578D">
        <w:rPr>
          <w:rFonts w:ascii="Book Antiqua" w:eastAsia="Book Antiqua" w:hAnsi="Book Antiqua" w:cs="Book Antiqua"/>
          <w:b/>
          <w:bCs/>
          <w:color w:val="000000"/>
        </w:rPr>
        <w:t>58</w:t>
      </w:r>
      <w:r w:rsidRPr="00A9578D">
        <w:rPr>
          <w:rFonts w:ascii="Book Antiqua" w:eastAsia="Book Antiqua" w:hAnsi="Book Antiqua" w:cs="Book Antiqua"/>
          <w:color w:val="000000"/>
        </w:rPr>
        <w:t>: 1343-1351 [PMID: 31271081 DOI: 10.1080/0284186X.2019.1629009]</w:t>
      </w:r>
    </w:p>
    <w:p w14:paraId="76AA944C"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2 </w:t>
      </w:r>
      <w:r w:rsidRPr="00A9578D">
        <w:rPr>
          <w:rFonts w:ascii="Book Antiqua" w:eastAsia="Book Antiqua" w:hAnsi="Book Antiqua" w:cs="Book Antiqua"/>
          <w:b/>
          <w:bCs/>
          <w:color w:val="000000"/>
        </w:rPr>
        <w:t>Yan S</w:t>
      </w:r>
      <w:r w:rsidRPr="00A9578D">
        <w:rPr>
          <w:rFonts w:ascii="Book Antiqua" w:eastAsia="Book Antiqua" w:hAnsi="Book Antiqua" w:cs="Book Antiqua"/>
          <w:color w:val="000000"/>
        </w:rPr>
        <w:t xml:space="preserve">, Sun H, Li Z, Liu S, Han B. Conservative treatment of rectovesical fistula after leakage following laparoscopic radical resection of rectal cancer. </w:t>
      </w:r>
      <w:r w:rsidRPr="00A9578D">
        <w:rPr>
          <w:rFonts w:ascii="Book Antiqua" w:eastAsia="Book Antiqua" w:hAnsi="Book Antiqua" w:cs="Book Antiqua"/>
          <w:i/>
          <w:iCs/>
          <w:color w:val="000000"/>
        </w:rPr>
        <w:t>J Int Med Res</w:t>
      </w:r>
      <w:r w:rsidRPr="00A9578D">
        <w:rPr>
          <w:rFonts w:ascii="Book Antiqua" w:eastAsia="Book Antiqua" w:hAnsi="Book Antiqua" w:cs="Book Antiqua"/>
          <w:color w:val="000000"/>
        </w:rPr>
        <w:t xml:space="preserve"> 2020; </w:t>
      </w:r>
      <w:r w:rsidRPr="00A9578D">
        <w:rPr>
          <w:rFonts w:ascii="Book Antiqua" w:eastAsia="Book Antiqua" w:hAnsi="Book Antiqua" w:cs="Book Antiqua"/>
          <w:b/>
          <w:bCs/>
          <w:color w:val="000000"/>
        </w:rPr>
        <w:t>48</w:t>
      </w:r>
      <w:r w:rsidRPr="00A9578D">
        <w:rPr>
          <w:rFonts w:ascii="Book Antiqua" w:eastAsia="Book Antiqua" w:hAnsi="Book Antiqua" w:cs="Book Antiqua"/>
          <w:color w:val="000000"/>
        </w:rPr>
        <w:t>: 300060520914835 [PMID: 32250201 DOI: 10.1177/0300060520914835]</w:t>
      </w:r>
    </w:p>
    <w:p w14:paraId="090815FC"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3 </w:t>
      </w:r>
      <w:r w:rsidRPr="00A9578D">
        <w:rPr>
          <w:rFonts w:ascii="Book Antiqua" w:eastAsia="Book Antiqua" w:hAnsi="Book Antiqua" w:cs="Book Antiqua"/>
          <w:b/>
          <w:bCs/>
          <w:color w:val="000000"/>
        </w:rPr>
        <w:t>Mullaney TG</w:t>
      </w:r>
      <w:r w:rsidRPr="00A9578D">
        <w:rPr>
          <w:rFonts w:ascii="Book Antiqua" w:eastAsia="Book Antiqua" w:hAnsi="Book Antiqua" w:cs="Book Antiqua"/>
          <w:color w:val="000000"/>
        </w:rPr>
        <w:t xml:space="preserve">, Lightner AL, Johnston M, Keck J, Wattchow D. 'Watch and wait' after chemoradiotherapy for rectal cancer. </w:t>
      </w:r>
      <w:r w:rsidRPr="00A9578D">
        <w:rPr>
          <w:rFonts w:ascii="Book Antiqua" w:eastAsia="Book Antiqua" w:hAnsi="Book Antiqua" w:cs="Book Antiqua"/>
          <w:i/>
          <w:iCs/>
          <w:color w:val="000000"/>
        </w:rPr>
        <w:t>ANZ J Surg</w:t>
      </w:r>
      <w:r w:rsidRPr="00A9578D">
        <w:rPr>
          <w:rFonts w:ascii="Book Antiqua" w:eastAsia="Book Antiqua" w:hAnsi="Book Antiqua" w:cs="Book Antiqua"/>
          <w:color w:val="000000"/>
        </w:rPr>
        <w:t xml:space="preserve"> 2018; </w:t>
      </w:r>
      <w:r w:rsidRPr="00A9578D">
        <w:rPr>
          <w:rFonts w:ascii="Book Antiqua" w:eastAsia="Book Antiqua" w:hAnsi="Book Antiqua" w:cs="Book Antiqua"/>
          <w:b/>
          <w:bCs/>
          <w:color w:val="000000"/>
        </w:rPr>
        <w:t>88</w:t>
      </w:r>
      <w:r w:rsidRPr="00A9578D">
        <w:rPr>
          <w:rFonts w:ascii="Book Antiqua" w:eastAsia="Book Antiqua" w:hAnsi="Book Antiqua" w:cs="Book Antiqua"/>
          <w:color w:val="000000"/>
        </w:rPr>
        <w:t>: 836-841 [PMID: 30047201 DOI: 10.1111/ans.14352]</w:t>
      </w:r>
    </w:p>
    <w:p w14:paraId="1640071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4 </w:t>
      </w:r>
      <w:r w:rsidRPr="00A9578D">
        <w:rPr>
          <w:rFonts w:ascii="Book Antiqua" w:eastAsia="Book Antiqua" w:hAnsi="Book Antiqua" w:cs="Book Antiqua"/>
          <w:b/>
          <w:bCs/>
          <w:color w:val="000000"/>
        </w:rPr>
        <w:t>Dossa F</w:t>
      </w:r>
      <w:r w:rsidRPr="00A9578D">
        <w:rPr>
          <w:rFonts w:ascii="Book Antiqua" w:eastAsia="Book Antiqua" w:hAnsi="Book Antiqua" w:cs="Book Antiqua"/>
          <w:color w:val="000000"/>
        </w:rPr>
        <w:t xml:space="preserve">, Chesney TR, Acuna SA, Baxter NN. A watch-and-wait approach for locally advanced rectal cancer after a clinical complete response following neoadjuvant chemoradiation: a systematic review and meta-analysis. </w:t>
      </w:r>
      <w:r w:rsidRPr="00A9578D">
        <w:rPr>
          <w:rFonts w:ascii="Book Antiqua" w:eastAsia="Book Antiqua" w:hAnsi="Book Antiqua" w:cs="Book Antiqua"/>
          <w:i/>
          <w:iCs/>
          <w:color w:val="000000"/>
        </w:rPr>
        <w:t>Lancet Gastroenterol Hepatol</w:t>
      </w:r>
      <w:r w:rsidRPr="00A9578D">
        <w:rPr>
          <w:rFonts w:ascii="Book Antiqua" w:eastAsia="Book Antiqua" w:hAnsi="Book Antiqua" w:cs="Book Antiqua"/>
          <w:color w:val="000000"/>
        </w:rPr>
        <w:t xml:space="preserve"> 2017; </w:t>
      </w:r>
      <w:r w:rsidRPr="00A9578D">
        <w:rPr>
          <w:rFonts w:ascii="Book Antiqua" w:eastAsia="Book Antiqua" w:hAnsi="Book Antiqua" w:cs="Book Antiqua"/>
          <w:b/>
          <w:bCs/>
          <w:color w:val="000000"/>
        </w:rPr>
        <w:t>2</w:t>
      </w:r>
      <w:r w:rsidRPr="00A9578D">
        <w:rPr>
          <w:rFonts w:ascii="Book Antiqua" w:eastAsia="Book Antiqua" w:hAnsi="Book Antiqua" w:cs="Book Antiqua"/>
          <w:color w:val="000000"/>
        </w:rPr>
        <w:t>: 501-513 [PMID: 28479372 DOI: 10.1016/S2468-1253(17)30074-2]</w:t>
      </w:r>
    </w:p>
    <w:p w14:paraId="315CCD15"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5 </w:t>
      </w:r>
      <w:r w:rsidRPr="00A9578D">
        <w:rPr>
          <w:rFonts w:ascii="Book Antiqua" w:eastAsia="Book Antiqua" w:hAnsi="Book Antiqua" w:cs="Book Antiqua"/>
          <w:b/>
          <w:bCs/>
          <w:color w:val="000000"/>
        </w:rPr>
        <w:t>Park JS</w:t>
      </w:r>
      <w:r w:rsidRPr="00A9578D">
        <w:rPr>
          <w:rFonts w:ascii="Book Antiqua" w:eastAsia="Book Antiqua" w:hAnsi="Book Antiqua" w:cs="Book Antiqua"/>
          <w:color w:val="000000"/>
        </w:rPr>
        <w:t xml:space="preserve">, Park SY, Kim HJ, Cho SH, Kwak SG, Choi GS. Long-term Oncologic Outcomes After Neoadjuvant Chemoradiation Followed by Intersphincteric Resection With Coloanal Anastomosis for Locally Advanced Low Rectal Cancer. </w:t>
      </w:r>
      <w:r w:rsidRPr="00A9578D">
        <w:rPr>
          <w:rFonts w:ascii="Book Antiqua" w:eastAsia="Book Antiqua" w:hAnsi="Book Antiqua" w:cs="Book Antiqua"/>
          <w:i/>
          <w:iCs/>
          <w:color w:val="000000"/>
        </w:rPr>
        <w:t>Dis Colon Rectum</w:t>
      </w:r>
      <w:r w:rsidRPr="00A9578D">
        <w:rPr>
          <w:rFonts w:ascii="Book Antiqua" w:eastAsia="Book Antiqua" w:hAnsi="Book Antiqua" w:cs="Book Antiqua"/>
          <w:color w:val="000000"/>
        </w:rPr>
        <w:t xml:space="preserve"> 2019; </w:t>
      </w:r>
      <w:r w:rsidRPr="00A9578D">
        <w:rPr>
          <w:rFonts w:ascii="Book Antiqua" w:eastAsia="Book Antiqua" w:hAnsi="Book Antiqua" w:cs="Book Antiqua"/>
          <w:b/>
          <w:bCs/>
          <w:color w:val="000000"/>
        </w:rPr>
        <w:t>62</w:t>
      </w:r>
      <w:r w:rsidRPr="00A9578D">
        <w:rPr>
          <w:rFonts w:ascii="Book Antiqua" w:eastAsia="Book Antiqua" w:hAnsi="Book Antiqua" w:cs="Book Antiqua"/>
          <w:color w:val="000000"/>
        </w:rPr>
        <w:t>: 408-416 [PMID: 30688680 DOI: 10.1097/DCR.0000000000001321]</w:t>
      </w:r>
    </w:p>
    <w:p w14:paraId="50345C4B"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6 </w:t>
      </w:r>
      <w:r w:rsidRPr="00A9578D">
        <w:rPr>
          <w:rFonts w:ascii="Book Antiqua" w:eastAsia="Book Antiqua" w:hAnsi="Book Antiqua" w:cs="Book Antiqua"/>
          <w:b/>
          <w:bCs/>
          <w:color w:val="000000"/>
        </w:rPr>
        <w:t>Delgado-Ureña M</w:t>
      </w:r>
      <w:r w:rsidRPr="00A9578D">
        <w:rPr>
          <w:rFonts w:ascii="Book Antiqua" w:eastAsia="Book Antiqua" w:hAnsi="Book Antiqua" w:cs="Book Antiqua"/>
          <w:color w:val="000000"/>
        </w:rPr>
        <w:t xml:space="preserve">, Ortega FG, de Miguel-Pérez D, Rodriguez-Martínez A, García-Puche JL, Ilyine H, Lorente JA, Exposito-Hernandez J, Garrido-Navas MC, Delgado-Ramirez M, Serrano MJ. Circulating tumor cells criteria (CyCAR) </w:t>
      </w:r>
      <w:r w:rsidRPr="00A9578D">
        <w:rPr>
          <w:rFonts w:ascii="Book Antiqua" w:eastAsia="Book Antiqua" w:hAnsi="Book Antiqua" w:cs="Book Antiqua"/>
          <w:i/>
          <w:iCs/>
          <w:color w:val="000000"/>
        </w:rPr>
        <w:t>vs</w:t>
      </w:r>
      <w:r w:rsidRPr="00A9578D">
        <w:rPr>
          <w:rFonts w:ascii="Book Antiqua" w:eastAsia="Book Antiqua" w:hAnsi="Book Antiqua" w:cs="Book Antiqua"/>
          <w:color w:val="000000"/>
        </w:rPr>
        <w:t xml:space="preserve"> standard RECIST criteria for treatment response assessment in metastatic colorectal cancer patients. </w:t>
      </w:r>
      <w:r w:rsidRPr="00A9578D">
        <w:rPr>
          <w:rFonts w:ascii="Book Antiqua" w:eastAsia="Book Antiqua" w:hAnsi="Book Antiqua" w:cs="Book Antiqua"/>
          <w:i/>
          <w:iCs/>
          <w:color w:val="000000"/>
        </w:rPr>
        <w:t>J Transl Med</w:t>
      </w:r>
      <w:r w:rsidRPr="00A9578D">
        <w:rPr>
          <w:rFonts w:ascii="Book Antiqua" w:eastAsia="Book Antiqua" w:hAnsi="Book Antiqua" w:cs="Book Antiqua"/>
          <w:color w:val="000000"/>
        </w:rPr>
        <w:t xml:space="preserve"> 2018; </w:t>
      </w:r>
      <w:r w:rsidRPr="00A9578D">
        <w:rPr>
          <w:rFonts w:ascii="Book Antiqua" w:eastAsia="Book Antiqua" w:hAnsi="Book Antiqua" w:cs="Book Antiqua"/>
          <w:b/>
          <w:bCs/>
          <w:color w:val="000000"/>
        </w:rPr>
        <w:t>16</w:t>
      </w:r>
      <w:r w:rsidRPr="00A9578D">
        <w:rPr>
          <w:rFonts w:ascii="Book Antiqua" w:eastAsia="Book Antiqua" w:hAnsi="Book Antiqua" w:cs="Book Antiqua"/>
          <w:color w:val="000000"/>
        </w:rPr>
        <w:t>: 251 [PMID: 30189880 DOI: 10.1186/s12967-018-1624-2]</w:t>
      </w:r>
    </w:p>
    <w:p w14:paraId="03C595E5"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7 </w:t>
      </w:r>
      <w:r w:rsidRPr="00A9578D">
        <w:rPr>
          <w:rFonts w:ascii="Book Antiqua" w:eastAsia="Book Antiqua" w:hAnsi="Book Antiqua" w:cs="Book Antiqua"/>
          <w:b/>
          <w:bCs/>
          <w:color w:val="000000"/>
        </w:rPr>
        <w:t>Wei J</w:t>
      </w:r>
      <w:r w:rsidRPr="00A9578D">
        <w:rPr>
          <w:rFonts w:ascii="Book Antiqua" w:eastAsia="Book Antiqua" w:hAnsi="Book Antiqua" w:cs="Book Antiqua"/>
          <w:color w:val="000000"/>
        </w:rPr>
        <w:t xml:space="preserve">, Huang R, Guo S, Zhang X, Xi S, Wang Q, Chang H, Wang X, Xiao W, Zeng Z, Gao Y. ypTNM category combined with AJCC tumor regression grade for screening patients with the worst prognosis after neoadjuvant chemoradiation therapy for locally advanced rectal cancer. </w:t>
      </w:r>
      <w:r w:rsidRPr="00A9578D">
        <w:rPr>
          <w:rFonts w:ascii="Book Antiqua" w:eastAsia="Book Antiqua" w:hAnsi="Book Antiqua" w:cs="Book Antiqua"/>
          <w:i/>
          <w:iCs/>
          <w:color w:val="000000"/>
        </w:rPr>
        <w:t>Cancer Manag Res</w:t>
      </w:r>
      <w:r w:rsidRPr="00A9578D">
        <w:rPr>
          <w:rFonts w:ascii="Book Antiqua" w:eastAsia="Book Antiqua" w:hAnsi="Book Antiqua" w:cs="Book Antiqua"/>
          <w:color w:val="000000"/>
        </w:rPr>
        <w:t xml:space="preserve"> 2018; </w:t>
      </w:r>
      <w:r w:rsidRPr="00A9578D">
        <w:rPr>
          <w:rFonts w:ascii="Book Antiqua" w:eastAsia="Book Antiqua" w:hAnsi="Book Antiqua" w:cs="Book Antiqua"/>
          <w:b/>
          <w:bCs/>
          <w:color w:val="000000"/>
        </w:rPr>
        <w:t>10</w:t>
      </w:r>
      <w:r w:rsidRPr="00A9578D">
        <w:rPr>
          <w:rFonts w:ascii="Book Antiqua" w:eastAsia="Book Antiqua" w:hAnsi="Book Antiqua" w:cs="Book Antiqua"/>
          <w:color w:val="000000"/>
        </w:rPr>
        <w:t>: 5219-5225 [PMID: 30464619 DOI: 10.2147/CMAR.S179151]</w:t>
      </w:r>
    </w:p>
    <w:p w14:paraId="4E143434"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lastRenderedPageBreak/>
        <w:t xml:space="preserve">8 </w:t>
      </w:r>
      <w:r w:rsidRPr="00A9578D">
        <w:rPr>
          <w:rFonts w:ascii="Book Antiqua" w:eastAsia="Book Antiqua" w:hAnsi="Book Antiqua" w:cs="Book Antiqua"/>
          <w:b/>
          <w:bCs/>
          <w:color w:val="000000"/>
        </w:rPr>
        <w:t>Xu L</w:t>
      </w:r>
      <w:r w:rsidRPr="00A9578D">
        <w:rPr>
          <w:rFonts w:ascii="Book Antiqua" w:eastAsia="Book Antiqua" w:hAnsi="Book Antiqua" w:cs="Book Antiqua"/>
          <w:color w:val="000000"/>
        </w:rPr>
        <w:t xml:space="preserve">, Cai S, Xiao T, Chen Y, Qiu H, Wu B, Lin G, Sun X, Lu J, Zhou W, Xiao Y. Prognostic significance of tumour regression grade after neoadjuvant chemoradiotherapy for a cohort of patients with locally advanced rectal cancer: an 8-year retrospective single-institutional study. </w:t>
      </w:r>
      <w:r w:rsidRPr="00A9578D">
        <w:rPr>
          <w:rFonts w:ascii="Book Antiqua" w:eastAsia="Book Antiqua" w:hAnsi="Book Antiqua" w:cs="Book Antiqua"/>
          <w:i/>
          <w:iCs/>
          <w:color w:val="000000"/>
        </w:rPr>
        <w:t>Colorectal Dis</w:t>
      </w:r>
      <w:r w:rsidRPr="00A9578D">
        <w:rPr>
          <w:rFonts w:ascii="Book Antiqua" w:eastAsia="Book Antiqua" w:hAnsi="Book Antiqua" w:cs="Book Antiqua"/>
          <w:color w:val="000000"/>
        </w:rPr>
        <w:t xml:space="preserve"> 2017; </w:t>
      </w:r>
      <w:r w:rsidRPr="00A9578D">
        <w:rPr>
          <w:rFonts w:ascii="Book Antiqua" w:eastAsia="Book Antiqua" w:hAnsi="Book Antiqua" w:cs="Book Antiqua"/>
          <w:b/>
          <w:bCs/>
          <w:color w:val="000000"/>
        </w:rPr>
        <w:t>19</w:t>
      </w:r>
      <w:r w:rsidRPr="00A9578D">
        <w:rPr>
          <w:rFonts w:ascii="Book Antiqua" w:eastAsia="Book Antiqua" w:hAnsi="Book Antiqua" w:cs="Book Antiqua"/>
          <w:color w:val="000000"/>
        </w:rPr>
        <w:t>: O263-O271 [PMID: 28603932 DOI: 10.1111/codi.13757]</w:t>
      </w:r>
    </w:p>
    <w:p w14:paraId="782389B3"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9 </w:t>
      </w:r>
      <w:r w:rsidRPr="00A9578D">
        <w:rPr>
          <w:rFonts w:ascii="Book Antiqua" w:eastAsia="Book Antiqua" w:hAnsi="Book Antiqua" w:cs="Book Antiqua"/>
          <w:b/>
          <w:bCs/>
          <w:color w:val="000000"/>
        </w:rPr>
        <w:t>Zhang LN</w:t>
      </w:r>
      <w:r w:rsidRPr="00A9578D">
        <w:rPr>
          <w:rFonts w:ascii="Book Antiqua" w:eastAsia="Book Antiqua" w:hAnsi="Book Antiqua" w:cs="Book Antiqua"/>
          <w:color w:val="000000"/>
        </w:rPr>
        <w:t xml:space="preserve">, Xiao WW, Xi SY, OuYang PY, You KY, Zeng ZF, Ding PR, Zhang HZ, Pan ZZ, Xu RH, Gao YH. Pathological Assessment of the AJCC Tumor Regression Grading System After Preoperative Chemoradiotherapy for Chinese Locally Advanced Rectal Cancer. </w:t>
      </w:r>
      <w:r w:rsidRPr="00A9578D">
        <w:rPr>
          <w:rFonts w:ascii="Book Antiqua" w:eastAsia="Book Antiqua" w:hAnsi="Book Antiqua" w:cs="Book Antiqua"/>
          <w:i/>
          <w:iCs/>
          <w:color w:val="000000"/>
        </w:rPr>
        <w:t>Medicine (Baltimore)</w:t>
      </w:r>
      <w:r w:rsidRPr="00A9578D">
        <w:rPr>
          <w:rFonts w:ascii="Book Antiqua" w:eastAsia="Book Antiqua" w:hAnsi="Book Antiqua" w:cs="Book Antiqua"/>
          <w:color w:val="000000"/>
        </w:rPr>
        <w:t xml:space="preserve"> 2016; </w:t>
      </w:r>
      <w:r w:rsidRPr="00A9578D">
        <w:rPr>
          <w:rFonts w:ascii="Book Antiqua" w:eastAsia="Book Antiqua" w:hAnsi="Book Antiqua" w:cs="Book Antiqua"/>
          <w:b/>
          <w:bCs/>
          <w:color w:val="000000"/>
        </w:rPr>
        <w:t>95</w:t>
      </w:r>
      <w:r w:rsidRPr="00A9578D">
        <w:rPr>
          <w:rFonts w:ascii="Book Antiqua" w:eastAsia="Book Antiqua" w:hAnsi="Book Antiqua" w:cs="Book Antiqua"/>
          <w:color w:val="000000"/>
        </w:rPr>
        <w:t>: e2272 [PMID: 26817863 DOI: 10.1097/MD.0000000000002272]</w:t>
      </w:r>
    </w:p>
    <w:p w14:paraId="06669DEE"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10 </w:t>
      </w:r>
      <w:r w:rsidRPr="00A9578D">
        <w:rPr>
          <w:rFonts w:ascii="Book Antiqua" w:eastAsia="Book Antiqua" w:hAnsi="Book Antiqua" w:cs="Book Antiqua"/>
          <w:b/>
          <w:bCs/>
          <w:color w:val="000000"/>
        </w:rPr>
        <w:t>Sineshaw HM</w:t>
      </w:r>
      <w:r w:rsidRPr="00A9578D">
        <w:rPr>
          <w:rFonts w:ascii="Book Antiqua" w:eastAsia="Book Antiqua" w:hAnsi="Book Antiqua" w:cs="Book Antiqua"/>
          <w:color w:val="000000"/>
        </w:rPr>
        <w:t xml:space="preserve">, Jemal A, Thomas CR Jr, Mitin T. Changes in treatment patterns for patients with locally advanced rectal cancer in the United States over the past decade: An analysis from the National Cancer Data Base. </w:t>
      </w:r>
      <w:r w:rsidRPr="00A9578D">
        <w:rPr>
          <w:rFonts w:ascii="Book Antiqua" w:eastAsia="Book Antiqua" w:hAnsi="Book Antiqua" w:cs="Book Antiqua"/>
          <w:i/>
          <w:iCs/>
          <w:color w:val="000000"/>
        </w:rPr>
        <w:t>Cancer</w:t>
      </w:r>
      <w:r w:rsidRPr="00A9578D">
        <w:rPr>
          <w:rFonts w:ascii="Book Antiqua" w:eastAsia="Book Antiqua" w:hAnsi="Book Antiqua" w:cs="Book Antiqua"/>
          <w:color w:val="000000"/>
        </w:rPr>
        <w:t xml:space="preserve"> 2016; </w:t>
      </w:r>
      <w:r w:rsidRPr="00A9578D">
        <w:rPr>
          <w:rFonts w:ascii="Book Antiqua" w:eastAsia="Book Antiqua" w:hAnsi="Book Antiqua" w:cs="Book Antiqua"/>
          <w:b/>
          <w:bCs/>
          <w:color w:val="000000"/>
        </w:rPr>
        <w:t>122</w:t>
      </w:r>
      <w:r w:rsidRPr="00A9578D">
        <w:rPr>
          <w:rFonts w:ascii="Book Antiqua" w:eastAsia="Book Antiqua" w:hAnsi="Book Antiqua" w:cs="Book Antiqua"/>
          <w:color w:val="000000"/>
        </w:rPr>
        <w:t>: 1996-2003 [PMID: 27074300 DOI: 10.1002/cncr.29993]</w:t>
      </w:r>
    </w:p>
    <w:p w14:paraId="29C5575A"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11 </w:t>
      </w:r>
      <w:r w:rsidRPr="00A9578D">
        <w:rPr>
          <w:rFonts w:ascii="Book Antiqua" w:eastAsia="Book Antiqua" w:hAnsi="Book Antiqua" w:cs="Book Antiqua"/>
          <w:b/>
          <w:bCs/>
          <w:color w:val="000000"/>
        </w:rPr>
        <w:t>Shia J</w:t>
      </w:r>
      <w:r w:rsidRPr="00A9578D">
        <w:rPr>
          <w:rFonts w:ascii="Book Antiqua" w:eastAsia="Book Antiqua" w:hAnsi="Book Antiqua" w:cs="Book Antiqua"/>
          <w:color w:val="000000"/>
        </w:rPr>
        <w:t xml:space="preserve">, Guillem JG, Moore HG, Tickoo SK, Qin J, Ruo L, Suriawinata A, Paty PB, Minsky BD, Weiser MR, Temple LK, Wong WD, Klimstra DS. Patterns of morphologic alteration in residual rectal carcinoma following preoperative chemoradiation and their association with long-term outcome. </w:t>
      </w:r>
      <w:r w:rsidRPr="00A9578D">
        <w:rPr>
          <w:rFonts w:ascii="Book Antiqua" w:eastAsia="Book Antiqua" w:hAnsi="Book Antiqua" w:cs="Book Antiqua"/>
          <w:i/>
          <w:iCs/>
          <w:color w:val="000000"/>
        </w:rPr>
        <w:t>Am J Surg Pathol</w:t>
      </w:r>
      <w:r w:rsidRPr="00A9578D">
        <w:rPr>
          <w:rFonts w:ascii="Book Antiqua" w:eastAsia="Book Antiqua" w:hAnsi="Book Antiqua" w:cs="Book Antiqua"/>
          <w:color w:val="000000"/>
        </w:rPr>
        <w:t xml:space="preserve"> 2004; </w:t>
      </w:r>
      <w:r w:rsidRPr="00A9578D">
        <w:rPr>
          <w:rFonts w:ascii="Book Antiqua" w:eastAsia="Book Antiqua" w:hAnsi="Book Antiqua" w:cs="Book Antiqua"/>
          <w:b/>
          <w:bCs/>
          <w:color w:val="000000"/>
        </w:rPr>
        <w:t>28</w:t>
      </w:r>
      <w:r w:rsidRPr="00A9578D">
        <w:rPr>
          <w:rFonts w:ascii="Book Antiqua" w:eastAsia="Book Antiqua" w:hAnsi="Book Antiqua" w:cs="Book Antiqua"/>
          <w:color w:val="000000"/>
        </w:rPr>
        <w:t>: 215-223 [PMID: 15043311 DOI: 10.1097/00000478-200402000-00009]</w:t>
      </w:r>
    </w:p>
    <w:p w14:paraId="12B4F1C3"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12 </w:t>
      </w:r>
      <w:r w:rsidRPr="00A9578D">
        <w:rPr>
          <w:rFonts w:ascii="Book Antiqua" w:eastAsia="Book Antiqua" w:hAnsi="Book Antiqua" w:cs="Book Antiqua"/>
          <w:b/>
          <w:bCs/>
          <w:color w:val="000000"/>
        </w:rPr>
        <w:t>Habr-Gama A</w:t>
      </w:r>
      <w:r w:rsidRPr="00A9578D">
        <w:rPr>
          <w:rFonts w:ascii="Book Antiqua" w:eastAsia="Book Antiqua" w:hAnsi="Book Antiqua" w:cs="Book Antiqua"/>
          <w:color w:val="000000"/>
        </w:rPr>
        <w:t xml:space="preserve">, Gama-Rodrigues J, São Julião GP, Proscurshim I, Sabbagh C, Lynn PB, Perez RO. Local recurrence after complete clinical response and watch and wait in rectal cancer after neoadjuvant chemoradiation: impact of salvage therapy on local disease control. </w:t>
      </w:r>
      <w:r w:rsidRPr="00A9578D">
        <w:rPr>
          <w:rFonts w:ascii="Book Antiqua" w:eastAsia="Book Antiqua" w:hAnsi="Book Antiqua" w:cs="Book Antiqua"/>
          <w:i/>
          <w:iCs/>
          <w:color w:val="000000"/>
        </w:rPr>
        <w:t>Int J Radiat Oncol Biol Phys</w:t>
      </w:r>
      <w:r w:rsidRPr="00A9578D">
        <w:rPr>
          <w:rFonts w:ascii="Book Antiqua" w:eastAsia="Book Antiqua" w:hAnsi="Book Antiqua" w:cs="Book Antiqua"/>
          <w:color w:val="000000"/>
        </w:rPr>
        <w:t xml:space="preserve"> 2014; </w:t>
      </w:r>
      <w:r w:rsidRPr="00A9578D">
        <w:rPr>
          <w:rFonts w:ascii="Book Antiqua" w:eastAsia="Book Antiqua" w:hAnsi="Book Antiqua" w:cs="Book Antiqua"/>
          <w:b/>
          <w:bCs/>
          <w:color w:val="000000"/>
        </w:rPr>
        <w:t>88</w:t>
      </w:r>
      <w:r w:rsidRPr="00A9578D">
        <w:rPr>
          <w:rFonts w:ascii="Book Antiqua" w:eastAsia="Book Antiqua" w:hAnsi="Book Antiqua" w:cs="Book Antiqua"/>
          <w:color w:val="000000"/>
        </w:rPr>
        <w:t>: 822-828 [PMID: 24495589 DOI: 10.1016/j.ijrobp.2013.12.012]</w:t>
      </w:r>
    </w:p>
    <w:p w14:paraId="42AB860E"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13 </w:t>
      </w:r>
      <w:r w:rsidRPr="00A9578D">
        <w:rPr>
          <w:rFonts w:ascii="Book Antiqua" w:eastAsia="Book Antiqua" w:hAnsi="Book Antiqua" w:cs="Book Antiqua"/>
          <w:b/>
          <w:bCs/>
          <w:color w:val="000000"/>
        </w:rPr>
        <w:t>Sun Z</w:t>
      </w:r>
      <w:r w:rsidRPr="00A9578D">
        <w:rPr>
          <w:rFonts w:ascii="Book Antiqua" w:eastAsia="Book Antiqua" w:hAnsi="Book Antiqua" w:cs="Book Antiqua"/>
          <w:color w:val="000000"/>
        </w:rPr>
        <w:t xml:space="preserve">, Adam MA, Kim J, Shenoi M, Migaly J, Mantyh CR. Optimal Timing to Surgery after Neoadjuvant Chemoradiotherapy for Locally Advanced Rectal Cancer. </w:t>
      </w:r>
      <w:r w:rsidRPr="00A9578D">
        <w:rPr>
          <w:rFonts w:ascii="Book Antiqua" w:eastAsia="Book Antiqua" w:hAnsi="Book Antiqua" w:cs="Book Antiqua"/>
          <w:i/>
          <w:iCs/>
          <w:color w:val="000000"/>
        </w:rPr>
        <w:t>J Am Coll Surg</w:t>
      </w:r>
      <w:r w:rsidRPr="00A9578D">
        <w:rPr>
          <w:rFonts w:ascii="Book Antiqua" w:eastAsia="Book Antiqua" w:hAnsi="Book Antiqua" w:cs="Book Antiqua"/>
          <w:color w:val="000000"/>
        </w:rPr>
        <w:t xml:space="preserve"> 2016; </w:t>
      </w:r>
      <w:r w:rsidRPr="00A9578D">
        <w:rPr>
          <w:rFonts w:ascii="Book Antiqua" w:eastAsia="Book Antiqua" w:hAnsi="Book Antiqua" w:cs="Book Antiqua"/>
          <w:b/>
          <w:bCs/>
          <w:color w:val="000000"/>
        </w:rPr>
        <w:t>222</w:t>
      </w:r>
      <w:r w:rsidRPr="00A9578D">
        <w:rPr>
          <w:rFonts w:ascii="Book Antiqua" w:eastAsia="Book Antiqua" w:hAnsi="Book Antiqua" w:cs="Book Antiqua"/>
          <w:color w:val="000000"/>
        </w:rPr>
        <w:t>: 367-374 [PMID: 26897480 DOI: 10.1016/j.jamcollsurg.2015.12.017]</w:t>
      </w:r>
    </w:p>
    <w:p w14:paraId="4942941D"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14 </w:t>
      </w:r>
      <w:r w:rsidRPr="00A9578D">
        <w:rPr>
          <w:rFonts w:ascii="Book Antiqua" w:eastAsia="Book Antiqua" w:hAnsi="Book Antiqua" w:cs="Book Antiqua"/>
          <w:b/>
          <w:bCs/>
          <w:color w:val="000000"/>
        </w:rPr>
        <w:t>Ivanecz A</w:t>
      </w:r>
      <w:r w:rsidRPr="00A9578D">
        <w:rPr>
          <w:rFonts w:ascii="Book Antiqua" w:eastAsia="Book Antiqua" w:hAnsi="Book Antiqua" w:cs="Book Antiqua"/>
          <w:color w:val="000000"/>
        </w:rPr>
        <w:t xml:space="preserve">, Kavalar R, Palfy M, Pivec V, Sremec M, Horvat M, Potrč S. Can we improve the clinical risk score? The prognostic value of p53, Ki-67 and thymidylate synthase in </w:t>
      </w:r>
      <w:r w:rsidRPr="00A9578D">
        <w:rPr>
          <w:rFonts w:ascii="Book Antiqua" w:eastAsia="Book Antiqua" w:hAnsi="Book Antiqua" w:cs="Book Antiqua"/>
          <w:color w:val="000000"/>
        </w:rPr>
        <w:lastRenderedPageBreak/>
        <w:t xml:space="preserve">patients undergoing radical resection of colorectal liver metastases. </w:t>
      </w:r>
      <w:r w:rsidRPr="00A9578D">
        <w:rPr>
          <w:rFonts w:ascii="Book Antiqua" w:eastAsia="Book Antiqua" w:hAnsi="Book Antiqua" w:cs="Book Antiqua"/>
          <w:i/>
          <w:iCs/>
          <w:color w:val="000000"/>
        </w:rPr>
        <w:t>HPB (Oxford)</w:t>
      </w:r>
      <w:r w:rsidRPr="00A9578D">
        <w:rPr>
          <w:rFonts w:ascii="Book Antiqua" w:eastAsia="Book Antiqua" w:hAnsi="Book Antiqua" w:cs="Book Antiqua"/>
          <w:color w:val="000000"/>
        </w:rPr>
        <w:t xml:space="preserve"> 2014; </w:t>
      </w:r>
      <w:r w:rsidRPr="00A9578D">
        <w:rPr>
          <w:rFonts w:ascii="Book Antiqua" w:eastAsia="Book Antiqua" w:hAnsi="Book Antiqua" w:cs="Book Antiqua"/>
          <w:b/>
          <w:bCs/>
          <w:color w:val="000000"/>
        </w:rPr>
        <w:t>16</w:t>
      </w:r>
      <w:r w:rsidRPr="00A9578D">
        <w:rPr>
          <w:rFonts w:ascii="Book Antiqua" w:eastAsia="Book Antiqua" w:hAnsi="Book Antiqua" w:cs="Book Antiqua"/>
          <w:color w:val="000000"/>
        </w:rPr>
        <w:t>: 235-242 [PMID: 23509992 DOI: 10.1111/hpb.12089]</w:t>
      </w:r>
    </w:p>
    <w:p w14:paraId="1A38EBE3"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15 </w:t>
      </w:r>
      <w:r w:rsidRPr="00A9578D">
        <w:rPr>
          <w:rFonts w:ascii="Book Antiqua" w:eastAsia="Book Antiqua" w:hAnsi="Book Antiqua" w:cs="Book Antiqua"/>
          <w:b/>
          <w:bCs/>
          <w:color w:val="000000"/>
        </w:rPr>
        <w:t>Petrelli F</w:t>
      </w:r>
      <w:r w:rsidRPr="00A9578D">
        <w:rPr>
          <w:rFonts w:ascii="Book Antiqua" w:eastAsia="Book Antiqua" w:hAnsi="Book Antiqua" w:cs="Book Antiqua"/>
          <w:color w:val="000000"/>
        </w:rPr>
        <w:t xml:space="preserve">, Sgroi G, Sarti E, Barni S. Increasing the Interval Between Neoadjuvant Chemoradiotherapy and Surgery in Rectal Cancer: A Meta-analysis of Published Studies. </w:t>
      </w:r>
      <w:r w:rsidRPr="00A9578D">
        <w:rPr>
          <w:rFonts w:ascii="Book Antiqua" w:eastAsia="Book Antiqua" w:hAnsi="Book Antiqua" w:cs="Book Antiqua"/>
          <w:i/>
          <w:iCs/>
          <w:color w:val="000000"/>
        </w:rPr>
        <w:t>Ann Surg</w:t>
      </w:r>
      <w:r w:rsidRPr="00A9578D">
        <w:rPr>
          <w:rFonts w:ascii="Book Antiqua" w:eastAsia="Book Antiqua" w:hAnsi="Book Antiqua" w:cs="Book Antiqua"/>
          <w:color w:val="000000"/>
        </w:rPr>
        <w:t xml:space="preserve"> 2016; </w:t>
      </w:r>
      <w:r w:rsidRPr="00A9578D">
        <w:rPr>
          <w:rFonts w:ascii="Book Antiqua" w:eastAsia="Book Antiqua" w:hAnsi="Book Antiqua" w:cs="Book Antiqua"/>
          <w:b/>
          <w:bCs/>
          <w:color w:val="000000"/>
        </w:rPr>
        <w:t>263</w:t>
      </w:r>
      <w:r w:rsidRPr="00A9578D">
        <w:rPr>
          <w:rFonts w:ascii="Book Antiqua" w:eastAsia="Book Antiqua" w:hAnsi="Book Antiqua" w:cs="Book Antiqua"/>
          <w:color w:val="000000"/>
        </w:rPr>
        <w:t>: 458-464 [PMID: 24263329 DOI: 10.1097/SLA.0000000000000368]</w:t>
      </w:r>
    </w:p>
    <w:p w14:paraId="14BE24A8"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16 </w:t>
      </w:r>
      <w:r w:rsidRPr="00A9578D">
        <w:rPr>
          <w:rFonts w:ascii="Book Antiqua" w:eastAsia="Book Antiqua" w:hAnsi="Book Antiqua" w:cs="Book Antiqua"/>
          <w:b/>
          <w:bCs/>
          <w:color w:val="000000"/>
        </w:rPr>
        <w:t>Cotte E</w:t>
      </w:r>
      <w:r w:rsidRPr="00A9578D">
        <w:rPr>
          <w:rFonts w:ascii="Book Antiqua" w:eastAsia="Book Antiqua" w:hAnsi="Book Antiqua" w:cs="Book Antiqua"/>
          <w:color w:val="000000"/>
        </w:rPr>
        <w:t xml:space="preserve">, Passot G, Decullier E, Maurice C, Glehen O, François Y, Lorchel F, Chapet O, Gerard JP. Pathologic Response, When Increased by Longer Interval, Is a Marker but Not the Cause of Good Prognosis in Rectal Cancer: 17-year Follow-up of the Lyon R90-01 Randomized Trial. </w:t>
      </w:r>
      <w:r w:rsidRPr="00A9578D">
        <w:rPr>
          <w:rFonts w:ascii="Book Antiqua" w:eastAsia="Book Antiqua" w:hAnsi="Book Antiqua" w:cs="Book Antiqua"/>
          <w:i/>
          <w:iCs/>
          <w:color w:val="000000"/>
        </w:rPr>
        <w:t>Int J Radiat Oncol Biol Phys</w:t>
      </w:r>
      <w:r w:rsidRPr="00A9578D">
        <w:rPr>
          <w:rFonts w:ascii="Book Antiqua" w:eastAsia="Book Antiqua" w:hAnsi="Book Antiqua" w:cs="Book Antiqua"/>
          <w:color w:val="000000"/>
        </w:rPr>
        <w:t xml:space="preserve"> 2016; </w:t>
      </w:r>
      <w:r w:rsidRPr="00A9578D">
        <w:rPr>
          <w:rFonts w:ascii="Book Antiqua" w:eastAsia="Book Antiqua" w:hAnsi="Book Antiqua" w:cs="Book Antiqua"/>
          <w:b/>
          <w:bCs/>
          <w:color w:val="000000"/>
        </w:rPr>
        <w:t>94</w:t>
      </w:r>
      <w:r w:rsidRPr="00A9578D">
        <w:rPr>
          <w:rFonts w:ascii="Book Antiqua" w:eastAsia="Book Antiqua" w:hAnsi="Book Antiqua" w:cs="Book Antiqua"/>
          <w:color w:val="000000"/>
        </w:rPr>
        <w:t>: 544-553 [PMID: 26723110 DOI: 10.1016/j.ijrobp.2015.10.061]</w:t>
      </w:r>
    </w:p>
    <w:p w14:paraId="5D90F58E"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17 </w:t>
      </w:r>
      <w:r w:rsidRPr="00A9578D">
        <w:rPr>
          <w:rFonts w:ascii="Book Antiqua" w:eastAsia="Book Antiqua" w:hAnsi="Book Antiqua" w:cs="Book Antiqua"/>
          <w:b/>
          <w:bCs/>
          <w:color w:val="000000"/>
        </w:rPr>
        <w:t>Pettersson D</w:t>
      </w:r>
      <w:r w:rsidRPr="00A9578D">
        <w:rPr>
          <w:rFonts w:ascii="Book Antiqua" w:eastAsia="Book Antiqua" w:hAnsi="Book Antiqua" w:cs="Book Antiqua"/>
          <w:color w:val="000000"/>
        </w:rPr>
        <w:t xml:space="preserve">, Holm T, Iversen H, Blomqvist L, Glimelius B, Martling A. Preoperative short-course radiotherapy with delayed surgery in primary rectal cancer. </w:t>
      </w:r>
      <w:r w:rsidRPr="00A9578D">
        <w:rPr>
          <w:rFonts w:ascii="Book Antiqua" w:eastAsia="Book Antiqua" w:hAnsi="Book Antiqua" w:cs="Book Antiqua"/>
          <w:i/>
          <w:iCs/>
          <w:color w:val="000000"/>
        </w:rPr>
        <w:t>Br J Surg</w:t>
      </w:r>
      <w:r w:rsidRPr="00A9578D">
        <w:rPr>
          <w:rFonts w:ascii="Book Antiqua" w:eastAsia="Book Antiqua" w:hAnsi="Book Antiqua" w:cs="Book Antiqua"/>
          <w:color w:val="000000"/>
        </w:rPr>
        <w:t xml:space="preserve"> 2012; </w:t>
      </w:r>
      <w:r w:rsidRPr="00A9578D">
        <w:rPr>
          <w:rFonts w:ascii="Book Antiqua" w:eastAsia="Book Antiqua" w:hAnsi="Book Antiqua" w:cs="Book Antiqua"/>
          <w:b/>
          <w:bCs/>
          <w:color w:val="000000"/>
        </w:rPr>
        <w:t>99</w:t>
      </w:r>
      <w:r w:rsidRPr="00A9578D">
        <w:rPr>
          <w:rFonts w:ascii="Book Antiqua" w:eastAsia="Book Antiqua" w:hAnsi="Book Antiqua" w:cs="Book Antiqua"/>
          <w:color w:val="000000"/>
        </w:rPr>
        <w:t>: 577-583 [PMID: 22241246 DOI: 10.1002/bjs.7796]</w:t>
      </w:r>
    </w:p>
    <w:p w14:paraId="1D292F1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18 </w:t>
      </w:r>
      <w:r w:rsidRPr="00A9578D">
        <w:rPr>
          <w:rFonts w:ascii="Book Antiqua" w:eastAsia="Book Antiqua" w:hAnsi="Book Antiqua" w:cs="Book Antiqua"/>
          <w:b/>
          <w:bCs/>
          <w:color w:val="000000"/>
        </w:rPr>
        <w:t>Ngan SY</w:t>
      </w:r>
      <w:r w:rsidRPr="00A9578D">
        <w:rPr>
          <w:rFonts w:ascii="Book Antiqua" w:eastAsia="Book Antiqua" w:hAnsi="Book Antiqua" w:cs="Book Antiqua"/>
          <w:color w:val="000000"/>
        </w:rPr>
        <w:t xml:space="preserve">, Burmeister B, Fisher RJ, Solomon M, Goldstein D, Joseph D, Ackland SP, Schache D, McClure B, McLachlan SA, McKendrick J, Leong T, Hartopeanu C, Zalcberg J, Mackay J. Randomized trial of short-course radiotherapy </w:t>
      </w:r>
      <w:r w:rsidRPr="00A9578D">
        <w:rPr>
          <w:rFonts w:ascii="Book Antiqua" w:eastAsia="Book Antiqua" w:hAnsi="Book Antiqua" w:cs="Book Antiqua"/>
          <w:i/>
          <w:iCs/>
          <w:color w:val="000000"/>
        </w:rPr>
        <w:t>vs</w:t>
      </w:r>
      <w:r w:rsidRPr="00A9578D">
        <w:rPr>
          <w:rFonts w:ascii="Book Antiqua" w:eastAsia="Book Antiqua" w:hAnsi="Book Antiqua" w:cs="Book Antiqua"/>
          <w:color w:val="000000"/>
        </w:rPr>
        <w:t xml:space="preserve"> long-course chemoradiation comparing rates of local recurrence in patients with T3 rectal cancer: Trans-Tasman Radiation Oncology Group trial 01.04. </w:t>
      </w:r>
      <w:r w:rsidRPr="00A9578D">
        <w:rPr>
          <w:rFonts w:ascii="Book Antiqua" w:eastAsia="Book Antiqua" w:hAnsi="Book Antiqua" w:cs="Book Antiqua"/>
          <w:i/>
          <w:iCs/>
          <w:color w:val="000000"/>
        </w:rPr>
        <w:t>J Clin Oncol</w:t>
      </w:r>
      <w:r w:rsidRPr="00A9578D">
        <w:rPr>
          <w:rFonts w:ascii="Book Antiqua" w:eastAsia="Book Antiqua" w:hAnsi="Book Antiqua" w:cs="Book Antiqua"/>
          <w:color w:val="000000"/>
        </w:rPr>
        <w:t xml:space="preserve"> 2012; </w:t>
      </w:r>
      <w:r w:rsidRPr="00A9578D">
        <w:rPr>
          <w:rFonts w:ascii="Book Antiqua" w:eastAsia="Book Antiqua" w:hAnsi="Book Antiqua" w:cs="Book Antiqua"/>
          <w:b/>
          <w:bCs/>
          <w:color w:val="000000"/>
        </w:rPr>
        <w:t>30</w:t>
      </w:r>
      <w:r w:rsidRPr="00A9578D">
        <w:rPr>
          <w:rFonts w:ascii="Book Antiqua" w:eastAsia="Book Antiqua" w:hAnsi="Book Antiqua" w:cs="Book Antiqua"/>
          <w:color w:val="000000"/>
        </w:rPr>
        <w:t>: 3827-3833 [PMID: 23008301 DOI: 10.1200/JCO.2012.42.9597]</w:t>
      </w:r>
    </w:p>
    <w:p w14:paraId="50004B6A"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19 </w:t>
      </w:r>
      <w:r w:rsidRPr="00A9578D">
        <w:rPr>
          <w:rFonts w:ascii="Book Antiqua" w:eastAsia="Book Antiqua" w:hAnsi="Book Antiqua" w:cs="Book Antiqua"/>
          <w:b/>
          <w:bCs/>
          <w:color w:val="000000"/>
        </w:rPr>
        <w:t>van Gijn W</w:t>
      </w:r>
      <w:r w:rsidRPr="00A9578D">
        <w:rPr>
          <w:rFonts w:ascii="Book Antiqua" w:eastAsia="Book Antiqua" w:hAnsi="Book Antiqua" w:cs="Book Antiqua"/>
          <w:color w:val="000000"/>
        </w:rPr>
        <w:t xml:space="preserve">, van Stiphout RGPM, van de Velde CJH, Valentini V, Lammering G, Gambacorta MA, Påhlman L, Bujko K, Lambin P. Nomograms to predict survival and the risk for developing local or distant recurrence in patients with rectal cancer treated with optional short-term radiotherapy. </w:t>
      </w:r>
      <w:r w:rsidRPr="00A9578D">
        <w:rPr>
          <w:rFonts w:ascii="Book Antiqua" w:eastAsia="Book Antiqua" w:hAnsi="Book Antiqua" w:cs="Book Antiqua"/>
          <w:i/>
          <w:iCs/>
          <w:color w:val="000000"/>
        </w:rPr>
        <w:t>Ann Oncol</w:t>
      </w:r>
      <w:r w:rsidRPr="00A9578D">
        <w:rPr>
          <w:rFonts w:ascii="Book Antiqua" w:eastAsia="Book Antiqua" w:hAnsi="Book Antiqua" w:cs="Book Antiqua"/>
          <w:color w:val="000000"/>
        </w:rPr>
        <w:t xml:space="preserve"> 2015; </w:t>
      </w:r>
      <w:r w:rsidRPr="00A9578D">
        <w:rPr>
          <w:rFonts w:ascii="Book Antiqua" w:eastAsia="Book Antiqua" w:hAnsi="Book Antiqua" w:cs="Book Antiqua"/>
          <w:b/>
          <w:bCs/>
          <w:color w:val="000000"/>
        </w:rPr>
        <w:t>26</w:t>
      </w:r>
      <w:r w:rsidRPr="00A9578D">
        <w:rPr>
          <w:rFonts w:ascii="Book Antiqua" w:eastAsia="Book Antiqua" w:hAnsi="Book Antiqua" w:cs="Book Antiqua"/>
          <w:color w:val="000000"/>
        </w:rPr>
        <w:t>: 928-935 [PMID: 25609247 DOI: 10.1093/annonc/mdv023]</w:t>
      </w:r>
    </w:p>
    <w:p w14:paraId="3659F4FB"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20 </w:t>
      </w:r>
      <w:r w:rsidRPr="00A9578D">
        <w:rPr>
          <w:rFonts w:ascii="Book Antiqua" w:eastAsia="Book Antiqua" w:hAnsi="Book Antiqua" w:cs="Book Antiqua"/>
          <w:b/>
          <w:bCs/>
          <w:color w:val="000000"/>
        </w:rPr>
        <w:t>Beppu N</w:t>
      </w:r>
      <w:r w:rsidRPr="00A9578D">
        <w:rPr>
          <w:rFonts w:ascii="Book Antiqua" w:eastAsia="Book Antiqua" w:hAnsi="Book Antiqua" w:cs="Book Antiqua"/>
          <w:color w:val="000000"/>
        </w:rPr>
        <w:t xml:space="preserve">, Matsubara N, Noda M, Yamano T, Kakuno A, Doi H, Kamikonya N, Kimura F, Yamanaka N, Yanagi H, Tomita N. Short-course radiotherapy with delayed surgery </w:t>
      </w:r>
      <w:r w:rsidRPr="00A9578D">
        <w:rPr>
          <w:rFonts w:ascii="Book Antiqua" w:eastAsia="Book Antiqua" w:hAnsi="Book Antiqua" w:cs="Book Antiqua"/>
          <w:i/>
          <w:iCs/>
          <w:color w:val="000000"/>
        </w:rPr>
        <w:t>vs</w:t>
      </w:r>
      <w:r w:rsidRPr="00A9578D">
        <w:rPr>
          <w:rFonts w:ascii="Book Antiqua" w:eastAsia="Book Antiqua" w:hAnsi="Book Antiqua" w:cs="Book Antiqua"/>
          <w:color w:val="000000"/>
        </w:rPr>
        <w:t xml:space="preserve"> conventional chemoradiotherapy: A comparison of the short- and long-term outcomes in patients with T3 rectal cancer. </w:t>
      </w:r>
      <w:r w:rsidRPr="00A9578D">
        <w:rPr>
          <w:rFonts w:ascii="Book Antiqua" w:eastAsia="Book Antiqua" w:hAnsi="Book Antiqua" w:cs="Book Antiqua"/>
          <w:i/>
          <w:iCs/>
          <w:color w:val="000000"/>
        </w:rPr>
        <w:t>Surgery</w:t>
      </w:r>
      <w:r w:rsidRPr="00A9578D">
        <w:rPr>
          <w:rFonts w:ascii="Book Antiqua" w:eastAsia="Book Antiqua" w:hAnsi="Book Antiqua" w:cs="Book Antiqua"/>
          <w:color w:val="000000"/>
        </w:rPr>
        <w:t xml:space="preserve"> 2015; </w:t>
      </w:r>
      <w:r w:rsidRPr="00A9578D">
        <w:rPr>
          <w:rFonts w:ascii="Book Antiqua" w:eastAsia="Book Antiqua" w:hAnsi="Book Antiqua" w:cs="Book Antiqua"/>
          <w:b/>
          <w:bCs/>
          <w:color w:val="000000"/>
        </w:rPr>
        <w:t>158</w:t>
      </w:r>
      <w:r w:rsidRPr="00A9578D">
        <w:rPr>
          <w:rFonts w:ascii="Book Antiqua" w:eastAsia="Book Antiqua" w:hAnsi="Book Antiqua" w:cs="Book Antiqua"/>
          <w:color w:val="000000"/>
        </w:rPr>
        <w:t>: 225-235 [PMID: 25900036 DOI: 10.1016/j.surg.2015.03.014]</w:t>
      </w:r>
    </w:p>
    <w:p w14:paraId="341801FF"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lastRenderedPageBreak/>
        <w:t xml:space="preserve">21 </w:t>
      </w:r>
      <w:r w:rsidRPr="00A9578D">
        <w:rPr>
          <w:rFonts w:ascii="Book Antiqua" w:eastAsia="Book Antiqua" w:hAnsi="Book Antiqua" w:cs="Book Antiqua"/>
          <w:b/>
          <w:bCs/>
          <w:color w:val="000000"/>
        </w:rPr>
        <w:t>Latkauskas T</w:t>
      </w:r>
      <w:r w:rsidRPr="00A9578D">
        <w:rPr>
          <w:rFonts w:ascii="Book Antiqua" w:eastAsia="Book Antiqua" w:hAnsi="Book Antiqua" w:cs="Book Antiqua"/>
          <w:color w:val="000000"/>
        </w:rPr>
        <w:t xml:space="preserve">, Pauzas H, Kairevice L, Petrauskas A, Saladzinskas Z, Janciauskiene R, Gudaityte J, Lizdenis P, Svagzdys S, Tamelis A, Pavalkis D. Preoperative conventional chemoradiotherapy </w:t>
      </w:r>
      <w:r w:rsidRPr="00A9578D">
        <w:rPr>
          <w:rFonts w:ascii="Book Antiqua" w:eastAsia="Book Antiqua" w:hAnsi="Book Antiqua" w:cs="Book Antiqua"/>
          <w:i/>
          <w:iCs/>
          <w:color w:val="000000"/>
        </w:rPr>
        <w:t>vs</w:t>
      </w:r>
      <w:r w:rsidRPr="00A9578D">
        <w:rPr>
          <w:rFonts w:ascii="Book Antiqua" w:eastAsia="Book Antiqua" w:hAnsi="Book Antiqua" w:cs="Book Antiqua"/>
          <w:color w:val="000000"/>
        </w:rPr>
        <w:t xml:space="preserve"> short-course radiotherapy with delayed surgery for rectal cancer: results of a randomized controlled trial. </w:t>
      </w:r>
      <w:r w:rsidRPr="00A9578D">
        <w:rPr>
          <w:rFonts w:ascii="Book Antiqua" w:eastAsia="Book Antiqua" w:hAnsi="Book Antiqua" w:cs="Book Antiqua"/>
          <w:i/>
          <w:iCs/>
          <w:color w:val="000000"/>
        </w:rPr>
        <w:t>BMC Cancer</w:t>
      </w:r>
      <w:r w:rsidRPr="00A9578D">
        <w:rPr>
          <w:rFonts w:ascii="Book Antiqua" w:eastAsia="Book Antiqua" w:hAnsi="Book Antiqua" w:cs="Book Antiqua"/>
          <w:color w:val="000000"/>
        </w:rPr>
        <w:t xml:space="preserve"> 2016; </w:t>
      </w:r>
      <w:r w:rsidRPr="00A9578D">
        <w:rPr>
          <w:rFonts w:ascii="Book Antiqua" w:eastAsia="Book Antiqua" w:hAnsi="Book Antiqua" w:cs="Book Antiqua"/>
          <w:b/>
          <w:bCs/>
          <w:color w:val="000000"/>
        </w:rPr>
        <w:t>16</w:t>
      </w:r>
      <w:r w:rsidRPr="00A9578D">
        <w:rPr>
          <w:rFonts w:ascii="Book Antiqua" w:eastAsia="Book Antiqua" w:hAnsi="Book Antiqua" w:cs="Book Antiqua"/>
          <w:color w:val="000000"/>
        </w:rPr>
        <w:t>: 927 [PMID: 27903247 DOI: 10.1186/s12885-016-2959-9]</w:t>
      </w:r>
    </w:p>
    <w:bookmarkEnd w:id="61"/>
    <w:bookmarkEnd w:id="62"/>
    <w:bookmarkEnd w:id="63"/>
    <w:bookmarkEnd w:id="64"/>
    <w:bookmarkEnd w:id="65"/>
    <w:p w14:paraId="1811720D" w14:textId="77777777" w:rsidR="00A77B3E" w:rsidRPr="00A9578D" w:rsidRDefault="00A77B3E" w:rsidP="00A9578D">
      <w:pPr>
        <w:spacing w:line="360" w:lineRule="auto"/>
        <w:jc w:val="both"/>
        <w:rPr>
          <w:rFonts w:ascii="Book Antiqua" w:hAnsi="Book Antiqua"/>
        </w:rPr>
        <w:sectPr w:rsidR="00A77B3E" w:rsidRPr="00A9578D">
          <w:pgSz w:w="12240" w:h="15840"/>
          <w:pgMar w:top="1440" w:right="1440" w:bottom="1440" w:left="1440" w:header="720" w:footer="720" w:gutter="0"/>
          <w:cols w:space="720"/>
          <w:docGrid w:linePitch="360"/>
        </w:sectPr>
      </w:pPr>
    </w:p>
    <w:p w14:paraId="70510B1A"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lastRenderedPageBreak/>
        <w:t>Footnotes</w:t>
      </w:r>
    </w:p>
    <w:p w14:paraId="7023CEFE"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Institutional review board statement: </w:t>
      </w:r>
      <w:r w:rsidRPr="00A9578D">
        <w:rPr>
          <w:rFonts w:ascii="Book Antiqua" w:eastAsia="Book Antiqua" w:hAnsi="Book Antiqua" w:cs="Book Antiqua"/>
          <w:color w:val="000000"/>
        </w:rPr>
        <w:t>The study was reviewed and approved by the Institutional Review Board of the First Affiliated Hospital of Hebei North University.</w:t>
      </w:r>
    </w:p>
    <w:p w14:paraId="28C8CB81" w14:textId="77777777" w:rsidR="00A77B3E" w:rsidRPr="00A9578D" w:rsidRDefault="00A77B3E" w:rsidP="00A9578D">
      <w:pPr>
        <w:spacing w:line="360" w:lineRule="auto"/>
        <w:jc w:val="both"/>
        <w:rPr>
          <w:rFonts w:ascii="Book Antiqua" w:hAnsi="Book Antiqua"/>
        </w:rPr>
      </w:pPr>
    </w:p>
    <w:p w14:paraId="3A33D6A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Informed consent statement: </w:t>
      </w:r>
      <w:r w:rsidRPr="00A9578D">
        <w:rPr>
          <w:rFonts w:ascii="Book Antiqua" w:eastAsia="Book Antiqua" w:hAnsi="Book Antiqua" w:cs="Book Antiqua"/>
          <w:color w:val="000000"/>
        </w:rPr>
        <w:t>All study participants, or their legal guardian, provided informed written consent prior to study enrollment.</w:t>
      </w:r>
    </w:p>
    <w:p w14:paraId="71BD8BE4" w14:textId="77777777" w:rsidR="00A77B3E" w:rsidRPr="00A9578D" w:rsidRDefault="00A77B3E" w:rsidP="00A9578D">
      <w:pPr>
        <w:spacing w:line="360" w:lineRule="auto"/>
        <w:jc w:val="both"/>
        <w:rPr>
          <w:rFonts w:ascii="Book Antiqua" w:hAnsi="Book Antiqua"/>
        </w:rPr>
      </w:pPr>
    </w:p>
    <w:p w14:paraId="0FACACE2"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Conflict-of-interest statement: </w:t>
      </w:r>
      <w:r w:rsidRPr="00A9578D">
        <w:rPr>
          <w:rFonts w:ascii="Book Antiqua" w:eastAsia="Book Antiqua" w:hAnsi="Book Antiqua" w:cs="Book Antiqua"/>
          <w:color w:val="000000"/>
        </w:rPr>
        <w:t>No conflict of interest for all authors.</w:t>
      </w:r>
    </w:p>
    <w:p w14:paraId="6E7101BC" w14:textId="77777777" w:rsidR="00A77B3E" w:rsidRPr="00A9578D" w:rsidRDefault="00A77B3E" w:rsidP="00A9578D">
      <w:pPr>
        <w:spacing w:line="360" w:lineRule="auto"/>
        <w:jc w:val="both"/>
        <w:rPr>
          <w:rFonts w:ascii="Book Antiqua" w:hAnsi="Book Antiqua"/>
        </w:rPr>
      </w:pPr>
    </w:p>
    <w:p w14:paraId="005C8CE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Data sharing statement: </w:t>
      </w:r>
      <w:r w:rsidRPr="00A9578D">
        <w:rPr>
          <w:rFonts w:ascii="Book Antiqua" w:eastAsia="Book Antiqua" w:hAnsi="Book Antiqua" w:cs="Book Antiqua"/>
          <w:color w:val="000000"/>
        </w:rPr>
        <w:t>No additional to be shared.</w:t>
      </w:r>
    </w:p>
    <w:p w14:paraId="79951F59" w14:textId="77777777" w:rsidR="00A77B3E" w:rsidRPr="00A9578D" w:rsidRDefault="00A77B3E" w:rsidP="00A9578D">
      <w:pPr>
        <w:spacing w:line="360" w:lineRule="auto"/>
        <w:jc w:val="both"/>
        <w:rPr>
          <w:rFonts w:ascii="Book Antiqua" w:hAnsi="Book Antiqua"/>
        </w:rPr>
      </w:pPr>
    </w:p>
    <w:p w14:paraId="68E09F74"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STROBE statement: </w:t>
      </w:r>
      <w:r w:rsidRPr="00A9578D">
        <w:rPr>
          <w:rFonts w:ascii="Book Antiqua" w:eastAsia="Book Antiqua" w:hAnsi="Book Antiqua" w:cs="Book Antiqua"/>
          <w:color w:val="000000"/>
        </w:rPr>
        <w:t>The authors have read the STROBE Statement checklist of items, and the manuscript was revised according to the STROBE Statement-checklist of items.</w:t>
      </w:r>
    </w:p>
    <w:p w14:paraId="0C52129D" w14:textId="77777777" w:rsidR="00A77B3E" w:rsidRPr="00A9578D" w:rsidRDefault="00A77B3E" w:rsidP="00A9578D">
      <w:pPr>
        <w:spacing w:line="360" w:lineRule="auto"/>
        <w:jc w:val="both"/>
        <w:rPr>
          <w:rFonts w:ascii="Book Antiqua" w:hAnsi="Book Antiqua"/>
        </w:rPr>
      </w:pPr>
    </w:p>
    <w:p w14:paraId="43A0D2F9"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Open-Access: </w:t>
      </w:r>
      <w:r w:rsidRPr="00A9578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CA6E4E" w14:textId="77777777" w:rsidR="00A77B3E" w:rsidRPr="00A9578D" w:rsidRDefault="00A77B3E" w:rsidP="00A9578D">
      <w:pPr>
        <w:spacing w:line="360" w:lineRule="auto"/>
        <w:jc w:val="both"/>
        <w:rPr>
          <w:rFonts w:ascii="Book Antiqua" w:hAnsi="Book Antiqua"/>
        </w:rPr>
      </w:pPr>
    </w:p>
    <w:p w14:paraId="6FF663A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Manuscript source: </w:t>
      </w:r>
      <w:r w:rsidRPr="00A9578D">
        <w:rPr>
          <w:rFonts w:ascii="Book Antiqua" w:eastAsia="Book Antiqua" w:hAnsi="Book Antiqua" w:cs="Book Antiqua"/>
          <w:color w:val="000000"/>
        </w:rPr>
        <w:t xml:space="preserve">Unsolicited </w:t>
      </w:r>
      <w:r w:rsidR="00511182" w:rsidRPr="00A9578D">
        <w:rPr>
          <w:rFonts w:ascii="Book Antiqua" w:eastAsia="Book Antiqua" w:hAnsi="Book Antiqua" w:cs="Book Antiqua"/>
          <w:color w:val="000000"/>
        </w:rPr>
        <w:t>manuscript</w:t>
      </w:r>
    </w:p>
    <w:p w14:paraId="5A58E14B" w14:textId="77777777" w:rsidR="00A77B3E" w:rsidRPr="00A9578D" w:rsidRDefault="00A77B3E" w:rsidP="00A9578D">
      <w:pPr>
        <w:spacing w:line="360" w:lineRule="auto"/>
        <w:jc w:val="both"/>
        <w:rPr>
          <w:rFonts w:ascii="Book Antiqua" w:hAnsi="Book Antiqua"/>
        </w:rPr>
      </w:pPr>
    </w:p>
    <w:p w14:paraId="1EC7D0F1"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Peer-review started: </w:t>
      </w:r>
      <w:r w:rsidRPr="00A9578D">
        <w:rPr>
          <w:rFonts w:ascii="Book Antiqua" w:eastAsia="Book Antiqua" w:hAnsi="Book Antiqua" w:cs="Book Antiqua"/>
          <w:color w:val="000000"/>
        </w:rPr>
        <w:t>December 3, 2020</w:t>
      </w:r>
    </w:p>
    <w:p w14:paraId="72A76718"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First decision: </w:t>
      </w:r>
      <w:r w:rsidRPr="00A9578D">
        <w:rPr>
          <w:rFonts w:ascii="Book Antiqua" w:eastAsia="Book Antiqua" w:hAnsi="Book Antiqua" w:cs="Book Antiqua"/>
          <w:color w:val="000000"/>
        </w:rPr>
        <w:t>December 13, 2020</w:t>
      </w:r>
    </w:p>
    <w:p w14:paraId="1B2AF0BE"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Article in press: </w:t>
      </w:r>
    </w:p>
    <w:p w14:paraId="59626796" w14:textId="77777777" w:rsidR="00A77B3E" w:rsidRPr="00A9578D" w:rsidRDefault="00A77B3E" w:rsidP="00A9578D">
      <w:pPr>
        <w:spacing w:line="360" w:lineRule="auto"/>
        <w:jc w:val="both"/>
        <w:rPr>
          <w:rFonts w:ascii="Book Antiqua" w:hAnsi="Book Antiqua"/>
        </w:rPr>
      </w:pPr>
    </w:p>
    <w:p w14:paraId="2F2CD908"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Specialty type: </w:t>
      </w:r>
      <w:r w:rsidRPr="00A9578D">
        <w:rPr>
          <w:rFonts w:ascii="Book Antiqua" w:eastAsia="Book Antiqua" w:hAnsi="Book Antiqua" w:cs="Book Antiqua"/>
          <w:color w:val="000000"/>
        </w:rPr>
        <w:t xml:space="preserve">Gastroenterology and </w:t>
      </w:r>
      <w:r w:rsidR="00511182" w:rsidRPr="00A9578D">
        <w:rPr>
          <w:rFonts w:ascii="Book Antiqua" w:eastAsia="Book Antiqua" w:hAnsi="Book Antiqua" w:cs="Book Antiqua"/>
          <w:color w:val="000000"/>
        </w:rPr>
        <w:t>hepatology</w:t>
      </w:r>
    </w:p>
    <w:p w14:paraId="668EE531"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Country/Territory of origin: </w:t>
      </w:r>
      <w:r w:rsidRPr="00A9578D">
        <w:rPr>
          <w:rFonts w:ascii="Book Antiqua" w:eastAsia="Book Antiqua" w:hAnsi="Book Antiqua" w:cs="Book Antiqua"/>
          <w:color w:val="000000"/>
        </w:rPr>
        <w:t>China</w:t>
      </w:r>
    </w:p>
    <w:p w14:paraId="12FB681D"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Peer-review report’s scientific quality classification</w:t>
      </w:r>
    </w:p>
    <w:p w14:paraId="51D5D5CF"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lastRenderedPageBreak/>
        <w:t>Grade A (Excellent): 0</w:t>
      </w:r>
    </w:p>
    <w:p w14:paraId="137845A9"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Grade B (Very good): B</w:t>
      </w:r>
    </w:p>
    <w:p w14:paraId="0815279C"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Grade C (Good): C</w:t>
      </w:r>
    </w:p>
    <w:p w14:paraId="2E9D3C8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Grade D (Fair): 0</w:t>
      </w:r>
    </w:p>
    <w:p w14:paraId="6127CB0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Grade E (Poor): 0</w:t>
      </w:r>
    </w:p>
    <w:p w14:paraId="4EA3B589" w14:textId="77777777" w:rsidR="00A77B3E" w:rsidRPr="00A9578D" w:rsidRDefault="00A77B3E" w:rsidP="00A9578D">
      <w:pPr>
        <w:spacing w:line="360" w:lineRule="auto"/>
        <w:jc w:val="both"/>
        <w:rPr>
          <w:rFonts w:ascii="Book Antiqua" w:hAnsi="Book Antiqua"/>
        </w:rPr>
      </w:pPr>
    </w:p>
    <w:p w14:paraId="7978303E" w14:textId="0AD8D166" w:rsidR="005F0E0C" w:rsidRPr="00A9578D" w:rsidRDefault="008F2839" w:rsidP="00A9578D">
      <w:pPr>
        <w:spacing w:line="360" w:lineRule="auto"/>
        <w:jc w:val="both"/>
        <w:rPr>
          <w:rFonts w:ascii="Book Antiqua" w:eastAsia="Book Antiqua" w:hAnsi="Book Antiqua" w:cs="Book Antiqua"/>
          <w:b/>
          <w:color w:val="000000"/>
        </w:rPr>
      </w:pPr>
      <w:r w:rsidRPr="00A9578D">
        <w:rPr>
          <w:rFonts w:ascii="Book Antiqua" w:eastAsia="Book Antiqua" w:hAnsi="Book Antiqua" w:cs="Book Antiqua"/>
          <w:b/>
          <w:color w:val="000000"/>
        </w:rPr>
        <w:t xml:space="preserve">P-Reviewer: </w:t>
      </w:r>
      <w:r w:rsidRPr="00A9578D">
        <w:rPr>
          <w:rFonts w:ascii="Book Antiqua" w:eastAsia="Book Antiqua" w:hAnsi="Book Antiqua" w:cs="Book Antiqua"/>
          <w:color w:val="000000"/>
        </w:rPr>
        <w:t>Schievenbusch S, Seo D</w:t>
      </w:r>
      <w:r w:rsidRPr="00A9578D">
        <w:rPr>
          <w:rFonts w:ascii="Book Antiqua" w:eastAsia="Book Antiqua" w:hAnsi="Book Antiqua" w:cs="Book Antiqua"/>
          <w:b/>
          <w:color w:val="000000"/>
        </w:rPr>
        <w:t xml:space="preserve"> S-Editor: </w:t>
      </w:r>
      <w:r w:rsidRPr="00A9578D">
        <w:rPr>
          <w:rFonts w:ascii="Book Antiqua" w:eastAsia="Book Antiqua" w:hAnsi="Book Antiqua" w:cs="Book Antiqua"/>
          <w:color w:val="000000"/>
        </w:rPr>
        <w:t xml:space="preserve">Zhang </w:t>
      </w:r>
      <w:r w:rsidR="00511182" w:rsidRPr="00A9578D">
        <w:rPr>
          <w:rFonts w:ascii="Book Antiqua" w:hAnsi="Book Antiqua" w:cs="Book Antiqua"/>
          <w:color w:val="000000"/>
          <w:lang w:eastAsia="zh-CN"/>
        </w:rPr>
        <w:t>H</w:t>
      </w:r>
      <w:r w:rsidR="00511182" w:rsidRPr="00A9578D">
        <w:rPr>
          <w:rFonts w:ascii="Book Antiqua" w:eastAsia="Book Antiqua" w:hAnsi="Book Antiqua" w:cs="Book Antiqua"/>
          <w:b/>
          <w:color w:val="000000"/>
        </w:rPr>
        <w:t xml:space="preserve"> L-Editor:</w:t>
      </w:r>
      <w:r w:rsidRPr="00A9578D">
        <w:rPr>
          <w:rFonts w:ascii="Book Antiqua" w:eastAsia="Book Antiqua" w:hAnsi="Book Antiqua" w:cs="Book Antiqua"/>
          <w:b/>
          <w:color w:val="000000"/>
        </w:rPr>
        <w:t xml:space="preserve"> </w:t>
      </w:r>
      <w:r w:rsidR="00B57019" w:rsidRPr="00A9578D">
        <w:rPr>
          <w:rFonts w:ascii="Book Antiqua" w:eastAsia="Book Antiqua" w:hAnsi="Book Antiqua" w:cs="Book Antiqua"/>
          <w:bCs/>
          <w:color w:val="000000"/>
        </w:rPr>
        <w:t xml:space="preserve">Filipodia </w:t>
      </w:r>
      <w:r w:rsidRPr="00A9578D">
        <w:rPr>
          <w:rFonts w:ascii="Book Antiqua" w:eastAsia="Book Antiqua" w:hAnsi="Book Antiqua" w:cs="Book Antiqua"/>
          <w:b/>
          <w:color w:val="000000"/>
        </w:rPr>
        <w:t xml:space="preserve">P-Editor: </w:t>
      </w:r>
    </w:p>
    <w:p w14:paraId="12DFB4CF" w14:textId="77777777" w:rsidR="005F0E0C" w:rsidRPr="00A9578D" w:rsidRDefault="005F0E0C" w:rsidP="00A9578D">
      <w:pPr>
        <w:spacing w:line="360" w:lineRule="auto"/>
        <w:jc w:val="both"/>
        <w:rPr>
          <w:rFonts w:ascii="Book Antiqua" w:eastAsia="SimSun" w:hAnsi="Book Antiqua"/>
          <w:b/>
        </w:rPr>
      </w:pPr>
      <w:r w:rsidRPr="00A9578D">
        <w:rPr>
          <w:rFonts w:ascii="Book Antiqua" w:eastAsia="Book Antiqua" w:hAnsi="Book Antiqua" w:cs="Book Antiqua"/>
          <w:b/>
          <w:color w:val="000000"/>
        </w:rPr>
        <w:br w:type="page"/>
      </w:r>
      <w:r w:rsidRPr="00A9578D">
        <w:rPr>
          <w:rFonts w:ascii="Book Antiqua" w:eastAsia="SimSun" w:hAnsi="Book Antiqua"/>
          <w:b/>
        </w:rPr>
        <w:lastRenderedPageBreak/>
        <w:t xml:space="preserve">Table 1 Differences in the expression of Runx3 and Ki-67 from the biopsy between two groups before and after the treatment, </w:t>
      </w:r>
      <w:r w:rsidRPr="00A9578D">
        <w:rPr>
          <w:rFonts w:ascii="Book Antiqua" w:eastAsia="SimSun" w:hAnsi="Book Antiqua"/>
          <w:b/>
          <w:i/>
        </w:rPr>
        <w:t>n</w:t>
      </w:r>
      <w:r w:rsidRPr="00A9578D">
        <w:rPr>
          <w:rFonts w:ascii="Book Antiqua" w:eastAsia="SimSun" w:hAnsi="Book Antiqua"/>
          <w:b/>
        </w:rPr>
        <w:t xml:space="preserve"> (%)</w:t>
      </w:r>
    </w:p>
    <w:tbl>
      <w:tblPr>
        <w:tblStyle w:val="TableGrid"/>
        <w:tblW w:w="5000" w:type="pct"/>
        <w:jc w:val="center"/>
        <w:tblBorders>
          <w:top w:val="single" w:sz="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487"/>
        <w:gridCol w:w="1799"/>
        <w:gridCol w:w="1206"/>
        <w:gridCol w:w="1286"/>
        <w:gridCol w:w="1206"/>
        <w:gridCol w:w="1458"/>
      </w:tblGrid>
      <w:tr w:rsidR="005F0E0C" w:rsidRPr="00A9578D" w14:paraId="0A9E1836" w14:textId="77777777" w:rsidTr="00A23920">
        <w:trPr>
          <w:jc w:val="center"/>
        </w:trPr>
        <w:tc>
          <w:tcPr>
            <w:tcW w:w="1025" w:type="pct"/>
            <w:vMerge w:val="restart"/>
          </w:tcPr>
          <w:p w14:paraId="2B282D76"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hAnsi="Book Antiqua"/>
                <w:b/>
              </w:rPr>
              <w:t>Groups</w:t>
            </w:r>
          </w:p>
        </w:tc>
        <w:tc>
          <w:tcPr>
            <w:tcW w:w="260" w:type="pct"/>
            <w:vMerge w:val="restart"/>
          </w:tcPr>
          <w:p w14:paraId="3F64CD8D"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cs="Times New Roman"/>
                <w:b/>
                <w:i/>
              </w:rPr>
              <w:t>n</w:t>
            </w:r>
          </w:p>
        </w:tc>
        <w:tc>
          <w:tcPr>
            <w:tcW w:w="961" w:type="pct"/>
            <w:vMerge w:val="restart"/>
          </w:tcPr>
          <w:p w14:paraId="192E7138"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b/>
              </w:rPr>
              <w:t>Time point</w:t>
            </w:r>
          </w:p>
        </w:tc>
        <w:tc>
          <w:tcPr>
            <w:tcW w:w="1331" w:type="pct"/>
            <w:gridSpan w:val="2"/>
            <w:tcBorders>
              <w:bottom w:val="single" w:sz="4" w:space="0" w:color="auto"/>
            </w:tcBorders>
          </w:tcPr>
          <w:p w14:paraId="25BA2067"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b/>
              </w:rPr>
              <w:t>Runx3</w:t>
            </w:r>
          </w:p>
        </w:tc>
        <w:tc>
          <w:tcPr>
            <w:tcW w:w="1424" w:type="pct"/>
            <w:gridSpan w:val="2"/>
            <w:tcBorders>
              <w:bottom w:val="single" w:sz="4" w:space="0" w:color="auto"/>
            </w:tcBorders>
          </w:tcPr>
          <w:p w14:paraId="7079C597"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b/>
              </w:rPr>
              <w:t>Ki-67</w:t>
            </w:r>
          </w:p>
        </w:tc>
      </w:tr>
      <w:tr w:rsidR="005F0E0C" w:rsidRPr="00A9578D" w14:paraId="2656EEA3" w14:textId="77777777" w:rsidTr="00A23920">
        <w:trPr>
          <w:jc w:val="center"/>
        </w:trPr>
        <w:tc>
          <w:tcPr>
            <w:tcW w:w="1025" w:type="pct"/>
            <w:vMerge/>
            <w:tcBorders>
              <w:bottom w:val="single" w:sz="4" w:space="0" w:color="auto"/>
            </w:tcBorders>
          </w:tcPr>
          <w:p w14:paraId="6E1387E3" w14:textId="77777777" w:rsidR="005F0E0C" w:rsidRPr="00A9578D" w:rsidRDefault="005F0E0C" w:rsidP="00BA0847">
            <w:pPr>
              <w:adjustRightInd w:val="0"/>
              <w:snapToGrid w:val="0"/>
              <w:spacing w:line="360" w:lineRule="auto"/>
              <w:rPr>
                <w:rFonts w:ascii="Book Antiqua" w:eastAsia="SimSun" w:hAnsi="Book Antiqua"/>
              </w:rPr>
            </w:pPr>
          </w:p>
        </w:tc>
        <w:tc>
          <w:tcPr>
            <w:tcW w:w="260" w:type="pct"/>
            <w:vMerge/>
            <w:tcBorders>
              <w:bottom w:val="single" w:sz="4" w:space="0" w:color="auto"/>
            </w:tcBorders>
          </w:tcPr>
          <w:p w14:paraId="7E50F91C" w14:textId="77777777" w:rsidR="005F0E0C" w:rsidRPr="00A9578D" w:rsidRDefault="005F0E0C" w:rsidP="00BA0847">
            <w:pPr>
              <w:adjustRightInd w:val="0"/>
              <w:snapToGrid w:val="0"/>
              <w:spacing w:line="360" w:lineRule="auto"/>
              <w:rPr>
                <w:rFonts w:ascii="Book Antiqua" w:eastAsia="SimSun" w:hAnsi="Book Antiqua"/>
              </w:rPr>
            </w:pPr>
          </w:p>
        </w:tc>
        <w:tc>
          <w:tcPr>
            <w:tcW w:w="961" w:type="pct"/>
            <w:vMerge/>
            <w:tcBorders>
              <w:bottom w:val="single" w:sz="4" w:space="0" w:color="auto"/>
            </w:tcBorders>
          </w:tcPr>
          <w:p w14:paraId="0371ABE0" w14:textId="77777777" w:rsidR="005F0E0C" w:rsidRPr="00A9578D" w:rsidRDefault="005F0E0C" w:rsidP="00BA0847">
            <w:pPr>
              <w:adjustRightInd w:val="0"/>
              <w:snapToGrid w:val="0"/>
              <w:spacing w:line="360" w:lineRule="auto"/>
              <w:rPr>
                <w:rFonts w:ascii="Book Antiqua" w:eastAsia="SimSun" w:hAnsi="Book Antiqua"/>
              </w:rPr>
            </w:pPr>
          </w:p>
        </w:tc>
        <w:tc>
          <w:tcPr>
            <w:tcW w:w="644" w:type="pct"/>
            <w:tcBorders>
              <w:top w:val="single" w:sz="4" w:space="0" w:color="auto"/>
              <w:bottom w:val="single" w:sz="4" w:space="0" w:color="auto"/>
            </w:tcBorders>
          </w:tcPr>
          <w:p w14:paraId="3ADB57DD"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cs="Times New Roman"/>
                <w:b/>
              </w:rPr>
              <w:t>Positive</w:t>
            </w:r>
          </w:p>
        </w:tc>
        <w:tc>
          <w:tcPr>
            <w:tcW w:w="687" w:type="pct"/>
            <w:tcBorders>
              <w:top w:val="single" w:sz="4" w:space="0" w:color="auto"/>
              <w:bottom w:val="single" w:sz="4" w:space="0" w:color="auto"/>
            </w:tcBorders>
          </w:tcPr>
          <w:p w14:paraId="0BC68890"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b/>
              </w:rPr>
              <w:t>Negative</w:t>
            </w:r>
          </w:p>
        </w:tc>
        <w:tc>
          <w:tcPr>
            <w:tcW w:w="644" w:type="pct"/>
            <w:tcBorders>
              <w:top w:val="single" w:sz="4" w:space="0" w:color="auto"/>
              <w:bottom w:val="single" w:sz="4" w:space="0" w:color="auto"/>
            </w:tcBorders>
          </w:tcPr>
          <w:p w14:paraId="5A71B688"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cs="Times New Roman"/>
                <w:b/>
              </w:rPr>
              <w:t>Positive</w:t>
            </w:r>
          </w:p>
        </w:tc>
        <w:tc>
          <w:tcPr>
            <w:tcW w:w="780" w:type="pct"/>
            <w:tcBorders>
              <w:top w:val="single" w:sz="4" w:space="0" w:color="auto"/>
              <w:bottom w:val="single" w:sz="4" w:space="0" w:color="auto"/>
            </w:tcBorders>
          </w:tcPr>
          <w:p w14:paraId="57745E6A"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b/>
              </w:rPr>
              <w:t>Negative</w:t>
            </w:r>
          </w:p>
        </w:tc>
      </w:tr>
      <w:tr w:rsidR="005F0E0C" w:rsidRPr="00A9578D" w14:paraId="23CDF9E9" w14:textId="77777777" w:rsidTr="00A23920">
        <w:trPr>
          <w:jc w:val="center"/>
        </w:trPr>
        <w:tc>
          <w:tcPr>
            <w:tcW w:w="1025" w:type="pct"/>
            <w:tcBorders>
              <w:top w:val="single" w:sz="4" w:space="0" w:color="auto"/>
              <w:bottom w:val="nil"/>
            </w:tcBorders>
          </w:tcPr>
          <w:p w14:paraId="700DACCB"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Observation group</w:t>
            </w:r>
          </w:p>
        </w:tc>
        <w:tc>
          <w:tcPr>
            <w:tcW w:w="260" w:type="pct"/>
            <w:tcBorders>
              <w:top w:val="single" w:sz="4" w:space="0" w:color="auto"/>
              <w:bottom w:val="nil"/>
            </w:tcBorders>
          </w:tcPr>
          <w:p w14:paraId="57AACFD2"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50</w:t>
            </w:r>
          </w:p>
        </w:tc>
        <w:tc>
          <w:tcPr>
            <w:tcW w:w="961" w:type="pct"/>
            <w:tcBorders>
              <w:top w:val="single" w:sz="4" w:space="0" w:color="auto"/>
              <w:bottom w:val="nil"/>
            </w:tcBorders>
          </w:tcPr>
          <w:p w14:paraId="4EF390AB"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cs="Times New Roman"/>
              </w:rPr>
              <w:t>Before the treatment</w:t>
            </w:r>
          </w:p>
        </w:tc>
        <w:tc>
          <w:tcPr>
            <w:tcW w:w="644" w:type="pct"/>
            <w:tcBorders>
              <w:top w:val="single" w:sz="4" w:space="0" w:color="auto"/>
              <w:bottom w:val="nil"/>
            </w:tcBorders>
          </w:tcPr>
          <w:p w14:paraId="7101C0BE"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26 (2.0)</w:t>
            </w:r>
          </w:p>
        </w:tc>
        <w:tc>
          <w:tcPr>
            <w:tcW w:w="687" w:type="pct"/>
            <w:tcBorders>
              <w:top w:val="single" w:sz="4" w:space="0" w:color="auto"/>
              <w:bottom w:val="nil"/>
            </w:tcBorders>
          </w:tcPr>
          <w:p w14:paraId="6B4C23F2"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24 (48.0)</w:t>
            </w:r>
          </w:p>
        </w:tc>
        <w:tc>
          <w:tcPr>
            <w:tcW w:w="644" w:type="pct"/>
            <w:tcBorders>
              <w:top w:val="single" w:sz="4" w:space="0" w:color="auto"/>
              <w:bottom w:val="nil"/>
            </w:tcBorders>
          </w:tcPr>
          <w:p w14:paraId="630BDC8B"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46 (92.0)</w:t>
            </w:r>
          </w:p>
        </w:tc>
        <w:tc>
          <w:tcPr>
            <w:tcW w:w="780" w:type="pct"/>
            <w:tcBorders>
              <w:top w:val="single" w:sz="4" w:space="0" w:color="auto"/>
              <w:bottom w:val="nil"/>
            </w:tcBorders>
          </w:tcPr>
          <w:p w14:paraId="5918B469"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 xml:space="preserve"> 4 (8.0)</w:t>
            </w:r>
          </w:p>
        </w:tc>
      </w:tr>
      <w:tr w:rsidR="005F0E0C" w:rsidRPr="00A9578D" w14:paraId="11C0B61D" w14:textId="77777777" w:rsidTr="00A23920">
        <w:trPr>
          <w:jc w:val="center"/>
        </w:trPr>
        <w:tc>
          <w:tcPr>
            <w:tcW w:w="1025" w:type="pct"/>
            <w:tcBorders>
              <w:top w:val="nil"/>
              <w:bottom w:val="nil"/>
            </w:tcBorders>
          </w:tcPr>
          <w:p w14:paraId="2FF92A59" w14:textId="77777777" w:rsidR="005F0E0C" w:rsidRPr="00A9578D" w:rsidRDefault="005F0E0C" w:rsidP="00BA0847">
            <w:pPr>
              <w:adjustRightInd w:val="0"/>
              <w:snapToGrid w:val="0"/>
              <w:spacing w:line="360" w:lineRule="auto"/>
              <w:rPr>
                <w:rFonts w:ascii="Book Antiqua" w:eastAsia="SimSun" w:hAnsi="Book Antiqua"/>
              </w:rPr>
            </w:pPr>
          </w:p>
        </w:tc>
        <w:tc>
          <w:tcPr>
            <w:tcW w:w="260" w:type="pct"/>
            <w:tcBorders>
              <w:top w:val="nil"/>
              <w:bottom w:val="nil"/>
            </w:tcBorders>
          </w:tcPr>
          <w:p w14:paraId="04DA75D9" w14:textId="77777777" w:rsidR="005F0E0C" w:rsidRPr="00A9578D" w:rsidRDefault="005F0E0C" w:rsidP="00BA0847">
            <w:pPr>
              <w:adjustRightInd w:val="0"/>
              <w:snapToGrid w:val="0"/>
              <w:spacing w:line="360" w:lineRule="auto"/>
              <w:rPr>
                <w:rFonts w:ascii="Book Antiqua" w:eastAsia="SimSun" w:hAnsi="Book Antiqua"/>
              </w:rPr>
            </w:pPr>
          </w:p>
        </w:tc>
        <w:tc>
          <w:tcPr>
            <w:tcW w:w="961" w:type="pct"/>
            <w:tcBorders>
              <w:top w:val="nil"/>
              <w:bottom w:val="nil"/>
            </w:tcBorders>
          </w:tcPr>
          <w:p w14:paraId="4BE7AD52"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 xml:space="preserve">After the </w:t>
            </w:r>
            <w:r w:rsidRPr="00A9578D">
              <w:rPr>
                <w:rFonts w:ascii="Book Antiqua" w:eastAsia="SimSun" w:hAnsi="Book Antiqua" w:cs="Times New Roman"/>
              </w:rPr>
              <w:t>treatment</w:t>
            </w:r>
          </w:p>
        </w:tc>
        <w:tc>
          <w:tcPr>
            <w:tcW w:w="644" w:type="pct"/>
            <w:tcBorders>
              <w:top w:val="nil"/>
              <w:bottom w:val="nil"/>
            </w:tcBorders>
          </w:tcPr>
          <w:p w14:paraId="11F0F211"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38 (76.0)</w:t>
            </w:r>
            <w:r w:rsidRPr="00A9578D">
              <w:rPr>
                <w:rFonts w:ascii="Book Antiqua" w:eastAsia="SimSun" w:hAnsi="Book Antiqua"/>
                <w:vertAlign w:val="superscript"/>
              </w:rPr>
              <w:t>a</w:t>
            </w:r>
          </w:p>
        </w:tc>
        <w:tc>
          <w:tcPr>
            <w:tcW w:w="687" w:type="pct"/>
            <w:tcBorders>
              <w:top w:val="nil"/>
              <w:bottom w:val="nil"/>
            </w:tcBorders>
          </w:tcPr>
          <w:p w14:paraId="63833065"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12 (24.0)</w:t>
            </w:r>
          </w:p>
        </w:tc>
        <w:tc>
          <w:tcPr>
            <w:tcW w:w="644" w:type="pct"/>
            <w:tcBorders>
              <w:top w:val="nil"/>
              <w:bottom w:val="nil"/>
            </w:tcBorders>
          </w:tcPr>
          <w:p w14:paraId="3AE471B3"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37 (74.0)</w:t>
            </w:r>
            <w:r w:rsidRPr="00A9578D">
              <w:rPr>
                <w:rFonts w:ascii="Book Antiqua" w:eastAsia="SimSun" w:hAnsi="Book Antiqua"/>
                <w:vertAlign w:val="superscript"/>
              </w:rPr>
              <w:t>a</w:t>
            </w:r>
          </w:p>
        </w:tc>
        <w:tc>
          <w:tcPr>
            <w:tcW w:w="780" w:type="pct"/>
            <w:tcBorders>
              <w:top w:val="nil"/>
              <w:bottom w:val="nil"/>
            </w:tcBorders>
          </w:tcPr>
          <w:p w14:paraId="68EAC627"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12 (26.0)</w:t>
            </w:r>
          </w:p>
        </w:tc>
      </w:tr>
      <w:tr w:rsidR="005F0E0C" w:rsidRPr="00A9578D" w14:paraId="09265561" w14:textId="77777777" w:rsidTr="00A23920">
        <w:trPr>
          <w:jc w:val="center"/>
        </w:trPr>
        <w:tc>
          <w:tcPr>
            <w:tcW w:w="1025" w:type="pct"/>
            <w:tcBorders>
              <w:top w:val="nil"/>
            </w:tcBorders>
          </w:tcPr>
          <w:p w14:paraId="29173840" w14:textId="77777777" w:rsidR="005F0E0C" w:rsidRPr="00A9578D" w:rsidRDefault="005F0E0C" w:rsidP="00BA0847">
            <w:pPr>
              <w:adjustRightInd w:val="0"/>
              <w:snapToGrid w:val="0"/>
              <w:spacing w:line="360" w:lineRule="auto"/>
              <w:rPr>
                <w:rFonts w:ascii="Book Antiqua" w:eastAsia="SimSun" w:hAnsi="Book Antiqua" w:cs="Times New Roman"/>
              </w:rPr>
            </w:pPr>
            <w:r w:rsidRPr="00A9578D">
              <w:rPr>
                <w:rFonts w:ascii="Book Antiqua" w:hAnsi="Book Antiqua" w:cs="Times New Roman"/>
              </w:rPr>
              <w:t>Control group</w:t>
            </w:r>
          </w:p>
        </w:tc>
        <w:tc>
          <w:tcPr>
            <w:tcW w:w="260" w:type="pct"/>
            <w:tcBorders>
              <w:top w:val="nil"/>
            </w:tcBorders>
          </w:tcPr>
          <w:p w14:paraId="7AD5AE30"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50</w:t>
            </w:r>
          </w:p>
        </w:tc>
        <w:tc>
          <w:tcPr>
            <w:tcW w:w="961" w:type="pct"/>
            <w:tcBorders>
              <w:top w:val="nil"/>
            </w:tcBorders>
          </w:tcPr>
          <w:p w14:paraId="72885774"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cs="Times New Roman"/>
              </w:rPr>
              <w:t>Before the treatment</w:t>
            </w:r>
          </w:p>
        </w:tc>
        <w:tc>
          <w:tcPr>
            <w:tcW w:w="644" w:type="pct"/>
            <w:tcBorders>
              <w:top w:val="nil"/>
            </w:tcBorders>
          </w:tcPr>
          <w:p w14:paraId="738FEC42"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27 (54.0)</w:t>
            </w:r>
          </w:p>
        </w:tc>
        <w:tc>
          <w:tcPr>
            <w:tcW w:w="687" w:type="pct"/>
            <w:tcBorders>
              <w:top w:val="nil"/>
            </w:tcBorders>
          </w:tcPr>
          <w:p w14:paraId="73678833"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23 (46.0)</w:t>
            </w:r>
          </w:p>
        </w:tc>
        <w:tc>
          <w:tcPr>
            <w:tcW w:w="644" w:type="pct"/>
            <w:tcBorders>
              <w:top w:val="nil"/>
            </w:tcBorders>
          </w:tcPr>
          <w:p w14:paraId="65E0FFD7"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45 (90.0)</w:t>
            </w:r>
          </w:p>
        </w:tc>
        <w:tc>
          <w:tcPr>
            <w:tcW w:w="780" w:type="pct"/>
            <w:tcBorders>
              <w:top w:val="nil"/>
            </w:tcBorders>
          </w:tcPr>
          <w:p w14:paraId="03C3C9EE"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 xml:space="preserve"> 5 (10.0)</w:t>
            </w:r>
          </w:p>
        </w:tc>
      </w:tr>
      <w:tr w:rsidR="005F0E0C" w:rsidRPr="00A9578D" w14:paraId="5503A45C" w14:textId="77777777" w:rsidTr="00A23920">
        <w:trPr>
          <w:jc w:val="center"/>
        </w:trPr>
        <w:tc>
          <w:tcPr>
            <w:tcW w:w="1025" w:type="pct"/>
          </w:tcPr>
          <w:p w14:paraId="1EA61A45" w14:textId="77777777" w:rsidR="005F0E0C" w:rsidRPr="00A9578D" w:rsidRDefault="005F0E0C" w:rsidP="00BA0847">
            <w:pPr>
              <w:adjustRightInd w:val="0"/>
              <w:snapToGrid w:val="0"/>
              <w:spacing w:line="360" w:lineRule="auto"/>
              <w:rPr>
                <w:rFonts w:ascii="Book Antiqua" w:eastAsia="SimSun" w:hAnsi="Book Antiqua"/>
              </w:rPr>
            </w:pPr>
          </w:p>
        </w:tc>
        <w:tc>
          <w:tcPr>
            <w:tcW w:w="260" w:type="pct"/>
          </w:tcPr>
          <w:p w14:paraId="654A8D19" w14:textId="77777777" w:rsidR="005F0E0C" w:rsidRPr="00A9578D" w:rsidRDefault="005F0E0C" w:rsidP="00BA0847">
            <w:pPr>
              <w:adjustRightInd w:val="0"/>
              <w:snapToGrid w:val="0"/>
              <w:spacing w:line="360" w:lineRule="auto"/>
              <w:rPr>
                <w:rFonts w:ascii="Book Antiqua" w:eastAsia="SimSun" w:hAnsi="Book Antiqua"/>
              </w:rPr>
            </w:pPr>
          </w:p>
        </w:tc>
        <w:tc>
          <w:tcPr>
            <w:tcW w:w="961" w:type="pct"/>
          </w:tcPr>
          <w:p w14:paraId="7813F595"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 xml:space="preserve">After the </w:t>
            </w:r>
            <w:r w:rsidRPr="00A9578D">
              <w:rPr>
                <w:rFonts w:ascii="Book Antiqua" w:eastAsia="SimSun" w:hAnsi="Book Antiqua" w:cs="Times New Roman"/>
              </w:rPr>
              <w:t>treatment</w:t>
            </w:r>
          </w:p>
        </w:tc>
        <w:tc>
          <w:tcPr>
            <w:tcW w:w="644" w:type="pct"/>
          </w:tcPr>
          <w:p w14:paraId="30C15ED9"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34 (68.0)</w:t>
            </w:r>
            <w:r w:rsidRPr="00A9578D">
              <w:rPr>
                <w:rFonts w:ascii="Book Antiqua" w:eastAsia="SimSun" w:hAnsi="Book Antiqua"/>
                <w:vertAlign w:val="superscript"/>
              </w:rPr>
              <w:t>a</w:t>
            </w:r>
          </w:p>
        </w:tc>
        <w:tc>
          <w:tcPr>
            <w:tcW w:w="687" w:type="pct"/>
          </w:tcPr>
          <w:p w14:paraId="05607F48"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16 (32.0)</w:t>
            </w:r>
          </w:p>
        </w:tc>
        <w:tc>
          <w:tcPr>
            <w:tcW w:w="644" w:type="pct"/>
          </w:tcPr>
          <w:p w14:paraId="61FF9577"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36 (72.0)</w:t>
            </w:r>
            <w:r w:rsidRPr="00A9578D">
              <w:rPr>
                <w:rFonts w:ascii="Book Antiqua" w:eastAsia="SimSun" w:hAnsi="Book Antiqua"/>
                <w:vertAlign w:val="superscript"/>
              </w:rPr>
              <w:t>a</w:t>
            </w:r>
          </w:p>
        </w:tc>
        <w:tc>
          <w:tcPr>
            <w:tcW w:w="780" w:type="pct"/>
          </w:tcPr>
          <w:p w14:paraId="2515EBCC"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14 (28.0)</w:t>
            </w:r>
          </w:p>
        </w:tc>
      </w:tr>
    </w:tbl>
    <w:p w14:paraId="07C5408E" w14:textId="77777777" w:rsidR="005F0E0C" w:rsidRPr="00A9578D" w:rsidRDefault="005F0E0C" w:rsidP="00A9578D">
      <w:pPr>
        <w:adjustRightInd w:val="0"/>
        <w:snapToGrid w:val="0"/>
        <w:spacing w:line="360" w:lineRule="auto"/>
        <w:jc w:val="both"/>
        <w:rPr>
          <w:rFonts w:ascii="Book Antiqua" w:eastAsia="SimSun" w:hAnsi="Book Antiqua"/>
        </w:rPr>
      </w:pPr>
      <w:r w:rsidRPr="00A9578D">
        <w:rPr>
          <w:rFonts w:ascii="Book Antiqua" w:eastAsia="SimSun" w:hAnsi="Book Antiqua"/>
        </w:rPr>
        <w:t xml:space="preserve">Compared with those before the treatment, </w:t>
      </w:r>
      <w:r w:rsidRPr="00A9578D">
        <w:rPr>
          <w:rFonts w:ascii="Book Antiqua" w:eastAsia="SimSun" w:hAnsi="Book Antiqua"/>
          <w:vertAlign w:val="superscript"/>
        </w:rPr>
        <w:t>a</w:t>
      </w:r>
      <w:r w:rsidRPr="00A9578D">
        <w:rPr>
          <w:rFonts w:ascii="Book Antiqua" w:eastAsia="SimSun" w:hAnsi="Book Antiqua"/>
          <w:i/>
        </w:rPr>
        <w:t xml:space="preserve">P </w:t>
      </w:r>
      <w:r w:rsidRPr="00A9578D">
        <w:rPr>
          <w:rFonts w:ascii="Book Antiqua" w:eastAsia="SimSun" w:hAnsi="Book Antiqua"/>
        </w:rPr>
        <w:t>&lt; 0.05.</w:t>
      </w:r>
    </w:p>
    <w:p w14:paraId="354A46FA" w14:textId="77777777" w:rsidR="005F0E0C" w:rsidRPr="00A9578D" w:rsidRDefault="005F0E0C" w:rsidP="00A9578D">
      <w:pPr>
        <w:spacing w:line="360" w:lineRule="auto"/>
        <w:jc w:val="both"/>
        <w:rPr>
          <w:rFonts w:ascii="Book Antiqua" w:eastAsia="SimSun" w:hAnsi="Book Antiqua"/>
          <w:color w:val="000000"/>
          <w:lang w:eastAsia="zh-CN"/>
        </w:rPr>
        <w:sectPr w:rsidR="005F0E0C" w:rsidRPr="00A9578D">
          <w:pgSz w:w="12240" w:h="15840"/>
          <w:pgMar w:top="1440" w:right="1440" w:bottom="1440" w:left="1440" w:header="720" w:footer="720" w:gutter="0"/>
          <w:cols w:space="720"/>
          <w:docGrid w:linePitch="360"/>
        </w:sectPr>
      </w:pPr>
    </w:p>
    <w:p w14:paraId="7D91B1EB" w14:textId="77777777" w:rsidR="005F0E0C" w:rsidRPr="00A9578D" w:rsidRDefault="00122F44" w:rsidP="00A9578D">
      <w:pPr>
        <w:spacing w:line="360" w:lineRule="auto"/>
        <w:jc w:val="both"/>
        <w:rPr>
          <w:rFonts w:ascii="Book Antiqua" w:eastAsia="SimSun" w:hAnsi="Book Antiqua"/>
          <w:b/>
        </w:rPr>
      </w:pPr>
      <w:r w:rsidRPr="00A9578D">
        <w:rPr>
          <w:rFonts w:ascii="Book Antiqua" w:eastAsia="SimSun" w:hAnsi="Book Antiqua"/>
          <w:b/>
        </w:rPr>
        <w:lastRenderedPageBreak/>
        <w:t>Table 2</w:t>
      </w:r>
      <w:r w:rsidR="005F0E0C" w:rsidRPr="00A9578D">
        <w:rPr>
          <w:rFonts w:ascii="Book Antiqua" w:eastAsia="SimSun" w:hAnsi="Book Antiqua"/>
          <w:b/>
        </w:rPr>
        <w:t xml:space="preserve"> Differences in the </w:t>
      </w:r>
      <w:r w:rsidR="005F0E0C" w:rsidRPr="00A9578D">
        <w:rPr>
          <w:rFonts w:ascii="Book Antiqua" w:eastAsia="SimSun" w:hAnsi="Book Antiqua"/>
          <w:b/>
          <w:color w:val="000000"/>
        </w:rPr>
        <w:t xml:space="preserve">incidence of </w:t>
      </w:r>
      <w:r w:rsidR="005F0E0C" w:rsidRPr="00A9578D">
        <w:rPr>
          <w:rFonts w:ascii="Book Antiqua" w:eastAsia="SimSun" w:hAnsi="Book Antiqua"/>
          <w:b/>
        </w:rPr>
        <w:t>chemoradiotherapy-induced</w:t>
      </w:r>
      <w:r w:rsidR="005F0E0C" w:rsidRPr="00A9578D">
        <w:rPr>
          <w:rFonts w:ascii="Book Antiqua" w:eastAsia="SimSun" w:hAnsi="Book Antiqua"/>
          <w:b/>
          <w:color w:val="000000"/>
        </w:rPr>
        <w:t xml:space="preserve"> adverse reactions between the two groups before the operation, </w:t>
      </w:r>
      <w:r w:rsidR="005F0E0C" w:rsidRPr="00A9578D">
        <w:rPr>
          <w:rFonts w:ascii="Book Antiqua" w:eastAsia="SimSun" w:hAnsi="Book Antiqua"/>
          <w:b/>
          <w:i/>
        </w:rPr>
        <w:t>n</w:t>
      </w:r>
      <w:r w:rsidR="005F0E0C" w:rsidRPr="00A9578D">
        <w:rPr>
          <w:rFonts w:ascii="Book Antiqua" w:eastAsia="SimSun" w:hAnsi="Book Antiqua"/>
          <w:b/>
        </w:rPr>
        <w:t xml:space="preserve"> (%)</w:t>
      </w:r>
    </w:p>
    <w:tbl>
      <w:tblPr>
        <w:tblStyle w:val="TableGrid"/>
        <w:tblpPr w:leftFromText="180" w:rightFromText="180" w:vertAnchor="page" w:horzAnchor="margin" w:tblpY="2392"/>
        <w:tblW w:w="5205" w:type="pct"/>
        <w:tblBorders>
          <w:top w:val="single" w:sz="8"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449"/>
        <w:gridCol w:w="1226"/>
        <w:gridCol w:w="1337"/>
        <w:gridCol w:w="2275"/>
        <w:gridCol w:w="1576"/>
        <w:gridCol w:w="1171"/>
        <w:gridCol w:w="1012"/>
        <w:gridCol w:w="1694"/>
        <w:gridCol w:w="1252"/>
      </w:tblGrid>
      <w:tr w:rsidR="005F0E0C" w:rsidRPr="00A9578D" w14:paraId="1726DCD8" w14:textId="77777777" w:rsidTr="00CC1EFB">
        <w:tc>
          <w:tcPr>
            <w:tcW w:w="555" w:type="pct"/>
            <w:tcBorders>
              <w:bottom w:val="single" w:sz="4" w:space="0" w:color="auto"/>
            </w:tcBorders>
          </w:tcPr>
          <w:p w14:paraId="5963810D"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hAnsi="Book Antiqua"/>
                <w:b/>
              </w:rPr>
              <w:t>Groups</w:t>
            </w:r>
          </w:p>
        </w:tc>
        <w:tc>
          <w:tcPr>
            <w:tcW w:w="166" w:type="pct"/>
            <w:tcBorders>
              <w:bottom w:val="single" w:sz="4" w:space="0" w:color="auto"/>
            </w:tcBorders>
          </w:tcPr>
          <w:p w14:paraId="595AB327"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cs="Times New Roman"/>
                <w:b/>
                <w:i/>
              </w:rPr>
              <w:t>n</w:t>
            </w:r>
          </w:p>
        </w:tc>
        <w:tc>
          <w:tcPr>
            <w:tcW w:w="454" w:type="pct"/>
            <w:tcBorders>
              <w:bottom w:val="single" w:sz="4" w:space="0" w:color="auto"/>
            </w:tcBorders>
          </w:tcPr>
          <w:p w14:paraId="0797BA6F"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cs="Times New Roman"/>
                <w:b/>
              </w:rPr>
              <w:t>Anemia</w:t>
            </w:r>
          </w:p>
        </w:tc>
        <w:tc>
          <w:tcPr>
            <w:tcW w:w="495" w:type="pct"/>
            <w:tcBorders>
              <w:bottom w:val="single" w:sz="4" w:space="0" w:color="auto"/>
            </w:tcBorders>
          </w:tcPr>
          <w:p w14:paraId="62D7F0F0"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hAnsi="Book Antiqua"/>
                <w:b/>
              </w:rPr>
              <w:t>Leukopenia</w:t>
            </w:r>
          </w:p>
        </w:tc>
        <w:tc>
          <w:tcPr>
            <w:tcW w:w="842" w:type="pct"/>
            <w:tcBorders>
              <w:bottom w:val="single" w:sz="4" w:space="0" w:color="auto"/>
            </w:tcBorders>
          </w:tcPr>
          <w:p w14:paraId="1143255F"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hAnsi="Book Antiqua"/>
                <w:b/>
              </w:rPr>
              <w:t>Thrombocytopenia</w:t>
            </w:r>
          </w:p>
        </w:tc>
        <w:tc>
          <w:tcPr>
            <w:tcW w:w="584" w:type="pct"/>
            <w:tcBorders>
              <w:bottom w:val="single" w:sz="4" w:space="0" w:color="auto"/>
            </w:tcBorders>
          </w:tcPr>
          <w:p w14:paraId="57FD5C7E"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hAnsi="Book Antiqua"/>
                <w:b/>
              </w:rPr>
              <w:t>Neutropenia</w:t>
            </w:r>
          </w:p>
        </w:tc>
        <w:tc>
          <w:tcPr>
            <w:tcW w:w="434" w:type="pct"/>
            <w:tcBorders>
              <w:bottom w:val="single" w:sz="4" w:space="0" w:color="auto"/>
            </w:tcBorders>
          </w:tcPr>
          <w:p w14:paraId="2DD22358"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hAnsi="Book Antiqua"/>
                <w:b/>
              </w:rPr>
              <w:t>Diarrhea</w:t>
            </w:r>
          </w:p>
        </w:tc>
        <w:tc>
          <w:tcPr>
            <w:tcW w:w="375" w:type="pct"/>
            <w:tcBorders>
              <w:bottom w:val="single" w:sz="4" w:space="0" w:color="auto"/>
            </w:tcBorders>
          </w:tcPr>
          <w:p w14:paraId="71A2AB13"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cs="Times New Roman"/>
                <w:b/>
              </w:rPr>
              <w:t>Fatigue</w:t>
            </w:r>
          </w:p>
        </w:tc>
        <w:tc>
          <w:tcPr>
            <w:tcW w:w="628" w:type="pct"/>
            <w:tcBorders>
              <w:bottom w:val="single" w:sz="4" w:space="0" w:color="auto"/>
            </w:tcBorders>
          </w:tcPr>
          <w:p w14:paraId="0889FC61"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cs="Times New Roman"/>
                <w:b/>
              </w:rPr>
              <w:t>Neurotoxicity</w:t>
            </w:r>
          </w:p>
        </w:tc>
        <w:tc>
          <w:tcPr>
            <w:tcW w:w="464" w:type="pct"/>
            <w:tcBorders>
              <w:bottom w:val="single" w:sz="4" w:space="0" w:color="auto"/>
            </w:tcBorders>
          </w:tcPr>
          <w:p w14:paraId="30A3CE1C"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cs="Times New Roman"/>
                <w:b/>
              </w:rPr>
              <w:t>Nausea and vomiting</w:t>
            </w:r>
          </w:p>
        </w:tc>
      </w:tr>
      <w:tr w:rsidR="005F0E0C" w:rsidRPr="00A9578D" w14:paraId="673CDAFC" w14:textId="77777777" w:rsidTr="00CC1EFB">
        <w:tc>
          <w:tcPr>
            <w:tcW w:w="555" w:type="pct"/>
            <w:tcBorders>
              <w:top w:val="single" w:sz="4" w:space="0" w:color="auto"/>
              <w:bottom w:val="nil"/>
            </w:tcBorders>
          </w:tcPr>
          <w:p w14:paraId="48F307AF"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Observation group</w:t>
            </w:r>
          </w:p>
        </w:tc>
        <w:tc>
          <w:tcPr>
            <w:tcW w:w="166" w:type="pct"/>
            <w:tcBorders>
              <w:top w:val="single" w:sz="4" w:space="0" w:color="auto"/>
              <w:bottom w:val="nil"/>
            </w:tcBorders>
          </w:tcPr>
          <w:p w14:paraId="2E7AADC6"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50</w:t>
            </w:r>
          </w:p>
        </w:tc>
        <w:tc>
          <w:tcPr>
            <w:tcW w:w="454" w:type="pct"/>
            <w:tcBorders>
              <w:top w:val="single" w:sz="4" w:space="0" w:color="auto"/>
              <w:bottom w:val="nil"/>
            </w:tcBorders>
          </w:tcPr>
          <w:p w14:paraId="33695FAB"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24 (48.0)</w:t>
            </w:r>
          </w:p>
        </w:tc>
        <w:tc>
          <w:tcPr>
            <w:tcW w:w="495" w:type="pct"/>
            <w:tcBorders>
              <w:top w:val="single" w:sz="4" w:space="0" w:color="auto"/>
              <w:bottom w:val="nil"/>
            </w:tcBorders>
          </w:tcPr>
          <w:p w14:paraId="6C87FBAF"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31 (62.0)</w:t>
            </w:r>
            <w:r w:rsidRPr="00A9578D">
              <w:rPr>
                <w:rFonts w:ascii="Book Antiqua" w:eastAsia="SimSun" w:hAnsi="Book Antiqua"/>
                <w:vertAlign w:val="superscript"/>
              </w:rPr>
              <w:t>a</w:t>
            </w:r>
          </w:p>
        </w:tc>
        <w:tc>
          <w:tcPr>
            <w:tcW w:w="842" w:type="pct"/>
            <w:tcBorders>
              <w:top w:val="single" w:sz="4" w:space="0" w:color="auto"/>
              <w:bottom w:val="nil"/>
            </w:tcBorders>
          </w:tcPr>
          <w:p w14:paraId="37CF5D3D"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36 (72.0)</w:t>
            </w:r>
            <w:r w:rsidRPr="00A9578D">
              <w:rPr>
                <w:rFonts w:ascii="Book Antiqua" w:eastAsia="SimSun" w:hAnsi="Book Antiqua"/>
                <w:vertAlign w:val="superscript"/>
              </w:rPr>
              <w:t>a</w:t>
            </w:r>
          </w:p>
        </w:tc>
        <w:tc>
          <w:tcPr>
            <w:tcW w:w="584" w:type="pct"/>
            <w:tcBorders>
              <w:top w:val="single" w:sz="4" w:space="0" w:color="auto"/>
              <w:bottom w:val="nil"/>
            </w:tcBorders>
          </w:tcPr>
          <w:p w14:paraId="2938BFF5"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31 (62.0)</w:t>
            </w:r>
            <w:r w:rsidRPr="00A9578D">
              <w:rPr>
                <w:rFonts w:ascii="Book Antiqua" w:eastAsia="SimSun" w:hAnsi="Book Antiqua"/>
                <w:vertAlign w:val="superscript"/>
              </w:rPr>
              <w:t>a</w:t>
            </w:r>
          </w:p>
        </w:tc>
        <w:tc>
          <w:tcPr>
            <w:tcW w:w="434" w:type="pct"/>
            <w:tcBorders>
              <w:top w:val="single" w:sz="4" w:space="0" w:color="auto"/>
              <w:bottom w:val="nil"/>
            </w:tcBorders>
          </w:tcPr>
          <w:p w14:paraId="0128E8D5"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17 (34.0)</w:t>
            </w:r>
            <w:r w:rsidRPr="00A9578D">
              <w:rPr>
                <w:rFonts w:ascii="Book Antiqua" w:eastAsia="SimSun" w:hAnsi="Book Antiqua"/>
                <w:vertAlign w:val="superscript"/>
              </w:rPr>
              <w:t>a</w:t>
            </w:r>
          </w:p>
        </w:tc>
        <w:tc>
          <w:tcPr>
            <w:tcW w:w="375" w:type="pct"/>
            <w:tcBorders>
              <w:top w:val="single" w:sz="4" w:space="0" w:color="auto"/>
              <w:bottom w:val="nil"/>
            </w:tcBorders>
          </w:tcPr>
          <w:p w14:paraId="1978EA27"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9 (18.0)</w:t>
            </w:r>
          </w:p>
        </w:tc>
        <w:tc>
          <w:tcPr>
            <w:tcW w:w="628" w:type="pct"/>
            <w:tcBorders>
              <w:top w:val="single" w:sz="4" w:space="0" w:color="auto"/>
              <w:bottom w:val="nil"/>
            </w:tcBorders>
          </w:tcPr>
          <w:p w14:paraId="4EBBAB8A"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11 (22.0)</w:t>
            </w:r>
          </w:p>
        </w:tc>
        <w:tc>
          <w:tcPr>
            <w:tcW w:w="464" w:type="pct"/>
            <w:tcBorders>
              <w:top w:val="single" w:sz="4" w:space="0" w:color="auto"/>
              <w:bottom w:val="nil"/>
            </w:tcBorders>
          </w:tcPr>
          <w:p w14:paraId="10B0BC84"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23 (46.0)</w:t>
            </w:r>
          </w:p>
        </w:tc>
      </w:tr>
      <w:tr w:rsidR="005F0E0C" w:rsidRPr="00A9578D" w14:paraId="4DFB180E" w14:textId="77777777" w:rsidTr="00CC1EFB">
        <w:tc>
          <w:tcPr>
            <w:tcW w:w="555" w:type="pct"/>
            <w:tcBorders>
              <w:top w:val="nil"/>
            </w:tcBorders>
          </w:tcPr>
          <w:p w14:paraId="24A9D6E1"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hAnsi="Book Antiqua" w:cs="Times New Roman"/>
              </w:rPr>
              <w:t>Control group</w:t>
            </w:r>
          </w:p>
        </w:tc>
        <w:tc>
          <w:tcPr>
            <w:tcW w:w="166" w:type="pct"/>
            <w:tcBorders>
              <w:top w:val="nil"/>
            </w:tcBorders>
          </w:tcPr>
          <w:p w14:paraId="22A54DB5"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50</w:t>
            </w:r>
          </w:p>
        </w:tc>
        <w:tc>
          <w:tcPr>
            <w:tcW w:w="454" w:type="pct"/>
            <w:tcBorders>
              <w:top w:val="nil"/>
            </w:tcBorders>
          </w:tcPr>
          <w:p w14:paraId="3AA2D5AC"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22 (44.0)</w:t>
            </w:r>
          </w:p>
        </w:tc>
        <w:tc>
          <w:tcPr>
            <w:tcW w:w="495" w:type="pct"/>
            <w:tcBorders>
              <w:top w:val="nil"/>
            </w:tcBorders>
          </w:tcPr>
          <w:p w14:paraId="13EBF4D0"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20 (40.0)</w:t>
            </w:r>
          </w:p>
        </w:tc>
        <w:tc>
          <w:tcPr>
            <w:tcW w:w="842" w:type="pct"/>
            <w:tcBorders>
              <w:top w:val="nil"/>
            </w:tcBorders>
          </w:tcPr>
          <w:p w14:paraId="5E1B946C"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24 (48.0)</w:t>
            </w:r>
          </w:p>
        </w:tc>
        <w:tc>
          <w:tcPr>
            <w:tcW w:w="584" w:type="pct"/>
            <w:tcBorders>
              <w:top w:val="nil"/>
            </w:tcBorders>
          </w:tcPr>
          <w:p w14:paraId="6319CA4D"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22 (44.0)</w:t>
            </w:r>
          </w:p>
        </w:tc>
        <w:tc>
          <w:tcPr>
            <w:tcW w:w="434" w:type="pct"/>
            <w:tcBorders>
              <w:top w:val="nil"/>
            </w:tcBorders>
          </w:tcPr>
          <w:p w14:paraId="6F72C85B"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9 (18.0)</w:t>
            </w:r>
          </w:p>
        </w:tc>
        <w:tc>
          <w:tcPr>
            <w:tcW w:w="375" w:type="pct"/>
            <w:tcBorders>
              <w:top w:val="nil"/>
            </w:tcBorders>
          </w:tcPr>
          <w:p w14:paraId="217D49D7"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8 (16.0)</w:t>
            </w:r>
          </w:p>
        </w:tc>
        <w:tc>
          <w:tcPr>
            <w:tcW w:w="628" w:type="pct"/>
            <w:tcBorders>
              <w:top w:val="nil"/>
            </w:tcBorders>
          </w:tcPr>
          <w:p w14:paraId="5E867D78"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12 (24.0)</w:t>
            </w:r>
          </w:p>
        </w:tc>
        <w:tc>
          <w:tcPr>
            <w:tcW w:w="464" w:type="pct"/>
            <w:tcBorders>
              <w:top w:val="nil"/>
            </w:tcBorders>
          </w:tcPr>
          <w:p w14:paraId="68883F8E"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22 (24.0)</w:t>
            </w:r>
          </w:p>
        </w:tc>
      </w:tr>
    </w:tbl>
    <w:p w14:paraId="34D6B963" w14:textId="77777777" w:rsidR="005F0E0C" w:rsidRPr="00A9578D" w:rsidRDefault="005F0E0C" w:rsidP="00A9578D">
      <w:pPr>
        <w:adjustRightInd w:val="0"/>
        <w:snapToGrid w:val="0"/>
        <w:spacing w:line="360" w:lineRule="auto"/>
        <w:jc w:val="both"/>
        <w:rPr>
          <w:rFonts w:ascii="Book Antiqua" w:eastAsia="SimSun" w:hAnsi="Book Antiqua"/>
        </w:rPr>
      </w:pPr>
      <w:r w:rsidRPr="00A9578D">
        <w:rPr>
          <w:rFonts w:ascii="Book Antiqua" w:eastAsia="SimSun" w:hAnsi="Book Antiqua"/>
        </w:rPr>
        <w:t xml:space="preserve">Compared with the control group, </w:t>
      </w:r>
      <w:r w:rsidRPr="00A9578D">
        <w:rPr>
          <w:rFonts w:ascii="Book Antiqua" w:eastAsia="SimSun" w:hAnsi="Book Antiqua"/>
          <w:vertAlign w:val="superscript"/>
        </w:rPr>
        <w:t>a</w:t>
      </w:r>
      <w:r w:rsidRPr="00A9578D">
        <w:rPr>
          <w:rFonts w:ascii="Book Antiqua" w:eastAsia="SimSun" w:hAnsi="Book Antiqua"/>
          <w:i/>
        </w:rPr>
        <w:t xml:space="preserve">P </w:t>
      </w:r>
      <w:r w:rsidRPr="00A9578D">
        <w:rPr>
          <w:rFonts w:ascii="Book Antiqua" w:eastAsia="SimSun" w:hAnsi="Book Antiqua"/>
        </w:rPr>
        <w:t>&lt; 0.05.</w:t>
      </w:r>
    </w:p>
    <w:p w14:paraId="2C92DED0" w14:textId="77777777" w:rsidR="005F0E0C" w:rsidRPr="00A9578D" w:rsidRDefault="005F0E0C" w:rsidP="00A9578D">
      <w:pPr>
        <w:adjustRightInd w:val="0"/>
        <w:snapToGrid w:val="0"/>
        <w:spacing w:line="360" w:lineRule="auto"/>
        <w:jc w:val="both"/>
        <w:rPr>
          <w:rFonts w:ascii="Book Antiqua" w:eastAsia="SimSun" w:hAnsi="Book Antiqua"/>
          <w:b/>
        </w:rPr>
      </w:pPr>
      <w:r w:rsidRPr="00A9578D">
        <w:rPr>
          <w:rFonts w:ascii="Book Antiqua" w:eastAsia="SimSun" w:hAnsi="Book Antiqua"/>
        </w:rPr>
        <w:br w:type="page"/>
      </w:r>
      <w:r w:rsidR="00122F44" w:rsidRPr="00A9578D">
        <w:rPr>
          <w:rFonts w:ascii="Book Antiqua" w:eastAsia="SimSun" w:hAnsi="Book Antiqua"/>
          <w:b/>
        </w:rPr>
        <w:lastRenderedPageBreak/>
        <w:t>Table 3</w:t>
      </w:r>
      <w:r w:rsidRPr="00A9578D">
        <w:rPr>
          <w:rFonts w:ascii="Book Antiqua" w:eastAsia="SimSun" w:hAnsi="Book Antiqua"/>
          <w:b/>
        </w:rPr>
        <w:t xml:space="preserve"> Comparison of operation indices between the two groups, </w:t>
      </w:r>
      <w:r w:rsidRPr="00A9578D">
        <w:rPr>
          <w:rFonts w:ascii="Book Antiqua" w:eastAsia="SimSun" w:hAnsi="Book Antiqua"/>
          <w:b/>
          <w:i/>
        </w:rPr>
        <w:t>n</w:t>
      </w:r>
      <w:r w:rsidRPr="00A9578D">
        <w:rPr>
          <w:rFonts w:ascii="Book Antiqua" w:eastAsia="SimSun" w:hAnsi="Book Antiqua"/>
          <w:b/>
        </w:rPr>
        <w:t xml:space="preserve"> (%)</w:t>
      </w:r>
    </w:p>
    <w:tbl>
      <w:tblPr>
        <w:tblStyle w:val="TableGrid"/>
        <w:tblW w:w="5000" w:type="pct"/>
        <w:tblBorders>
          <w:top w:val="single" w:sz="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529"/>
        <w:gridCol w:w="1496"/>
        <w:gridCol w:w="2141"/>
        <w:gridCol w:w="1921"/>
        <w:gridCol w:w="1480"/>
        <w:gridCol w:w="1897"/>
        <w:gridCol w:w="1700"/>
      </w:tblGrid>
      <w:tr w:rsidR="005F0E0C" w:rsidRPr="00A9578D" w14:paraId="46B27A75" w14:textId="77777777" w:rsidTr="005F0E0C">
        <w:trPr>
          <w:trHeight w:val="43"/>
        </w:trPr>
        <w:tc>
          <w:tcPr>
            <w:tcW w:w="693" w:type="pct"/>
            <w:vMerge w:val="restart"/>
          </w:tcPr>
          <w:p w14:paraId="197A8EDB"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hAnsi="Book Antiqua"/>
                <w:b/>
              </w:rPr>
              <w:t>Groups</w:t>
            </w:r>
          </w:p>
        </w:tc>
        <w:tc>
          <w:tcPr>
            <w:tcW w:w="204" w:type="pct"/>
            <w:vMerge w:val="restart"/>
          </w:tcPr>
          <w:p w14:paraId="0DC7315E"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cs="Times New Roman"/>
                <w:b/>
                <w:i/>
              </w:rPr>
              <w:t>n</w:t>
            </w:r>
          </w:p>
        </w:tc>
        <w:tc>
          <w:tcPr>
            <w:tcW w:w="577" w:type="pct"/>
            <w:vMerge w:val="restart"/>
          </w:tcPr>
          <w:p w14:paraId="2DBD9367"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cs="Times New Roman"/>
                <w:b/>
              </w:rPr>
              <w:t xml:space="preserve">Duration of surgery </w:t>
            </w:r>
            <w:r w:rsidRPr="00A9578D">
              <w:rPr>
                <w:rFonts w:ascii="Book Antiqua" w:eastAsia="SimSun" w:hAnsi="Book Antiqua"/>
                <w:b/>
                <w:color w:val="000000"/>
              </w:rPr>
              <w:t>(min)</w:t>
            </w:r>
          </w:p>
        </w:tc>
        <w:tc>
          <w:tcPr>
            <w:tcW w:w="826" w:type="pct"/>
            <w:vMerge w:val="restart"/>
          </w:tcPr>
          <w:p w14:paraId="5CCCAF5B"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cs="Times New Roman"/>
                <w:b/>
              </w:rPr>
              <w:t>Intraoperative blood loss</w:t>
            </w:r>
            <w:r w:rsidRPr="00A9578D">
              <w:rPr>
                <w:rFonts w:ascii="Book Antiqua" w:eastAsia="SimSun" w:hAnsi="Book Antiqua"/>
                <w:b/>
                <w:color w:val="000000"/>
              </w:rPr>
              <w:t xml:space="preserve"> (mL)</w:t>
            </w:r>
          </w:p>
        </w:tc>
        <w:tc>
          <w:tcPr>
            <w:tcW w:w="741" w:type="pct"/>
            <w:vMerge w:val="restart"/>
          </w:tcPr>
          <w:p w14:paraId="33702734"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b/>
                <w:color w:val="000000"/>
              </w:rPr>
              <w:t>Anal</w:t>
            </w:r>
            <w:r w:rsidRPr="00A9578D">
              <w:rPr>
                <w:rFonts w:ascii="Book Antiqua" w:eastAsia="SimSun" w:hAnsi="Book Antiqua" w:cs="Times New Roman"/>
                <w:b/>
              </w:rPr>
              <w:t xml:space="preserve"> conservation rate</w:t>
            </w:r>
          </w:p>
        </w:tc>
        <w:tc>
          <w:tcPr>
            <w:tcW w:w="1960" w:type="pct"/>
            <w:gridSpan w:val="3"/>
            <w:tcBorders>
              <w:bottom w:val="single" w:sz="4" w:space="0" w:color="auto"/>
            </w:tcBorders>
          </w:tcPr>
          <w:p w14:paraId="709CB401"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cs="Times New Roman"/>
                <w:b/>
              </w:rPr>
              <w:t>Postoperative complications</w:t>
            </w:r>
          </w:p>
        </w:tc>
      </w:tr>
      <w:tr w:rsidR="005F0E0C" w:rsidRPr="00A9578D" w14:paraId="41F45B43" w14:textId="77777777" w:rsidTr="005F0E0C">
        <w:trPr>
          <w:trHeight w:val="663"/>
        </w:trPr>
        <w:tc>
          <w:tcPr>
            <w:tcW w:w="693" w:type="pct"/>
            <w:vMerge/>
            <w:tcBorders>
              <w:bottom w:val="single" w:sz="4" w:space="0" w:color="auto"/>
            </w:tcBorders>
          </w:tcPr>
          <w:p w14:paraId="4810AA27" w14:textId="77777777" w:rsidR="005F0E0C" w:rsidRPr="00A9578D" w:rsidRDefault="005F0E0C" w:rsidP="00BA0847">
            <w:pPr>
              <w:adjustRightInd w:val="0"/>
              <w:snapToGrid w:val="0"/>
              <w:spacing w:line="360" w:lineRule="auto"/>
              <w:rPr>
                <w:rFonts w:ascii="Book Antiqua" w:eastAsia="SimSun" w:hAnsi="Book Antiqua"/>
              </w:rPr>
            </w:pPr>
          </w:p>
        </w:tc>
        <w:tc>
          <w:tcPr>
            <w:tcW w:w="204" w:type="pct"/>
            <w:vMerge/>
            <w:tcBorders>
              <w:bottom w:val="single" w:sz="4" w:space="0" w:color="auto"/>
            </w:tcBorders>
          </w:tcPr>
          <w:p w14:paraId="425C773B" w14:textId="77777777" w:rsidR="005F0E0C" w:rsidRPr="00A9578D" w:rsidRDefault="005F0E0C" w:rsidP="00BA0847">
            <w:pPr>
              <w:adjustRightInd w:val="0"/>
              <w:snapToGrid w:val="0"/>
              <w:spacing w:line="360" w:lineRule="auto"/>
              <w:rPr>
                <w:rFonts w:ascii="Book Antiqua" w:eastAsia="SimSun" w:hAnsi="Book Antiqua"/>
              </w:rPr>
            </w:pPr>
          </w:p>
        </w:tc>
        <w:tc>
          <w:tcPr>
            <w:tcW w:w="577" w:type="pct"/>
            <w:vMerge/>
            <w:tcBorders>
              <w:bottom w:val="single" w:sz="4" w:space="0" w:color="auto"/>
            </w:tcBorders>
          </w:tcPr>
          <w:p w14:paraId="7056DCD6" w14:textId="77777777" w:rsidR="005F0E0C" w:rsidRPr="00A9578D" w:rsidRDefault="005F0E0C" w:rsidP="00BA0847">
            <w:pPr>
              <w:adjustRightInd w:val="0"/>
              <w:snapToGrid w:val="0"/>
              <w:spacing w:line="360" w:lineRule="auto"/>
              <w:rPr>
                <w:rFonts w:ascii="Book Antiqua" w:eastAsia="SimSun" w:hAnsi="Book Antiqua"/>
                <w:b/>
                <w:color w:val="000000"/>
              </w:rPr>
            </w:pPr>
          </w:p>
        </w:tc>
        <w:tc>
          <w:tcPr>
            <w:tcW w:w="826" w:type="pct"/>
            <w:vMerge/>
            <w:tcBorders>
              <w:bottom w:val="single" w:sz="4" w:space="0" w:color="auto"/>
            </w:tcBorders>
          </w:tcPr>
          <w:p w14:paraId="4F62E5BE" w14:textId="77777777" w:rsidR="005F0E0C" w:rsidRPr="00A9578D" w:rsidRDefault="005F0E0C" w:rsidP="00BA0847">
            <w:pPr>
              <w:adjustRightInd w:val="0"/>
              <w:snapToGrid w:val="0"/>
              <w:spacing w:line="360" w:lineRule="auto"/>
              <w:rPr>
                <w:rFonts w:ascii="Book Antiqua" w:eastAsia="SimSun" w:hAnsi="Book Antiqua"/>
                <w:b/>
                <w:color w:val="000000"/>
              </w:rPr>
            </w:pPr>
          </w:p>
        </w:tc>
        <w:tc>
          <w:tcPr>
            <w:tcW w:w="741" w:type="pct"/>
            <w:vMerge/>
            <w:tcBorders>
              <w:bottom w:val="single" w:sz="4" w:space="0" w:color="auto"/>
            </w:tcBorders>
          </w:tcPr>
          <w:p w14:paraId="2014885C" w14:textId="77777777" w:rsidR="005F0E0C" w:rsidRPr="00A9578D" w:rsidRDefault="005F0E0C" w:rsidP="00BA0847">
            <w:pPr>
              <w:adjustRightInd w:val="0"/>
              <w:snapToGrid w:val="0"/>
              <w:spacing w:line="360" w:lineRule="auto"/>
              <w:rPr>
                <w:rFonts w:ascii="Book Antiqua" w:eastAsia="SimSun" w:hAnsi="Book Antiqua"/>
                <w:b/>
                <w:color w:val="000000"/>
              </w:rPr>
            </w:pPr>
          </w:p>
        </w:tc>
        <w:tc>
          <w:tcPr>
            <w:tcW w:w="571" w:type="pct"/>
            <w:tcBorders>
              <w:top w:val="single" w:sz="4" w:space="0" w:color="auto"/>
              <w:bottom w:val="single" w:sz="4" w:space="0" w:color="auto"/>
            </w:tcBorders>
          </w:tcPr>
          <w:p w14:paraId="4EBFFF32" w14:textId="77777777" w:rsidR="005F0E0C" w:rsidRPr="00A9578D" w:rsidRDefault="005F0E0C" w:rsidP="00BA0847">
            <w:pPr>
              <w:adjustRightInd w:val="0"/>
              <w:snapToGrid w:val="0"/>
              <w:spacing w:line="360" w:lineRule="auto"/>
              <w:rPr>
                <w:rFonts w:ascii="Book Antiqua" w:eastAsia="SimSun" w:hAnsi="Book Antiqua"/>
                <w:b/>
                <w:color w:val="000000"/>
              </w:rPr>
            </w:pPr>
            <w:r w:rsidRPr="00A9578D">
              <w:rPr>
                <w:rFonts w:ascii="Book Antiqua" w:eastAsia="SimSun" w:hAnsi="Book Antiqua" w:cs="Times New Roman"/>
                <w:b/>
              </w:rPr>
              <w:t>Surgery incision infection</w:t>
            </w:r>
          </w:p>
        </w:tc>
        <w:tc>
          <w:tcPr>
            <w:tcW w:w="732" w:type="pct"/>
            <w:tcBorders>
              <w:top w:val="single" w:sz="4" w:space="0" w:color="auto"/>
              <w:bottom w:val="single" w:sz="4" w:space="0" w:color="auto"/>
            </w:tcBorders>
          </w:tcPr>
          <w:p w14:paraId="36AE0FD6"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cs="Times New Roman"/>
                <w:b/>
              </w:rPr>
              <w:t>Anastomotic leakage</w:t>
            </w:r>
          </w:p>
        </w:tc>
        <w:tc>
          <w:tcPr>
            <w:tcW w:w="656" w:type="pct"/>
            <w:tcBorders>
              <w:top w:val="single" w:sz="4" w:space="0" w:color="auto"/>
              <w:bottom w:val="single" w:sz="4" w:space="0" w:color="auto"/>
            </w:tcBorders>
          </w:tcPr>
          <w:p w14:paraId="4EA24315" w14:textId="77777777" w:rsidR="005F0E0C" w:rsidRPr="00A9578D" w:rsidRDefault="005F0E0C" w:rsidP="00BA0847">
            <w:pPr>
              <w:adjustRightInd w:val="0"/>
              <w:snapToGrid w:val="0"/>
              <w:spacing w:line="360" w:lineRule="auto"/>
              <w:rPr>
                <w:rFonts w:ascii="Book Antiqua" w:eastAsia="SimSun" w:hAnsi="Book Antiqua"/>
                <w:b/>
              </w:rPr>
            </w:pPr>
            <w:r w:rsidRPr="00A9578D">
              <w:rPr>
                <w:rFonts w:ascii="Book Antiqua" w:eastAsia="SimSun" w:hAnsi="Book Antiqua" w:cs="Times New Roman"/>
                <w:b/>
              </w:rPr>
              <w:t>Intestinal obstruction</w:t>
            </w:r>
          </w:p>
        </w:tc>
      </w:tr>
      <w:tr w:rsidR="005F0E0C" w:rsidRPr="00A9578D" w14:paraId="35DEEBB2" w14:textId="77777777" w:rsidTr="005F0E0C">
        <w:tc>
          <w:tcPr>
            <w:tcW w:w="693" w:type="pct"/>
            <w:tcBorders>
              <w:top w:val="single" w:sz="4" w:space="0" w:color="auto"/>
              <w:bottom w:val="nil"/>
            </w:tcBorders>
          </w:tcPr>
          <w:p w14:paraId="565E02FD"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Observation group</w:t>
            </w:r>
          </w:p>
        </w:tc>
        <w:tc>
          <w:tcPr>
            <w:tcW w:w="204" w:type="pct"/>
            <w:tcBorders>
              <w:top w:val="single" w:sz="4" w:space="0" w:color="auto"/>
              <w:bottom w:val="nil"/>
            </w:tcBorders>
          </w:tcPr>
          <w:p w14:paraId="6FA58218"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50</w:t>
            </w:r>
          </w:p>
        </w:tc>
        <w:tc>
          <w:tcPr>
            <w:tcW w:w="577" w:type="pct"/>
            <w:tcBorders>
              <w:top w:val="single" w:sz="4" w:space="0" w:color="auto"/>
              <w:bottom w:val="nil"/>
            </w:tcBorders>
          </w:tcPr>
          <w:p w14:paraId="3B7CB8EC"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234.12 ± 24.56</w:t>
            </w:r>
          </w:p>
        </w:tc>
        <w:tc>
          <w:tcPr>
            <w:tcW w:w="826" w:type="pct"/>
            <w:tcBorders>
              <w:top w:val="single" w:sz="4" w:space="0" w:color="auto"/>
              <w:bottom w:val="nil"/>
            </w:tcBorders>
          </w:tcPr>
          <w:p w14:paraId="3ACF0648"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124.78 ± 15.90</w:t>
            </w:r>
          </w:p>
        </w:tc>
        <w:tc>
          <w:tcPr>
            <w:tcW w:w="741" w:type="pct"/>
            <w:tcBorders>
              <w:top w:val="single" w:sz="4" w:space="0" w:color="auto"/>
              <w:bottom w:val="nil"/>
            </w:tcBorders>
          </w:tcPr>
          <w:p w14:paraId="3330DC1D"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45 (90.0)</w:t>
            </w:r>
          </w:p>
        </w:tc>
        <w:tc>
          <w:tcPr>
            <w:tcW w:w="571" w:type="pct"/>
            <w:tcBorders>
              <w:top w:val="single" w:sz="4" w:space="0" w:color="auto"/>
              <w:bottom w:val="nil"/>
            </w:tcBorders>
          </w:tcPr>
          <w:p w14:paraId="747903D9"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 (4.0)</w:t>
            </w:r>
          </w:p>
        </w:tc>
        <w:tc>
          <w:tcPr>
            <w:tcW w:w="732" w:type="pct"/>
            <w:tcBorders>
              <w:top w:val="single" w:sz="4" w:space="0" w:color="auto"/>
              <w:bottom w:val="nil"/>
            </w:tcBorders>
          </w:tcPr>
          <w:p w14:paraId="61958854"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3 (6.0)</w:t>
            </w:r>
          </w:p>
        </w:tc>
        <w:tc>
          <w:tcPr>
            <w:tcW w:w="656" w:type="pct"/>
            <w:tcBorders>
              <w:top w:val="single" w:sz="4" w:space="0" w:color="auto"/>
              <w:bottom w:val="nil"/>
            </w:tcBorders>
          </w:tcPr>
          <w:p w14:paraId="409BD8F4"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 (4.0)</w:t>
            </w:r>
          </w:p>
        </w:tc>
      </w:tr>
      <w:tr w:rsidR="005F0E0C" w:rsidRPr="00A9578D" w14:paraId="07903137" w14:textId="77777777" w:rsidTr="005F0E0C">
        <w:tc>
          <w:tcPr>
            <w:tcW w:w="693" w:type="pct"/>
            <w:tcBorders>
              <w:top w:val="nil"/>
              <w:bottom w:val="single" w:sz="4" w:space="0" w:color="auto"/>
            </w:tcBorders>
          </w:tcPr>
          <w:p w14:paraId="4404EA73"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hAnsi="Book Antiqua" w:cs="Times New Roman"/>
              </w:rPr>
              <w:t>Control group</w:t>
            </w:r>
          </w:p>
        </w:tc>
        <w:tc>
          <w:tcPr>
            <w:tcW w:w="204" w:type="pct"/>
            <w:tcBorders>
              <w:top w:val="nil"/>
              <w:bottom w:val="single" w:sz="4" w:space="0" w:color="auto"/>
            </w:tcBorders>
          </w:tcPr>
          <w:p w14:paraId="0BA30F01"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50</w:t>
            </w:r>
          </w:p>
        </w:tc>
        <w:tc>
          <w:tcPr>
            <w:tcW w:w="577" w:type="pct"/>
            <w:tcBorders>
              <w:top w:val="nil"/>
              <w:bottom w:val="single" w:sz="4" w:space="0" w:color="auto"/>
            </w:tcBorders>
          </w:tcPr>
          <w:p w14:paraId="098348F2"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215.34 ± 26.71</w:t>
            </w:r>
          </w:p>
        </w:tc>
        <w:tc>
          <w:tcPr>
            <w:tcW w:w="826" w:type="pct"/>
            <w:tcBorders>
              <w:top w:val="nil"/>
              <w:bottom w:val="single" w:sz="4" w:space="0" w:color="auto"/>
            </w:tcBorders>
          </w:tcPr>
          <w:p w14:paraId="0C922C81"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113.61 ± 16.22</w:t>
            </w:r>
          </w:p>
        </w:tc>
        <w:tc>
          <w:tcPr>
            <w:tcW w:w="741" w:type="pct"/>
            <w:tcBorders>
              <w:top w:val="nil"/>
              <w:bottom w:val="single" w:sz="4" w:space="0" w:color="auto"/>
            </w:tcBorders>
          </w:tcPr>
          <w:p w14:paraId="5EC21A5E"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44 (88.0)</w:t>
            </w:r>
          </w:p>
        </w:tc>
        <w:tc>
          <w:tcPr>
            <w:tcW w:w="571" w:type="pct"/>
            <w:tcBorders>
              <w:top w:val="nil"/>
              <w:bottom w:val="single" w:sz="4" w:space="0" w:color="auto"/>
            </w:tcBorders>
          </w:tcPr>
          <w:p w14:paraId="577A6941"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3 (6.0)</w:t>
            </w:r>
          </w:p>
        </w:tc>
        <w:tc>
          <w:tcPr>
            <w:tcW w:w="732" w:type="pct"/>
            <w:tcBorders>
              <w:top w:val="nil"/>
              <w:bottom w:val="single" w:sz="4" w:space="0" w:color="auto"/>
            </w:tcBorders>
          </w:tcPr>
          <w:p w14:paraId="0E24CC0A"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4 (8.0)</w:t>
            </w:r>
          </w:p>
        </w:tc>
        <w:tc>
          <w:tcPr>
            <w:tcW w:w="656" w:type="pct"/>
            <w:tcBorders>
              <w:top w:val="nil"/>
              <w:bottom w:val="single" w:sz="4" w:space="0" w:color="auto"/>
            </w:tcBorders>
          </w:tcPr>
          <w:p w14:paraId="34B464EA"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1 (2.0)</w:t>
            </w:r>
          </w:p>
        </w:tc>
      </w:tr>
      <w:tr w:rsidR="005F0E0C" w:rsidRPr="00A9578D" w14:paraId="3E7A03EC" w14:textId="77777777" w:rsidTr="005F0E0C">
        <w:tc>
          <w:tcPr>
            <w:tcW w:w="693" w:type="pct"/>
            <w:tcBorders>
              <w:top w:val="single" w:sz="4" w:space="0" w:color="auto"/>
            </w:tcBorders>
          </w:tcPr>
          <w:p w14:paraId="41BCB40B"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i/>
                <w:iCs/>
              </w:rPr>
              <w:t>t</w:t>
            </w:r>
            <w:r w:rsidRPr="00A9578D">
              <w:rPr>
                <w:rFonts w:ascii="Book Antiqua" w:eastAsia="SimSun" w:hAnsi="Book Antiqua"/>
              </w:rPr>
              <w:t>/</w:t>
            </w:r>
            <w:r w:rsidRPr="00A9578D">
              <w:rPr>
                <w:rFonts w:ascii="Book Antiqua" w:eastAsia="SimSun" w:hAnsi="Book Antiqua"/>
                <w:i/>
              </w:rPr>
              <w:sym w:font="Symbol" w:char="F063"/>
            </w:r>
            <w:r w:rsidRPr="00A9578D">
              <w:rPr>
                <w:rFonts w:ascii="Book Antiqua" w:eastAsia="SimSun" w:hAnsi="Book Antiqua"/>
                <w:i/>
                <w:vertAlign w:val="superscript"/>
              </w:rPr>
              <w:t>2</w:t>
            </w:r>
            <w:r w:rsidRPr="00A9578D">
              <w:rPr>
                <w:rFonts w:ascii="Book Antiqua" w:eastAsia="SimSun" w:hAnsi="Book Antiqua"/>
                <w:iCs/>
              </w:rPr>
              <w:t xml:space="preserve"> value</w:t>
            </w:r>
          </w:p>
        </w:tc>
        <w:tc>
          <w:tcPr>
            <w:tcW w:w="204" w:type="pct"/>
            <w:tcBorders>
              <w:top w:val="single" w:sz="4" w:space="0" w:color="auto"/>
            </w:tcBorders>
          </w:tcPr>
          <w:p w14:paraId="7F53D226" w14:textId="77777777" w:rsidR="005F0E0C" w:rsidRPr="00A9578D" w:rsidRDefault="005F0E0C" w:rsidP="00BA0847">
            <w:pPr>
              <w:adjustRightInd w:val="0"/>
              <w:snapToGrid w:val="0"/>
              <w:spacing w:line="360" w:lineRule="auto"/>
              <w:rPr>
                <w:rFonts w:ascii="Book Antiqua" w:eastAsia="SimSun" w:hAnsi="Book Antiqua"/>
              </w:rPr>
            </w:pPr>
          </w:p>
        </w:tc>
        <w:tc>
          <w:tcPr>
            <w:tcW w:w="577" w:type="pct"/>
            <w:tcBorders>
              <w:top w:val="single" w:sz="4" w:space="0" w:color="auto"/>
            </w:tcBorders>
          </w:tcPr>
          <w:p w14:paraId="4DB1F8EF"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1.21</w:t>
            </w:r>
          </w:p>
        </w:tc>
        <w:tc>
          <w:tcPr>
            <w:tcW w:w="826" w:type="pct"/>
            <w:tcBorders>
              <w:top w:val="single" w:sz="4" w:space="0" w:color="auto"/>
            </w:tcBorders>
          </w:tcPr>
          <w:p w14:paraId="3FA7CFDA"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1.98</w:t>
            </w:r>
          </w:p>
        </w:tc>
        <w:tc>
          <w:tcPr>
            <w:tcW w:w="741" w:type="pct"/>
            <w:tcBorders>
              <w:top w:val="single" w:sz="4" w:space="0" w:color="auto"/>
            </w:tcBorders>
          </w:tcPr>
          <w:p w14:paraId="23DDAEAC"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0.28</w:t>
            </w:r>
          </w:p>
        </w:tc>
        <w:tc>
          <w:tcPr>
            <w:tcW w:w="571" w:type="pct"/>
            <w:tcBorders>
              <w:top w:val="single" w:sz="4" w:space="0" w:color="auto"/>
            </w:tcBorders>
          </w:tcPr>
          <w:p w14:paraId="0A82B31C"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0.11</w:t>
            </w:r>
          </w:p>
        </w:tc>
        <w:tc>
          <w:tcPr>
            <w:tcW w:w="732" w:type="pct"/>
            <w:tcBorders>
              <w:top w:val="single" w:sz="4" w:space="0" w:color="auto"/>
            </w:tcBorders>
          </w:tcPr>
          <w:p w14:paraId="531DFC9B"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0.19</w:t>
            </w:r>
          </w:p>
        </w:tc>
        <w:tc>
          <w:tcPr>
            <w:tcW w:w="656" w:type="pct"/>
            <w:tcBorders>
              <w:top w:val="single" w:sz="4" w:space="0" w:color="auto"/>
            </w:tcBorders>
          </w:tcPr>
          <w:p w14:paraId="4070B26E"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0.21</w:t>
            </w:r>
          </w:p>
        </w:tc>
      </w:tr>
      <w:tr w:rsidR="005F0E0C" w:rsidRPr="00A9578D" w14:paraId="2268D0AB" w14:textId="77777777" w:rsidTr="005F0E0C">
        <w:tc>
          <w:tcPr>
            <w:tcW w:w="693" w:type="pct"/>
          </w:tcPr>
          <w:p w14:paraId="69F54608"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i/>
              </w:rPr>
              <w:t xml:space="preserve">P </w:t>
            </w:r>
            <w:r w:rsidRPr="00A9578D">
              <w:rPr>
                <w:rFonts w:ascii="Book Antiqua" w:eastAsia="SimSun" w:hAnsi="Book Antiqua"/>
                <w:iCs/>
              </w:rPr>
              <w:t>value</w:t>
            </w:r>
          </w:p>
        </w:tc>
        <w:tc>
          <w:tcPr>
            <w:tcW w:w="204" w:type="pct"/>
          </w:tcPr>
          <w:p w14:paraId="018C7DD2" w14:textId="77777777" w:rsidR="005F0E0C" w:rsidRPr="00A9578D" w:rsidRDefault="005F0E0C" w:rsidP="00BA0847">
            <w:pPr>
              <w:adjustRightInd w:val="0"/>
              <w:snapToGrid w:val="0"/>
              <w:spacing w:line="360" w:lineRule="auto"/>
              <w:rPr>
                <w:rFonts w:ascii="Book Antiqua" w:eastAsia="SimSun" w:hAnsi="Book Antiqua"/>
              </w:rPr>
            </w:pPr>
          </w:p>
        </w:tc>
        <w:tc>
          <w:tcPr>
            <w:tcW w:w="577" w:type="pct"/>
          </w:tcPr>
          <w:p w14:paraId="05C39DC3"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0.54</w:t>
            </w:r>
          </w:p>
        </w:tc>
        <w:tc>
          <w:tcPr>
            <w:tcW w:w="826" w:type="pct"/>
          </w:tcPr>
          <w:p w14:paraId="3C87E55C"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0.21</w:t>
            </w:r>
          </w:p>
        </w:tc>
        <w:tc>
          <w:tcPr>
            <w:tcW w:w="741" w:type="pct"/>
          </w:tcPr>
          <w:p w14:paraId="4476BD24"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0.75</w:t>
            </w:r>
          </w:p>
        </w:tc>
        <w:tc>
          <w:tcPr>
            <w:tcW w:w="571" w:type="pct"/>
          </w:tcPr>
          <w:p w14:paraId="1A42E9F1"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0.87</w:t>
            </w:r>
          </w:p>
        </w:tc>
        <w:tc>
          <w:tcPr>
            <w:tcW w:w="732" w:type="pct"/>
          </w:tcPr>
          <w:p w14:paraId="1415908E"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0.83</w:t>
            </w:r>
          </w:p>
        </w:tc>
        <w:tc>
          <w:tcPr>
            <w:tcW w:w="656" w:type="pct"/>
          </w:tcPr>
          <w:p w14:paraId="1A574E70" w14:textId="77777777" w:rsidR="005F0E0C" w:rsidRPr="00A9578D" w:rsidRDefault="005F0E0C" w:rsidP="00BA0847">
            <w:pPr>
              <w:adjustRightInd w:val="0"/>
              <w:snapToGrid w:val="0"/>
              <w:spacing w:line="360" w:lineRule="auto"/>
              <w:rPr>
                <w:rFonts w:ascii="Book Antiqua" w:eastAsia="SimSun" w:hAnsi="Book Antiqua"/>
              </w:rPr>
            </w:pPr>
            <w:r w:rsidRPr="00A9578D">
              <w:rPr>
                <w:rFonts w:ascii="Book Antiqua" w:eastAsia="SimSun" w:hAnsi="Book Antiqua"/>
              </w:rPr>
              <w:t>0.74</w:t>
            </w:r>
          </w:p>
        </w:tc>
      </w:tr>
    </w:tbl>
    <w:p w14:paraId="2A19E985" w14:textId="77777777" w:rsidR="005F0E0C" w:rsidRPr="00A9578D" w:rsidRDefault="005F0E0C" w:rsidP="00A9578D">
      <w:pPr>
        <w:spacing w:line="360" w:lineRule="auto"/>
        <w:jc w:val="both"/>
        <w:rPr>
          <w:rFonts w:ascii="Book Antiqua" w:hAnsi="Book Antiqua"/>
          <w:lang w:eastAsia="zh-CN"/>
        </w:rPr>
      </w:pPr>
    </w:p>
    <w:sectPr w:rsidR="005F0E0C" w:rsidRPr="00A9578D" w:rsidSect="005F0E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F6D87" w14:textId="77777777" w:rsidR="00C10491" w:rsidRDefault="00C10491" w:rsidP="00F8579D">
      <w:r>
        <w:separator/>
      </w:r>
    </w:p>
  </w:endnote>
  <w:endnote w:type="continuationSeparator" w:id="0">
    <w:p w14:paraId="637B2EB4" w14:textId="77777777" w:rsidR="00C10491" w:rsidRDefault="00C10491" w:rsidP="00F8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187247129"/>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380F47D0" w14:textId="77777777" w:rsidR="00F8579D" w:rsidRPr="006426BF" w:rsidRDefault="00F8579D">
            <w:pPr>
              <w:pStyle w:val="Footer"/>
              <w:jc w:val="right"/>
              <w:rPr>
                <w:rFonts w:ascii="Book Antiqua" w:hAnsi="Book Antiqua"/>
                <w:sz w:val="24"/>
                <w:szCs w:val="24"/>
              </w:rPr>
            </w:pPr>
            <w:r w:rsidRPr="006426BF">
              <w:rPr>
                <w:rFonts w:ascii="Book Antiqua" w:hAnsi="Book Antiqua"/>
                <w:sz w:val="24"/>
                <w:szCs w:val="24"/>
                <w:lang w:val="zh-CN" w:eastAsia="zh-CN"/>
              </w:rPr>
              <w:t xml:space="preserve"> </w:t>
            </w:r>
            <w:r w:rsidRPr="006426BF">
              <w:rPr>
                <w:rFonts w:ascii="Book Antiqua" w:hAnsi="Book Antiqua"/>
                <w:sz w:val="24"/>
                <w:szCs w:val="24"/>
              </w:rPr>
              <w:fldChar w:fldCharType="begin"/>
            </w:r>
            <w:r w:rsidRPr="006426BF">
              <w:rPr>
                <w:rFonts w:ascii="Book Antiqua" w:hAnsi="Book Antiqua"/>
                <w:sz w:val="24"/>
                <w:szCs w:val="24"/>
              </w:rPr>
              <w:instrText>PAGE</w:instrText>
            </w:r>
            <w:r w:rsidRPr="006426BF">
              <w:rPr>
                <w:rFonts w:ascii="Book Antiqua" w:hAnsi="Book Antiqua"/>
                <w:sz w:val="24"/>
                <w:szCs w:val="24"/>
              </w:rPr>
              <w:fldChar w:fldCharType="separate"/>
            </w:r>
            <w:r w:rsidR="007A68FB" w:rsidRPr="006426BF">
              <w:rPr>
                <w:rFonts w:ascii="Book Antiqua" w:hAnsi="Book Antiqua"/>
                <w:noProof/>
                <w:sz w:val="24"/>
                <w:szCs w:val="24"/>
              </w:rPr>
              <w:t>4</w:t>
            </w:r>
            <w:r w:rsidRPr="006426BF">
              <w:rPr>
                <w:rFonts w:ascii="Book Antiqua" w:hAnsi="Book Antiqua"/>
                <w:sz w:val="24"/>
                <w:szCs w:val="24"/>
              </w:rPr>
              <w:fldChar w:fldCharType="end"/>
            </w:r>
            <w:r w:rsidRPr="006426BF">
              <w:rPr>
                <w:rFonts w:ascii="Book Antiqua" w:hAnsi="Book Antiqua"/>
                <w:sz w:val="24"/>
                <w:szCs w:val="24"/>
                <w:lang w:val="zh-CN" w:eastAsia="zh-CN"/>
              </w:rPr>
              <w:t xml:space="preserve"> / </w:t>
            </w:r>
            <w:r w:rsidRPr="006426BF">
              <w:rPr>
                <w:rFonts w:ascii="Book Antiqua" w:hAnsi="Book Antiqua"/>
                <w:sz w:val="24"/>
                <w:szCs w:val="24"/>
              </w:rPr>
              <w:fldChar w:fldCharType="begin"/>
            </w:r>
            <w:r w:rsidRPr="006426BF">
              <w:rPr>
                <w:rFonts w:ascii="Book Antiqua" w:hAnsi="Book Antiqua"/>
                <w:sz w:val="24"/>
                <w:szCs w:val="24"/>
              </w:rPr>
              <w:instrText>NUMPAGES</w:instrText>
            </w:r>
            <w:r w:rsidRPr="006426BF">
              <w:rPr>
                <w:rFonts w:ascii="Book Antiqua" w:hAnsi="Book Antiqua"/>
                <w:sz w:val="24"/>
                <w:szCs w:val="24"/>
              </w:rPr>
              <w:fldChar w:fldCharType="separate"/>
            </w:r>
            <w:r w:rsidR="007A68FB" w:rsidRPr="006426BF">
              <w:rPr>
                <w:rFonts w:ascii="Book Antiqua" w:hAnsi="Book Antiqua"/>
                <w:noProof/>
                <w:sz w:val="24"/>
                <w:szCs w:val="24"/>
              </w:rPr>
              <w:t>21</w:t>
            </w:r>
            <w:r w:rsidRPr="006426BF">
              <w:rPr>
                <w:rFonts w:ascii="Book Antiqua" w:hAnsi="Book Antiqua"/>
                <w:sz w:val="24"/>
                <w:szCs w:val="24"/>
              </w:rPr>
              <w:fldChar w:fldCharType="end"/>
            </w:r>
          </w:p>
        </w:sdtContent>
      </w:sdt>
    </w:sdtContent>
  </w:sdt>
  <w:p w14:paraId="3D42C11E" w14:textId="77777777" w:rsidR="00F8579D" w:rsidRDefault="00F85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F161D" w14:textId="77777777" w:rsidR="00C10491" w:rsidRDefault="00C10491" w:rsidP="00F8579D">
      <w:r>
        <w:separator/>
      </w:r>
    </w:p>
  </w:footnote>
  <w:footnote w:type="continuationSeparator" w:id="0">
    <w:p w14:paraId="3775E5E6" w14:textId="77777777" w:rsidR="00C10491" w:rsidRDefault="00C10491" w:rsidP="00F85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422E"/>
    <w:rsid w:val="000A2DD4"/>
    <w:rsid w:val="00122F44"/>
    <w:rsid w:val="00136663"/>
    <w:rsid w:val="001B526E"/>
    <w:rsid w:val="002918D2"/>
    <w:rsid w:val="002D198E"/>
    <w:rsid w:val="002F15C0"/>
    <w:rsid w:val="00305AFD"/>
    <w:rsid w:val="00326407"/>
    <w:rsid w:val="00326BBE"/>
    <w:rsid w:val="00364216"/>
    <w:rsid w:val="003F5C1E"/>
    <w:rsid w:val="00411304"/>
    <w:rsid w:val="00461EF4"/>
    <w:rsid w:val="00487E62"/>
    <w:rsid w:val="0049320B"/>
    <w:rsid w:val="00511182"/>
    <w:rsid w:val="00521A27"/>
    <w:rsid w:val="00522BDC"/>
    <w:rsid w:val="0053501B"/>
    <w:rsid w:val="0058612F"/>
    <w:rsid w:val="005E34DB"/>
    <w:rsid w:val="005F0E0C"/>
    <w:rsid w:val="006426BF"/>
    <w:rsid w:val="006464AB"/>
    <w:rsid w:val="00650D9D"/>
    <w:rsid w:val="00797451"/>
    <w:rsid w:val="007A68FB"/>
    <w:rsid w:val="007B7865"/>
    <w:rsid w:val="007F2FFA"/>
    <w:rsid w:val="007F6C72"/>
    <w:rsid w:val="00804366"/>
    <w:rsid w:val="00863E11"/>
    <w:rsid w:val="0086790E"/>
    <w:rsid w:val="008836C8"/>
    <w:rsid w:val="008B7D08"/>
    <w:rsid w:val="008F2839"/>
    <w:rsid w:val="008F7235"/>
    <w:rsid w:val="009003DC"/>
    <w:rsid w:val="00907E5B"/>
    <w:rsid w:val="009A79CC"/>
    <w:rsid w:val="009F2EB6"/>
    <w:rsid w:val="00A202A3"/>
    <w:rsid w:val="00A23920"/>
    <w:rsid w:val="00A42B07"/>
    <w:rsid w:val="00A44C56"/>
    <w:rsid w:val="00A5253E"/>
    <w:rsid w:val="00A77B3E"/>
    <w:rsid w:val="00A9578D"/>
    <w:rsid w:val="00AD49D3"/>
    <w:rsid w:val="00B1496B"/>
    <w:rsid w:val="00B52ECA"/>
    <w:rsid w:val="00B57019"/>
    <w:rsid w:val="00BA0847"/>
    <w:rsid w:val="00BB4214"/>
    <w:rsid w:val="00C02942"/>
    <w:rsid w:val="00C06AE3"/>
    <w:rsid w:val="00C10491"/>
    <w:rsid w:val="00C273A9"/>
    <w:rsid w:val="00C47DCF"/>
    <w:rsid w:val="00CA2A55"/>
    <w:rsid w:val="00CC1EFB"/>
    <w:rsid w:val="00CF3711"/>
    <w:rsid w:val="00D408A4"/>
    <w:rsid w:val="00D628AD"/>
    <w:rsid w:val="00DA5E0F"/>
    <w:rsid w:val="00DF616B"/>
    <w:rsid w:val="00DF6F14"/>
    <w:rsid w:val="00E97734"/>
    <w:rsid w:val="00EE5A6A"/>
    <w:rsid w:val="00F042E5"/>
    <w:rsid w:val="00F7238C"/>
    <w:rsid w:val="00F837CB"/>
    <w:rsid w:val="00F8579D"/>
    <w:rsid w:val="00FA2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E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F0E0C"/>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857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8579D"/>
    <w:rPr>
      <w:sz w:val="18"/>
      <w:szCs w:val="18"/>
    </w:rPr>
  </w:style>
  <w:style w:type="paragraph" w:styleId="Footer">
    <w:name w:val="footer"/>
    <w:basedOn w:val="Normal"/>
    <w:link w:val="FooterChar"/>
    <w:uiPriority w:val="99"/>
    <w:rsid w:val="00F8579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8579D"/>
    <w:rPr>
      <w:sz w:val="18"/>
      <w:szCs w:val="18"/>
    </w:rPr>
  </w:style>
  <w:style w:type="paragraph" w:styleId="BalloonText">
    <w:name w:val="Balloon Text"/>
    <w:basedOn w:val="Normal"/>
    <w:link w:val="BalloonTextChar"/>
    <w:semiHidden/>
    <w:unhideWhenUsed/>
    <w:rsid w:val="00A9578D"/>
    <w:rPr>
      <w:sz w:val="18"/>
      <w:szCs w:val="18"/>
    </w:rPr>
  </w:style>
  <w:style w:type="character" w:customStyle="1" w:styleId="BalloonTextChar">
    <w:name w:val="Balloon Text Char"/>
    <w:basedOn w:val="DefaultParagraphFont"/>
    <w:link w:val="BalloonText"/>
    <w:semiHidden/>
    <w:rsid w:val="00A957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4570</Words>
  <Characters>26052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2021-01-24T23:26:00Z</dcterms:created>
  <dcterms:modified xsi:type="dcterms:W3CDTF">2021-01-24T23:26:00Z</dcterms:modified>
</cp:coreProperties>
</file>