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E9CF"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Name of Journal: </w:t>
      </w:r>
      <w:r w:rsidRPr="005F7EC5">
        <w:rPr>
          <w:rFonts w:ascii="Book Antiqua" w:eastAsia="Book Antiqua" w:hAnsi="Book Antiqua" w:cs="Book Antiqua"/>
          <w:i/>
          <w:color w:val="000000"/>
        </w:rPr>
        <w:t>World Journal of Clinical Cases</w:t>
      </w:r>
    </w:p>
    <w:p w14:paraId="0088543D"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Manuscript NO: </w:t>
      </w:r>
      <w:r w:rsidRPr="005F7EC5">
        <w:rPr>
          <w:rFonts w:ascii="Book Antiqua" w:eastAsia="Book Antiqua" w:hAnsi="Book Antiqua" w:cs="Book Antiqua"/>
          <w:color w:val="000000"/>
        </w:rPr>
        <w:t>61158</w:t>
      </w:r>
    </w:p>
    <w:p w14:paraId="091457D2"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Manuscript Type: </w:t>
      </w:r>
      <w:bookmarkStart w:id="0" w:name="OLE_LINK83"/>
      <w:bookmarkStart w:id="1" w:name="OLE_LINK84"/>
      <w:r w:rsidRPr="005F7EC5">
        <w:rPr>
          <w:rFonts w:ascii="Book Antiqua" w:eastAsia="Book Antiqua" w:hAnsi="Book Antiqua" w:cs="Book Antiqua"/>
          <w:color w:val="000000"/>
        </w:rPr>
        <w:t>EXPERT CONSENSUS</w:t>
      </w:r>
    </w:p>
    <w:bookmarkEnd w:id="0"/>
    <w:bookmarkEnd w:id="1"/>
    <w:p w14:paraId="6C79BFFB" w14:textId="77777777" w:rsidR="00A77B3E" w:rsidRPr="005F7EC5" w:rsidRDefault="00A77B3E" w:rsidP="005F7EC5">
      <w:pPr>
        <w:spacing w:line="360" w:lineRule="auto"/>
        <w:jc w:val="both"/>
      </w:pPr>
    </w:p>
    <w:p w14:paraId="15C6E397" w14:textId="3EA9D832" w:rsidR="00A77B3E" w:rsidRPr="005F7EC5" w:rsidRDefault="00FA2DBE" w:rsidP="005F7EC5">
      <w:pPr>
        <w:spacing w:line="360" w:lineRule="auto"/>
        <w:jc w:val="both"/>
      </w:pPr>
      <w:bookmarkStart w:id="2" w:name="OLE_LINK22"/>
      <w:bookmarkStart w:id="3" w:name="OLE_LINK26"/>
      <w:bookmarkStart w:id="4" w:name="OLE_LINK89"/>
      <w:bookmarkStart w:id="5" w:name="OLE_LINK90"/>
      <w:r w:rsidRPr="005F7EC5">
        <w:rPr>
          <w:rFonts w:ascii="Book Antiqua" w:eastAsia="Book Antiqua" w:hAnsi="Book Antiqua" w:cs="Book Antiqua"/>
          <w:b/>
          <w:color w:val="000000"/>
        </w:rPr>
        <w:t xml:space="preserve">Expert consensus of </w:t>
      </w:r>
      <w:r w:rsidR="001B20BE">
        <w:rPr>
          <w:rFonts w:ascii="Book Antiqua" w:eastAsia="Book Antiqua" w:hAnsi="Book Antiqua" w:cs="Book Antiqua"/>
          <w:b/>
          <w:color w:val="000000"/>
        </w:rPr>
        <w:t xml:space="preserve">the </w:t>
      </w:r>
      <w:r w:rsidRPr="005F7EC5">
        <w:rPr>
          <w:rFonts w:ascii="Book Antiqua" w:eastAsia="Book Antiqua" w:hAnsi="Book Antiqua" w:cs="Book Antiqua"/>
          <w:b/>
          <w:color w:val="000000"/>
        </w:rPr>
        <w:t xml:space="preserve">Chinese Association for the Study of Pain on </w:t>
      </w:r>
      <w:r w:rsidR="0089195B" w:rsidRPr="005F7EC5">
        <w:rPr>
          <w:rFonts w:ascii="Book Antiqua" w:eastAsia="Book Antiqua" w:hAnsi="Book Antiqua" w:cs="Book Antiqua"/>
          <w:b/>
          <w:color w:val="000000"/>
        </w:rPr>
        <w:t xml:space="preserve">pain treatment with </w:t>
      </w:r>
      <w:r w:rsidR="00AF6C03">
        <w:rPr>
          <w:rFonts w:ascii="Book Antiqua" w:eastAsia="Book Antiqua" w:hAnsi="Book Antiqua" w:cs="Book Antiqua"/>
          <w:b/>
          <w:color w:val="000000"/>
        </w:rPr>
        <w:t xml:space="preserve">the </w:t>
      </w:r>
      <w:r w:rsidR="0089195B" w:rsidRPr="005F7EC5">
        <w:rPr>
          <w:rFonts w:ascii="Book Antiqua" w:eastAsia="Book Antiqua" w:hAnsi="Book Antiqua" w:cs="Book Antiqua"/>
          <w:b/>
          <w:color w:val="000000"/>
        </w:rPr>
        <w:t>transdermal patch</w:t>
      </w:r>
    </w:p>
    <w:bookmarkEnd w:id="2"/>
    <w:bookmarkEnd w:id="3"/>
    <w:bookmarkEnd w:id="4"/>
    <w:bookmarkEnd w:id="5"/>
    <w:p w14:paraId="0A15C57E" w14:textId="77777777" w:rsidR="00A77B3E" w:rsidRPr="005F7EC5" w:rsidRDefault="00A77B3E" w:rsidP="005F7EC5">
      <w:pPr>
        <w:spacing w:line="360" w:lineRule="auto"/>
        <w:jc w:val="both"/>
      </w:pPr>
    </w:p>
    <w:p w14:paraId="004617A4" w14:textId="77777777" w:rsidR="00A77B3E" w:rsidRPr="005F7EC5" w:rsidRDefault="0089551A" w:rsidP="005F7EC5">
      <w:pPr>
        <w:spacing w:line="360" w:lineRule="auto"/>
        <w:jc w:val="both"/>
      </w:pPr>
      <w:r w:rsidRPr="005F7EC5">
        <w:rPr>
          <w:rFonts w:ascii="Book Antiqua" w:eastAsia="Book Antiqua" w:hAnsi="Book Antiqua" w:cs="Book Antiqua"/>
          <w:color w:val="000000"/>
        </w:rPr>
        <w:t xml:space="preserve">Ma </w:t>
      </w:r>
      <w:r w:rsidRPr="005F7EC5">
        <w:rPr>
          <w:rFonts w:ascii="Book Antiqua" w:hAnsi="Book Antiqua" w:cs="Book Antiqua"/>
          <w:color w:val="000000"/>
          <w:lang w:eastAsia="zh-CN"/>
        </w:rPr>
        <w:t xml:space="preserve">K </w:t>
      </w:r>
      <w:r w:rsidRPr="005F7EC5">
        <w:rPr>
          <w:rFonts w:ascii="Book Antiqua" w:hAnsi="Book Antiqua" w:cs="Book Antiqua"/>
          <w:i/>
          <w:color w:val="000000"/>
          <w:lang w:eastAsia="zh-CN"/>
        </w:rPr>
        <w:t>et al</w:t>
      </w:r>
      <w:r w:rsidRPr="005F7EC5">
        <w:rPr>
          <w:rFonts w:ascii="Book Antiqua" w:hAnsi="Book Antiqua" w:cs="Book Antiqua"/>
          <w:color w:val="000000"/>
          <w:lang w:eastAsia="zh-CN"/>
        </w:rPr>
        <w:t xml:space="preserve">. </w:t>
      </w:r>
      <w:bookmarkStart w:id="6" w:name="OLE_LINK27"/>
      <w:bookmarkStart w:id="7" w:name="OLE_LINK91"/>
      <w:r w:rsidR="00FA2DBE" w:rsidRPr="005F7EC5">
        <w:rPr>
          <w:rFonts w:ascii="Book Antiqua" w:eastAsia="Book Antiqua" w:hAnsi="Book Antiqua" w:cs="Book Antiqua"/>
          <w:color w:val="000000"/>
        </w:rPr>
        <w:t xml:space="preserve">Pain </w:t>
      </w:r>
      <w:r w:rsidRPr="005F7EC5">
        <w:rPr>
          <w:rFonts w:ascii="Book Antiqua" w:eastAsia="Book Antiqua" w:hAnsi="Book Antiqua" w:cs="Book Antiqua"/>
          <w:color w:val="000000"/>
        </w:rPr>
        <w:t>treatment with transdermal patc</w:t>
      </w:r>
      <w:r w:rsidR="00FA2DBE" w:rsidRPr="005F7EC5">
        <w:rPr>
          <w:rFonts w:ascii="Book Antiqua" w:eastAsia="Book Antiqua" w:hAnsi="Book Antiqua" w:cs="Book Antiqua"/>
          <w:color w:val="000000"/>
        </w:rPr>
        <w:t>h</w:t>
      </w:r>
      <w:bookmarkEnd w:id="6"/>
      <w:bookmarkEnd w:id="7"/>
    </w:p>
    <w:p w14:paraId="1C05B025" w14:textId="77777777" w:rsidR="00A77B3E" w:rsidRPr="005F7EC5" w:rsidRDefault="00A77B3E" w:rsidP="005F7EC5">
      <w:pPr>
        <w:spacing w:line="360" w:lineRule="auto"/>
        <w:jc w:val="both"/>
      </w:pPr>
    </w:p>
    <w:p w14:paraId="21432C73" w14:textId="16966A42" w:rsidR="00A77B3E" w:rsidRPr="005F7EC5" w:rsidRDefault="00FA2DBE" w:rsidP="005F7EC5">
      <w:pPr>
        <w:spacing w:line="360" w:lineRule="auto"/>
        <w:jc w:val="both"/>
      </w:pPr>
      <w:r w:rsidRPr="005F7EC5">
        <w:rPr>
          <w:rFonts w:ascii="Book Antiqua" w:eastAsia="Book Antiqua" w:hAnsi="Book Antiqua" w:cs="Book Antiqua"/>
          <w:color w:val="000000"/>
        </w:rPr>
        <w:t xml:space="preserve">Ke </w:t>
      </w:r>
      <w:bookmarkStart w:id="8" w:name="OLE_LINK1"/>
      <w:bookmarkStart w:id="9" w:name="OLE_LINK2"/>
      <w:r w:rsidRPr="005F7EC5">
        <w:rPr>
          <w:rFonts w:ascii="Book Antiqua" w:eastAsia="Book Antiqua" w:hAnsi="Book Antiqua" w:cs="Book Antiqua"/>
          <w:color w:val="000000"/>
        </w:rPr>
        <w:t>Ma</w:t>
      </w:r>
      <w:bookmarkEnd w:id="8"/>
      <w:bookmarkEnd w:id="9"/>
      <w:r w:rsidRPr="005F7EC5">
        <w:rPr>
          <w:rFonts w:ascii="Book Antiqua" w:eastAsia="Book Antiqua" w:hAnsi="Book Antiqua" w:cs="Book Antiqua"/>
          <w:color w:val="000000"/>
        </w:rPr>
        <w:t>, Yun-Xia Wang, Lin Wang, Yan-Qing Liu, Yan Lv, Jin-Feng Liu, Rong-</w:t>
      </w:r>
      <w:r w:rsidR="005A27C5" w:rsidRPr="005F7EC5">
        <w:rPr>
          <w:rFonts w:ascii="Book Antiqua" w:eastAsia="Book Antiqua" w:hAnsi="Book Antiqua" w:cs="Book Antiqua"/>
          <w:color w:val="000000"/>
        </w:rPr>
        <w:t>G</w:t>
      </w:r>
      <w:r w:rsidRPr="005F7EC5">
        <w:rPr>
          <w:rFonts w:ascii="Book Antiqua" w:eastAsia="Book Antiqua" w:hAnsi="Book Antiqua" w:cs="Book Antiqua"/>
          <w:color w:val="000000"/>
        </w:rPr>
        <w:t>uo Liu, Hui Liu, Li-Zu Xiao, Dong-Ping Du, Li-Juan Lu, Xiao-Qiu Yang, Ling-Jie Xia, Dong Huang, Zhi-Jian Fu, Bao-Gan Peng</w:t>
      </w:r>
    </w:p>
    <w:p w14:paraId="290CF1B3" w14:textId="77777777" w:rsidR="00A77B3E" w:rsidRPr="005F7EC5" w:rsidRDefault="00A77B3E" w:rsidP="005F7EC5">
      <w:pPr>
        <w:spacing w:line="360" w:lineRule="auto"/>
        <w:jc w:val="both"/>
      </w:pPr>
    </w:p>
    <w:p w14:paraId="70A12329"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Ke Ma, </w:t>
      </w:r>
      <w:bookmarkStart w:id="10" w:name="OLE_LINK51"/>
      <w:bookmarkStart w:id="11" w:name="OLE_LINK52"/>
      <w:r w:rsidR="003B795F" w:rsidRPr="005F7EC5">
        <w:rPr>
          <w:rFonts w:ascii="Book Antiqua" w:eastAsia="Book Antiqua" w:hAnsi="Book Antiqua" w:cs="Book Antiqua"/>
          <w:color w:val="000000"/>
        </w:rPr>
        <w:t xml:space="preserve">Department of Pain </w:t>
      </w:r>
      <w:r w:rsidR="003B795F" w:rsidRPr="005F7EC5">
        <w:rPr>
          <w:rFonts w:ascii="Book Antiqua" w:hAnsi="Book Antiqua" w:cs="Book Antiqua"/>
          <w:color w:val="000000"/>
          <w:lang w:eastAsia="zh-CN"/>
        </w:rPr>
        <w:t>M</w:t>
      </w:r>
      <w:r w:rsidRPr="005F7EC5">
        <w:rPr>
          <w:rFonts w:ascii="Book Antiqua" w:eastAsia="Book Antiqua" w:hAnsi="Book Antiqua" w:cs="Book Antiqua"/>
          <w:color w:val="000000"/>
        </w:rPr>
        <w:t>anagement</w:t>
      </w:r>
      <w:bookmarkEnd w:id="10"/>
      <w:bookmarkEnd w:id="11"/>
      <w:r w:rsidRPr="005F7EC5">
        <w:rPr>
          <w:rFonts w:ascii="Book Antiqua" w:eastAsia="Book Antiqua" w:hAnsi="Book Antiqua" w:cs="Book Antiqua"/>
          <w:color w:val="000000"/>
        </w:rPr>
        <w:t xml:space="preserve">, </w:t>
      </w:r>
      <w:bookmarkStart w:id="12" w:name="OLE_LINK53"/>
      <w:bookmarkStart w:id="13" w:name="OLE_LINK54"/>
      <w:r w:rsidRPr="005F7EC5">
        <w:rPr>
          <w:rFonts w:ascii="Book Antiqua" w:eastAsia="Book Antiqua" w:hAnsi="Book Antiqua" w:cs="Book Antiqua"/>
          <w:color w:val="000000"/>
        </w:rPr>
        <w:t>Xinhua Hospital</w:t>
      </w:r>
      <w:r w:rsidR="007C5344" w:rsidRPr="005F7EC5">
        <w:rPr>
          <w:rFonts w:ascii="Book Antiqua" w:eastAsia="Book Antiqua" w:hAnsi="Book Antiqua" w:cs="Book Antiqua"/>
          <w:color w:val="000000"/>
        </w:rPr>
        <w:t xml:space="preserve">, </w:t>
      </w:r>
      <w:r w:rsidR="003B795F" w:rsidRPr="005F7EC5">
        <w:rPr>
          <w:rFonts w:ascii="Book Antiqua" w:eastAsia="Book Antiqua" w:hAnsi="Book Antiqua" w:cs="Book Antiqua"/>
          <w:color w:val="000000"/>
        </w:rPr>
        <w:t>School of Medicine,</w:t>
      </w:r>
      <w:r w:rsidR="003B795F" w:rsidRPr="005F7EC5">
        <w:rPr>
          <w:rFonts w:ascii="Book Antiqua" w:hAnsi="Book Antiqua" w:cs="Book Antiqua"/>
          <w:color w:val="000000"/>
          <w:lang w:eastAsia="zh-CN"/>
        </w:rPr>
        <w:t xml:space="preserve"> </w:t>
      </w:r>
      <w:r w:rsidR="007C5344" w:rsidRPr="005F7EC5">
        <w:rPr>
          <w:rFonts w:ascii="Book Antiqua" w:eastAsia="Book Antiqua" w:hAnsi="Book Antiqua" w:cs="Book Antiqua"/>
          <w:color w:val="000000"/>
        </w:rPr>
        <w:t>Shanghai Jiaotong University</w:t>
      </w:r>
      <w:bookmarkEnd w:id="12"/>
      <w:bookmarkEnd w:id="13"/>
      <w:r w:rsidRPr="005F7EC5">
        <w:rPr>
          <w:rFonts w:ascii="Book Antiqua" w:eastAsia="Book Antiqua" w:hAnsi="Book Antiqua" w:cs="Book Antiqua"/>
          <w:color w:val="000000"/>
        </w:rPr>
        <w:t>,</w:t>
      </w:r>
      <w:r w:rsidR="007C5344" w:rsidRPr="005F7EC5">
        <w:rPr>
          <w:rFonts w:ascii="Book Antiqua" w:hAnsi="Book Antiqua" w:cs="Book Antiqua"/>
          <w:color w:val="000000"/>
          <w:lang w:eastAsia="zh-CN"/>
        </w:rPr>
        <w:t xml:space="preserve"> </w:t>
      </w:r>
      <w:r w:rsidRPr="005F7EC5">
        <w:rPr>
          <w:rFonts w:ascii="Book Antiqua" w:eastAsia="Book Antiqua" w:hAnsi="Book Antiqua" w:cs="Book Antiqua"/>
          <w:color w:val="000000"/>
        </w:rPr>
        <w:t xml:space="preserve">Shanghai 200092, </w:t>
      </w:r>
      <w:bookmarkStart w:id="14" w:name="OLE_LINK28"/>
      <w:bookmarkStart w:id="15" w:name="OLE_LINK47"/>
      <w:bookmarkStart w:id="16" w:name="OLE_LINK48"/>
      <w:r w:rsidRPr="005F7EC5">
        <w:rPr>
          <w:rFonts w:ascii="Book Antiqua" w:eastAsia="Book Antiqua" w:hAnsi="Book Antiqua" w:cs="Book Antiqua"/>
          <w:color w:val="000000"/>
        </w:rPr>
        <w:t>China</w:t>
      </w:r>
      <w:bookmarkEnd w:id="14"/>
      <w:bookmarkEnd w:id="15"/>
      <w:bookmarkEnd w:id="16"/>
    </w:p>
    <w:p w14:paraId="70CED281" w14:textId="77777777" w:rsidR="00A77B3E" w:rsidRPr="005F7EC5" w:rsidRDefault="00A77B3E" w:rsidP="005F7EC5">
      <w:pPr>
        <w:spacing w:line="360" w:lineRule="auto"/>
        <w:jc w:val="both"/>
      </w:pPr>
    </w:p>
    <w:p w14:paraId="496E8D62"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Yun-Xia Wang, </w:t>
      </w:r>
      <w:r w:rsidRPr="005F7EC5">
        <w:rPr>
          <w:rFonts w:ascii="Book Antiqua" w:eastAsia="Book Antiqua" w:hAnsi="Book Antiqua" w:cs="Book Antiqua"/>
          <w:color w:val="000000"/>
        </w:rPr>
        <w:t xml:space="preserve">Department of Algology, The Third People’s Hospital of </w:t>
      </w:r>
      <w:bookmarkStart w:id="17" w:name="OLE_LINK3"/>
      <w:r w:rsidRPr="005F7EC5">
        <w:rPr>
          <w:rFonts w:ascii="Book Antiqua" w:eastAsia="Book Antiqua" w:hAnsi="Book Antiqua" w:cs="Book Antiqua"/>
          <w:color w:val="000000"/>
        </w:rPr>
        <w:t xml:space="preserve">Hubei </w:t>
      </w:r>
      <w:bookmarkEnd w:id="17"/>
      <w:r w:rsidRPr="005F7EC5">
        <w:rPr>
          <w:rFonts w:ascii="Book Antiqua" w:eastAsia="Book Antiqua" w:hAnsi="Book Antiqua" w:cs="Book Antiqua"/>
          <w:color w:val="000000"/>
        </w:rPr>
        <w:t xml:space="preserve">Province, Hubei Zhongshan Hospital, Wuhan 430033, </w:t>
      </w:r>
      <w:bookmarkStart w:id="18" w:name="OLE_LINK57"/>
      <w:bookmarkStart w:id="19" w:name="OLE_LINK58"/>
      <w:r w:rsidR="00CF5FA2" w:rsidRPr="005F7EC5">
        <w:rPr>
          <w:rFonts w:ascii="Book Antiqua" w:eastAsia="Book Antiqua" w:hAnsi="Book Antiqua" w:cs="Book Antiqua"/>
          <w:color w:val="000000"/>
        </w:rPr>
        <w:t xml:space="preserve">Hubei </w:t>
      </w:r>
      <w:bookmarkStart w:id="20" w:name="OLE_LINK6"/>
      <w:bookmarkStart w:id="21" w:name="OLE_LINK7"/>
      <w:bookmarkEnd w:id="18"/>
      <w:bookmarkEnd w:id="19"/>
      <w:r w:rsidR="00CF5FA2" w:rsidRPr="005F7EC5">
        <w:rPr>
          <w:rFonts w:ascii="Book Antiqua" w:hAnsi="Book Antiqua" w:cs="Book Antiqua"/>
          <w:color w:val="000000"/>
          <w:lang w:eastAsia="zh-CN"/>
        </w:rPr>
        <w:t>Province</w:t>
      </w:r>
      <w:bookmarkEnd w:id="20"/>
      <w:bookmarkEnd w:id="21"/>
      <w:r w:rsidR="00CF5FA2" w:rsidRPr="005F7EC5">
        <w:rPr>
          <w:rFonts w:ascii="Book Antiqua" w:hAnsi="Book Antiqua" w:cs="Book Antiqua"/>
          <w:color w:val="000000"/>
          <w:lang w:eastAsia="zh-CN"/>
        </w:rPr>
        <w:t xml:space="preserve">, </w:t>
      </w:r>
      <w:r w:rsidRPr="005F7EC5">
        <w:rPr>
          <w:rFonts w:ascii="Book Antiqua" w:eastAsia="Book Antiqua" w:hAnsi="Book Antiqua" w:cs="Book Antiqua"/>
          <w:color w:val="000000"/>
        </w:rPr>
        <w:t>China</w:t>
      </w:r>
    </w:p>
    <w:p w14:paraId="3132BF72" w14:textId="77777777" w:rsidR="00A77B3E" w:rsidRPr="005F7EC5" w:rsidRDefault="00A77B3E" w:rsidP="005F7EC5">
      <w:pPr>
        <w:spacing w:line="360" w:lineRule="auto"/>
        <w:jc w:val="both"/>
      </w:pPr>
    </w:p>
    <w:p w14:paraId="02E73FE6"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Lin Wang, </w:t>
      </w:r>
      <w:r w:rsidR="00CF5FA2" w:rsidRPr="005F7EC5">
        <w:rPr>
          <w:rFonts w:ascii="Book Antiqua" w:eastAsia="Book Antiqua" w:hAnsi="Book Antiqua" w:cs="Book Antiqua"/>
          <w:color w:val="000000"/>
        </w:rPr>
        <w:t>Department of Algology</w:t>
      </w:r>
      <w:r w:rsidRPr="005F7EC5">
        <w:rPr>
          <w:rFonts w:ascii="Book Antiqua" w:eastAsia="Book Antiqua" w:hAnsi="Book Antiqua" w:cs="Book Antiqua"/>
          <w:color w:val="000000"/>
        </w:rPr>
        <w:t xml:space="preserve">, Affiliated Hospital of </w:t>
      </w:r>
      <w:bookmarkStart w:id="22" w:name="OLE_LINK4"/>
      <w:bookmarkStart w:id="23" w:name="OLE_LINK5"/>
      <w:r w:rsidRPr="005F7EC5">
        <w:rPr>
          <w:rFonts w:ascii="Book Antiqua" w:eastAsia="Book Antiqua" w:hAnsi="Book Antiqua" w:cs="Book Antiqua"/>
          <w:color w:val="000000"/>
        </w:rPr>
        <w:t xml:space="preserve">Guizhou </w:t>
      </w:r>
      <w:bookmarkEnd w:id="22"/>
      <w:bookmarkEnd w:id="23"/>
      <w:r w:rsidRPr="005F7EC5">
        <w:rPr>
          <w:rFonts w:ascii="Book Antiqua" w:eastAsia="Book Antiqua" w:hAnsi="Book Antiqua" w:cs="Book Antiqua"/>
          <w:color w:val="000000"/>
        </w:rPr>
        <w:t xml:space="preserve">Medical University, Guiyang 550004, </w:t>
      </w:r>
      <w:bookmarkStart w:id="24" w:name="OLE_LINK59"/>
      <w:bookmarkStart w:id="25" w:name="OLE_LINK60"/>
      <w:r w:rsidR="00CF5FA2" w:rsidRPr="005F7EC5">
        <w:rPr>
          <w:rFonts w:ascii="Book Antiqua" w:eastAsia="Book Antiqua" w:hAnsi="Book Antiqua" w:cs="Book Antiqua"/>
          <w:color w:val="000000"/>
        </w:rPr>
        <w:t xml:space="preserve">Guizhou </w:t>
      </w:r>
      <w:bookmarkEnd w:id="24"/>
      <w:bookmarkEnd w:id="25"/>
      <w:r w:rsidR="00CF5FA2" w:rsidRPr="005F7EC5">
        <w:rPr>
          <w:rFonts w:ascii="Book Antiqua" w:hAnsi="Book Antiqua" w:cs="Book Antiqua"/>
          <w:color w:val="000000"/>
          <w:lang w:eastAsia="zh-CN"/>
        </w:rPr>
        <w:t>Province,</w:t>
      </w:r>
      <w:r w:rsidR="00CF5FA2" w:rsidRPr="005F7EC5">
        <w:rPr>
          <w:rFonts w:ascii="Book Antiqua" w:eastAsia="Book Antiqua" w:hAnsi="Book Antiqua" w:cs="Book Antiqua"/>
          <w:color w:val="000000"/>
        </w:rPr>
        <w:t xml:space="preserve"> </w:t>
      </w:r>
      <w:r w:rsidRPr="005F7EC5">
        <w:rPr>
          <w:rFonts w:ascii="Book Antiqua" w:eastAsia="Book Antiqua" w:hAnsi="Book Antiqua" w:cs="Book Antiqua"/>
          <w:color w:val="000000"/>
        </w:rPr>
        <w:t>China</w:t>
      </w:r>
    </w:p>
    <w:p w14:paraId="7C8B18F7" w14:textId="77777777" w:rsidR="00A77B3E" w:rsidRPr="005F7EC5" w:rsidRDefault="00A77B3E" w:rsidP="005F7EC5">
      <w:pPr>
        <w:spacing w:line="360" w:lineRule="auto"/>
        <w:jc w:val="both"/>
      </w:pPr>
    </w:p>
    <w:p w14:paraId="7F49C7B2"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Yan-Qing Liu, </w:t>
      </w:r>
      <w:r w:rsidRPr="005F7EC5">
        <w:rPr>
          <w:rFonts w:ascii="Book Antiqua" w:eastAsia="Book Antiqua" w:hAnsi="Book Antiqua" w:cs="Book Antiqua"/>
          <w:color w:val="000000"/>
        </w:rPr>
        <w:t>Department of Algology, Beijing Tiantan Hospital, Capital Medical University, Beijing 100050, China</w:t>
      </w:r>
    </w:p>
    <w:p w14:paraId="4C7EF445" w14:textId="77777777" w:rsidR="00A77B3E" w:rsidRPr="005F7EC5" w:rsidRDefault="00A77B3E" w:rsidP="005F7EC5">
      <w:pPr>
        <w:spacing w:line="360" w:lineRule="auto"/>
        <w:jc w:val="both"/>
      </w:pPr>
    </w:p>
    <w:p w14:paraId="3D6DD79A" w14:textId="01741F9F"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Yan Lv, </w:t>
      </w:r>
      <w:r w:rsidRPr="005F7EC5">
        <w:rPr>
          <w:rFonts w:ascii="Book Antiqua" w:eastAsia="Book Antiqua" w:hAnsi="Book Antiqua" w:cs="Book Antiqua"/>
          <w:color w:val="000000"/>
        </w:rPr>
        <w:t xml:space="preserve">Department of Algology, Xijing Hospital, Air Force Medical University, Xi'an 710032, </w:t>
      </w:r>
      <w:bookmarkStart w:id="26" w:name="OLE_LINK61"/>
      <w:bookmarkStart w:id="27" w:name="OLE_LINK62"/>
      <w:r w:rsidR="004B472E" w:rsidRPr="005F7EC5">
        <w:rPr>
          <w:rFonts w:ascii="Book Antiqua" w:hAnsi="Book Antiqua" w:cs="Book Antiqua"/>
          <w:color w:val="000000"/>
          <w:lang w:eastAsia="zh-CN"/>
        </w:rPr>
        <w:t>Sha</w:t>
      </w:r>
      <w:r w:rsidR="00DA7C9B" w:rsidRPr="005F7EC5">
        <w:rPr>
          <w:rFonts w:ascii="Book Antiqua" w:hAnsi="Book Antiqua" w:cs="Book Antiqua"/>
          <w:color w:val="000000"/>
          <w:lang w:eastAsia="zh-CN"/>
        </w:rPr>
        <w:t>a</w:t>
      </w:r>
      <w:r w:rsidR="004B472E" w:rsidRPr="005F7EC5">
        <w:rPr>
          <w:rFonts w:ascii="Book Antiqua" w:hAnsi="Book Antiqua" w:cs="Book Antiqua"/>
          <w:color w:val="000000"/>
          <w:lang w:eastAsia="zh-CN"/>
        </w:rPr>
        <w:t xml:space="preserve">nxi </w:t>
      </w:r>
      <w:bookmarkStart w:id="28" w:name="OLE_LINK8"/>
      <w:bookmarkEnd w:id="26"/>
      <w:bookmarkEnd w:id="27"/>
      <w:r w:rsidR="004B472E" w:rsidRPr="005F7EC5">
        <w:rPr>
          <w:rFonts w:ascii="Book Antiqua" w:hAnsi="Book Antiqua" w:cs="Book Antiqua"/>
          <w:color w:val="000000"/>
          <w:lang w:eastAsia="zh-CN"/>
        </w:rPr>
        <w:t>Province</w:t>
      </w:r>
      <w:bookmarkEnd w:id="28"/>
      <w:r w:rsidR="004B472E" w:rsidRPr="005F7EC5">
        <w:rPr>
          <w:rFonts w:ascii="Book Antiqua" w:hAnsi="Book Antiqua" w:cs="Book Antiqua"/>
          <w:color w:val="000000"/>
          <w:lang w:eastAsia="zh-CN"/>
        </w:rPr>
        <w:t xml:space="preserve">, </w:t>
      </w:r>
      <w:r w:rsidRPr="005F7EC5">
        <w:rPr>
          <w:rFonts w:ascii="Book Antiqua" w:eastAsia="Book Antiqua" w:hAnsi="Book Antiqua" w:cs="Book Antiqua"/>
          <w:color w:val="000000"/>
        </w:rPr>
        <w:t>China</w:t>
      </w:r>
    </w:p>
    <w:p w14:paraId="39F5154C" w14:textId="77777777" w:rsidR="00A77B3E" w:rsidRPr="005F7EC5" w:rsidRDefault="00A77B3E" w:rsidP="005F7EC5">
      <w:pPr>
        <w:spacing w:line="360" w:lineRule="auto"/>
        <w:jc w:val="both"/>
      </w:pPr>
    </w:p>
    <w:p w14:paraId="0A3EE319"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Jin-Feng Liu, </w:t>
      </w:r>
      <w:r w:rsidRPr="005F7EC5">
        <w:rPr>
          <w:rFonts w:ascii="Book Antiqua" w:eastAsia="Book Antiqua" w:hAnsi="Book Antiqua" w:cs="Book Antiqua"/>
          <w:color w:val="000000"/>
        </w:rPr>
        <w:t xml:space="preserve">Department of Algology, The Second Affiliated Hospital of Harbin Medical University, Harbin 150001, </w:t>
      </w:r>
      <w:bookmarkStart w:id="29" w:name="OLE_LINK63"/>
      <w:bookmarkStart w:id="30" w:name="OLE_LINK64"/>
      <w:r w:rsidR="005E7376" w:rsidRPr="005F7EC5">
        <w:rPr>
          <w:rFonts w:ascii="Book Antiqua" w:hAnsi="Book Antiqua" w:cs="Book Antiqua"/>
          <w:color w:val="000000"/>
          <w:lang w:eastAsia="zh-CN"/>
        </w:rPr>
        <w:t xml:space="preserve">Heilongjiang </w:t>
      </w:r>
      <w:bookmarkStart w:id="31" w:name="OLE_LINK11"/>
      <w:bookmarkEnd w:id="29"/>
      <w:bookmarkEnd w:id="30"/>
      <w:r w:rsidR="005E7376" w:rsidRPr="005F7EC5">
        <w:rPr>
          <w:rFonts w:ascii="Book Antiqua" w:hAnsi="Book Antiqua" w:cs="Book Antiqua"/>
          <w:color w:val="000000"/>
          <w:lang w:eastAsia="zh-CN"/>
        </w:rPr>
        <w:t>Province</w:t>
      </w:r>
      <w:bookmarkEnd w:id="31"/>
      <w:r w:rsidR="005E7376" w:rsidRPr="005F7EC5">
        <w:rPr>
          <w:rFonts w:ascii="Book Antiqua" w:hAnsi="Book Antiqua" w:cs="Book Antiqua"/>
          <w:color w:val="000000"/>
          <w:lang w:eastAsia="zh-CN"/>
        </w:rPr>
        <w:t>,</w:t>
      </w:r>
      <w:r w:rsidR="005E7376" w:rsidRPr="005F7EC5">
        <w:rPr>
          <w:rFonts w:ascii="Book Antiqua" w:eastAsia="Book Antiqua" w:hAnsi="Book Antiqua" w:cs="Book Antiqua"/>
          <w:color w:val="000000"/>
        </w:rPr>
        <w:t xml:space="preserve"> </w:t>
      </w:r>
      <w:r w:rsidRPr="005F7EC5">
        <w:rPr>
          <w:rFonts w:ascii="Book Antiqua" w:eastAsia="Book Antiqua" w:hAnsi="Book Antiqua" w:cs="Book Antiqua"/>
          <w:color w:val="000000"/>
        </w:rPr>
        <w:t>China</w:t>
      </w:r>
    </w:p>
    <w:p w14:paraId="299AEB6F" w14:textId="77777777" w:rsidR="00A77B3E" w:rsidRPr="005F7EC5" w:rsidRDefault="00A77B3E" w:rsidP="005F7EC5">
      <w:pPr>
        <w:spacing w:line="360" w:lineRule="auto"/>
        <w:jc w:val="both"/>
      </w:pPr>
    </w:p>
    <w:p w14:paraId="3746C164" w14:textId="14E0793C" w:rsidR="00A77B3E" w:rsidRPr="005F7EC5" w:rsidRDefault="00E66045" w:rsidP="005F7EC5">
      <w:pPr>
        <w:spacing w:line="360" w:lineRule="auto"/>
        <w:jc w:val="both"/>
      </w:pPr>
      <w:r w:rsidRPr="005F7EC5">
        <w:rPr>
          <w:rFonts w:ascii="Book Antiqua" w:eastAsia="Book Antiqua" w:hAnsi="Book Antiqua" w:cs="Book Antiqua"/>
          <w:b/>
          <w:bCs/>
          <w:color w:val="000000"/>
        </w:rPr>
        <w:t>Rong-</w:t>
      </w:r>
      <w:r w:rsidRPr="005F7EC5">
        <w:rPr>
          <w:rFonts w:ascii="Book Antiqua" w:hAnsi="Book Antiqua" w:cs="Book Antiqua"/>
          <w:b/>
          <w:bCs/>
          <w:color w:val="000000"/>
          <w:lang w:eastAsia="zh-CN"/>
        </w:rPr>
        <w:t>G</w:t>
      </w:r>
      <w:r w:rsidR="00FA2DBE" w:rsidRPr="005F7EC5">
        <w:rPr>
          <w:rFonts w:ascii="Book Antiqua" w:eastAsia="Book Antiqua" w:hAnsi="Book Antiqua" w:cs="Book Antiqua"/>
          <w:b/>
          <w:bCs/>
          <w:color w:val="000000"/>
        </w:rPr>
        <w:t xml:space="preserve">uo Liu, </w:t>
      </w:r>
      <w:r w:rsidR="00FA2DBE" w:rsidRPr="005F7EC5">
        <w:rPr>
          <w:rFonts w:ascii="Book Antiqua" w:eastAsia="Book Antiqua" w:hAnsi="Book Antiqua" w:cs="Book Antiqua"/>
          <w:color w:val="000000"/>
        </w:rPr>
        <w:t xml:space="preserve">Department of Algology, </w:t>
      </w:r>
      <w:bookmarkStart w:id="32" w:name="OLE_LINK9"/>
      <w:bookmarkStart w:id="33" w:name="OLE_LINK10"/>
      <w:r w:rsidR="00FA2DBE" w:rsidRPr="005F7EC5">
        <w:rPr>
          <w:rFonts w:ascii="Book Antiqua" w:eastAsia="Book Antiqua" w:hAnsi="Book Antiqua" w:cs="Book Antiqua"/>
          <w:color w:val="000000"/>
        </w:rPr>
        <w:t xml:space="preserve">Fujian </w:t>
      </w:r>
      <w:bookmarkEnd w:id="32"/>
      <w:bookmarkEnd w:id="33"/>
      <w:r w:rsidR="00FA2DBE" w:rsidRPr="005F7EC5">
        <w:rPr>
          <w:rFonts w:ascii="Book Antiqua" w:eastAsia="Book Antiqua" w:hAnsi="Book Antiqua" w:cs="Book Antiqua"/>
          <w:color w:val="000000"/>
        </w:rPr>
        <w:t xml:space="preserve">Provincial Hospital, Fuzhou 350001, </w:t>
      </w:r>
      <w:bookmarkStart w:id="34" w:name="OLE_LINK65"/>
      <w:bookmarkStart w:id="35" w:name="OLE_LINK66"/>
      <w:r w:rsidR="005E7376" w:rsidRPr="005F7EC5">
        <w:rPr>
          <w:rFonts w:ascii="Book Antiqua" w:eastAsia="Book Antiqua" w:hAnsi="Book Antiqua" w:cs="Book Antiqua"/>
          <w:color w:val="000000"/>
        </w:rPr>
        <w:t xml:space="preserve">Fujian </w:t>
      </w:r>
      <w:bookmarkStart w:id="36" w:name="OLE_LINK14"/>
      <w:bookmarkStart w:id="37" w:name="OLE_LINK15"/>
      <w:bookmarkEnd w:id="34"/>
      <w:bookmarkEnd w:id="35"/>
      <w:r w:rsidR="005E7376" w:rsidRPr="005F7EC5">
        <w:rPr>
          <w:rFonts w:ascii="Book Antiqua" w:hAnsi="Book Antiqua" w:cs="Book Antiqua"/>
          <w:color w:val="000000"/>
          <w:lang w:eastAsia="zh-CN"/>
        </w:rPr>
        <w:t>Province</w:t>
      </w:r>
      <w:bookmarkEnd w:id="36"/>
      <w:bookmarkEnd w:id="37"/>
      <w:r w:rsidR="005E7376" w:rsidRPr="005F7EC5">
        <w:rPr>
          <w:rFonts w:ascii="Book Antiqua" w:hAnsi="Book Antiqua" w:cs="Book Antiqua"/>
          <w:color w:val="000000"/>
          <w:lang w:eastAsia="zh-CN"/>
        </w:rPr>
        <w:t>,</w:t>
      </w:r>
      <w:r w:rsidR="005E7376" w:rsidRPr="005F7EC5">
        <w:rPr>
          <w:rFonts w:ascii="Book Antiqua" w:eastAsia="Book Antiqua" w:hAnsi="Book Antiqua" w:cs="Book Antiqua"/>
          <w:color w:val="000000"/>
        </w:rPr>
        <w:t xml:space="preserve"> </w:t>
      </w:r>
      <w:r w:rsidR="00FA2DBE" w:rsidRPr="005F7EC5">
        <w:rPr>
          <w:rFonts w:ascii="Book Antiqua" w:eastAsia="Book Antiqua" w:hAnsi="Book Antiqua" w:cs="Book Antiqua"/>
          <w:color w:val="000000"/>
        </w:rPr>
        <w:t>China</w:t>
      </w:r>
    </w:p>
    <w:p w14:paraId="3075D86B" w14:textId="77777777" w:rsidR="00A77B3E" w:rsidRPr="005F7EC5" w:rsidRDefault="00A77B3E" w:rsidP="005F7EC5">
      <w:pPr>
        <w:spacing w:line="360" w:lineRule="auto"/>
        <w:jc w:val="both"/>
      </w:pPr>
    </w:p>
    <w:p w14:paraId="33FC5877"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Hui Liu, </w:t>
      </w:r>
      <w:r w:rsidRPr="005F7EC5">
        <w:rPr>
          <w:rFonts w:ascii="Book Antiqua" w:eastAsia="Book Antiqua" w:hAnsi="Book Antiqua" w:cs="Book Antiqua"/>
          <w:color w:val="000000"/>
        </w:rPr>
        <w:t xml:space="preserve">Department of Algology, West China Hospital of </w:t>
      </w:r>
      <w:bookmarkStart w:id="38" w:name="OLE_LINK12"/>
      <w:bookmarkStart w:id="39" w:name="OLE_LINK13"/>
      <w:r w:rsidRPr="005F7EC5">
        <w:rPr>
          <w:rFonts w:ascii="Book Antiqua" w:eastAsia="Book Antiqua" w:hAnsi="Book Antiqua" w:cs="Book Antiqua"/>
          <w:color w:val="000000"/>
        </w:rPr>
        <w:t xml:space="preserve">Sichuan </w:t>
      </w:r>
      <w:bookmarkEnd w:id="38"/>
      <w:bookmarkEnd w:id="39"/>
      <w:r w:rsidRPr="005F7EC5">
        <w:rPr>
          <w:rFonts w:ascii="Book Antiqua" w:eastAsia="Book Antiqua" w:hAnsi="Book Antiqua" w:cs="Book Antiqua"/>
          <w:color w:val="000000"/>
        </w:rPr>
        <w:t xml:space="preserve">University, Chengdu 610041, </w:t>
      </w:r>
      <w:bookmarkStart w:id="40" w:name="OLE_LINK67"/>
      <w:bookmarkStart w:id="41" w:name="OLE_LINK68"/>
      <w:r w:rsidR="005E7376" w:rsidRPr="005F7EC5">
        <w:rPr>
          <w:rFonts w:ascii="Book Antiqua" w:eastAsia="Book Antiqua" w:hAnsi="Book Antiqua" w:cs="Book Antiqua"/>
          <w:color w:val="000000"/>
        </w:rPr>
        <w:t xml:space="preserve">Sichuan </w:t>
      </w:r>
      <w:bookmarkEnd w:id="40"/>
      <w:bookmarkEnd w:id="41"/>
      <w:r w:rsidR="005E7376" w:rsidRPr="005F7EC5">
        <w:rPr>
          <w:rFonts w:ascii="Book Antiqua" w:hAnsi="Book Antiqua" w:cs="Book Antiqua"/>
          <w:color w:val="000000"/>
          <w:lang w:eastAsia="zh-CN"/>
        </w:rPr>
        <w:t>Province,</w:t>
      </w:r>
      <w:r w:rsidR="005E7376" w:rsidRPr="005F7EC5">
        <w:rPr>
          <w:rFonts w:ascii="Book Antiqua" w:eastAsia="Book Antiqua" w:hAnsi="Book Antiqua" w:cs="Book Antiqua"/>
          <w:color w:val="000000"/>
        </w:rPr>
        <w:t xml:space="preserve"> </w:t>
      </w:r>
      <w:r w:rsidRPr="005F7EC5">
        <w:rPr>
          <w:rFonts w:ascii="Book Antiqua" w:eastAsia="Book Antiqua" w:hAnsi="Book Antiqua" w:cs="Book Antiqua"/>
          <w:color w:val="000000"/>
        </w:rPr>
        <w:t>China</w:t>
      </w:r>
    </w:p>
    <w:p w14:paraId="72DA8DAB" w14:textId="77777777" w:rsidR="00A77B3E" w:rsidRPr="005F7EC5" w:rsidRDefault="00A77B3E" w:rsidP="005F7EC5">
      <w:pPr>
        <w:spacing w:line="360" w:lineRule="auto"/>
        <w:jc w:val="both"/>
      </w:pPr>
    </w:p>
    <w:p w14:paraId="4579BB0D" w14:textId="3C8C2D85"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Li-Zu Xiao, </w:t>
      </w:r>
      <w:r w:rsidRPr="005F7EC5">
        <w:rPr>
          <w:rFonts w:ascii="Book Antiqua" w:eastAsia="Book Antiqua" w:hAnsi="Book Antiqua" w:cs="Book Antiqua"/>
          <w:color w:val="000000"/>
        </w:rPr>
        <w:t>Department of Algology, Shenzhen Sixth People</w:t>
      </w:r>
      <w:r w:rsidR="001B20BE">
        <w:rPr>
          <w:rFonts w:ascii="Book Antiqua" w:eastAsia="Book Antiqua" w:hAnsi="Book Antiqua" w:cs="Book Antiqua"/>
          <w:color w:val="000000"/>
        </w:rPr>
        <w:t>’</w:t>
      </w:r>
      <w:r w:rsidRPr="005F7EC5">
        <w:rPr>
          <w:rFonts w:ascii="Book Antiqua" w:eastAsia="Book Antiqua" w:hAnsi="Book Antiqua" w:cs="Book Antiqua"/>
          <w:color w:val="000000"/>
        </w:rPr>
        <w:t xml:space="preserve">s Hospital (Nanshan Hospital), Shenzhen 518000, </w:t>
      </w:r>
      <w:bookmarkStart w:id="42" w:name="OLE_LINK69"/>
      <w:bookmarkStart w:id="43" w:name="OLE_LINK70"/>
      <w:bookmarkStart w:id="44" w:name="OLE_LINK73"/>
      <w:bookmarkStart w:id="45" w:name="OLE_LINK74"/>
      <w:r w:rsidR="005E7376" w:rsidRPr="005F7EC5">
        <w:rPr>
          <w:rFonts w:ascii="Book Antiqua" w:hAnsi="Book Antiqua" w:cs="Book Antiqua"/>
          <w:color w:val="000000"/>
          <w:lang w:eastAsia="zh-CN"/>
        </w:rPr>
        <w:t xml:space="preserve">Guangdong </w:t>
      </w:r>
      <w:bookmarkEnd w:id="42"/>
      <w:bookmarkEnd w:id="43"/>
      <w:bookmarkEnd w:id="44"/>
      <w:bookmarkEnd w:id="45"/>
      <w:r w:rsidR="005E7376" w:rsidRPr="005F7EC5">
        <w:rPr>
          <w:rFonts w:ascii="Book Antiqua" w:hAnsi="Book Antiqua" w:cs="Book Antiqua"/>
          <w:color w:val="000000"/>
          <w:lang w:eastAsia="zh-CN"/>
        </w:rPr>
        <w:t>Province,</w:t>
      </w:r>
      <w:r w:rsidR="005E7376" w:rsidRPr="005F7EC5">
        <w:rPr>
          <w:rFonts w:ascii="Book Antiqua" w:eastAsia="Book Antiqua" w:hAnsi="Book Antiqua" w:cs="Book Antiqua"/>
          <w:color w:val="000000"/>
        </w:rPr>
        <w:t xml:space="preserve"> </w:t>
      </w:r>
      <w:r w:rsidRPr="005F7EC5">
        <w:rPr>
          <w:rFonts w:ascii="Book Antiqua" w:eastAsia="Book Antiqua" w:hAnsi="Book Antiqua" w:cs="Book Antiqua"/>
          <w:color w:val="000000"/>
        </w:rPr>
        <w:t>China</w:t>
      </w:r>
    </w:p>
    <w:p w14:paraId="6A09CB25" w14:textId="77777777" w:rsidR="00A77B3E" w:rsidRPr="005F7EC5" w:rsidRDefault="00A77B3E" w:rsidP="005F7EC5">
      <w:pPr>
        <w:spacing w:line="360" w:lineRule="auto"/>
        <w:jc w:val="both"/>
      </w:pPr>
    </w:p>
    <w:p w14:paraId="14C33A16"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Dong-Ping Du, </w:t>
      </w:r>
      <w:r w:rsidRPr="005F7EC5">
        <w:rPr>
          <w:rFonts w:ascii="Book Antiqua" w:eastAsia="Book Antiqua" w:hAnsi="Book Antiqua" w:cs="Book Antiqua"/>
          <w:color w:val="000000"/>
        </w:rPr>
        <w:t>Department of Algology, Shanghai Sixth People’s Hospital Affiliated to Shanghai Jiaotong University, Shanghai 200233, China</w:t>
      </w:r>
    </w:p>
    <w:p w14:paraId="20982A32" w14:textId="77777777" w:rsidR="00A77B3E" w:rsidRPr="005F7EC5" w:rsidRDefault="00A77B3E" w:rsidP="005F7EC5">
      <w:pPr>
        <w:spacing w:line="360" w:lineRule="auto"/>
        <w:jc w:val="both"/>
      </w:pPr>
    </w:p>
    <w:p w14:paraId="08978F97"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Li-Juan Lu, </w:t>
      </w:r>
      <w:r w:rsidRPr="005F7EC5">
        <w:rPr>
          <w:rFonts w:ascii="Book Antiqua" w:eastAsia="Book Antiqua" w:hAnsi="Book Antiqua" w:cs="Book Antiqua"/>
          <w:color w:val="000000"/>
        </w:rPr>
        <w:t>Department of Algology Medicine, Nanjing Drum Tower Hospital, The Affiliated Hospital of Nanjing University</w:t>
      </w:r>
      <w:r w:rsidR="005E7376" w:rsidRPr="005F7EC5">
        <w:rPr>
          <w:rFonts w:ascii="Book Antiqua" w:eastAsia="Book Antiqua" w:hAnsi="Book Antiqua" w:cs="Book Antiqua"/>
          <w:color w:val="000000"/>
        </w:rPr>
        <w:t xml:space="preserve"> Medical School, Nanjing 210008</w:t>
      </w:r>
      <w:r w:rsidRPr="005F7EC5">
        <w:rPr>
          <w:rFonts w:ascii="Book Antiqua" w:eastAsia="Book Antiqua" w:hAnsi="Book Antiqua" w:cs="Book Antiqua"/>
          <w:color w:val="000000"/>
        </w:rPr>
        <w:t xml:space="preserve">, </w:t>
      </w:r>
      <w:bookmarkStart w:id="46" w:name="OLE_LINK75"/>
      <w:bookmarkStart w:id="47" w:name="OLE_LINK76"/>
      <w:r w:rsidR="005E7376" w:rsidRPr="005F7EC5">
        <w:rPr>
          <w:rFonts w:ascii="Book Antiqua" w:hAnsi="Book Antiqua" w:cs="Book Antiqua"/>
          <w:color w:val="000000"/>
          <w:lang w:eastAsia="zh-CN"/>
        </w:rPr>
        <w:t xml:space="preserve">Jiangsu </w:t>
      </w:r>
      <w:bookmarkEnd w:id="46"/>
      <w:bookmarkEnd w:id="47"/>
      <w:r w:rsidR="005E7376" w:rsidRPr="005F7EC5">
        <w:rPr>
          <w:rFonts w:ascii="Book Antiqua" w:hAnsi="Book Antiqua" w:cs="Book Antiqua"/>
          <w:color w:val="000000"/>
          <w:lang w:eastAsia="zh-CN"/>
        </w:rPr>
        <w:t>Province,</w:t>
      </w:r>
      <w:r w:rsidR="005E7376" w:rsidRPr="005F7EC5">
        <w:rPr>
          <w:rFonts w:ascii="Book Antiqua" w:eastAsia="Book Antiqua" w:hAnsi="Book Antiqua" w:cs="Book Antiqua"/>
          <w:color w:val="000000"/>
        </w:rPr>
        <w:t xml:space="preserve"> </w:t>
      </w:r>
      <w:r w:rsidRPr="005F7EC5">
        <w:rPr>
          <w:rFonts w:ascii="Book Antiqua" w:eastAsia="Book Antiqua" w:hAnsi="Book Antiqua" w:cs="Book Antiqua"/>
          <w:color w:val="000000"/>
        </w:rPr>
        <w:t>China</w:t>
      </w:r>
    </w:p>
    <w:p w14:paraId="396C5C03" w14:textId="77777777" w:rsidR="00A77B3E" w:rsidRPr="005F7EC5" w:rsidRDefault="00A77B3E" w:rsidP="005F7EC5">
      <w:pPr>
        <w:spacing w:line="360" w:lineRule="auto"/>
        <w:jc w:val="both"/>
      </w:pPr>
    </w:p>
    <w:p w14:paraId="0D12B5DC"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Xiao-Qiu Yang, </w:t>
      </w:r>
      <w:r w:rsidRPr="005F7EC5">
        <w:rPr>
          <w:rFonts w:ascii="Book Antiqua" w:eastAsia="Book Antiqua" w:hAnsi="Book Antiqua" w:cs="Book Antiqua"/>
          <w:color w:val="000000"/>
        </w:rPr>
        <w:t>Department of Algology, The First Affiliated Hospital o</w:t>
      </w:r>
      <w:r w:rsidR="005E7376" w:rsidRPr="005F7EC5">
        <w:rPr>
          <w:rFonts w:ascii="Book Antiqua" w:eastAsia="Book Antiqua" w:hAnsi="Book Antiqua" w:cs="Book Antiqua"/>
          <w:color w:val="000000"/>
        </w:rPr>
        <w:t>f Chongqing Medical University,</w:t>
      </w:r>
      <w:r w:rsidRPr="005F7EC5">
        <w:rPr>
          <w:rFonts w:ascii="Book Antiqua" w:eastAsia="Book Antiqua" w:hAnsi="Book Antiqua" w:cs="Book Antiqua"/>
          <w:color w:val="000000"/>
        </w:rPr>
        <w:t xml:space="preserve"> Chongqing 400016, China</w:t>
      </w:r>
    </w:p>
    <w:p w14:paraId="21D77970" w14:textId="77777777" w:rsidR="00A77B3E" w:rsidRPr="005F7EC5" w:rsidRDefault="00A77B3E" w:rsidP="005F7EC5">
      <w:pPr>
        <w:spacing w:line="360" w:lineRule="auto"/>
        <w:jc w:val="both"/>
      </w:pPr>
    </w:p>
    <w:p w14:paraId="625A8039"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Ling-Jie Xia, </w:t>
      </w:r>
      <w:r w:rsidRPr="005F7EC5">
        <w:rPr>
          <w:rFonts w:ascii="Book Antiqua" w:eastAsia="Book Antiqua" w:hAnsi="Book Antiqua" w:cs="Book Antiqua"/>
          <w:color w:val="000000"/>
        </w:rPr>
        <w:t xml:space="preserve">Department of Algology, </w:t>
      </w:r>
      <w:bookmarkStart w:id="48" w:name="OLE_LINK16"/>
      <w:bookmarkStart w:id="49" w:name="OLE_LINK17"/>
      <w:r w:rsidRPr="005F7EC5">
        <w:rPr>
          <w:rFonts w:ascii="Book Antiqua" w:eastAsia="Book Antiqua" w:hAnsi="Book Antiqua" w:cs="Book Antiqua"/>
          <w:color w:val="000000"/>
        </w:rPr>
        <w:t xml:space="preserve">Henan </w:t>
      </w:r>
      <w:bookmarkEnd w:id="48"/>
      <w:bookmarkEnd w:id="49"/>
      <w:r w:rsidRPr="005F7EC5">
        <w:rPr>
          <w:rFonts w:ascii="Book Antiqua" w:eastAsia="Book Antiqua" w:hAnsi="Book Antiqua" w:cs="Book Antiqua"/>
          <w:color w:val="000000"/>
        </w:rPr>
        <w:t xml:space="preserve">Provincial People’s Hospital, Zhengzhou 450000, </w:t>
      </w:r>
      <w:bookmarkStart w:id="50" w:name="OLE_LINK77"/>
      <w:bookmarkStart w:id="51" w:name="OLE_LINK78"/>
      <w:r w:rsidR="005E7376" w:rsidRPr="005F7EC5">
        <w:rPr>
          <w:rFonts w:ascii="Book Antiqua" w:eastAsia="Book Antiqua" w:hAnsi="Book Antiqua" w:cs="Book Antiqua"/>
          <w:color w:val="000000"/>
        </w:rPr>
        <w:t xml:space="preserve">Henan </w:t>
      </w:r>
      <w:bookmarkStart w:id="52" w:name="OLE_LINK18"/>
      <w:bookmarkStart w:id="53" w:name="OLE_LINK19"/>
      <w:bookmarkEnd w:id="50"/>
      <w:bookmarkEnd w:id="51"/>
      <w:r w:rsidR="005E7376" w:rsidRPr="005F7EC5">
        <w:rPr>
          <w:rFonts w:ascii="Book Antiqua" w:hAnsi="Book Antiqua" w:cs="Book Antiqua"/>
          <w:color w:val="000000"/>
          <w:lang w:eastAsia="zh-CN"/>
        </w:rPr>
        <w:t>Province</w:t>
      </w:r>
      <w:bookmarkEnd w:id="52"/>
      <w:bookmarkEnd w:id="53"/>
      <w:r w:rsidR="005E7376" w:rsidRPr="005F7EC5">
        <w:rPr>
          <w:rFonts w:ascii="Book Antiqua" w:hAnsi="Book Antiqua" w:cs="Book Antiqua"/>
          <w:color w:val="000000"/>
          <w:lang w:eastAsia="zh-CN"/>
        </w:rPr>
        <w:t>,</w:t>
      </w:r>
      <w:r w:rsidR="005E7376" w:rsidRPr="005F7EC5">
        <w:rPr>
          <w:rFonts w:ascii="Book Antiqua" w:eastAsia="Book Antiqua" w:hAnsi="Book Antiqua" w:cs="Book Antiqua"/>
          <w:color w:val="000000"/>
        </w:rPr>
        <w:t xml:space="preserve"> </w:t>
      </w:r>
      <w:r w:rsidRPr="005F7EC5">
        <w:rPr>
          <w:rFonts w:ascii="Book Antiqua" w:eastAsia="Book Antiqua" w:hAnsi="Book Antiqua" w:cs="Book Antiqua"/>
          <w:color w:val="000000"/>
        </w:rPr>
        <w:t>China</w:t>
      </w:r>
    </w:p>
    <w:p w14:paraId="44F5EFEF" w14:textId="77777777" w:rsidR="00A77B3E" w:rsidRPr="005F7EC5" w:rsidRDefault="00A77B3E" w:rsidP="005F7EC5">
      <w:pPr>
        <w:spacing w:line="360" w:lineRule="auto"/>
        <w:jc w:val="both"/>
      </w:pPr>
    </w:p>
    <w:p w14:paraId="2A028CE0"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Dong Huang, </w:t>
      </w:r>
      <w:r w:rsidRPr="005F7EC5">
        <w:rPr>
          <w:rFonts w:ascii="Book Antiqua" w:eastAsia="Book Antiqua" w:hAnsi="Book Antiqua" w:cs="Book Antiqua"/>
          <w:color w:val="000000"/>
        </w:rPr>
        <w:t>Department of Algology, The Third Xiangya Hosp</w:t>
      </w:r>
      <w:r w:rsidR="005E7376" w:rsidRPr="005F7EC5">
        <w:rPr>
          <w:rFonts w:ascii="Book Antiqua" w:eastAsia="Book Antiqua" w:hAnsi="Book Antiqua" w:cs="Book Antiqua"/>
          <w:color w:val="000000"/>
        </w:rPr>
        <w:t>ital, Central South University,</w:t>
      </w:r>
      <w:r w:rsidRPr="005F7EC5">
        <w:rPr>
          <w:rFonts w:ascii="Book Antiqua" w:eastAsia="Book Antiqua" w:hAnsi="Book Antiqua" w:cs="Book Antiqua"/>
          <w:color w:val="000000"/>
        </w:rPr>
        <w:t xml:space="preserve"> Changsha 410013, </w:t>
      </w:r>
      <w:bookmarkStart w:id="54" w:name="OLE_LINK79"/>
      <w:bookmarkStart w:id="55" w:name="OLE_LINK80"/>
      <w:r w:rsidR="005E7376" w:rsidRPr="005F7EC5">
        <w:rPr>
          <w:rFonts w:ascii="Book Antiqua" w:hAnsi="Book Antiqua" w:cs="Book Antiqua"/>
          <w:color w:val="000000"/>
          <w:lang w:eastAsia="zh-CN"/>
        </w:rPr>
        <w:t xml:space="preserve">Hunan </w:t>
      </w:r>
      <w:bookmarkEnd w:id="54"/>
      <w:bookmarkEnd w:id="55"/>
      <w:r w:rsidR="005E7376" w:rsidRPr="005F7EC5">
        <w:rPr>
          <w:rFonts w:ascii="Book Antiqua" w:hAnsi="Book Antiqua" w:cs="Book Antiqua"/>
          <w:color w:val="000000"/>
          <w:lang w:eastAsia="zh-CN"/>
        </w:rPr>
        <w:t>Province,</w:t>
      </w:r>
      <w:r w:rsidR="005E7376" w:rsidRPr="005F7EC5">
        <w:rPr>
          <w:rFonts w:ascii="Book Antiqua" w:eastAsia="Book Antiqua" w:hAnsi="Book Antiqua" w:cs="Book Antiqua"/>
          <w:color w:val="000000"/>
        </w:rPr>
        <w:t xml:space="preserve"> </w:t>
      </w:r>
      <w:r w:rsidRPr="005F7EC5">
        <w:rPr>
          <w:rFonts w:ascii="Book Antiqua" w:eastAsia="Book Antiqua" w:hAnsi="Book Antiqua" w:cs="Book Antiqua"/>
          <w:color w:val="000000"/>
        </w:rPr>
        <w:t>China</w:t>
      </w:r>
    </w:p>
    <w:p w14:paraId="3EE33A2D" w14:textId="77777777" w:rsidR="00A77B3E" w:rsidRPr="005F7EC5" w:rsidRDefault="00A77B3E" w:rsidP="005F7EC5">
      <w:pPr>
        <w:spacing w:line="360" w:lineRule="auto"/>
        <w:jc w:val="both"/>
      </w:pPr>
    </w:p>
    <w:p w14:paraId="2E3BB128"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Zhi-Jian Fu, </w:t>
      </w:r>
      <w:r w:rsidRPr="005F7EC5">
        <w:rPr>
          <w:rFonts w:ascii="Book Antiqua" w:eastAsia="Book Antiqua" w:hAnsi="Book Antiqua" w:cs="Book Antiqua"/>
          <w:color w:val="000000"/>
        </w:rPr>
        <w:t xml:space="preserve">Department of Algology, </w:t>
      </w:r>
      <w:bookmarkStart w:id="56" w:name="OLE_LINK20"/>
      <w:bookmarkStart w:id="57" w:name="OLE_LINK21"/>
      <w:r w:rsidRPr="005F7EC5">
        <w:rPr>
          <w:rFonts w:ascii="Book Antiqua" w:eastAsia="Book Antiqua" w:hAnsi="Book Antiqua" w:cs="Book Antiqua"/>
          <w:color w:val="000000"/>
        </w:rPr>
        <w:t xml:space="preserve">Shandong </w:t>
      </w:r>
      <w:bookmarkEnd w:id="56"/>
      <w:bookmarkEnd w:id="57"/>
      <w:r w:rsidRPr="005F7EC5">
        <w:rPr>
          <w:rFonts w:ascii="Book Antiqua" w:eastAsia="Book Antiqua" w:hAnsi="Book Antiqua" w:cs="Book Antiqua"/>
          <w:color w:val="000000"/>
        </w:rPr>
        <w:t xml:space="preserve">Provincial Hospital Affiliated to Shandong University, Jinan 250021, </w:t>
      </w:r>
      <w:bookmarkStart w:id="58" w:name="OLE_LINK81"/>
      <w:bookmarkStart w:id="59" w:name="OLE_LINK82"/>
      <w:r w:rsidR="005E7376" w:rsidRPr="005F7EC5">
        <w:rPr>
          <w:rFonts w:ascii="Book Antiqua" w:eastAsia="Book Antiqua" w:hAnsi="Book Antiqua" w:cs="Book Antiqua"/>
          <w:color w:val="000000"/>
        </w:rPr>
        <w:t xml:space="preserve">Shandong </w:t>
      </w:r>
      <w:bookmarkEnd w:id="58"/>
      <w:bookmarkEnd w:id="59"/>
      <w:r w:rsidR="005E7376" w:rsidRPr="005F7EC5">
        <w:rPr>
          <w:rFonts w:ascii="Book Antiqua" w:hAnsi="Book Antiqua" w:cs="Book Antiqua"/>
          <w:color w:val="000000"/>
          <w:lang w:eastAsia="zh-CN"/>
        </w:rPr>
        <w:t>Province,</w:t>
      </w:r>
      <w:r w:rsidR="005E7376" w:rsidRPr="005F7EC5">
        <w:rPr>
          <w:rFonts w:ascii="Book Antiqua" w:eastAsia="Book Antiqua" w:hAnsi="Book Antiqua" w:cs="Book Antiqua"/>
          <w:color w:val="000000"/>
        </w:rPr>
        <w:t xml:space="preserve"> </w:t>
      </w:r>
      <w:r w:rsidRPr="005F7EC5">
        <w:rPr>
          <w:rFonts w:ascii="Book Antiqua" w:eastAsia="Book Antiqua" w:hAnsi="Book Antiqua" w:cs="Book Antiqua"/>
          <w:color w:val="000000"/>
        </w:rPr>
        <w:t>China</w:t>
      </w:r>
    </w:p>
    <w:p w14:paraId="43081915" w14:textId="77777777" w:rsidR="00A77B3E" w:rsidRPr="005F7EC5" w:rsidRDefault="00A77B3E" w:rsidP="005F7EC5">
      <w:pPr>
        <w:spacing w:line="360" w:lineRule="auto"/>
        <w:jc w:val="both"/>
      </w:pPr>
    </w:p>
    <w:p w14:paraId="28B71465" w14:textId="68BB2D4B" w:rsidR="00A77B3E" w:rsidRPr="005F7EC5" w:rsidRDefault="00FA2DBE" w:rsidP="005F7EC5">
      <w:pPr>
        <w:spacing w:line="360" w:lineRule="auto"/>
        <w:jc w:val="both"/>
      </w:pPr>
      <w:r w:rsidRPr="005F7EC5">
        <w:rPr>
          <w:rFonts w:ascii="Book Antiqua" w:eastAsia="Book Antiqua" w:hAnsi="Book Antiqua" w:cs="Book Antiqua"/>
          <w:b/>
          <w:bCs/>
          <w:color w:val="000000"/>
        </w:rPr>
        <w:lastRenderedPageBreak/>
        <w:t xml:space="preserve">Bao-Gan Peng, </w:t>
      </w:r>
      <w:r w:rsidRPr="005F7EC5">
        <w:rPr>
          <w:rFonts w:ascii="Book Antiqua" w:eastAsia="Book Antiqua" w:hAnsi="Book Antiqua" w:cs="Book Antiqua"/>
          <w:color w:val="000000"/>
        </w:rPr>
        <w:t xml:space="preserve">Department of Spinal Surgery, Third Medical Center of </w:t>
      </w:r>
      <w:r w:rsidR="00FD0963" w:rsidRPr="005F7EC5">
        <w:rPr>
          <w:rFonts w:ascii="Book Antiqua" w:eastAsia="Book Antiqua" w:hAnsi="Book Antiqua" w:cs="Book Antiqua"/>
          <w:color w:val="000000"/>
        </w:rPr>
        <w:t>People</w:t>
      </w:r>
      <w:r w:rsidR="001B20BE">
        <w:rPr>
          <w:rFonts w:ascii="Book Antiqua" w:eastAsia="Book Antiqua" w:hAnsi="Book Antiqua" w:cs="Book Antiqua"/>
          <w:color w:val="000000"/>
        </w:rPr>
        <w:t>’</w:t>
      </w:r>
      <w:r w:rsidR="00FD0963" w:rsidRPr="005F7EC5">
        <w:rPr>
          <w:rFonts w:ascii="Book Antiqua" w:eastAsia="Book Antiqua" w:hAnsi="Book Antiqua" w:cs="Book Antiqua"/>
          <w:color w:val="000000"/>
        </w:rPr>
        <w:t xml:space="preserve">s Liberation Army </w:t>
      </w:r>
      <w:r w:rsidRPr="005F7EC5">
        <w:rPr>
          <w:rFonts w:ascii="Book Antiqua" w:eastAsia="Book Antiqua" w:hAnsi="Book Antiqua" w:cs="Book Antiqua"/>
          <w:color w:val="000000"/>
        </w:rPr>
        <w:t>Gene</w:t>
      </w:r>
      <w:r w:rsidR="00FD0963" w:rsidRPr="005F7EC5">
        <w:rPr>
          <w:rFonts w:ascii="Book Antiqua" w:eastAsia="Book Antiqua" w:hAnsi="Book Antiqua" w:cs="Book Antiqua"/>
          <w:color w:val="000000"/>
        </w:rPr>
        <w:t>ral Hospital</w:t>
      </w:r>
      <w:r w:rsidRPr="005F7EC5">
        <w:rPr>
          <w:rFonts w:ascii="Book Antiqua" w:eastAsia="Book Antiqua" w:hAnsi="Book Antiqua" w:cs="Book Antiqua"/>
          <w:color w:val="000000"/>
        </w:rPr>
        <w:t>, Beijing 100039, China</w:t>
      </w:r>
    </w:p>
    <w:p w14:paraId="12963166" w14:textId="77777777" w:rsidR="00A77B3E" w:rsidRPr="005F7EC5" w:rsidRDefault="00A77B3E" w:rsidP="005F7EC5">
      <w:pPr>
        <w:spacing w:line="360" w:lineRule="auto"/>
        <w:jc w:val="both"/>
      </w:pPr>
    </w:p>
    <w:p w14:paraId="26F1CD34" w14:textId="352F3C82" w:rsidR="00A77B3E" w:rsidRPr="005F7EC5" w:rsidRDefault="00FA2DBE" w:rsidP="005F7EC5">
      <w:pPr>
        <w:spacing w:line="360" w:lineRule="auto"/>
        <w:jc w:val="both"/>
        <w:rPr>
          <w:lang w:eastAsia="zh-CN"/>
        </w:rPr>
      </w:pPr>
      <w:r w:rsidRPr="005F7EC5">
        <w:rPr>
          <w:rFonts w:ascii="Book Antiqua" w:eastAsia="Book Antiqua" w:hAnsi="Book Antiqua" w:cs="Book Antiqua"/>
          <w:b/>
          <w:bCs/>
          <w:color w:val="000000"/>
        </w:rPr>
        <w:t xml:space="preserve">Author contributions: </w:t>
      </w:r>
      <w:bookmarkStart w:id="60" w:name="OLE_LINK92"/>
      <w:bookmarkStart w:id="61" w:name="OLE_LINK93"/>
      <w:r w:rsidR="005A27C5" w:rsidRPr="005F7EC5">
        <w:rPr>
          <w:rFonts w:ascii="Book Antiqua" w:eastAsia="Book Antiqua" w:hAnsi="Book Antiqua" w:cs="Book Antiqua"/>
          <w:color w:val="000000"/>
        </w:rPr>
        <w:t>All authors</w:t>
      </w:r>
      <w:r w:rsidRPr="005F7EC5">
        <w:rPr>
          <w:rFonts w:ascii="Book Antiqua" w:eastAsia="Book Antiqua" w:hAnsi="Book Antiqua" w:cs="Book Antiqua"/>
          <w:color w:val="000000"/>
        </w:rPr>
        <w:t xml:space="preserve"> contributed equally to this work</w:t>
      </w:r>
      <w:r w:rsidR="001D0A1A" w:rsidRPr="005F7EC5">
        <w:rPr>
          <w:rFonts w:ascii="Book Antiqua" w:hAnsi="Book Antiqua" w:cs="Book Antiqua"/>
          <w:color w:val="000000"/>
          <w:lang w:eastAsia="zh-CN"/>
        </w:rPr>
        <w:t>.</w:t>
      </w:r>
    </w:p>
    <w:bookmarkEnd w:id="60"/>
    <w:bookmarkEnd w:id="61"/>
    <w:p w14:paraId="255A11BE" w14:textId="77777777" w:rsidR="00A77B3E" w:rsidRPr="005F7EC5" w:rsidRDefault="00A77B3E" w:rsidP="005F7EC5">
      <w:pPr>
        <w:spacing w:line="360" w:lineRule="auto"/>
        <w:jc w:val="both"/>
      </w:pPr>
    </w:p>
    <w:p w14:paraId="0B67754D"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Corresponding author: Ke Ma, PhD, Chief Doctor, </w:t>
      </w:r>
      <w:r w:rsidR="00406339" w:rsidRPr="005F7EC5">
        <w:rPr>
          <w:rFonts w:ascii="Book Antiqua" w:eastAsia="Book Antiqua" w:hAnsi="Book Antiqua" w:cs="Book Antiqua"/>
          <w:color w:val="000000"/>
        </w:rPr>
        <w:t xml:space="preserve">Department of Pain </w:t>
      </w:r>
      <w:r w:rsidR="00406339" w:rsidRPr="005F7EC5">
        <w:rPr>
          <w:rFonts w:ascii="Book Antiqua" w:hAnsi="Book Antiqua" w:cs="Book Antiqua"/>
          <w:color w:val="000000"/>
          <w:lang w:eastAsia="zh-CN"/>
        </w:rPr>
        <w:t>M</w:t>
      </w:r>
      <w:r w:rsidRPr="005F7EC5">
        <w:rPr>
          <w:rFonts w:ascii="Book Antiqua" w:eastAsia="Book Antiqua" w:hAnsi="Book Antiqua" w:cs="Book Antiqua"/>
          <w:color w:val="000000"/>
        </w:rPr>
        <w:t>anagement, Xinhua Hospita</w:t>
      </w:r>
      <w:r w:rsidR="00406339" w:rsidRPr="005F7EC5">
        <w:rPr>
          <w:rFonts w:ascii="Book Antiqua" w:eastAsia="Book Antiqua" w:hAnsi="Book Antiqua" w:cs="Book Antiqua"/>
          <w:color w:val="000000"/>
        </w:rPr>
        <w:t>l, School of Medicine,</w:t>
      </w:r>
      <w:r w:rsidR="00406339" w:rsidRPr="005F7EC5">
        <w:rPr>
          <w:rFonts w:ascii="Book Antiqua" w:hAnsi="Book Antiqua" w:cs="Book Antiqua"/>
          <w:color w:val="000000"/>
          <w:lang w:eastAsia="zh-CN"/>
        </w:rPr>
        <w:t xml:space="preserve"> </w:t>
      </w:r>
      <w:r w:rsidR="00406339" w:rsidRPr="005F7EC5">
        <w:rPr>
          <w:rFonts w:ascii="Book Antiqua" w:eastAsia="Book Antiqua" w:hAnsi="Book Antiqua" w:cs="Book Antiqua"/>
          <w:color w:val="000000"/>
        </w:rPr>
        <w:t>Shanghai Jiaotong University</w:t>
      </w:r>
      <w:r w:rsidRPr="005F7EC5">
        <w:rPr>
          <w:rFonts w:ascii="Book Antiqua" w:eastAsia="Book Antiqua" w:hAnsi="Book Antiqua" w:cs="Book Antiqua"/>
          <w:color w:val="000000"/>
        </w:rPr>
        <w:t>,</w:t>
      </w:r>
      <w:r w:rsidR="00406339" w:rsidRPr="005F7EC5">
        <w:rPr>
          <w:rFonts w:ascii="Book Antiqua" w:hAnsi="Book Antiqua" w:cs="Book Antiqua"/>
          <w:color w:val="000000"/>
          <w:lang w:eastAsia="zh-CN"/>
        </w:rPr>
        <w:t xml:space="preserve"> </w:t>
      </w:r>
      <w:bookmarkStart w:id="62" w:name="OLE_LINK55"/>
      <w:bookmarkStart w:id="63" w:name="OLE_LINK56"/>
      <w:r w:rsidR="00406339" w:rsidRPr="005F7EC5">
        <w:rPr>
          <w:rFonts w:ascii="Book Antiqua" w:hAnsi="Book Antiqua" w:cs="Book Antiqua"/>
          <w:color w:val="000000"/>
          <w:lang w:eastAsia="zh-CN"/>
        </w:rPr>
        <w:t xml:space="preserve">No. </w:t>
      </w:r>
      <w:r w:rsidRPr="005F7EC5">
        <w:rPr>
          <w:rFonts w:ascii="Book Antiqua" w:eastAsia="Book Antiqua" w:hAnsi="Book Antiqua" w:cs="Book Antiqua"/>
          <w:color w:val="000000"/>
        </w:rPr>
        <w:t>1665 Kongjiang Road, Yangpu District</w:t>
      </w:r>
      <w:bookmarkEnd w:id="62"/>
      <w:bookmarkEnd w:id="63"/>
      <w:r w:rsidRPr="005F7EC5">
        <w:rPr>
          <w:rFonts w:ascii="Book Antiqua" w:eastAsia="Book Antiqua" w:hAnsi="Book Antiqua" w:cs="Book Antiqua"/>
          <w:color w:val="000000"/>
        </w:rPr>
        <w:t>, Shanghai 200092, China. marke72@163.com</w:t>
      </w:r>
    </w:p>
    <w:p w14:paraId="1B0BC532" w14:textId="77777777" w:rsidR="00A77B3E" w:rsidRPr="005F7EC5" w:rsidRDefault="00A77B3E" w:rsidP="005F7EC5">
      <w:pPr>
        <w:spacing w:line="360" w:lineRule="auto"/>
        <w:jc w:val="both"/>
      </w:pPr>
    </w:p>
    <w:p w14:paraId="2D98C7D0"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Received: </w:t>
      </w:r>
      <w:r w:rsidRPr="005F7EC5">
        <w:rPr>
          <w:rFonts w:ascii="Book Antiqua" w:eastAsia="Book Antiqua" w:hAnsi="Book Antiqua" w:cs="Book Antiqua"/>
          <w:color w:val="000000"/>
        </w:rPr>
        <w:t>November 30, 2020</w:t>
      </w:r>
    </w:p>
    <w:p w14:paraId="59363653"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Revised: </w:t>
      </w:r>
      <w:r w:rsidRPr="005F7EC5">
        <w:rPr>
          <w:rFonts w:ascii="Book Antiqua" w:eastAsia="Book Antiqua" w:hAnsi="Book Antiqua" w:cs="Book Antiqua"/>
          <w:color w:val="000000"/>
        </w:rPr>
        <w:t>February 14, 2021</w:t>
      </w:r>
    </w:p>
    <w:p w14:paraId="0FCEFE19" w14:textId="10439F8E"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Accepted: </w:t>
      </w:r>
      <w:r w:rsidR="00B11230" w:rsidRPr="005F7EC5">
        <w:rPr>
          <w:rFonts w:ascii="Book Antiqua" w:eastAsia="Book Antiqua" w:hAnsi="Book Antiqua" w:cs="Book Antiqua"/>
          <w:color w:val="000000"/>
        </w:rPr>
        <w:t>March 9, 2021</w:t>
      </w:r>
    </w:p>
    <w:p w14:paraId="12F6C6CC"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Published online: </w:t>
      </w:r>
    </w:p>
    <w:p w14:paraId="20353F0D" w14:textId="77777777" w:rsidR="00A77B3E" w:rsidRPr="005F7EC5" w:rsidRDefault="00A77B3E" w:rsidP="005F7EC5">
      <w:pPr>
        <w:spacing w:line="360" w:lineRule="auto"/>
        <w:jc w:val="both"/>
        <w:sectPr w:rsidR="00A77B3E" w:rsidRPr="005F7EC5">
          <w:footerReference w:type="default" r:id="rId7"/>
          <w:pgSz w:w="12240" w:h="15840"/>
          <w:pgMar w:top="1440" w:right="1440" w:bottom="1440" w:left="1440" w:header="720" w:footer="720" w:gutter="0"/>
          <w:cols w:space="720"/>
          <w:docGrid w:linePitch="360"/>
        </w:sectPr>
      </w:pPr>
    </w:p>
    <w:p w14:paraId="35C09F61" w14:textId="77777777" w:rsidR="00A77B3E" w:rsidRPr="005F7EC5" w:rsidRDefault="00FA2DBE" w:rsidP="005F7EC5">
      <w:pPr>
        <w:spacing w:line="360" w:lineRule="auto"/>
        <w:jc w:val="both"/>
      </w:pPr>
      <w:r w:rsidRPr="005F7EC5">
        <w:rPr>
          <w:rFonts w:ascii="Book Antiqua" w:eastAsia="Book Antiqua" w:hAnsi="Book Antiqua" w:cs="Book Antiqua"/>
          <w:b/>
          <w:color w:val="000000"/>
        </w:rPr>
        <w:lastRenderedPageBreak/>
        <w:t>Abstract</w:t>
      </w:r>
    </w:p>
    <w:p w14:paraId="39AF14EB" w14:textId="476B4BA7" w:rsidR="00A77B3E" w:rsidRPr="005F7EC5" w:rsidRDefault="00FA2DBE" w:rsidP="005F7EC5">
      <w:pPr>
        <w:spacing w:line="360" w:lineRule="auto"/>
        <w:jc w:val="both"/>
      </w:pPr>
      <w:bookmarkStart w:id="64" w:name="OLE_LINK98"/>
      <w:bookmarkStart w:id="65" w:name="OLE_LINK99"/>
      <w:r w:rsidRPr="005F7EC5">
        <w:rPr>
          <w:rStyle w:val="translated-span"/>
          <w:rFonts w:ascii="Book Antiqua" w:eastAsia="Book Antiqua" w:hAnsi="Book Antiqua" w:cs="Book Antiqua"/>
          <w:color w:val="000000"/>
        </w:rPr>
        <w:t>Chronic pain lasts for more than 3 mo, and it can last for several months to years and lead to disability. Treating chronic pain safely and effectively is a critical challenge faced by clinicians. Because administration of analgesics through oral, intravenous or intramuscular routes is not satisfactory, research toward percutaneous delivery has gained interest. T</w:t>
      </w:r>
      <w:r w:rsidR="00F0793F">
        <w:rPr>
          <w:rStyle w:val="translated-span"/>
          <w:rFonts w:ascii="Book Antiqua" w:eastAsia="Book Antiqua" w:hAnsi="Book Antiqua" w:cs="Book Antiqua"/>
          <w:color w:val="000000"/>
        </w:rPr>
        <w:t>he t</w:t>
      </w:r>
      <w:r w:rsidRPr="005F7EC5">
        <w:rPr>
          <w:rStyle w:val="translated-span"/>
          <w:rFonts w:ascii="Book Antiqua" w:eastAsia="Book Antiqua" w:hAnsi="Book Antiqua" w:cs="Book Antiqua"/>
          <w:color w:val="000000"/>
        </w:rPr>
        <w:t>ransdermal patch is one such percutaneous delivery</w:t>
      </w:r>
      <w:r w:rsidR="005347D1">
        <w:rPr>
          <w:rStyle w:val="translated-span"/>
          <w:rFonts w:ascii="Book Antiqua" w:eastAsia="Book Antiqua" w:hAnsi="Book Antiqua" w:cs="Book Antiqua"/>
          <w:color w:val="000000"/>
        </w:rPr>
        <w:t xml:space="preserve"> system</w:t>
      </w:r>
      <w:r w:rsidRPr="005F7EC5">
        <w:rPr>
          <w:rStyle w:val="translated-span"/>
          <w:rFonts w:ascii="Book Antiqua" w:eastAsia="Book Antiqua" w:hAnsi="Book Antiqua" w:cs="Book Antiqua"/>
          <w:color w:val="000000"/>
        </w:rPr>
        <w:t xml:space="preserve"> that can deliver drugs through the skin and capillaries at a certain rate to achieve a systemic or local therapeutic effect in the affected area. It has many advantages</w:t>
      </w:r>
      <w:r w:rsidR="00AF6C03">
        <w:rPr>
          <w:rStyle w:val="translated-span"/>
          <w:rFonts w:ascii="Book Antiqua" w:eastAsia="Book Antiqua" w:hAnsi="Book Antiqua" w:cs="Book Antiqua"/>
          <w:color w:val="000000"/>
        </w:rPr>
        <w:t xml:space="preserve"> including</w:t>
      </w:r>
      <w:r w:rsidRPr="005F7EC5">
        <w:rPr>
          <w:rStyle w:val="translated-span"/>
          <w:rFonts w:ascii="Book Antiqua" w:eastAsia="Book Antiqua" w:hAnsi="Book Antiqua" w:cs="Book Antiqua"/>
          <w:color w:val="000000"/>
        </w:rPr>
        <w:t xml:space="preserve"> ease of administration</w:t>
      </w:r>
      <w:r w:rsidR="00AF6C03">
        <w:rPr>
          <w:rStyle w:val="translated-span"/>
          <w:rFonts w:ascii="Book Antiqua" w:eastAsia="Book Antiqua" w:hAnsi="Book Antiqua" w:cs="Book Antiqua"/>
          <w:color w:val="000000"/>
        </w:rPr>
        <w:t xml:space="preserve"> and</w:t>
      </w:r>
      <w:r w:rsidRPr="005F7EC5">
        <w:rPr>
          <w:rStyle w:val="translated-span"/>
          <w:rFonts w:ascii="Book Antiqua" w:eastAsia="Book Antiqua" w:hAnsi="Book Antiqua" w:cs="Book Antiqua"/>
          <w:color w:val="000000"/>
        </w:rPr>
        <w:t xml:space="preserve"> hepatic first pass metabolism</w:t>
      </w:r>
      <w:r w:rsidR="00AF6C03">
        <w:rPr>
          <w:rStyle w:val="translated-span"/>
          <w:rFonts w:ascii="Book Antiqua" w:eastAsia="Book Antiqua" w:hAnsi="Book Antiqua" w:cs="Book Antiqua"/>
          <w:color w:val="000000"/>
        </w:rPr>
        <w:t xml:space="preserve"> avoidance as well as</w:t>
      </w:r>
      <w:r w:rsidRPr="005F7EC5">
        <w:rPr>
          <w:rStyle w:val="translated-span"/>
          <w:rFonts w:ascii="Book Antiqua" w:eastAsia="Book Antiqua" w:hAnsi="Book Antiqua" w:cs="Book Antiqua"/>
          <w:color w:val="000000"/>
        </w:rPr>
        <w:t xml:space="preserve"> controll</w:t>
      </w:r>
      <w:r w:rsidR="005347D1">
        <w:rPr>
          <w:rStyle w:val="translated-span"/>
          <w:rFonts w:ascii="Book Antiqua" w:eastAsia="Book Antiqua" w:hAnsi="Book Antiqua" w:cs="Book Antiqua"/>
          <w:color w:val="000000"/>
        </w:rPr>
        <w:t>ing</w:t>
      </w:r>
      <w:r w:rsidRPr="005F7EC5">
        <w:rPr>
          <w:rStyle w:val="translated-span"/>
          <w:rFonts w:ascii="Book Antiqua" w:eastAsia="Book Antiqua" w:hAnsi="Book Antiqua" w:cs="Book Antiqua"/>
          <w:color w:val="000000"/>
        </w:rPr>
        <w:t xml:space="preserve"> drug delivery</w:t>
      </w:r>
      <w:r w:rsidR="00AF6C03">
        <w:rPr>
          <w:rStyle w:val="translated-span"/>
          <w:rFonts w:ascii="Book Antiqua" w:eastAsia="Book Antiqua" w:hAnsi="Book Antiqua" w:cs="Book Antiqua"/>
          <w:color w:val="000000"/>
        </w:rPr>
        <w:t>, which</w:t>
      </w:r>
      <w:r w:rsidRPr="005F7EC5">
        <w:rPr>
          <w:rStyle w:val="translated-span"/>
          <w:rFonts w:ascii="Book Antiqua" w:eastAsia="Book Antiqua" w:hAnsi="Book Antiqua" w:cs="Book Antiqua"/>
          <w:color w:val="000000"/>
        </w:rPr>
        <w:t xml:space="preserve"> reduc</w:t>
      </w:r>
      <w:r w:rsidR="00AF6C03">
        <w:rPr>
          <w:rStyle w:val="translated-span"/>
          <w:rFonts w:ascii="Book Antiqua" w:eastAsia="Book Antiqua" w:hAnsi="Book Antiqua" w:cs="Book Antiqua"/>
          <w:color w:val="000000"/>
        </w:rPr>
        <w:t>es the</w:t>
      </w:r>
      <w:r w:rsidRPr="005F7EC5">
        <w:rPr>
          <w:rStyle w:val="translated-span"/>
          <w:rFonts w:ascii="Book Antiqua" w:eastAsia="Book Antiqua" w:hAnsi="Book Antiqua" w:cs="Book Antiqua"/>
          <w:color w:val="000000"/>
        </w:rPr>
        <w:t xml:space="preserve"> dos</w:t>
      </w:r>
      <w:r w:rsidR="005347D1">
        <w:rPr>
          <w:rStyle w:val="translated-span"/>
          <w:rFonts w:ascii="Book Antiqua" w:eastAsia="Book Antiqua" w:hAnsi="Book Antiqua" w:cs="Book Antiqua"/>
          <w:color w:val="000000"/>
        </w:rPr>
        <w:t>e</w:t>
      </w:r>
      <w:r w:rsidRPr="005F7EC5">
        <w:rPr>
          <w:rStyle w:val="translated-span"/>
          <w:rFonts w:ascii="Book Antiqua" w:eastAsia="Book Antiqua" w:hAnsi="Book Antiqua" w:cs="Book Antiqua"/>
          <w:color w:val="000000"/>
        </w:rPr>
        <w:t xml:space="preserve"> frequency</w:t>
      </w:r>
      <w:r w:rsidR="005347D1">
        <w:rPr>
          <w:rStyle w:val="translated-span"/>
          <w:rFonts w:ascii="Book Antiqua" w:eastAsia="Book Antiqua" w:hAnsi="Book Antiqua" w:cs="Book Antiqua"/>
          <w:color w:val="000000"/>
        </w:rPr>
        <w:t xml:space="preserve"> and side effects</w:t>
      </w:r>
      <w:r w:rsidR="00AF6C03">
        <w:rPr>
          <w:rStyle w:val="translated-span"/>
          <w:rFonts w:ascii="Book Antiqua" w:eastAsia="Book Antiqua" w:hAnsi="Book Antiqua" w:cs="Book Antiqua"/>
          <w:color w:val="000000"/>
        </w:rPr>
        <w:t>. I</w:t>
      </w:r>
      <w:r w:rsidRPr="005F7EC5">
        <w:rPr>
          <w:rStyle w:val="translated-span"/>
          <w:rFonts w:ascii="Book Antiqua" w:eastAsia="Book Antiqua" w:hAnsi="Book Antiqua" w:cs="Book Antiqua"/>
          <w:color w:val="000000"/>
        </w:rPr>
        <w:t>f not required</w:t>
      </w:r>
      <w:r w:rsidR="00AF6C03">
        <w:rPr>
          <w:rStyle w:val="translated-span"/>
          <w:rFonts w:ascii="Book Antiqua" w:eastAsia="Book Antiqua" w:hAnsi="Book Antiqua" w:cs="Book Antiqua"/>
          <w:color w:val="000000"/>
        </w:rPr>
        <w:t>, then the patch</w:t>
      </w:r>
      <w:r w:rsidRPr="005F7EC5">
        <w:rPr>
          <w:rStyle w:val="translated-span"/>
          <w:rFonts w:ascii="Book Antiqua" w:eastAsia="Book Antiqua" w:hAnsi="Book Antiqua" w:cs="Book Antiqua"/>
          <w:color w:val="000000"/>
        </w:rPr>
        <w:t xml:space="preserve"> can be removed from the skin immediately. </w:t>
      </w:r>
      <w:r w:rsidR="00AF6C03">
        <w:rPr>
          <w:rStyle w:val="translated-span"/>
          <w:rFonts w:ascii="Book Antiqua" w:eastAsia="Book Antiqua" w:hAnsi="Book Antiqua" w:cs="Book Antiqua"/>
          <w:color w:val="000000"/>
        </w:rPr>
        <w:t>The s</w:t>
      </w:r>
      <w:r w:rsidRPr="005F7EC5">
        <w:rPr>
          <w:rStyle w:val="translated-span"/>
          <w:rFonts w:ascii="Book Antiqua" w:eastAsia="Book Antiqua" w:hAnsi="Book Antiqua" w:cs="Book Antiqua"/>
          <w:color w:val="000000"/>
        </w:rPr>
        <w:t>copolamine patch was the first transdermal patch to be approved for the treatment of motion sickness by the Food and Drug Administration in 1979. From then on, the transdermal patch has been widely used to treat many diseases. To date, no guidelines or consensus are available on the use of analgesic drugs through transdermal delivery. The pain branch of the Chinese Medical Association, after meeting and discussing with experts and based on clinical evidence, developed a consensus for promoting and regulating standard use of transdermal patches containing analgesic drugs.</w:t>
      </w:r>
    </w:p>
    <w:bookmarkEnd w:id="64"/>
    <w:bookmarkEnd w:id="65"/>
    <w:p w14:paraId="0CC25C8E" w14:textId="77777777" w:rsidR="00A77B3E" w:rsidRPr="005F7EC5" w:rsidRDefault="00A77B3E" w:rsidP="005F7EC5">
      <w:pPr>
        <w:spacing w:line="360" w:lineRule="auto"/>
        <w:jc w:val="both"/>
      </w:pPr>
    </w:p>
    <w:p w14:paraId="17657D9E"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Key Words: </w:t>
      </w:r>
      <w:bookmarkStart w:id="66" w:name="OLE_LINK94"/>
      <w:bookmarkStart w:id="67" w:name="OLE_LINK95"/>
      <w:bookmarkStart w:id="68" w:name="OLE_LINK85"/>
      <w:bookmarkStart w:id="69" w:name="OLE_LINK86"/>
      <w:r w:rsidR="00FC5EF1" w:rsidRPr="005F7EC5">
        <w:rPr>
          <w:rFonts w:ascii="Book Antiqua" w:hAnsi="Book Antiqua" w:cs="Book Antiqua"/>
          <w:color w:val="000000"/>
          <w:lang w:eastAsia="zh-CN"/>
        </w:rPr>
        <w:t>T</w:t>
      </w:r>
      <w:r w:rsidRPr="005F7EC5">
        <w:rPr>
          <w:rFonts w:ascii="Book Antiqua" w:eastAsia="Book Antiqua" w:hAnsi="Book Antiqua" w:cs="Book Antiqua"/>
          <w:color w:val="000000"/>
        </w:rPr>
        <w:t>ran</w:t>
      </w:r>
      <w:r w:rsidR="00FC5EF1" w:rsidRPr="005F7EC5">
        <w:rPr>
          <w:rFonts w:ascii="Book Antiqua" w:eastAsia="Book Antiqua" w:hAnsi="Book Antiqua" w:cs="Book Antiqua"/>
          <w:color w:val="000000"/>
        </w:rPr>
        <w:t xml:space="preserve">sdermal drug delivery systems; </w:t>
      </w:r>
      <w:r w:rsidR="00FC5EF1" w:rsidRPr="005F7EC5">
        <w:rPr>
          <w:rFonts w:ascii="Book Antiqua" w:hAnsi="Book Antiqua" w:cs="Book Antiqua"/>
          <w:color w:val="000000"/>
          <w:lang w:eastAsia="zh-CN"/>
        </w:rPr>
        <w:t>P</w:t>
      </w:r>
      <w:r w:rsidRPr="005F7EC5">
        <w:rPr>
          <w:rFonts w:ascii="Book Antiqua" w:eastAsia="Book Antiqua" w:hAnsi="Book Antiqua" w:cs="Book Antiqua"/>
          <w:color w:val="000000"/>
        </w:rPr>
        <w:t xml:space="preserve">ain; </w:t>
      </w:r>
      <w:r w:rsidR="00FC5EF1" w:rsidRPr="005F7EC5">
        <w:rPr>
          <w:rFonts w:ascii="Book Antiqua" w:hAnsi="Book Antiqua" w:cs="Book Antiqua"/>
          <w:color w:val="000000"/>
          <w:lang w:eastAsia="zh-CN"/>
        </w:rPr>
        <w:t>T</w:t>
      </w:r>
      <w:r w:rsidR="00FC5EF1" w:rsidRPr="005F7EC5">
        <w:rPr>
          <w:rFonts w:ascii="Book Antiqua" w:eastAsia="Book Antiqua" w:hAnsi="Book Antiqua" w:cs="Book Antiqua"/>
          <w:color w:val="000000"/>
        </w:rPr>
        <w:t xml:space="preserve">ransdermal patches; </w:t>
      </w:r>
      <w:r w:rsidR="00FC5EF1" w:rsidRPr="005F7EC5">
        <w:rPr>
          <w:rFonts w:ascii="Book Antiqua" w:hAnsi="Book Antiqua" w:cs="Book Antiqua"/>
          <w:color w:val="000000"/>
          <w:lang w:eastAsia="zh-CN"/>
        </w:rPr>
        <w:t>T</w:t>
      </w:r>
      <w:r w:rsidR="00FC5EF1" w:rsidRPr="005F7EC5">
        <w:rPr>
          <w:rFonts w:ascii="Book Antiqua" w:eastAsia="Book Antiqua" w:hAnsi="Book Antiqua" w:cs="Book Antiqua"/>
          <w:color w:val="000000"/>
        </w:rPr>
        <w:t xml:space="preserve">opical; </w:t>
      </w:r>
      <w:r w:rsidR="00FC5EF1" w:rsidRPr="005F7EC5">
        <w:rPr>
          <w:rFonts w:ascii="Book Antiqua" w:hAnsi="Book Antiqua" w:cs="Book Antiqua"/>
          <w:color w:val="000000"/>
          <w:lang w:eastAsia="zh-CN"/>
        </w:rPr>
        <w:t>N</w:t>
      </w:r>
      <w:r w:rsidR="00FC5EF1" w:rsidRPr="005F7EC5">
        <w:rPr>
          <w:rFonts w:ascii="Book Antiqua" w:eastAsia="Book Antiqua" w:hAnsi="Book Antiqua" w:cs="Book Antiqua"/>
          <w:color w:val="000000"/>
        </w:rPr>
        <w:t xml:space="preserve">onsteroidal anti-inflammatory drugs; </w:t>
      </w:r>
      <w:r w:rsidR="00FC5EF1" w:rsidRPr="005F7EC5">
        <w:rPr>
          <w:rFonts w:ascii="Book Antiqua" w:hAnsi="Book Antiqua" w:cs="Book Antiqua"/>
          <w:color w:val="000000"/>
          <w:lang w:eastAsia="zh-CN"/>
        </w:rPr>
        <w:t>A</w:t>
      </w:r>
      <w:r w:rsidRPr="005F7EC5">
        <w:rPr>
          <w:rFonts w:ascii="Book Antiqua" w:eastAsia="Book Antiqua" w:hAnsi="Book Antiqua" w:cs="Book Antiqua"/>
          <w:color w:val="000000"/>
        </w:rPr>
        <w:t>nalgesics</w:t>
      </w:r>
      <w:bookmarkEnd w:id="66"/>
      <w:bookmarkEnd w:id="67"/>
    </w:p>
    <w:bookmarkEnd w:id="68"/>
    <w:bookmarkEnd w:id="69"/>
    <w:p w14:paraId="2B90DB8F" w14:textId="77777777" w:rsidR="00A77B3E" w:rsidRPr="005F7EC5" w:rsidRDefault="00A77B3E" w:rsidP="005F7EC5">
      <w:pPr>
        <w:spacing w:line="360" w:lineRule="auto"/>
        <w:jc w:val="both"/>
      </w:pPr>
    </w:p>
    <w:p w14:paraId="6F43C986" w14:textId="15454B6D" w:rsidR="00A77B3E" w:rsidRPr="005F7EC5" w:rsidRDefault="00FA2DBE" w:rsidP="005F7EC5">
      <w:pPr>
        <w:spacing w:line="360" w:lineRule="auto"/>
        <w:jc w:val="both"/>
      </w:pPr>
      <w:r w:rsidRPr="005F7EC5">
        <w:rPr>
          <w:rFonts w:ascii="Book Antiqua" w:eastAsia="Book Antiqua" w:hAnsi="Book Antiqua" w:cs="Book Antiqua"/>
          <w:color w:val="000000"/>
        </w:rPr>
        <w:t xml:space="preserve">Ma K, Wang YX, Wang L, Liu YQ, Lv Y, Liu JF, Liu RG, Liu H, Xiao LZ, Du DP, Lu LJ, Yang XQ, Xia LJ, Huang D, Fu ZJ, Peng BG. Expert consensus of </w:t>
      </w:r>
      <w:r w:rsidR="00AF6C03">
        <w:rPr>
          <w:rFonts w:ascii="Book Antiqua" w:eastAsia="Book Antiqua" w:hAnsi="Book Antiqua" w:cs="Book Antiqua"/>
          <w:color w:val="000000"/>
        </w:rPr>
        <w:t xml:space="preserve">the </w:t>
      </w:r>
      <w:r w:rsidRPr="005F7EC5">
        <w:rPr>
          <w:rFonts w:ascii="Book Antiqua" w:eastAsia="Book Antiqua" w:hAnsi="Book Antiqua" w:cs="Book Antiqua"/>
          <w:color w:val="000000"/>
        </w:rPr>
        <w:t xml:space="preserve">Chinese Association for the Study of Pain on </w:t>
      </w:r>
      <w:r w:rsidR="00665AB7" w:rsidRPr="005F7EC5">
        <w:rPr>
          <w:rFonts w:ascii="Book Antiqua" w:eastAsia="Book Antiqua" w:hAnsi="Book Antiqua" w:cs="Book Antiqua"/>
          <w:color w:val="000000"/>
        </w:rPr>
        <w:t xml:space="preserve">pain treatment with </w:t>
      </w:r>
      <w:r w:rsidR="00AF6C03">
        <w:rPr>
          <w:rFonts w:ascii="Book Antiqua" w:eastAsia="Book Antiqua" w:hAnsi="Book Antiqua" w:cs="Book Antiqua"/>
          <w:color w:val="000000"/>
        </w:rPr>
        <w:t xml:space="preserve">the </w:t>
      </w:r>
      <w:r w:rsidR="00665AB7" w:rsidRPr="005F7EC5">
        <w:rPr>
          <w:rFonts w:ascii="Book Antiqua" w:eastAsia="Book Antiqua" w:hAnsi="Book Antiqua" w:cs="Book Antiqua"/>
          <w:color w:val="000000"/>
        </w:rPr>
        <w:t>transdermal pa</w:t>
      </w:r>
      <w:r w:rsidRPr="005F7EC5">
        <w:rPr>
          <w:rFonts w:ascii="Book Antiqua" w:eastAsia="Book Antiqua" w:hAnsi="Book Antiqua" w:cs="Book Antiqua"/>
          <w:color w:val="000000"/>
        </w:rPr>
        <w:t xml:space="preserve">tch. </w:t>
      </w:r>
      <w:r w:rsidRPr="005F7EC5">
        <w:rPr>
          <w:rFonts w:ascii="Book Antiqua" w:eastAsia="Book Antiqua" w:hAnsi="Book Antiqua" w:cs="Book Antiqua"/>
          <w:i/>
          <w:iCs/>
          <w:color w:val="000000"/>
        </w:rPr>
        <w:t>World J Clin Cases</w:t>
      </w:r>
      <w:r w:rsidRPr="005F7EC5">
        <w:rPr>
          <w:rFonts w:ascii="Book Antiqua" w:eastAsia="Book Antiqua" w:hAnsi="Book Antiqua" w:cs="Book Antiqua"/>
          <w:color w:val="000000"/>
        </w:rPr>
        <w:t xml:space="preserve"> 2021; In press</w:t>
      </w:r>
    </w:p>
    <w:p w14:paraId="16970BF3" w14:textId="77777777" w:rsidR="00A77B3E" w:rsidRPr="005F7EC5" w:rsidRDefault="00A77B3E" w:rsidP="005F7EC5">
      <w:pPr>
        <w:spacing w:line="360" w:lineRule="auto"/>
        <w:jc w:val="both"/>
      </w:pPr>
    </w:p>
    <w:p w14:paraId="3BB21CE7" w14:textId="1E6B6200"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Core Tip: </w:t>
      </w:r>
      <w:bookmarkStart w:id="70" w:name="OLE_LINK87"/>
      <w:bookmarkStart w:id="71" w:name="OLE_LINK88"/>
      <w:bookmarkStart w:id="72" w:name="OLE_LINK96"/>
      <w:bookmarkStart w:id="73" w:name="OLE_LINK97"/>
      <w:r w:rsidRPr="005F7EC5">
        <w:rPr>
          <w:rFonts w:ascii="Book Antiqua" w:eastAsia="Book Antiqua" w:hAnsi="Book Antiqua" w:cs="Book Antiqua"/>
          <w:color w:val="000000"/>
        </w:rPr>
        <w:t>Currently no international guidelines or consensus are available on</w:t>
      </w:r>
      <w:r w:rsidR="00AF6C03">
        <w:rPr>
          <w:rFonts w:ascii="Book Antiqua" w:eastAsia="Book Antiqua" w:hAnsi="Book Antiqua" w:cs="Book Antiqua"/>
          <w:color w:val="000000"/>
        </w:rPr>
        <w:t xml:space="preserve"> the</w:t>
      </w:r>
      <w:r w:rsidRPr="005F7EC5">
        <w:rPr>
          <w:rFonts w:ascii="Book Antiqua" w:eastAsia="Book Antiqua" w:hAnsi="Book Antiqua" w:cs="Book Antiqua"/>
          <w:color w:val="000000"/>
        </w:rPr>
        <w:t xml:space="preserve"> treatment of pain using transdermal patches. With the help of experts and based on recent clinical evidence, the pain branch of the Chinese Medical Association formulated China’s </w:t>
      </w:r>
      <w:r w:rsidRPr="005F7EC5">
        <w:rPr>
          <w:rFonts w:ascii="Book Antiqua" w:eastAsia="Book Antiqua" w:hAnsi="Book Antiqua" w:cs="Book Antiqua"/>
          <w:color w:val="000000"/>
        </w:rPr>
        <w:lastRenderedPageBreak/>
        <w:t>expert consensus on “transdermal pain treatment in China,”</w:t>
      </w:r>
      <w:r w:rsidR="00AF6C03">
        <w:rPr>
          <w:rFonts w:ascii="Book Antiqua" w:eastAsia="Book Antiqua" w:hAnsi="Book Antiqua" w:cs="Book Antiqua"/>
          <w:color w:val="000000"/>
        </w:rPr>
        <w:t xml:space="preserve"> while</w:t>
      </w:r>
      <w:r w:rsidRPr="005F7EC5">
        <w:rPr>
          <w:rFonts w:ascii="Book Antiqua" w:eastAsia="Book Antiqua" w:hAnsi="Book Antiqua" w:cs="Book Antiqua"/>
          <w:color w:val="000000"/>
        </w:rPr>
        <w:t xml:space="preserve"> considering China’s national conditions with a view to regulate and promote the standardized use of </w:t>
      </w:r>
      <w:r w:rsidR="00AF6C03">
        <w:rPr>
          <w:rFonts w:ascii="Book Antiqua" w:eastAsia="Book Antiqua" w:hAnsi="Book Antiqua" w:cs="Book Antiqua"/>
          <w:color w:val="000000"/>
        </w:rPr>
        <w:t xml:space="preserve">the </w:t>
      </w:r>
      <w:r w:rsidRPr="005F7EC5">
        <w:rPr>
          <w:rFonts w:ascii="Book Antiqua" w:eastAsia="Book Antiqua" w:hAnsi="Book Antiqua" w:cs="Book Antiqua"/>
          <w:color w:val="000000"/>
        </w:rPr>
        <w:t>transdermal patch containing analgesic drugs.</w:t>
      </w:r>
      <w:bookmarkEnd w:id="70"/>
      <w:bookmarkEnd w:id="71"/>
    </w:p>
    <w:bookmarkEnd w:id="72"/>
    <w:bookmarkEnd w:id="73"/>
    <w:p w14:paraId="3B0BA987" w14:textId="77777777" w:rsidR="00A77B3E" w:rsidRPr="005F7EC5" w:rsidRDefault="00A77B3E" w:rsidP="005F7EC5">
      <w:pPr>
        <w:spacing w:line="360" w:lineRule="auto"/>
        <w:jc w:val="both"/>
      </w:pPr>
    </w:p>
    <w:p w14:paraId="49737131" w14:textId="77777777" w:rsidR="00A77B3E" w:rsidRPr="005F7EC5" w:rsidRDefault="00CD4A8A" w:rsidP="005F7EC5">
      <w:pPr>
        <w:spacing w:line="360" w:lineRule="auto"/>
        <w:jc w:val="both"/>
      </w:pPr>
      <w:r w:rsidRPr="005F7EC5">
        <w:rPr>
          <w:rFonts w:ascii="Book Antiqua" w:eastAsia="Book Antiqua" w:hAnsi="Book Antiqua" w:cs="Book Antiqua"/>
          <w:b/>
          <w:caps/>
          <w:color w:val="000000"/>
          <w:u w:val="single"/>
        </w:rPr>
        <w:br w:type="page"/>
      </w:r>
      <w:r w:rsidR="00FA2DBE" w:rsidRPr="005F7EC5">
        <w:rPr>
          <w:rFonts w:ascii="Book Antiqua" w:eastAsia="Book Antiqua" w:hAnsi="Book Antiqua" w:cs="Book Antiqua"/>
          <w:b/>
          <w:caps/>
          <w:color w:val="000000"/>
          <w:u w:val="single"/>
        </w:rPr>
        <w:lastRenderedPageBreak/>
        <w:t>INTRODUCTION</w:t>
      </w:r>
    </w:p>
    <w:p w14:paraId="6CCA33C6" w14:textId="69F1153F" w:rsidR="00A77B3E" w:rsidRPr="005F7EC5" w:rsidRDefault="00FA2DBE" w:rsidP="005F7EC5">
      <w:pPr>
        <w:spacing w:line="360" w:lineRule="auto"/>
        <w:jc w:val="both"/>
        <w:rPr>
          <w:lang w:eastAsia="zh-CN"/>
        </w:rPr>
      </w:pPr>
      <w:bookmarkStart w:id="74" w:name="OLE_LINK100"/>
      <w:bookmarkStart w:id="75" w:name="OLE_LINK101"/>
      <w:r w:rsidRPr="005F7EC5">
        <w:rPr>
          <w:rFonts w:ascii="Book Antiqua" w:eastAsia="Book Antiqua" w:hAnsi="Book Antiqua" w:cs="Book Antiqua"/>
          <w:color w:val="000000"/>
        </w:rPr>
        <w:t xml:space="preserve">According to the International Association for the Study on </w:t>
      </w:r>
      <w:r w:rsidRPr="005F7EC5">
        <w:rPr>
          <w:rStyle w:val="translated-span"/>
          <w:rFonts w:ascii="Book Antiqua" w:eastAsia="Book Antiqua" w:hAnsi="Book Antiqua" w:cs="Book Antiqua"/>
          <w:color w:val="000000"/>
        </w:rPr>
        <w:t>Pain, “Pain is an unpleasant sensory and emotional experience associated with actual or potential tissue damage, or described in terms of such damage</w:t>
      </w:r>
      <w:r w:rsidR="00967DC5">
        <w:rPr>
          <w:rStyle w:val="translated-span"/>
          <w:rFonts w:ascii="Book Antiqua" w:eastAsia="Book Antiqua" w:hAnsi="Book Antiqua" w:cs="Book Antiqua"/>
          <w:color w:val="000000"/>
        </w:rPr>
        <w:t>.</w:t>
      </w:r>
      <w:r w:rsidRPr="005F7EC5">
        <w:rPr>
          <w:rStyle w:val="translated-span"/>
          <w:rFonts w:ascii="Book Antiqua" w:eastAsia="Book Antiqua" w:hAnsi="Book Antiqua" w:cs="Book Antiqua"/>
          <w:color w:val="000000"/>
        </w:rPr>
        <w:t>” Chronic pain refers to pain lasting or recurring for more than 3 mo</w:t>
      </w:r>
      <w:r w:rsidR="004D3C94"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w:t>
      </w:r>
      <w:r w:rsidR="004D3C94" w:rsidRPr="005F7EC5">
        <w:rPr>
          <w:rFonts w:ascii="Book Antiqua" w:hAnsi="Book Antiqua" w:cs="Book Antiqua"/>
          <w:color w:val="000000"/>
          <w:vertAlign w:val="superscript"/>
          <w:lang w:eastAsia="zh-CN"/>
        </w:rPr>
        <w:t>]</w:t>
      </w:r>
      <w:r w:rsidR="004D3C94" w:rsidRPr="005F7EC5">
        <w:rPr>
          <w:rFonts w:ascii="Book Antiqua" w:hAnsi="Book Antiqua" w:cs="Book Antiqua"/>
          <w:color w:val="000000"/>
          <w:lang w:eastAsia="zh-CN"/>
        </w:rPr>
        <w:t>.</w:t>
      </w:r>
      <w:r w:rsidR="00967DC5">
        <w:rPr>
          <w:rStyle w:val="translated-span"/>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Chro</w:t>
      </w:r>
      <w:r w:rsidR="004D3C94" w:rsidRPr="005F7EC5">
        <w:rPr>
          <w:rStyle w:val="translated-span"/>
          <w:rFonts w:ascii="Book Antiqua" w:eastAsia="Book Antiqua" w:hAnsi="Book Antiqua" w:cs="Book Antiqua"/>
          <w:color w:val="000000"/>
        </w:rPr>
        <w:t>nic low back pain is one of the</w:t>
      </w:r>
      <w:r w:rsidRPr="005F7EC5">
        <w:rPr>
          <w:rStyle w:val="translated-span"/>
          <w:rFonts w:ascii="Book Antiqua" w:eastAsia="Book Antiqua" w:hAnsi="Book Antiqua" w:cs="Book Antiqua"/>
          <w:color w:val="000000"/>
        </w:rPr>
        <w:t xml:space="preserve"> leading cause</w:t>
      </w:r>
      <w:r w:rsidR="00967DC5">
        <w:rPr>
          <w:rStyle w:val="translated-span"/>
          <w:rFonts w:ascii="Book Antiqua" w:eastAsia="Book Antiqua" w:hAnsi="Book Antiqua" w:cs="Book Antiqua"/>
          <w:color w:val="000000"/>
        </w:rPr>
        <w:t>s</w:t>
      </w:r>
      <w:r w:rsidRPr="005F7EC5">
        <w:rPr>
          <w:rStyle w:val="translated-span"/>
          <w:rFonts w:ascii="Book Antiqua" w:eastAsia="Book Antiqua" w:hAnsi="Book Antiqua" w:cs="Book Antiqua"/>
          <w:color w:val="000000"/>
        </w:rPr>
        <w:t xml:space="preserve"> of disability in</w:t>
      </w:r>
      <w:r w:rsidR="00967DC5">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Chinese population</w:t>
      </w:r>
      <w:r w:rsidR="004D3C94"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2,3</w:t>
      </w:r>
      <w:r w:rsidR="004D3C94" w:rsidRPr="005F7EC5">
        <w:rPr>
          <w:rFonts w:ascii="Book Antiqua" w:hAnsi="Book Antiqua" w:cs="Book Antiqua"/>
          <w:color w:val="000000"/>
          <w:vertAlign w:val="superscript"/>
          <w:lang w:eastAsia="zh-CN"/>
        </w:rPr>
        <w:t>]</w:t>
      </w:r>
      <w:r w:rsidR="004D3C94"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Hence, treating chronic pain safely and effectively is one of the important clinical problems. In recent years, the research and development of new drugs for chronic pain </w:t>
      </w:r>
      <w:r w:rsidRPr="005F7EC5">
        <w:rPr>
          <w:rStyle w:val="translated-span"/>
          <w:rFonts w:ascii="Book Antiqua" w:eastAsia="Book Antiqua" w:hAnsi="Book Antiqua" w:cs="Book Antiqua"/>
          <w:i/>
          <w:iCs/>
          <w:color w:val="000000"/>
        </w:rPr>
        <w:t>via</w:t>
      </w:r>
      <w:r w:rsidRPr="005F7EC5">
        <w:rPr>
          <w:rStyle w:val="translated-span"/>
          <w:rFonts w:ascii="Book Antiqua" w:eastAsia="Book Antiqua" w:hAnsi="Book Antiqua" w:cs="Book Antiqua"/>
          <w:color w:val="000000"/>
        </w:rPr>
        <w:t xml:space="preserve"> oral, intravenous and intramuscular delivery are not satisfactory, but transdermal delivery of analgesic drugs has made great progress</w:t>
      </w:r>
      <w:r w:rsidR="004D3C94"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4</w:t>
      </w:r>
      <w:r w:rsidR="004D3C94" w:rsidRPr="005F7EC5">
        <w:rPr>
          <w:rFonts w:ascii="Book Antiqua" w:hAnsi="Book Antiqua" w:cs="Book Antiqua"/>
          <w:color w:val="000000"/>
          <w:vertAlign w:val="superscript"/>
          <w:lang w:eastAsia="zh-CN"/>
        </w:rPr>
        <w:t>]</w:t>
      </w:r>
      <w:r w:rsidR="004D3C94" w:rsidRPr="005F7EC5">
        <w:rPr>
          <w:rFonts w:ascii="Book Antiqua" w:hAnsi="Book Antiqua" w:cs="Book Antiqua"/>
          <w:color w:val="000000"/>
          <w:lang w:eastAsia="zh-CN"/>
        </w:rPr>
        <w:t>.</w:t>
      </w:r>
    </w:p>
    <w:p w14:paraId="24311E01" w14:textId="502272A9" w:rsidR="00A77B3E" w:rsidRPr="005F7EC5" w:rsidRDefault="00967DC5" w:rsidP="005F7EC5">
      <w:pPr>
        <w:spacing w:line="360" w:lineRule="auto"/>
        <w:ind w:firstLineChars="100" w:firstLine="240"/>
        <w:jc w:val="both"/>
      </w:pPr>
      <w:r>
        <w:rPr>
          <w:rStyle w:val="translated-span"/>
          <w:rFonts w:ascii="Book Antiqua" w:eastAsia="Book Antiqua" w:hAnsi="Book Antiqua" w:cs="Book Antiqua"/>
          <w:color w:val="000000"/>
        </w:rPr>
        <w:t>C</w:t>
      </w:r>
      <w:r w:rsidR="00FA2DBE" w:rsidRPr="005F7EC5">
        <w:rPr>
          <w:rStyle w:val="translated-span"/>
          <w:rFonts w:ascii="Book Antiqua" w:eastAsia="Book Antiqua" w:hAnsi="Book Antiqua" w:cs="Book Antiqua"/>
          <w:color w:val="000000"/>
        </w:rPr>
        <w:t>urrently</w:t>
      </w:r>
      <w:r>
        <w:rPr>
          <w:rStyle w:val="translated-span"/>
          <w:rFonts w:ascii="Book Antiqua" w:eastAsia="Book Antiqua" w:hAnsi="Book Antiqua" w:cs="Book Antiqua"/>
          <w:color w:val="000000"/>
        </w:rPr>
        <w:t>,</w:t>
      </w:r>
      <w:r w:rsidR="00FA2DBE" w:rsidRPr="005F7EC5">
        <w:rPr>
          <w:rStyle w:val="translated-span"/>
          <w:rFonts w:ascii="Book Antiqua" w:eastAsia="Book Antiqua" w:hAnsi="Book Antiqua" w:cs="Book Antiqua"/>
          <w:color w:val="000000"/>
        </w:rPr>
        <w:t xml:space="preserve"> no international guidelines or consensus are available on the use of transdermal analgesic drugs</w:t>
      </w:r>
      <w:r>
        <w:rPr>
          <w:rStyle w:val="translated-span"/>
          <w:rFonts w:ascii="Book Antiqua" w:eastAsia="Book Antiqua" w:hAnsi="Book Antiqua" w:cs="Book Antiqua"/>
          <w:color w:val="000000"/>
        </w:rPr>
        <w:t>. Therefore,</w:t>
      </w:r>
      <w:r w:rsidR="00FA2DBE" w:rsidRPr="005F7EC5">
        <w:rPr>
          <w:rStyle w:val="translated-span"/>
          <w:rFonts w:ascii="Book Antiqua" w:eastAsia="Book Antiqua" w:hAnsi="Book Antiqua" w:cs="Book Antiqua"/>
          <w:color w:val="000000"/>
        </w:rPr>
        <w:t xml:space="preserve"> th</w:t>
      </w:r>
      <w:r>
        <w:rPr>
          <w:rStyle w:val="translated-span"/>
          <w:rFonts w:ascii="Book Antiqua" w:eastAsia="Book Antiqua" w:hAnsi="Book Antiqua" w:cs="Book Antiqua"/>
          <w:color w:val="000000"/>
        </w:rPr>
        <w:t>is</w:t>
      </w:r>
      <w:r w:rsidR="00FA2DBE" w:rsidRPr="005F7EC5">
        <w:rPr>
          <w:rStyle w:val="translated-span"/>
          <w:rFonts w:ascii="Book Antiqua" w:eastAsia="Book Antiqua" w:hAnsi="Book Antiqua" w:cs="Book Antiqua"/>
          <w:color w:val="000000"/>
        </w:rPr>
        <w:t xml:space="preserve"> article summarizes China’s expert consensus on “transdermal pain treatment in China,” with a view to regulate and promote the standardized use of</w:t>
      </w:r>
      <w:r>
        <w:rPr>
          <w:rStyle w:val="translated-span"/>
          <w:rFonts w:ascii="Book Antiqua" w:eastAsia="Book Antiqua" w:hAnsi="Book Antiqua" w:cs="Book Antiqua"/>
          <w:color w:val="000000"/>
        </w:rPr>
        <w:t xml:space="preserve"> the</w:t>
      </w:r>
      <w:r w:rsidR="00FA2DBE" w:rsidRPr="005F7EC5">
        <w:rPr>
          <w:rStyle w:val="translated-span"/>
          <w:rFonts w:ascii="Book Antiqua" w:eastAsia="Book Antiqua" w:hAnsi="Book Antiqua" w:cs="Book Antiqua"/>
          <w:color w:val="000000"/>
        </w:rPr>
        <w:t xml:space="preserve"> transdermal patch containing analgesic drugs. The consensus was formulated by the pain branch of the Chinese Medical Association with the help of experts and using recent clinical evidence.</w:t>
      </w:r>
    </w:p>
    <w:bookmarkEnd w:id="74"/>
    <w:bookmarkEnd w:id="75"/>
    <w:p w14:paraId="0B58D592" w14:textId="77777777" w:rsidR="00A77B3E" w:rsidRPr="005F7EC5" w:rsidRDefault="00A77B3E" w:rsidP="005F7EC5">
      <w:pPr>
        <w:spacing w:line="360" w:lineRule="auto"/>
        <w:ind w:firstLine="420"/>
        <w:jc w:val="both"/>
      </w:pPr>
    </w:p>
    <w:p w14:paraId="6A060745" w14:textId="77777777" w:rsidR="00A77B3E" w:rsidRPr="005F7EC5" w:rsidRDefault="00FA2DBE" w:rsidP="005F7EC5">
      <w:pPr>
        <w:spacing w:line="360" w:lineRule="auto"/>
        <w:jc w:val="both"/>
      </w:pPr>
      <w:bookmarkStart w:id="76" w:name="OLE_LINK102"/>
      <w:bookmarkStart w:id="77" w:name="OLE_LINK103"/>
      <w:r w:rsidRPr="005F7EC5">
        <w:rPr>
          <w:rStyle w:val="translated-span"/>
          <w:rFonts w:ascii="Book Antiqua" w:eastAsia="Book Antiqua" w:hAnsi="Book Antiqua" w:cs="Book Antiqua"/>
          <w:b/>
          <w:bCs/>
          <w:caps/>
          <w:color w:val="000000"/>
          <w:u w:val="single"/>
        </w:rPr>
        <w:t>OVERVIEW OF TRANSDERMAL DRUG DELIVERY SYSTEM</w:t>
      </w:r>
    </w:p>
    <w:p w14:paraId="0451DBFB" w14:textId="2C3F5968" w:rsidR="00A77B3E" w:rsidRPr="005F7EC5" w:rsidRDefault="00FA2DBE" w:rsidP="005F7EC5">
      <w:pPr>
        <w:spacing w:line="360" w:lineRule="auto"/>
        <w:jc w:val="both"/>
      </w:pPr>
      <w:bookmarkStart w:id="78" w:name="OLE_LINK104"/>
      <w:bookmarkStart w:id="79" w:name="OLE_LINK105"/>
      <w:bookmarkEnd w:id="76"/>
      <w:bookmarkEnd w:id="77"/>
      <w:r w:rsidRPr="005F7EC5">
        <w:rPr>
          <w:rStyle w:val="translated-span"/>
          <w:rFonts w:ascii="Book Antiqua" w:eastAsia="Book Antiqua" w:hAnsi="Book Antiqua" w:cs="Book Antiqua"/>
          <w:color w:val="000000"/>
        </w:rPr>
        <w:t xml:space="preserve">In </w:t>
      </w:r>
      <w:r w:rsidR="00967DC5">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transdermal drug delivery system (TDDS), the drug enter</w:t>
      </w:r>
      <w:r w:rsidR="00967DC5">
        <w:rPr>
          <w:rStyle w:val="translated-span"/>
          <w:rFonts w:ascii="Book Antiqua" w:eastAsia="Book Antiqua" w:hAnsi="Book Antiqua" w:cs="Book Antiqua"/>
          <w:color w:val="000000"/>
        </w:rPr>
        <w:t>s</w:t>
      </w:r>
      <w:r w:rsidRPr="005F7EC5">
        <w:rPr>
          <w:rStyle w:val="translated-span"/>
          <w:rFonts w:ascii="Book Antiqua" w:eastAsia="Book Antiqua" w:hAnsi="Book Antiqua" w:cs="Book Antiqua"/>
          <w:color w:val="000000"/>
        </w:rPr>
        <w:t xml:space="preserve"> systemic circulation through the skin and capillaries at a certain rate to achieve a systemic or local therapeutic effect</w:t>
      </w:r>
      <w:r w:rsidR="00573B6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5,6</w:t>
      </w:r>
      <w:r w:rsidR="00573B6B" w:rsidRPr="005F7EC5">
        <w:rPr>
          <w:rFonts w:ascii="Book Antiqua" w:hAnsi="Book Antiqua" w:cs="Book Antiqua"/>
          <w:color w:val="000000"/>
          <w:vertAlign w:val="superscript"/>
          <w:lang w:eastAsia="zh-CN"/>
        </w:rPr>
        <w:t>]</w:t>
      </w:r>
      <w:r w:rsidR="00573B6B"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TDDS in the broad sense includes all topically administered formulations such as ointment, patch, cataplasm, aerosol, coating,</w:t>
      </w:r>
      <w:r w:rsidR="0070190A">
        <w:rPr>
          <w:rStyle w:val="translated-span"/>
          <w:rFonts w:ascii="Book Antiqua" w:eastAsia="Book Antiqua" w:hAnsi="Book Antiqua" w:cs="Book Antiqua"/>
          <w:color w:val="000000"/>
        </w:rPr>
        <w:t xml:space="preserve"> </w:t>
      </w:r>
      <w:r w:rsidR="0070190A">
        <w:rPr>
          <w:rStyle w:val="translated-span"/>
          <w:rFonts w:ascii="Book Antiqua" w:eastAsia="Book Antiqua" w:hAnsi="Book Antiqua" w:cs="Book Antiqua"/>
          <w:i/>
          <w:iCs/>
          <w:color w:val="000000"/>
        </w:rPr>
        <w:t>etc.</w:t>
      </w:r>
      <w:r w:rsidRPr="005F7EC5">
        <w:rPr>
          <w:rStyle w:val="translated-span"/>
          <w:rFonts w:ascii="Book Antiqua" w:eastAsia="Book Antiqua" w:hAnsi="Book Antiqua" w:cs="Book Antiqua"/>
          <w:color w:val="000000"/>
        </w:rPr>
        <w:t xml:space="preserve">, whereas TDDS in the narrow sense refers to </w:t>
      </w:r>
      <w:r w:rsidR="0070190A">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transdermal patch</w:t>
      </w:r>
      <w:r w:rsidR="00573B6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7</w:t>
      </w:r>
      <w:r w:rsidR="00573B6B" w:rsidRPr="005F7EC5">
        <w:rPr>
          <w:rFonts w:ascii="Book Antiqua" w:hAnsi="Book Antiqua" w:cs="Book Antiqua"/>
          <w:color w:val="000000"/>
          <w:vertAlign w:val="superscript"/>
          <w:lang w:eastAsia="zh-CN"/>
        </w:rPr>
        <w:t>]</w:t>
      </w:r>
      <w:r w:rsidR="00573B6B"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The history of transdermal drug delivery dates back thousands of years. In ancient China, leaves and grass stalks were used to smear the skin and wounds. More than 1500 prescriptions are available in the treatise on external treatment of emergency Guangsheng in </w:t>
      </w:r>
      <w:r w:rsidR="0070190A">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Ming and Qing dynasties</w:t>
      </w:r>
      <w:r w:rsidR="00573B6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8</w:t>
      </w:r>
      <w:r w:rsidR="00573B6B" w:rsidRPr="005F7EC5">
        <w:rPr>
          <w:rFonts w:ascii="Book Antiqua" w:hAnsi="Book Antiqua" w:cs="Book Antiqua"/>
          <w:color w:val="000000"/>
          <w:vertAlign w:val="superscript"/>
          <w:lang w:eastAsia="zh-CN"/>
        </w:rPr>
        <w:t>]</w:t>
      </w:r>
      <w:r w:rsidR="00573B6B" w:rsidRPr="005F7EC5">
        <w:rPr>
          <w:rFonts w:ascii="Book Antiqua" w:hAnsi="Book Antiqua" w:cs="Book Antiqua"/>
          <w:color w:val="000000"/>
          <w:lang w:eastAsia="zh-CN"/>
        </w:rPr>
        <w:t>.</w:t>
      </w:r>
      <w:r w:rsidRPr="005F7EC5">
        <w:rPr>
          <w:rStyle w:val="translated-span"/>
          <w:rFonts w:ascii="Book Antiqua" w:hAnsi="Book Antiqua" w:cs="Book Antiqua"/>
          <w:color w:val="000000"/>
          <w:lang w:eastAsia="zh-CN"/>
        </w:rPr>
        <w:t xml:space="preserve"> </w:t>
      </w:r>
      <w:r w:rsidRPr="005F7EC5">
        <w:rPr>
          <w:rStyle w:val="translated-span"/>
          <w:rFonts w:ascii="Book Antiqua" w:eastAsia="Book Antiqua" w:hAnsi="Book Antiqua" w:cs="Book Antiqua"/>
          <w:color w:val="000000"/>
        </w:rPr>
        <w:t xml:space="preserve">In the modern era, </w:t>
      </w:r>
      <w:r w:rsidR="0070190A">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 xml:space="preserve">scopolamine patch </w:t>
      </w:r>
      <w:r w:rsidR="0070190A">
        <w:rPr>
          <w:rStyle w:val="translated-span"/>
          <w:rFonts w:ascii="Book Antiqua" w:eastAsia="Book Antiqua" w:hAnsi="Book Antiqua" w:cs="Book Antiqua"/>
          <w:color w:val="000000"/>
        </w:rPr>
        <w:t xml:space="preserve">for </w:t>
      </w:r>
      <w:r w:rsidRPr="005F7EC5">
        <w:rPr>
          <w:rStyle w:val="translated-span"/>
          <w:rFonts w:ascii="Book Antiqua" w:eastAsia="Book Antiqua" w:hAnsi="Book Antiqua" w:cs="Book Antiqua"/>
          <w:color w:val="000000"/>
        </w:rPr>
        <w:t>the treatment of motion sickness was the first transdermal patch to be approved by the Food and Drug Administration (FDA) in 1979. From then on, the transdermal patch has been widely used to treat many diseases</w:t>
      </w:r>
      <w:r w:rsidR="00573B6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9</w:t>
      </w:r>
      <w:r w:rsidR="00573B6B" w:rsidRPr="005F7EC5">
        <w:rPr>
          <w:rFonts w:ascii="Book Antiqua" w:hAnsi="Book Antiqua" w:cs="Book Antiqua"/>
          <w:color w:val="000000"/>
          <w:vertAlign w:val="superscript"/>
          <w:lang w:eastAsia="zh-CN"/>
        </w:rPr>
        <w:t>]</w:t>
      </w:r>
      <w:r w:rsidR="00573B6B" w:rsidRPr="005F7EC5">
        <w:rPr>
          <w:rFonts w:ascii="Book Antiqua" w:hAnsi="Book Antiqua" w:cs="Book Antiqua"/>
          <w:color w:val="000000"/>
          <w:lang w:eastAsia="zh-CN"/>
        </w:rPr>
        <w:t>.</w:t>
      </w:r>
      <w:r w:rsidRPr="005F7EC5">
        <w:rPr>
          <w:rFonts w:ascii="Book Antiqua" w:eastAsia="Book Antiqua" w:hAnsi="Book Antiqua" w:cs="Book Antiqua"/>
          <w:color w:val="000000"/>
          <w:vertAlign w:val="superscript"/>
        </w:rPr>
        <w:t xml:space="preserve"> </w:t>
      </w:r>
    </w:p>
    <w:bookmarkEnd w:id="78"/>
    <w:bookmarkEnd w:id="79"/>
    <w:p w14:paraId="5370CD9A" w14:textId="77777777" w:rsidR="00A77B3E" w:rsidRPr="005F7EC5" w:rsidRDefault="00A77B3E" w:rsidP="005F7EC5">
      <w:pPr>
        <w:spacing w:line="360" w:lineRule="auto"/>
        <w:ind w:firstLine="420"/>
        <w:jc w:val="both"/>
      </w:pPr>
    </w:p>
    <w:p w14:paraId="298C673C" w14:textId="77777777" w:rsidR="00A77B3E" w:rsidRPr="005F7EC5" w:rsidRDefault="00FA2DBE" w:rsidP="005F7EC5">
      <w:pPr>
        <w:spacing w:line="360" w:lineRule="auto"/>
        <w:jc w:val="both"/>
      </w:pPr>
      <w:bookmarkStart w:id="80" w:name="OLE_LINK106"/>
      <w:bookmarkStart w:id="81" w:name="OLE_LINK107"/>
      <w:r w:rsidRPr="005F7EC5">
        <w:rPr>
          <w:rStyle w:val="translated-span"/>
          <w:rFonts w:ascii="Book Antiqua" w:eastAsia="Book Antiqua" w:hAnsi="Book Antiqua" w:cs="Book Antiqua"/>
          <w:b/>
          <w:bCs/>
          <w:caps/>
          <w:color w:val="000000"/>
          <w:u w:val="single"/>
        </w:rPr>
        <w:t>CLINICAL CHARACTERISTICS OF TDDS</w:t>
      </w:r>
    </w:p>
    <w:p w14:paraId="0A613DEB" w14:textId="77777777" w:rsidR="00A77B3E" w:rsidRPr="005F7EC5" w:rsidRDefault="00FA2DBE" w:rsidP="005F7EC5">
      <w:pPr>
        <w:spacing w:line="360" w:lineRule="auto"/>
        <w:jc w:val="both"/>
      </w:pPr>
      <w:bookmarkStart w:id="82" w:name="OLE_LINK108"/>
      <w:bookmarkStart w:id="83" w:name="OLE_LINK109"/>
      <w:bookmarkEnd w:id="80"/>
      <w:bookmarkEnd w:id="81"/>
      <w:r w:rsidRPr="005F7EC5">
        <w:rPr>
          <w:rStyle w:val="translated-span"/>
          <w:rFonts w:ascii="Book Antiqua" w:eastAsia="Book Antiqua" w:hAnsi="Book Antiqua" w:cs="Book Antiqua"/>
          <w:b/>
          <w:bCs/>
          <w:i/>
          <w:iCs/>
          <w:color w:val="000000"/>
        </w:rPr>
        <w:lastRenderedPageBreak/>
        <w:t>Advantages of TDDS</w:t>
      </w:r>
    </w:p>
    <w:p w14:paraId="4F912109" w14:textId="77777777" w:rsidR="00A77B3E" w:rsidRPr="005F7EC5" w:rsidRDefault="00FA2DBE" w:rsidP="005F7EC5">
      <w:pPr>
        <w:spacing w:line="360" w:lineRule="auto"/>
        <w:jc w:val="both"/>
        <w:rPr>
          <w:lang w:eastAsia="zh-CN"/>
        </w:rPr>
      </w:pPr>
      <w:r w:rsidRPr="005F7EC5">
        <w:rPr>
          <w:rStyle w:val="translated-span"/>
          <w:rFonts w:ascii="Book Antiqua" w:eastAsia="Book Antiqua" w:hAnsi="Book Antiqua" w:cs="Book Antiqua"/>
          <w:color w:val="000000"/>
        </w:rPr>
        <w:t>Compared with other routes of administration, transdermal administration has many advantages, as summarized in Table 1</w:t>
      </w:r>
      <w:r w:rsidR="009210B3"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10,11</w:t>
      </w:r>
      <w:r w:rsidR="009210B3" w:rsidRPr="005F7EC5">
        <w:rPr>
          <w:rFonts w:ascii="Book Antiqua" w:hAnsi="Book Antiqua" w:cs="Book Antiqua"/>
          <w:color w:val="000000"/>
          <w:vertAlign w:val="superscript"/>
          <w:lang w:eastAsia="zh-CN"/>
        </w:rPr>
        <w:t>]</w:t>
      </w:r>
      <w:r w:rsidR="009210B3" w:rsidRPr="005F7EC5">
        <w:rPr>
          <w:rFonts w:ascii="Book Antiqua" w:hAnsi="Book Antiqua" w:cs="Book Antiqua"/>
          <w:color w:val="000000"/>
          <w:lang w:eastAsia="zh-CN"/>
        </w:rPr>
        <w:t>.</w:t>
      </w:r>
    </w:p>
    <w:p w14:paraId="0DAD26BF" w14:textId="77777777" w:rsidR="009210B3" w:rsidRPr="005F7EC5" w:rsidRDefault="009210B3" w:rsidP="005F7EC5">
      <w:pPr>
        <w:spacing w:line="360" w:lineRule="auto"/>
        <w:jc w:val="both"/>
        <w:rPr>
          <w:rStyle w:val="translated-span"/>
          <w:rFonts w:ascii="Book Antiqua" w:hAnsi="Book Antiqua" w:cs="Book Antiqua"/>
          <w:b/>
          <w:bCs/>
          <w:i/>
          <w:iCs/>
          <w:color w:val="000000"/>
          <w:lang w:eastAsia="zh-CN"/>
        </w:rPr>
      </w:pPr>
    </w:p>
    <w:p w14:paraId="46B42402" w14:textId="4A3B4363" w:rsidR="00A77B3E" w:rsidRPr="005F7EC5" w:rsidRDefault="00FA2DBE" w:rsidP="005F7EC5">
      <w:pPr>
        <w:spacing w:line="360" w:lineRule="auto"/>
        <w:jc w:val="both"/>
      </w:pPr>
      <w:r w:rsidRPr="005F7EC5">
        <w:rPr>
          <w:rStyle w:val="translated-span"/>
          <w:rFonts w:ascii="Book Antiqua" w:eastAsia="Book Antiqua" w:hAnsi="Book Antiqua" w:cs="Book Antiqua"/>
          <w:b/>
          <w:bCs/>
          <w:i/>
          <w:iCs/>
          <w:color w:val="000000"/>
        </w:rPr>
        <w:t>Absorption a</w:t>
      </w:r>
      <w:r w:rsidR="009210B3" w:rsidRPr="005F7EC5">
        <w:rPr>
          <w:rStyle w:val="translated-span"/>
          <w:rFonts w:ascii="Book Antiqua" w:eastAsia="Book Antiqua" w:hAnsi="Book Antiqua" w:cs="Book Antiqua"/>
          <w:b/>
          <w:bCs/>
          <w:i/>
          <w:iCs/>
          <w:color w:val="000000"/>
        </w:rPr>
        <w:t xml:space="preserve">nd factors influencing </w:t>
      </w:r>
      <w:r w:rsidR="00AC37D6">
        <w:rPr>
          <w:rStyle w:val="translated-span"/>
          <w:rFonts w:ascii="Book Antiqua" w:eastAsia="Book Antiqua" w:hAnsi="Book Antiqua" w:cs="Book Antiqua"/>
          <w:b/>
          <w:bCs/>
          <w:i/>
          <w:iCs/>
          <w:color w:val="000000"/>
        </w:rPr>
        <w:t xml:space="preserve">skin </w:t>
      </w:r>
      <w:r w:rsidR="009210B3" w:rsidRPr="005F7EC5">
        <w:rPr>
          <w:rStyle w:val="translated-span"/>
          <w:rFonts w:ascii="Book Antiqua" w:eastAsia="Book Antiqua" w:hAnsi="Book Antiqua" w:cs="Book Antiqua"/>
          <w:b/>
          <w:bCs/>
          <w:i/>
          <w:iCs/>
          <w:color w:val="000000"/>
        </w:rPr>
        <w:t>absorption</w:t>
      </w:r>
    </w:p>
    <w:p w14:paraId="07D64A87" w14:textId="1749B1F7" w:rsidR="00A77B3E" w:rsidRPr="005F7EC5" w:rsidRDefault="00FA2DBE" w:rsidP="005F7EC5">
      <w:pPr>
        <w:spacing w:line="360" w:lineRule="auto"/>
        <w:jc w:val="both"/>
      </w:pPr>
      <w:r w:rsidRPr="005F7EC5">
        <w:rPr>
          <w:rStyle w:val="translated-span"/>
          <w:rFonts w:ascii="Book Antiqua" w:eastAsia="Book Antiqua" w:hAnsi="Book Antiqua" w:cs="Book Antiqua"/>
          <w:color w:val="000000"/>
        </w:rPr>
        <w:t xml:space="preserve">Traditionally, transdermal drugs are absorbed by passive diffusion. The stratum corneum, the outermost layer of the skin, is the main rate-limiting barrier for transdermal drug transport. Factors affecting transdermal absorption include physicochemical properties (molecular weight, solubility, partition coefficient and dissociation constant, </w:t>
      </w:r>
      <w:bookmarkStart w:id="84" w:name="OLE_LINK24"/>
      <w:r w:rsidRPr="005F7EC5">
        <w:rPr>
          <w:rStyle w:val="translated-span"/>
          <w:rFonts w:ascii="Book Antiqua" w:eastAsia="Book Antiqua" w:hAnsi="Book Antiqua" w:cs="Book Antiqua"/>
          <w:color w:val="000000"/>
        </w:rPr>
        <w:t>PKA</w:t>
      </w:r>
      <w:bookmarkEnd w:id="84"/>
      <w:r w:rsidRPr="005F7EC5">
        <w:rPr>
          <w:rStyle w:val="translated-span"/>
          <w:rFonts w:ascii="Book Antiqua" w:eastAsia="Book Antiqua" w:hAnsi="Book Antiqua" w:cs="Book Antiqua"/>
          <w:color w:val="000000"/>
        </w:rPr>
        <w:t>), carrier properties and skin conditions (Table 2)</w:t>
      </w:r>
      <w:r w:rsidR="00B250A8"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10,12</w:t>
      </w:r>
      <w:r w:rsidR="00B250A8" w:rsidRPr="005F7EC5">
        <w:rPr>
          <w:rFonts w:ascii="Book Antiqua" w:hAnsi="Book Antiqua" w:cs="Book Antiqua"/>
          <w:color w:val="000000"/>
          <w:vertAlign w:val="superscript"/>
          <w:lang w:eastAsia="zh-CN"/>
        </w:rPr>
        <w:t>]</w:t>
      </w:r>
      <w:r w:rsidR="00B250A8"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The rate and extent of drug absorption through skin can be calculated using the following formula</w:t>
      </w:r>
      <w:r w:rsidR="005A27C5" w:rsidRPr="005F7EC5">
        <w:rPr>
          <w:rStyle w:val="translated-span"/>
          <w:rFonts w:ascii="Book Antiqua" w:eastAsia="Book Antiqua" w:hAnsi="Book Antiqua" w:cs="Book Antiqua"/>
          <w:color w:val="000000"/>
        </w:rPr>
        <w:t>:</w:t>
      </w:r>
    </w:p>
    <w:p w14:paraId="42F5E2CD" w14:textId="77777777" w:rsidR="00A77B3E" w:rsidRPr="005F7EC5" w:rsidRDefault="00FA2DBE" w:rsidP="005F7EC5">
      <w:pPr>
        <w:spacing w:line="360" w:lineRule="auto"/>
        <w:ind w:firstLineChars="100" w:firstLine="240"/>
        <w:jc w:val="both"/>
        <w:rPr>
          <w:rFonts w:ascii="Book Antiqua" w:hAnsi="Book Antiqua"/>
        </w:rPr>
      </w:pPr>
      <w:r w:rsidRPr="005F7EC5">
        <w:rPr>
          <w:rStyle w:val="translated-span"/>
          <w:rFonts w:ascii="Book Antiqua" w:eastAsia="Book Antiqua" w:hAnsi="Book Antiqua" w:cs="Book Antiqua"/>
          <w:color w:val="000000"/>
        </w:rPr>
        <w:t xml:space="preserve">Log </w:t>
      </w:r>
      <w:r w:rsidRPr="005F7EC5">
        <w:rPr>
          <w:rStyle w:val="translated-span"/>
          <w:rFonts w:ascii="Book Antiqua" w:eastAsia="Book Antiqua" w:hAnsi="Book Antiqua" w:cs="Book Antiqua"/>
          <w:i/>
          <w:iCs/>
          <w:color w:val="000000"/>
        </w:rPr>
        <w:t>P</w:t>
      </w:r>
      <w:r w:rsidRPr="005F7EC5">
        <w:rPr>
          <w:rStyle w:val="translated-span"/>
          <w:rFonts w:ascii="Book Antiqua" w:eastAsia="Book Antiqua" w:hAnsi="Book Antiqua" w:cs="Book Antiqua"/>
          <w:color w:val="000000"/>
        </w:rPr>
        <w:t xml:space="preserve"> = −2.7 + 0.71 </w:t>
      </w:r>
      <w:r w:rsidR="00B250A8" w:rsidRPr="005F7EC5">
        <w:rPr>
          <w:rStyle w:val="translated-span"/>
          <w:rFonts w:ascii="Book Antiqua" w:eastAsia="Book Antiqua" w:hAnsi="Book Antiqua"/>
          <w:color w:val="000000"/>
        </w:rPr>
        <w:t>×</w:t>
      </w:r>
      <w:r w:rsidR="00B250A8" w:rsidRPr="005F7EC5">
        <w:rPr>
          <w:rStyle w:val="translated-span"/>
          <w:rFonts w:ascii="Book Antiqua" w:hAnsi="Book Antiqua" w:cs="Book Antiqua"/>
          <w:color w:val="000000"/>
          <w:lang w:eastAsia="zh-CN"/>
        </w:rPr>
        <w:t xml:space="preserve"> </w:t>
      </w:r>
      <w:r w:rsidRPr="005F7EC5">
        <w:rPr>
          <w:rStyle w:val="translated-span"/>
          <w:rFonts w:ascii="Book Antiqua" w:eastAsia="Book Antiqua" w:hAnsi="Book Antiqua" w:cs="Book Antiqua"/>
          <w:color w:val="000000"/>
        </w:rPr>
        <w:t>log Ko/w −</w:t>
      </w:r>
      <w:r w:rsidR="00B250A8" w:rsidRPr="005F7EC5">
        <w:rPr>
          <w:rStyle w:val="translated-span"/>
          <w:rFonts w:ascii="Book Antiqua" w:hAnsi="Book Antiqua" w:cs="Book Antiqua"/>
          <w:color w:val="000000"/>
          <w:lang w:eastAsia="zh-CN"/>
        </w:rPr>
        <w:t xml:space="preserve"> </w:t>
      </w:r>
      <w:r w:rsidRPr="005F7EC5">
        <w:rPr>
          <w:rStyle w:val="translated-span"/>
          <w:rFonts w:ascii="Book Antiqua" w:eastAsia="Book Antiqua" w:hAnsi="Book Antiqua" w:cs="Book Antiqua"/>
          <w:color w:val="000000"/>
        </w:rPr>
        <w:t xml:space="preserve">0.0061 </w:t>
      </w:r>
      <w:bookmarkStart w:id="85" w:name="OLE_LINK25"/>
      <w:r w:rsidR="00B250A8" w:rsidRPr="005F7EC5">
        <w:rPr>
          <w:rStyle w:val="translated-span"/>
          <w:rFonts w:ascii="Book Antiqua" w:eastAsia="Book Antiqua" w:hAnsi="Book Antiqua"/>
          <w:color w:val="000000"/>
        </w:rPr>
        <w:t>×</w:t>
      </w:r>
      <w:r w:rsidR="00B250A8" w:rsidRPr="005F7EC5">
        <w:rPr>
          <w:rStyle w:val="translated-span"/>
          <w:rFonts w:ascii="Book Antiqua" w:hAnsi="Book Antiqua" w:cs="Book Antiqua"/>
          <w:color w:val="000000"/>
          <w:lang w:eastAsia="zh-CN"/>
        </w:rPr>
        <w:t xml:space="preserve"> </w:t>
      </w:r>
      <w:bookmarkEnd w:id="85"/>
      <w:r w:rsidRPr="005F7EC5">
        <w:rPr>
          <w:rStyle w:val="translated-span"/>
          <w:rFonts w:ascii="Book Antiqua" w:eastAsia="Book Antiqua" w:hAnsi="Book Antiqua" w:cs="Book Antiqua"/>
          <w:color w:val="000000"/>
        </w:rPr>
        <w:t xml:space="preserve">M </w:t>
      </w:r>
    </w:p>
    <w:p w14:paraId="6E0AB06E" w14:textId="013D1A04"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Where, Ko/w = oil-water partition coefficient</w:t>
      </w:r>
      <w:r w:rsidR="00AC37D6">
        <w:rPr>
          <w:rStyle w:val="translated-span"/>
          <w:rFonts w:ascii="Book Antiqua" w:eastAsia="Book Antiqua" w:hAnsi="Book Antiqua" w:cs="Book Antiqua"/>
          <w:color w:val="000000"/>
        </w:rPr>
        <w:t xml:space="preserve"> and</w:t>
      </w:r>
      <w:r w:rsidRPr="005F7EC5">
        <w:rPr>
          <w:rStyle w:val="translated-span"/>
          <w:rFonts w:ascii="Book Antiqua" w:eastAsia="Book Antiqua" w:hAnsi="Book Antiqua" w:cs="Book Antiqua"/>
          <w:color w:val="000000"/>
        </w:rPr>
        <w:t xml:space="preserve"> M = molecular weight</w:t>
      </w:r>
      <w:r w:rsidR="00B250A8"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9</w:t>
      </w:r>
      <w:r w:rsidR="005A27C5" w:rsidRPr="005F7EC5">
        <w:rPr>
          <w:rFonts w:ascii="Book Antiqua" w:eastAsia="Book Antiqua" w:hAnsi="Book Antiqua" w:cs="Book Antiqua"/>
          <w:color w:val="000000"/>
          <w:vertAlign w:val="superscript"/>
        </w:rPr>
        <w:t>-</w:t>
      </w:r>
      <w:r w:rsidRPr="005F7EC5">
        <w:rPr>
          <w:rFonts w:ascii="Book Antiqua" w:eastAsia="Book Antiqua" w:hAnsi="Book Antiqua" w:cs="Book Antiqua"/>
          <w:color w:val="000000"/>
          <w:vertAlign w:val="superscript"/>
        </w:rPr>
        <w:t>11</w:t>
      </w:r>
      <w:r w:rsidR="00B250A8" w:rsidRPr="005F7EC5">
        <w:rPr>
          <w:rFonts w:ascii="Book Antiqua" w:hAnsi="Book Antiqua" w:cs="Book Antiqua"/>
          <w:color w:val="000000"/>
          <w:vertAlign w:val="superscript"/>
          <w:lang w:eastAsia="zh-CN"/>
        </w:rPr>
        <w:t>]</w:t>
      </w:r>
      <w:r w:rsidR="00B250A8" w:rsidRPr="005F7EC5">
        <w:rPr>
          <w:rFonts w:ascii="Book Antiqua" w:hAnsi="Book Antiqua" w:cs="Book Antiqua"/>
          <w:color w:val="000000"/>
          <w:lang w:eastAsia="zh-CN"/>
        </w:rPr>
        <w:t>.</w:t>
      </w:r>
    </w:p>
    <w:p w14:paraId="2B1F639F" w14:textId="77777777" w:rsidR="00B250A8" w:rsidRPr="005F7EC5" w:rsidRDefault="00B250A8" w:rsidP="005F7EC5">
      <w:pPr>
        <w:spacing w:line="360" w:lineRule="auto"/>
        <w:jc w:val="both"/>
        <w:rPr>
          <w:rStyle w:val="translated-span"/>
          <w:rFonts w:ascii="Book Antiqua" w:hAnsi="Book Antiqua" w:cs="Book Antiqua"/>
          <w:b/>
          <w:bCs/>
          <w:i/>
          <w:iCs/>
          <w:color w:val="000000"/>
          <w:lang w:eastAsia="zh-CN"/>
        </w:rPr>
      </w:pPr>
    </w:p>
    <w:p w14:paraId="6E3DA7BF" w14:textId="77777777" w:rsidR="00A77B3E" w:rsidRPr="005F7EC5" w:rsidRDefault="00FA2DBE" w:rsidP="005F7EC5">
      <w:pPr>
        <w:spacing w:line="360" w:lineRule="auto"/>
        <w:jc w:val="both"/>
      </w:pPr>
      <w:r w:rsidRPr="005F7EC5">
        <w:rPr>
          <w:rStyle w:val="translated-span"/>
          <w:rFonts w:ascii="Book Antiqua" w:eastAsia="Book Antiqua" w:hAnsi="Book Antiqua" w:cs="Book Antiqua"/>
          <w:b/>
          <w:bCs/>
          <w:i/>
          <w:iCs/>
          <w:color w:val="000000"/>
        </w:rPr>
        <w:t xml:space="preserve">Systemic and </w:t>
      </w:r>
      <w:r w:rsidR="00B250A8" w:rsidRPr="005F7EC5">
        <w:rPr>
          <w:rStyle w:val="translated-span"/>
          <w:rFonts w:ascii="Book Antiqua" w:eastAsia="Book Antiqua" w:hAnsi="Book Antiqua" w:cs="Book Antiqua"/>
          <w:b/>
          <w:bCs/>
          <w:i/>
          <w:iCs/>
          <w:color w:val="000000"/>
        </w:rPr>
        <w:t>local effe</w:t>
      </w:r>
      <w:r w:rsidRPr="005F7EC5">
        <w:rPr>
          <w:rStyle w:val="translated-span"/>
          <w:rFonts w:ascii="Book Antiqua" w:eastAsia="Book Antiqua" w:hAnsi="Book Antiqua" w:cs="Book Antiqua"/>
          <w:b/>
          <w:bCs/>
          <w:i/>
          <w:iCs/>
          <w:color w:val="000000"/>
        </w:rPr>
        <w:t>cts of TDDS</w:t>
      </w:r>
    </w:p>
    <w:p w14:paraId="4E59342F" w14:textId="616D59AB" w:rsidR="00A77B3E" w:rsidRPr="005F7EC5" w:rsidRDefault="00FA2DBE" w:rsidP="005F7EC5">
      <w:pPr>
        <w:spacing w:line="360" w:lineRule="auto"/>
        <w:jc w:val="both"/>
        <w:rPr>
          <w:lang w:eastAsia="zh-CN"/>
        </w:rPr>
      </w:pPr>
      <w:r w:rsidRPr="005F7EC5">
        <w:rPr>
          <w:rStyle w:val="translated-span"/>
          <w:rFonts w:ascii="Book Antiqua" w:eastAsia="Book Antiqua" w:hAnsi="Book Antiqua" w:cs="Book Antiqua"/>
          <w:color w:val="000000"/>
        </w:rPr>
        <w:t>In TDDS for systemic delivery, the drug from TDDS gets transported to the subcutaneous capillaries through the skin without accumulating in the dermis. Once the drug reaches systemic circulation, it exhibits its therapeutic action. Examples of such TDDS include fentanyl transdermal patch, buprenorphine transdermal patch</w:t>
      </w:r>
      <w:r w:rsidR="00CD3EA5">
        <w:rPr>
          <w:rStyle w:val="translated-span"/>
          <w:rFonts w:ascii="Book Antiqua" w:eastAsia="Book Antiqua" w:hAnsi="Book Antiqua" w:cs="Book Antiqua"/>
          <w:color w:val="000000"/>
        </w:rPr>
        <w:t xml:space="preserve"> and</w:t>
      </w:r>
      <w:r w:rsidRPr="005F7EC5">
        <w:rPr>
          <w:rStyle w:val="translated-span"/>
          <w:rFonts w:ascii="Book Antiqua" w:eastAsia="Book Antiqua" w:hAnsi="Book Antiqua" w:cs="Book Antiqua"/>
          <w:color w:val="000000"/>
        </w:rPr>
        <w:t xml:space="preserve"> scopolamine transdermal patch</w:t>
      </w:r>
      <w:r w:rsidR="00F87640"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10,13</w:t>
      </w:r>
      <w:r w:rsidR="00F87640" w:rsidRPr="005F7EC5">
        <w:rPr>
          <w:rFonts w:ascii="Book Antiqua" w:hAnsi="Book Antiqua" w:cs="Book Antiqua"/>
          <w:color w:val="000000"/>
          <w:vertAlign w:val="superscript"/>
          <w:lang w:eastAsia="zh-CN"/>
        </w:rPr>
        <w:t>]</w:t>
      </w:r>
      <w:r w:rsidR="00F87640" w:rsidRPr="005F7EC5">
        <w:rPr>
          <w:rFonts w:ascii="Book Antiqua" w:hAnsi="Book Antiqua" w:cs="Book Antiqua"/>
          <w:color w:val="000000"/>
          <w:lang w:eastAsia="zh-CN"/>
        </w:rPr>
        <w:t>.</w:t>
      </w:r>
    </w:p>
    <w:p w14:paraId="4F33DB32" w14:textId="53841D88" w:rsidR="00A77B3E" w:rsidRPr="005F7EC5" w:rsidRDefault="00FA2DBE" w:rsidP="005F7EC5">
      <w:pPr>
        <w:spacing w:line="360" w:lineRule="auto"/>
        <w:ind w:firstLineChars="100" w:firstLine="240"/>
        <w:jc w:val="both"/>
        <w:rPr>
          <w:rFonts w:ascii="Book Antiqua" w:hAnsi="Book Antiqua" w:cs="Book Antiqua"/>
          <w:color w:val="000000"/>
          <w:lang w:eastAsia="zh-CN"/>
        </w:rPr>
      </w:pPr>
      <w:r w:rsidRPr="005F7EC5">
        <w:rPr>
          <w:rStyle w:val="translated-span"/>
          <w:rFonts w:ascii="Book Antiqua" w:eastAsia="Book Antiqua" w:hAnsi="Book Antiqua" w:cs="Book Antiqua"/>
          <w:color w:val="000000"/>
        </w:rPr>
        <w:t xml:space="preserve">In TDDS, the drug is transported to the subcutaneous tissue through the skin and then to the deeper tissue to exert local action. Some of the TDDS for local action include </w:t>
      </w:r>
      <w:bookmarkStart w:id="86" w:name="OLE_LINK71"/>
      <w:bookmarkStart w:id="87" w:name="OLE_LINK72"/>
      <w:bookmarkStart w:id="88" w:name="OLE_LINK23"/>
      <w:r w:rsidRPr="005F7EC5">
        <w:rPr>
          <w:rStyle w:val="translated-span"/>
          <w:rFonts w:ascii="Book Antiqua" w:eastAsia="Book Antiqua" w:hAnsi="Book Antiqua" w:cs="Book Antiqua"/>
          <w:color w:val="000000"/>
        </w:rPr>
        <w:t>nonsteroidal anti-inflammatory drug</w:t>
      </w:r>
      <w:bookmarkEnd w:id="86"/>
      <w:bookmarkEnd w:id="87"/>
      <w:r w:rsidRPr="005F7EC5">
        <w:rPr>
          <w:rStyle w:val="translated-span"/>
          <w:rFonts w:ascii="Book Antiqua" w:eastAsia="Book Antiqua" w:hAnsi="Book Antiqua" w:cs="Book Antiqua"/>
          <w:color w:val="000000"/>
        </w:rPr>
        <w:t>s</w:t>
      </w:r>
      <w:bookmarkEnd w:id="88"/>
      <w:r w:rsidRPr="005F7EC5">
        <w:rPr>
          <w:rStyle w:val="translated-span"/>
          <w:rFonts w:ascii="Book Antiqua" w:eastAsia="Book Antiqua" w:hAnsi="Book Antiqua" w:cs="Book Antiqua"/>
          <w:color w:val="000000"/>
        </w:rPr>
        <w:t xml:space="preserve"> (NSAIDs) transdermal patch, capsaicin patch</w:t>
      </w:r>
      <w:r w:rsidR="00CD3EA5">
        <w:rPr>
          <w:rStyle w:val="translated-span"/>
          <w:rFonts w:ascii="Book Antiqua" w:eastAsia="Book Antiqua" w:hAnsi="Book Antiqua" w:cs="Book Antiqua"/>
          <w:color w:val="000000"/>
        </w:rPr>
        <w:t xml:space="preserve"> and</w:t>
      </w:r>
      <w:r w:rsidRPr="005F7EC5">
        <w:rPr>
          <w:rStyle w:val="translated-span"/>
          <w:rFonts w:ascii="Book Antiqua" w:eastAsia="Book Antiqua" w:hAnsi="Book Antiqua" w:cs="Book Antiqua"/>
          <w:color w:val="000000"/>
        </w:rPr>
        <w:t xml:space="preserve"> lidocaine patch</w:t>
      </w:r>
      <w:r w:rsidR="00F87640"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10,13</w:t>
      </w:r>
      <w:r w:rsidR="00F87640" w:rsidRPr="005F7EC5">
        <w:rPr>
          <w:rFonts w:ascii="Book Antiqua" w:hAnsi="Book Antiqua" w:cs="Book Antiqua"/>
          <w:color w:val="000000"/>
          <w:vertAlign w:val="superscript"/>
          <w:lang w:eastAsia="zh-CN"/>
        </w:rPr>
        <w:t>]</w:t>
      </w:r>
      <w:r w:rsidR="00F87640" w:rsidRPr="005F7EC5">
        <w:rPr>
          <w:rFonts w:ascii="Book Antiqua" w:hAnsi="Book Antiqua" w:cs="Book Antiqua"/>
          <w:color w:val="000000"/>
          <w:lang w:eastAsia="zh-CN"/>
        </w:rPr>
        <w:t>.</w:t>
      </w:r>
    </w:p>
    <w:p w14:paraId="136CEB21" w14:textId="77777777" w:rsidR="00F87640" w:rsidRPr="005F7EC5" w:rsidRDefault="00F87640" w:rsidP="005F7EC5">
      <w:pPr>
        <w:spacing w:line="360" w:lineRule="auto"/>
        <w:ind w:firstLineChars="100" w:firstLine="240"/>
        <w:jc w:val="both"/>
        <w:rPr>
          <w:lang w:eastAsia="zh-CN"/>
        </w:rPr>
      </w:pPr>
    </w:p>
    <w:p w14:paraId="5484FBEC" w14:textId="0128DA7F" w:rsidR="00A77B3E" w:rsidRPr="005F7EC5" w:rsidRDefault="00FA2DBE" w:rsidP="005F7EC5">
      <w:pPr>
        <w:spacing w:line="360" w:lineRule="auto"/>
        <w:jc w:val="both"/>
      </w:pPr>
      <w:r w:rsidRPr="005F7EC5">
        <w:rPr>
          <w:rStyle w:val="translated-span"/>
          <w:rFonts w:ascii="Book Antiqua" w:eastAsia="Book Antiqua" w:hAnsi="Book Antiqua" w:cs="Book Antiqua"/>
          <w:b/>
          <w:bCs/>
          <w:i/>
          <w:iCs/>
          <w:color w:val="000000"/>
        </w:rPr>
        <w:t>Structure a</w:t>
      </w:r>
      <w:r w:rsidR="00F87640" w:rsidRPr="005F7EC5">
        <w:rPr>
          <w:rStyle w:val="translated-span"/>
          <w:rFonts w:ascii="Book Antiqua" w:eastAsia="Book Antiqua" w:hAnsi="Book Antiqua" w:cs="Book Antiqua"/>
          <w:b/>
          <w:bCs/>
          <w:i/>
          <w:iCs/>
          <w:color w:val="000000"/>
        </w:rPr>
        <w:t xml:space="preserve">nd development of </w:t>
      </w:r>
      <w:r w:rsidR="00CD3EA5">
        <w:rPr>
          <w:rStyle w:val="translated-span"/>
          <w:rFonts w:ascii="Book Antiqua" w:eastAsia="Book Antiqua" w:hAnsi="Book Antiqua" w:cs="Book Antiqua"/>
          <w:b/>
          <w:bCs/>
          <w:i/>
          <w:iCs/>
          <w:color w:val="000000"/>
        </w:rPr>
        <w:t xml:space="preserve">the </w:t>
      </w:r>
      <w:r w:rsidR="00F87640" w:rsidRPr="005F7EC5">
        <w:rPr>
          <w:rStyle w:val="translated-span"/>
          <w:rFonts w:ascii="Book Antiqua" w:eastAsia="Book Antiqua" w:hAnsi="Book Antiqua" w:cs="Book Antiqua"/>
          <w:b/>
          <w:bCs/>
          <w:i/>
          <w:iCs/>
          <w:color w:val="000000"/>
        </w:rPr>
        <w:t>transdermal p</w:t>
      </w:r>
      <w:r w:rsidRPr="005F7EC5">
        <w:rPr>
          <w:rStyle w:val="translated-span"/>
          <w:rFonts w:ascii="Book Antiqua" w:eastAsia="Book Antiqua" w:hAnsi="Book Antiqua" w:cs="Book Antiqua"/>
          <w:b/>
          <w:bCs/>
          <w:i/>
          <w:iCs/>
          <w:color w:val="000000"/>
        </w:rPr>
        <w:t>atch</w:t>
      </w:r>
    </w:p>
    <w:p w14:paraId="0CC169A6" w14:textId="6DA6BC9E" w:rsidR="00A77B3E" w:rsidRPr="005F7EC5" w:rsidRDefault="00FA2DBE" w:rsidP="005F7EC5">
      <w:pPr>
        <w:spacing w:line="360" w:lineRule="auto"/>
        <w:jc w:val="both"/>
      </w:pPr>
      <w:r w:rsidRPr="005F7EC5">
        <w:rPr>
          <w:rStyle w:val="translated-span"/>
          <w:rFonts w:ascii="Book Antiqua" w:eastAsia="Book Antiqua" w:hAnsi="Book Antiqua" w:cs="Book Antiqua"/>
          <w:color w:val="000000"/>
        </w:rPr>
        <w:t xml:space="preserve">According to the characteristics of its dosage form, </w:t>
      </w:r>
      <w:r w:rsidR="00CD3EA5">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 xml:space="preserve">transdermal patch can be roughly divided into </w:t>
      </w:r>
      <w:r w:rsidR="00CD3EA5">
        <w:rPr>
          <w:rStyle w:val="translated-span"/>
          <w:rFonts w:ascii="Book Antiqua" w:eastAsia="Book Antiqua" w:hAnsi="Book Antiqua" w:cs="Book Antiqua"/>
          <w:color w:val="000000"/>
        </w:rPr>
        <w:t>three</w:t>
      </w:r>
      <w:r w:rsidRPr="005F7EC5">
        <w:rPr>
          <w:rStyle w:val="translated-span"/>
          <w:rFonts w:ascii="Book Antiqua" w:eastAsia="Book Antiqua" w:hAnsi="Book Antiqua" w:cs="Book Antiqua"/>
          <w:color w:val="000000"/>
        </w:rPr>
        <w:t xml:space="preserve"> generations (Table 3). The first generation of transdermal patch is the most representative transdermal patch</w:t>
      </w:r>
      <w:r w:rsidR="00B8099E"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14</w:t>
      </w:r>
      <w:r w:rsidR="00B8099E" w:rsidRPr="005F7EC5">
        <w:rPr>
          <w:rFonts w:ascii="Book Antiqua" w:hAnsi="Book Antiqua" w:cs="Book Antiqua"/>
          <w:color w:val="000000"/>
          <w:vertAlign w:val="superscript"/>
          <w:lang w:eastAsia="zh-CN"/>
        </w:rPr>
        <w:t>]</w:t>
      </w:r>
      <w:r w:rsidR="00B8099E" w:rsidRPr="005F7EC5">
        <w:rPr>
          <w:rFonts w:ascii="Book Antiqua" w:hAnsi="Book Antiqua" w:cs="Book Antiqua"/>
          <w:color w:val="000000"/>
          <w:lang w:eastAsia="zh-CN"/>
        </w:rPr>
        <w:t>.</w:t>
      </w:r>
    </w:p>
    <w:p w14:paraId="72FEC1C5" w14:textId="2BEE18DA" w:rsidR="00A77B3E" w:rsidRPr="005F7EC5" w:rsidRDefault="00FA2DBE" w:rsidP="005F7EC5">
      <w:pPr>
        <w:spacing w:line="360" w:lineRule="auto"/>
        <w:ind w:firstLineChars="100" w:firstLine="240"/>
        <w:jc w:val="both"/>
      </w:pPr>
      <w:r w:rsidRPr="005F7EC5">
        <w:rPr>
          <w:rStyle w:val="translated-span"/>
          <w:rFonts w:ascii="Book Antiqua" w:eastAsia="Book Antiqua" w:hAnsi="Book Antiqua" w:cs="Book Antiqua"/>
          <w:color w:val="000000"/>
        </w:rPr>
        <w:lastRenderedPageBreak/>
        <w:t xml:space="preserve">The structure of </w:t>
      </w:r>
      <w:r w:rsidR="00CD3EA5">
        <w:rPr>
          <w:rStyle w:val="translated-span"/>
          <w:rFonts w:ascii="Book Antiqua" w:eastAsia="Book Antiqua" w:hAnsi="Book Antiqua" w:cs="Book Antiqua"/>
          <w:color w:val="000000"/>
        </w:rPr>
        <w:t xml:space="preserve">a </w:t>
      </w:r>
      <w:r w:rsidRPr="005F7EC5">
        <w:rPr>
          <w:rStyle w:val="translated-span"/>
          <w:rFonts w:ascii="Book Antiqua" w:eastAsia="Book Antiqua" w:hAnsi="Book Antiqua" w:cs="Book Antiqua"/>
          <w:color w:val="000000"/>
        </w:rPr>
        <w:t xml:space="preserve">TDDS includes four layers: (1) </w:t>
      </w:r>
      <w:r w:rsidR="00CD3EA5">
        <w:rPr>
          <w:rStyle w:val="translated-span"/>
          <w:rFonts w:ascii="Book Antiqua" w:eastAsia="Book Antiqua" w:hAnsi="Book Antiqua" w:cs="Book Antiqua"/>
          <w:color w:val="000000"/>
        </w:rPr>
        <w:t>a</w:t>
      </w:r>
      <w:r w:rsidRPr="005F7EC5">
        <w:rPr>
          <w:rStyle w:val="translated-span"/>
          <w:rFonts w:ascii="Book Antiqua" w:eastAsia="Book Antiqua" w:hAnsi="Book Antiqua" w:cs="Book Antiqua"/>
          <w:color w:val="000000"/>
        </w:rPr>
        <w:t xml:space="preserve">n impermeable backing layer to protect the system from invasion of external substances and to prevent the loss of drugs or evaporation of skin moisture; (2) </w:t>
      </w:r>
      <w:r w:rsidR="00CD3EA5">
        <w:rPr>
          <w:rStyle w:val="translated-span"/>
          <w:rFonts w:ascii="Book Antiqua" w:eastAsia="Book Antiqua" w:hAnsi="Book Antiqua" w:cs="Book Antiqua"/>
          <w:color w:val="000000"/>
        </w:rPr>
        <w:t>a</w:t>
      </w:r>
      <w:r w:rsidRPr="005F7EC5">
        <w:rPr>
          <w:rStyle w:val="translated-span"/>
          <w:rFonts w:ascii="Book Antiqua" w:eastAsia="Book Antiqua" w:hAnsi="Book Antiqua" w:cs="Book Antiqua"/>
          <w:color w:val="000000"/>
        </w:rPr>
        <w:t xml:space="preserve"> drug storage or framework system to store and release drugs; (3) </w:t>
      </w:r>
      <w:r w:rsidR="00CD3EA5">
        <w:rPr>
          <w:rStyle w:val="translated-span"/>
          <w:rFonts w:ascii="Book Antiqua" w:eastAsia="Book Antiqua" w:hAnsi="Book Antiqua" w:cs="Book Antiqua"/>
          <w:color w:val="000000"/>
        </w:rPr>
        <w:t>a</w:t>
      </w:r>
      <w:r w:rsidRPr="005F7EC5">
        <w:rPr>
          <w:rStyle w:val="translated-span"/>
          <w:rFonts w:ascii="Book Antiqua" w:eastAsia="Book Antiqua" w:hAnsi="Book Antiqua" w:cs="Book Antiqua"/>
          <w:color w:val="000000"/>
        </w:rPr>
        <w:t xml:space="preserve"> liner that protects the patch during storage, which has to be removed prior to use; and (4) </w:t>
      </w:r>
      <w:r w:rsidR="00CD3EA5">
        <w:rPr>
          <w:rStyle w:val="translated-span"/>
          <w:rFonts w:ascii="Book Antiqua" w:eastAsia="Book Antiqua" w:hAnsi="Book Antiqua" w:cs="Book Antiqua"/>
          <w:color w:val="000000"/>
        </w:rPr>
        <w:t>a</w:t>
      </w:r>
      <w:r w:rsidRPr="005F7EC5">
        <w:rPr>
          <w:rStyle w:val="translated-span"/>
          <w:rFonts w:ascii="Book Antiqua" w:eastAsia="Book Antiqua" w:hAnsi="Book Antiqua" w:cs="Book Antiqua"/>
          <w:color w:val="000000"/>
        </w:rPr>
        <w:t>n adhesive layer to keep the patch in contact with the skin</w:t>
      </w:r>
      <w:r w:rsidR="001F67CE"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w:t>
      </w:r>
      <w:r w:rsidR="001F67CE" w:rsidRPr="005F7EC5">
        <w:rPr>
          <w:rFonts w:ascii="Book Antiqua" w:hAnsi="Book Antiqua" w:cs="Book Antiqua"/>
          <w:color w:val="000000"/>
          <w:vertAlign w:val="superscript"/>
          <w:lang w:eastAsia="zh-CN"/>
        </w:rPr>
        <w:t>]</w:t>
      </w:r>
      <w:r w:rsidR="001F67CE"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The adhesive layer can be divided into peripheral type and surface type. Peripheral type refers to applying a circle of pressure-sensitive adhesive on the periphery of</w:t>
      </w:r>
      <w:r w:rsidR="00CD3EA5">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TDDS drug part. In surface type, TDDS is completely covered with finger-sensitive adhesive coating. Of the </w:t>
      </w:r>
      <w:r w:rsidR="00CD3EA5">
        <w:rPr>
          <w:rStyle w:val="translated-span"/>
          <w:rFonts w:ascii="Book Antiqua" w:eastAsia="Book Antiqua" w:hAnsi="Book Antiqua" w:cs="Book Antiqua"/>
          <w:color w:val="000000"/>
        </w:rPr>
        <w:t>two</w:t>
      </w:r>
      <w:r w:rsidRPr="005F7EC5">
        <w:rPr>
          <w:rStyle w:val="translated-span"/>
          <w:rFonts w:ascii="Book Antiqua" w:eastAsia="Book Antiqua" w:hAnsi="Book Antiqua" w:cs="Book Antiqua"/>
          <w:color w:val="000000"/>
        </w:rPr>
        <w:t xml:space="preserve"> types, </w:t>
      </w:r>
      <w:r w:rsidR="00CD3EA5">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surface type of adhesive layer is the most common</w:t>
      </w:r>
      <w:r w:rsidR="001F67CE"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10</w:t>
      </w:r>
      <w:r w:rsidR="001F67CE" w:rsidRPr="005F7EC5">
        <w:rPr>
          <w:rFonts w:ascii="Book Antiqua" w:hAnsi="Book Antiqua" w:cs="Book Antiqua"/>
          <w:color w:val="000000"/>
          <w:vertAlign w:val="superscript"/>
          <w:lang w:eastAsia="zh-CN"/>
        </w:rPr>
        <w:t>]</w:t>
      </w:r>
      <w:r w:rsidR="001F67CE"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w:t>
      </w:r>
    </w:p>
    <w:p w14:paraId="325C92CF" w14:textId="3C35EBE9" w:rsidR="00A77B3E" w:rsidRPr="005F7EC5" w:rsidRDefault="00FA2DBE" w:rsidP="005F7EC5">
      <w:pPr>
        <w:spacing w:line="360" w:lineRule="auto"/>
        <w:ind w:firstLineChars="100" w:firstLine="240"/>
        <w:jc w:val="both"/>
        <w:rPr>
          <w:lang w:eastAsia="zh-CN"/>
        </w:rPr>
      </w:pPr>
      <w:r w:rsidRPr="005F7EC5">
        <w:rPr>
          <w:rFonts w:ascii="Book Antiqua" w:eastAsia="Book Antiqua" w:hAnsi="Book Antiqua" w:cs="Book Antiqua"/>
          <w:color w:val="000000"/>
        </w:rPr>
        <w:t xml:space="preserve">Only </w:t>
      </w:r>
      <w:r w:rsidR="00CD3EA5">
        <w:rPr>
          <w:rFonts w:ascii="Book Antiqua" w:eastAsia="Book Antiqua" w:hAnsi="Book Antiqua" w:cs="Book Antiqua"/>
          <w:color w:val="000000"/>
        </w:rPr>
        <w:t>two</w:t>
      </w:r>
      <w:r w:rsidRPr="005F7EC5">
        <w:rPr>
          <w:rFonts w:ascii="Book Antiqua" w:eastAsia="Book Antiqua" w:hAnsi="Book Antiqua" w:cs="Book Antiqua"/>
          <w:b/>
          <w:bCs/>
          <w:color w:val="000000"/>
        </w:rPr>
        <w:t xml:space="preserve"> </w:t>
      </w:r>
      <w:r w:rsidRPr="005F7EC5">
        <w:rPr>
          <w:rFonts w:ascii="Book Antiqua" w:eastAsia="Book Antiqua" w:hAnsi="Book Antiqua" w:cs="Book Antiqua"/>
          <w:color w:val="000000"/>
        </w:rPr>
        <w:t xml:space="preserve">types of </w:t>
      </w:r>
      <w:r w:rsidRPr="005F7EC5">
        <w:rPr>
          <w:rStyle w:val="translated-span"/>
          <w:rFonts w:ascii="Book Antiqua" w:eastAsia="Book Antiqua" w:hAnsi="Book Antiqua" w:cs="Book Antiqua"/>
          <w:color w:val="000000"/>
        </w:rPr>
        <w:t xml:space="preserve">TDDS were available before 1990: </w:t>
      </w:r>
      <w:r w:rsidR="00CD3EA5">
        <w:rPr>
          <w:rStyle w:val="translated-span"/>
          <w:rFonts w:ascii="Book Antiqua" w:eastAsia="Book Antiqua" w:hAnsi="Book Antiqua" w:cs="Book Antiqua"/>
          <w:color w:val="000000"/>
        </w:rPr>
        <w:t>r</w:t>
      </w:r>
      <w:r w:rsidRPr="005F7EC5">
        <w:rPr>
          <w:rStyle w:val="translated-span"/>
          <w:rFonts w:ascii="Book Antiqua" w:eastAsia="Book Antiqua" w:hAnsi="Book Antiqua" w:cs="Book Antiqua"/>
          <w:color w:val="000000"/>
        </w:rPr>
        <w:t xml:space="preserve">eservoir type and matrix type. After 1990, the adhesive dispersion type was introduced. In </w:t>
      </w:r>
      <w:r w:rsidR="00CD3EA5">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 xml:space="preserve">adhesive dispersion type, the drug is dispersed in the adhesive layer itself; this helps </w:t>
      </w:r>
      <w:r w:rsidR="00CD3EA5">
        <w:rPr>
          <w:rStyle w:val="translated-span"/>
          <w:rFonts w:ascii="Book Antiqua" w:eastAsia="Book Antiqua" w:hAnsi="Book Antiqua" w:cs="Book Antiqua"/>
          <w:color w:val="000000"/>
        </w:rPr>
        <w:t>to</w:t>
      </w:r>
      <w:r w:rsidRPr="005F7EC5">
        <w:rPr>
          <w:rStyle w:val="translated-span"/>
          <w:rFonts w:ascii="Book Antiqua" w:eastAsia="Book Antiqua" w:hAnsi="Book Antiqua" w:cs="Book Antiqua"/>
          <w:color w:val="000000"/>
        </w:rPr>
        <w:t xml:space="preserve"> reduc</w:t>
      </w:r>
      <w:r w:rsidR="00CD3EA5">
        <w:rPr>
          <w:rStyle w:val="translated-span"/>
          <w:rFonts w:ascii="Book Antiqua" w:eastAsia="Book Antiqua" w:hAnsi="Book Antiqua" w:cs="Book Antiqua"/>
          <w:color w:val="000000"/>
        </w:rPr>
        <w:t>e</w:t>
      </w:r>
      <w:r w:rsidRPr="005F7EC5">
        <w:rPr>
          <w:rStyle w:val="translated-span"/>
          <w:rFonts w:ascii="Book Antiqua" w:eastAsia="Book Antiqua" w:hAnsi="Book Antiqua" w:cs="Book Antiqua"/>
          <w:color w:val="000000"/>
        </w:rPr>
        <w:t xml:space="preserve"> the layers to </w:t>
      </w:r>
      <w:r w:rsidR="00CD3EA5">
        <w:rPr>
          <w:rStyle w:val="translated-span"/>
          <w:rFonts w:ascii="Book Antiqua" w:eastAsia="Book Antiqua" w:hAnsi="Book Antiqua" w:cs="Book Antiqua"/>
          <w:color w:val="000000"/>
        </w:rPr>
        <w:t>two</w:t>
      </w:r>
      <w:r w:rsidRPr="005F7EC5">
        <w:rPr>
          <w:rStyle w:val="translated-span"/>
          <w:rFonts w:ascii="Book Antiqua" w:eastAsia="Book Antiqua" w:hAnsi="Book Antiqua" w:cs="Book Antiqua"/>
          <w:color w:val="000000"/>
        </w:rPr>
        <w:t xml:space="preserve"> or </w:t>
      </w:r>
      <w:r w:rsidR="00CD3EA5">
        <w:rPr>
          <w:rStyle w:val="translated-span"/>
          <w:rFonts w:ascii="Book Antiqua" w:eastAsia="Book Antiqua" w:hAnsi="Book Antiqua" w:cs="Book Antiqua"/>
          <w:color w:val="000000"/>
        </w:rPr>
        <w:t>three</w:t>
      </w:r>
      <w:r w:rsidR="005B0FBF"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15</w:t>
      </w:r>
      <w:r w:rsidR="005B0FBF" w:rsidRPr="005F7EC5">
        <w:rPr>
          <w:rFonts w:ascii="Book Antiqua" w:hAnsi="Book Antiqua" w:cs="Book Antiqua"/>
          <w:color w:val="000000"/>
          <w:vertAlign w:val="superscript"/>
          <w:lang w:eastAsia="zh-CN"/>
        </w:rPr>
        <w:t>]</w:t>
      </w:r>
      <w:r w:rsidR="005B0FBF"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Since 1999, the FDA </w:t>
      </w:r>
      <w:r w:rsidR="00CD3EA5">
        <w:rPr>
          <w:rStyle w:val="translated-span"/>
          <w:rFonts w:ascii="Book Antiqua" w:eastAsia="Book Antiqua" w:hAnsi="Book Antiqua" w:cs="Book Antiqua"/>
          <w:color w:val="000000"/>
        </w:rPr>
        <w:t>ha</w:t>
      </w:r>
      <w:r w:rsidRPr="005F7EC5">
        <w:rPr>
          <w:rStyle w:val="translated-span"/>
          <w:rFonts w:ascii="Book Antiqua" w:eastAsia="Book Antiqua" w:hAnsi="Book Antiqua" w:cs="Book Antiqua"/>
          <w:color w:val="000000"/>
        </w:rPr>
        <w:t>s not appro</w:t>
      </w:r>
      <w:r w:rsidR="00CD3EA5">
        <w:rPr>
          <w:rStyle w:val="translated-span"/>
          <w:rFonts w:ascii="Book Antiqua" w:eastAsia="Book Antiqua" w:hAnsi="Book Antiqua" w:cs="Book Antiqua"/>
          <w:color w:val="000000"/>
        </w:rPr>
        <w:t>ved a</w:t>
      </w:r>
      <w:r w:rsidRPr="005F7EC5">
        <w:rPr>
          <w:rStyle w:val="translated-span"/>
          <w:rFonts w:ascii="Book Antiqua" w:eastAsia="Book Antiqua" w:hAnsi="Book Antiqua" w:cs="Book Antiqua"/>
          <w:color w:val="000000"/>
        </w:rPr>
        <w:t xml:space="preserve"> reservoir type because of the risk of uncontrolled drug release from the reservoir. Most o</w:t>
      </w:r>
      <w:r w:rsidR="00DF5EBC" w:rsidRPr="005F7EC5">
        <w:rPr>
          <w:rStyle w:val="translated-span"/>
          <w:rFonts w:ascii="Book Antiqua" w:eastAsia="Book Antiqua" w:hAnsi="Book Antiqua" w:cs="Book Antiqua"/>
          <w:color w:val="000000"/>
        </w:rPr>
        <w:t>f the existing patches in the U</w:t>
      </w:r>
      <w:r w:rsidR="00DF5EBC" w:rsidRPr="005F7EC5">
        <w:rPr>
          <w:rStyle w:val="translated-span"/>
          <w:rFonts w:ascii="Book Antiqua" w:hAnsi="Book Antiqua" w:cs="Book Antiqua"/>
          <w:color w:val="000000"/>
          <w:lang w:eastAsia="zh-CN"/>
        </w:rPr>
        <w:t>nited States</w:t>
      </w:r>
      <w:r w:rsidRPr="005F7EC5">
        <w:rPr>
          <w:rStyle w:val="translated-span"/>
          <w:rFonts w:ascii="Book Antiqua" w:eastAsia="Book Antiqua" w:hAnsi="Book Antiqua" w:cs="Book Antiqua"/>
          <w:color w:val="000000"/>
        </w:rPr>
        <w:t xml:space="preserve"> market (72%) are of</w:t>
      </w:r>
      <w:r w:rsidR="00CD3EA5">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adhesive dispersion type</w:t>
      </w:r>
      <w:r w:rsidR="00DF5EBC"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16</w:t>
      </w:r>
      <w:r w:rsidR="00DF5EBC" w:rsidRPr="005F7EC5">
        <w:rPr>
          <w:rFonts w:ascii="Book Antiqua" w:hAnsi="Book Antiqua" w:cs="Book Antiqua"/>
          <w:color w:val="000000"/>
          <w:vertAlign w:val="superscript"/>
          <w:lang w:eastAsia="zh-CN"/>
        </w:rPr>
        <w:t>]</w:t>
      </w:r>
      <w:r w:rsidR="00DF5EBC" w:rsidRPr="005F7EC5">
        <w:rPr>
          <w:rFonts w:ascii="Book Antiqua" w:hAnsi="Book Antiqua" w:cs="Book Antiqua"/>
          <w:color w:val="000000"/>
          <w:lang w:eastAsia="zh-CN"/>
        </w:rPr>
        <w:t>.</w:t>
      </w:r>
    </w:p>
    <w:p w14:paraId="2478ECF0" w14:textId="77777777" w:rsidR="00DF5EBC" w:rsidRPr="005F7EC5" w:rsidRDefault="00DF5EBC" w:rsidP="005F7EC5">
      <w:pPr>
        <w:spacing w:line="360" w:lineRule="auto"/>
        <w:jc w:val="both"/>
        <w:rPr>
          <w:rFonts w:ascii="Book Antiqua" w:hAnsi="Book Antiqua" w:cs="Book Antiqua"/>
          <w:b/>
          <w:bCs/>
          <w:i/>
          <w:iCs/>
          <w:color w:val="000000"/>
          <w:lang w:eastAsia="zh-CN"/>
        </w:rPr>
      </w:pPr>
    </w:p>
    <w:p w14:paraId="4E266F94" w14:textId="77777777" w:rsidR="00A77B3E" w:rsidRPr="005F7EC5" w:rsidRDefault="00FA2DBE" w:rsidP="005F7EC5">
      <w:pPr>
        <w:spacing w:line="360" w:lineRule="auto"/>
        <w:jc w:val="both"/>
      </w:pPr>
      <w:r w:rsidRPr="005F7EC5">
        <w:rPr>
          <w:rFonts w:ascii="Book Antiqua" w:eastAsia="Book Antiqua" w:hAnsi="Book Antiqua" w:cs="Book Antiqua"/>
          <w:b/>
          <w:bCs/>
          <w:i/>
          <w:iCs/>
          <w:color w:val="000000"/>
        </w:rPr>
        <w:t>Complicatio</w:t>
      </w:r>
      <w:r w:rsidR="00927FCC" w:rsidRPr="005F7EC5">
        <w:rPr>
          <w:rFonts w:ascii="Book Antiqua" w:eastAsia="Book Antiqua" w:hAnsi="Book Antiqua" w:cs="Book Antiqua"/>
          <w:b/>
          <w:bCs/>
          <w:i/>
          <w:iCs/>
          <w:color w:val="000000"/>
        </w:rPr>
        <w:t>ns with application of p</w:t>
      </w:r>
      <w:r w:rsidRPr="005F7EC5">
        <w:rPr>
          <w:rFonts w:ascii="Book Antiqua" w:eastAsia="Book Antiqua" w:hAnsi="Book Antiqua" w:cs="Book Antiqua"/>
          <w:b/>
          <w:bCs/>
          <w:i/>
          <w:iCs/>
          <w:color w:val="000000"/>
        </w:rPr>
        <w:t>atch</w:t>
      </w:r>
    </w:p>
    <w:p w14:paraId="33936A0A" w14:textId="51D60345" w:rsidR="00A77B3E" w:rsidRPr="005F7EC5" w:rsidRDefault="00FA2DBE" w:rsidP="005F7EC5">
      <w:pPr>
        <w:spacing w:line="360" w:lineRule="auto"/>
        <w:jc w:val="both"/>
        <w:rPr>
          <w:lang w:eastAsia="zh-CN"/>
        </w:rPr>
      </w:pPr>
      <w:r w:rsidRPr="005F7EC5">
        <w:rPr>
          <w:rFonts w:ascii="Book Antiqua" w:eastAsia="Book Antiqua" w:hAnsi="Book Antiqua" w:cs="Book Antiqua"/>
          <w:color w:val="000000"/>
        </w:rPr>
        <w:t>Dose adjustment is the main challenge faced in the use of</w:t>
      </w:r>
      <w:r w:rsidR="0088343A">
        <w:rPr>
          <w:rFonts w:ascii="Book Antiqua" w:eastAsia="Book Antiqua" w:hAnsi="Book Antiqua" w:cs="Book Antiqua"/>
          <w:color w:val="000000"/>
        </w:rPr>
        <w:t xml:space="preserve"> a</w:t>
      </w:r>
      <w:r w:rsidRPr="005F7EC5">
        <w:rPr>
          <w:rFonts w:ascii="Book Antiqua" w:eastAsia="Book Antiqua" w:hAnsi="Book Antiqua" w:cs="Book Antiqua"/>
          <w:color w:val="000000"/>
        </w:rPr>
        <w:t xml:space="preserve"> transdermal patch </w:t>
      </w:r>
      <w:r w:rsidR="0088343A">
        <w:rPr>
          <w:rFonts w:ascii="Book Antiqua" w:eastAsia="Book Antiqua" w:hAnsi="Book Antiqua" w:cs="Book Antiqua"/>
          <w:color w:val="000000"/>
        </w:rPr>
        <w:t xml:space="preserve">because </w:t>
      </w:r>
      <w:r w:rsidRPr="005F7EC5">
        <w:rPr>
          <w:rFonts w:ascii="Book Antiqua" w:eastAsia="Book Antiqua" w:hAnsi="Book Antiqua" w:cs="Book Antiqua"/>
          <w:color w:val="000000"/>
        </w:rPr>
        <w:t>only fixed dosages are commercially available</w:t>
      </w:r>
      <w:r w:rsidR="00E4741D" w:rsidRPr="005F7EC5">
        <w:rPr>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17</w:t>
      </w:r>
      <w:r w:rsidR="00E4741D" w:rsidRPr="005F7EC5">
        <w:rPr>
          <w:rFonts w:ascii="Book Antiqua" w:hAnsi="Book Antiqua" w:cs="Book Antiqua"/>
          <w:color w:val="000000"/>
          <w:vertAlign w:val="superscript"/>
          <w:lang w:eastAsia="zh-CN"/>
        </w:rPr>
        <w:t>]</w:t>
      </w:r>
      <w:r w:rsidR="00E4741D" w:rsidRPr="005F7EC5">
        <w:rPr>
          <w:rFonts w:ascii="Book Antiqua" w:hAnsi="Book Antiqua" w:cs="Book Antiqua"/>
          <w:color w:val="000000"/>
          <w:lang w:eastAsia="zh-CN"/>
        </w:rPr>
        <w:t>.</w:t>
      </w:r>
      <w:r w:rsidRPr="005F7EC5">
        <w:rPr>
          <w:rFonts w:ascii="Book Antiqua" w:eastAsia="Book Antiqua" w:hAnsi="Book Antiqua" w:cs="Book Antiqua"/>
          <w:color w:val="000000"/>
        </w:rPr>
        <w:t xml:space="preserve"> In theory, an alternative option to reduce the dose is cutting the patch</w:t>
      </w:r>
      <w:r w:rsidR="0088343A">
        <w:rPr>
          <w:rFonts w:ascii="Book Antiqua" w:eastAsia="Book Antiqua" w:hAnsi="Book Antiqua" w:cs="Book Antiqua"/>
          <w:color w:val="000000"/>
        </w:rPr>
        <w:t>. However,</w:t>
      </w:r>
      <w:r w:rsidRPr="005F7EC5">
        <w:rPr>
          <w:rFonts w:ascii="Book Antiqua" w:eastAsia="Book Antiqua" w:hAnsi="Book Antiqua" w:cs="Book Antiqua"/>
          <w:color w:val="000000"/>
        </w:rPr>
        <w:t xml:space="preserve"> cutting the patch may result in altering the structure of the patch, which may result in altering drug release, especially controlled release, and </w:t>
      </w:r>
      <w:r w:rsidR="0088343A">
        <w:rPr>
          <w:rFonts w:ascii="Book Antiqua" w:eastAsia="Book Antiqua" w:hAnsi="Book Antiqua" w:cs="Book Antiqua"/>
          <w:color w:val="000000"/>
        </w:rPr>
        <w:t xml:space="preserve">the </w:t>
      </w:r>
      <w:r w:rsidRPr="005F7EC5">
        <w:rPr>
          <w:rFonts w:ascii="Book Antiqua" w:eastAsia="Book Antiqua" w:hAnsi="Book Antiqua" w:cs="Book Antiqua"/>
          <w:color w:val="000000"/>
        </w:rPr>
        <w:t>quality of</w:t>
      </w:r>
      <w:r w:rsidR="0088343A">
        <w:rPr>
          <w:rFonts w:ascii="Book Antiqua" w:eastAsia="Book Antiqua" w:hAnsi="Book Antiqua" w:cs="Book Antiqua"/>
          <w:color w:val="000000"/>
        </w:rPr>
        <w:t xml:space="preserve"> the</w:t>
      </w:r>
      <w:r w:rsidRPr="005F7EC5">
        <w:rPr>
          <w:rFonts w:ascii="Book Antiqua" w:eastAsia="Book Antiqua" w:hAnsi="Book Antiqua" w:cs="Book Antiqua"/>
          <w:color w:val="000000"/>
        </w:rPr>
        <w:t xml:space="preserve"> adhesive layer</w:t>
      </w:r>
      <w:r w:rsidR="00E4741D" w:rsidRPr="005F7EC5">
        <w:rPr>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18</w:t>
      </w:r>
      <w:r w:rsidR="00E4741D" w:rsidRPr="005F7EC5">
        <w:rPr>
          <w:rFonts w:ascii="Book Antiqua" w:hAnsi="Book Antiqua" w:cs="Book Antiqua"/>
          <w:color w:val="000000"/>
          <w:vertAlign w:val="superscript"/>
          <w:lang w:eastAsia="zh-CN"/>
        </w:rPr>
        <w:t>]</w:t>
      </w:r>
      <w:r w:rsidRPr="005F7EC5">
        <w:rPr>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 xml:space="preserve">Cutting </w:t>
      </w:r>
      <w:r w:rsidR="0088343A">
        <w:rPr>
          <w:rStyle w:val="translated-span"/>
          <w:rFonts w:ascii="Book Antiqua" w:eastAsia="Book Antiqua" w:hAnsi="Book Antiqua" w:cs="Book Antiqua"/>
          <w:color w:val="000000"/>
        </w:rPr>
        <w:t>the</w:t>
      </w:r>
      <w:r w:rsidRPr="005F7EC5">
        <w:rPr>
          <w:rStyle w:val="translated-span"/>
          <w:rFonts w:ascii="Book Antiqua" w:eastAsia="Book Antiqua" w:hAnsi="Book Antiqua" w:cs="Book Antiqua"/>
          <w:color w:val="000000"/>
        </w:rPr>
        <w:t xml:space="preserve"> microdrug reservoir of the patch can damage the microparticles of </w:t>
      </w:r>
      <w:r w:rsidR="0088343A">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drug, which leads to inaccuracy of dose evaluation</w:t>
      </w:r>
      <w:r w:rsidR="00AF4F2C"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17,18</w:t>
      </w:r>
      <w:r w:rsidR="00AF4F2C" w:rsidRPr="005F7EC5">
        <w:rPr>
          <w:rFonts w:ascii="Book Antiqua" w:hAnsi="Book Antiqua" w:cs="Book Antiqua"/>
          <w:color w:val="000000"/>
          <w:vertAlign w:val="superscript"/>
          <w:lang w:eastAsia="zh-CN"/>
        </w:rPr>
        <w:t>]</w:t>
      </w:r>
      <w:r w:rsidR="00AF4F2C"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A comparative study on the use of </w:t>
      </w:r>
      <w:r w:rsidR="0088343A">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clonidine patch (Catapres TTS) in sections and as a whole reported difficulty in predicting absorption degree and rate of drug release after cutting the patch, and the incidence of abnormal (too high or too low) blood concentration increased significantly with sections of patch. For most analgesic drugs, it is recommended to refer to the relevant instructions provided by the manufacturer</w:t>
      </w:r>
      <w:r w:rsidR="00A2062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19</w:t>
      </w:r>
      <w:r w:rsidR="00A2062B" w:rsidRPr="005F7EC5">
        <w:rPr>
          <w:rFonts w:ascii="Book Antiqua" w:hAnsi="Book Antiqua" w:cs="Book Antiqua"/>
          <w:color w:val="000000"/>
          <w:vertAlign w:val="superscript"/>
          <w:lang w:eastAsia="zh-CN"/>
        </w:rPr>
        <w:t>]</w:t>
      </w:r>
      <w:r w:rsidR="00A2062B" w:rsidRPr="005F7EC5">
        <w:rPr>
          <w:rFonts w:ascii="Book Antiqua" w:hAnsi="Book Antiqua" w:cs="Book Antiqua"/>
          <w:color w:val="000000"/>
          <w:lang w:eastAsia="zh-CN"/>
        </w:rPr>
        <w:t>.</w:t>
      </w:r>
    </w:p>
    <w:p w14:paraId="3957E357" w14:textId="57566812"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lastRenderedPageBreak/>
        <w:t xml:space="preserve">Application site of patch: </w:t>
      </w:r>
      <w:r w:rsidR="00D6463F">
        <w:rPr>
          <w:rStyle w:val="translated-span"/>
          <w:rFonts w:ascii="Book Antiqua" w:eastAsia="Book Antiqua" w:hAnsi="Book Antiqua" w:cs="Book Antiqua"/>
          <w:color w:val="000000"/>
        </w:rPr>
        <w:t>t</w:t>
      </w:r>
      <w:r w:rsidRPr="005F7EC5">
        <w:rPr>
          <w:rStyle w:val="translated-span"/>
          <w:rFonts w:ascii="Book Antiqua" w:eastAsia="Book Antiqua" w:hAnsi="Book Antiqua" w:cs="Book Antiqua"/>
          <w:color w:val="000000"/>
        </w:rPr>
        <w:t xml:space="preserve">ransdermal analgesic drugs can be applied at </w:t>
      </w:r>
      <w:r w:rsidR="00D6463F">
        <w:rPr>
          <w:rStyle w:val="translated-span"/>
          <w:rFonts w:ascii="Book Antiqua" w:eastAsia="Book Antiqua" w:hAnsi="Book Antiqua" w:cs="Book Antiqua"/>
          <w:color w:val="000000"/>
        </w:rPr>
        <w:t>two</w:t>
      </w:r>
      <w:r w:rsidRPr="005F7EC5">
        <w:rPr>
          <w:rStyle w:val="translated-span"/>
          <w:rFonts w:ascii="Book Antiqua" w:eastAsia="Book Antiqua" w:hAnsi="Book Antiqua" w:cs="Book Antiqua"/>
          <w:color w:val="000000"/>
        </w:rPr>
        <w:t xml:space="preserve"> application sites. Opioid transdermal patch is generally fixed on the chest, abdomen</w:t>
      </w:r>
      <w:r w:rsidR="00D6463F">
        <w:rPr>
          <w:rStyle w:val="translated-span"/>
          <w:rFonts w:ascii="Book Antiqua" w:eastAsia="Book Antiqua" w:hAnsi="Book Antiqua" w:cs="Book Antiqua"/>
          <w:color w:val="000000"/>
        </w:rPr>
        <w:t xml:space="preserve"> or</w:t>
      </w:r>
      <w:r w:rsidRPr="005F7EC5">
        <w:rPr>
          <w:rStyle w:val="translated-span"/>
          <w:rFonts w:ascii="Book Antiqua" w:eastAsia="Book Antiqua" w:hAnsi="Book Antiqua" w:cs="Book Antiqua"/>
          <w:color w:val="000000"/>
        </w:rPr>
        <w:t xml:space="preserve"> upper arm because of its systemic effect. Topical patches with local effects such as topical NSAID patches, 8% capsaicin patch, 5% lidocaine patch and other patches are generally applied to the pain site</w:t>
      </w:r>
      <w:r w:rsidR="00731263"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17,18</w:t>
      </w:r>
      <w:r w:rsidR="00731263" w:rsidRPr="005F7EC5">
        <w:rPr>
          <w:rFonts w:ascii="Book Antiqua" w:hAnsi="Book Antiqua" w:cs="Book Antiqua"/>
          <w:color w:val="000000"/>
          <w:vertAlign w:val="superscript"/>
          <w:lang w:eastAsia="zh-CN"/>
        </w:rPr>
        <w:t>]</w:t>
      </w:r>
      <w:r w:rsidR="00731263" w:rsidRPr="005F7EC5">
        <w:rPr>
          <w:rFonts w:ascii="Book Antiqua" w:hAnsi="Book Antiqua" w:cs="Book Antiqua"/>
          <w:color w:val="000000"/>
          <w:lang w:eastAsia="zh-CN"/>
        </w:rPr>
        <w:t>.</w:t>
      </w:r>
    </w:p>
    <w:bookmarkEnd w:id="82"/>
    <w:bookmarkEnd w:id="83"/>
    <w:p w14:paraId="7BB9550C" w14:textId="77777777" w:rsidR="00A77B3E" w:rsidRPr="005F7EC5" w:rsidRDefault="00A77B3E" w:rsidP="005F7EC5">
      <w:pPr>
        <w:spacing w:line="360" w:lineRule="auto"/>
        <w:ind w:firstLine="420"/>
        <w:jc w:val="both"/>
      </w:pPr>
    </w:p>
    <w:p w14:paraId="1000A267" w14:textId="77777777" w:rsidR="00A77B3E" w:rsidRPr="005F7EC5" w:rsidRDefault="00FA2DBE" w:rsidP="005F7EC5">
      <w:pPr>
        <w:spacing w:line="360" w:lineRule="auto"/>
        <w:jc w:val="both"/>
      </w:pPr>
      <w:bookmarkStart w:id="89" w:name="OLE_LINK110"/>
      <w:bookmarkStart w:id="90" w:name="OLE_LINK111"/>
      <w:r w:rsidRPr="005F7EC5">
        <w:rPr>
          <w:rStyle w:val="translated-span"/>
          <w:rFonts w:ascii="Book Antiqua" w:eastAsia="Book Antiqua" w:hAnsi="Book Antiqua" w:cs="Book Antiqua"/>
          <w:b/>
          <w:bCs/>
          <w:caps/>
          <w:color w:val="000000"/>
          <w:u w:val="single"/>
        </w:rPr>
        <w:t>COMMON CLINICAL TDDS</w:t>
      </w:r>
    </w:p>
    <w:p w14:paraId="0362F268" w14:textId="77777777" w:rsidR="00A77B3E" w:rsidRPr="005F7EC5" w:rsidRDefault="00FA2DBE" w:rsidP="005F7EC5">
      <w:pPr>
        <w:spacing w:line="360" w:lineRule="auto"/>
        <w:jc w:val="both"/>
        <w:rPr>
          <w:i/>
        </w:rPr>
      </w:pPr>
      <w:bookmarkStart w:id="91" w:name="OLE_LINK112"/>
      <w:bookmarkStart w:id="92" w:name="OLE_LINK113"/>
      <w:bookmarkEnd w:id="89"/>
      <w:bookmarkEnd w:id="90"/>
      <w:r w:rsidRPr="005F7EC5">
        <w:rPr>
          <w:rFonts w:ascii="Book Antiqua" w:eastAsia="Book Antiqua" w:hAnsi="Book Antiqua" w:cs="Book Antiqua"/>
          <w:b/>
          <w:bCs/>
          <w:i/>
          <w:color w:val="000000"/>
        </w:rPr>
        <w:t xml:space="preserve">Transdermal </w:t>
      </w:r>
      <w:r w:rsidRPr="005F7EC5">
        <w:rPr>
          <w:rStyle w:val="translated-span"/>
          <w:rFonts w:ascii="Book Antiqua" w:eastAsia="Book Antiqua" w:hAnsi="Book Antiqua" w:cs="Book Antiqua"/>
          <w:b/>
          <w:bCs/>
          <w:i/>
          <w:color w:val="000000"/>
        </w:rPr>
        <w:t>NSAIDs</w:t>
      </w:r>
    </w:p>
    <w:p w14:paraId="05FA40F9" w14:textId="6534F097" w:rsidR="00AF0879" w:rsidRPr="005F7EC5" w:rsidRDefault="00FA2DBE" w:rsidP="005F7EC5">
      <w:pPr>
        <w:spacing w:line="360" w:lineRule="auto"/>
        <w:jc w:val="both"/>
        <w:rPr>
          <w:rFonts w:ascii="Book Antiqua" w:hAnsi="Book Antiqua" w:cs="Book Antiqua"/>
          <w:color w:val="000000"/>
          <w:lang w:eastAsia="zh-CN"/>
        </w:rPr>
      </w:pPr>
      <w:r w:rsidRPr="005F7EC5">
        <w:rPr>
          <w:rStyle w:val="translated-span"/>
          <w:rFonts w:ascii="Book Antiqua" w:eastAsia="Book Antiqua" w:hAnsi="Book Antiqua" w:cs="Book Antiqua"/>
          <w:color w:val="000000"/>
        </w:rPr>
        <w:t>NSAIDs act by inhibiting prostaglandin synthesis and reduce persistent hyperalgesia by inhibiting cyclooxygenase activity to play an analgesic and anti-inflammatory role</w:t>
      </w:r>
      <w:r w:rsidR="00306A3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20,21</w:t>
      </w:r>
      <w:r w:rsidR="00306A3B" w:rsidRPr="005F7EC5">
        <w:rPr>
          <w:rFonts w:ascii="Book Antiqua" w:hAnsi="Book Antiqua" w:cs="Book Antiqua"/>
          <w:color w:val="000000"/>
          <w:vertAlign w:val="superscript"/>
          <w:lang w:eastAsia="zh-CN"/>
        </w:rPr>
        <w:t>]</w:t>
      </w:r>
      <w:r w:rsidR="00306A3B"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Compared with NSAIDs administered systemically, topical administration of NSAIDs reach </w:t>
      </w:r>
      <w:r w:rsidRPr="005F7EC5">
        <w:rPr>
          <w:rFonts w:ascii="Book Antiqua" w:eastAsia="Book Antiqua" w:hAnsi="Book Antiqua" w:cs="Book Antiqua"/>
          <w:color w:val="000000"/>
        </w:rPr>
        <w:t>therapeutic concentrations</w:t>
      </w:r>
      <w:r w:rsidRPr="005F7EC5">
        <w:rPr>
          <w:rStyle w:val="translated-span"/>
          <w:rFonts w:ascii="Book Antiqua" w:eastAsia="Book Antiqua" w:hAnsi="Book Antiqua" w:cs="Book Antiqua"/>
          <w:color w:val="000000"/>
        </w:rPr>
        <w:t xml:space="preserve"> at the pain/inflammation site while </w:t>
      </w:r>
      <w:r w:rsidRPr="005F7EC5">
        <w:rPr>
          <w:rFonts w:ascii="Book Antiqua" w:eastAsia="Book Antiqua" w:hAnsi="Book Antiqua" w:cs="Book Antiqua"/>
          <w:color w:val="000000"/>
        </w:rPr>
        <w:t xml:space="preserve">maintaining low serum levels and potentially </w:t>
      </w:r>
      <w:r w:rsidRPr="005F7EC5">
        <w:rPr>
          <w:rStyle w:val="translated-span"/>
          <w:rFonts w:ascii="Book Antiqua" w:eastAsia="Book Antiqua" w:hAnsi="Book Antiqua" w:cs="Book Antiqua"/>
          <w:color w:val="000000"/>
        </w:rPr>
        <w:t>minimizing adverse effects related to high systemic absorption</w:t>
      </w:r>
      <w:r w:rsidR="00AF0879"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20</w:t>
      </w:r>
      <w:r w:rsidR="008E3FEB" w:rsidRPr="005F7EC5">
        <w:rPr>
          <w:rFonts w:ascii="Book Antiqua" w:eastAsia="Book Antiqua" w:hAnsi="Book Antiqua" w:cs="Book Antiqua"/>
          <w:color w:val="000000"/>
          <w:vertAlign w:val="superscript"/>
        </w:rPr>
        <w:t>-</w:t>
      </w:r>
      <w:r w:rsidRPr="005F7EC5">
        <w:rPr>
          <w:rFonts w:ascii="Book Antiqua" w:eastAsia="Book Antiqua" w:hAnsi="Book Antiqua" w:cs="Book Antiqua"/>
          <w:color w:val="000000"/>
          <w:vertAlign w:val="superscript"/>
        </w:rPr>
        <w:t>22</w:t>
      </w:r>
      <w:r w:rsidR="00AF0879" w:rsidRPr="005F7EC5">
        <w:rPr>
          <w:rFonts w:ascii="Book Antiqua" w:hAnsi="Book Antiqua" w:cs="Book Antiqua"/>
          <w:color w:val="000000"/>
          <w:vertAlign w:val="superscript"/>
          <w:lang w:eastAsia="zh-CN"/>
        </w:rPr>
        <w:t>]</w:t>
      </w:r>
      <w:r w:rsidR="00AF0879" w:rsidRPr="005F7EC5">
        <w:rPr>
          <w:rFonts w:ascii="Book Antiqua" w:hAnsi="Book Antiqua" w:cs="Book Antiqua"/>
          <w:color w:val="000000"/>
          <w:lang w:eastAsia="zh-CN"/>
        </w:rPr>
        <w:t>.</w:t>
      </w:r>
    </w:p>
    <w:p w14:paraId="6C9B44FB" w14:textId="5A7C3714"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The advantages of t</w:t>
      </w:r>
      <w:r w:rsidR="00AF0879" w:rsidRPr="005F7EC5">
        <w:rPr>
          <w:rStyle w:val="translated-span"/>
          <w:rFonts w:ascii="Book Antiqua" w:eastAsia="Book Antiqua" w:hAnsi="Book Antiqua" w:cs="Book Antiqua"/>
          <w:color w:val="000000"/>
        </w:rPr>
        <w:t>opical NSAID application depend</w:t>
      </w:r>
      <w:r w:rsidRPr="005F7EC5">
        <w:rPr>
          <w:rStyle w:val="translated-span"/>
          <w:rFonts w:ascii="Book Antiqua" w:eastAsia="Book Antiqua" w:hAnsi="Book Antiqua" w:cs="Book Antiqua"/>
          <w:color w:val="000000"/>
        </w:rPr>
        <w:t xml:space="preserve"> on the ability of the drug to penetrate the skin and reach the site of action. Different NSAIDs have different penetration abilities. Table 4 summarizes the pharmacokinetic properties of different topical NSAIDs</w:t>
      </w:r>
      <w:r w:rsidR="00DE6227" w:rsidRPr="005F7EC5">
        <w:rPr>
          <w:rStyle w:val="translated-span"/>
          <w:rFonts w:ascii="Book Antiqua" w:eastAsia="Book Antiqua" w:hAnsi="Book Antiqua" w:cs="Book Antiqua"/>
          <w:color w:val="000000"/>
          <w:vertAlign w:val="superscript"/>
        </w:rPr>
        <w:t>[23-29]</w:t>
      </w:r>
      <w:r w:rsidRPr="005F7EC5">
        <w:rPr>
          <w:rStyle w:val="translated-span"/>
          <w:rFonts w:ascii="Book Antiqua" w:eastAsia="Book Antiqua" w:hAnsi="Book Antiqua" w:cs="Book Antiqua"/>
          <w:color w:val="000000"/>
        </w:rPr>
        <w:t>. According to studies reported, for a drug to be formulated as</w:t>
      </w:r>
      <w:r w:rsidR="00C51F29">
        <w:rPr>
          <w:rStyle w:val="translated-span"/>
          <w:rFonts w:ascii="Book Antiqua" w:eastAsia="Book Antiqua" w:hAnsi="Book Antiqua" w:cs="Book Antiqua"/>
          <w:color w:val="000000"/>
        </w:rPr>
        <w:t xml:space="preserve"> a</w:t>
      </w:r>
      <w:r w:rsidRPr="005F7EC5">
        <w:rPr>
          <w:rStyle w:val="translated-span"/>
          <w:rFonts w:ascii="Book Antiqua" w:eastAsia="Book Antiqua" w:hAnsi="Book Antiqua" w:cs="Book Antiqua"/>
          <w:color w:val="000000"/>
        </w:rPr>
        <w:t xml:space="preserve"> TDDS, it should have ideal properties such as a partition coefficient (log</w:t>
      </w:r>
      <w:r w:rsidR="00FA7AE5" w:rsidRPr="005F7EC5">
        <w:rPr>
          <w:rStyle w:val="translated-span"/>
          <w:rFonts w:ascii="Book Antiqua" w:hAnsi="Book Antiqua" w:cs="Book Antiqua"/>
          <w:color w:val="000000"/>
          <w:lang w:eastAsia="zh-CN"/>
        </w:rPr>
        <w:t xml:space="preserve"> </w:t>
      </w:r>
      <w:r w:rsidRPr="005F7EC5">
        <w:rPr>
          <w:rStyle w:val="translated-span"/>
          <w:rFonts w:ascii="Book Antiqua" w:eastAsia="Book Antiqua" w:hAnsi="Book Antiqua" w:cs="Book Antiqua"/>
          <w:i/>
          <w:color w:val="000000"/>
        </w:rPr>
        <w:t>P</w:t>
      </w:r>
      <w:r w:rsidRPr="005F7EC5">
        <w:rPr>
          <w:rStyle w:val="translated-span"/>
          <w:rFonts w:ascii="Book Antiqua" w:eastAsia="Book Antiqua" w:hAnsi="Book Antiqua" w:cs="Book Antiqua"/>
          <w:color w:val="000000"/>
        </w:rPr>
        <w:t>) of 1 to 4, molecular weight of &lt;</w:t>
      </w:r>
      <w:r w:rsidR="00FA7AE5" w:rsidRPr="005F7EC5">
        <w:rPr>
          <w:rStyle w:val="translated-span"/>
          <w:rFonts w:ascii="Book Antiqua" w:hAnsi="Book Antiqua" w:cs="Book Antiqua"/>
          <w:color w:val="000000"/>
          <w:lang w:eastAsia="zh-CN"/>
        </w:rPr>
        <w:t xml:space="preserve"> </w:t>
      </w:r>
      <w:r w:rsidRPr="005F7EC5">
        <w:rPr>
          <w:rStyle w:val="translated-span"/>
          <w:rFonts w:ascii="Book Antiqua" w:eastAsia="Book Antiqua" w:hAnsi="Book Antiqua" w:cs="Book Antiqua"/>
          <w:color w:val="000000"/>
        </w:rPr>
        <w:t>400 Da, lipophilic, highly potent, low melting point and short half-life</w:t>
      </w:r>
      <w:r w:rsidR="00D54740"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6,</w:t>
      </w:r>
      <w:r w:rsidR="00DE6227" w:rsidRPr="005F7EC5">
        <w:rPr>
          <w:rFonts w:ascii="Book Antiqua" w:eastAsia="Book Antiqua" w:hAnsi="Book Antiqua" w:cs="Book Antiqua"/>
          <w:color w:val="000000"/>
          <w:vertAlign w:val="superscript"/>
        </w:rPr>
        <w:t>30,31</w:t>
      </w:r>
      <w:r w:rsidR="00D54740" w:rsidRPr="005F7EC5">
        <w:rPr>
          <w:rFonts w:ascii="Book Antiqua" w:hAnsi="Book Antiqua" w:cs="Book Antiqua"/>
          <w:color w:val="000000"/>
          <w:vertAlign w:val="superscript"/>
          <w:lang w:eastAsia="zh-CN"/>
        </w:rPr>
        <w:t>]</w:t>
      </w:r>
      <w:r w:rsidR="00D54740" w:rsidRPr="005F7EC5">
        <w:rPr>
          <w:rFonts w:ascii="Book Antiqua" w:hAnsi="Book Antiqua" w:cs="Book Antiqua"/>
          <w:color w:val="000000"/>
          <w:lang w:eastAsia="zh-CN"/>
        </w:rPr>
        <w:t>.</w:t>
      </w:r>
      <w:r w:rsidR="00C51F29">
        <w:rPr>
          <w:rStyle w:val="translated-span"/>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The peak plasma concentrations of NSAIDs vary greatly, but their concentrations in synovial fluid were much more stable than those in the plasma</w:t>
      </w:r>
      <w:r w:rsidR="00D54740" w:rsidRPr="005F7EC5">
        <w:rPr>
          <w:rStyle w:val="translated-span"/>
          <w:rFonts w:ascii="Book Antiqua" w:hAnsi="Book Antiqua" w:cs="Book Antiqua"/>
          <w:color w:val="000000"/>
          <w:vertAlign w:val="superscript"/>
          <w:lang w:eastAsia="zh-CN"/>
        </w:rPr>
        <w:t>[</w:t>
      </w:r>
      <w:r w:rsidR="00DE6227" w:rsidRPr="005F7EC5">
        <w:rPr>
          <w:rFonts w:ascii="Book Antiqua" w:eastAsia="Book Antiqua" w:hAnsi="Book Antiqua" w:cs="Book Antiqua"/>
          <w:color w:val="000000"/>
          <w:vertAlign w:val="superscript"/>
        </w:rPr>
        <w:t>32</w:t>
      </w:r>
      <w:r w:rsidR="00D54740" w:rsidRPr="005F7EC5">
        <w:rPr>
          <w:rFonts w:ascii="Book Antiqua" w:hAnsi="Book Antiqua" w:cs="Book Antiqua"/>
          <w:color w:val="000000"/>
          <w:vertAlign w:val="superscript"/>
          <w:lang w:eastAsia="zh-CN"/>
        </w:rPr>
        <w:t>]</w:t>
      </w:r>
      <w:r w:rsidR="00D54740"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The plasma concentration of NSAIDs through topical delivery is about 1% to 10% of that of systemic administration. However, whether the concentration of NSAIDs in the local tissue of the application site is higher than that of systemic administration remains uncertain</w:t>
      </w:r>
      <w:r w:rsidR="00C04E96" w:rsidRPr="005F7EC5">
        <w:rPr>
          <w:rStyle w:val="translated-span"/>
          <w:rFonts w:ascii="Book Antiqua" w:hAnsi="Book Antiqua" w:cs="Book Antiqua"/>
          <w:color w:val="000000"/>
          <w:vertAlign w:val="superscript"/>
          <w:lang w:eastAsia="zh-CN"/>
        </w:rPr>
        <w:t>[</w:t>
      </w:r>
      <w:r w:rsidR="00DE6227" w:rsidRPr="005F7EC5">
        <w:rPr>
          <w:rFonts w:ascii="Book Antiqua" w:eastAsia="Book Antiqua" w:hAnsi="Book Antiqua" w:cs="Book Antiqua"/>
          <w:color w:val="000000"/>
          <w:vertAlign w:val="superscript"/>
        </w:rPr>
        <w:t>32</w:t>
      </w:r>
      <w:r w:rsidR="00C04E96" w:rsidRPr="005F7EC5">
        <w:rPr>
          <w:rFonts w:ascii="Book Antiqua" w:hAnsi="Book Antiqua" w:cs="Book Antiqua"/>
          <w:color w:val="000000"/>
          <w:vertAlign w:val="superscript"/>
          <w:lang w:eastAsia="zh-CN"/>
        </w:rPr>
        <w:t>]</w:t>
      </w:r>
      <w:r w:rsidR="00C04E96"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Most studies show that the concentration of NSAIDs in the deep tissue of the application site (such as the skeletal muscle and synovium) is equivalent to that of systemic administration. In addition, topical administration of NSAIDs in elderly patients may result in increased plasma concentration, which may be due to reduced drug clearance and thin skin</w:t>
      </w:r>
      <w:r w:rsidR="00A20059" w:rsidRPr="005F7EC5">
        <w:rPr>
          <w:rStyle w:val="translated-span"/>
          <w:rFonts w:ascii="Book Antiqua" w:hAnsi="Book Antiqua" w:cs="Book Antiqua"/>
          <w:color w:val="000000"/>
          <w:vertAlign w:val="superscript"/>
          <w:lang w:eastAsia="zh-CN"/>
        </w:rPr>
        <w:t>[</w:t>
      </w:r>
      <w:r w:rsidR="00DE6227" w:rsidRPr="005F7EC5">
        <w:rPr>
          <w:rStyle w:val="translated-span"/>
          <w:rFonts w:ascii="Book Antiqua" w:hAnsi="Book Antiqua" w:cs="Book Antiqua"/>
          <w:color w:val="000000"/>
          <w:vertAlign w:val="superscript"/>
          <w:lang w:eastAsia="zh-CN"/>
        </w:rPr>
        <w:t>31,32</w:t>
      </w:r>
      <w:r w:rsidR="00A20059" w:rsidRPr="005F7EC5">
        <w:rPr>
          <w:rFonts w:ascii="Book Antiqua" w:hAnsi="Book Antiqua" w:cs="Book Antiqua"/>
          <w:color w:val="000000"/>
          <w:vertAlign w:val="superscript"/>
          <w:lang w:eastAsia="zh-CN"/>
        </w:rPr>
        <w:t>]</w:t>
      </w:r>
      <w:r w:rsidR="00A20059" w:rsidRPr="005F7EC5">
        <w:rPr>
          <w:rFonts w:ascii="Book Antiqua" w:hAnsi="Book Antiqua" w:cs="Book Antiqua"/>
          <w:color w:val="000000"/>
          <w:lang w:eastAsia="zh-CN"/>
        </w:rPr>
        <w:t>.</w:t>
      </w:r>
    </w:p>
    <w:p w14:paraId="1BB237B0" w14:textId="6EE412F2" w:rsidR="00A3214D" w:rsidRPr="005F7EC5" w:rsidRDefault="00FA2DBE" w:rsidP="005F7EC5">
      <w:pPr>
        <w:spacing w:line="360" w:lineRule="auto"/>
        <w:ind w:firstLineChars="100" w:firstLine="240"/>
        <w:jc w:val="both"/>
        <w:rPr>
          <w:lang w:eastAsia="zh-CN"/>
        </w:rPr>
      </w:pPr>
      <w:r w:rsidRPr="005F7EC5">
        <w:rPr>
          <w:rFonts w:ascii="Book Antiqua" w:eastAsia="Book Antiqua" w:hAnsi="Book Antiqua" w:cs="Book Antiqua"/>
          <w:color w:val="000000"/>
        </w:rPr>
        <w:lastRenderedPageBreak/>
        <w:t xml:space="preserve">Topical </w:t>
      </w:r>
      <w:r w:rsidRPr="005F7EC5">
        <w:rPr>
          <w:rStyle w:val="translated-span"/>
          <w:rFonts w:ascii="Book Antiqua" w:eastAsia="Book Antiqua" w:hAnsi="Book Antiqua" w:cs="Book Antiqua"/>
          <w:color w:val="000000"/>
        </w:rPr>
        <w:t>NSAIDs can be used in different diseases such as acute sprain/strain, low back pain, chronic musculoskeletal pain and neuropathic pain</w:t>
      </w:r>
      <w:r w:rsidR="00A3214D"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13,21,22,</w:t>
      </w:r>
      <w:r w:rsidR="00DE6227" w:rsidRPr="005F7EC5">
        <w:rPr>
          <w:rFonts w:ascii="Book Antiqua" w:eastAsia="Book Antiqua" w:hAnsi="Book Antiqua" w:cs="Book Antiqua"/>
          <w:color w:val="000000"/>
          <w:vertAlign w:val="superscript"/>
        </w:rPr>
        <w:t>31</w:t>
      </w:r>
      <w:r w:rsidR="00A640C0" w:rsidRPr="005F7EC5">
        <w:rPr>
          <w:rFonts w:ascii="Book Antiqua" w:eastAsia="Book Antiqua" w:hAnsi="Book Antiqua" w:cs="Book Antiqua"/>
          <w:color w:val="000000"/>
          <w:vertAlign w:val="superscript"/>
        </w:rPr>
        <w:t>-</w:t>
      </w:r>
      <w:r w:rsidR="00DE6227" w:rsidRPr="005F7EC5">
        <w:rPr>
          <w:rFonts w:ascii="Book Antiqua" w:eastAsia="Book Antiqua" w:hAnsi="Book Antiqua" w:cs="Book Antiqua"/>
          <w:color w:val="000000"/>
          <w:vertAlign w:val="superscript"/>
        </w:rPr>
        <w:t>3</w:t>
      </w:r>
      <w:r w:rsidR="00A640C0" w:rsidRPr="005F7EC5">
        <w:rPr>
          <w:rFonts w:ascii="Book Antiqua" w:eastAsia="Book Antiqua" w:hAnsi="Book Antiqua" w:cs="Book Antiqua"/>
          <w:color w:val="000000"/>
          <w:vertAlign w:val="superscript"/>
        </w:rPr>
        <w:t>3</w:t>
      </w:r>
      <w:r w:rsidR="00A3214D" w:rsidRPr="005F7EC5">
        <w:rPr>
          <w:rFonts w:ascii="Book Antiqua" w:hAnsi="Book Antiqua" w:cs="Book Antiqua"/>
          <w:color w:val="000000"/>
          <w:vertAlign w:val="superscript"/>
          <w:lang w:eastAsia="zh-CN"/>
        </w:rPr>
        <w:t>]</w:t>
      </w:r>
      <w:r w:rsidR="00A3214D"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A review showed similar efficacy with topical and oral NSAIDs in the treatment of chronic skeletal muscle pain</w:t>
      </w:r>
      <w:r w:rsidR="00A3214D"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34,35</w:t>
      </w:r>
      <w:r w:rsidR="00A3214D" w:rsidRPr="005F7EC5">
        <w:rPr>
          <w:rFonts w:ascii="Book Antiqua" w:hAnsi="Book Antiqua" w:cs="Book Antiqua"/>
          <w:color w:val="000000"/>
          <w:vertAlign w:val="superscript"/>
          <w:lang w:eastAsia="zh-CN"/>
        </w:rPr>
        <w:t>]</w:t>
      </w:r>
      <w:r w:rsidR="00A3214D"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When NSAIDs alone are not effective in treating moderate to severe pain or multisite pain, combination therapy with other analgesic drugs helps in effective treatment. When a combination of topical and oral NSAIDs is used, attention should be paid to avoid </w:t>
      </w:r>
      <w:r w:rsidR="00C51F29">
        <w:rPr>
          <w:rStyle w:val="translated-span"/>
          <w:rFonts w:ascii="Book Antiqua" w:eastAsia="Book Antiqua" w:hAnsi="Book Antiqua" w:cs="Book Antiqua"/>
          <w:color w:val="000000"/>
        </w:rPr>
        <w:t xml:space="preserve">an </w:t>
      </w:r>
      <w:r w:rsidRPr="005F7EC5">
        <w:rPr>
          <w:rStyle w:val="translated-span"/>
          <w:rFonts w:ascii="Book Antiqua" w:eastAsia="Book Antiqua" w:hAnsi="Book Antiqua" w:cs="Book Antiqua"/>
          <w:color w:val="000000"/>
        </w:rPr>
        <w:t>overdos</w:t>
      </w:r>
      <w:r w:rsidR="00C51F29">
        <w:rPr>
          <w:rStyle w:val="translated-span"/>
          <w:rFonts w:ascii="Book Antiqua" w:eastAsia="Book Antiqua" w:hAnsi="Book Antiqua" w:cs="Book Antiqua"/>
          <w:color w:val="000000"/>
        </w:rPr>
        <w:t>e</w:t>
      </w:r>
      <w:r w:rsidR="00A3214D"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36</w:t>
      </w:r>
      <w:r w:rsidR="005A27C5" w:rsidRPr="005F7EC5">
        <w:rPr>
          <w:rFonts w:ascii="Book Antiqua" w:eastAsia="Book Antiqua" w:hAnsi="Book Antiqua" w:cs="Book Antiqua"/>
          <w:color w:val="000000"/>
          <w:vertAlign w:val="superscript"/>
        </w:rPr>
        <w:t>-</w:t>
      </w:r>
      <w:r w:rsidRPr="005F7EC5">
        <w:rPr>
          <w:rFonts w:ascii="Book Antiqua" w:eastAsia="Book Antiqua" w:hAnsi="Book Antiqua" w:cs="Book Antiqua"/>
          <w:color w:val="000000"/>
          <w:vertAlign w:val="superscript"/>
        </w:rPr>
        <w:t>40</w:t>
      </w:r>
      <w:r w:rsidR="00A3214D" w:rsidRPr="005F7EC5">
        <w:rPr>
          <w:rFonts w:ascii="Book Antiqua" w:hAnsi="Book Antiqua" w:cs="Book Antiqua"/>
          <w:color w:val="000000"/>
          <w:vertAlign w:val="superscript"/>
          <w:lang w:eastAsia="zh-CN"/>
        </w:rPr>
        <w:t>]</w:t>
      </w:r>
      <w:r w:rsidR="00A3214D" w:rsidRPr="005F7EC5">
        <w:rPr>
          <w:rFonts w:ascii="Book Antiqua" w:hAnsi="Book Antiqua" w:cs="Book Antiqua"/>
          <w:color w:val="000000"/>
          <w:lang w:eastAsia="zh-CN"/>
        </w:rPr>
        <w:t>.</w:t>
      </w:r>
    </w:p>
    <w:p w14:paraId="1F0F20FF" w14:textId="3EB7C4E7"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NSAIDs for topical application can be in the form of ointment, gel, gel paste and patch. Some studies compared topical NSAID patches with ointments and gelatin formulations. The results showed that the permeability of patches was better than that of gelatin and ointments. Compared with ointments, patches had better adherence</w:t>
      </w:r>
      <w:r w:rsidR="00A3214D"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41</w:t>
      </w:r>
      <w:r w:rsidR="005A27C5" w:rsidRPr="005F7EC5">
        <w:rPr>
          <w:rFonts w:ascii="Book Antiqua" w:eastAsia="Book Antiqua" w:hAnsi="Book Antiqua" w:cs="Book Antiqua"/>
          <w:color w:val="000000"/>
          <w:vertAlign w:val="superscript"/>
        </w:rPr>
        <w:t>-</w:t>
      </w:r>
      <w:r w:rsidRPr="005F7EC5">
        <w:rPr>
          <w:rFonts w:ascii="Book Antiqua" w:eastAsia="Book Antiqua" w:hAnsi="Book Antiqua" w:cs="Book Antiqua"/>
          <w:color w:val="000000"/>
          <w:vertAlign w:val="superscript"/>
        </w:rPr>
        <w:t>44</w:t>
      </w:r>
      <w:r w:rsidR="00A3214D" w:rsidRPr="005F7EC5">
        <w:rPr>
          <w:rFonts w:ascii="Book Antiqua" w:hAnsi="Book Antiqua" w:cs="Book Antiqua"/>
          <w:color w:val="000000"/>
          <w:vertAlign w:val="superscript"/>
          <w:lang w:eastAsia="zh-CN"/>
        </w:rPr>
        <w:t>]</w:t>
      </w:r>
      <w:r w:rsidR="00A3214D" w:rsidRPr="005F7EC5">
        <w:rPr>
          <w:rFonts w:ascii="Book Antiqua" w:hAnsi="Book Antiqua" w:cs="Book Antiqua"/>
          <w:color w:val="000000"/>
          <w:lang w:eastAsia="zh-CN"/>
        </w:rPr>
        <w:t>.</w:t>
      </w:r>
    </w:p>
    <w:p w14:paraId="2271AA1C" w14:textId="2B09967B" w:rsidR="00A77B3E" w:rsidRPr="005F7EC5" w:rsidRDefault="00FA2DBE" w:rsidP="005F7EC5">
      <w:pPr>
        <w:spacing w:line="360" w:lineRule="auto"/>
        <w:ind w:firstLineChars="100" w:firstLine="240"/>
        <w:jc w:val="both"/>
        <w:rPr>
          <w:rFonts w:ascii="Book Antiqua" w:hAnsi="Book Antiqua" w:cs="Book Antiqua"/>
          <w:color w:val="000000"/>
          <w:lang w:eastAsia="zh-CN"/>
        </w:rPr>
      </w:pPr>
      <w:r w:rsidRPr="005F7EC5">
        <w:rPr>
          <w:rStyle w:val="translated-span"/>
          <w:rFonts w:ascii="Book Antiqua" w:eastAsia="Book Antiqua" w:hAnsi="Book Antiqua" w:cs="Book Antiqua"/>
          <w:color w:val="000000"/>
        </w:rPr>
        <w:t>Adverse effects with topical NSAIDs can be cutaneous and systemic adverse reactions. The incidence of cutaneous adverse reactions is about 1% to 2%, which include erythema, pruritus, irritation, fever or burning sensation and contact dermatitis. Most of the cutaneous adverse reactions were reported to be mild and disappeared after drug withdrawal</w:t>
      </w:r>
      <w:r w:rsidR="00C17BD2"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45</w:t>
      </w:r>
      <w:r w:rsidR="005A27C5" w:rsidRPr="005F7EC5">
        <w:rPr>
          <w:rFonts w:ascii="Book Antiqua" w:eastAsia="Book Antiqua" w:hAnsi="Book Antiqua" w:cs="Book Antiqua"/>
          <w:color w:val="000000"/>
          <w:vertAlign w:val="superscript"/>
        </w:rPr>
        <w:t>-</w:t>
      </w:r>
      <w:r w:rsidRPr="005F7EC5">
        <w:rPr>
          <w:rFonts w:ascii="Book Antiqua" w:eastAsia="Book Antiqua" w:hAnsi="Book Antiqua" w:cs="Book Antiqua"/>
          <w:color w:val="000000"/>
          <w:vertAlign w:val="superscript"/>
        </w:rPr>
        <w:t>47</w:t>
      </w:r>
      <w:r w:rsidR="00C17BD2" w:rsidRPr="005F7EC5">
        <w:rPr>
          <w:rFonts w:ascii="Book Antiqua" w:hAnsi="Book Antiqua" w:cs="Book Antiqua"/>
          <w:color w:val="000000"/>
          <w:vertAlign w:val="superscript"/>
          <w:lang w:eastAsia="zh-CN"/>
        </w:rPr>
        <w:t>]</w:t>
      </w:r>
      <w:r w:rsidR="00C17BD2" w:rsidRPr="005F7EC5">
        <w:rPr>
          <w:rFonts w:ascii="Book Antiqua" w:hAnsi="Book Antiqua" w:cs="Book Antiqua"/>
          <w:color w:val="000000"/>
          <w:lang w:eastAsia="zh-CN"/>
        </w:rPr>
        <w:t>.</w:t>
      </w:r>
    </w:p>
    <w:p w14:paraId="7D97B4FB" w14:textId="77777777" w:rsidR="00C17BD2" w:rsidRPr="005F7EC5" w:rsidRDefault="00C17BD2" w:rsidP="005F7EC5">
      <w:pPr>
        <w:spacing w:line="360" w:lineRule="auto"/>
        <w:ind w:firstLineChars="100" w:firstLine="240"/>
        <w:jc w:val="both"/>
        <w:rPr>
          <w:lang w:eastAsia="zh-CN"/>
        </w:rPr>
      </w:pPr>
    </w:p>
    <w:p w14:paraId="400705F5" w14:textId="77777777" w:rsidR="00A77B3E" w:rsidRPr="005F7EC5" w:rsidRDefault="00FA2DBE" w:rsidP="005F7EC5">
      <w:pPr>
        <w:spacing w:line="360" w:lineRule="auto"/>
        <w:jc w:val="both"/>
        <w:rPr>
          <w:i/>
        </w:rPr>
      </w:pPr>
      <w:r w:rsidRPr="005F7EC5">
        <w:rPr>
          <w:rStyle w:val="translated-span"/>
          <w:rFonts w:ascii="Book Antiqua" w:eastAsia="Book Antiqua" w:hAnsi="Book Antiqua" w:cs="Book Antiqua"/>
          <w:b/>
          <w:bCs/>
          <w:i/>
          <w:color w:val="000000"/>
        </w:rPr>
        <w:t xml:space="preserve">Transdermal </w:t>
      </w:r>
      <w:r w:rsidR="00C17BD2" w:rsidRPr="005F7EC5">
        <w:rPr>
          <w:rStyle w:val="translated-span"/>
          <w:rFonts w:ascii="Book Antiqua" w:eastAsia="Book Antiqua" w:hAnsi="Book Antiqua" w:cs="Book Antiqua"/>
          <w:b/>
          <w:bCs/>
          <w:i/>
          <w:color w:val="000000"/>
        </w:rPr>
        <w:t xml:space="preserve">opioids </w:t>
      </w:r>
    </w:p>
    <w:p w14:paraId="687C5CBF" w14:textId="49C2CFB0" w:rsidR="00A77B3E" w:rsidRPr="005F7EC5" w:rsidRDefault="00FA2DBE" w:rsidP="005F7EC5">
      <w:pPr>
        <w:spacing w:line="360" w:lineRule="auto"/>
        <w:jc w:val="both"/>
      </w:pPr>
      <w:r w:rsidRPr="005F7EC5">
        <w:rPr>
          <w:rStyle w:val="translated-span"/>
          <w:rFonts w:ascii="Book Antiqua" w:eastAsia="Book Antiqua" w:hAnsi="Book Antiqua" w:cs="Book Antiqua"/>
          <w:color w:val="000000"/>
        </w:rPr>
        <w:t xml:space="preserve">The commonly used opioid transdermal patches in China are </w:t>
      </w:r>
      <w:r w:rsidR="00C51F29">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fentanyl transdermal patch and buprenorphine transdermal patch</w:t>
      </w:r>
      <w:r w:rsidR="0038072F"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w:t>
      </w:r>
      <w:r w:rsidR="0038072F" w:rsidRPr="005F7EC5">
        <w:rPr>
          <w:rFonts w:ascii="Book Antiqua" w:hAnsi="Book Antiqua" w:cs="Book Antiqua"/>
          <w:color w:val="000000"/>
          <w:vertAlign w:val="superscript"/>
          <w:lang w:eastAsia="zh-CN"/>
        </w:rPr>
        <w:t>]</w:t>
      </w:r>
      <w:r w:rsidR="0038072F"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Table 5 represents the pharmacology of opioid transdermal patches</w:t>
      </w:r>
      <w:r w:rsidR="00DE6227" w:rsidRPr="005F7EC5">
        <w:rPr>
          <w:rStyle w:val="translated-span"/>
          <w:rFonts w:ascii="Book Antiqua" w:eastAsia="Book Antiqua" w:hAnsi="Book Antiqua" w:cs="Book Antiqua"/>
          <w:color w:val="000000"/>
          <w:vertAlign w:val="superscript"/>
        </w:rPr>
        <w:t>[48-52]</w:t>
      </w:r>
      <w:r w:rsidRPr="005F7EC5">
        <w:rPr>
          <w:rStyle w:val="translated-span"/>
          <w:rFonts w:ascii="Book Antiqua" w:eastAsia="Book Antiqua" w:hAnsi="Book Antiqua" w:cs="Book Antiqua"/>
          <w:color w:val="000000"/>
        </w:rPr>
        <w:t xml:space="preserve">. </w:t>
      </w:r>
    </w:p>
    <w:p w14:paraId="05FEF5F0" w14:textId="77777777" w:rsidR="00A77B3E" w:rsidRPr="005F7EC5" w:rsidRDefault="00A77B3E" w:rsidP="005F7EC5">
      <w:pPr>
        <w:spacing w:line="360" w:lineRule="auto"/>
        <w:ind w:firstLine="420"/>
        <w:jc w:val="both"/>
      </w:pPr>
    </w:p>
    <w:p w14:paraId="212DB6E8" w14:textId="77777777" w:rsidR="00A77B3E" w:rsidRPr="005F7EC5" w:rsidRDefault="00FA2DBE" w:rsidP="005F7EC5">
      <w:pPr>
        <w:spacing w:line="360" w:lineRule="auto"/>
        <w:jc w:val="both"/>
      </w:pPr>
      <w:r w:rsidRPr="005F7EC5">
        <w:rPr>
          <w:rStyle w:val="translated-span"/>
          <w:rFonts w:ascii="Book Antiqua" w:eastAsia="Book Antiqua" w:hAnsi="Book Antiqua" w:cs="Book Antiqua"/>
          <w:b/>
          <w:bCs/>
          <w:i/>
          <w:iCs/>
          <w:color w:val="000000"/>
        </w:rPr>
        <w:t>Fentanyl</w:t>
      </w:r>
      <w:r w:rsidRPr="005F7EC5">
        <w:rPr>
          <w:rFonts w:ascii="Book Antiqua" w:eastAsia="Book Antiqua" w:hAnsi="Book Antiqua" w:cs="Book Antiqua"/>
          <w:b/>
          <w:bCs/>
          <w:i/>
          <w:iCs/>
          <w:color w:val="000000"/>
        </w:rPr>
        <w:t xml:space="preserve"> </w:t>
      </w:r>
      <w:r w:rsidR="0038072F" w:rsidRPr="005F7EC5">
        <w:rPr>
          <w:rStyle w:val="translated-span"/>
          <w:rFonts w:ascii="Book Antiqua" w:eastAsia="Book Antiqua" w:hAnsi="Book Antiqua" w:cs="Book Antiqua"/>
          <w:b/>
          <w:bCs/>
          <w:i/>
          <w:iCs/>
          <w:color w:val="000000"/>
        </w:rPr>
        <w:t>transdermal pa</w:t>
      </w:r>
      <w:r w:rsidRPr="005F7EC5">
        <w:rPr>
          <w:rStyle w:val="translated-span"/>
          <w:rFonts w:ascii="Book Antiqua" w:eastAsia="Book Antiqua" w:hAnsi="Book Antiqua" w:cs="Book Antiqua"/>
          <w:b/>
          <w:bCs/>
          <w:i/>
          <w:iCs/>
          <w:color w:val="000000"/>
        </w:rPr>
        <w:t>tch</w:t>
      </w:r>
    </w:p>
    <w:p w14:paraId="71CE9707" w14:textId="3BCA2CCE" w:rsidR="00D343E3" w:rsidRPr="005F7EC5" w:rsidRDefault="00FA2DBE" w:rsidP="005F7EC5">
      <w:pPr>
        <w:spacing w:line="360" w:lineRule="auto"/>
        <w:jc w:val="both"/>
        <w:rPr>
          <w:rFonts w:ascii="Book Antiqua" w:hAnsi="Book Antiqua" w:cs="Book Antiqua"/>
          <w:color w:val="000000"/>
          <w:lang w:eastAsia="zh-CN"/>
        </w:rPr>
      </w:pPr>
      <w:r w:rsidRPr="005F7EC5">
        <w:rPr>
          <w:rStyle w:val="translated-span"/>
          <w:rFonts w:ascii="Book Antiqua" w:eastAsia="Book Antiqua" w:hAnsi="Book Antiqua" w:cs="Book Antiqua"/>
          <w:color w:val="000000"/>
        </w:rPr>
        <w:t xml:space="preserve">Fentanyl is a strong opioid analgesic. Its analgesic intensity is about 100 times that of morphine, and its transdermal penetration ability is 43 times that of morphine. Because of its ideal properties such as small molecular weight (337 Da), highly lipophilic properties and no biotransformation in the process of transdermal penetration, it </w:t>
      </w:r>
      <w:r w:rsidR="00765F3C">
        <w:rPr>
          <w:rStyle w:val="translated-span"/>
          <w:rFonts w:ascii="Book Antiqua" w:eastAsia="Book Antiqua" w:hAnsi="Book Antiqua" w:cs="Book Antiqua"/>
          <w:color w:val="000000"/>
        </w:rPr>
        <w:t>wa</w:t>
      </w:r>
      <w:r w:rsidRPr="005F7EC5">
        <w:rPr>
          <w:rStyle w:val="translated-span"/>
          <w:rFonts w:ascii="Book Antiqua" w:eastAsia="Book Antiqua" w:hAnsi="Book Antiqua" w:cs="Book Antiqua"/>
          <w:color w:val="000000"/>
        </w:rPr>
        <w:t xml:space="preserve">s the first analgesic drug formulated as </w:t>
      </w:r>
      <w:r w:rsidR="00765F3C">
        <w:rPr>
          <w:rStyle w:val="translated-span"/>
          <w:rFonts w:ascii="Book Antiqua" w:eastAsia="Book Antiqua" w:hAnsi="Book Antiqua" w:cs="Book Antiqua"/>
          <w:color w:val="000000"/>
        </w:rPr>
        <w:t xml:space="preserve">a </w:t>
      </w:r>
      <w:r w:rsidRPr="005F7EC5">
        <w:rPr>
          <w:rStyle w:val="translated-span"/>
          <w:rFonts w:ascii="Book Antiqua" w:eastAsia="Book Antiqua" w:hAnsi="Book Antiqua" w:cs="Book Antiqua"/>
          <w:color w:val="000000"/>
        </w:rPr>
        <w:t>TDDS</w:t>
      </w:r>
      <w:r w:rsidR="00371EB2"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49</w:t>
      </w:r>
      <w:r w:rsidR="00371EB2" w:rsidRPr="005F7EC5">
        <w:rPr>
          <w:rFonts w:ascii="Book Antiqua" w:hAnsi="Book Antiqua" w:cs="Book Antiqua"/>
          <w:color w:val="000000"/>
          <w:vertAlign w:val="superscript"/>
          <w:lang w:eastAsia="zh-CN"/>
        </w:rPr>
        <w:t>]</w:t>
      </w:r>
      <w:r w:rsidR="00371EB2"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w:t>
      </w:r>
      <w:r w:rsidR="00765F3C">
        <w:rPr>
          <w:rStyle w:val="translated-span"/>
          <w:rFonts w:ascii="Book Antiqua" w:eastAsia="Book Antiqua" w:hAnsi="Book Antiqua" w:cs="Book Antiqua"/>
          <w:color w:val="000000"/>
        </w:rPr>
        <w:t>The f</w:t>
      </w:r>
      <w:r w:rsidRPr="005F7EC5">
        <w:rPr>
          <w:rStyle w:val="translated-span"/>
          <w:rFonts w:ascii="Book Antiqua" w:eastAsia="Book Antiqua" w:hAnsi="Book Antiqua" w:cs="Book Antiqua"/>
          <w:color w:val="000000"/>
        </w:rPr>
        <w:t>entanyl transdermal patch was approved by the FDA in 1990 for the treatment of chronic pain</w:t>
      </w:r>
      <w:r w:rsidR="00371EB2"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w:t>
      </w:r>
      <w:r w:rsidR="00371EB2" w:rsidRPr="005F7EC5">
        <w:rPr>
          <w:rFonts w:ascii="Book Antiqua" w:hAnsi="Book Antiqua" w:cs="Book Antiqua"/>
          <w:color w:val="000000"/>
          <w:vertAlign w:val="superscript"/>
          <w:lang w:eastAsia="zh-CN"/>
        </w:rPr>
        <w:t>]</w:t>
      </w:r>
      <w:r w:rsidR="00371EB2"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Other than chronic pain, it is also used for neuropathic pain and cancer pain</w:t>
      </w:r>
      <w:r w:rsidR="00D343E3"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50</w:t>
      </w:r>
      <w:r w:rsidR="00D343E3" w:rsidRPr="005F7EC5">
        <w:rPr>
          <w:rFonts w:ascii="Book Antiqua" w:hAnsi="Book Antiqua" w:cs="Book Antiqua"/>
          <w:color w:val="000000"/>
          <w:vertAlign w:val="superscript"/>
          <w:lang w:eastAsia="zh-CN"/>
        </w:rPr>
        <w:t>]</w:t>
      </w:r>
      <w:r w:rsidR="00D343E3" w:rsidRPr="005F7EC5">
        <w:rPr>
          <w:rFonts w:ascii="Book Antiqua" w:hAnsi="Book Antiqua" w:cs="Book Antiqua"/>
          <w:color w:val="000000"/>
          <w:lang w:eastAsia="zh-CN"/>
        </w:rPr>
        <w:t>.</w:t>
      </w:r>
    </w:p>
    <w:p w14:paraId="1D84E2F4" w14:textId="77777777" w:rsidR="00A77B3E" w:rsidRPr="005F7EC5" w:rsidRDefault="00FA2DBE" w:rsidP="005F7EC5">
      <w:pPr>
        <w:spacing w:line="360" w:lineRule="auto"/>
        <w:jc w:val="both"/>
      </w:pPr>
      <w:r w:rsidRPr="005F7EC5">
        <w:rPr>
          <w:rStyle w:val="translated-span"/>
          <w:rFonts w:ascii="Book Antiqua" w:eastAsia="Book Antiqua" w:hAnsi="Book Antiqua" w:cs="Book Antiqua"/>
          <w:color w:val="000000"/>
        </w:rPr>
        <w:lastRenderedPageBreak/>
        <w:t xml:space="preserve"> </w:t>
      </w:r>
    </w:p>
    <w:p w14:paraId="0E03646A" w14:textId="77777777" w:rsidR="00A77B3E" w:rsidRPr="005F7EC5" w:rsidRDefault="00FA2DBE" w:rsidP="005F7EC5">
      <w:pPr>
        <w:spacing w:line="360" w:lineRule="auto"/>
        <w:jc w:val="both"/>
      </w:pPr>
      <w:r w:rsidRPr="005F7EC5">
        <w:rPr>
          <w:rStyle w:val="translated-span"/>
          <w:rFonts w:ascii="Book Antiqua" w:eastAsia="Book Antiqua" w:hAnsi="Book Antiqua" w:cs="Book Antiqua"/>
          <w:b/>
          <w:bCs/>
          <w:i/>
          <w:iCs/>
          <w:color w:val="000000"/>
        </w:rPr>
        <w:t>Buprenorphin</w:t>
      </w:r>
      <w:r w:rsidR="00D343E3" w:rsidRPr="005F7EC5">
        <w:rPr>
          <w:rStyle w:val="translated-span"/>
          <w:rFonts w:ascii="Book Antiqua" w:eastAsia="Book Antiqua" w:hAnsi="Book Antiqua" w:cs="Book Antiqua"/>
          <w:b/>
          <w:bCs/>
          <w:i/>
          <w:iCs/>
          <w:color w:val="000000"/>
        </w:rPr>
        <w:t>e transdermal pa</w:t>
      </w:r>
      <w:r w:rsidRPr="005F7EC5">
        <w:rPr>
          <w:rStyle w:val="translated-span"/>
          <w:rFonts w:ascii="Book Antiqua" w:eastAsia="Book Antiqua" w:hAnsi="Book Antiqua" w:cs="Book Antiqua"/>
          <w:b/>
          <w:bCs/>
          <w:i/>
          <w:iCs/>
          <w:color w:val="000000"/>
        </w:rPr>
        <w:t>tch</w:t>
      </w:r>
    </w:p>
    <w:p w14:paraId="332FEBB5" w14:textId="7DDC362C" w:rsidR="00A77B3E" w:rsidRPr="005F7EC5" w:rsidRDefault="00FA2DBE" w:rsidP="005F7EC5">
      <w:pPr>
        <w:spacing w:line="360" w:lineRule="auto"/>
        <w:jc w:val="both"/>
        <w:rPr>
          <w:lang w:eastAsia="zh-CN"/>
        </w:rPr>
      </w:pPr>
      <w:r w:rsidRPr="005F7EC5">
        <w:rPr>
          <w:rStyle w:val="translated-span"/>
          <w:rFonts w:ascii="Book Antiqua" w:eastAsia="Book Antiqua" w:hAnsi="Book Antiqua" w:cs="Book Antiqua"/>
          <w:color w:val="000000"/>
        </w:rPr>
        <w:t>Buprenorphine, a semisynthetic derivative of dimethylmorphine, is a partial agonist of</w:t>
      </w:r>
      <w:r w:rsidR="00765F3C">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μ opioid receptor and antagonist of</w:t>
      </w:r>
      <w:r w:rsidR="00765F3C">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κ receptor. </w:t>
      </w:r>
      <w:r w:rsidR="00765F3C">
        <w:rPr>
          <w:rStyle w:val="translated-span"/>
          <w:rFonts w:ascii="Book Antiqua" w:eastAsia="Book Antiqua" w:hAnsi="Book Antiqua" w:cs="Book Antiqua"/>
          <w:color w:val="000000"/>
        </w:rPr>
        <w:t>The b</w:t>
      </w:r>
      <w:r w:rsidRPr="005F7EC5">
        <w:rPr>
          <w:rStyle w:val="translated-span"/>
          <w:rFonts w:ascii="Book Antiqua" w:eastAsia="Book Antiqua" w:hAnsi="Book Antiqua" w:cs="Book Antiqua"/>
          <w:color w:val="000000"/>
        </w:rPr>
        <w:t>uprenorphine transdermal patch was approved by the FDA in 2010 for pain treatment. It is used for moderate to severe cancer pain, skeletal muscle pain, neuropathological pai, and visceral pain. As with fentanyl, buprenorphine is also not recommended in the treatment of acute and breakthrough pain</w:t>
      </w:r>
      <w:r w:rsidR="003B37DA"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4,13,51,52</w:t>
      </w:r>
      <w:r w:rsidR="003B37DA" w:rsidRPr="005F7EC5">
        <w:rPr>
          <w:rFonts w:ascii="Book Antiqua" w:hAnsi="Book Antiqua" w:cs="Book Antiqua"/>
          <w:color w:val="000000"/>
          <w:vertAlign w:val="superscript"/>
          <w:lang w:eastAsia="zh-CN"/>
        </w:rPr>
        <w:t>]</w:t>
      </w:r>
      <w:r w:rsidR="003B37DA" w:rsidRPr="005F7EC5">
        <w:rPr>
          <w:rFonts w:ascii="Book Antiqua" w:hAnsi="Book Antiqua" w:cs="Book Antiqua"/>
          <w:color w:val="000000"/>
          <w:lang w:eastAsia="zh-CN"/>
        </w:rPr>
        <w:t>.</w:t>
      </w:r>
    </w:p>
    <w:p w14:paraId="5072573E" w14:textId="13BA5635" w:rsidR="00A77B3E" w:rsidRPr="005F7EC5" w:rsidRDefault="00FA2DBE" w:rsidP="005F7EC5">
      <w:pPr>
        <w:spacing w:line="360" w:lineRule="auto"/>
        <w:ind w:firstLineChars="100" w:firstLine="240"/>
        <w:jc w:val="both"/>
      </w:pPr>
      <w:r w:rsidRPr="005F7EC5">
        <w:rPr>
          <w:rStyle w:val="translated-span"/>
          <w:rFonts w:ascii="Book Antiqua" w:eastAsia="Book Antiqua" w:hAnsi="Book Antiqua" w:cs="Book Antiqua"/>
          <w:color w:val="000000"/>
        </w:rPr>
        <w:t xml:space="preserve">Compared with fentanyl and other opioids, buprenorphine transdermal patch has lower neurotoxicity, especially in the elderly or patients with Alzheimer’s disease. Another significant advantage of </w:t>
      </w:r>
      <w:r w:rsidR="00765F3C">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transdermal buprenorphine patch is that no dosage adjustment is needed in patients with renal insufficiency</w:t>
      </w:r>
      <w:r w:rsidR="003B37DA"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w:t>
      </w:r>
      <w:r w:rsidR="003B37DA" w:rsidRPr="005F7EC5">
        <w:rPr>
          <w:rFonts w:ascii="Book Antiqua" w:hAnsi="Book Antiqua" w:cs="Book Antiqua"/>
          <w:color w:val="000000"/>
          <w:vertAlign w:val="superscript"/>
          <w:lang w:eastAsia="zh-CN"/>
        </w:rPr>
        <w:t>]</w:t>
      </w:r>
      <w:r w:rsidR="003B37DA" w:rsidRPr="005F7EC5">
        <w:rPr>
          <w:rFonts w:ascii="Book Antiqua" w:hAnsi="Book Antiqua" w:cs="Book Antiqua"/>
          <w:color w:val="000000"/>
          <w:lang w:eastAsia="zh-CN"/>
        </w:rPr>
        <w:t>.</w:t>
      </w:r>
    </w:p>
    <w:p w14:paraId="4D89D338" w14:textId="7B17F546" w:rsidR="00A77B3E" w:rsidRPr="005F7EC5" w:rsidRDefault="00765F3C" w:rsidP="005F7EC5">
      <w:pPr>
        <w:spacing w:line="360" w:lineRule="auto"/>
        <w:ind w:firstLineChars="100" w:firstLine="240"/>
        <w:jc w:val="both"/>
        <w:rPr>
          <w:rFonts w:ascii="Book Antiqua" w:hAnsi="Book Antiqua" w:cs="Book Antiqua"/>
          <w:color w:val="000000"/>
          <w:lang w:eastAsia="zh-CN"/>
        </w:rPr>
      </w:pPr>
      <w:r>
        <w:rPr>
          <w:rStyle w:val="translated-span"/>
          <w:rFonts w:ascii="Book Antiqua" w:eastAsia="Book Antiqua" w:hAnsi="Book Antiqua" w:cs="Book Antiqua"/>
          <w:color w:val="000000"/>
        </w:rPr>
        <w:t>O</w:t>
      </w:r>
      <w:r w:rsidR="00FA2DBE" w:rsidRPr="005F7EC5">
        <w:rPr>
          <w:rStyle w:val="translated-span"/>
          <w:rFonts w:ascii="Book Antiqua" w:eastAsia="Book Antiqua" w:hAnsi="Book Antiqua" w:cs="Book Antiqua"/>
          <w:color w:val="000000"/>
        </w:rPr>
        <w:t>pioid transdermal patches can significantly reduce pain and gastrointestinal related adverse effects such as nausea, vomiting and constipation and reduce the proportion of patients discontinuing treatment due to adverse reactions. However, in the treatment of chronic low back pain</w:t>
      </w:r>
      <w:r>
        <w:rPr>
          <w:rStyle w:val="translated-span"/>
          <w:rFonts w:ascii="Book Antiqua" w:eastAsia="Book Antiqua" w:hAnsi="Book Antiqua" w:cs="Book Antiqua"/>
          <w:color w:val="000000"/>
        </w:rPr>
        <w:t xml:space="preserve"> and</w:t>
      </w:r>
      <w:r w:rsidR="00FA2DBE" w:rsidRPr="005F7EC5">
        <w:rPr>
          <w:rStyle w:val="translated-span"/>
          <w:rFonts w:ascii="Book Antiqua" w:eastAsia="Book Antiqua" w:hAnsi="Book Antiqua" w:cs="Book Antiqua"/>
          <w:color w:val="000000"/>
        </w:rPr>
        <w:t xml:space="preserve"> knee and hip arthritis</w:t>
      </w:r>
      <w:r>
        <w:rPr>
          <w:rStyle w:val="translated-span"/>
          <w:rFonts w:ascii="Book Antiqua" w:eastAsia="Book Antiqua" w:hAnsi="Book Antiqua" w:cs="Book Antiqua"/>
          <w:color w:val="000000"/>
        </w:rPr>
        <w:t xml:space="preserve"> </w:t>
      </w:r>
      <w:r w:rsidR="00FA2DBE" w:rsidRPr="005F7EC5">
        <w:rPr>
          <w:rStyle w:val="translated-span"/>
          <w:rFonts w:ascii="Book Antiqua" w:eastAsia="Book Antiqua" w:hAnsi="Book Antiqua" w:cs="Book Antiqua"/>
          <w:color w:val="000000"/>
        </w:rPr>
        <w:t>opioids (including opioid transdermal patches) were reported to have no significant difference in relieving pain and improving body function, while more adverse reactions were reported</w:t>
      </w:r>
      <w:r>
        <w:rPr>
          <w:rStyle w:val="translated-span"/>
          <w:rFonts w:ascii="Book Antiqua" w:eastAsia="Book Antiqua" w:hAnsi="Book Antiqua" w:cs="Book Antiqua"/>
          <w:color w:val="000000"/>
        </w:rPr>
        <w:t xml:space="preserve"> when compared with NSAIDs</w:t>
      </w:r>
      <w:r w:rsidR="003B37DA" w:rsidRPr="005F7EC5">
        <w:rPr>
          <w:rStyle w:val="translated-span"/>
          <w:rFonts w:ascii="Book Antiqua" w:hAnsi="Book Antiqua" w:cs="Book Antiqua"/>
          <w:color w:val="000000"/>
          <w:vertAlign w:val="superscript"/>
          <w:lang w:eastAsia="zh-CN"/>
        </w:rPr>
        <w:t>[</w:t>
      </w:r>
      <w:r w:rsidR="00FA2DBE" w:rsidRPr="005F7EC5">
        <w:rPr>
          <w:rFonts w:ascii="Book Antiqua" w:eastAsia="Book Antiqua" w:hAnsi="Book Antiqua" w:cs="Book Antiqua"/>
          <w:color w:val="000000"/>
          <w:vertAlign w:val="superscript"/>
        </w:rPr>
        <w:t>53</w:t>
      </w:r>
      <w:r w:rsidR="005A27C5" w:rsidRPr="005F7EC5">
        <w:rPr>
          <w:rFonts w:ascii="Book Antiqua" w:eastAsia="Book Antiqua" w:hAnsi="Book Antiqua" w:cs="Book Antiqua"/>
          <w:color w:val="000000"/>
          <w:vertAlign w:val="superscript"/>
        </w:rPr>
        <w:t>-</w:t>
      </w:r>
      <w:r w:rsidR="00FA2DBE" w:rsidRPr="005F7EC5">
        <w:rPr>
          <w:rFonts w:ascii="Book Antiqua" w:eastAsia="Book Antiqua" w:hAnsi="Book Antiqua" w:cs="Book Antiqua"/>
          <w:color w:val="000000"/>
          <w:vertAlign w:val="superscript"/>
        </w:rPr>
        <w:t>57</w:t>
      </w:r>
      <w:r w:rsidR="003B37DA" w:rsidRPr="005F7EC5">
        <w:rPr>
          <w:rFonts w:ascii="Book Antiqua" w:hAnsi="Book Antiqua" w:cs="Book Antiqua"/>
          <w:color w:val="000000"/>
          <w:vertAlign w:val="superscript"/>
          <w:lang w:eastAsia="zh-CN"/>
        </w:rPr>
        <w:t>]</w:t>
      </w:r>
      <w:r w:rsidR="003B37DA" w:rsidRPr="005F7EC5">
        <w:rPr>
          <w:rFonts w:ascii="Book Antiqua" w:hAnsi="Book Antiqua" w:cs="Book Antiqua"/>
          <w:color w:val="000000"/>
          <w:lang w:eastAsia="zh-CN"/>
        </w:rPr>
        <w:t>.</w:t>
      </w:r>
    </w:p>
    <w:p w14:paraId="3B78E230" w14:textId="77777777" w:rsidR="003B37DA" w:rsidRPr="005F7EC5" w:rsidRDefault="003B37DA" w:rsidP="005F7EC5">
      <w:pPr>
        <w:spacing w:line="360" w:lineRule="auto"/>
        <w:ind w:firstLineChars="100" w:firstLine="240"/>
        <w:jc w:val="both"/>
        <w:rPr>
          <w:lang w:eastAsia="zh-CN"/>
        </w:rPr>
      </w:pPr>
    </w:p>
    <w:p w14:paraId="278A12EC" w14:textId="77777777" w:rsidR="00A77B3E" w:rsidRPr="005F7EC5" w:rsidRDefault="00FA2DBE" w:rsidP="005F7EC5">
      <w:pPr>
        <w:spacing w:line="360" w:lineRule="auto"/>
        <w:jc w:val="both"/>
        <w:rPr>
          <w:i/>
        </w:rPr>
      </w:pPr>
      <w:r w:rsidRPr="005F7EC5">
        <w:rPr>
          <w:rStyle w:val="translated-span"/>
          <w:rFonts w:ascii="Book Antiqua" w:eastAsia="Book Antiqua" w:hAnsi="Book Antiqua" w:cs="Book Antiqua"/>
          <w:b/>
          <w:bCs/>
          <w:i/>
          <w:color w:val="000000"/>
        </w:rPr>
        <w:t xml:space="preserve">Capsaicin </w:t>
      </w:r>
      <w:r w:rsidR="00251C9D" w:rsidRPr="005F7EC5">
        <w:rPr>
          <w:rStyle w:val="translated-span"/>
          <w:rFonts w:ascii="Book Antiqua" w:eastAsia="Book Antiqua" w:hAnsi="Book Antiqua" w:cs="Book Antiqua"/>
          <w:b/>
          <w:bCs/>
          <w:i/>
          <w:color w:val="000000"/>
        </w:rPr>
        <w:t>transdermal patc</w:t>
      </w:r>
      <w:r w:rsidRPr="005F7EC5">
        <w:rPr>
          <w:rStyle w:val="translated-span"/>
          <w:rFonts w:ascii="Book Antiqua" w:eastAsia="Book Antiqua" w:hAnsi="Book Antiqua" w:cs="Book Antiqua"/>
          <w:b/>
          <w:bCs/>
          <w:i/>
          <w:color w:val="000000"/>
        </w:rPr>
        <w:t>h</w:t>
      </w:r>
    </w:p>
    <w:p w14:paraId="7704A626" w14:textId="009BEE9B" w:rsidR="00A77B3E" w:rsidRPr="005F7EC5" w:rsidRDefault="00FA2DBE" w:rsidP="005F7EC5">
      <w:pPr>
        <w:spacing w:line="360" w:lineRule="auto"/>
        <w:jc w:val="both"/>
        <w:rPr>
          <w:lang w:eastAsia="zh-CN"/>
        </w:rPr>
      </w:pPr>
      <w:r w:rsidRPr="005F7EC5">
        <w:rPr>
          <w:rStyle w:val="translated-span"/>
          <w:rFonts w:ascii="Book Antiqua" w:eastAsia="Book Antiqua" w:hAnsi="Book Antiqua" w:cs="Book Antiqua"/>
          <w:color w:val="000000"/>
        </w:rPr>
        <w:t xml:space="preserve">Capsaicin is a selective transient receptor potential vanilloid receptor, subtype 1 agonist that activates the </w:t>
      </w:r>
      <w:r w:rsidRPr="005F7EC5">
        <w:rPr>
          <w:rFonts w:ascii="Book Antiqua" w:eastAsia="Book Antiqua" w:hAnsi="Book Antiqua" w:cs="Book Antiqua"/>
          <w:color w:val="000000"/>
        </w:rPr>
        <w:t>nociceptive sensory nerve fibers (C- and Ad-fibers)</w:t>
      </w:r>
      <w:r w:rsidRPr="005F7EC5">
        <w:rPr>
          <w:rStyle w:val="translated-span"/>
          <w:rFonts w:ascii="Book Antiqua" w:eastAsia="Book Antiqua" w:hAnsi="Book Antiqua" w:cs="Book Antiqua"/>
          <w:color w:val="000000"/>
        </w:rPr>
        <w:t xml:space="preserve"> of </w:t>
      </w:r>
      <w:r w:rsidR="00217CFF" w:rsidRPr="005F7EC5">
        <w:rPr>
          <w:rStyle w:val="translated-span"/>
          <w:rFonts w:ascii="Book Antiqua" w:eastAsia="Book Antiqua" w:hAnsi="Book Antiqua" w:cs="Book Antiqua"/>
          <w:color w:val="000000"/>
        </w:rPr>
        <w:t xml:space="preserve">transient receptor potential vanilloid receptor, subtype 1 </w:t>
      </w:r>
      <w:r w:rsidRPr="005F7EC5">
        <w:rPr>
          <w:rStyle w:val="translated-span"/>
          <w:rFonts w:ascii="Book Antiqua" w:eastAsia="Book Antiqua" w:hAnsi="Book Antiqua" w:cs="Book Antiqua"/>
          <w:color w:val="000000"/>
        </w:rPr>
        <w:t>in the skin, resulting in enhanced sensitivity to stimuli, burning sensation and erythema. Exposure to a single high dose or repeated exposure to low dose of capsaicin can lead to the nonfunctioning of nociceptors</w:t>
      </w:r>
      <w:r w:rsidR="00855B83"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13,58</w:t>
      </w:r>
      <w:r w:rsidR="00855B83" w:rsidRPr="005F7EC5">
        <w:rPr>
          <w:rFonts w:ascii="Book Antiqua" w:hAnsi="Book Antiqua" w:cs="Book Antiqua"/>
          <w:color w:val="000000"/>
          <w:vertAlign w:val="superscript"/>
          <w:lang w:eastAsia="zh-CN"/>
        </w:rPr>
        <w:t>]</w:t>
      </w:r>
      <w:r w:rsidR="00855B83" w:rsidRPr="005F7EC5">
        <w:rPr>
          <w:rFonts w:ascii="Book Antiqua" w:hAnsi="Book Antiqua" w:cs="Book Antiqua"/>
          <w:color w:val="000000"/>
          <w:lang w:eastAsia="zh-CN"/>
        </w:rPr>
        <w:t>.</w:t>
      </w:r>
    </w:p>
    <w:p w14:paraId="0866E569" w14:textId="61C99A1B" w:rsidR="00A77B3E" w:rsidRPr="005F7EC5" w:rsidRDefault="00FA2DBE" w:rsidP="005F7EC5">
      <w:pPr>
        <w:spacing w:line="360" w:lineRule="auto"/>
        <w:ind w:firstLineChars="100" w:firstLine="240"/>
        <w:jc w:val="both"/>
        <w:rPr>
          <w:rFonts w:ascii="Book Antiqua" w:hAnsi="Book Antiqua" w:cs="Book Antiqua"/>
          <w:color w:val="000000"/>
          <w:lang w:eastAsia="zh-CN"/>
        </w:rPr>
      </w:pPr>
      <w:r w:rsidRPr="005F7EC5">
        <w:rPr>
          <w:rFonts w:ascii="Book Antiqua" w:eastAsia="Book Antiqua" w:hAnsi="Book Antiqua" w:cs="Book Antiqua"/>
          <w:color w:val="000000"/>
        </w:rPr>
        <w:t xml:space="preserve">Studies reported absorption of 1% </w:t>
      </w:r>
      <w:r w:rsidRPr="005F7EC5">
        <w:rPr>
          <w:rStyle w:val="translated-span"/>
          <w:rFonts w:ascii="Book Antiqua" w:eastAsia="Book Antiqua" w:hAnsi="Book Antiqua" w:cs="Book Antiqua"/>
          <w:color w:val="000000"/>
        </w:rPr>
        <w:t>capsaicin</w:t>
      </w:r>
      <w:r w:rsidRPr="005F7EC5">
        <w:rPr>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 xml:space="preserve">into the epidermis and dermis after an hour of patch application. The absorption of capsaicin is directly proportional to the surface area and time of application. Skin temperature was also found to have </w:t>
      </w:r>
      <w:r w:rsidR="00217CFF">
        <w:rPr>
          <w:rStyle w:val="translated-span"/>
          <w:rFonts w:ascii="Book Antiqua" w:eastAsia="Book Antiqua" w:hAnsi="Book Antiqua" w:cs="Book Antiqua"/>
          <w:color w:val="000000"/>
        </w:rPr>
        <w:t>an</w:t>
      </w:r>
      <w:r w:rsidR="00217CFF" w:rsidRPr="005F7EC5">
        <w:rPr>
          <w:rStyle w:val="translated-span"/>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 xml:space="preserve">influence on the absorption of capsaicin. The results of a population pharmacokinetics </w:t>
      </w:r>
      <w:r w:rsidRPr="005F7EC5">
        <w:rPr>
          <w:rStyle w:val="translated-span"/>
          <w:rFonts w:ascii="Book Antiqua" w:eastAsia="Book Antiqua" w:hAnsi="Book Antiqua" w:cs="Book Antiqua"/>
          <w:color w:val="000000"/>
        </w:rPr>
        <w:lastRenderedPageBreak/>
        <w:t>study showed that peak plasma concentration (1.38 ng/mL) of</w:t>
      </w:r>
      <w:r w:rsidR="00217CFF">
        <w:rPr>
          <w:rStyle w:val="translated-span"/>
          <w:rFonts w:ascii="Book Antiqua" w:eastAsia="Book Antiqua" w:hAnsi="Book Antiqua" w:cs="Book Antiqua"/>
          <w:color w:val="000000"/>
        </w:rPr>
        <w:t xml:space="preserve"> an</w:t>
      </w:r>
      <w:r w:rsidRPr="005F7EC5">
        <w:rPr>
          <w:rStyle w:val="translated-span"/>
          <w:rFonts w:ascii="Book Antiqua" w:eastAsia="Book Antiqua" w:hAnsi="Book Antiqua" w:cs="Book Antiqua"/>
          <w:color w:val="000000"/>
        </w:rPr>
        <w:t xml:space="preserve"> 8% capsaicin patch was attained after 1.46 h. Moreover, capsaicin</w:t>
      </w:r>
      <w:r w:rsidRPr="005F7EC5">
        <w:rPr>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has a high protein-binding capacity (93%-94%). After absorption, it is mainly metabolized in the liver by P450, and the elimination half-life is 1.64 h</w:t>
      </w:r>
      <w:r w:rsidR="004A5C6B"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59,60</w:t>
      </w:r>
      <w:r w:rsidR="004A5C6B" w:rsidRPr="005F7EC5">
        <w:rPr>
          <w:rFonts w:ascii="Book Antiqua" w:hAnsi="Book Antiqua" w:cs="Book Antiqua"/>
          <w:color w:val="000000"/>
          <w:vertAlign w:val="superscript"/>
          <w:lang w:eastAsia="zh-CN"/>
        </w:rPr>
        <w:t>]</w:t>
      </w:r>
      <w:r w:rsidR="004A5C6B"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The transdermal patch available is 8% capsaicin at a dosing frequency of one patch </w:t>
      </w:r>
      <w:r w:rsidR="00217CFF">
        <w:rPr>
          <w:rStyle w:val="translated-span"/>
          <w:rFonts w:ascii="Book Antiqua" w:eastAsia="Book Antiqua" w:hAnsi="Book Antiqua" w:cs="Book Antiqua"/>
          <w:color w:val="000000"/>
        </w:rPr>
        <w:t>per</w:t>
      </w:r>
      <w:r w:rsidRPr="005F7EC5">
        <w:rPr>
          <w:rStyle w:val="translated-span"/>
          <w:rFonts w:ascii="Book Antiqua" w:eastAsia="Book Antiqua" w:hAnsi="Book Antiqua" w:cs="Book Antiqua"/>
          <w:color w:val="000000"/>
        </w:rPr>
        <w:t xml:space="preserve"> day. Capsaicin is used for the treatment of neuropathic pain. </w:t>
      </w:r>
      <w:r w:rsidR="00217CFF">
        <w:rPr>
          <w:rStyle w:val="translated-span"/>
          <w:rFonts w:ascii="Book Antiqua" w:eastAsia="Book Antiqua" w:hAnsi="Book Antiqua" w:cs="Book Antiqua"/>
          <w:color w:val="000000"/>
        </w:rPr>
        <w:t>B</w:t>
      </w:r>
      <w:r w:rsidRPr="005F7EC5">
        <w:rPr>
          <w:rStyle w:val="translated-span"/>
          <w:rFonts w:ascii="Book Antiqua" w:eastAsia="Book Antiqua" w:hAnsi="Book Antiqua" w:cs="Book Antiqua"/>
          <w:color w:val="000000"/>
        </w:rPr>
        <w:t>etter results were reported with capsaicin than placebo in the treatment of post</w:t>
      </w:r>
      <w:r w:rsidR="00217CFF">
        <w:rPr>
          <w:rStyle w:val="translated-span"/>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herpetic neuralgia and diabetic peripheral neuralgia</w:t>
      </w:r>
      <w:r w:rsidR="00477886"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61,62</w:t>
      </w:r>
      <w:r w:rsidR="00477886" w:rsidRPr="005F7EC5">
        <w:rPr>
          <w:rFonts w:ascii="Book Antiqua" w:hAnsi="Book Antiqua" w:cs="Book Antiqua"/>
          <w:color w:val="000000"/>
          <w:vertAlign w:val="superscript"/>
          <w:lang w:eastAsia="zh-CN"/>
        </w:rPr>
        <w:t>]</w:t>
      </w:r>
      <w:r w:rsidR="00477886" w:rsidRPr="005F7EC5">
        <w:rPr>
          <w:rFonts w:ascii="Book Antiqua" w:hAnsi="Book Antiqua" w:cs="Book Antiqua"/>
          <w:color w:val="000000"/>
          <w:lang w:eastAsia="zh-CN"/>
        </w:rPr>
        <w:t>.</w:t>
      </w:r>
    </w:p>
    <w:p w14:paraId="6E7BAC4E" w14:textId="77777777" w:rsidR="00477886" w:rsidRPr="005F7EC5" w:rsidRDefault="00477886" w:rsidP="005F7EC5">
      <w:pPr>
        <w:spacing w:line="360" w:lineRule="auto"/>
        <w:ind w:firstLineChars="100" w:firstLine="240"/>
        <w:jc w:val="both"/>
        <w:rPr>
          <w:lang w:eastAsia="zh-CN"/>
        </w:rPr>
      </w:pPr>
    </w:p>
    <w:p w14:paraId="198E3143" w14:textId="77777777" w:rsidR="00A77B3E" w:rsidRPr="005F7EC5" w:rsidRDefault="00FA2DBE" w:rsidP="005F7EC5">
      <w:pPr>
        <w:spacing w:line="360" w:lineRule="auto"/>
        <w:jc w:val="both"/>
        <w:rPr>
          <w:i/>
        </w:rPr>
      </w:pPr>
      <w:r w:rsidRPr="005F7EC5">
        <w:rPr>
          <w:rStyle w:val="translated-span"/>
          <w:rFonts w:ascii="Book Antiqua" w:eastAsia="Book Antiqua" w:hAnsi="Book Antiqua" w:cs="Book Antiqua"/>
          <w:b/>
          <w:bCs/>
          <w:i/>
          <w:color w:val="000000"/>
        </w:rPr>
        <w:t>Lidocaine</w:t>
      </w:r>
      <w:r w:rsidRPr="005F7EC5">
        <w:rPr>
          <w:rFonts w:ascii="Book Antiqua" w:eastAsia="Book Antiqua" w:hAnsi="Book Antiqua" w:cs="Book Antiqua"/>
          <w:b/>
          <w:bCs/>
          <w:i/>
          <w:color w:val="000000"/>
        </w:rPr>
        <w:t xml:space="preserve"> </w:t>
      </w:r>
      <w:r w:rsidR="00C34004" w:rsidRPr="005F7EC5">
        <w:rPr>
          <w:rFonts w:ascii="Book Antiqua" w:eastAsia="Book Antiqua" w:hAnsi="Book Antiqua" w:cs="Book Antiqua"/>
          <w:b/>
          <w:bCs/>
          <w:i/>
          <w:color w:val="000000"/>
        </w:rPr>
        <w:t>transdermal pat</w:t>
      </w:r>
      <w:r w:rsidRPr="005F7EC5">
        <w:rPr>
          <w:rFonts w:ascii="Book Antiqua" w:eastAsia="Book Antiqua" w:hAnsi="Book Antiqua" w:cs="Book Antiqua"/>
          <w:b/>
          <w:bCs/>
          <w:i/>
          <w:color w:val="000000"/>
        </w:rPr>
        <w:t>ch</w:t>
      </w:r>
    </w:p>
    <w:p w14:paraId="7F0493CE" w14:textId="7AA0FAAA" w:rsidR="00A77B3E" w:rsidRPr="005F7EC5" w:rsidRDefault="00FA2DBE" w:rsidP="005F7EC5">
      <w:pPr>
        <w:spacing w:line="360" w:lineRule="auto"/>
        <w:jc w:val="both"/>
        <w:rPr>
          <w:lang w:eastAsia="zh-CN"/>
        </w:rPr>
      </w:pPr>
      <w:r w:rsidRPr="005F7EC5">
        <w:rPr>
          <w:rStyle w:val="translated-span"/>
          <w:rFonts w:ascii="Book Antiqua" w:eastAsia="Book Antiqua" w:hAnsi="Book Antiqua" w:cs="Book Antiqua"/>
          <w:color w:val="000000"/>
        </w:rPr>
        <w:t xml:space="preserve">Lidocaine is a voltage-gated sodium channel blocker (mainly Nav1.7 and </w:t>
      </w:r>
      <w:r w:rsidRPr="005F7EC5">
        <w:rPr>
          <w:rFonts w:ascii="Book Antiqua" w:eastAsia="Book Antiqua" w:hAnsi="Book Antiqua" w:cs="Book Antiqua"/>
          <w:color w:val="000000"/>
        </w:rPr>
        <w:t>1.8</w:t>
      </w:r>
      <w:r w:rsidRPr="005F7EC5">
        <w:rPr>
          <w:rStyle w:val="translated-span"/>
          <w:rFonts w:ascii="Book Antiqua" w:eastAsia="Book Antiqua" w:hAnsi="Book Antiqua" w:cs="Book Antiqua"/>
          <w:color w:val="000000"/>
        </w:rPr>
        <w:t>)</w:t>
      </w:r>
      <w:r w:rsidRPr="005F7EC5">
        <w:rPr>
          <w:rFonts w:ascii="Book Antiqua" w:eastAsia="Book Antiqua" w:hAnsi="Book Antiqua" w:cs="Book Antiqua"/>
          <w:color w:val="000000"/>
        </w:rPr>
        <w:t>. It can reduce the ectopic negative charge, increase the threshold of peripheral ectopic discharge and reduce the pain transmission by stabilizing the membrane potential of neurons on abnormal excit</w:t>
      </w:r>
      <w:r w:rsidR="002410D7">
        <w:rPr>
          <w:rFonts w:ascii="Book Antiqua" w:eastAsia="Book Antiqua" w:hAnsi="Book Antiqua" w:cs="Book Antiqua"/>
          <w:color w:val="000000"/>
        </w:rPr>
        <w:t>ation</w:t>
      </w:r>
      <w:r w:rsidRPr="005F7EC5">
        <w:rPr>
          <w:rFonts w:ascii="Book Antiqua" w:eastAsia="Book Antiqua" w:hAnsi="Book Antiqua" w:cs="Book Antiqua"/>
          <w:color w:val="000000"/>
        </w:rPr>
        <w:t xml:space="preserve"> of Aδ and C fibers to have an analgesic effect. </w:t>
      </w:r>
      <w:r w:rsidRPr="005F7EC5">
        <w:rPr>
          <w:rStyle w:val="translated-span"/>
          <w:rFonts w:ascii="Book Antiqua" w:eastAsia="Book Antiqua" w:hAnsi="Book Antiqua" w:cs="Book Antiqua"/>
          <w:color w:val="000000"/>
        </w:rPr>
        <w:t>In addition,</w:t>
      </w:r>
      <w:r w:rsidR="002410D7">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lidocaine patch also has</w:t>
      </w:r>
      <w:r w:rsidR="002410D7">
        <w:rPr>
          <w:rStyle w:val="translated-span"/>
          <w:rFonts w:ascii="Book Antiqua" w:eastAsia="Book Antiqua" w:hAnsi="Book Antiqua" w:cs="Book Antiqua"/>
          <w:color w:val="000000"/>
        </w:rPr>
        <w:t xml:space="preserve"> an</w:t>
      </w:r>
      <w:r w:rsidRPr="005F7EC5">
        <w:rPr>
          <w:rStyle w:val="translated-span"/>
          <w:rFonts w:ascii="Book Antiqua" w:eastAsia="Book Antiqua" w:hAnsi="Book Antiqua" w:cs="Book Antiqua"/>
          <w:color w:val="000000"/>
        </w:rPr>
        <w:t xml:space="preserve"> analgesic effect on pain from injurious sources</w:t>
      </w:r>
      <w:r w:rsidR="00507957"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13,63</w:t>
      </w:r>
      <w:r w:rsidR="00507957" w:rsidRPr="005F7EC5">
        <w:rPr>
          <w:rFonts w:ascii="Book Antiqua" w:hAnsi="Book Antiqua" w:cs="Book Antiqua"/>
          <w:color w:val="000000"/>
          <w:vertAlign w:val="superscript"/>
          <w:lang w:eastAsia="zh-CN"/>
        </w:rPr>
        <w:t>]</w:t>
      </w:r>
      <w:r w:rsidR="00507957" w:rsidRPr="005F7EC5">
        <w:rPr>
          <w:rFonts w:ascii="Book Antiqua" w:hAnsi="Book Antiqua" w:cs="Book Antiqua"/>
          <w:color w:val="000000"/>
          <w:lang w:eastAsia="zh-CN"/>
        </w:rPr>
        <w:t>.</w:t>
      </w:r>
    </w:p>
    <w:p w14:paraId="6DA73613" w14:textId="0CBD53AE" w:rsidR="00A77B3E" w:rsidRPr="005F7EC5" w:rsidRDefault="00FA2DBE" w:rsidP="005F7EC5">
      <w:pPr>
        <w:spacing w:line="360" w:lineRule="auto"/>
        <w:ind w:firstLineChars="100" w:firstLine="240"/>
        <w:jc w:val="both"/>
        <w:rPr>
          <w:lang w:eastAsia="zh-CN"/>
        </w:rPr>
      </w:pPr>
      <w:r w:rsidRPr="005F7EC5">
        <w:rPr>
          <w:rFonts w:ascii="Book Antiqua" w:eastAsia="Book Antiqua" w:hAnsi="Book Antiqua" w:cs="Book Antiqua"/>
          <w:color w:val="000000"/>
        </w:rPr>
        <w:t xml:space="preserve">Transdermal lidocaine majorly penetrates </w:t>
      </w:r>
      <w:r w:rsidRPr="005F7EC5">
        <w:rPr>
          <w:rStyle w:val="translated-span"/>
          <w:rFonts w:ascii="Book Antiqua" w:eastAsia="Book Antiqua" w:hAnsi="Book Antiqua" w:cs="Book Antiqua"/>
          <w:color w:val="000000"/>
        </w:rPr>
        <w:t>local tissues through the skin, and very little is absorbed into systemic circulation (about 3% ± 2%); hence, adverse reactions related to systemic administration can be avoided. Patients with severe impairment of heart, kidney and liver function should be cautious with lidocaine use. It is contraindicated in pregnant women and patients allergic to local anesthetics</w:t>
      </w:r>
      <w:r w:rsidR="00507957"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13,64,65</w:t>
      </w:r>
      <w:r w:rsidR="00507957" w:rsidRPr="005F7EC5">
        <w:rPr>
          <w:rFonts w:ascii="Book Antiqua" w:hAnsi="Book Antiqua" w:cs="Book Antiqua"/>
          <w:color w:val="000000"/>
          <w:vertAlign w:val="superscript"/>
          <w:lang w:eastAsia="zh-CN"/>
        </w:rPr>
        <w:t>]</w:t>
      </w:r>
      <w:r w:rsidR="00507957" w:rsidRPr="005F7EC5">
        <w:rPr>
          <w:rFonts w:ascii="Book Antiqua" w:hAnsi="Book Antiqua" w:cs="Book Antiqua"/>
          <w:color w:val="000000"/>
          <w:lang w:eastAsia="zh-CN"/>
        </w:rPr>
        <w:t>.</w:t>
      </w:r>
    </w:p>
    <w:p w14:paraId="42D27B00" w14:textId="720169B7" w:rsidR="00A77B3E" w:rsidRPr="005F7EC5" w:rsidRDefault="002410D7" w:rsidP="005F7EC5">
      <w:pPr>
        <w:spacing w:line="360" w:lineRule="auto"/>
        <w:ind w:firstLineChars="100" w:firstLine="240"/>
        <w:jc w:val="both"/>
        <w:rPr>
          <w:rFonts w:ascii="Book Antiqua" w:hAnsi="Book Antiqua" w:cs="Book Antiqua"/>
          <w:color w:val="000000"/>
          <w:lang w:eastAsia="zh-CN"/>
        </w:rPr>
      </w:pPr>
      <w:r>
        <w:rPr>
          <w:rStyle w:val="translated-span"/>
          <w:rFonts w:ascii="Book Antiqua" w:eastAsia="Book Antiqua" w:hAnsi="Book Antiqua" w:cs="Book Antiqua"/>
          <w:color w:val="000000"/>
        </w:rPr>
        <w:t>The l</w:t>
      </w:r>
      <w:r w:rsidR="00FA2DBE" w:rsidRPr="005F7EC5">
        <w:rPr>
          <w:rStyle w:val="translated-span"/>
          <w:rFonts w:ascii="Book Antiqua" w:eastAsia="Book Antiqua" w:hAnsi="Book Antiqua" w:cs="Book Antiqua"/>
          <w:color w:val="000000"/>
        </w:rPr>
        <w:t xml:space="preserve">idocaine patch is generally well tolerated even </w:t>
      </w:r>
      <w:r>
        <w:rPr>
          <w:rStyle w:val="translated-span"/>
          <w:rFonts w:ascii="Book Antiqua" w:eastAsia="Book Antiqua" w:hAnsi="Book Antiqua" w:cs="Book Antiqua"/>
          <w:color w:val="000000"/>
        </w:rPr>
        <w:t xml:space="preserve">after </w:t>
      </w:r>
      <w:r w:rsidR="00FA2DBE" w:rsidRPr="005F7EC5">
        <w:rPr>
          <w:rStyle w:val="translated-span"/>
          <w:rFonts w:ascii="Book Antiqua" w:eastAsia="Book Antiqua" w:hAnsi="Book Antiqua" w:cs="Book Antiqua"/>
          <w:color w:val="000000"/>
        </w:rPr>
        <w:t>long term</w:t>
      </w:r>
      <w:r>
        <w:rPr>
          <w:rStyle w:val="translated-span"/>
          <w:rFonts w:ascii="Book Antiqua" w:eastAsia="Book Antiqua" w:hAnsi="Book Antiqua" w:cs="Book Antiqua"/>
          <w:color w:val="000000"/>
        </w:rPr>
        <w:t xml:space="preserve"> use</w:t>
      </w:r>
      <w:r w:rsidR="00FA2DBE" w:rsidRPr="005F7EC5">
        <w:rPr>
          <w:rStyle w:val="translated-span"/>
          <w:rFonts w:ascii="Book Antiqua" w:eastAsia="Book Antiqua" w:hAnsi="Book Antiqua" w:cs="Book Antiqua"/>
          <w:color w:val="000000"/>
        </w:rPr>
        <w:t xml:space="preserve">. The most common adverse events include erythema, pruritus, rash, burning sensation, dermatitis, edema and other skin reactions. </w:t>
      </w:r>
      <w:r>
        <w:rPr>
          <w:rStyle w:val="translated-span"/>
          <w:rFonts w:ascii="Book Antiqua" w:eastAsia="Book Antiqua" w:hAnsi="Book Antiqua" w:cs="Book Antiqua"/>
          <w:color w:val="000000"/>
        </w:rPr>
        <w:t>The l</w:t>
      </w:r>
      <w:r w:rsidR="00FA2DBE" w:rsidRPr="005F7EC5">
        <w:rPr>
          <w:rStyle w:val="translated-span"/>
          <w:rFonts w:ascii="Book Antiqua" w:eastAsia="Book Antiqua" w:hAnsi="Book Antiqua" w:cs="Book Antiqua"/>
          <w:color w:val="000000"/>
        </w:rPr>
        <w:t>idocaine patch is used in the treatment of neuropathic pain, but there is no high-quality evidence to prove its clinical efficacy</w:t>
      </w:r>
      <w:r w:rsidR="00C32DFC" w:rsidRPr="005F7EC5">
        <w:rPr>
          <w:rStyle w:val="translated-span"/>
          <w:rFonts w:ascii="Book Antiqua" w:hAnsi="Book Antiqua" w:cs="Book Antiqua"/>
          <w:color w:val="000000"/>
          <w:vertAlign w:val="superscript"/>
          <w:lang w:eastAsia="zh-CN"/>
        </w:rPr>
        <w:t>[</w:t>
      </w:r>
      <w:r w:rsidR="00FA2DBE" w:rsidRPr="005F7EC5">
        <w:rPr>
          <w:rFonts w:ascii="Book Antiqua" w:eastAsia="Book Antiqua" w:hAnsi="Book Antiqua" w:cs="Book Antiqua"/>
          <w:color w:val="000000"/>
          <w:vertAlign w:val="superscript"/>
        </w:rPr>
        <w:t>64</w:t>
      </w:r>
      <w:r w:rsidR="005A27C5" w:rsidRPr="005F7EC5">
        <w:rPr>
          <w:rFonts w:ascii="Book Antiqua" w:eastAsia="Book Antiqua" w:hAnsi="Book Antiqua" w:cs="Book Antiqua"/>
          <w:color w:val="000000"/>
          <w:vertAlign w:val="superscript"/>
        </w:rPr>
        <w:t>-</w:t>
      </w:r>
      <w:r w:rsidR="00FA2DBE" w:rsidRPr="005F7EC5">
        <w:rPr>
          <w:rFonts w:ascii="Book Antiqua" w:eastAsia="Book Antiqua" w:hAnsi="Book Antiqua" w:cs="Book Antiqua"/>
          <w:color w:val="000000"/>
          <w:vertAlign w:val="superscript"/>
        </w:rPr>
        <w:t>69</w:t>
      </w:r>
      <w:r w:rsidR="00C32DFC" w:rsidRPr="005F7EC5">
        <w:rPr>
          <w:rFonts w:ascii="Book Antiqua" w:hAnsi="Book Antiqua" w:cs="Book Antiqua"/>
          <w:color w:val="000000"/>
          <w:vertAlign w:val="superscript"/>
          <w:lang w:eastAsia="zh-CN"/>
        </w:rPr>
        <w:t>]</w:t>
      </w:r>
      <w:r w:rsidR="00C32DFC" w:rsidRPr="005F7EC5">
        <w:rPr>
          <w:rFonts w:ascii="Book Antiqua" w:hAnsi="Book Antiqua" w:cs="Book Antiqua"/>
          <w:color w:val="000000"/>
          <w:lang w:eastAsia="zh-CN"/>
        </w:rPr>
        <w:t>.</w:t>
      </w:r>
    </w:p>
    <w:p w14:paraId="1FC591D5" w14:textId="77777777" w:rsidR="007401FA" w:rsidRPr="005F7EC5" w:rsidRDefault="007401FA" w:rsidP="005F7EC5">
      <w:pPr>
        <w:spacing w:line="360" w:lineRule="auto"/>
        <w:ind w:firstLineChars="100" w:firstLine="240"/>
        <w:jc w:val="both"/>
        <w:rPr>
          <w:lang w:eastAsia="zh-CN"/>
        </w:rPr>
      </w:pPr>
    </w:p>
    <w:p w14:paraId="79786241" w14:textId="77777777" w:rsidR="00A77B3E" w:rsidRPr="005F7EC5" w:rsidRDefault="00FA2DBE" w:rsidP="005F7EC5">
      <w:pPr>
        <w:spacing w:line="360" w:lineRule="auto"/>
        <w:jc w:val="both"/>
        <w:rPr>
          <w:i/>
        </w:rPr>
      </w:pPr>
      <w:r w:rsidRPr="005F7EC5">
        <w:rPr>
          <w:rStyle w:val="translated-span"/>
          <w:rFonts w:ascii="Book Antiqua" w:eastAsia="Book Antiqua" w:hAnsi="Book Antiqua" w:cs="Book Antiqua"/>
          <w:b/>
          <w:bCs/>
          <w:i/>
          <w:color w:val="000000"/>
        </w:rPr>
        <w:t>Other</w:t>
      </w:r>
      <w:r w:rsidR="007401FA" w:rsidRPr="005F7EC5">
        <w:rPr>
          <w:rStyle w:val="translated-span"/>
          <w:rFonts w:ascii="Book Antiqua" w:eastAsia="Book Antiqua" w:hAnsi="Book Antiqua" w:cs="Book Antiqua"/>
          <w:b/>
          <w:bCs/>
          <w:i/>
          <w:color w:val="000000"/>
        </w:rPr>
        <w:t xml:space="preserve"> transdermal patches</w:t>
      </w:r>
    </w:p>
    <w:p w14:paraId="1A5E5B91" w14:textId="3B4192E2" w:rsidR="00A77B3E" w:rsidRPr="005F7EC5" w:rsidRDefault="00490383" w:rsidP="005F7EC5">
      <w:pPr>
        <w:spacing w:line="360" w:lineRule="auto"/>
        <w:jc w:val="both"/>
        <w:rPr>
          <w:lang w:eastAsia="zh-CN"/>
        </w:rPr>
      </w:pPr>
      <w:r>
        <w:rPr>
          <w:rStyle w:val="translated-span"/>
          <w:rFonts w:ascii="Book Antiqua" w:eastAsia="Book Antiqua" w:hAnsi="Book Antiqua" w:cs="Book Antiqua"/>
          <w:color w:val="000000"/>
        </w:rPr>
        <w:t>The k</w:t>
      </w:r>
      <w:r w:rsidR="00FA2DBE" w:rsidRPr="005F7EC5">
        <w:rPr>
          <w:rStyle w:val="translated-span"/>
          <w:rFonts w:ascii="Book Antiqua" w:eastAsia="Book Antiqua" w:hAnsi="Book Antiqua" w:cs="Book Antiqua"/>
          <w:color w:val="000000"/>
        </w:rPr>
        <w:t>etamine transdermal patch and dextromethorphan transdermal patch are common nonbarbiturate anesthetics. They are peripheral N-methyl-D-aspartate receptor inhibitors and</w:t>
      </w:r>
      <w:r w:rsidR="00FA2DBE" w:rsidRPr="005F7EC5">
        <w:rPr>
          <w:rFonts w:ascii="Book Antiqua" w:eastAsia="Book Antiqua" w:hAnsi="Book Antiqua" w:cs="Book Antiqua"/>
          <w:color w:val="000000"/>
        </w:rPr>
        <w:t xml:space="preserve"> </w:t>
      </w:r>
      <w:r w:rsidR="00FA2DBE" w:rsidRPr="005F7EC5">
        <w:rPr>
          <w:rStyle w:val="translated-span"/>
          <w:rFonts w:ascii="Book Antiqua" w:eastAsia="Book Antiqua" w:hAnsi="Book Antiqua" w:cs="Book Antiqua"/>
          <w:color w:val="000000"/>
        </w:rPr>
        <w:t>α-amino-3-hydroxy-5-methyl-4-isoxazolepropionic acid receptor inhibitors. They also inhibit voltage-gated Na</w:t>
      </w:r>
      <w:r w:rsidR="00FA2DBE" w:rsidRPr="005F7EC5">
        <w:rPr>
          <w:rStyle w:val="translated-span"/>
          <w:rFonts w:ascii="Book Antiqua" w:eastAsia="Book Antiqua" w:hAnsi="Book Antiqua" w:cs="Book Antiqua"/>
          <w:color w:val="000000"/>
          <w:vertAlign w:val="superscript"/>
        </w:rPr>
        <w:t>+</w:t>
      </w:r>
      <w:r w:rsidR="00FA2DBE" w:rsidRPr="005F7EC5">
        <w:rPr>
          <w:rStyle w:val="translated-span"/>
          <w:rFonts w:ascii="Book Antiqua" w:eastAsia="Book Antiqua" w:hAnsi="Book Antiqua" w:cs="Book Antiqua"/>
          <w:color w:val="000000"/>
        </w:rPr>
        <w:t xml:space="preserve"> and K</w:t>
      </w:r>
      <w:r w:rsidR="00FA2DBE" w:rsidRPr="005F7EC5">
        <w:rPr>
          <w:rStyle w:val="translated-span"/>
          <w:rFonts w:ascii="Book Antiqua" w:eastAsia="Book Antiqua" w:hAnsi="Book Antiqua" w:cs="Book Antiqua"/>
          <w:color w:val="000000"/>
          <w:vertAlign w:val="superscript"/>
        </w:rPr>
        <w:t>+</w:t>
      </w:r>
      <w:r w:rsidR="00FA2DBE" w:rsidRPr="005F7EC5">
        <w:rPr>
          <w:rStyle w:val="translated-span"/>
          <w:rFonts w:ascii="Book Antiqua" w:eastAsia="Book Antiqua" w:hAnsi="Book Antiqua" w:cs="Book Antiqua"/>
          <w:color w:val="000000"/>
        </w:rPr>
        <w:t xml:space="preserve"> channels</w:t>
      </w:r>
      <w:r w:rsidR="009D3B22" w:rsidRPr="005F7EC5">
        <w:rPr>
          <w:rStyle w:val="translated-span"/>
          <w:rFonts w:ascii="Book Antiqua" w:hAnsi="Book Antiqua" w:cs="Book Antiqua"/>
          <w:color w:val="000000"/>
          <w:vertAlign w:val="superscript"/>
          <w:lang w:eastAsia="zh-CN"/>
        </w:rPr>
        <w:t>[</w:t>
      </w:r>
      <w:r w:rsidR="00FA2DBE" w:rsidRPr="005F7EC5">
        <w:rPr>
          <w:rFonts w:ascii="Book Antiqua" w:eastAsia="Book Antiqua" w:hAnsi="Book Antiqua" w:cs="Book Antiqua"/>
          <w:color w:val="000000"/>
          <w:vertAlign w:val="superscript"/>
        </w:rPr>
        <w:t>63</w:t>
      </w:r>
      <w:r w:rsidR="009D3B22" w:rsidRPr="005F7EC5">
        <w:rPr>
          <w:rFonts w:ascii="Book Antiqua" w:hAnsi="Book Antiqua" w:cs="Book Antiqua"/>
          <w:color w:val="000000"/>
          <w:vertAlign w:val="superscript"/>
          <w:lang w:eastAsia="zh-CN"/>
        </w:rPr>
        <w:t>]</w:t>
      </w:r>
      <w:r w:rsidR="009D3B22" w:rsidRPr="005F7EC5">
        <w:rPr>
          <w:rFonts w:ascii="Book Antiqua" w:hAnsi="Book Antiqua" w:cs="Book Antiqua"/>
          <w:color w:val="000000"/>
          <w:lang w:eastAsia="zh-CN"/>
        </w:rPr>
        <w:t>.</w:t>
      </w:r>
    </w:p>
    <w:p w14:paraId="30EB7835" w14:textId="45336DAD"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lastRenderedPageBreak/>
        <w:t>Ketamine transdermal patch (25 mg/24 h) is used to relieve postoperative pain</w:t>
      </w:r>
      <w:r w:rsidR="00490383">
        <w:rPr>
          <w:rStyle w:val="translated-span"/>
          <w:rFonts w:ascii="Book Antiqua" w:eastAsia="Book Antiqua" w:hAnsi="Book Antiqua" w:cs="Book Antiqua"/>
          <w:color w:val="000000"/>
        </w:rPr>
        <w:t>.</w:t>
      </w:r>
      <w:r w:rsidRPr="005F7EC5">
        <w:rPr>
          <w:rStyle w:val="translated-span"/>
          <w:rFonts w:ascii="Book Antiqua" w:eastAsia="Book Antiqua" w:hAnsi="Book Antiqua" w:cs="Book Antiqua"/>
          <w:color w:val="000000"/>
        </w:rPr>
        <w:t xml:space="preserve"> </w:t>
      </w:r>
      <w:r w:rsidR="00490383">
        <w:rPr>
          <w:rStyle w:val="translated-span"/>
          <w:rFonts w:ascii="Book Antiqua" w:eastAsia="Book Antiqua" w:hAnsi="Book Antiqua" w:cs="Book Antiqua"/>
          <w:color w:val="000000"/>
        </w:rPr>
        <w:t>The</w:t>
      </w:r>
      <w:r w:rsidRPr="005F7EC5">
        <w:rPr>
          <w:rStyle w:val="translated-span"/>
          <w:rFonts w:ascii="Book Antiqua" w:eastAsia="Book Antiqua" w:hAnsi="Book Antiqua" w:cs="Book Antiqua"/>
          <w:color w:val="000000"/>
        </w:rPr>
        <w:t xml:space="preserve"> 4% dextromethorphan hydrochloride is formulated with 4% lidocaine and 10% trolamine salicylate (Permavan) and used to treat pain, but its efficacy and safety have not been determined. At present, neither of the </w:t>
      </w:r>
      <w:r w:rsidR="00490383">
        <w:rPr>
          <w:rStyle w:val="translated-span"/>
          <w:rFonts w:ascii="Book Antiqua" w:eastAsia="Book Antiqua" w:hAnsi="Book Antiqua" w:cs="Book Antiqua"/>
          <w:color w:val="000000"/>
        </w:rPr>
        <w:t>two</w:t>
      </w:r>
      <w:r w:rsidRPr="005F7EC5">
        <w:rPr>
          <w:rStyle w:val="translated-span"/>
          <w:rFonts w:ascii="Book Antiqua" w:eastAsia="Book Antiqua" w:hAnsi="Book Antiqua" w:cs="Book Antiqua"/>
          <w:color w:val="000000"/>
        </w:rPr>
        <w:t xml:space="preserve"> transdermal patches ha</w:t>
      </w:r>
      <w:r w:rsidR="00490383">
        <w:rPr>
          <w:rStyle w:val="translated-span"/>
          <w:rFonts w:ascii="Book Antiqua" w:eastAsia="Book Antiqua" w:hAnsi="Book Antiqua" w:cs="Book Antiqua"/>
          <w:color w:val="000000"/>
        </w:rPr>
        <w:t>ve</w:t>
      </w:r>
      <w:r w:rsidRPr="005F7EC5">
        <w:rPr>
          <w:rStyle w:val="translated-span"/>
          <w:rFonts w:ascii="Book Antiqua" w:eastAsia="Book Antiqua" w:hAnsi="Book Antiqua" w:cs="Book Antiqua"/>
          <w:color w:val="000000"/>
        </w:rPr>
        <w:t xml:space="preserve"> been approved for marketing</w:t>
      </w:r>
      <w:r w:rsidR="009D3B22"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70,71</w:t>
      </w:r>
      <w:r w:rsidR="009D3B22" w:rsidRPr="005F7EC5">
        <w:rPr>
          <w:rFonts w:ascii="Book Antiqua" w:hAnsi="Book Antiqua" w:cs="Book Antiqua"/>
          <w:color w:val="000000"/>
          <w:vertAlign w:val="superscript"/>
          <w:lang w:eastAsia="zh-CN"/>
        </w:rPr>
        <w:t>]</w:t>
      </w:r>
      <w:r w:rsidR="009D3B22" w:rsidRPr="005F7EC5">
        <w:rPr>
          <w:rFonts w:ascii="Book Antiqua" w:hAnsi="Book Antiqua" w:cs="Book Antiqua"/>
          <w:color w:val="000000"/>
          <w:lang w:eastAsia="zh-CN"/>
        </w:rPr>
        <w:t>.</w:t>
      </w:r>
    </w:p>
    <w:p w14:paraId="546F5B60" w14:textId="5935B7B6" w:rsidR="00A77B3E" w:rsidRPr="005F7EC5" w:rsidRDefault="00490383" w:rsidP="005F7EC5">
      <w:pPr>
        <w:spacing w:line="360" w:lineRule="auto"/>
        <w:ind w:firstLineChars="100" w:firstLine="240"/>
        <w:jc w:val="both"/>
        <w:rPr>
          <w:lang w:eastAsia="zh-CN"/>
        </w:rPr>
      </w:pPr>
      <w:r>
        <w:rPr>
          <w:rStyle w:val="translated-span"/>
          <w:rFonts w:ascii="Book Antiqua" w:eastAsia="Book Antiqua" w:hAnsi="Book Antiqua" w:cs="Book Antiqua"/>
          <w:color w:val="000000"/>
        </w:rPr>
        <w:t>The b</w:t>
      </w:r>
      <w:r w:rsidR="00FA2DBE" w:rsidRPr="005F7EC5">
        <w:rPr>
          <w:rStyle w:val="translated-span"/>
          <w:rFonts w:ascii="Book Antiqua" w:eastAsia="Book Antiqua" w:hAnsi="Book Antiqua" w:cs="Book Antiqua"/>
          <w:color w:val="000000"/>
        </w:rPr>
        <w:t xml:space="preserve">upivacaine transdermal patch is also under development. Compared with </w:t>
      </w:r>
      <w:r>
        <w:rPr>
          <w:rStyle w:val="translated-span"/>
          <w:rFonts w:ascii="Book Antiqua" w:eastAsia="Book Antiqua" w:hAnsi="Book Antiqua" w:cs="Book Antiqua"/>
          <w:color w:val="000000"/>
        </w:rPr>
        <w:t xml:space="preserve">the </w:t>
      </w:r>
      <w:r w:rsidR="00FA2DBE" w:rsidRPr="005F7EC5">
        <w:rPr>
          <w:rStyle w:val="translated-span"/>
          <w:rFonts w:ascii="Book Antiqua" w:eastAsia="Book Antiqua" w:hAnsi="Book Antiqua" w:cs="Book Antiqua"/>
          <w:color w:val="000000"/>
        </w:rPr>
        <w:t>lidocaine patch for 12 h,</w:t>
      </w:r>
      <w:r>
        <w:rPr>
          <w:rStyle w:val="translated-span"/>
          <w:rFonts w:ascii="Book Antiqua" w:eastAsia="Book Antiqua" w:hAnsi="Book Antiqua" w:cs="Book Antiqua"/>
          <w:color w:val="000000"/>
        </w:rPr>
        <w:t xml:space="preserve"> the</w:t>
      </w:r>
      <w:r w:rsidR="00FA2DBE" w:rsidRPr="005F7EC5">
        <w:rPr>
          <w:rStyle w:val="translated-span"/>
          <w:rFonts w:ascii="Book Antiqua" w:eastAsia="Book Antiqua" w:hAnsi="Book Antiqua" w:cs="Book Antiqua"/>
          <w:color w:val="000000"/>
        </w:rPr>
        <w:t xml:space="preserve"> bupivacaine pat</w:t>
      </w:r>
      <w:r w:rsidR="00EF138A" w:rsidRPr="005F7EC5">
        <w:rPr>
          <w:rStyle w:val="translated-span"/>
          <w:rFonts w:ascii="Book Antiqua" w:eastAsia="Book Antiqua" w:hAnsi="Book Antiqua" w:cs="Book Antiqua"/>
          <w:color w:val="000000"/>
        </w:rPr>
        <w:t xml:space="preserve">ch can be applied once </w:t>
      </w:r>
      <w:r>
        <w:rPr>
          <w:rStyle w:val="translated-span"/>
          <w:rFonts w:ascii="Book Antiqua" w:eastAsia="Book Antiqua" w:hAnsi="Book Antiqua" w:cs="Book Antiqua"/>
          <w:color w:val="000000"/>
        </w:rPr>
        <w:t>every</w:t>
      </w:r>
      <w:r w:rsidR="00EF138A" w:rsidRPr="005F7EC5">
        <w:rPr>
          <w:rStyle w:val="translated-span"/>
          <w:rFonts w:ascii="Book Antiqua" w:eastAsia="Book Antiqua" w:hAnsi="Book Antiqua" w:cs="Book Antiqua"/>
          <w:color w:val="000000"/>
        </w:rPr>
        <w:t xml:space="preserve"> 3 d</w:t>
      </w:r>
      <w:r w:rsidR="00FA2DBE" w:rsidRPr="005F7EC5">
        <w:rPr>
          <w:rStyle w:val="translated-span"/>
          <w:rFonts w:ascii="Book Antiqua" w:eastAsia="Book Antiqua" w:hAnsi="Book Antiqua" w:cs="Book Antiqua"/>
          <w:color w:val="000000"/>
        </w:rPr>
        <w:t xml:space="preserve"> and can be used for post</w:t>
      </w:r>
      <w:r>
        <w:rPr>
          <w:rStyle w:val="translated-span"/>
          <w:rFonts w:ascii="Book Antiqua" w:eastAsia="Book Antiqua" w:hAnsi="Book Antiqua" w:cs="Book Antiqua"/>
          <w:color w:val="000000"/>
        </w:rPr>
        <w:t xml:space="preserve"> </w:t>
      </w:r>
      <w:r w:rsidR="00FA2DBE" w:rsidRPr="005F7EC5">
        <w:rPr>
          <w:rStyle w:val="translated-span"/>
          <w:rFonts w:ascii="Book Antiqua" w:eastAsia="Book Antiqua" w:hAnsi="Book Antiqua" w:cs="Book Antiqua"/>
          <w:color w:val="000000"/>
        </w:rPr>
        <w:t>herpetic neuralgia treatment. The United States bupivacaine transdermal patch (Eladur) is under investigation</w:t>
      </w:r>
      <w:r w:rsidR="00EF138A" w:rsidRPr="005F7EC5">
        <w:rPr>
          <w:rStyle w:val="translated-span"/>
          <w:rFonts w:ascii="Book Antiqua" w:hAnsi="Book Antiqua" w:cs="Book Antiqua"/>
          <w:color w:val="000000"/>
          <w:vertAlign w:val="superscript"/>
          <w:lang w:eastAsia="zh-CN"/>
        </w:rPr>
        <w:t>[</w:t>
      </w:r>
      <w:r w:rsidR="00FA2DBE" w:rsidRPr="005F7EC5">
        <w:rPr>
          <w:rFonts w:ascii="Book Antiqua" w:eastAsia="Book Antiqua" w:hAnsi="Book Antiqua" w:cs="Book Antiqua"/>
          <w:color w:val="000000"/>
          <w:vertAlign w:val="superscript"/>
        </w:rPr>
        <w:t>71</w:t>
      </w:r>
      <w:r w:rsidR="00EF138A" w:rsidRPr="005F7EC5">
        <w:rPr>
          <w:rFonts w:ascii="Book Antiqua" w:hAnsi="Book Antiqua" w:cs="Book Antiqua"/>
          <w:color w:val="000000"/>
          <w:vertAlign w:val="superscript"/>
          <w:lang w:eastAsia="zh-CN"/>
        </w:rPr>
        <w:t>]</w:t>
      </w:r>
      <w:r w:rsidR="00EF138A" w:rsidRPr="005F7EC5">
        <w:rPr>
          <w:rFonts w:ascii="Book Antiqua" w:hAnsi="Book Antiqua" w:cs="Book Antiqua"/>
          <w:color w:val="000000"/>
          <w:lang w:eastAsia="zh-CN"/>
        </w:rPr>
        <w:t>.</w:t>
      </w:r>
    </w:p>
    <w:p w14:paraId="4F114EB6" w14:textId="5E810C87" w:rsidR="00A77B3E" w:rsidRPr="005F7EC5" w:rsidRDefault="00FA2DBE"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 xml:space="preserve">Rotigotine and amitriptyline are commonly used in the treatment of neuropathic pain. At present, </w:t>
      </w:r>
      <w:r w:rsidR="00490383">
        <w:rPr>
          <w:rStyle w:val="translated-span"/>
          <w:rFonts w:ascii="Book Antiqua" w:eastAsia="Book Antiqua" w:hAnsi="Book Antiqua" w:cs="Book Antiqua"/>
          <w:color w:val="000000"/>
        </w:rPr>
        <w:t xml:space="preserve">the </w:t>
      </w:r>
      <w:r w:rsidRPr="005F7EC5">
        <w:rPr>
          <w:rStyle w:val="translated-span"/>
          <w:rFonts w:ascii="Book Antiqua" w:eastAsia="Book Antiqua" w:hAnsi="Book Antiqua" w:cs="Book Antiqua"/>
          <w:color w:val="000000"/>
        </w:rPr>
        <w:t xml:space="preserve">rotigotine transdermal patch (listed in Europe and </w:t>
      </w:r>
      <w:r w:rsidR="00490383">
        <w:rPr>
          <w:rStyle w:val="translated-span"/>
          <w:rFonts w:ascii="Book Antiqua" w:eastAsia="Book Antiqua" w:hAnsi="Book Antiqua" w:cs="Book Antiqua"/>
          <w:color w:val="000000"/>
        </w:rPr>
        <w:t>the United States</w:t>
      </w:r>
      <w:r w:rsidRPr="005F7EC5">
        <w:rPr>
          <w:rStyle w:val="translated-span"/>
          <w:rFonts w:ascii="Book Antiqua" w:eastAsia="Book Antiqua" w:hAnsi="Book Antiqua" w:cs="Book Antiqua"/>
          <w:color w:val="000000"/>
        </w:rPr>
        <w:t xml:space="preserve"> in 2007 and in China in 2018) and amitriptyline transdermal patch are available.</w:t>
      </w:r>
      <w:r w:rsidR="00D64DF4">
        <w:rPr>
          <w:rStyle w:val="translated-span"/>
          <w:rFonts w:ascii="Book Antiqua" w:eastAsia="Book Antiqua" w:hAnsi="Book Antiqua" w:cs="Book Antiqua"/>
          <w:color w:val="000000"/>
        </w:rPr>
        <w:t xml:space="preserve"> The</w:t>
      </w:r>
      <w:r w:rsidRPr="005F7EC5">
        <w:rPr>
          <w:rStyle w:val="translated-span"/>
          <w:rFonts w:ascii="Book Antiqua" w:eastAsia="Book Antiqua" w:hAnsi="Book Antiqua" w:cs="Book Antiqua"/>
          <w:color w:val="000000"/>
        </w:rPr>
        <w:t xml:space="preserve"> </w:t>
      </w:r>
      <w:r w:rsidR="00D64DF4">
        <w:rPr>
          <w:rStyle w:val="translated-span"/>
          <w:rFonts w:ascii="Book Antiqua" w:eastAsia="Book Antiqua" w:hAnsi="Book Antiqua" w:cs="Book Antiqua"/>
          <w:color w:val="000000"/>
        </w:rPr>
        <w:t>r</w:t>
      </w:r>
      <w:r w:rsidRPr="005F7EC5">
        <w:rPr>
          <w:rStyle w:val="translated-span"/>
          <w:rFonts w:ascii="Book Antiqua" w:eastAsia="Book Antiqua" w:hAnsi="Book Antiqua" w:cs="Book Antiqua"/>
          <w:color w:val="000000"/>
        </w:rPr>
        <w:t>otigotine transdermal patch can improve chronic pain in Parkinson’s disease</w:t>
      </w:r>
      <w:r w:rsidR="00EE46F0"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72</w:t>
      </w:r>
      <w:r w:rsidR="00EE46F0" w:rsidRPr="005F7EC5">
        <w:rPr>
          <w:rFonts w:ascii="Book Antiqua" w:hAnsi="Book Antiqua" w:cs="Book Antiqua"/>
          <w:color w:val="000000"/>
          <w:vertAlign w:val="superscript"/>
          <w:lang w:eastAsia="zh-CN"/>
        </w:rPr>
        <w:t>]</w:t>
      </w:r>
      <w:r w:rsidR="00EE46F0" w:rsidRPr="005F7EC5">
        <w:rPr>
          <w:rFonts w:ascii="Book Antiqua" w:hAnsi="Book Antiqua" w:cs="Book Antiqua"/>
          <w:color w:val="000000"/>
          <w:lang w:eastAsia="zh-CN"/>
        </w:rPr>
        <w:t>.</w:t>
      </w:r>
      <w:r w:rsidRPr="005F7EC5">
        <w:rPr>
          <w:rStyle w:val="translated-span"/>
          <w:rFonts w:ascii="Book Antiqua" w:eastAsia="Book Antiqua" w:hAnsi="Book Antiqua" w:cs="Book Antiqua"/>
          <w:color w:val="000000"/>
        </w:rPr>
        <w:t xml:space="preserve"> However, neither of the drugs </w:t>
      </w:r>
      <w:r w:rsidR="00EE46F0" w:rsidRPr="005F7EC5">
        <w:rPr>
          <w:rStyle w:val="translated-span"/>
          <w:rFonts w:ascii="Book Antiqua" w:eastAsia="Book Antiqua" w:hAnsi="Book Antiqua" w:cs="Book Antiqua"/>
          <w:color w:val="000000"/>
        </w:rPr>
        <w:t>has</w:t>
      </w:r>
      <w:r w:rsidRPr="005F7EC5">
        <w:rPr>
          <w:rStyle w:val="translated-span"/>
          <w:rFonts w:ascii="Book Antiqua" w:eastAsia="Book Antiqua" w:hAnsi="Book Antiqua" w:cs="Book Antiqua"/>
          <w:color w:val="000000"/>
        </w:rPr>
        <w:t xml:space="preserve"> been approved for pain treatment</w:t>
      </w:r>
      <w:r w:rsidR="00EE46F0" w:rsidRPr="005F7EC5">
        <w:rPr>
          <w:rStyle w:val="translated-span"/>
          <w:rFonts w:ascii="Book Antiqua" w:hAnsi="Book Antiqua" w:cs="Book Antiqua"/>
          <w:color w:val="000000"/>
          <w:vertAlign w:val="superscript"/>
          <w:lang w:eastAsia="zh-CN"/>
        </w:rPr>
        <w:t>[</w:t>
      </w:r>
      <w:r w:rsidRPr="005F7EC5">
        <w:rPr>
          <w:rFonts w:ascii="Book Antiqua" w:eastAsia="Book Antiqua" w:hAnsi="Book Antiqua" w:cs="Book Antiqua"/>
          <w:color w:val="000000"/>
          <w:vertAlign w:val="superscript"/>
        </w:rPr>
        <w:t>73</w:t>
      </w:r>
      <w:r w:rsidR="00EE46F0" w:rsidRPr="005F7EC5">
        <w:rPr>
          <w:rFonts w:ascii="Book Antiqua" w:hAnsi="Book Antiqua" w:cs="Book Antiqua"/>
          <w:color w:val="000000"/>
          <w:vertAlign w:val="superscript"/>
          <w:lang w:eastAsia="zh-CN"/>
        </w:rPr>
        <w:t>]</w:t>
      </w:r>
      <w:r w:rsidR="00EE46F0" w:rsidRPr="005F7EC5">
        <w:rPr>
          <w:rFonts w:ascii="Book Antiqua" w:hAnsi="Book Antiqua" w:cs="Book Antiqua"/>
          <w:color w:val="000000"/>
          <w:lang w:eastAsia="zh-CN"/>
        </w:rPr>
        <w:t>.</w:t>
      </w:r>
    </w:p>
    <w:p w14:paraId="660577FA" w14:textId="02B1182E" w:rsidR="00A77B3E" w:rsidRPr="005F7EC5" w:rsidRDefault="00EE46F0" w:rsidP="005F7EC5">
      <w:pPr>
        <w:spacing w:line="360" w:lineRule="auto"/>
        <w:ind w:firstLineChars="100" w:firstLine="240"/>
        <w:jc w:val="both"/>
        <w:rPr>
          <w:lang w:eastAsia="zh-CN"/>
        </w:rPr>
      </w:pPr>
      <w:r w:rsidRPr="005F7EC5">
        <w:rPr>
          <w:rStyle w:val="translated-span"/>
          <w:rFonts w:ascii="Book Antiqua" w:eastAsia="Book Antiqua" w:hAnsi="Book Antiqua" w:cs="Book Antiqua"/>
          <w:color w:val="000000"/>
        </w:rPr>
        <w:t>Clonidine, a</w:t>
      </w:r>
      <w:r w:rsidR="00FA2DBE" w:rsidRPr="005F7EC5">
        <w:rPr>
          <w:rStyle w:val="translated-span"/>
          <w:rFonts w:ascii="Book Antiqua" w:eastAsia="Book Antiqua" w:hAnsi="Book Antiqua" w:cs="Book Antiqua"/>
          <w:color w:val="000000"/>
        </w:rPr>
        <w:t xml:space="preserve"> α</w:t>
      </w:r>
      <w:r w:rsidR="00FA2DBE" w:rsidRPr="005F7EC5">
        <w:rPr>
          <w:rStyle w:val="translated-span"/>
          <w:rFonts w:ascii="Book Antiqua" w:eastAsia="Book Antiqua" w:hAnsi="Book Antiqua" w:cs="Book Antiqua"/>
          <w:color w:val="000000"/>
          <w:vertAlign w:val="subscript"/>
        </w:rPr>
        <w:t>2</w:t>
      </w:r>
      <w:r w:rsidR="00FA2DBE" w:rsidRPr="005F7EC5">
        <w:rPr>
          <w:rStyle w:val="translated-span"/>
          <w:rFonts w:ascii="Book Antiqua" w:eastAsia="Book Antiqua" w:hAnsi="Book Antiqua" w:cs="Book Antiqua"/>
          <w:color w:val="000000"/>
        </w:rPr>
        <w:t xml:space="preserve"> adrenergic receptor agonist and imidazoline receptor agonist, is used in antihypertension, acute and chronic pain management and sedation</w:t>
      </w:r>
      <w:r w:rsidR="00D64DF4">
        <w:rPr>
          <w:rStyle w:val="translated-span"/>
          <w:rFonts w:ascii="Book Antiqua" w:eastAsia="Book Antiqua" w:hAnsi="Book Antiqua" w:cs="Book Antiqua"/>
          <w:color w:val="000000"/>
        </w:rPr>
        <w:t>.</w:t>
      </w:r>
      <w:r w:rsidR="00FA2DBE" w:rsidRPr="005F7EC5">
        <w:rPr>
          <w:rStyle w:val="translated-span"/>
          <w:rFonts w:ascii="Book Antiqua" w:eastAsia="Book Antiqua" w:hAnsi="Book Antiqua" w:cs="Book Antiqua"/>
          <w:color w:val="000000"/>
        </w:rPr>
        <w:t xml:space="preserve"> </w:t>
      </w:r>
      <w:r w:rsidR="00D64DF4">
        <w:rPr>
          <w:rStyle w:val="translated-span"/>
          <w:rFonts w:ascii="Book Antiqua" w:eastAsia="Book Antiqua" w:hAnsi="Book Antiqua" w:cs="Book Antiqua"/>
          <w:color w:val="000000"/>
        </w:rPr>
        <w:t>However, the</w:t>
      </w:r>
      <w:r w:rsidR="00FA2DBE" w:rsidRPr="005F7EC5">
        <w:rPr>
          <w:rStyle w:val="translated-span"/>
          <w:rFonts w:ascii="Book Antiqua" w:eastAsia="Book Antiqua" w:hAnsi="Book Antiqua" w:cs="Book Antiqua"/>
          <w:color w:val="000000"/>
        </w:rPr>
        <w:t xml:space="preserve"> clonidine transdermal patch is currently approved only in the treatment of hypertension. The analgesic effect of </w:t>
      </w:r>
      <w:r w:rsidR="00D64DF4">
        <w:rPr>
          <w:rStyle w:val="translated-span"/>
          <w:rFonts w:ascii="Book Antiqua" w:eastAsia="Book Antiqua" w:hAnsi="Book Antiqua" w:cs="Book Antiqua"/>
          <w:color w:val="000000"/>
        </w:rPr>
        <w:t xml:space="preserve">the </w:t>
      </w:r>
      <w:r w:rsidR="00FA2DBE" w:rsidRPr="005F7EC5">
        <w:rPr>
          <w:rStyle w:val="translated-span"/>
          <w:rFonts w:ascii="Book Antiqua" w:eastAsia="Book Antiqua" w:hAnsi="Book Antiqua" w:cs="Book Antiqua"/>
          <w:color w:val="000000"/>
        </w:rPr>
        <w:t>clonidine patch is related to the α</w:t>
      </w:r>
      <w:r w:rsidR="00FA2DBE" w:rsidRPr="005F7EC5">
        <w:rPr>
          <w:rStyle w:val="translated-span"/>
          <w:rFonts w:ascii="Book Antiqua" w:eastAsia="Book Antiqua" w:hAnsi="Book Antiqua" w:cs="Book Antiqua"/>
          <w:color w:val="000000"/>
          <w:vertAlign w:val="subscript"/>
        </w:rPr>
        <w:t>2</w:t>
      </w:r>
      <w:r w:rsidR="00FA2DBE" w:rsidRPr="005F7EC5">
        <w:rPr>
          <w:rStyle w:val="translated-span"/>
          <w:rFonts w:ascii="Book Antiqua" w:eastAsia="Book Antiqua" w:hAnsi="Book Antiqua" w:cs="Book Antiqua"/>
          <w:color w:val="000000"/>
        </w:rPr>
        <w:t xml:space="preserve"> receptor in the skin and the imidazoline receptor in the peripheral nerve endings, but clonidine use in the treatment of neuropathic pain is insufficient</w:t>
      </w:r>
      <w:r w:rsidR="00CE0E77" w:rsidRPr="005F7EC5">
        <w:rPr>
          <w:rStyle w:val="translated-span"/>
          <w:rFonts w:ascii="Book Antiqua" w:hAnsi="Book Antiqua" w:cs="Book Antiqua"/>
          <w:color w:val="000000"/>
          <w:vertAlign w:val="superscript"/>
          <w:lang w:eastAsia="zh-CN"/>
        </w:rPr>
        <w:t>[</w:t>
      </w:r>
      <w:r w:rsidR="00FA2DBE" w:rsidRPr="005F7EC5">
        <w:rPr>
          <w:rFonts w:ascii="Book Antiqua" w:eastAsia="Book Antiqua" w:hAnsi="Book Antiqua" w:cs="Book Antiqua"/>
          <w:color w:val="000000"/>
          <w:vertAlign w:val="superscript"/>
        </w:rPr>
        <w:t>71,74</w:t>
      </w:r>
      <w:r w:rsidR="005A27C5" w:rsidRPr="005F7EC5">
        <w:rPr>
          <w:rFonts w:ascii="Book Antiqua" w:eastAsia="Book Antiqua" w:hAnsi="Book Antiqua" w:cs="Book Antiqua"/>
          <w:color w:val="000000"/>
          <w:vertAlign w:val="superscript"/>
        </w:rPr>
        <w:t>-</w:t>
      </w:r>
      <w:r w:rsidR="00FA2DBE" w:rsidRPr="005F7EC5">
        <w:rPr>
          <w:rFonts w:ascii="Book Antiqua" w:eastAsia="Book Antiqua" w:hAnsi="Book Antiqua" w:cs="Book Antiqua"/>
          <w:color w:val="000000"/>
          <w:vertAlign w:val="superscript"/>
        </w:rPr>
        <w:t>77</w:t>
      </w:r>
      <w:r w:rsidR="00CE0E77" w:rsidRPr="005F7EC5">
        <w:rPr>
          <w:rFonts w:ascii="Book Antiqua" w:hAnsi="Book Antiqua" w:cs="Book Antiqua"/>
          <w:color w:val="000000"/>
          <w:vertAlign w:val="superscript"/>
          <w:lang w:eastAsia="zh-CN"/>
        </w:rPr>
        <w:t>]</w:t>
      </w:r>
      <w:r w:rsidR="00CE0E77" w:rsidRPr="005F7EC5">
        <w:rPr>
          <w:rFonts w:ascii="Book Antiqua" w:hAnsi="Book Antiqua" w:cs="Book Antiqua"/>
          <w:color w:val="000000"/>
          <w:lang w:eastAsia="zh-CN"/>
        </w:rPr>
        <w:t>.</w:t>
      </w:r>
    </w:p>
    <w:bookmarkEnd w:id="91"/>
    <w:bookmarkEnd w:id="92"/>
    <w:p w14:paraId="7AD8A62E" w14:textId="77777777" w:rsidR="00A77B3E" w:rsidRPr="005F7EC5" w:rsidRDefault="00A77B3E" w:rsidP="005F7EC5">
      <w:pPr>
        <w:spacing w:line="360" w:lineRule="auto"/>
        <w:ind w:firstLine="420"/>
        <w:jc w:val="both"/>
      </w:pPr>
    </w:p>
    <w:p w14:paraId="646C3648" w14:textId="77777777" w:rsidR="00A77B3E" w:rsidRPr="005F7EC5" w:rsidRDefault="00FA2DBE" w:rsidP="005F7EC5">
      <w:pPr>
        <w:spacing w:line="360" w:lineRule="auto"/>
        <w:jc w:val="both"/>
      </w:pPr>
      <w:r w:rsidRPr="005F7EC5">
        <w:rPr>
          <w:rFonts w:ascii="Book Antiqua" w:eastAsia="Book Antiqua" w:hAnsi="Book Antiqua" w:cs="Book Antiqua"/>
          <w:b/>
          <w:caps/>
          <w:color w:val="000000"/>
          <w:u w:val="single"/>
        </w:rPr>
        <w:t>CONCLUSION</w:t>
      </w:r>
    </w:p>
    <w:p w14:paraId="266B66DD" w14:textId="056BF9D3" w:rsidR="00A77B3E" w:rsidRPr="005F7EC5" w:rsidRDefault="00FA2DBE" w:rsidP="005F7EC5">
      <w:pPr>
        <w:spacing w:line="360" w:lineRule="auto"/>
        <w:jc w:val="both"/>
      </w:pPr>
      <w:bookmarkStart w:id="93" w:name="OLE_LINK114"/>
      <w:bookmarkStart w:id="94" w:name="OLE_LINK115"/>
      <w:r w:rsidRPr="005F7EC5">
        <w:rPr>
          <w:rStyle w:val="translated-span"/>
          <w:rFonts w:ascii="Book Antiqua" w:eastAsia="Book Antiqua" w:hAnsi="Book Antiqua" w:cs="Book Antiqua"/>
          <w:color w:val="000000"/>
        </w:rPr>
        <w:t xml:space="preserve">Based on expert opinions and careful assessment of the existing evidence, the </w:t>
      </w:r>
      <w:r w:rsidR="00C5473D" w:rsidRPr="005F7EC5">
        <w:rPr>
          <w:rStyle w:val="translated-span"/>
          <w:rFonts w:ascii="Book Antiqua" w:eastAsia="Book Antiqua" w:hAnsi="Book Antiqua" w:cs="Book Antiqua"/>
          <w:color w:val="000000"/>
        </w:rPr>
        <w:t xml:space="preserve">classification and definition of grade evidence were summarized in </w:t>
      </w:r>
      <w:r w:rsidR="00B12D04" w:rsidRPr="005F7EC5">
        <w:rPr>
          <w:rStyle w:val="translated-span"/>
          <w:rFonts w:ascii="Book Antiqua" w:hAnsi="Book Antiqua" w:cs="Book Antiqua"/>
          <w:color w:val="000000"/>
          <w:lang w:eastAsia="zh-CN"/>
        </w:rPr>
        <w:t>T</w:t>
      </w:r>
      <w:r w:rsidR="00C5473D" w:rsidRPr="005F7EC5">
        <w:rPr>
          <w:rStyle w:val="translated-span"/>
          <w:rFonts w:ascii="Book Antiqua" w:eastAsia="Book Antiqua" w:hAnsi="Book Antiqua" w:cs="Book Antiqua"/>
          <w:color w:val="000000"/>
        </w:rPr>
        <w:t>able</w:t>
      </w:r>
      <w:r w:rsidR="00B12D04" w:rsidRPr="005F7EC5">
        <w:rPr>
          <w:rStyle w:val="translated-span"/>
          <w:rFonts w:ascii="Book Antiqua" w:hAnsi="Book Antiqua" w:cs="Book Antiqua"/>
          <w:color w:val="000000"/>
          <w:lang w:eastAsia="zh-CN"/>
        </w:rPr>
        <w:t>s</w:t>
      </w:r>
      <w:r w:rsidR="00C5473D" w:rsidRPr="005F7EC5">
        <w:rPr>
          <w:rStyle w:val="translated-span"/>
          <w:rFonts w:ascii="Book Antiqua" w:eastAsia="Book Antiqua" w:hAnsi="Book Antiqua" w:cs="Book Antiqua"/>
          <w:color w:val="000000"/>
        </w:rPr>
        <w:t xml:space="preserve"> 6 and 7</w:t>
      </w:r>
      <w:r w:rsidR="00F741A0">
        <w:rPr>
          <w:rStyle w:val="translated-span"/>
          <w:rFonts w:ascii="Book Antiqua" w:eastAsia="Book Antiqua" w:hAnsi="Book Antiqua" w:cs="Book Antiqua"/>
          <w:color w:val="000000"/>
        </w:rPr>
        <w:t>,</w:t>
      </w:r>
      <w:r w:rsidR="00C5473D" w:rsidRPr="005F7EC5">
        <w:rPr>
          <w:rStyle w:val="translated-span"/>
          <w:rFonts w:ascii="Book Antiqua" w:eastAsia="Book Antiqua" w:hAnsi="Book Antiqua" w:cs="Book Antiqua"/>
          <w:color w:val="000000"/>
        </w:rPr>
        <w:t xml:space="preserve"> while the </w:t>
      </w:r>
      <w:r w:rsidR="00AC2E04" w:rsidRPr="005F7EC5">
        <w:rPr>
          <w:rStyle w:val="translated-span"/>
          <w:rFonts w:ascii="Book Antiqua" w:eastAsia="Book Antiqua" w:hAnsi="Book Antiqua" w:cs="Book Antiqua"/>
          <w:color w:val="000000"/>
        </w:rPr>
        <w:t xml:space="preserve">consensus </w:t>
      </w:r>
      <w:r w:rsidRPr="005F7EC5">
        <w:rPr>
          <w:rStyle w:val="translated-span"/>
          <w:rFonts w:ascii="Book Antiqua" w:eastAsia="Book Antiqua" w:hAnsi="Book Antiqua" w:cs="Book Antiqua"/>
          <w:color w:val="000000"/>
        </w:rPr>
        <w:t>recommended</w:t>
      </w:r>
      <w:r w:rsidR="00AC2E04" w:rsidRPr="005F7EC5">
        <w:rPr>
          <w:rStyle w:val="translated-span"/>
          <w:rFonts w:ascii="Book Antiqua" w:eastAsia="Book Antiqua" w:hAnsi="Book Antiqua" w:cs="Book Antiqua"/>
          <w:color w:val="000000"/>
        </w:rPr>
        <w:t xml:space="preserve"> by experts</w:t>
      </w:r>
      <w:r w:rsidRPr="005F7EC5">
        <w:rPr>
          <w:rStyle w:val="translated-span"/>
          <w:rFonts w:ascii="Book Antiqua" w:eastAsia="Book Antiqua" w:hAnsi="Book Antiqua" w:cs="Book Antiqua"/>
          <w:color w:val="000000"/>
        </w:rPr>
        <w:t xml:space="preserve"> </w:t>
      </w:r>
      <w:r w:rsidR="00C5473D" w:rsidRPr="005F7EC5">
        <w:rPr>
          <w:rStyle w:val="translated-span"/>
          <w:rFonts w:ascii="Book Antiqua" w:eastAsia="Book Antiqua" w:hAnsi="Book Antiqua" w:cs="Book Antiqua"/>
          <w:color w:val="000000"/>
        </w:rPr>
        <w:t>w</w:t>
      </w:r>
      <w:r w:rsidR="00F741A0">
        <w:rPr>
          <w:rStyle w:val="translated-span"/>
          <w:rFonts w:ascii="Book Antiqua" w:eastAsia="Book Antiqua" w:hAnsi="Book Antiqua" w:cs="Book Antiqua"/>
          <w:color w:val="000000"/>
        </w:rPr>
        <w:t>as</w:t>
      </w:r>
      <w:r w:rsidR="00C5473D" w:rsidRPr="005F7EC5">
        <w:rPr>
          <w:rStyle w:val="translated-span"/>
          <w:rFonts w:ascii="Book Antiqua" w:eastAsia="Book Antiqua" w:hAnsi="Book Antiqua" w:cs="Book Antiqua"/>
          <w:color w:val="000000"/>
        </w:rPr>
        <w:t xml:space="preserve"> </w:t>
      </w:r>
      <w:r w:rsidRPr="005F7EC5">
        <w:rPr>
          <w:rStyle w:val="translated-span"/>
          <w:rFonts w:ascii="Book Antiqua" w:eastAsia="Book Antiqua" w:hAnsi="Book Antiqua" w:cs="Book Antiqua"/>
          <w:color w:val="000000"/>
        </w:rPr>
        <w:t xml:space="preserve">summarized in Table </w:t>
      </w:r>
      <w:r w:rsidR="00C5473D" w:rsidRPr="005F7EC5">
        <w:rPr>
          <w:rStyle w:val="translated-span"/>
          <w:rFonts w:ascii="Book Antiqua" w:eastAsia="Book Antiqua" w:hAnsi="Book Antiqua" w:cs="Book Antiqua"/>
          <w:color w:val="000000"/>
        </w:rPr>
        <w:t>8</w:t>
      </w:r>
      <w:r w:rsidRPr="005F7EC5">
        <w:rPr>
          <w:rStyle w:val="translated-span"/>
          <w:rFonts w:ascii="Book Antiqua" w:eastAsia="Book Antiqua" w:hAnsi="Book Antiqua" w:cs="Book Antiqua"/>
          <w:color w:val="000000"/>
        </w:rPr>
        <w:t>. This consensus can help clinician</w:t>
      </w:r>
      <w:r w:rsidR="00C5473D" w:rsidRPr="005F7EC5">
        <w:rPr>
          <w:rStyle w:val="translated-span"/>
          <w:rFonts w:ascii="Book Antiqua" w:eastAsia="Book Antiqua" w:hAnsi="Book Antiqua" w:cs="Book Antiqua"/>
          <w:color w:val="000000"/>
        </w:rPr>
        <w:t>s</w:t>
      </w:r>
      <w:r w:rsidRPr="005F7EC5">
        <w:rPr>
          <w:rStyle w:val="translated-span"/>
          <w:rFonts w:ascii="Book Antiqua" w:eastAsia="Book Antiqua" w:hAnsi="Book Antiqua" w:cs="Book Antiqua"/>
          <w:color w:val="000000"/>
        </w:rPr>
        <w:t xml:space="preserve"> </w:t>
      </w:r>
      <w:r w:rsidR="00F741A0">
        <w:rPr>
          <w:rStyle w:val="translated-span"/>
          <w:rFonts w:ascii="Book Antiqua" w:eastAsia="Book Antiqua" w:hAnsi="Book Antiqua" w:cs="Book Antiqua"/>
          <w:color w:val="000000"/>
        </w:rPr>
        <w:t>to</w:t>
      </w:r>
      <w:r w:rsidRPr="005F7EC5">
        <w:rPr>
          <w:rStyle w:val="translated-span"/>
          <w:rFonts w:ascii="Book Antiqua" w:eastAsia="Book Antiqua" w:hAnsi="Book Antiqua" w:cs="Book Antiqua"/>
          <w:color w:val="000000"/>
        </w:rPr>
        <w:t xml:space="preserve"> use transdermal patches in pain management</w:t>
      </w:r>
      <w:r w:rsidR="00F741A0">
        <w:rPr>
          <w:rStyle w:val="translated-span"/>
          <w:rFonts w:ascii="Book Antiqua" w:eastAsia="Book Antiqua" w:hAnsi="Book Antiqua" w:cs="Book Antiqua"/>
          <w:color w:val="000000"/>
        </w:rPr>
        <w:t xml:space="preserve"> more effectively</w:t>
      </w:r>
      <w:r w:rsidRPr="005F7EC5">
        <w:rPr>
          <w:rStyle w:val="translated-span"/>
          <w:rFonts w:ascii="Book Antiqua" w:eastAsia="Book Antiqua" w:hAnsi="Book Antiqua" w:cs="Book Antiqua"/>
          <w:color w:val="000000"/>
        </w:rPr>
        <w:t>.</w:t>
      </w:r>
    </w:p>
    <w:bookmarkEnd w:id="93"/>
    <w:bookmarkEnd w:id="94"/>
    <w:p w14:paraId="0155E5AF" w14:textId="77777777" w:rsidR="00A77B3E" w:rsidRPr="005F7EC5" w:rsidRDefault="00A77B3E" w:rsidP="005F7EC5">
      <w:pPr>
        <w:spacing w:line="360" w:lineRule="auto"/>
        <w:jc w:val="both"/>
      </w:pPr>
    </w:p>
    <w:p w14:paraId="5759234B" w14:textId="77777777" w:rsidR="00A77B3E" w:rsidRPr="005F7EC5" w:rsidRDefault="00FA2DBE" w:rsidP="005F7EC5">
      <w:pPr>
        <w:spacing w:line="360" w:lineRule="auto"/>
        <w:jc w:val="both"/>
      </w:pPr>
      <w:r w:rsidRPr="005F7EC5">
        <w:rPr>
          <w:rFonts w:ascii="Book Antiqua" w:eastAsia="Book Antiqua" w:hAnsi="Book Antiqua" w:cs="Book Antiqua"/>
          <w:b/>
          <w:caps/>
          <w:color w:val="000000"/>
          <w:u w:val="single"/>
        </w:rPr>
        <w:t>ACKNOWLEDGEMENTS</w:t>
      </w:r>
    </w:p>
    <w:p w14:paraId="11ABE159" w14:textId="122924D1" w:rsidR="00A77B3E" w:rsidRPr="005F7EC5" w:rsidRDefault="00FA2DBE" w:rsidP="005F7EC5">
      <w:pPr>
        <w:spacing w:line="360" w:lineRule="auto"/>
        <w:jc w:val="both"/>
      </w:pPr>
      <w:bookmarkStart w:id="95" w:name="OLE_LINK116"/>
      <w:bookmarkStart w:id="96" w:name="OLE_LINK117"/>
      <w:r w:rsidRPr="005F7EC5">
        <w:rPr>
          <w:rFonts w:ascii="Book Antiqua" w:eastAsia="Book Antiqua" w:hAnsi="Book Antiqua" w:cs="Book Antiqua"/>
          <w:color w:val="000000"/>
        </w:rPr>
        <w:t>The authors would like to thank Daiichi-Sankyo Co., Ltd for the medical support of the manuscript.</w:t>
      </w:r>
    </w:p>
    <w:bookmarkEnd w:id="95"/>
    <w:bookmarkEnd w:id="96"/>
    <w:p w14:paraId="09F0BDE5" w14:textId="77777777" w:rsidR="00A77B3E" w:rsidRPr="005F7EC5" w:rsidRDefault="00A77B3E" w:rsidP="005F7EC5">
      <w:pPr>
        <w:spacing w:line="360" w:lineRule="auto"/>
        <w:jc w:val="both"/>
      </w:pPr>
    </w:p>
    <w:p w14:paraId="73B1B442" w14:textId="77777777" w:rsidR="00A77B3E" w:rsidRPr="005F7EC5" w:rsidRDefault="00FA2DBE" w:rsidP="005F7EC5">
      <w:pPr>
        <w:adjustRightInd w:val="0"/>
        <w:snapToGrid w:val="0"/>
        <w:spacing w:line="360" w:lineRule="auto"/>
        <w:jc w:val="both"/>
        <w:rPr>
          <w:rFonts w:ascii="Book Antiqua" w:hAnsi="Book Antiqua"/>
        </w:rPr>
      </w:pPr>
      <w:bookmarkStart w:id="97" w:name="_Hlk64900664"/>
      <w:r w:rsidRPr="005F7EC5">
        <w:rPr>
          <w:rFonts w:ascii="Book Antiqua" w:eastAsia="Book Antiqua" w:hAnsi="Book Antiqua" w:cs="Book Antiqua"/>
          <w:b/>
        </w:rPr>
        <w:t>REFERENCES</w:t>
      </w:r>
    </w:p>
    <w:p w14:paraId="035D3F6B" w14:textId="47711F3F"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98" w:name="OLE_LINK118"/>
      <w:bookmarkStart w:id="99" w:name="OLE_LINK119"/>
      <w:bookmarkStart w:id="100" w:name="OLE_LINK120"/>
      <w:bookmarkStart w:id="101" w:name="OLE_LINK130"/>
      <w:r w:rsidRPr="005F7EC5">
        <w:rPr>
          <w:rFonts w:ascii="Book Antiqua" w:hAnsi="Book Antiqua"/>
        </w:rPr>
        <w:t>1 </w:t>
      </w:r>
      <w:r w:rsidR="00661FA2" w:rsidRPr="005F7EC5">
        <w:rPr>
          <w:rFonts w:ascii="Book Antiqua" w:hAnsi="Book Antiqua"/>
          <w:b/>
          <w:bCs/>
        </w:rPr>
        <w:t>Lu Y</w:t>
      </w:r>
      <w:r w:rsidRPr="005F7EC5">
        <w:rPr>
          <w:rFonts w:ascii="Book Antiqua" w:hAnsi="Book Antiqua"/>
          <w:b/>
          <w:bCs/>
        </w:rPr>
        <w:t>,</w:t>
      </w:r>
      <w:r w:rsidRPr="005F7EC5">
        <w:rPr>
          <w:rFonts w:ascii="Book Antiqua" w:hAnsi="Book Antiqua"/>
        </w:rPr>
        <w:t> Cheng J, Fan B, Liu Y, Yu S, Zhang D, Fu Z, Song X, Yi X, Cheng Z, Liu X, Fu K</w:t>
      </w:r>
      <w:r w:rsidR="00661FA2" w:rsidRPr="005F7EC5">
        <w:rPr>
          <w:rFonts w:ascii="Book Antiqua" w:hAnsi="Book Antiqua"/>
        </w:rPr>
        <w:t>, Ma K</w:t>
      </w:r>
      <w:r w:rsidRPr="005F7EC5">
        <w:rPr>
          <w:rFonts w:ascii="Book Antiqua" w:hAnsi="Book Antiqua"/>
        </w:rPr>
        <w:t>, Huang D, Yang X</w:t>
      </w:r>
      <w:r w:rsidR="00661FA2" w:rsidRPr="005F7EC5">
        <w:rPr>
          <w:rFonts w:ascii="Book Antiqua" w:hAnsi="Book Antiqua"/>
        </w:rPr>
        <w:t>, Xiao L</w:t>
      </w:r>
      <w:r w:rsidRPr="005F7EC5">
        <w:rPr>
          <w:rFonts w:ascii="Book Antiqua" w:hAnsi="Book Antiqua"/>
        </w:rPr>
        <w:t>, Feng Z</w:t>
      </w:r>
      <w:r w:rsidR="00661FA2" w:rsidRPr="005F7EC5">
        <w:rPr>
          <w:rFonts w:ascii="Book Antiqua" w:hAnsi="Book Antiqua"/>
        </w:rPr>
        <w:t>, Jin Y, Dong Z</w:t>
      </w:r>
      <w:r w:rsidRPr="005F7EC5">
        <w:rPr>
          <w:rFonts w:ascii="Book Antiqua" w:hAnsi="Book Antiqua"/>
        </w:rPr>
        <w:t xml:space="preserve">, Han J. </w:t>
      </w:r>
      <w:bookmarkStart w:id="102" w:name="OLE_LINK29"/>
      <w:bookmarkStart w:id="103" w:name="OLE_LINK30"/>
      <w:r w:rsidRPr="005F7EC5">
        <w:rPr>
          <w:rFonts w:ascii="Book Antiqua" w:hAnsi="Book Antiqua"/>
        </w:rPr>
        <w:t>ICD-11 Chinese version of chronic pain classification</w:t>
      </w:r>
      <w:bookmarkEnd w:id="102"/>
      <w:bookmarkEnd w:id="103"/>
      <w:r w:rsidRPr="005F7EC5">
        <w:rPr>
          <w:rFonts w:ascii="Book Antiqua" w:hAnsi="Book Antiqua"/>
        </w:rPr>
        <w:t xml:space="preserve">. </w:t>
      </w:r>
      <w:r w:rsidR="005A27C5" w:rsidRPr="005F7EC5">
        <w:rPr>
          <w:rFonts w:ascii="Book Antiqua" w:hAnsi="Book Antiqua"/>
          <w:i/>
        </w:rPr>
        <w:t>Zhongguo Tengtong Yixue Zazhi</w:t>
      </w:r>
      <w:r w:rsidRPr="005F7EC5">
        <w:rPr>
          <w:rFonts w:ascii="Book Antiqua" w:hAnsi="Book Antiqua"/>
        </w:rPr>
        <w:t xml:space="preserve"> 2018;</w:t>
      </w:r>
      <w:r w:rsidR="00661FA2" w:rsidRPr="005F7EC5">
        <w:rPr>
          <w:rFonts w:ascii="Book Antiqua" w:hAnsi="Book Antiqua"/>
        </w:rPr>
        <w:t xml:space="preserve"> </w:t>
      </w:r>
      <w:r w:rsidRPr="005F7EC5">
        <w:rPr>
          <w:rFonts w:ascii="Book Antiqua" w:hAnsi="Book Antiqua"/>
          <w:b/>
        </w:rPr>
        <w:t>24</w:t>
      </w:r>
      <w:r w:rsidRPr="005F7EC5">
        <w:rPr>
          <w:rFonts w:ascii="Book Antiqua" w:hAnsi="Book Antiqua"/>
        </w:rPr>
        <w:t>:</w:t>
      </w:r>
      <w:r w:rsidR="00661FA2" w:rsidRPr="005F7EC5">
        <w:rPr>
          <w:rFonts w:ascii="Book Antiqua" w:hAnsi="Book Antiqua"/>
        </w:rPr>
        <w:t xml:space="preserve"> 801-805</w:t>
      </w:r>
      <w:r w:rsidRPr="005F7EC5">
        <w:rPr>
          <w:rFonts w:ascii="Book Antiqua" w:hAnsi="Book Antiqua"/>
        </w:rPr>
        <w:t xml:space="preserve"> </w:t>
      </w:r>
      <w:bookmarkStart w:id="104" w:name="OLE_LINK31"/>
      <w:r w:rsidR="00661FA2" w:rsidRPr="005F7EC5">
        <w:rPr>
          <w:rFonts w:ascii="Book Antiqua" w:hAnsi="Book Antiqua"/>
        </w:rPr>
        <w:t>[</w:t>
      </w:r>
      <w:r w:rsidRPr="005F7EC5">
        <w:rPr>
          <w:rFonts w:ascii="Book Antiqua" w:hAnsi="Book Antiqua"/>
        </w:rPr>
        <w:t>DOI:</w:t>
      </w:r>
      <w:r w:rsidR="00661FA2" w:rsidRPr="005F7EC5">
        <w:rPr>
          <w:rFonts w:ascii="Book Antiqua" w:hAnsi="Book Antiqua"/>
        </w:rPr>
        <w:t xml:space="preserve"> </w:t>
      </w:r>
      <w:r w:rsidRPr="005F7EC5">
        <w:rPr>
          <w:rFonts w:ascii="Book Antiqua" w:hAnsi="Book Antiqua"/>
        </w:rPr>
        <w:t>10.3969/j.issn.1006-9852.2018.11.001</w:t>
      </w:r>
      <w:bookmarkEnd w:id="104"/>
      <w:r w:rsidR="00661FA2" w:rsidRPr="005F7EC5">
        <w:rPr>
          <w:rFonts w:ascii="Book Antiqua" w:hAnsi="Book Antiqua"/>
        </w:rPr>
        <w:t>]</w:t>
      </w:r>
    </w:p>
    <w:p w14:paraId="2B568DAA"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2 </w:t>
      </w:r>
      <w:r w:rsidRPr="005F7EC5">
        <w:rPr>
          <w:rFonts w:ascii="Book Antiqua" w:hAnsi="Book Antiqua"/>
          <w:b/>
          <w:bCs/>
        </w:rPr>
        <w:t>Yang G</w:t>
      </w:r>
      <w:r w:rsidRPr="005F7EC5">
        <w:rPr>
          <w:rFonts w:ascii="Book Antiqua" w:hAnsi="Book Antiqua"/>
        </w:rPr>
        <w:t>, Wang Y, Zeng Y, Gao GF, Liang X, Zhou M, Wan X, Yu S, Jiang Y, Naghavi M, Vos T, Wang H, Lopez AD, Murray CJ. Rapid health transition in China, 1990-2010: findings from the Global Burden of Disease Study 2010. </w:t>
      </w:r>
      <w:r w:rsidRPr="005F7EC5">
        <w:rPr>
          <w:rFonts w:ascii="Book Antiqua" w:hAnsi="Book Antiqua"/>
          <w:i/>
          <w:iCs/>
        </w:rPr>
        <w:t>Lancet</w:t>
      </w:r>
      <w:r w:rsidRPr="005F7EC5">
        <w:rPr>
          <w:rFonts w:ascii="Book Antiqua" w:hAnsi="Book Antiqua"/>
        </w:rPr>
        <w:t> 2013; </w:t>
      </w:r>
      <w:r w:rsidRPr="005F7EC5">
        <w:rPr>
          <w:rFonts w:ascii="Book Antiqua" w:hAnsi="Book Antiqua"/>
          <w:b/>
          <w:bCs/>
        </w:rPr>
        <w:t>381</w:t>
      </w:r>
      <w:r w:rsidRPr="005F7EC5">
        <w:rPr>
          <w:rFonts w:ascii="Book Antiqua" w:hAnsi="Book Antiqua"/>
        </w:rPr>
        <w:t>: 1987-2015 [PMID: 23746901 DOI: 10.1016/S0140-6736(13)61097-1]</w:t>
      </w:r>
    </w:p>
    <w:p w14:paraId="32858987"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3 </w:t>
      </w:r>
      <w:r w:rsidRPr="005F7EC5">
        <w:rPr>
          <w:rFonts w:ascii="Book Antiqua" w:hAnsi="Book Antiqua"/>
          <w:b/>
          <w:bCs/>
        </w:rPr>
        <w:t>Dong WL</w:t>
      </w:r>
      <w:r w:rsidRPr="005F7EC5">
        <w:rPr>
          <w:rFonts w:ascii="Book Antiqua" w:hAnsi="Book Antiqua"/>
        </w:rPr>
        <w:t>, Li YC, Liu SW, Jiang YY, Mao F, Qi L, Zeng XY, Zhou MG. [The disease burden for low back pain in China, 1990 and 2013]. </w:t>
      </w:r>
      <w:r w:rsidRPr="005F7EC5">
        <w:rPr>
          <w:rFonts w:ascii="Book Antiqua" w:hAnsi="Book Antiqua"/>
          <w:i/>
          <w:iCs/>
        </w:rPr>
        <w:t>Zhonghua Yu Fang Yi Xue Za Zhi</w:t>
      </w:r>
      <w:r w:rsidRPr="005F7EC5">
        <w:rPr>
          <w:rFonts w:ascii="Book Antiqua" w:hAnsi="Book Antiqua"/>
        </w:rPr>
        <w:t> 2017; </w:t>
      </w:r>
      <w:r w:rsidRPr="005F7EC5">
        <w:rPr>
          <w:rFonts w:ascii="Book Antiqua" w:hAnsi="Book Antiqua"/>
          <w:b/>
          <w:bCs/>
        </w:rPr>
        <w:t>51</w:t>
      </w:r>
      <w:r w:rsidRPr="005F7EC5">
        <w:rPr>
          <w:rFonts w:ascii="Book Antiqua" w:hAnsi="Book Antiqua"/>
        </w:rPr>
        <w:t>: 132-136 [</w:t>
      </w:r>
      <w:bookmarkStart w:id="105" w:name="OLE_LINK32"/>
      <w:bookmarkStart w:id="106" w:name="OLE_LINK33"/>
      <w:r w:rsidRPr="005F7EC5">
        <w:rPr>
          <w:rFonts w:ascii="Book Antiqua" w:hAnsi="Book Antiqua"/>
        </w:rPr>
        <w:t>PMID: 28219151</w:t>
      </w:r>
      <w:bookmarkEnd w:id="105"/>
      <w:bookmarkEnd w:id="106"/>
      <w:r w:rsidRPr="005F7EC5">
        <w:rPr>
          <w:rFonts w:ascii="Book Antiqua" w:hAnsi="Book Antiqua"/>
        </w:rPr>
        <w:t xml:space="preserve"> </w:t>
      </w:r>
      <w:r w:rsidR="00661FA2" w:rsidRPr="005F7EC5">
        <w:rPr>
          <w:rFonts w:ascii="Book Antiqua" w:hAnsi="Book Antiqua"/>
        </w:rPr>
        <w:t>DOI: 10.3760/cma.j.issn.0253-9624.2017.02.007</w:t>
      </w:r>
      <w:r w:rsidRPr="005F7EC5">
        <w:rPr>
          <w:rFonts w:ascii="Book Antiqua" w:hAnsi="Book Antiqua"/>
        </w:rPr>
        <w:t>]</w:t>
      </w:r>
    </w:p>
    <w:p w14:paraId="47F9C08E"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4 </w:t>
      </w:r>
      <w:r w:rsidRPr="005F7EC5">
        <w:rPr>
          <w:rFonts w:ascii="Book Antiqua" w:hAnsi="Book Antiqua"/>
          <w:b/>
          <w:bCs/>
        </w:rPr>
        <w:t>Pergolizzi JV Jr</w:t>
      </w:r>
      <w:r w:rsidRPr="005F7EC5">
        <w:rPr>
          <w:rFonts w:ascii="Book Antiqua" w:hAnsi="Book Antiqua"/>
        </w:rPr>
        <w:t>, Coluzzi F, Taylor R Jr. Transdermal buprenorphine for moderate chronic noncancer pain syndromes. </w:t>
      </w:r>
      <w:r w:rsidRPr="005F7EC5">
        <w:rPr>
          <w:rFonts w:ascii="Book Antiqua" w:hAnsi="Book Antiqua"/>
          <w:i/>
          <w:iCs/>
        </w:rPr>
        <w:t>Expert Rev Neurother</w:t>
      </w:r>
      <w:r w:rsidRPr="005F7EC5">
        <w:rPr>
          <w:rFonts w:ascii="Book Antiqua" w:hAnsi="Book Antiqua"/>
        </w:rPr>
        <w:t> 2018; </w:t>
      </w:r>
      <w:r w:rsidRPr="005F7EC5">
        <w:rPr>
          <w:rFonts w:ascii="Book Antiqua" w:hAnsi="Book Antiqua"/>
          <w:b/>
          <w:bCs/>
        </w:rPr>
        <w:t>18</w:t>
      </w:r>
      <w:r w:rsidRPr="005F7EC5">
        <w:rPr>
          <w:rFonts w:ascii="Book Antiqua" w:hAnsi="Book Antiqua"/>
        </w:rPr>
        <w:t>: 359-369 [PMID: 29667437 DOI: 10.1080/14737175.2018.1462701]</w:t>
      </w:r>
    </w:p>
    <w:p w14:paraId="535CF07C" w14:textId="3FAC0E98"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5</w:t>
      </w:r>
      <w:r w:rsidRPr="005F7EC5">
        <w:rPr>
          <w:rFonts w:ascii="Book Antiqua" w:hAnsi="Book Antiqua"/>
          <w:b/>
          <w:bCs/>
        </w:rPr>
        <w:t xml:space="preserve"> </w:t>
      </w:r>
      <w:bookmarkStart w:id="107" w:name="OLE_LINK141"/>
      <w:bookmarkStart w:id="108" w:name="OLE_LINK142"/>
      <w:bookmarkStart w:id="109" w:name="OLE_LINK133"/>
      <w:bookmarkStart w:id="110" w:name="OLE_LINK134"/>
      <w:bookmarkStart w:id="111" w:name="OLE_LINK143"/>
      <w:r w:rsidRPr="005F7EC5">
        <w:rPr>
          <w:rFonts w:ascii="Book Antiqua" w:hAnsi="Book Antiqua"/>
          <w:b/>
          <w:bCs/>
        </w:rPr>
        <w:t>Ma</w:t>
      </w:r>
      <w:r w:rsidR="00D73594" w:rsidRPr="005F7EC5">
        <w:rPr>
          <w:rFonts w:ascii="Book Antiqua" w:hAnsi="Book Antiqua"/>
          <w:b/>
          <w:bCs/>
        </w:rPr>
        <w:t xml:space="preserve"> HD</w:t>
      </w:r>
      <w:r w:rsidRPr="005F7EC5">
        <w:rPr>
          <w:rFonts w:ascii="Book Antiqua" w:hAnsi="Book Antiqua"/>
        </w:rPr>
        <w:t>,</w:t>
      </w:r>
      <w:r w:rsidR="00D73594" w:rsidRPr="005F7EC5">
        <w:rPr>
          <w:rFonts w:ascii="Book Antiqua" w:hAnsi="Book Antiqua"/>
        </w:rPr>
        <w:t xml:space="preserve"> </w:t>
      </w:r>
      <w:r w:rsidRPr="005F7EC5">
        <w:rPr>
          <w:rFonts w:ascii="Book Antiqua" w:hAnsi="Book Antiqua"/>
        </w:rPr>
        <w:t>Wang</w:t>
      </w:r>
      <w:r w:rsidR="00D73594" w:rsidRPr="005F7EC5">
        <w:rPr>
          <w:rFonts w:ascii="Book Antiqua" w:hAnsi="Book Antiqua"/>
        </w:rPr>
        <w:t xml:space="preserve"> L</w:t>
      </w:r>
      <w:r w:rsidRPr="005F7EC5">
        <w:rPr>
          <w:rFonts w:ascii="Book Antiqua" w:hAnsi="Book Antiqua"/>
        </w:rPr>
        <w:t>, Guo</w:t>
      </w:r>
      <w:r w:rsidR="00D73594" w:rsidRPr="005F7EC5">
        <w:rPr>
          <w:rFonts w:ascii="Book Antiqua" w:hAnsi="Book Antiqua"/>
        </w:rPr>
        <w:t xml:space="preserve"> DY</w:t>
      </w:r>
      <w:r w:rsidRPr="005F7EC5">
        <w:rPr>
          <w:rFonts w:ascii="Book Antiqua" w:hAnsi="Book Antiqua"/>
        </w:rPr>
        <w:t xml:space="preserve">. </w:t>
      </w:r>
      <w:bookmarkStart w:id="112" w:name="OLE_LINK34"/>
      <w:bookmarkStart w:id="113" w:name="OLE_LINK135"/>
      <w:bookmarkStart w:id="114" w:name="OLE_LINK136"/>
      <w:r w:rsidRPr="005F7EC5">
        <w:rPr>
          <w:rFonts w:ascii="Book Antiqua" w:hAnsi="Book Antiqua"/>
        </w:rPr>
        <w:t>Research progress of transdermal drug delivery system and new carriers</w:t>
      </w:r>
      <w:bookmarkEnd w:id="112"/>
      <w:r w:rsidRPr="005F7EC5">
        <w:rPr>
          <w:rFonts w:ascii="Book Antiqua" w:hAnsi="Book Antiqua"/>
        </w:rPr>
        <w:t>.</w:t>
      </w:r>
      <w:bookmarkEnd w:id="107"/>
      <w:bookmarkEnd w:id="108"/>
      <w:bookmarkEnd w:id="113"/>
      <w:bookmarkEnd w:id="114"/>
      <w:r w:rsidRPr="005F7EC5">
        <w:rPr>
          <w:rFonts w:ascii="Book Antiqua" w:hAnsi="Book Antiqua"/>
        </w:rPr>
        <w:t xml:space="preserve"> </w:t>
      </w:r>
      <w:bookmarkStart w:id="115" w:name="OLE_LINK137"/>
      <w:bookmarkStart w:id="116" w:name="OLE_LINK138"/>
      <w:r w:rsidRPr="005F7EC5">
        <w:rPr>
          <w:rFonts w:ascii="Book Antiqua" w:hAnsi="Book Antiqua"/>
          <w:i/>
        </w:rPr>
        <w:t xml:space="preserve">Shaanxi </w:t>
      </w:r>
      <w:bookmarkEnd w:id="115"/>
      <w:bookmarkEnd w:id="116"/>
      <w:r w:rsidR="005A27C5" w:rsidRPr="005F7EC5">
        <w:rPr>
          <w:rFonts w:ascii="Book Antiqua" w:hAnsi="Book Antiqua"/>
          <w:i/>
        </w:rPr>
        <w:t xml:space="preserve">Zhongyi </w:t>
      </w:r>
      <w:r w:rsidRPr="005F7EC5">
        <w:rPr>
          <w:rFonts w:ascii="Book Antiqua" w:hAnsi="Book Antiqua"/>
        </w:rPr>
        <w:t>2017;</w:t>
      </w:r>
      <w:r w:rsidR="00D73594" w:rsidRPr="005F7EC5">
        <w:rPr>
          <w:rFonts w:ascii="Book Antiqua" w:hAnsi="Book Antiqua"/>
        </w:rPr>
        <w:t xml:space="preserve"> </w:t>
      </w:r>
      <w:r w:rsidR="00D73594" w:rsidRPr="005F7EC5">
        <w:rPr>
          <w:rFonts w:ascii="Book Antiqua" w:hAnsi="Book Antiqua"/>
          <w:b/>
        </w:rPr>
        <w:t>38</w:t>
      </w:r>
      <w:r w:rsidRPr="005F7EC5">
        <w:rPr>
          <w:rFonts w:ascii="Book Antiqua" w:hAnsi="Book Antiqua"/>
        </w:rPr>
        <w:t>:</w:t>
      </w:r>
      <w:r w:rsidR="00D73594" w:rsidRPr="005F7EC5">
        <w:rPr>
          <w:rFonts w:ascii="Book Antiqua" w:hAnsi="Book Antiqua"/>
        </w:rPr>
        <w:t xml:space="preserve"> 1319-1320</w:t>
      </w:r>
      <w:bookmarkEnd w:id="109"/>
      <w:bookmarkEnd w:id="110"/>
      <w:bookmarkEnd w:id="111"/>
    </w:p>
    <w:p w14:paraId="2F82AA47"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6 </w:t>
      </w:r>
      <w:r w:rsidRPr="005F7EC5">
        <w:rPr>
          <w:rFonts w:ascii="Book Antiqua" w:hAnsi="Book Antiqua"/>
          <w:b/>
          <w:bCs/>
        </w:rPr>
        <w:t>Fathima SA,</w:t>
      </w:r>
      <w:r w:rsidRPr="005F7EC5">
        <w:rPr>
          <w:rFonts w:ascii="Book Antiqua" w:hAnsi="Book Antiqua"/>
        </w:rPr>
        <w:t xml:space="preserve"> Begum S, Fatima SS. </w:t>
      </w:r>
      <w:bookmarkStart w:id="117" w:name="OLE_LINK35"/>
      <w:bookmarkStart w:id="118" w:name="OLE_LINK36"/>
      <w:r w:rsidRPr="005F7EC5">
        <w:rPr>
          <w:rFonts w:ascii="Book Antiqua" w:hAnsi="Book Antiqua"/>
        </w:rPr>
        <w:t>Transdermal Drug Delivery System</w:t>
      </w:r>
      <w:bookmarkEnd w:id="117"/>
      <w:bookmarkEnd w:id="118"/>
      <w:r w:rsidRPr="005F7EC5">
        <w:rPr>
          <w:rFonts w:ascii="Book Antiqua" w:hAnsi="Book Antiqua"/>
        </w:rPr>
        <w:t xml:space="preserve">. </w:t>
      </w:r>
      <w:r w:rsidR="00421EC3" w:rsidRPr="005F7EC5">
        <w:rPr>
          <w:rFonts w:ascii="Book Antiqua" w:hAnsi="Book Antiqua"/>
          <w:i/>
        </w:rPr>
        <w:t>Int J Pharm Clin Res</w:t>
      </w:r>
      <w:r w:rsidRPr="005F7EC5">
        <w:rPr>
          <w:rFonts w:ascii="Book Antiqua" w:hAnsi="Book Antiqua"/>
          <w:i/>
        </w:rPr>
        <w:t xml:space="preserve"> </w:t>
      </w:r>
      <w:r w:rsidRPr="005F7EC5">
        <w:rPr>
          <w:rFonts w:ascii="Book Antiqua" w:hAnsi="Book Antiqua"/>
        </w:rPr>
        <w:t>2017;</w:t>
      </w:r>
      <w:r w:rsidR="00421EC3" w:rsidRPr="005F7EC5">
        <w:rPr>
          <w:rFonts w:ascii="Book Antiqua" w:hAnsi="Book Antiqua"/>
        </w:rPr>
        <w:t xml:space="preserve"> </w:t>
      </w:r>
      <w:r w:rsidR="00421EC3" w:rsidRPr="005F7EC5">
        <w:rPr>
          <w:rFonts w:ascii="Book Antiqua" w:hAnsi="Book Antiqua"/>
          <w:b/>
        </w:rPr>
        <w:t>9</w:t>
      </w:r>
      <w:r w:rsidRPr="005F7EC5">
        <w:rPr>
          <w:rFonts w:ascii="Book Antiqua" w:hAnsi="Book Antiqua"/>
        </w:rPr>
        <w:t xml:space="preserve"> </w:t>
      </w:r>
      <w:r w:rsidR="00421EC3" w:rsidRPr="005F7EC5">
        <w:rPr>
          <w:rFonts w:ascii="Book Antiqua" w:hAnsi="Book Antiqua"/>
        </w:rPr>
        <w:t>[</w:t>
      </w:r>
      <w:r w:rsidRPr="005F7EC5">
        <w:rPr>
          <w:rFonts w:ascii="Book Antiqua" w:hAnsi="Book Antiqua"/>
        </w:rPr>
        <w:t>DOI: 10.25258/ijpcr.v9i1.8261</w:t>
      </w:r>
      <w:r w:rsidR="00421EC3" w:rsidRPr="005F7EC5">
        <w:rPr>
          <w:rFonts w:ascii="Book Antiqua" w:hAnsi="Book Antiqua"/>
        </w:rPr>
        <w:t>]</w:t>
      </w:r>
    </w:p>
    <w:p w14:paraId="42CB287B" w14:textId="0F95D776"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7 </w:t>
      </w:r>
      <w:r w:rsidRPr="005F7EC5">
        <w:rPr>
          <w:rFonts w:ascii="Book Antiqua" w:hAnsi="Book Antiqua"/>
          <w:b/>
          <w:bCs/>
        </w:rPr>
        <w:t>Z</w:t>
      </w:r>
      <w:r w:rsidR="000B43B1" w:rsidRPr="005F7EC5">
        <w:rPr>
          <w:rFonts w:ascii="Book Antiqua" w:hAnsi="Book Antiqua"/>
          <w:b/>
          <w:bCs/>
        </w:rPr>
        <w:t>hang XH</w:t>
      </w:r>
      <w:r w:rsidRPr="005F7EC5">
        <w:rPr>
          <w:rFonts w:ascii="Book Antiqua" w:hAnsi="Book Antiqua"/>
          <w:b/>
          <w:bCs/>
        </w:rPr>
        <w:t>,</w:t>
      </w:r>
      <w:r w:rsidRPr="005F7EC5">
        <w:rPr>
          <w:rFonts w:ascii="Book Antiqua" w:hAnsi="Book Antiqua"/>
        </w:rPr>
        <w:t> W</w:t>
      </w:r>
      <w:r w:rsidR="000B43B1" w:rsidRPr="005F7EC5">
        <w:rPr>
          <w:rFonts w:ascii="Book Antiqua" w:hAnsi="Book Antiqua"/>
        </w:rPr>
        <w:t>ang H</w:t>
      </w:r>
      <w:r w:rsidRPr="005F7EC5">
        <w:rPr>
          <w:rFonts w:ascii="Book Antiqua" w:hAnsi="Book Antiqua"/>
        </w:rPr>
        <w:t>, H</w:t>
      </w:r>
      <w:r w:rsidR="000B43B1" w:rsidRPr="005F7EC5">
        <w:rPr>
          <w:rFonts w:ascii="Book Antiqua" w:hAnsi="Book Antiqua"/>
        </w:rPr>
        <w:t>ou</w:t>
      </w:r>
      <w:r w:rsidRPr="005F7EC5">
        <w:rPr>
          <w:rFonts w:ascii="Book Antiqua" w:hAnsi="Book Antiqua"/>
        </w:rPr>
        <w:t xml:space="preserve"> H</w:t>
      </w:r>
      <w:r w:rsidR="000B43B1" w:rsidRPr="005F7EC5">
        <w:rPr>
          <w:rFonts w:ascii="Book Antiqua" w:hAnsi="Book Antiqua"/>
        </w:rPr>
        <w:t>M</w:t>
      </w:r>
      <w:r w:rsidRPr="005F7EC5">
        <w:rPr>
          <w:rFonts w:ascii="Book Antiqua" w:hAnsi="Book Antiqua"/>
        </w:rPr>
        <w:t xml:space="preserve">. Progress of Composition and Properties of Pressure Sensitive Adhesive in Transdermal Drug Delivery System. </w:t>
      </w:r>
      <w:r w:rsidR="008E3FEB" w:rsidRPr="005F7EC5">
        <w:rPr>
          <w:rFonts w:ascii="Book Antiqua" w:hAnsi="Book Antiqua"/>
          <w:i/>
        </w:rPr>
        <w:t>Zhongguo Yaoxue Zazhi</w:t>
      </w:r>
      <w:r w:rsidRPr="005F7EC5">
        <w:rPr>
          <w:rFonts w:ascii="Book Antiqua" w:hAnsi="Book Antiqua"/>
        </w:rPr>
        <w:t xml:space="preserve"> 2008;</w:t>
      </w:r>
      <w:r w:rsidR="000B43B1" w:rsidRPr="005F7EC5">
        <w:rPr>
          <w:rFonts w:ascii="Book Antiqua" w:hAnsi="Book Antiqua"/>
        </w:rPr>
        <w:t xml:space="preserve"> </w:t>
      </w:r>
      <w:r w:rsidR="000B43B1" w:rsidRPr="005F7EC5">
        <w:rPr>
          <w:rFonts w:ascii="Book Antiqua" w:hAnsi="Book Antiqua"/>
          <w:b/>
        </w:rPr>
        <w:t>39</w:t>
      </w:r>
      <w:r w:rsidRPr="005F7EC5">
        <w:rPr>
          <w:rFonts w:ascii="Book Antiqua" w:hAnsi="Book Antiqua"/>
        </w:rPr>
        <w:t>:</w:t>
      </w:r>
      <w:r w:rsidR="000B43B1" w:rsidRPr="005F7EC5">
        <w:rPr>
          <w:rFonts w:ascii="Book Antiqua" w:hAnsi="Book Antiqua"/>
        </w:rPr>
        <w:t xml:space="preserve"> 767-772 [</w:t>
      </w:r>
      <w:r w:rsidRPr="005F7EC5">
        <w:rPr>
          <w:rFonts w:ascii="Book Antiqua" w:hAnsi="Book Antiqua"/>
        </w:rPr>
        <w:t>DOI: 10.3969/j.issn.1001-8255.2008.10.016</w:t>
      </w:r>
      <w:r w:rsidR="000B43B1" w:rsidRPr="005F7EC5">
        <w:rPr>
          <w:rFonts w:ascii="Book Antiqua" w:hAnsi="Book Antiqua"/>
        </w:rPr>
        <w:t>]</w:t>
      </w:r>
    </w:p>
    <w:p w14:paraId="06DCC37D"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8 </w:t>
      </w:r>
      <w:r w:rsidR="00DD17B2" w:rsidRPr="005F7EC5">
        <w:rPr>
          <w:rFonts w:ascii="Book Antiqua" w:hAnsi="Book Antiqua"/>
          <w:b/>
          <w:bCs/>
        </w:rPr>
        <w:t>Gu</w:t>
      </w:r>
      <w:r w:rsidRPr="005F7EC5">
        <w:rPr>
          <w:rFonts w:ascii="Book Antiqua" w:hAnsi="Book Antiqua"/>
          <w:b/>
          <w:bCs/>
        </w:rPr>
        <w:t xml:space="preserve"> Z</w:t>
      </w:r>
      <w:r w:rsidR="00DD17B2" w:rsidRPr="005F7EC5">
        <w:rPr>
          <w:rFonts w:ascii="Book Antiqua" w:hAnsi="Book Antiqua"/>
          <w:b/>
          <w:bCs/>
        </w:rPr>
        <w:t>T</w:t>
      </w:r>
      <w:r w:rsidRPr="005F7EC5">
        <w:rPr>
          <w:rFonts w:ascii="Book Antiqua" w:hAnsi="Book Antiqua"/>
          <w:b/>
          <w:bCs/>
        </w:rPr>
        <w:t>,</w:t>
      </w:r>
      <w:r w:rsidRPr="005F7EC5">
        <w:rPr>
          <w:rFonts w:ascii="Book Antiqua" w:hAnsi="Book Antiqua"/>
        </w:rPr>
        <w:t> S</w:t>
      </w:r>
      <w:r w:rsidR="00DD17B2" w:rsidRPr="005F7EC5">
        <w:rPr>
          <w:rFonts w:ascii="Book Antiqua" w:hAnsi="Book Antiqua"/>
        </w:rPr>
        <w:t>hen Y</w:t>
      </w:r>
      <w:r w:rsidRPr="005F7EC5">
        <w:rPr>
          <w:rFonts w:ascii="Book Antiqua" w:hAnsi="Book Antiqua"/>
        </w:rPr>
        <w:t xml:space="preserve">. History Brief of Herbal Transdermal Drug Delivery. </w:t>
      </w:r>
      <w:r w:rsidR="00DD17B2" w:rsidRPr="005F7EC5">
        <w:rPr>
          <w:rFonts w:ascii="Book Antiqua" w:hAnsi="Book Antiqua"/>
          <w:i/>
        </w:rPr>
        <w:t>Zhonghua Zhongyiyao Xue Kan</w:t>
      </w:r>
      <w:r w:rsidRPr="005F7EC5">
        <w:rPr>
          <w:rFonts w:ascii="Book Antiqua" w:hAnsi="Book Antiqua"/>
        </w:rPr>
        <w:t xml:space="preserve"> 2008;</w:t>
      </w:r>
      <w:r w:rsidR="00DD17B2" w:rsidRPr="005F7EC5">
        <w:rPr>
          <w:rFonts w:ascii="Book Antiqua" w:hAnsi="Book Antiqua"/>
        </w:rPr>
        <w:t xml:space="preserve"> </w:t>
      </w:r>
      <w:r w:rsidR="00DD17B2" w:rsidRPr="005F7EC5">
        <w:rPr>
          <w:rFonts w:ascii="Book Antiqua" w:hAnsi="Book Antiqua"/>
          <w:b/>
        </w:rPr>
        <w:t>26</w:t>
      </w:r>
      <w:r w:rsidRPr="005F7EC5">
        <w:rPr>
          <w:rFonts w:ascii="Book Antiqua" w:hAnsi="Book Antiqua"/>
        </w:rPr>
        <w:t>:</w:t>
      </w:r>
      <w:r w:rsidR="00DD17B2" w:rsidRPr="005F7EC5">
        <w:rPr>
          <w:rFonts w:ascii="Book Antiqua" w:hAnsi="Book Antiqua"/>
        </w:rPr>
        <w:t xml:space="preserve"> 1771-1773</w:t>
      </w:r>
      <w:r w:rsidRPr="005F7EC5">
        <w:rPr>
          <w:rFonts w:ascii="Book Antiqua" w:hAnsi="Book Antiqua"/>
        </w:rPr>
        <w:t xml:space="preserve"> </w:t>
      </w:r>
      <w:bookmarkStart w:id="119" w:name="OLE_LINK37"/>
      <w:bookmarkStart w:id="120" w:name="OLE_LINK38"/>
      <w:bookmarkStart w:id="121" w:name="OLE_LINK39"/>
      <w:bookmarkStart w:id="122" w:name="OLE_LINK40"/>
      <w:r w:rsidR="00DD17B2" w:rsidRPr="005F7EC5">
        <w:rPr>
          <w:rFonts w:ascii="Book Antiqua" w:hAnsi="Book Antiqua"/>
        </w:rPr>
        <w:t>[</w:t>
      </w:r>
      <w:r w:rsidRPr="005F7EC5">
        <w:rPr>
          <w:rFonts w:ascii="Book Antiqua" w:hAnsi="Book Antiqua"/>
        </w:rPr>
        <w:t>DOI: 10.3969/j.issn.1673-7717.2008.08.063</w:t>
      </w:r>
      <w:bookmarkEnd w:id="119"/>
      <w:bookmarkEnd w:id="120"/>
      <w:bookmarkEnd w:id="121"/>
      <w:bookmarkEnd w:id="122"/>
      <w:r w:rsidR="00DD17B2" w:rsidRPr="005F7EC5">
        <w:rPr>
          <w:rFonts w:ascii="Book Antiqua" w:hAnsi="Book Antiqua"/>
        </w:rPr>
        <w:t>]</w:t>
      </w:r>
    </w:p>
    <w:p w14:paraId="5E444CDA"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9 </w:t>
      </w:r>
      <w:r w:rsidRPr="005F7EC5">
        <w:rPr>
          <w:rFonts w:ascii="Book Antiqua" w:hAnsi="Book Antiqua"/>
          <w:b/>
          <w:bCs/>
        </w:rPr>
        <w:t>Prausnitz MR</w:t>
      </w:r>
      <w:r w:rsidRPr="005F7EC5">
        <w:rPr>
          <w:rFonts w:ascii="Book Antiqua" w:hAnsi="Book Antiqua"/>
        </w:rPr>
        <w:t>, Mitragotri S, Langer R. Current status and future potential of transdermal drug delivery. </w:t>
      </w:r>
      <w:r w:rsidRPr="005F7EC5">
        <w:rPr>
          <w:rFonts w:ascii="Book Antiqua" w:hAnsi="Book Antiqua"/>
          <w:i/>
          <w:iCs/>
        </w:rPr>
        <w:t>Nat Rev Drug Discov</w:t>
      </w:r>
      <w:r w:rsidRPr="005F7EC5">
        <w:rPr>
          <w:rFonts w:ascii="Book Antiqua" w:hAnsi="Book Antiqua"/>
        </w:rPr>
        <w:t> 2004; </w:t>
      </w:r>
      <w:r w:rsidRPr="005F7EC5">
        <w:rPr>
          <w:rFonts w:ascii="Book Antiqua" w:hAnsi="Book Antiqua"/>
          <w:b/>
          <w:bCs/>
        </w:rPr>
        <w:t>3</w:t>
      </w:r>
      <w:r w:rsidRPr="005F7EC5">
        <w:rPr>
          <w:rFonts w:ascii="Book Antiqua" w:hAnsi="Book Antiqua"/>
        </w:rPr>
        <w:t>: 115-124 [PMID: 15040576 DOI: 10.1038/nrd1304]</w:t>
      </w:r>
    </w:p>
    <w:p w14:paraId="7D453B1B" w14:textId="77777777" w:rsidR="00E60A5A" w:rsidRPr="005F7EC5" w:rsidRDefault="00FA7D99" w:rsidP="005F7EC5">
      <w:pPr>
        <w:pStyle w:val="NormalWeb"/>
        <w:shd w:val="clear" w:color="auto" w:fill="FFFFFF"/>
        <w:adjustRightInd w:val="0"/>
        <w:snapToGrid w:val="0"/>
        <w:spacing w:before="0" w:beforeAutospacing="0" w:after="0" w:afterAutospacing="0" w:line="360" w:lineRule="auto"/>
        <w:jc w:val="both"/>
        <w:rPr>
          <w:rFonts w:ascii="Book Antiqua" w:hAnsi="Book Antiqua"/>
          <w:highlight w:val="yellow"/>
        </w:rPr>
      </w:pPr>
      <w:r w:rsidRPr="005F7EC5">
        <w:rPr>
          <w:rFonts w:ascii="Book Antiqua" w:hAnsi="Book Antiqua"/>
          <w:highlight w:val="yellow"/>
        </w:rPr>
        <w:t>10</w:t>
      </w:r>
      <w:r w:rsidR="00E60A5A" w:rsidRPr="005F7EC5">
        <w:rPr>
          <w:rFonts w:ascii="Book Antiqua" w:hAnsi="Book Antiqua"/>
          <w:highlight w:val="yellow"/>
        </w:rPr>
        <w:t xml:space="preserve"> </w:t>
      </w:r>
      <w:r w:rsidR="00E60A5A" w:rsidRPr="005F7EC5">
        <w:rPr>
          <w:rFonts w:ascii="Book Antiqua" w:hAnsi="Book Antiqua"/>
          <w:b/>
          <w:highlight w:val="yellow"/>
        </w:rPr>
        <w:t>Allen L</w:t>
      </w:r>
      <w:r w:rsidR="00E60A5A" w:rsidRPr="005F7EC5">
        <w:rPr>
          <w:rFonts w:ascii="Book Antiqua" w:hAnsi="Book Antiqua"/>
          <w:highlight w:val="yellow"/>
        </w:rPr>
        <w:t>. Ansel Pharmaceutical Dosage System. 9</w:t>
      </w:r>
      <w:r w:rsidR="00E60A5A" w:rsidRPr="005F7EC5">
        <w:rPr>
          <w:rFonts w:ascii="Book Antiqua" w:hAnsi="Book Antiqua"/>
          <w:highlight w:val="yellow"/>
          <w:vertAlign w:val="superscript"/>
        </w:rPr>
        <w:t>th</w:t>
      </w:r>
      <w:r w:rsidR="00E60A5A" w:rsidRPr="005F7EC5">
        <w:rPr>
          <w:rFonts w:ascii="Book Antiqua" w:hAnsi="Book Antiqua"/>
          <w:highlight w:val="yellow"/>
        </w:rPr>
        <w:t xml:space="preserve"> ed. Science Press</w:t>
      </w:r>
      <w:r w:rsidRPr="005F7EC5">
        <w:rPr>
          <w:rFonts w:ascii="Book Antiqua" w:hAnsi="Book Antiqua"/>
          <w:highlight w:val="yellow"/>
        </w:rPr>
        <w:t>; 2012</w:t>
      </w:r>
    </w:p>
    <w:p w14:paraId="63F97AEF"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highlight w:val="yellow"/>
        </w:rPr>
        <w:t>11 </w:t>
      </w:r>
      <w:r w:rsidRPr="005F7EC5">
        <w:rPr>
          <w:rFonts w:ascii="Book Antiqua" w:hAnsi="Book Antiqua"/>
          <w:b/>
          <w:bCs/>
          <w:highlight w:val="yellow"/>
        </w:rPr>
        <w:t>Bolognia JL,</w:t>
      </w:r>
      <w:r w:rsidRPr="005F7EC5">
        <w:rPr>
          <w:rFonts w:ascii="Book Antiqua" w:hAnsi="Book Antiqua"/>
          <w:highlight w:val="yellow"/>
        </w:rPr>
        <w:t> Schaffer JV, Cerroni L. Dermatology. 4</w:t>
      </w:r>
      <w:r w:rsidRPr="005F7EC5">
        <w:rPr>
          <w:rFonts w:ascii="Book Antiqua" w:hAnsi="Book Antiqua"/>
          <w:highlight w:val="yellow"/>
          <w:vertAlign w:val="superscript"/>
        </w:rPr>
        <w:t>th</w:t>
      </w:r>
      <w:r w:rsidR="00FA7D99" w:rsidRPr="005F7EC5">
        <w:rPr>
          <w:rFonts w:ascii="Book Antiqua" w:hAnsi="Book Antiqua"/>
          <w:highlight w:val="yellow"/>
        </w:rPr>
        <w:t xml:space="preserve"> ed. Elsevier; 2018</w:t>
      </w:r>
    </w:p>
    <w:p w14:paraId="74EE140A"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lastRenderedPageBreak/>
        <w:t>12 </w:t>
      </w:r>
      <w:r w:rsidRPr="005F7EC5">
        <w:rPr>
          <w:rFonts w:ascii="Book Antiqua" w:hAnsi="Book Antiqua"/>
          <w:b/>
          <w:bCs/>
        </w:rPr>
        <w:t>Pastore MN</w:t>
      </w:r>
      <w:r w:rsidRPr="005F7EC5">
        <w:rPr>
          <w:rFonts w:ascii="Book Antiqua" w:hAnsi="Book Antiqua"/>
        </w:rPr>
        <w:t>, Kalia YN, Horstmann M, Roberts MS. Transdermal patches: history, development and pharmacology. </w:t>
      </w:r>
      <w:r w:rsidRPr="005F7EC5">
        <w:rPr>
          <w:rFonts w:ascii="Book Antiqua" w:hAnsi="Book Antiqua"/>
          <w:i/>
          <w:iCs/>
        </w:rPr>
        <w:t>Br J Pharmacol</w:t>
      </w:r>
      <w:r w:rsidRPr="005F7EC5">
        <w:rPr>
          <w:rFonts w:ascii="Book Antiqua" w:hAnsi="Book Antiqua"/>
        </w:rPr>
        <w:t> 2015; </w:t>
      </w:r>
      <w:r w:rsidRPr="005F7EC5">
        <w:rPr>
          <w:rFonts w:ascii="Book Antiqua" w:hAnsi="Book Antiqua"/>
          <w:b/>
          <w:bCs/>
        </w:rPr>
        <w:t>172</w:t>
      </w:r>
      <w:r w:rsidRPr="005F7EC5">
        <w:rPr>
          <w:rFonts w:ascii="Book Antiqua" w:hAnsi="Book Antiqua"/>
        </w:rPr>
        <w:t>: 2179-2209 [PMID: 25560046 DOI: 10.1111/bph.13059]</w:t>
      </w:r>
    </w:p>
    <w:p w14:paraId="6C83AF14"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13 </w:t>
      </w:r>
      <w:r w:rsidRPr="005F7EC5">
        <w:rPr>
          <w:rFonts w:ascii="Book Antiqua" w:hAnsi="Book Antiqua"/>
          <w:b/>
          <w:bCs/>
        </w:rPr>
        <w:t>Leppert W</w:t>
      </w:r>
      <w:r w:rsidRPr="005F7EC5">
        <w:rPr>
          <w:rFonts w:ascii="Book Antiqua" w:hAnsi="Book Antiqua"/>
        </w:rPr>
        <w:t>, Malec-Milewska M, Zajaczkowska R, Wordliczek J. Transdermal and Topical Drug Administration in the Treatment of Pain. </w:t>
      </w:r>
      <w:r w:rsidRPr="005F7EC5">
        <w:rPr>
          <w:rFonts w:ascii="Book Antiqua" w:hAnsi="Book Antiqua"/>
          <w:i/>
          <w:iCs/>
        </w:rPr>
        <w:t>Molecules</w:t>
      </w:r>
      <w:r w:rsidRPr="005F7EC5">
        <w:rPr>
          <w:rFonts w:ascii="Book Antiqua" w:hAnsi="Book Antiqua"/>
        </w:rPr>
        <w:t> 2018; </w:t>
      </w:r>
      <w:r w:rsidRPr="005F7EC5">
        <w:rPr>
          <w:rFonts w:ascii="Book Antiqua" w:hAnsi="Book Antiqua"/>
          <w:b/>
          <w:bCs/>
        </w:rPr>
        <w:t>23</w:t>
      </w:r>
      <w:r w:rsidRPr="005F7EC5">
        <w:rPr>
          <w:rFonts w:ascii="Book Antiqua" w:hAnsi="Book Antiqua"/>
        </w:rPr>
        <w:t> [PMID: 29562618 DOI: 10.3390/molecules23030681]</w:t>
      </w:r>
    </w:p>
    <w:p w14:paraId="12E07E64"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14 </w:t>
      </w:r>
      <w:r w:rsidRPr="005F7EC5">
        <w:rPr>
          <w:rFonts w:ascii="Book Antiqua" w:hAnsi="Book Antiqua"/>
          <w:b/>
          <w:bCs/>
        </w:rPr>
        <w:t>Prausnitz MR</w:t>
      </w:r>
      <w:r w:rsidRPr="005F7EC5">
        <w:rPr>
          <w:rFonts w:ascii="Book Antiqua" w:hAnsi="Book Antiqua"/>
        </w:rPr>
        <w:t>, Langer R. Transdermal drug delivery. </w:t>
      </w:r>
      <w:r w:rsidRPr="005F7EC5">
        <w:rPr>
          <w:rFonts w:ascii="Book Antiqua" w:hAnsi="Book Antiqua"/>
          <w:i/>
          <w:iCs/>
        </w:rPr>
        <w:t>Nat Biotechnol</w:t>
      </w:r>
      <w:r w:rsidRPr="005F7EC5">
        <w:rPr>
          <w:rFonts w:ascii="Book Antiqua" w:hAnsi="Book Antiqua"/>
        </w:rPr>
        <w:t> 2008; </w:t>
      </w:r>
      <w:r w:rsidRPr="005F7EC5">
        <w:rPr>
          <w:rFonts w:ascii="Book Antiqua" w:hAnsi="Book Antiqua"/>
          <w:b/>
          <w:bCs/>
        </w:rPr>
        <w:t>26</w:t>
      </w:r>
      <w:r w:rsidRPr="005F7EC5">
        <w:rPr>
          <w:rFonts w:ascii="Book Antiqua" w:hAnsi="Book Antiqua"/>
        </w:rPr>
        <w:t>: 1261-1268 [PMID: 18997767 DOI: 10.1038/nbt.1504]</w:t>
      </w:r>
    </w:p>
    <w:p w14:paraId="495D7A00"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15 </w:t>
      </w:r>
      <w:r w:rsidRPr="005F7EC5">
        <w:rPr>
          <w:rFonts w:ascii="Book Antiqua" w:hAnsi="Book Antiqua"/>
          <w:b/>
          <w:bCs/>
        </w:rPr>
        <w:t>Perumal O</w:t>
      </w:r>
      <w:r w:rsidRPr="005F7EC5">
        <w:rPr>
          <w:rFonts w:ascii="Book Antiqua" w:hAnsi="Book Antiqua"/>
        </w:rPr>
        <w:t>, Murthy SN, Kalia YN. Turning theory into practice: the development of modern transdermal drug delivery systems and future trends. </w:t>
      </w:r>
      <w:r w:rsidRPr="005F7EC5">
        <w:rPr>
          <w:rFonts w:ascii="Book Antiqua" w:hAnsi="Book Antiqua"/>
          <w:i/>
          <w:iCs/>
        </w:rPr>
        <w:t>Skin Pharmacol Physiol</w:t>
      </w:r>
      <w:r w:rsidRPr="005F7EC5">
        <w:rPr>
          <w:rFonts w:ascii="Book Antiqua" w:hAnsi="Book Antiqua"/>
        </w:rPr>
        <w:t> 2013; </w:t>
      </w:r>
      <w:r w:rsidRPr="005F7EC5">
        <w:rPr>
          <w:rFonts w:ascii="Book Antiqua" w:hAnsi="Book Antiqua"/>
          <w:b/>
          <w:bCs/>
        </w:rPr>
        <w:t>26</w:t>
      </w:r>
      <w:r w:rsidRPr="005F7EC5">
        <w:rPr>
          <w:rFonts w:ascii="Book Antiqua" w:hAnsi="Book Antiqua"/>
        </w:rPr>
        <w:t>: 331-342 [PMID: 23921120 DOI: 10.1159/000351815]</w:t>
      </w:r>
    </w:p>
    <w:p w14:paraId="221E2A45"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16 </w:t>
      </w:r>
      <w:r w:rsidRPr="005F7EC5">
        <w:rPr>
          <w:rFonts w:ascii="Book Antiqua" w:hAnsi="Book Antiqua"/>
          <w:b/>
          <w:bCs/>
        </w:rPr>
        <w:t>Zhong H</w:t>
      </w:r>
      <w:r w:rsidRPr="005F7EC5">
        <w:rPr>
          <w:rFonts w:ascii="Book Antiqua" w:hAnsi="Book Antiqua"/>
        </w:rPr>
        <w:t>, Chan G, Hu Y, Hu H, Ouyang D. A Comprehensive Map of FDA-Approved Pharmaceutical Products. </w:t>
      </w:r>
      <w:r w:rsidRPr="005F7EC5">
        <w:rPr>
          <w:rFonts w:ascii="Book Antiqua" w:hAnsi="Book Antiqua"/>
          <w:i/>
          <w:iCs/>
        </w:rPr>
        <w:t>Pharmaceutics</w:t>
      </w:r>
      <w:r w:rsidRPr="005F7EC5">
        <w:rPr>
          <w:rFonts w:ascii="Book Antiqua" w:hAnsi="Book Antiqua"/>
        </w:rPr>
        <w:t> 2018; </w:t>
      </w:r>
      <w:r w:rsidRPr="005F7EC5">
        <w:rPr>
          <w:rFonts w:ascii="Book Antiqua" w:hAnsi="Book Antiqua"/>
          <w:b/>
          <w:bCs/>
        </w:rPr>
        <w:t>10</w:t>
      </w:r>
      <w:r w:rsidRPr="005F7EC5">
        <w:rPr>
          <w:rFonts w:ascii="Book Antiqua" w:hAnsi="Book Antiqua"/>
        </w:rPr>
        <w:t> [PMID: 30563197 DOI: 10.3390/pharmaceutics10040263]</w:t>
      </w:r>
    </w:p>
    <w:p w14:paraId="7A484B7D"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17 </w:t>
      </w:r>
      <w:r w:rsidRPr="005F7EC5">
        <w:rPr>
          <w:rFonts w:ascii="Book Antiqua" w:hAnsi="Book Antiqua"/>
          <w:b/>
          <w:bCs/>
        </w:rPr>
        <w:t>Durand C</w:t>
      </w:r>
      <w:r w:rsidRPr="005F7EC5">
        <w:rPr>
          <w:rFonts w:ascii="Book Antiqua" w:hAnsi="Book Antiqua"/>
        </w:rPr>
        <w:t>, Alhammad A, Willett KC. Practical considerations for optimal transdermal drug delivery. </w:t>
      </w:r>
      <w:r w:rsidRPr="005F7EC5">
        <w:rPr>
          <w:rFonts w:ascii="Book Antiqua" w:hAnsi="Book Antiqua"/>
          <w:i/>
          <w:iCs/>
        </w:rPr>
        <w:t>Am J Health Syst Pharm</w:t>
      </w:r>
      <w:r w:rsidRPr="005F7EC5">
        <w:rPr>
          <w:rFonts w:ascii="Book Antiqua" w:hAnsi="Book Antiqua"/>
        </w:rPr>
        <w:t> 2012; </w:t>
      </w:r>
      <w:r w:rsidRPr="005F7EC5">
        <w:rPr>
          <w:rFonts w:ascii="Book Antiqua" w:hAnsi="Book Antiqua"/>
          <w:b/>
          <w:bCs/>
        </w:rPr>
        <w:t>69</w:t>
      </w:r>
      <w:r w:rsidRPr="005F7EC5">
        <w:rPr>
          <w:rFonts w:ascii="Book Antiqua" w:hAnsi="Book Antiqua"/>
        </w:rPr>
        <w:t>: 116-124 [PMID: 22215357 DOI: 10.2146/ajhp110158]</w:t>
      </w:r>
    </w:p>
    <w:p w14:paraId="428503FB"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18 </w:t>
      </w:r>
      <w:r w:rsidRPr="005F7EC5">
        <w:rPr>
          <w:rFonts w:ascii="Book Antiqua" w:hAnsi="Book Antiqua"/>
          <w:b/>
          <w:bCs/>
        </w:rPr>
        <w:t>Ball AM</w:t>
      </w:r>
      <w:r w:rsidRPr="005F7EC5">
        <w:rPr>
          <w:rFonts w:ascii="Book Antiqua" w:hAnsi="Book Antiqua"/>
        </w:rPr>
        <w:t>, Smith KM. Optimizing transdermal drug therapy. </w:t>
      </w:r>
      <w:r w:rsidRPr="005F7EC5">
        <w:rPr>
          <w:rFonts w:ascii="Book Antiqua" w:hAnsi="Book Antiqua"/>
          <w:i/>
          <w:iCs/>
        </w:rPr>
        <w:t>Am J Health Syst Pharm</w:t>
      </w:r>
      <w:r w:rsidRPr="005F7EC5">
        <w:rPr>
          <w:rFonts w:ascii="Book Antiqua" w:hAnsi="Book Antiqua"/>
        </w:rPr>
        <w:t> 2008; </w:t>
      </w:r>
      <w:r w:rsidRPr="005F7EC5">
        <w:rPr>
          <w:rFonts w:ascii="Book Antiqua" w:hAnsi="Book Antiqua"/>
          <w:b/>
          <w:bCs/>
        </w:rPr>
        <w:t>65</w:t>
      </w:r>
      <w:r w:rsidRPr="005F7EC5">
        <w:rPr>
          <w:rFonts w:ascii="Book Antiqua" w:hAnsi="Book Antiqua"/>
        </w:rPr>
        <w:t>: 1337-1346 [PMID: 18593680 DOI: 10.2146/ajhp070554]</w:t>
      </w:r>
    </w:p>
    <w:p w14:paraId="03F67A8C"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19 </w:t>
      </w:r>
      <w:r w:rsidRPr="005F7EC5">
        <w:rPr>
          <w:rFonts w:ascii="Book Antiqua" w:hAnsi="Book Antiqua"/>
          <w:b/>
          <w:bCs/>
        </w:rPr>
        <w:t>Zuppa AF</w:t>
      </w:r>
      <w:r w:rsidRPr="005F7EC5">
        <w:rPr>
          <w:rFonts w:ascii="Book Antiqua" w:hAnsi="Book Antiqua"/>
        </w:rPr>
        <w:t>, Tejani SM, Cullen EJ Jr, Nadkarni VM. Plasma Concentrations Following Application of Whole versus Cut Transdermal Clonidine Patches To Critically Ill Children. </w:t>
      </w:r>
      <w:r w:rsidRPr="005F7EC5">
        <w:rPr>
          <w:rFonts w:ascii="Book Antiqua" w:hAnsi="Book Antiqua"/>
          <w:i/>
          <w:iCs/>
        </w:rPr>
        <w:t>J Pediatr Pharmacol Ther</w:t>
      </w:r>
      <w:r w:rsidRPr="005F7EC5">
        <w:rPr>
          <w:rFonts w:ascii="Book Antiqua" w:hAnsi="Book Antiqua"/>
        </w:rPr>
        <w:t> 2004; </w:t>
      </w:r>
      <w:r w:rsidRPr="005F7EC5">
        <w:rPr>
          <w:rFonts w:ascii="Book Antiqua" w:hAnsi="Book Antiqua"/>
          <w:b/>
          <w:bCs/>
        </w:rPr>
        <w:t>9</w:t>
      </w:r>
      <w:r w:rsidRPr="005F7EC5">
        <w:rPr>
          <w:rFonts w:ascii="Book Antiqua" w:hAnsi="Book Antiqua"/>
        </w:rPr>
        <w:t>: 43-48 [PMID: 23118690 DOI: 10.5863/1551-6776-9.1.43]</w:t>
      </w:r>
    </w:p>
    <w:p w14:paraId="21C7EF7A"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20 </w:t>
      </w:r>
      <w:r w:rsidRPr="005F7EC5">
        <w:rPr>
          <w:rFonts w:ascii="Book Antiqua" w:hAnsi="Book Antiqua"/>
          <w:b/>
          <w:bCs/>
        </w:rPr>
        <w:t>Kawabata A</w:t>
      </w:r>
      <w:r w:rsidRPr="005F7EC5">
        <w:rPr>
          <w:rFonts w:ascii="Book Antiqua" w:hAnsi="Book Antiqua"/>
        </w:rPr>
        <w:t>. Prostaglandin E2 and pain--an update. </w:t>
      </w:r>
      <w:r w:rsidRPr="005F7EC5">
        <w:rPr>
          <w:rFonts w:ascii="Book Antiqua" w:hAnsi="Book Antiqua"/>
          <w:i/>
          <w:iCs/>
        </w:rPr>
        <w:t>Biol Pharm Bull</w:t>
      </w:r>
      <w:r w:rsidRPr="005F7EC5">
        <w:rPr>
          <w:rFonts w:ascii="Book Antiqua" w:hAnsi="Book Antiqua"/>
        </w:rPr>
        <w:t> 2011; </w:t>
      </w:r>
      <w:r w:rsidRPr="005F7EC5">
        <w:rPr>
          <w:rFonts w:ascii="Book Antiqua" w:hAnsi="Book Antiqua"/>
          <w:b/>
          <w:bCs/>
        </w:rPr>
        <w:t>34</w:t>
      </w:r>
      <w:r w:rsidRPr="005F7EC5">
        <w:rPr>
          <w:rFonts w:ascii="Book Antiqua" w:hAnsi="Book Antiqua"/>
        </w:rPr>
        <w:t>: 1170-1173 [PMID: 21804201 DOI: 10.1248/bpb.34.1170]</w:t>
      </w:r>
    </w:p>
    <w:p w14:paraId="0E3AF204"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21 </w:t>
      </w:r>
      <w:r w:rsidRPr="005F7EC5">
        <w:rPr>
          <w:rFonts w:ascii="Book Antiqua" w:hAnsi="Book Antiqua"/>
          <w:b/>
          <w:bCs/>
        </w:rPr>
        <w:t>Rafanan BS Jr</w:t>
      </w:r>
      <w:r w:rsidRPr="005F7EC5">
        <w:rPr>
          <w:rFonts w:ascii="Book Antiqua" w:hAnsi="Book Antiqua"/>
        </w:rPr>
        <w:t>, Valdecañas BF, Lim BP, Malairungsakul A, Tassanawipas W, Shiyi C, Tse LF, Luong TK. Consensus recommendations for managing osteoarthritic pain with topical NSAIDs in Asia-Pacific. </w:t>
      </w:r>
      <w:r w:rsidRPr="005F7EC5">
        <w:rPr>
          <w:rFonts w:ascii="Book Antiqua" w:hAnsi="Book Antiqua"/>
          <w:i/>
          <w:iCs/>
        </w:rPr>
        <w:t>Pain Manag</w:t>
      </w:r>
      <w:r w:rsidRPr="005F7EC5">
        <w:rPr>
          <w:rFonts w:ascii="Book Antiqua" w:hAnsi="Book Antiqua"/>
        </w:rPr>
        <w:t> 2018; </w:t>
      </w:r>
      <w:r w:rsidRPr="005F7EC5">
        <w:rPr>
          <w:rFonts w:ascii="Book Antiqua" w:hAnsi="Book Antiqua"/>
          <w:b/>
          <w:bCs/>
        </w:rPr>
        <w:t>8</w:t>
      </w:r>
      <w:r w:rsidRPr="005F7EC5">
        <w:rPr>
          <w:rFonts w:ascii="Book Antiqua" w:hAnsi="Book Antiqua"/>
        </w:rPr>
        <w:t>: 115-128 [PMID: 29251544 DOI: 10.2217/pmt-2017-0047]</w:t>
      </w:r>
    </w:p>
    <w:p w14:paraId="06633D00" w14:textId="7D4B567C"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lastRenderedPageBreak/>
        <w:t>22 </w:t>
      </w:r>
      <w:r w:rsidRPr="005F7EC5">
        <w:rPr>
          <w:rFonts w:ascii="Book Antiqua" w:hAnsi="Book Antiqua"/>
          <w:b/>
          <w:bCs/>
        </w:rPr>
        <w:t>McPherson ML</w:t>
      </w:r>
      <w:r w:rsidRPr="005F7EC5">
        <w:rPr>
          <w:rFonts w:ascii="Book Antiqua" w:hAnsi="Book Antiqua"/>
        </w:rPr>
        <w:t>, Cimino NM. Topical NSAID formulations. </w:t>
      </w:r>
      <w:r w:rsidRPr="005F7EC5">
        <w:rPr>
          <w:rFonts w:ascii="Book Antiqua" w:hAnsi="Book Antiqua"/>
          <w:i/>
          <w:iCs/>
        </w:rPr>
        <w:t>Pain Med</w:t>
      </w:r>
      <w:r w:rsidRPr="005F7EC5">
        <w:rPr>
          <w:rFonts w:ascii="Book Antiqua" w:hAnsi="Book Antiqua"/>
        </w:rPr>
        <w:t> 2013; </w:t>
      </w:r>
      <w:r w:rsidRPr="005F7EC5">
        <w:rPr>
          <w:rFonts w:ascii="Book Antiqua" w:hAnsi="Book Antiqua"/>
          <w:b/>
          <w:bCs/>
        </w:rPr>
        <w:t>14 Suppl 1</w:t>
      </w:r>
      <w:r w:rsidRPr="005F7EC5">
        <w:rPr>
          <w:rFonts w:ascii="Book Antiqua" w:hAnsi="Book Antiqua"/>
        </w:rPr>
        <w:t>: S35-S39 [PMID: 24373109 DOI: 10.1111/pme.12288]</w:t>
      </w:r>
    </w:p>
    <w:p w14:paraId="0527D2DA" w14:textId="77777777" w:rsidR="00EC1004" w:rsidRPr="005F7EC5" w:rsidRDefault="00EC1004"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23 </w:t>
      </w:r>
      <w:r w:rsidRPr="005F7EC5">
        <w:rPr>
          <w:rFonts w:ascii="Book Antiqua" w:hAnsi="Book Antiqua"/>
          <w:b/>
          <w:bCs/>
        </w:rPr>
        <w:t>Sawamura R</w:t>
      </w:r>
      <w:r w:rsidRPr="005F7EC5">
        <w:rPr>
          <w:rFonts w:ascii="Book Antiqua" w:hAnsi="Book Antiqua"/>
        </w:rPr>
        <w:t>, Sakurai H, Wada N, Nishiya Y, Honda T, Kazui M, Kurihara A, Shinagawa A, Izumi T. Bioactivation of loxoprofen to a pharmacologically active metabolite and its disposition kinetics in human skin. </w:t>
      </w:r>
      <w:r w:rsidRPr="005F7EC5">
        <w:rPr>
          <w:rFonts w:ascii="Book Antiqua" w:hAnsi="Book Antiqua"/>
          <w:i/>
          <w:iCs/>
        </w:rPr>
        <w:t>Biopharm Drug Dispos</w:t>
      </w:r>
      <w:r w:rsidRPr="005F7EC5">
        <w:rPr>
          <w:rFonts w:ascii="Book Antiqua" w:hAnsi="Book Antiqua"/>
        </w:rPr>
        <w:t> 2015; </w:t>
      </w:r>
      <w:r w:rsidRPr="005F7EC5">
        <w:rPr>
          <w:rFonts w:ascii="Book Antiqua" w:hAnsi="Book Antiqua"/>
          <w:b/>
          <w:bCs/>
        </w:rPr>
        <w:t>36</w:t>
      </w:r>
      <w:r w:rsidRPr="005F7EC5">
        <w:rPr>
          <w:rFonts w:ascii="Book Antiqua" w:hAnsi="Book Antiqua"/>
        </w:rPr>
        <w:t>: 352-363 [PMID: 25765700 DOI: 10.1002/bdd.1945]</w:t>
      </w:r>
    </w:p>
    <w:p w14:paraId="63D0A286" w14:textId="77777777" w:rsidR="00EC1004" w:rsidRPr="005F7EC5" w:rsidRDefault="00EC1004"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24 </w:t>
      </w:r>
      <w:r w:rsidRPr="005F7EC5">
        <w:rPr>
          <w:rFonts w:ascii="Book Antiqua" w:hAnsi="Book Antiqua"/>
          <w:b/>
          <w:bCs/>
        </w:rPr>
        <w:t>Wang M</w:t>
      </w:r>
      <w:r w:rsidRPr="005F7EC5">
        <w:rPr>
          <w:rFonts w:ascii="Book Antiqua" w:hAnsi="Book Antiqua"/>
        </w:rPr>
        <w:t>, Li L, Xie J, Sun Y, Ling G, He Z. Transdermal Adhesive Patches Loaded with Ketoprofen Evaluated by Dynamic Detection of Percutaneous Absorption. </w:t>
      </w:r>
      <w:r w:rsidRPr="005F7EC5">
        <w:rPr>
          <w:rFonts w:ascii="Book Antiqua" w:hAnsi="Book Antiqua"/>
          <w:i/>
          <w:iCs/>
        </w:rPr>
        <w:t>AAPS PharmSciTech</w:t>
      </w:r>
      <w:r w:rsidRPr="005F7EC5">
        <w:rPr>
          <w:rFonts w:ascii="Book Antiqua" w:hAnsi="Book Antiqua"/>
        </w:rPr>
        <w:t> 2017; </w:t>
      </w:r>
      <w:r w:rsidRPr="005F7EC5">
        <w:rPr>
          <w:rFonts w:ascii="Book Antiqua" w:hAnsi="Book Antiqua"/>
          <w:b/>
          <w:bCs/>
        </w:rPr>
        <w:t>18</w:t>
      </w:r>
      <w:r w:rsidRPr="005F7EC5">
        <w:rPr>
          <w:rFonts w:ascii="Book Antiqua" w:hAnsi="Book Antiqua"/>
        </w:rPr>
        <w:t>: 2141-2148 [PMID: 28035612 DOI: 10.1208/s12249-016-0695-8]</w:t>
      </w:r>
    </w:p>
    <w:p w14:paraId="55F7EAC3" w14:textId="77777777" w:rsidR="00EC1004" w:rsidRPr="005F7EC5" w:rsidRDefault="00EC1004"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25 </w:t>
      </w:r>
      <w:r w:rsidRPr="005F7EC5">
        <w:rPr>
          <w:rFonts w:ascii="Book Antiqua" w:hAnsi="Book Antiqua"/>
          <w:b/>
          <w:bCs/>
        </w:rPr>
        <w:t>Drago S</w:t>
      </w:r>
      <w:r w:rsidRPr="005F7EC5">
        <w:rPr>
          <w:rFonts w:ascii="Book Antiqua" w:hAnsi="Book Antiqua"/>
        </w:rPr>
        <w:t>, Imboden R, Schlatter P, Buylaert M, Krähenbühl S, Drewe J. Pharmacokinetics of Transdermal Etofenamate and Diclofenac in Healthy Volunteers. </w:t>
      </w:r>
      <w:r w:rsidRPr="005F7EC5">
        <w:rPr>
          <w:rFonts w:ascii="Book Antiqua" w:hAnsi="Book Antiqua"/>
          <w:i/>
          <w:iCs/>
        </w:rPr>
        <w:t>Basic Clin Pharmacol Toxicol</w:t>
      </w:r>
      <w:r w:rsidRPr="005F7EC5">
        <w:rPr>
          <w:rFonts w:ascii="Book Antiqua" w:hAnsi="Book Antiqua"/>
        </w:rPr>
        <w:t> 2017; </w:t>
      </w:r>
      <w:r w:rsidRPr="005F7EC5">
        <w:rPr>
          <w:rFonts w:ascii="Book Antiqua" w:hAnsi="Book Antiqua"/>
          <w:b/>
          <w:bCs/>
        </w:rPr>
        <w:t>121</w:t>
      </w:r>
      <w:r w:rsidRPr="005F7EC5">
        <w:rPr>
          <w:rFonts w:ascii="Book Antiqua" w:hAnsi="Book Antiqua"/>
        </w:rPr>
        <w:t>: 423-429 [PMID: 28561421 DOI: 10.1111/bcpt.12818]</w:t>
      </w:r>
    </w:p>
    <w:p w14:paraId="22F60CE3" w14:textId="77777777" w:rsidR="00EC1004" w:rsidRPr="005F7EC5" w:rsidRDefault="00EC1004"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26 </w:t>
      </w:r>
      <w:r w:rsidRPr="005F7EC5">
        <w:rPr>
          <w:rFonts w:ascii="Book Antiqua" w:hAnsi="Book Antiqua"/>
          <w:b/>
          <w:bCs/>
        </w:rPr>
        <w:t>Lewis F</w:t>
      </w:r>
      <w:r w:rsidRPr="005F7EC5">
        <w:rPr>
          <w:rFonts w:ascii="Book Antiqua" w:hAnsi="Book Antiqua"/>
        </w:rPr>
        <w:t>, Connolly MP, Bhatt A. A Pharmacokinetic Study of an Ibuprofen Topical Patch in Healthy Male and Female Adult Volunteers. </w:t>
      </w:r>
      <w:r w:rsidRPr="005F7EC5">
        <w:rPr>
          <w:rFonts w:ascii="Book Antiqua" w:hAnsi="Book Antiqua"/>
          <w:i/>
          <w:iCs/>
        </w:rPr>
        <w:t>Clin Pharmacol Drug Dev</w:t>
      </w:r>
      <w:r w:rsidRPr="005F7EC5">
        <w:rPr>
          <w:rFonts w:ascii="Book Antiqua" w:hAnsi="Book Antiqua"/>
        </w:rPr>
        <w:t> 2018; </w:t>
      </w:r>
      <w:r w:rsidRPr="005F7EC5">
        <w:rPr>
          <w:rFonts w:ascii="Book Antiqua" w:hAnsi="Book Antiqua"/>
          <w:b/>
          <w:bCs/>
        </w:rPr>
        <w:t>7</w:t>
      </w:r>
      <w:r w:rsidRPr="005F7EC5">
        <w:rPr>
          <w:rFonts w:ascii="Book Antiqua" w:hAnsi="Book Antiqua"/>
        </w:rPr>
        <w:t>: 684-691 [PMID: 29323795 DOI: 10.1002/cpdd.423]</w:t>
      </w:r>
    </w:p>
    <w:p w14:paraId="54593655" w14:textId="77777777" w:rsidR="00EC1004" w:rsidRPr="005F7EC5" w:rsidRDefault="00EC1004"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27 </w:t>
      </w:r>
      <w:r w:rsidRPr="005F7EC5">
        <w:rPr>
          <w:rFonts w:ascii="Book Antiqua" w:hAnsi="Book Antiqua"/>
          <w:b/>
          <w:bCs/>
        </w:rPr>
        <w:t>Ma J</w:t>
      </w:r>
      <w:r w:rsidRPr="005F7EC5">
        <w:rPr>
          <w:rFonts w:ascii="Book Antiqua" w:hAnsi="Book Antiqua"/>
        </w:rPr>
        <w:t>, Gao Y, Sun Y, Ding D, Zhang Q, Sun B, Wang M, Sun J, He Z. Tissue distribution and dermal drug determination of indomethacin transdermal-absorption patches. </w:t>
      </w:r>
      <w:r w:rsidRPr="005F7EC5">
        <w:rPr>
          <w:rFonts w:ascii="Book Antiqua" w:hAnsi="Book Antiqua"/>
          <w:i/>
          <w:iCs/>
        </w:rPr>
        <w:t>Drug Deliv Transl Res</w:t>
      </w:r>
      <w:r w:rsidRPr="005F7EC5">
        <w:rPr>
          <w:rFonts w:ascii="Book Antiqua" w:hAnsi="Book Antiqua"/>
        </w:rPr>
        <w:t> 2017; </w:t>
      </w:r>
      <w:r w:rsidRPr="005F7EC5">
        <w:rPr>
          <w:rFonts w:ascii="Book Antiqua" w:hAnsi="Book Antiqua"/>
          <w:b/>
          <w:bCs/>
        </w:rPr>
        <w:t>7</w:t>
      </w:r>
      <w:r w:rsidRPr="005F7EC5">
        <w:rPr>
          <w:rFonts w:ascii="Book Antiqua" w:hAnsi="Book Antiqua"/>
        </w:rPr>
        <w:t>: 617-624 [PMID: 28534130 DOI: 10.1007/s13346-017-0392-5]</w:t>
      </w:r>
    </w:p>
    <w:p w14:paraId="7D863ADC" w14:textId="77777777" w:rsidR="00EC1004" w:rsidRPr="005F7EC5" w:rsidRDefault="00EC1004"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28 </w:t>
      </w:r>
      <w:r w:rsidRPr="005F7EC5">
        <w:rPr>
          <w:rFonts w:ascii="Book Antiqua" w:hAnsi="Book Antiqua"/>
          <w:b/>
          <w:bCs/>
        </w:rPr>
        <w:t>Taburet AM</w:t>
      </w:r>
      <w:r w:rsidRPr="005F7EC5">
        <w:rPr>
          <w:rFonts w:ascii="Book Antiqua" w:hAnsi="Book Antiqua"/>
        </w:rPr>
        <w:t>, Singlas E, Glass RC, Thomas F, Leutenegger E. Pharmacokinetic comparison of oral and local action transcutaneous flurbiprofen in healthy volunteers. </w:t>
      </w:r>
      <w:r w:rsidRPr="005F7EC5">
        <w:rPr>
          <w:rFonts w:ascii="Book Antiqua" w:hAnsi="Book Antiqua"/>
          <w:i/>
          <w:iCs/>
        </w:rPr>
        <w:t>J Clin Pharm Ther</w:t>
      </w:r>
      <w:r w:rsidRPr="005F7EC5">
        <w:rPr>
          <w:rFonts w:ascii="Book Antiqua" w:hAnsi="Book Antiqua"/>
        </w:rPr>
        <w:t> 1995; </w:t>
      </w:r>
      <w:r w:rsidRPr="005F7EC5">
        <w:rPr>
          <w:rFonts w:ascii="Book Antiqua" w:hAnsi="Book Antiqua"/>
          <w:b/>
          <w:bCs/>
        </w:rPr>
        <w:t>20</w:t>
      </w:r>
      <w:r w:rsidRPr="005F7EC5">
        <w:rPr>
          <w:rFonts w:ascii="Book Antiqua" w:hAnsi="Book Antiqua"/>
        </w:rPr>
        <w:t>: 101-107 [PMID: 7650070 DOI: 10.1111/j.1365-2710.1995.tb00636.x]</w:t>
      </w:r>
    </w:p>
    <w:p w14:paraId="218CFDEA" w14:textId="77777777" w:rsidR="00EC1004" w:rsidRPr="005F7EC5" w:rsidRDefault="00EC1004"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29 </w:t>
      </w:r>
      <w:r w:rsidRPr="005F7EC5">
        <w:rPr>
          <w:rFonts w:ascii="Book Antiqua" w:hAnsi="Book Antiqua"/>
          <w:b/>
          <w:bCs/>
        </w:rPr>
        <w:t>Yano T</w:t>
      </w:r>
      <w:r w:rsidRPr="005F7EC5">
        <w:rPr>
          <w:rFonts w:ascii="Book Antiqua" w:hAnsi="Book Antiqua"/>
        </w:rPr>
        <w:t>, Nakagawa A, Tsuji M, Noda K. Skin permeability of various non-steroidal anti-inflammatory drugs in man. </w:t>
      </w:r>
      <w:r w:rsidRPr="005F7EC5">
        <w:rPr>
          <w:rFonts w:ascii="Book Antiqua" w:hAnsi="Book Antiqua"/>
          <w:i/>
          <w:iCs/>
        </w:rPr>
        <w:t>Life Sci</w:t>
      </w:r>
      <w:r w:rsidRPr="005F7EC5">
        <w:rPr>
          <w:rFonts w:ascii="Book Antiqua" w:hAnsi="Book Antiqua"/>
        </w:rPr>
        <w:t> 1986; </w:t>
      </w:r>
      <w:r w:rsidRPr="005F7EC5">
        <w:rPr>
          <w:rFonts w:ascii="Book Antiqua" w:hAnsi="Book Antiqua"/>
          <w:b/>
          <w:bCs/>
        </w:rPr>
        <w:t>39</w:t>
      </w:r>
      <w:r w:rsidRPr="005F7EC5">
        <w:rPr>
          <w:rFonts w:ascii="Book Antiqua" w:hAnsi="Book Antiqua"/>
        </w:rPr>
        <w:t>: 1043-1050 [PMID: 3747720 DOI: 10.1016/0024-3205(86)90195-5]</w:t>
      </w:r>
    </w:p>
    <w:p w14:paraId="2827EFA9" w14:textId="643B8C84" w:rsidR="00E60A5A" w:rsidRPr="005F7EC5" w:rsidRDefault="00EC1004"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30</w:t>
      </w:r>
      <w:r w:rsidR="00E60A5A" w:rsidRPr="005F7EC5">
        <w:rPr>
          <w:rFonts w:ascii="Book Antiqua" w:hAnsi="Book Antiqua"/>
        </w:rPr>
        <w:t> </w:t>
      </w:r>
      <w:r w:rsidR="00E60A5A" w:rsidRPr="005F7EC5">
        <w:rPr>
          <w:rFonts w:ascii="Book Antiqua" w:hAnsi="Book Antiqua"/>
          <w:b/>
          <w:bCs/>
        </w:rPr>
        <w:t>Benson HAE</w:t>
      </w:r>
      <w:r w:rsidR="00E60A5A" w:rsidRPr="005F7EC5">
        <w:rPr>
          <w:rFonts w:ascii="Book Antiqua" w:hAnsi="Book Antiqua"/>
        </w:rPr>
        <w:t>, Grice JE, Mohammed Y, Namjoshi S, Roberts MS. Topical and Transdermal Drug Delivery: From Simple Potions to Smart Technologies. </w:t>
      </w:r>
      <w:r w:rsidR="00E60A5A" w:rsidRPr="005F7EC5">
        <w:rPr>
          <w:rFonts w:ascii="Book Antiqua" w:hAnsi="Book Antiqua"/>
          <w:i/>
          <w:iCs/>
        </w:rPr>
        <w:t>Curr Drug Deliv</w:t>
      </w:r>
      <w:r w:rsidR="00E60A5A" w:rsidRPr="005F7EC5">
        <w:rPr>
          <w:rFonts w:ascii="Book Antiqua" w:hAnsi="Book Antiqua"/>
        </w:rPr>
        <w:t> 2019; </w:t>
      </w:r>
      <w:r w:rsidR="00E60A5A" w:rsidRPr="005F7EC5">
        <w:rPr>
          <w:rFonts w:ascii="Book Antiqua" w:hAnsi="Book Antiqua"/>
          <w:b/>
          <w:bCs/>
        </w:rPr>
        <w:t>16</w:t>
      </w:r>
      <w:r w:rsidR="00E60A5A" w:rsidRPr="005F7EC5">
        <w:rPr>
          <w:rFonts w:ascii="Book Antiqua" w:hAnsi="Book Antiqua"/>
        </w:rPr>
        <w:t>: 444-460 [PMID: 30714524 DOI: 10.2174/1567201816666190201143457]</w:t>
      </w:r>
    </w:p>
    <w:p w14:paraId="1F21E4E3" w14:textId="5B8AA01C" w:rsidR="00E60A5A" w:rsidRPr="005F7EC5" w:rsidRDefault="00EC1004"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lastRenderedPageBreak/>
        <w:t>31</w:t>
      </w:r>
      <w:r w:rsidR="00E60A5A" w:rsidRPr="005F7EC5">
        <w:rPr>
          <w:rFonts w:ascii="Book Antiqua" w:hAnsi="Book Antiqua"/>
        </w:rPr>
        <w:t> </w:t>
      </w:r>
      <w:r w:rsidR="00E60A5A" w:rsidRPr="005F7EC5">
        <w:rPr>
          <w:rFonts w:ascii="Book Antiqua" w:hAnsi="Book Antiqua"/>
          <w:b/>
          <w:bCs/>
        </w:rPr>
        <w:t>Chandrashekar NS</w:t>
      </w:r>
      <w:r w:rsidR="00E60A5A" w:rsidRPr="005F7EC5">
        <w:rPr>
          <w:rFonts w:ascii="Book Antiqua" w:hAnsi="Book Antiqua"/>
        </w:rPr>
        <w:t>, Shobha Rani RH. Physicochemical and pharmacokinetic parameters in drug selection and loading for transdermal drug delivery. </w:t>
      </w:r>
      <w:r w:rsidR="00E60A5A" w:rsidRPr="005F7EC5">
        <w:rPr>
          <w:rFonts w:ascii="Book Antiqua" w:hAnsi="Book Antiqua"/>
          <w:i/>
          <w:iCs/>
        </w:rPr>
        <w:t>Indian J Pharm Sci</w:t>
      </w:r>
      <w:r w:rsidR="00E60A5A" w:rsidRPr="005F7EC5">
        <w:rPr>
          <w:rFonts w:ascii="Book Antiqua" w:hAnsi="Book Antiqua"/>
        </w:rPr>
        <w:t> 2008; </w:t>
      </w:r>
      <w:r w:rsidR="00E60A5A" w:rsidRPr="005F7EC5">
        <w:rPr>
          <w:rFonts w:ascii="Book Antiqua" w:hAnsi="Book Antiqua"/>
          <w:b/>
          <w:bCs/>
        </w:rPr>
        <w:t>70</w:t>
      </w:r>
      <w:r w:rsidR="00E60A5A" w:rsidRPr="005F7EC5">
        <w:rPr>
          <w:rFonts w:ascii="Book Antiqua" w:hAnsi="Book Antiqua"/>
        </w:rPr>
        <w:t>: 94-96 [PMID: 20390089 DOI: 10.4103/0250-474X.40340]</w:t>
      </w:r>
    </w:p>
    <w:p w14:paraId="72569EAB" w14:textId="702D2B2F" w:rsidR="00E60A5A" w:rsidRPr="005F7EC5" w:rsidRDefault="00EC1004"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32</w:t>
      </w:r>
      <w:r w:rsidR="00E60A5A" w:rsidRPr="005F7EC5">
        <w:rPr>
          <w:rFonts w:ascii="Book Antiqua" w:hAnsi="Book Antiqua"/>
        </w:rPr>
        <w:t> </w:t>
      </w:r>
      <w:r w:rsidR="00E60A5A" w:rsidRPr="005F7EC5">
        <w:rPr>
          <w:rFonts w:ascii="Book Antiqua" w:hAnsi="Book Antiqua"/>
          <w:b/>
          <w:bCs/>
        </w:rPr>
        <w:t>Vaile JH</w:t>
      </w:r>
      <w:r w:rsidR="00E60A5A" w:rsidRPr="005F7EC5">
        <w:rPr>
          <w:rFonts w:ascii="Book Antiqua" w:hAnsi="Book Antiqua"/>
        </w:rPr>
        <w:t>, Davis P. Topical NSAIDs for musculoskeletal conditions. A review of the literature. </w:t>
      </w:r>
      <w:r w:rsidR="00E60A5A" w:rsidRPr="005F7EC5">
        <w:rPr>
          <w:rFonts w:ascii="Book Antiqua" w:hAnsi="Book Antiqua"/>
          <w:i/>
          <w:iCs/>
        </w:rPr>
        <w:t>Drugs</w:t>
      </w:r>
      <w:r w:rsidR="00E60A5A" w:rsidRPr="005F7EC5">
        <w:rPr>
          <w:rFonts w:ascii="Book Antiqua" w:hAnsi="Book Antiqua"/>
        </w:rPr>
        <w:t> 1998; </w:t>
      </w:r>
      <w:r w:rsidR="00E60A5A" w:rsidRPr="005F7EC5">
        <w:rPr>
          <w:rFonts w:ascii="Book Antiqua" w:hAnsi="Book Antiqua"/>
          <w:b/>
          <w:bCs/>
        </w:rPr>
        <w:t>56</w:t>
      </w:r>
      <w:r w:rsidR="00E60A5A" w:rsidRPr="005F7EC5">
        <w:rPr>
          <w:rFonts w:ascii="Book Antiqua" w:hAnsi="Book Antiqua"/>
        </w:rPr>
        <w:t>: 783-799 [PMID: 9829153 DOI: 10.2165/00003495-199856050-00004]</w:t>
      </w:r>
    </w:p>
    <w:p w14:paraId="3366A59B"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33 </w:t>
      </w:r>
      <w:r w:rsidRPr="005F7EC5">
        <w:rPr>
          <w:rFonts w:ascii="Book Antiqua" w:hAnsi="Book Antiqua"/>
          <w:b/>
          <w:bCs/>
        </w:rPr>
        <w:t>Coderre TJ</w:t>
      </w:r>
      <w:r w:rsidRPr="005F7EC5">
        <w:rPr>
          <w:rFonts w:ascii="Book Antiqua" w:hAnsi="Book Antiqua"/>
        </w:rPr>
        <w:t>. Topical drug therapeutics for neuropathic pain. </w:t>
      </w:r>
      <w:r w:rsidRPr="005F7EC5">
        <w:rPr>
          <w:rFonts w:ascii="Book Antiqua" w:hAnsi="Book Antiqua"/>
          <w:i/>
          <w:iCs/>
        </w:rPr>
        <w:t>Expert Opin Pharmacother</w:t>
      </w:r>
      <w:r w:rsidRPr="005F7EC5">
        <w:rPr>
          <w:rFonts w:ascii="Book Antiqua" w:hAnsi="Book Antiqua"/>
        </w:rPr>
        <w:t> 2018; </w:t>
      </w:r>
      <w:r w:rsidRPr="005F7EC5">
        <w:rPr>
          <w:rFonts w:ascii="Book Antiqua" w:hAnsi="Book Antiqua"/>
          <w:b/>
          <w:bCs/>
        </w:rPr>
        <w:t>19</w:t>
      </w:r>
      <w:r w:rsidRPr="005F7EC5">
        <w:rPr>
          <w:rFonts w:ascii="Book Antiqua" w:hAnsi="Book Antiqua"/>
        </w:rPr>
        <w:t>: 1211-1220 [PMID: 30044658 DOI: 10.1080/14656566.2018.1501026]</w:t>
      </w:r>
    </w:p>
    <w:p w14:paraId="03EC0CAF"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34 </w:t>
      </w:r>
      <w:r w:rsidRPr="005F7EC5">
        <w:rPr>
          <w:rFonts w:ascii="Book Antiqua" w:hAnsi="Book Antiqua"/>
          <w:b/>
          <w:bCs/>
        </w:rPr>
        <w:t>Rannou F</w:t>
      </w:r>
      <w:r w:rsidRPr="005F7EC5">
        <w:rPr>
          <w:rFonts w:ascii="Book Antiqua" w:hAnsi="Book Antiqua"/>
        </w:rPr>
        <w:t>, Pelletier JP, Martel-Pelletier J. Efficacy and safety of topical NSAIDs in the management of osteoarthritis: Evidence from real-life setting trials and surveys. </w:t>
      </w:r>
      <w:r w:rsidRPr="005F7EC5">
        <w:rPr>
          <w:rFonts w:ascii="Book Antiqua" w:hAnsi="Book Antiqua"/>
          <w:i/>
          <w:iCs/>
        </w:rPr>
        <w:t>Semin Arthritis Rheum</w:t>
      </w:r>
      <w:r w:rsidRPr="005F7EC5">
        <w:rPr>
          <w:rFonts w:ascii="Book Antiqua" w:hAnsi="Book Antiqua"/>
        </w:rPr>
        <w:t> 2016; </w:t>
      </w:r>
      <w:r w:rsidRPr="005F7EC5">
        <w:rPr>
          <w:rFonts w:ascii="Book Antiqua" w:hAnsi="Book Antiqua"/>
          <w:b/>
          <w:bCs/>
        </w:rPr>
        <w:t>45</w:t>
      </w:r>
      <w:r w:rsidRPr="005F7EC5">
        <w:rPr>
          <w:rFonts w:ascii="Book Antiqua" w:hAnsi="Book Antiqua"/>
        </w:rPr>
        <w:t>: S18-S21 [PMID: 26806189 DOI: 10.1016/j.semarthrit.2015.11.007]</w:t>
      </w:r>
    </w:p>
    <w:p w14:paraId="11AF377C"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35 </w:t>
      </w:r>
      <w:r w:rsidRPr="005F7EC5">
        <w:rPr>
          <w:rFonts w:ascii="Book Antiqua" w:hAnsi="Book Antiqua"/>
          <w:b/>
          <w:bCs/>
        </w:rPr>
        <w:t>Derry S</w:t>
      </w:r>
      <w:r w:rsidRPr="005F7EC5">
        <w:rPr>
          <w:rFonts w:ascii="Book Antiqua" w:hAnsi="Book Antiqua"/>
        </w:rPr>
        <w:t>, Conaghan P, Da Silva JA, Wiffen PJ, Moore RA. Topical NSAIDs for chronic musculoskeletal pain in adults. </w:t>
      </w:r>
      <w:r w:rsidRPr="005F7EC5">
        <w:rPr>
          <w:rFonts w:ascii="Book Antiqua" w:hAnsi="Book Antiqua"/>
          <w:i/>
          <w:iCs/>
        </w:rPr>
        <w:t>Cochrane Database Syst Rev</w:t>
      </w:r>
      <w:r w:rsidRPr="005F7EC5">
        <w:rPr>
          <w:rFonts w:ascii="Book Antiqua" w:hAnsi="Book Antiqua"/>
        </w:rPr>
        <w:t> 2016; </w:t>
      </w:r>
      <w:r w:rsidRPr="005F7EC5">
        <w:rPr>
          <w:rFonts w:ascii="Book Antiqua" w:hAnsi="Book Antiqua"/>
          <w:b/>
          <w:bCs/>
        </w:rPr>
        <w:t>4</w:t>
      </w:r>
      <w:r w:rsidRPr="005F7EC5">
        <w:rPr>
          <w:rFonts w:ascii="Book Antiqua" w:hAnsi="Book Antiqua"/>
        </w:rPr>
        <w:t>: CD007400 [PMID: 27103611 DOI: 10.1002/14651858.CD007400.pub3]</w:t>
      </w:r>
    </w:p>
    <w:p w14:paraId="09F037BA"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36 </w:t>
      </w:r>
      <w:r w:rsidRPr="005F7EC5">
        <w:rPr>
          <w:rFonts w:ascii="Book Antiqua" w:hAnsi="Book Antiqua"/>
          <w:b/>
          <w:bCs/>
        </w:rPr>
        <w:t>Lin TC</w:t>
      </w:r>
      <w:r w:rsidRPr="005F7EC5">
        <w:rPr>
          <w:rFonts w:ascii="Book Antiqua" w:hAnsi="Book Antiqua"/>
        </w:rPr>
        <w:t>, Solomon DH, Tedeschi SK, Yoshida K, Kao Yang YH. Comparative Risk of Cardiovascular Outcomes Between Topical and Oral Nonselective NSAIDs in Taiwanese Patients With Rheumatoid Arthritis. </w:t>
      </w:r>
      <w:r w:rsidRPr="005F7EC5">
        <w:rPr>
          <w:rFonts w:ascii="Book Antiqua" w:hAnsi="Book Antiqua"/>
          <w:i/>
          <w:iCs/>
        </w:rPr>
        <w:t>J Am Heart Assoc</w:t>
      </w:r>
      <w:r w:rsidRPr="005F7EC5">
        <w:rPr>
          <w:rFonts w:ascii="Book Antiqua" w:hAnsi="Book Antiqua"/>
        </w:rPr>
        <w:t> 2017; </w:t>
      </w:r>
      <w:r w:rsidRPr="005F7EC5">
        <w:rPr>
          <w:rFonts w:ascii="Book Antiqua" w:hAnsi="Book Antiqua"/>
          <w:b/>
          <w:bCs/>
        </w:rPr>
        <w:t>6</w:t>
      </w:r>
      <w:r w:rsidRPr="005F7EC5">
        <w:rPr>
          <w:rFonts w:ascii="Book Antiqua" w:hAnsi="Book Antiqua"/>
        </w:rPr>
        <w:t> [PMID: 29079568 DOI: 10.1161/JAHA.117.006874]</w:t>
      </w:r>
    </w:p>
    <w:p w14:paraId="5F9681B8"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37 </w:t>
      </w:r>
      <w:r w:rsidRPr="005F7EC5">
        <w:rPr>
          <w:rFonts w:ascii="Book Antiqua" w:hAnsi="Book Antiqua"/>
          <w:b/>
          <w:bCs/>
        </w:rPr>
        <w:t>Honvo G</w:t>
      </w:r>
      <w:r w:rsidRPr="005F7EC5">
        <w:rPr>
          <w:rFonts w:ascii="Book Antiqua" w:hAnsi="Book Antiqua"/>
        </w:rPr>
        <w:t>, Leclercq V, Geerinck A, Thomas T, Veronese N, Charles A, Rabenda V, Beaudart C, Cooper C, Reginster JY, Bruyère O. Safety of Topical Non-steroidal Anti-Inflammatory Drugs in Osteoarthritis: Outcomes of a Systematic Review and Meta-Analysis. </w:t>
      </w:r>
      <w:r w:rsidRPr="005F7EC5">
        <w:rPr>
          <w:rFonts w:ascii="Book Antiqua" w:hAnsi="Book Antiqua"/>
          <w:i/>
          <w:iCs/>
        </w:rPr>
        <w:t>Drugs Aging</w:t>
      </w:r>
      <w:r w:rsidRPr="005F7EC5">
        <w:rPr>
          <w:rFonts w:ascii="Book Antiqua" w:hAnsi="Book Antiqua"/>
        </w:rPr>
        <w:t> 2019; </w:t>
      </w:r>
      <w:r w:rsidRPr="005F7EC5">
        <w:rPr>
          <w:rFonts w:ascii="Book Antiqua" w:hAnsi="Book Antiqua"/>
          <w:b/>
          <w:bCs/>
        </w:rPr>
        <w:t>36</w:t>
      </w:r>
      <w:r w:rsidRPr="005F7EC5">
        <w:rPr>
          <w:rFonts w:ascii="Book Antiqua" w:hAnsi="Book Antiqua"/>
        </w:rPr>
        <w:t>: 45-64 [PMID: 31073923 DOI: 10.1007/s40266-019-00661-0]</w:t>
      </w:r>
    </w:p>
    <w:p w14:paraId="2BFB594F"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38 </w:t>
      </w:r>
      <w:r w:rsidRPr="005F7EC5">
        <w:rPr>
          <w:rFonts w:ascii="Book Antiqua" w:hAnsi="Book Antiqua"/>
          <w:b/>
          <w:bCs/>
        </w:rPr>
        <w:t>Zeng C</w:t>
      </w:r>
      <w:r w:rsidRPr="005F7EC5">
        <w:rPr>
          <w:rFonts w:ascii="Book Antiqua" w:hAnsi="Book Antiqua"/>
        </w:rPr>
        <w:t>, Wei J, Persson MSM, Sarmanova A, Doherty M, Xie D, Wang Y, Li X, Li J, Long H, Lei G, Zhang W. Relative efficacy and safety of topical non-steroidal anti-inflammatory drugs for osteoarthritis: a systematic review and network meta-analysis of randomised controlled trials and observational studies. </w:t>
      </w:r>
      <w:r w:rsidRPr="005F7EC5">
        <w:rPr>
          <w:rFonts w:ascii="Book Antiqua" w:hAnsi="Book Antiqua"/>
          <w:i/>
          <w:iCs/>
        </w:rPr>
        <w:t>Br J Sports Med</w:t>
      </w:r>
      <w:r w:rsidRPr="005F7EC5">
        <w:rPr>
          <w:rFonts w:ascii="Book Antiqua" w:hAnsi="Book Antiqua"/>
        </w:rPr>
        <w:t> 2018; </w:t>
      </w:r>
      <w:r w:rsidRPr="005F7EC5">
        <w:rPr>
          <w:rFonts w:ascii="Book Antiqua" w:hAnsi="Book Antiqua"/>
          <w:b/>
          <w:bCs/>
        </w:rPr>
        <w:t>52</w:t>
      </w:r>
      <w:r w:rsidRPr="005F7EC5">
        <w:rPr>
          <w:rFonts w:ascii="Book Antiqua" w:hAnsi="Book Antiqua"/>
        </w:rPr>
        <w:t>: 642-650 [PMID: 29436380 DOI: 10.1136/bjsports-2017-098043]</w:t>
      </w:r>
    </w:p>
    <w:p w14:paraId="649DE53E" w14:textId="28934F58" w:rsidR="00E60A5A" w:rsidRPr="005F7EC5" w:rsidRDefault="00044F10"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39</w:t>
      </w:r>
      <w:r w:rsidR="00E60A5A" w:rsidRPr="005F7EC5">
        <w:rPr>
          <w:rFonts w:ascii="Book Antiqua" w:hAnsi="Book Antiqua"/>
        </w:rPr>
        <w:t xml:space="preserve"> </w:t>
      </w:r>
      <w:r w:rsidR="000B35BC" w:rsidRPr="005F7EC5">
        <w:rPr>
          <w:rFonts w:ascii="Book Antiqua" w:hAnsi="Book Antiqua"/>
          <w:b/>
        </w:rPr>
        <w:t>Chinese Medical Association Sports Medical Association</w:t>
      </w:r>
      <w:r w:rsidR="008E3FEB" w:rsidRPr="005F7EC5">
        <w:rPr>
          <w:rFonts w:ascii="Book Antiqua" w:hAnsi="Book Antiqua"/>
        </w:rPr>
        <w:t>;</w:t>
      </w:r>
      <w:r w:rsidR="000B35BC" w:rsidRPr="005F7EC5">
        <w:rPr>
          <w:rFonts w:ascii="Book Antiqua" w:hAnsi="Book Antiqua"/>
        </w:rPr>
        <w:t xml:space="preserve"> Chinese Expert Committee on the Treatment of External NSAIDs Pain.</w:t>
      </w:r>
      <w:r w:rsidR="00E60A5A" w:rsidRPr="005F7EC5">
        <w:rPr>
          <w:rFonts w:ascii="Book Antiqua" w:hAnsi="Book Antiqua"/>
        </w:rPr>
        <w:t xml:space="preserve"> </w:t>
      </w:r>
      <w:bookmarkStart w:id="123" w:name="OLE_LINK122"/>
      <w:bookmarkStart w:id="124" w:name="OLE_LINK123"/>
      <w:r w:rsidR="00E60A5A" w:rsidRPr="005F7EC5">
        <w:rPr>
          <w:rFonts w:ascii="Book Antiqua" w:hAnsi="Book Antiqua"/>
        </w:rPr>
        <w:t xml:space="preserve">Chinese expert consensus on the </w:t>
      </w:r>
      <w:r w:rsidR="00E60A5A" w:rsidRPr="005F7EC5">
        <w:rPr>
          <w:rFonts w:ascii="Book Antiqua" w:hAnsi="Book Antiqua"/>
        </w:rPr>
        <w:lastRenderedPageBreak/>
        <w:t>treatment of musculoskeletal pain with topical NSAIDs</w:t>
      </w:r>
      <w:bookmarkEnd w:id="123"/>
      <w:bookmarkEnd w:id="124"/>
      <w:r w:rsidR="00E60A5A" w:rsidRPr="005F7EC5">
        <w:rPr>
          <w:rFonts w:ascii="Book Antiqua" w:hAnsi="Book Antiqua"/>
        </w:rPr>
        <w:t xml:space="preserve">. </w:t>
      </w:r>
      <w:bookmarkStart w:id="125" w:name="OLE_LINK124"/>
      <w:bookmarkStart w:id="126" w:name="OLE_LINK125"/>
      <w:r w:rsidR="000B35BC" w:rsidRPr="005F7EC5">
        <w:rPr>
          <w:rFonts w:ascii="Book Antiqua" w:hAnsi="Book Antiqua"/>
          <w:i/>
        </w:rPr>
        <w:t>Zhongguo Yixue Qianyan Zazhi</w:t>
      </w:r>
      <w:r w:rsidR="00E60A5A" w:rsidRPr="005F7EC5">
        <w:rPr>
          <w:rFonts w:ascii="Book Antiqua" w:hAnsi="Book Antiqua"/>
        </w:rPr>
        <w:t xml:space="preserve"> </w:t>
      </w:r>
      <w:bookmarkEnd w:id="125"/>
      <w:bookmarkEnd w:id="126"/>
      <w:r w:rsidR="00E60A5A" w:rsidRPr="005F7EC5">
        <w:rPr>
          <w:rFonts w:ascii="Book Antiqua" w:hAnsi="Book Antiqua"/>
        </w:rPr>
        <w:t>2016;</w:t>
      </w:r>
      <w:r w:rsidRPr="005F7EC5">
        <w:rPr>
          <w:rFonts w:ascii="Book Antiqua" w:hAnsi="Book Antiqua"/>
        </w:rPr>
        <w:t xml:space="preserve"> </w:t>
      </w:r>
      <w:r w:rsidRPr="005F7EC5">
        <w:rPr>
          <w:rFonts w:ascii="Book Antiqua" w:hAnsi="Book Antiqua"/>
          <w:b/>
        </w:rPr>
        <w:t>8</w:t>
      </w:r>
      <w:r w:rsidR="00E60A5A" w:rsidRPr="005F7EC5">
        <w:rPr>
          <w:rFonts w:ascii="Book Antiqua" w:hAnsi="Book Antiqua"/>
        </w:rPr>
        <w:t>:</w:t>
      </w:r>
      <w:r w:rsidRPr="005F7EC5">
        <w:rPr>
          <w:rFonts w:ascii="Book Antiqua" w:hAnsi="Book Antiqua"/>
        </w:rPr>
        <w:t xml:space="preserve"> 24-27</w:t>
      </w:r>
    </w:p>
    <w:p w14:paraId="1870688C" w14:textId="4EC79B82"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40 </w:t>
      </w:r>
      <w:r w:rsidRPr="005F7EC5">
        <w:rPr>
          <w:rFonts w:ascii="Book Antiqua" w:hAnsi="Book Antiqua"/>
          <w:b/>
          <w:bCs/>
        </w:rPr>
        <w:t>Chinese Medical Doctor Association Pain Physician Branch National Key Clinical Specialist·China-Japan Hospital Pain Specialist Medical Consortium</w:t>
      </w:r>
      <w:r w:rsidR="008E3FEB" w:rsidRPr="005F7EC5">
        <w:rPr>
          <w:rFonts w:ascii="Book Antiqua" w:hAnsi="Book Antiqua"/>
        </w:rPr>
        <w:t>;</w:t>
      </w:r>
      <w:r w:rsidRPr="005F7EC5">
        <w:rPr>
          <w:rFonts w:ascii="Book Antiqua" w:hAnsi="Book Antiqua"/>
        </w:rPr>
        <w:t xml:space="preserve"> Beijing Pain Treatment Quality Control and Improvement Center. Expert consensus on drug treatment of chronic musculoskeletal pain (2018). </w:t>
      </w:r>
      <w:r w:rsidR="00CD3567" w:rsidRPr="005F7EC5">
        <w:rPr>
          <w:rFonts w:ascii="Book Antiqua" w:hAnsi="Book Antiqua"/>
          <w:i/>
        </w:rPr>
        <w:t>Zhongguo</w:t>
      </w:r>
      <w:r w:rsidR="00AC00DD" w:rsidRPr="005F7EC5">
        <w:rPr>
          <w:rFonts w:ascii="Book Antiqua" w:hAnsi="Book Antiqua"/>
          <w:i/>
        </w:rPr>
        <w:t xml:space="preserve"> Tengtong Yixue Zazhi</w:t>
      </w:r>
      <w:r w:rsidRPr="005F7EC5">
        <w:rPr>
          <w:rFonts w:ascii="Book Antiqua" w:hAnsi="Book Antiqua"/>
        </w:rPr>
        <w:t xml:space="preserve"> 2018;</w:t>
      </w:r>
      <w:r w:rsidR="003E6E4B" w:rsidRPr="005F7EC5">
        <w:rPr>
          <w:rFonts w:ascii="Book Antiqua" w:hAnsi="Book Antiqua"/>
        </w:rPr>
        <w:t xml:space="preserve"> </w:t>
      </w:r>
      <w:r w:rsidR="003E6E4B" w:rsidRPr="005F7EC5">
        <w:rPr>
          <w:rFonts w:ascii="Book Antiqua" w:hAnsi="Book Antiqua"/>
          <w:b/>
        </w:rPr>
        <w:t>24</w:t>
      </w:r>
      <w:r w:rsidRPr="005F7EC5">
        <w:rPr>
          <w:rFonts w:ascii="Book Antiqua" w:hAnsi="Book Antiqua"/>
        </w:rPr>
        <w:t>:</w:t>
      </w:r>
      <w:r w:rsidR="003E6E4B" w:rsidRPr="005F7EC5">
        <w:rPr>
          <w:rFonts w:ascii="Book Antiqua" w:hAnsi="Book Antiqua"/>
        </w:rPr>
        <w:t xml:space="preserve"> 881-887</w:t>
      </w:r>
      <w:r w:rsidRPr="005F7EC5">
        <w:rPr>
          <w:rFonts w:ascii="Book Antiqua" w:hAnsi="Book Antiqua"/>
        </w:rPr>
        <w:t xml:space="preserve"> </w:t>
      </w:r>
      <w:r w:rsidR="003E6E4B" w:rsidRPr="005F7EC5">
        <w:rPr>
          <w:rFonts w:ascii="Book Antiqua" w:hAnsi="Book Antiqua"/>
        </w:rPr>
        <w:t>[</w:t>
      </w:r>
      <w:bookmarkStart w:id="127" w:name="OLE_LINK128"/>
      <w:bookmarkStart w:id="128" w:name="OLE_LINK129"/>
      <w:r w:rsidRPr="005F7EC5">
        <w:rPr>
          <w:rFonts w:ascii="Book Antiqua" w:hAnsi="Book Antiqua"/>
        </w:rPr>
        <w:t>DOI:</w:t>
      </w:r>
      <w:r w:rsidR="00CD3567" w:rsidRPr="005F7EC5">
        <w:rPr>
          <w:rFonts w:ascii="Book Antiqua" w:hAnsi="Book Antiqua"/>
        </w:rPr>
        <w:t xml:space="preserve"> </w:t>
      </w:r>
      <w:r w:rsidRPr="005F7EC5">
        <w:rPr>
          <w:rFonts w:ascii="Book Antiqua" w:hAnsi="Book Antiqua"/>
        </w:rPr>
        <w:t>10.3969/j.issn.1006-9852.2018.12.001</w:t>
      </w:r>
      <w:bookmarkEnd w:id="127"/>
      <w:bookmarkEnd w:id="128"/>
      <w:r w:rsidR="003E6E4B" w:rsidRPr="005F7EC5">
        <w:rPr>
          <w:rFonts w:ascii="Book Antiqua" w:hAnsi="Book Antiqua"/>
        </w:rPr>
        <w:t>]</w:t>
      </w:r>
    </w:p>
    <w:p w14:paraId="2B67815A"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41 </w:t>
      </w:r>
      <w:r w:rsidRPr="005F7EC5">
        <w:rPr>
          <w:rFonts w:ascii="Book Antiqua" w:hAnsi="Book Antiqua"/>
          <w:b/>
          <w:bCs/>
        </w:rPr>
        <w:t>Mazières B</w:t>
      </w:r>
      <w:r w:rsidRPr="005F7EC5">
        <w:rPr>
          <w:rFonts w:ascii="Book Antiqua" w:hAnsi="Book Antiqua"/>
        </w:rPr>
        <w:t>. Topical ketoprofen patch. </w:t>
      </w:r>
      <w:r w:rsidRPr="005F7EC5">
        <w:rPr>
          <w:rFonts w:ascii="Book Antiqua" w:hAnsi="Book Antiqua"/>
          <w:i/>
          <w:iCs/>
        </w:rPr>
        <w:t>Drugs R D</w:t>
      </w:r>
      <w:r w:rsidRPr="005F7EC5">
        <w:rPr>
          <w:rFonts w:ascii="Book Antiqua" w:hAnsi="Book Antiqua"/>
        </w:rPr>
        <w:t> 2005; </w:t>
      </w:r>
      <w:r w:rsidRPr="005F7EC5">
        <w:rPr>
          <w:rFonts w:ascii="Book Antiqua" w:hAnsi="Book Antiqua"/>
          <w:b/>
          <w:bCs/>
        </w:rPr>
        <w:t>6</w:t>
      </w:r>
      <w:r w:rsidRPr="005F7EC5">
        <w:rPr>
          <w:rFonts w:ascii="Book Antiqua" w:hAnsi="Book Antiqua"/>
        </w:rPr>
        <w:t>: 337-344 [PMID: 16274258 DOI: 10.2165/00126839-200506060-00003]</w:t>
      </w:r>
    </w:p>
    <w:p w14:paraId="3CDA1FE7"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42 </w:t>
      </w:r>
      <w:r w:rsidRPr="005F7EC5">
        <w:rPr>
          <w:rFonts w:ascii="Book Antiqua" w:hAnsi="Book Antiqua"/>
          <w:b/>
          <w:bCs/>
        </w:rPr>
        <w:t>Allegrini A</w:t>
      </w:r>
      <w:r w:rsidRPr="005F7EC5">
        <w:rPr>
          <w:rFonts w:ascii="Book Antiqua" w:hAnsi="Book Antiqua"/>
        </w:rPr>
        <w:t>, Nuzzo L, Pavone D, Tavella-Scaringi A, Giangreco D, Bucci M, Toniato E, Mezzetti A, Martinotti S, Comuzio S, Di Grigoli M, Bonani S. Efficacy and safety of piroxicam patch versus piroxicam cream in patients with lumbar osteoarthritis. A randomized, placebo-controlled study. </w:t>
      </w:r>
      <w:r w:rsidRPr="005F7EC5">
        <w:rPr>
          <w:rFonts w:ascii="Book Antiqua" w:hAnsi="Book Antiqua"/>
          <w:i/>
          <w:iCs/>
        </w:rPr>
        <w:t>Arzneimittelforschung</w:t>
      </w:r>
      <w:r w:rsidRPr="005F7EC5">
        <w:rPr>
          <w:rFonts w:ascii="Book Antiqua" w:hAnsi="Book Antiqua"/>
        </w:rPr>
        <w:t> 2009; </w:t>
      </w:r>
      <w:r w:rsidRPr="005F7EC5">
        <w:rPr>
          <w:rFonts w:ascii="Book Antiqua" w:hAnsi="Book Antiqua"/>
          <w:b/>
          <w:bCs/>
        </w:rPr>
        <w:t>59</w:t>
      </w:r>
      <w:r w:rsidRPr="005F7EC5">
        <w:rPr>
          <w:rFonts w:ascii="Book Antiqua" w:hAnsi="Book Antiqua"/>
        </w:rPr>
        <w:t>: 403-409 [PMID: 19813463 DOI: 10.1055/s-0031-1296415]</w:t>
      </w:r>
    </w:p>
    <w:p w14:paraId="1706C254"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43 </w:t>
      </w:r>
      <w:r w:rsidRPr="005F7EC5">
        <w:rPr>
          <w:rFonts w:ascii="Book Antiqua" w:hAnsi="Book Antiqua"/>
          <w:b/>
          <w:bCs/>
        </w:rPr>
        <w:t>Mayba JN</w:t>
      </w:r>
      <w:r w:rsidRPr="005F7EC5">
        <w:rPr>
          <w:rFonts w:ascii="Book Antiqua" w:hAnsi="Book Antiqua"/>
        </w:rPr>
        <w:t>, Gooderham MJ. A Guide to Topical Vehicle Formulations. </w:t>
      </w:r>
      <w:r w:rsidRPr="005F7EC5">
        <w:rPr>
          <w:rFonts w:ascii="Book Antiqua" w:hAnsi="Book Antiqua"/>
          <w:i/>
          <w:iCs/>
        </w:rPr>
        <w:t>J Cutan Med Surg</w:t>
      </w:r>
      <w:r w:rsidRPr="005F7EC5">
        <w:rPr>
          <w:rFonts w:ascii="Book Antiqua" w:hAnsi="Book Antiqua"/>
        </w:rPr>
        <w:t> 2018; </w:t>
      </w:r>
      <w:r w:rsidRPr="005F7EC5">
        <w:rPr>
          <w:rFonts w:ascii="Book Antiqua" w:hAnsi="Book Antiqua"/>
          <w:b/>
          <w:bCs/>
        </w:rPr>
        <w:t>22</w:t>
      </w:r>
      <w:r w:rsidRPr="005F7EC5">
        <w:rPr>
          <w:rFonts w:ascii="Book Antiqua" w:hAnsi="Book Antiqua"/>
        </w:rPr>
        <w:t>: 207-212 [PMID: 29137492 DOI: 10.1177/1203475417743234]</w:t>
      </w:r>
    </w:p>
    <w:p w14:paraId="7959C915" w14:textId="54F07DD4"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highlight w:val="yellow"/>
        </w:rPr>
        <w:t>44 </w:t>
      </w:r>
      <w:r w:rsidRPr="005F7EC5">
        <w:rPr>
          <w:rFonts w:ascii="Book Antiqua" w:hAnsi="Book Antiqua"/>
          <w:b/>
          <w:bCs/>
          <w:highlight w:val="yellow"/>
        </w:rPr>
        <w:t>Sugibayashi</w:t>
      </w:r>
      <w:r w:rsidRPr="005F7EC5">
        <w:rPr>
          <w:rFonts w:ascii="Book Antiqua" w:hAnsi="Book Antiqua"/>
          <w:highlight w:val="yellow"/>
        </w:rPr>
        <w:t> </w:t>
      </w:r>
      <w:r w:rsidRPr="005F7EC5">
        <w:rPr>
          <w:rFonts w:ascii="Book Antiqua" w:hAnsi="Book Antiqua"/>
          <w:b/>
          <w:highlight w:val="yellow"/>
        </w:rPr>
        <w:t>K</w:t>
      </w:r>
      <w:r w:rsidRPr="005F7EC5">
        <w:rPr>
          <w:rFonts w:ascii="Book Antiqua" w:hAnsi="Book Antiqua"/>
          <w:highlight w:val="yellow"/>
        </w:rPr>
        <w:t xml:space="preserve">. </w:t>
      </w:r>
      <w:bookmarkStart w:id="129" w:name="OLE_LINK41"/>
      <w:bookmarkStart w:id="130" w:name="OLE_LINK42"/>
      <w:r w:rsidRPr="005F7EC5">
        <w:rPr>
          <w:rFonts w:ascii="Book Antiqua" w:hAnsi="Book Antiqua"/>
          <w:highlight w:val="yellow"/>
        </w:rPr>
        <w:t>Skin Permeation and Disposition of Therapeutic and Cosmeceutical Compounds</w:t>
      </w:r>
      <w:bookmarkEnd w:id="129"/>
      <w:bookmarkEnd w:id="130"/>
      <w:r w:rsidRPr="005F7EC5">
        <w:rPr>
          <w:rFonts w:ascii="Book Antiqua" w:hAnsi="Book Antiqua"/>
          <w:highlight w:val="yellow"/>
        </w:rPr>
        <w:t xml:space="preserve">. </w:t>
      </w:r>
      <w:r w:rsidR="006D56B8" w:rsidRPr="005F7EC5">
        <w:rPr>
          <w:rFonts w:ascii="Book Antiqua" w:hAnsi="Book Antiqua"/>
          <w:highlight w:val="yellow"/>
        </w:rPr>
        <w:t xml:space="preserve">Japan: </w:t>
      </w:r>
      <w:r w:rsidRPr="005F7EC5">
        <w:rPr>
          <w:rFonts w:ascii="Book Antiqua" w:hAnsi="Book Antiqua"/>
          <w:highlight w:val="yellow"/>
        </w:rPr>
        <w:t>Springer; 2017</w:t>
      </w:r>
    </w:p>
    <w:p w14:paraId="04843028" w14:textId="3657B65D"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45 </w:t>
      </w:r>
      <w:r w:rsidRPr="005F7EC5">
        <w:rPr>
          <w:rFonts w:ascii="Book Antiqua" w:hAnsi="Book Antiqua"/>
          <w:b/>
          <w:bCs/>
        </w:rPr>
        <w:t>Romita P</w:t>
      </w:r>
      <w:r w:rsidRPr="005F7EC5">
        <w:rPr>
          <w:rFonts w:ascii="Book Antiqua" w:hAnsi="Book Antiqua"/>
        </w:rPr>
        <w:t>, Foti C, Calogiuri G, Cantore S, Ballini A, Dipalma G, Inchingolo F. Contact dermatitis due to transdermal therapeutic systems: a clinical update. </w:t>
      </w:r>
      <w:r w:rsidRPr="005F7EC5">
        <w:rPr>
          <w:rFonts w:ascii="Book Antiqua" w:hAnsi="Book Antiqua"/>
          <w:i/>
          <w:iCs/>
        </w:rPr>
        <w:t>Acta Biomed</w:t>
      </w:r>
      <w:r w:rsidRPr="005F7EC5">
        <w:rPr>
          <w:rFonts w:ascii="Book Antiqua" w:hAnsi="Book Antiqua"/>
        </w:rPr>
        <w:t> 2018; </w:t>
      </w:r>
      <w:r w:rsidRPr="005F7EC5">
        <w:rPr>
          <w:rFonts w:ascii="Book Antiqua" w:hAnsi="Book Antiqua"/>
          <w:b/>
          <w:bCs/>
        </w:rPr>
        <w:t>90</w:t>
      </w:r>
      <w:r w:rsidRPr="005F7EC5">
        <w:rPr>
          <w:rFonts w:ascii="Book Antiqua" w:hAnsi="Book Antiqua"/>
        </w:rPr>
        <w:t>: 5-10 [</w:t>
      </w:r>
      <w:bookmarkStart w:id="131" w:name="OLE_LINK43"/>
      <w:bookmarkStart w:id="132" w:name="OLE_LINK44"/>
      <w:bookmarkStart w:id="133" w:name="OLE_LINK121"/>
      <w:r w:rsidRPr="005F7EC5">
        <w:rPr>
          <w:rFonts w:ascii="Book Antiqua" w:hAnsi="Book Antiqua"/>
        </w:rPr>
        <w:t>PMID: 30889148</w:t>
      </w:r>
      <w:bookmarkEnd w:id="131"/>
      <w:bookmarkEnd w:id="132"/>
      <w:bookmarkEnd w:id="133"/>
      <w:r w:rsidRPr="005F7EC5">
        <w:rPr>
          <w:rFonts w:ascii="Book Antiqua" w:hAnsi="Book Antiqua"/>
        </w:rPr>
        <w:t>]</w:t>
      </w:r>
    </w:p>
    <w:p w14:paraId="5E381604"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46 </w:t>
      </w:r>
      <w:r w:rsidRPr="005F7EC5">
        <w:rPr>
          <w:rFonts w:ascii="Book Antiqua" w:hAnsi="Book Antiqua"/>
          <w:b/>
          <w:bCs/>
        </w:rPr>
        <w:t>Bruyère O</w:t>
      </w:r>
      <w:r w:rsidRPr="005F7EC5">
        <w:rPr>
          <w:rFonts w:ascii="Book Antiqua" w:hAnsi="Book Antiqua"/>
        </w:rPr>
        <w:t>, Honvo G, Veronese N, Arden NK, Branco J, Curtis EM, Al-Daghri NM, Herrero-Beaumont G, Martel-Pelletier J, Pelletier JP, Rannou F, Rizzoli R, Roth R, Uebelhart D, Cooper C, Reginster JY. An updated algorithm recommendation for the management of knee osteoarthritis from the European Society for Clinical and Economic Aspects of Osteoporosis, Osteoarthritis and Musculoskeletal Diseases (ESCEO). </w:t>
      </w:r>
      <w:r w:rsidRPr="005F7EC5">
        <w:rPr>
          <w:rFonts w:ascii="Book Antiqua" w:hAnsi="Book Antiqua"/>
          <w:i/>
          <w:iCs/>
        </w:rPr>
        <w:t>Semin Arthritis Rheum</w:t>
      </w:r>
      <w:r w:rsidRPr="005F7EC5">
        <w:rPr>
          <w:rFonts w:ascii="Book Antiqua" w:hAnsi="Book Antiqua"/>
        </w:rPr>
        <w:t> 2019; </w:t>
      </w:r>
      <w:r w:rsidRPr="005F7EC5">
        <w:rPr>
          <w:rFonts w:ascii="Book Antiqua" w:hAnsi="Book Antiqua"/>
          <w:b/>
          <w:bCs/>
        </w:rPr>
        <w:t>49</w:t>
      </w:r>
      <w:r w:rsidRPr="005F7EC5">
        <w:rPr>
          <w:rFonts w:ascii="Book Antiqua" w:hAnsi="Book Antiqua"/>
        </w:rPr>
        <w:t>: 337-350 [PMID: 31126594 DOI: 10.1016/j.semarthrit.2019.04.008]</w:t>
      </w:r>
    </w:p>
    <w:p w14:paraId="28B18D18"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47 </w:t>
      </w:r>
      <w:r w:rsidRPr="005F7EC5">
        <w:rPr>
          <w:rFonts w:ascii="Book Antiqua" w:hAnsi="Book Antiqua"/>
          <w:b/>
          <w:bCs/>
        </w:rPr>
        <w:t>Bannuru RR</w:t>
      </w:r>
      <w:r w:rsidRPr="005F7EC5">
        <w:rPr>
          <w:rFonts w:ascii="Book Antiqua" w:hAnsi="Book Antiqua"/>
        </w:rPr>
        <w:t xml:space="preserve">, Osani MC, Vaysbrot EE, Arden NK, Bennell K, Bierma-Zeinstra SMA, Kraus VB, Lohmander LS, Abbott JH, Bhandari M, Blanco FJ, Espinosa R, Haugen IK, Lin J, Mandl LA, Moilanen E, Nakamura N, Snyder-Mackler L, Trojian T, Underwood M, </w:t>
      </w:r>
      <w:r w:rsidRPr="005F7EC5">
        <w:rPr>
          <w:rFonts w:ascii="Book Antiqua" w:hAnsi="Book Antiqua"/>
        </w:rPr>
        <w:lastRenderedPageBreak/>
        <w:t>McAlindon TE. OARSI guidelines for the non-surgical management of knee, hip, and polyarticular osteoarthritis. </w:t>
      </w:r>
      <w:r w:rsidRPr="005F7EC5">
        <w:rPr>
          <w:rFonts w:ascii="Book Antiqua" w:hAnsi="Book Antiqua"/>
          <w:i/>
          <w:iCs/>
        </w:rPr>
        <w:t>Osteoarthritis Cartilage</w:t>
      </w:r>
      <w:r w:rsidRPr="005F7EC5">
        <w:rPr>
          <w:rFonts w:ascii="Book Antiqua" w:hAnsi="Book Antiqua"/>
        </w:rPr>
        <w:t> 2019; </w:t>
      </w:r>
      <w:r w:rsidRPr="005F7EC5">
        <w:rPr>
          <w:rFonts w:ascii="Book Antiqua" w:hAnsi="Book Antiqua"/>
          <w:b/>
          <w:bCs/>
        </w:rPr>
        <w:t>27</w:t>
      </w:r>
      <w:r w:rsidRPr="005F7EC5">
        <w:rPr>
          <w:rFonts w:ascii="Book Antiqua" w:hAnsi="Book Antiqua"/>
        </w:rPr>
        <w:t>: 1578-1589 [PMID: 31278997 DOI: 10.1016/j.joca.2019.06.011]</w:t>
      </w:r>
    </w:p>
    <w:p w14:paraId="3E7E8BF0"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48 </w:t>
      </w:r>
      <w:r w:rsidRPr="005F7EC5">
        <w:rPr>
          <w:rFonts w:ascii="Book Antiqua" w:hAnsi="Book Antiqua"/>
          <w:b/>
          <w:bCs/>
        </w:rPr>
        <w:t>Jeal W</w:t>
      </w:r>
      <w:r w:rsidRPr="005F7EC5">
        <w:rPr>
          <w:rFonts w:ascii="Book Antiqua" w:hAnsi="Book Antiqua"/>
        </w:rPr>
        <w:t>, Benfield P. Transdermal fentanyl. A review of its pharmacological properties and therapeutic efficacy in pain control. </w:t>
      </w:r>
      <w:r w:rsidRPr="005F7EC5">
        <w:rPr>
          <w:rFonts w:ascii="Book Antiqua" w:hAnsi="Book Antiqua"/>
          <w:i/>
          <w:iCs/>
        </w:rPr>
        <w:t>Drugs</w:t>
      </w:r>
      <w:r w:rsidRPr="005F7EC5">
        <w:rPr>
          <w:rFonts w:ascii="Book Antiqua" w:hAnsi="Book Antiqua"/>
        </w:rPr>
        <w:t> 1997; </w:t>
      </w:r>
      <w:r w:rsidRPr="005F7EC5">
        <w:rPr>
          <w:rFonts w:ascii="Book Antiqua" w:hAnsi="Book Antiqua"/>
          <w:b/>
          <w:bCs/>
        </w:rPr>
        <w:t>53</w:t>
      </w:r>
      <w:r w:rsidRPr="005F7EC5">
        <w:rPr>
          <w:rFonts w:ascii="Book Antiqua" w:hAnsi="Book Antiqua"/>
        </w:rPr>
        <w:t>: 109-138 [PMID: 9010652 DOI: 10.2165/00003495-199753010-00011]</w:t>
      </w:r>
    </w:p>
    <w:p w14:paraId="17CB5533"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49 </w:t>
      </w:r>
      <w:r w:rsidRPr="005F7EC5">
        <w:rPr>
          <w:rFonts w:ascii="Book Antiqua" w:hAnsi="Book Antiqua"/>
          <w:b/>
          <w:bCs/>
        </w:rPr>
        <w:t>Muijsers RB</w:t>
      </w:r>
      <w:r w:rsidRPr="005F7EC5">
        <w:rPr>
          <w:rFonts w:ascii="Book Antiqua" w:hAnsi="Book Antiqua"/>
        </w:rPr>
        <w:t>, Wagstaff AJ. Transdermal fentanyl: an updated review of its pharmacological properties and therapeutic efficacy in chronic cancer pain control. </w:t>
      </w:r>
      <w:r w:rsidRPr="005F7EC5">
        <w:rPr>
          <w:rFonts w:ascii="Book Antiqua" w:hAnsi="Book Antiqua"/>
          <w:i/>
          <w:iCs/>
        </w:rPr>
        <w:t>Drugs</w:t>
      </w:r>
      <w:r w:rsidRPr="005F7EC5">
        <w:rPr>
          <w:rFonts w:ascii="Book Antiqua" w:hAnsi="Book Antiqua"/>
        </w:rPr>
        <w:t> 2001; </w:t>
      </w:r>
      <w:r w:rsidRPr="005F7EC5">
        <w:rPr>
          <w:rFonts w:ascii="Book Antiqua" w:hAnsi="Book Antiqua"/>
          <w:b/>
          <w:bCs/>
        </w:rPr>
        <w:t>61</w:t>
      </w:r>
      <w:r w:rsidRPr="005F7EC5">
        <w:rPr>
          <w:rFonts w:ascii="Book Antiqua" w:hAnsi="Book Antiqua"/>
        </w:rPr>
        <w:t>: 2289-2307 [PMID: 11772140 DOI: 10.2165/00003495-200161150-00014]</w:t>
      </w:r>
    </w:p>
    <w:p w14:paraId="6E90454A" w14:textId="5240ED82"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highlight w:val="yellow"/>
        </w:rPr>
        <w:t>50 </w:t>
      </w:r>
      <w:r w:rsidRPr="005F7EC5">
        <w:rPr>
          <w:rFonts w:ascii="Book Antiqua" w:hAnsi="Book Antiqua"/>
          <w:b/>
          <w:bCs/>
          <w:highlight w:val="yellow"/>
        </w:rPr>
        <w:t xml:space="preserve">US Food and Drug Administration. </w:t>
      </w:r>
      <w:r w:rsidRPr="005F7EC5">
        <w:rPr>
          <w:rFonts w:ascii="Book Antiqua" w:hAnsi="Book Antiqua"/>
          <w:bCs/>
          <w:highlight w:val="yellow"/>
        </w:rPr>
        <w:t>Duralgesic</w:t>
      </w:r>
      <w:r w:rsidRPr="005F7EC5">
        <w:rPr>
          <w:rFonts w:ascii="Book Antiqua" w:hAnsi="Book Antiqua"/>
          <w:bCs/>
          <w:highlight w:val="yellow"/>
          <w:vertAlign w:val="superscript"/>
        </w:rPr>
        <w:t>®</w:t>
      </w:r>
      <w:r w:rsidRPr="005F7EC5">
        <w:rPr>
          <w:rFonts w:ascii="Book Antiqua" w:hAnsi="Book Antiqua"/>
          <w:bCs/>
          <w:highlight w:val="yellow"/>
        </w:rPr>
        <w:t xml:space="preserve"> prescribing information. </w:t>
      </w:r>
      <w:r w:rsidR="005F3DED" w:rsidRPr="005F7EC5">
        <w:rPr>
          <w:rFonts w:ascii="Book Antiqua" w:hAnsi="Book Antiqua"/>
          <w:bCs/>
          <w:highlight w:val="yellow"/>
        </w:rPr>
        <w:t>June 24,</w:t>
      </w:r>
      <w:r w:rsidR="005F3DED" w:rsidRPr="005F7EC5">
        <w:rPr>
          <w:rFonts w:ascii="Book Antiqua" w:hAnsi="Book Antiqua"/>
          <w:highlight w:val="yellow"/>
        </w:rPr>
        <w:t xml:space="preserve"> 2019. </w:t>
      </w:r>
      <w:r w:rsidR="006D56B8" w:rsidRPr="005F7EC5">
        <w:rPr>
          <w:rFonts w:ascii="Book Antiqua" w:hAnsi="Book Antiqua"/>
          <w:highlight w:val="yellow"/>
        </w:rPr>
        <w:t xml:space="preserve">[cited 30 November 2020]. </w:t>
      </w:r>
      <w:r w:rsidR="001F023A" w:rsidRPr="005F7EC5">
        <w:rPr>
          <w:rFonts w:ascii="Book Antiqua" w:hAnsi="Book Antiqua"/>
          <w:bCs/>
          <w:highlight w:val="yellow"/>
        </w:rPr>
        <w:t xml:space="preserve">Available from: </w:t>
      </w:r>
      <w:r w:rsidRPr="005F7EC5">
        <w:rPr>
          <w:rFonts w:ascii="Book Antiqua" w:hAnsi="Book Antiqua"/>
          <w:bCs/>
          <w:highlight w:val="yellow"/>
        </w:rPr>
        <w:t>https://www.accessdata.fda.gov/drugsatfda</w:t>
      </w:r>
      <w:r w:rsidR="001F023A" w:rsidRPr="005F7EC5">
        <w:rPr>
          <w:rFonts w:ascii="Book Antiqua" w:hAnsi="Book Antiqua"/>
          <w:bCs/>
          <w:highlight w:val="yellow"/>
        </w:rPr>
        <w:t>_docs/Label/2018/019813s075s076</w:t>
      </w:r>
      <w:r w:rsidR="00E104A4" w:rsidRPr="005F7EC5">
        <w:rPr>
          <w:rFonts w:ascii="Book Antiqua" w:hAnsi="Book Antiqua"/>
          <w:bCs/>
          <w:highlight w:val="yellow"/>
        </w:rPr>
        <w:t>Lbl.pdf</w:t>
      </w:r>
    </w:p>
    <w:p w14:paraId="2FBF17D4"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51 </w:t>
      </w:r>
      <w:r w:rsidRPr="005F7EC5">
        <w:rPr>
          <w:rFonts w:ascii="Book Antiqua" w:hAnsi="Book Antiqua"/>
          <w:b/>
          <w:bCs/>
        </w:rPr>
        <w:t>Evans HC</w:t>
      </w:r>
      <w:r w:rsidRPr="005F7EC5">
        <w:rPr>
          <w:rFonts w:ascii="Book Antiqua" w:hAnsi="Book Antiqua"/>
        </w:rPr>
        <w:t>, Easthope SE. Transdermal buprenorphine. </w:t>
      </w:r>
      <w:r w:rsidRPr="005F7EC5">
        <w:rPr>
          <w:rFonts w:ascii="Book Antiqua" w:hAnsi="Book Antiqua"/>
          <w:i/>
          <w:iCs/>
        </w:rPr>
        <w:t>Drugs</w:t>
      </w:r>
      <w:r w:rsidRPr="005F7EC5">
        <w:rPr>
          <w:rFonts w:ascii="Book Antiqua" w:hAnsi="Book Antiqua"/>
        </w:rPr>
        <w:t> 2003; </w:t>
      </w:r>
      <w:r w:rsidRPr="005F7EC5">
        <w:rPr>
          <w:rFonts w:ascii="Book Antiqua" w:hAnsi="Book Antiqua"/>
          <w:b/>
          <w:bCs/>
        </w:rPr>
        <w:t>63</w:t>
      </w:r>
      <w:r w:rsidRPr="005F7EC5">
        <w:rPr>
          <w:rFonts w:ascii="Book Antiqua" w:hAnsi="Book Antiqua"/>
        </w:rPr>
        <w:t>: 1999-2010; discussion 2011-2 [PMID: 12962515 DOI: 10.2165/00003495-200363190-00003]</w:t>
      </w:r>
    </w:p>
    <w:p w14:paraId="5101E1E0"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52 </w:t>
      </w:r>
      <w:r w:rsidRPr="005F7EC5">
        <w:rPr>
          <w:rFonts w:ascii="Book Antiqua" w:hAnsi="Book Antiqua"/>
          <w:b/>
          <w:bCs/>
        </w:rPr>
        <w:t>Pergolizzi JV Jr</w:t>
      </w:r>
      <w:r w:rsidRPr="005F7EC5">
        <w:rPr>
          <w:rFonts w:ascii="Book Antiqua" w:hAnsi="Book Antiqua"/>
        </w:rPr>
        <w:t>, Mercadante S, Echaburu AV, Van den Eynden B, Fragoso RM, Mordarski S, Lybaert W, Beniak J, Orońska A, Slama O; Euromed Communications meeting. The role of transdermal buprenorphine in the treatment of cancer pain: an expert panel consensus. </w:t>
      </w:r>
      <w:r w:rsidRPr="005F7EC5">
        <w:rPr>
          <w:rFonts w:ascii="Book Antiqua" w:hAnsi="Book Antiqua"/>
          <w:i/>
          <w:iCs/>
        </w:rPr>
        <w:t>Curr Med Res Opin</w:t>
      </w:r>
      <w:r w:rsidRPr="005F7EC5">
        <w:rPr>
          <w:rFonts w:ascii="Book Antiqua" w:hAnsi="Book Antiqua"/>
        </w:rPr>
        <w:t> 2009; </w:t>
      </w:r>
      <w:r w:rsidRPr="005F7EC5">
        <w:rPr>
          <w:rFonts w:ascii="Book Antiqua" w:hAnsi="Book Antiqua"/>
          <w:b/>
          <w:bCs/>
        </w:rPr>
        <w:t>25</w:t>
      </w:r>
      <w:r w:rsidRPr="005F7EC5">
        <w:rPr>
          <w:rFonts w:ascii="Book Antiqua" w:hAnsi="Book Antiqua"/>
        </w:rPr>
        <w:t>: 1517-1528 [PMID: 19435402 DOI: 10.1185/03007990902920731]</w:t>
      </w:r>
    </w:p>
    <w:p w14:paraId="5043419D" w14:textId="1AFA615B"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highlight w:val="yellow"/>
        </w:rPr>
        <w:t>53 </w:t>
      </w:r>
      <w:r w:rsidRPr="005F7EC5">
        <w:rPr>
          <w:rFonts w:ascii="Book Antiqua" w:hAnsi="Book Antiqua"/>
          <w:b/>
          <w:bCs/>
          <w:highlight w:val="yellow"/>
        </w:rPr>
        <w:t xml:space="preserve">US Food and Drug Administration. </w:t>
      </w:r>
      <w:r w:rsidRPr="005F7EC5">
        <w:rPr>
          <w:rFonts w:ascii="Book Antiqua" w:hAnsi="Book Antiqua"/>
          <w:bCs/>
          <w:highlight w:val="yellow"/>
        </w:rPr>
        <w:t>BU</w:t>
      </w:r>
      <w:r w:rsidR="006A796A" w:rsidRPr="005F7EC5">
        <w:rPr>
          <w:rFonts w:ascii="Book Antiqua" w:hAnsi="Book Antiqua"/>
          <w:bCs/>
          <w:highlight w:val="yellow"/>
        </w:rPr>
        <w:t>TRANS</w:t>
      </w:r>
      <w:r w:rsidR="006A796A" w:rsidRPr="005F7EC5">
        <w:rPr>
          <w:rFonts w:ascii="Book Antiqua" w:hAnsi="Book Antiqua"/>
          <w:bCs/>
          <w:highlight w:val="yellow"/>
          <w:vertAlign w:val="superscript"/>
        </w:rPr>
        <w:t>®</w:t>
      </w:r>
      <w:r w:rsidR="006A796A" w:rsidRPr="005F7EC5">
        <w:rPr>
          <w:rFonts w:ascii="Book Antiqua" w:hAnsi="Book Antiqua"/>
          <w:bCs/>
          <w:highlight w:val="yellow"/>
        </w:rPr>
        <w:t xml:space="preserve"> prescribing information.</w:t>
      </w:r>
      <w:r w:rsidRPr="005F7EC5">
        <w:rPr>
          <w:rFonts w:ascii="Book Antiqua" w:hAnsi="Book Antiqua"/>
          <w:highlight w:val="yellow"/>
        </w:rPr>
        <w:t> </w:t>
      </w:r>
      <w:r w:rsidR="00E104A4" w:rsidRPr="005F7EC5">
        <w:rPr>
          <w:rFonts w:ascii="Book Antiqua" w:hAnsi="Book Antiqua"/>
          <w:highlight w:val="yellow"/>
        </w:rPr>
        <w:t xml:space="preserve">[cited 30 November 2020]. </w:t>
      </w:r>
      <w:r w:rsidR="006A796A" w:rsidRPr="005F7EC5">
        <w:rPr>
          <w:rFonts w:ascii="Book Antiqua" w:hAnsi="Book Antiqua"/>
          <w:highlight w:val="yellow"/>
        </w:rPr>
        <w:t xml:space="preserve">Available from: </w:t>
      </w:r>
      <w:r w:rsidRPr="005F7EC5">
        <w:rPr>
          <w:rFonts w:ascii="Book Antiqua" w:hAnsi="Book Antiqua"/>
          <w:highlight w:val="yellow"/>
        </w:rPr>
        <w:t>https://www.accessdata.fda.gov/drugsatfda_docs/L</w:t>
      </w:r>
      <w:r w:rsidR="006A796A" w:rsidRPr="005F7EC5">
        <w:rPr>
          <w:rFonts w:ascii="Book Antiqua" w:hAnsi="Book Antiqua"/>
          <w:highlight w:val="yellow"/>
        </w:rPr>
        <w:t>abel/2018/021306s032s034Lbl.pdf</w:t>
      </w:r>
    </w:p>
    <w:p w14:paraId="3F390BD0"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54 </w:t>
      </w:r>
      <w:r w:rsidRPr="005F7EC5">
        <w:rPr>
          <w:rFonts w:ascii="Book Antiqua" w:hAnsi="Book Antiqua"/>
          <w:b/>
          <w:bCs/>
        </w:rPr>
        <w:t>Wolff RF</w:t>
      </w:r>
      <w:r w:rsidRPr="005F7EC5">
        <w:rPr>
          <w:rFonts w:ascii="Book Antiqua" w:hAnsi="Book Antiqua"/>
        </w:rPr>
        <w:t>, Aune D, Truyers C, Hernandez AV, Misso K, Riemsma R, Kleijnen J. Systematic review of efficacy and safety of buprenorphine versus fentanyl or morphine in patients with chronic moderate to severe pain. </w:t>
      </w:r>
      <w:r w:rsidRPr="005F7EC5">
        <w:rPr>
          <w:rFonts w:ascii="Book Antiqua" w:hAnsi="Book Antiqua"/>
          <w:i/>
          <w:iCs/>
        </w:rPr>
        <w:t>Curr Med Res Opin</w:t>
      </w:r>
      <w:r w:rsidRPr="005F7EC5">
        <w:rPr>
          <w:rFonts w:ascii="Book Antiqua" w:hAnsi="Book Antiqua"/>
        </w:rPr>
        <w:t> 2012; </w:t>
      </w:r>
      <w:r w:rsidRPr="005F7EC5">
        <w:rPr>
          <w:rFonts w:ascii="Book Antiqua" w:hAnsi="Book Antiqua"/>
          <w:b/>
          <w:bCs/>
        </w:rPr>
        <w:t>28</w:t>
      </w:r>
      <w:r w:rsidRPr="005F7EC5">
        <w:rPr>
          <w:rFonts w:ascii="Book Antiqua" w:hAnsi="Book Antiqua"/>
        </w:rPr>
        <w:t>: 833-845 [PMID: 22443154 DOI: 10.1185/03007995.2012.678938]</w:t>
      </w:r>
    </w:p>
    <w:p w14:paraId="0A86F3FF"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lastRenderedPageBreak/>
        <w:t>55 </w:t>
      </w:r>
      <w:r w:rsidRPr="005F7EC5">
        <w:rPr>
          <w:rFonts w:ascii="Book Antiqua" w:hAnsi="Book Antiqua"/>
          <w:b/>
          <w:bCs/>
        </w:rPr>
        <w:t>Wolff RF</w:t>
      </w:r>
      <w:r w:rsidRPr="005F7EC5">
        <w:rPr>
          <w:rFonts w:ascii="Book Antiqua" w:hAnsi="Book Antiqua"/>
        </w:rPr>
        <w:t>, Reid K, di Nisio M, Aune D, Truyers C, Hernandez AV, Misso K, Riemsma R, Kleijnen J. Systematic review of adverse events of buprenorphine patch versus fentanyl patch in patients with chronic moderate-to-severe pain. </w:t>
      </w:r>
      <w:r w:rsidRPr="005F7EC5">
        <w:rPr>
          <w:rFonts w:ascii="Book Antiqua" w:hAnsi="Book Antiqua"/>
          <w:i/>
          <w:iCs/>
        </w:rPr>
        <w:t>Pain Manag</w:t>
      </w:r>
      <w:r w:rsidRPr="005F7EC5">
        <w:rPr>
          <w:rFonts w:ascii="Book Antiqua" w:hAnsi="Book Antiqua"/>
        </w:rPr>
        <w:t> 2012; </w:t>
      </w:r>
      <w:r w:rsidRPr="005F7EC5">
        <w:rPr>
          <w:rFonts w:ascii="Book Antiqua" w:hAnsi="Book Antiqua"/>
          <w:b/>
          <w:bCs/>
        </w:rPr>
        <w:t>2</w:t>
      </w:r>
      <w:r w:rsidRPr="005F7EC5">
        <w:rPr>
          <w:rFonts w:ascii="Book Antiqua" w:hAnsi="Book Antiqua"/>
        </w:rPr>
        <w:t>: 351-362 [PMID: 24654721 DOI: 10.2217/pmt.12.22]</w:t>
      </w:r>
    </w:p>
    <w:p w14:paraId="764B3169"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56 </w:t>
      </w:r>
      <w:r w:rsidRPr="005F7EC5">
        <w:rPr>
          <w:rFonts w:ascii="Book Antiqua" w:hAnsi="Book Antiqua"/>
          <w:b/>
          <w:bCs/>
        </w:rPr>
        <w:t>da Costa BR</w:t>
      </w:r>
      <w:r w:rsidRPr="005F7EC5">
        <w:rPr>
          <w:rFonts w:ascii="Book Antiqua" w:hAnsi="Book Antiqua"/>
        </w:rPr>
        <w:t>, Nüesch E, Kasteler R, Husni E, Welch V, Rutjes AW, Jüni P. Oral or transdermal opioids for osteoarthritis of the knee or hip. </w:t>
      </w:r>
      <w:r w:rsidRPr="005F7EC5">
        <w:rPr>
          <w:rFonts w:ascii="Book Antiqua" w:hAnsi="Book Antiqua"/>
          <w:i/>
          <w:iCs/>
        </w:rPr>
        <w:t>Cochrane Database Syst Rev</w:t>
      </w:r>
      <w:r w:rsidRPr="005F7EC5">
        <w:rPr>
          <w:rFonts w:ascii="Book Antiqua" w:hAnsi="Book Antiqua"/>
        </w:rPr>
        <w:t> 2014: CD003115 [PMID: 25229835 DOI: 10.1002/14651858.CD003115.pub4]</w:t>
      </w:r>
    </w:p>
    <w:p w14:paraId="3DB376B1"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57 </w:t>
      </w:r>
      <w:r w:rsidRPr="005F7EC5">
        <w:rPr>
          <w:rFonts w:ascii="Book Antiqua" w:hAnsi="Book Antiqua"/>
          <w:b/>
          <w:bCs/>
        </w:rPr>
        <w:t>Busse JW</w:t>
      </w:r>
      <w:r w:rsidRPr="005F7EC5">
        <w:rPr>
          <w:rFonts w:ascii="Book Antiqua" w:hAnsi="Book Antiqua"/>
        </w:rPr>
        <w:t>, Wang L, Kamaleldin M, Craigie S, Riva JJ, Montoya L, Mulla SM, Lopes LC, Vogel N, Chen E, Kirmayr K, De Oliveira K, Olivieri L, Kaushal A, Chaparro LE, Oyberman I, Agarwal A, Couban R, Tsoi L, Lam T, Vandvik PO, Hsu S, Bala MM, Schandelmaier S, Scheidecker A, Ebrahim S, Ashoorion V, Rehman Y, Hong PJ, Ross S, Johnston BC, Kunz R, Sun X, Buckley N, Sessler DI, Guyatt GH. Opioids for Chronic Noncancer Pain: A Systematic Review and Meta-analysis. </w:t>
      </w:r>
      <w:r w:rsidRPr="005F7EC5">
        <w:rPr>
          <w:rFonts w:ascii="Book Antiqua" w:hAnsi="Book Antiqua"/>
          <w:i/>
          <w:iCs/>
        </w:rPr>
        <w:t>JAMA</w:t>
      </w:r>
      <w:r w:rsidRPr="005F7EC5">
        <w:rPr>
          <w:rFonts w:ascii="Book Antiqua" w:hAnsi="Book Antiqua"/>
        </w:rPr>
        <w:t> 2018; </w:t>
      </w:r>
      <w:r w:rsidRPr="005F7EC5">
        <w:rPr>
          <w:rFonts w:ascii="Book Antiqua" w:hAnsi="Book Antiqua"/>
          <w:b/>
          <w:bCs/>
        </w:rPr>
        <w:t>320</w:t>
      </w:r>
      <w:r w:rsidRPr="005F7EC5">
        <w:rPr>
          <w:rFonts w:ascii="Book Antiqua" w:hAnsi="Book Antiqua"/>
        </w:rPr>
        <w:t>: 2448-2460 [PMID: 30561481 DOI: 10.1001/jama.2018.18472]</w:t>
      </w:r>
    </w:p>
    <w:p w14:paraId="28DD2D5C"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58 </w:t>
      </w:r>
      <w:r w:rsidRPr="005F7EC5">
        <w:rPr>
          <w:rFonts w:ascii="Book Antiqua" w:hAnsi="Book Antiqua"/>
          <w:b/>
          <w:bCs/>
        </w:rPr>
        <w:t>Krebs EE</w:t>
      </w:r>
      <w:r w:rsidRPr="005F7EC5">
        <w:rPr>
          <w:rFonts w:ascii="Book Antiqua" w:hAnsi="Book Antiqua"/>
        </w:rPr>
        <w:t>, Gravely A, Nugent S, Jensen AC, DeRonne B, Goldsmith ES, Kroenke K, Bair MJ, Noorbaloochi S. Effect of Opioid vs Nonopioid Medications on Pain-Related Function in Patients With Chronic Back Pain or Hip or Knee Osteoarthritis Pain: The SPACE Randomized Clinical Trial. </w:t>
      </w:r>
      <w:r w:rsidRPr="005F7EC5">
        <w:rPr>
          <w:rFonts w:ascii="Book Antiqua" w:hAnsi="Book Antiqua"/>
          <w:i/>
          <w:iCs/>
        </w:rPr>
        <w:t>JAMA</w:t>
      </w:r>
      <w:r w:rsidRPr="005F7EC5">
        <w:rPr>
          <w:rFonts w:ascii="Book Antiqua" w:hAnsi="Book Antiqua"/>
        </w:rPr>
        <w:t> 2018; </w:t>
      </w:r>
      <w:r w:rsidRPr="005F7EC5">
        <w:rPr>
          <w:rFonts w:ascii="Book Antiqua" w:hAnsi="Book Antiqua"/>
          <w:b/>
          <w:bCs/>
        </w:rPr>
        <w:t>319</w:t>
      </w:r>
      <w:r w:rsidRPr="005F7EC5">
        <w:rPr>
          <w:rFonts w:ascii="Book Antiqua" w:hAnsi="Book Antiqua"/>
        </w:rPr>
        <w:t>: 872-882 [PMID: 29509867 DOI: 10.1001/jama.2018.0899]</w:t>
      </w:r>
    </w:p>
    <w:p w14:paraId="4821D9B8"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59 </w:t>
      </w:r>
      <w:r w:rsidRPr="005F7EC5">
        <w:rPr>
          <w:rFonts w:ascii="Book Antiqua" w:hAnsi="Book Antiqua"/>
          <w:b/>
          <w:bCs/>
        </w:rPr>
        <w:t>Burness CB</w:t>
      </w:r>
      <w:r w:rsidRPr="005F7EC5">
        <w:rPr>
          <w:rFonts w:ascii="Book Antiqua" w:hAnsi="Book Antiqua"/>
        </w:rPr>
        <w:t>, McCormack PL. Capsaicin 8 % Patch: A Review in Peripheral Neuropathic Pain. </w:t>
      </w:r>
      <w:r w:rsidRPr="005F7EC5">
        <w:rPr>
          <w:rFonts w:ascii="Book Antiqua" w:hAnsi="Book Antiqua"/>
          <w:i/>
          <w:iCs/>
        </w:rPr>
        <w:t>Drugs</w:t>
      </w:r>
      <w:r w:rsidRPr="005F7EC5">
        <w:rPr>
          <w:rFonts w:ascii="Book Antiqua" w:hAnsi="Book Antiqua"/>
        </w:rPr>
        <w:t> 2016; </w:t>
      </w:r>
      <w:r w:rsidRPr="005F7EC5">
        <w:rPr>
          <w:rFonts w:ascii="Book Antiqua" w:hAnsi="Book Antiqua"/>
          <w:b/>
          <w:bCs/>
        </w:rPr>
        <w:t>76</w:t>
      </w:r>
      <w:r w:rsidRPr="005F7EC5">
        <w:rPr>
          <w:rFonts w:ascii="Book Antiqua" w:hAnsi="Book Antiqua"/>
        </w:rPr>
        <w:t>: 123-134 [PMID: 26666418 DOI: 10.1007/s40265-015-0520-9]</w:t>
      </w:r>
    </w:p>
    <w:p w14:paraId="55AA43A1"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60 </w:t>
      </w:r>
      <w:r w:rsidRPr="005F7EC5">
        <w:rPr>
          <w:rFonts w:ascii="Book Antiqua" w:hAnsi="Book Antiqua"/>
          <w:b/>
          <w:bCs/>
        </w:rPr>
        <w:t>Anand P</w:t>
      </w:r>
      <w:r w:rsidRPr="005F7EC5">
        <w:rPr>
          <w:rFonts w:ascii="Book Antiqua" w:hAnsi="Book Antiqua"/>
        </w:rPr>
        <w:t>, Bley K. Topical capsaicin for pain management: therapeutic potential and mechanisms of action of the new high-concentration capsaicin 8% patch. </w:t>
      </w:r>
      <w:r w:rsidRPr="005F7EC5">
        <w:rPr>
          <w:rFonts w:ascii="Book Antiqua" w:hAnsi="Book Antiqua"/>
          <w:i/>
          <w:iCs/>
        </w:rPr>
        <w:t>Br J Anaesth</w:t>
      </w:r>
      <w:r w:rsidRPr="005F7EC5">
        <w:rPr>
          <w:rFonts w:ascii="Book Antiqua" w:hAnsi="Book Antiqua"/>
        </w:rPr>
        <w:t> 2011; </w:t>
      </w:r>
      <w:r w:rsidRPr="005F7EC5">
        <w:rPr>
          <w:rFonts w:ascii="Book Antiqua" w:hAnsi="Book Antiqua"/>
          <w:b/>
          <w:bCs/>
        </w:rPr>
        <w:t>107</w:t>
      </w:r>
      <w:r w:rsidRPr="005F7EC5">
        <w:rPr>
          <w:rFonts w:ascii="Book Antiqua" w:hAnsi="Book Antiqua"/>
        </w:rPr>
        <w:t>: 490-502 [PMID: 21852280 DOI: 10.1093/bja/aer260]</w:t>
      </w:r>
    </w:p>
    <w:p w14:paraId="7FF164E1"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61 </w:t>
      </w:r>
      <w:r w:rsidRPr="005F7EC5">
        <w:rPr>
          <w:rFonts w:ascii="Book Antiqua" w:hAnsi="Book Antiqua"/>
          <w:b/>
          <w:bCs/>
        </w:rPr>
        <w:t>Blair HA</w:t>
      </w:r>
      <w:r w:rsidRPr="005F7EC5">
        <w:rPr>
          <w:rFonts w:ascii="Book Antiqua" w:hAnsi="Book Antiqua"/>
        </w:rPr>
        <w:t>. Capsaicin 8% Dermal Patch: A Review in Peripheral Neuropathic Pain. </w:t>
      </w:r>
      <w:r w:rsidRPr="005F7EC5">
        <w:rPr>
          <w:rFonts w:ascii="Book Antiqua" w:hAnsi="Book Antiqua"/>
          <w:i/>
          <w:iCs/>
        </w:rPr>
        <w:t>Drugs</w:t>
      </w:r>
      <w:r w:rsidRPr="005F7EC5">
        <w:rPr>
          <w:rFonts w:ascii="Book Antiqua" w:hAnsi="Book Antiqua"/>
        </w:rPr>
        <w:t> 2018; </w:t>
      </w:r>
      <w:r w:rsidRPr="005F7EC5">
        <w:rPr>
          <w:rFonts w:ascii="Book Antiqua" w:hAnsi="Book Antiqua"/>
          <w:b/>
          <w:bCs/>
        </w:rPr>
        <w:t>78</w:t>
      </w:r>
      <w:r w:rsidRPr="005F7EC5">
        <w:rPr>
          <w:rFonts w:ascii="Book Antiqua" w:hAnsi="Book Antiqua"/>
        </w:rPr>
        <w:t>: 1489-1500 [PMID: 30251173 DOI: 10.1007/s40265-018-0982-7]</w:t>
      </w:r>
    </w:p>
    <w:p w14:paraId="6AB8136E"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62 </w:t>
      </w:r>
      <w:r w:rsidRPr="005F7EC5">
        <w:rPr>
          <w:rFonts w:ascii="Book Antiqua" w:hAnsi="Book Antiqua"/>
          <w:b/>
          <w:bCs/>
        </w:rPr>
        <w:t>Derry S</w:t>
      </w:r>
      <w:r w:rsidRPr="005F7EC5">
        <w:rPr>
          <w:rFonts w:ascii="Book Antiqua" w:hAnsi="Book Antiqua"/>
        </w:rPr>
        <w:t>, Rice AS, Cole P, Tan T, Moore RA. Topical capsaicin (high concentration) for chronic neuropathic pain in adults. </w:t>
      </w:r>
      <w:r w:rsidRPr="005F7EC5">
        <w:rPr>
          <w:rFonts w:ascii="Book Antiqua" w:hAnsi="Book Antiqua"/>
          <w:i/>
          <w:iCs/>
        </w:rPr>
        <w:t>Cochrane Database Syst Rev</w:t>
      </w:r>
      <w:r w:rsidRPr="005F7EC5">
        <w:rPr>
          <w:rFonts w:ascii="Book Antiqua" w:hAnsi="Book Antiqua"/>
        </w:rPr>
        <w:t> 2017; </w:t>
      </w:r>
      <w:r w:rsidRPr="005F7EC5">
        <w:rPr>
          <w:rFonts w:ascii="Book Antiqua" w:hAnsi="Book Antiqua"/>
          <w:b/>
          <w:bCs/>
        </w:rPr>
        <w:t>1</w:t>
      </w:r>
      <w:r w:rsidRPr="005F7EC5">
        <w:rPr>
          <w:rFonts w:ascii="Book Antiqua" w:hAnsi="Book Antiqua"/>
        </w:rPr>
        <w:t>: CD007393 [PMID: 28085183 DOI: 10.1002/14651858.CD007393.pub4]</w:t>
      </w:r>
    </w:p>
    <w:p w14:paraId="32CE615E"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lastRenderedPageBreak/>
        <w:t>63 </w:t>
      </w:r>
      <w:r w:rsidRPr="005F7EC5">
        <w:rPr>
          <w:rFonts w:ascii="Book Antiqua" w:hAnsi="Book Antiqua"/>
          <w:b/>
          <w:bCs/>
        </w:rPr>
        <w:t>Persson MSM</w:t>
      </w:r>
      <w:r w:rsidRPr="005F7EC5">
        <w:rPr>
          <w:rFonts w:ascii="Book Antiqua" w:hAnsi="Book Antiqua"/>
        </w:rPr>
        <w:t>, Stocks J, Walsh DA, Doherty M, Zhang W. The relative efficacy of topical non-steroidal anti-inflammatory drugs and capsaicin in osteoarthritis: a network meta-analysis of randomised controlled trials. </w:t>
      </w:r>
      <w:r w:rsidRPr="005F7EC5">
        <w:rPr>
          <w:rFonts w:ascii="Book Antiqua" w:hAnsi="Book Antiqua"/>
          <w:i/>
          <w:iCs/>
        </w:rPr>
        <w:t>Osteoarthritis Cartilage</w:t>
      </w:r>
      <w:r w:rsidRPr="005F7EC5">
        <w:rPr>
          <w:rFonts w:ascii="Book Antiqua" w:hAnsi="Book Antiqua"/>
        </w:rPr>
        <w:t> 2018; </w:t>
      </w:r>
      <w:r w:rsidRPr="005F7EC5">
        <w:rPr>
          <w:rFonts w:ascii="Book Antiqua" w:hAnsi="Book Antiqua"/>
          <w:b/>
          <w:bCs/>
        </w:rPr>
        <w:t>26</w:t>
      </w:r>
      <w:r w:rsidRPr="005F7EC5">
        <w:rPr>
          <w:rFonts w:ascii="Book Antiqua" w:hAnsi="Book Antiqua"/>
        </w:rPr>
        <w:t>: 1575-1582 [PMID: 30172837 DOI: 10.1016/j.joca.2018.08.008]</w:t>
      </w:r>
    </w:p>
    <w:p w14:paraId="327A1709"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64 </w:t>
      </w:r>
      <w:r w:rsidRPr="005F7EC5">
        <w:rPr>
          <w:rFonts w:ascii="Book Antiqua" w:hAnsi="Book Antiqua"/>
          <w:b/>
          <w:bCs/>
        </w:rPr>
        <w:t>Yang XD</w:t>
      </w:r>
      <w:r w:rsidRPr="005F7EC5">
        <w:rPr>
          <w:rFonts w:ascii="Book Antiqua" w:hAnsi="Book Antiqua"/>
        </w:rPr>
        <w:t>, Fang PF, Xiang DX, Yang YY. Topical treatments for diabetic neuropathic pain. </w:t>
      </w:r>
      <w:r w:rsidRPr="005F7EC5">
        <w:rPr>
          <w:rFonts w:ascii="Book Antiqua" w:hAnsi="Book Antiqua"/>
          <w:i/>
          <w:iCs/>
        </w:rPr>
        <w:t>Exp Ther Med</w:t>
      </w:r>
      <w:r w:rsidRPr="005F7EC5">
        <w:rPr>
          <w:rFonts w:ascii="Book Antiqua" w:hAnsi="Book Antiqua"/>
        </w:rPr>
        <w:t> 2019; </w:t>
      </w:r>
      <w:r w:rsidRPr="005F7EC5">
        <w:rPr>
          <w:rFonts w:ascii="Book Antiqua" w:hAnsi="Book Antiqua"/>
          <w:b/>
          <w:bCs/>
        </w:rPr>
        <w:t>17</w:t>
      </w:r>
      <w:r w:rsidRPr="005F7EC5">
        <w:rPr>
          <w:rFonts w:ascii="Book Antiqua" w:hAnsi="Book Antiqua"/>
        </w:rPr>
        <w:t>: 1963-1976 [PMID: 30783472 DOI: 10.3892/etm.2019.7173]</w:t>
      </w:r>
    </w:p>
    <w:p w14:paraId="10D27D7A"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65 </w:t>
      </w:r>
      <w:r w:rsidRPr="005F7EC5">
        <w:rPr>
          <w:rFonts w:ascii="Book Antiqua" w:hAnsi="Book Antiqua"/>
          <w:b/>
          <w:bCs/>
        </w:rPr>
        <w:t>Mick G</w:t>
      </w:r>
      <w:r w:rsidRPr="005F7EC5">
        <w:rPr>
          <w:rFonts w:ascii="Book Antiqua" w:hAnsi="Book Antiqua"/>
        </w:rPr>
        <w:t>, Correa-Illanes G. Topical pain management with the 5% lidocaine medicated plaster--a review. </w:t>
      </w:r>
      <w:r w:rsidRPr="005F7EC5">
        <w:rPr>
          <w:rFonts w:ascii="Book Antiqua" w:hAnsi="Book Antiqua"/>
          <w:i/>
          <w:iCs/>
        </w:rPr>
        <w:t>Curr Med Res Opin</w:t>
      </w:r>
      <w:r w:rsidRPr="005F7EC5">
        <w:rPr>
          <w:rFonts w:ascii="Book Antiqua" w:hAnsi="Book Antiqua"/>
        </w:rPr>
        <w:t> 2012; </w:t>
      </w:r>
      <w:r w:rsidRPr="005F7EC5">
        <w:rPr>
          <w:rFonts w:ascii="Book Antiqua" w:hAnsi="Book Antiqua"/>
          <w:b/>
          <w:bCs/>
        </w:rPr>
        <w:t>28</w:t>
      </w:r>
      <w:r w:rsidRPr="005F7EC5">
        <w:rPr>
          <w:rFonts w:ascii="Book Antiqua" w:hAnsi="Book Antiqua"/>
        </w:rPr>
        <w:t>: 937-951 [PMID: 22551228 DOI: 10.1185/03007995.2012.690339]</w:t>
      </w:r>
    </w:p>
    <w:p w14:paraId="7624768D"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66 </w:t>
      </w:r>
      <w:r w:rsidRPr="005F7EC5">
        <w:rPr>
          <w:rFonts w:ascii="Book Antiqua" w:hAnsi="Book Antiqua"/>
          <w:b/>
          <w:bCs/>
        </w:rPr>
        <w:t>de León-Casasola OA</w:t>
      </w:r>
      <w:r w:rsidRPr="005F7EC5">
        <w:rPr>
          <w:rFonts w:ascii="Book Antiqua" w:hAnsi="Book Antiqua"/>
        </w:rPr>
        <w:t>, Mayoral V. The topical 5% lidocaine medicated plaster in localized neuropathic pain: a reappraisal of the clinical evidence. </w:t>
      </w:r>
      <w:r w:rsidRPr="005F7EC5">
        <w:rPr>
          <w:rFonts w:ascii="Book Antiqua" w:hAnsi="Book Antiqua"/>
          <w:i/>
          <w:iCs/>
        </w:rPr>
        <w:t>J Pain Res</w:t>
      </w:r>
      <w:r w:rsidRPr="005F7EC5">
        <w:rPr>
          <w:rFonts w:ascii="Book Antiqua" w:hAnsi="Book Antiqua"/>
        </w:rPr>
        <w:t> 2016; </w:t>
      </w:r>
      <w:r w:rsidRPr="005F7EC5">
        <w:rPr>
          <w:rFonts w:ascii="Book Antiqua" w:hAnsi="Book Antiqua"/>
          <w:b/>
          <w:bCs/>
        </w:rPr>
        <w:t>9</w:t>
      </w:r>
      <w:r w:rsidRPr="005F7EC5">
        <w:rPr>
          <w:rFonts w:ascii="Book Antiqua" w:hAnsi="Book Antiqua"/>
        </w:rPr>
        <w:t>: 67-79 [PMID: 26929664 DOI: 10.2147/JPR.S99231]</w:t>
      </w:r>
    </w:p>
    <w:p w14:paraId="6FE4F921"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67 </w:t>
      </w:r>
      <w:r w:rsidRPr="005F7EC5">
        <w:rPr>
          <w:rFonts w:ascii="Book Antiqua" w:hAnsi="Book Antiqua"/>
          <w:b/>
          <w:bCs/>
        </w:rPr>
        <w:t>Sabatowski R</w:t>
      </w:r>
      <w:r w:rsidRPr="005F7EC5">
        <w:rPr>
          <w:rFonts w:ascii="Book Antiqua" w:hAnsi="Book Antiqua"/>
        </w:rPr>
        <w:t>, Hans G, Tacken I, Kapanadze S, Buchheister B, Baron R. Safety and efficacy outcomes of long-term treatment up to 4 years with 5% lidocaine medicated plaster in patients with post-herpetic neuralgia. </w:t>
      </w:r>
      <w:r w:rsidRPr="005F7EC5">
        <w:rPr>
          <w:rFonts w:ascii="Book Antiqua" w:hAnsi="Book Antiqua"/>
          <w:i/>
          <w:iCs/>
        </w:rPr>
        <w:t>Curr Med Res Opin</w:t>
      </w:r>
      <w:r w:rsidRPr="005F7EC5">
        <w:rPr>
          <w:rFonts w:ascii="Book Antiqua" w:hAnsi="Book Antiqua"/>
        </w:rPr>
        <w:t> 2012; </w:t>
      </w:r>
      <w:r w:rsidRPr="005F7EC5">
        <w:rPr>
          <w:rFonts w:ascii="Book Antiqua" w:hAnsi="Book Antiqua"/>
          <w:b/>
          <w:bCs/>
        </w:rPr>
        <w:t>28</w:t>
      </w:r>
      <w:r w:rsidRPr="005F7EC5">
        <w:rPr>
          <w:rFonts w:ascii="Book Antiqua" w:hAnsi="Book Antiqua"/>
        </w:rPr>
        <w:t>: 1337-1346 [PMID: 22769236 DOI: 10.1185/03007995.2012.707977]</w:t>
      </w:r>
    </w:p>
    <w:p w14:paraId="3E365535"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68 </w:t>
      </w:r>
      <w:r w:rsidRPr="005F7EC5">
        <w:rPr>
          <w:rFonts w:ascii="Book Antiqua" w:hAnsi="Book Antiqua"/>
          <w:b/>
          <w:bCs/>
        </w:rPr>
        <w:t>Hans G</w:t>
      </w:r>
      <w:r w:rsidRPr="005F7EC5">
        <w:rPr>
          <w:rFonts w:ascii="Book Antiqua" w:hAnsi="Book Antiqua"/>
        </w:rPr>
        <w:t>, Sabatowski R, Binder A, Boesl I, Rogers P, Baron R. Efficacy and tolerability of a 5% lidocaine medicated plaster for the topical treatment of post-herpetic neuralgia: results of a long-term study. </w:t>
      </w:r>
      <w:r w:rsidRPr="005F7EC5">
        <w:rPr>
          <w:rFonts w:ascii="Book Antiqua" w:hAnsi="Book Antiqua"/>
          <w:i/>
          <w:iCs/>
        </w:rPr>
        <w:t>Curr Med Res Opin</w:t>
      </w:r>
      <w:r w:rsidRPr="005F7EC5">
        <w:rPr>
          <w:rFonts w:ascii="Book Antiqua" w:hAnsi="Book Antiqua"/>
        </w:rPr>
        <w:t> 2009; </w:t>
      </w:r>
      <w:r w:rsidRPr="005F7EC5">
        <w:rPr>
          <w:rFonts w:ascii="Book Antiqua" w:hAnsi="Book Antiqua"/>
          <w:b/>
          <w:bCs/>
        </w:rPr>
        <w:t>25</w:t>
      </w:r>
      <w:r w:rsidRPr="005F7EC5">
        <w:rPr>
          <w:rFonts w:ascii="Book Antiqua" w:hAnsi="Book Antiqua"/>
        </w:rPr>
        <w:t>: 1295-1305 [PMID: 19366301 DOI: 10.1185/03007990902901368]</w:t>
      </w:r>
    </w:p>
    <w:p w14:paraId="456FB396"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69 </w:t>
      </w:r>
      <w:r w:rsidRPr="005F7EC5">
        <w:rPr>
          <w:rFonts w:ascii="Book Antiqua" w:hAnsi="Book Antiqua"/>
          <w:b/>
          <w:bCs/>
        </w:rPr>
        <w:t>Derry S</w:t>
      </w:r>
      <w:r w:rsidRPr="005F7EC5">
        <w:rPr>
          <w:rFonts w:ascii="Book Antiqua" w:hAnsi="Book Antiqua"/>
        </w:rPr>
        <w:t>, Wiffen PJ, Moore RA, Quinlan J. Topical lidocaine for neuropathic pain in adults. </w:t>
      </w:r>
      <w:r w:rsidRPr="005F7EC5">
        <w:rPr>
          <w:rFonts w:ascii="Book Antiqua" w:hAnsi="Book Antiqua"/>
          <w:i/>
          <w:iCs/>
        </w:rPr>
        <w:t>Cochrane Database Syst Rev</w:t>
      </w:r>
      <w:r w:rsidRPr="005F7EC5">
        <w:rPr>
          <w:rFonts w:ascii="Book Antiqua" w:hAnsi="Book Antiqua"/>
        </w:rPr>
        <w:t> 2014: CD010958 [</w:t>
      </w:r>
      <w:bookmarkStart w:id="134" w:name="OLE_LINK45"/>
      <w:bookmarkStart w:id="135" w:name="OLE_LINK46"/>
      <w:r w:rsidRPr="005F7EC5">
        <w:rPr>
          <w:rFonts w:ascii="Book Antiqua" w:hAnsi="Book Antiqua"/>
        </w:rPr>
        <w:t>PMID: 25058164</w:t>
      </w:r>
      <w:bookmarkEnd w:id="134"/>
      <w:bookmarkEnd w:id="135"/>
      <w:r w:rsidRPr="005F7EC5">
        <w:rPr>
          <w:rFonts w:ascii="Book Antiqua" w:hAnsi="Book Antiqua"/>
        </w:rPr>
        <w:t xml:space="preserve"> </w:t>
      </w:r>
      <w:r w:rsidR="006377FA" w:rsidRPr="005F7EC5">
        <w:rPr>
          <w:rFonts w:ascii="Book Antiqua" w:hAnsi="Book Antiqua"/>
        </w:rPr>
        <w:t>DOI: 10.1002/14651858.CD010958.pub2</w:t>
      </w:r>
      <w:r w:rsidRPr="005F7EC5">
        <w:rPr>
          <w:rFonts w:ascii="Book Antiqua" w:hAnsi="Book Antiqua"/>
        </w:rPr>
        <w:t>]</w:t>
      </w:r>
    </w:p>
    <w:p w14:paraId="69495975"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70 </w:t>
      </w:r>
      <w:r w:rsidRPr="005F7EC5">
        <w:rPr>
          <w:rFonts w:ascii="Book Antiqua" w:hAnsi="Book Antiqua"/>
          <w:b/>
          <w:bCs/>
        </w:rPr>
        <w:t>Finnerup NB</w:t>
      </w:r>
      <w:r w:rsidRPr="005F7EC5">
        <w:rPr>
          <w:rFonts w:ascii="Book Antiqua" w:hAnsi="Book Antiqua"/>
        </w:rPr>
        <w:t>, Attal N, Haroutounian S, McNicol E, Baron R, Dworkin RH, Gilron I, Haanpää M, Hansson P, Jensen TS, Kamerman PR, Lund K, Moore A, Raja SN, Rice AS, Rowbotham M, Sena E, Siddall P, Smith BH, Wallace M. Pharmacotherapy for neuropathic pain in adults: a systematic review and meta-analysis. </w:t>
      </w:r>
      <w:r w:rsidRPr="005F7EC5">
        <w:rPr>
          <w:rFonts w:ascii="Book Antiqua" w:hAnsi="Book Antiqua"/>
          <w:i/>
          <w:iCs/>
        </w:rPr>
        <w:t>Lancet Neurol</w:t>
      </w:r>
      <w:r w:rsidRPr="005F7EC5">
        <w:rPr>
          <w:rFonts w:ascii="Book Antiqua" w:hAnsi="Book Antiqua"/>
        </w:rPr>
        <w:t> 2015; </w:t>
      </w:r>
      <w:r w:rsidRPr="005F7EC5">
        <w:rPr>
          <w:rFonts w:ascii="Book Antiqua" w:hAnsi="Book Antiqua"/>
          <w:b/>
          <w:bCs/>
        </w:rPr>
        <w:t>14</w:t>
      </w:r>
      <w:r w:rsidRPr="005F7EC5">
        <w:rPr>
          <w:rFonts w:ascii="Book Antiqua" w:hAnsi="Book Antiqua"/>
        </w:rPr>
        <w:t>: 162-173 [PMID: 25575710 DOI: 10.1016/S1474-4422(14)70251-0]</w:t>
      </w:r>
    </w:p>
    <w:p w14:paraId="3DF9C0C9"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71 </w:t>
      </w:r>
      <w:r w:rsidRPr="005F7EC5">
        <w:rPr>
          <w:rFonts w:ascii="Book Antiqua" w:hAnsi="Book Antiqua"/>
          <w:b/>
          <w:bCs/>
        </w:rPr>
        <w:t>Azevedo VM</w:t>
      </w:r>
      <w:r w:rsidRPr="005F7EC5">
        <w:rPr>
          <w:rFonts w:ascii="Book Antiqua" w:hAnsi="Book Antiqua"/>
        </w:rPr>
        <w:t xml:space="preserve">, Lauretti GR, Pereira NL, Reis MP. Transdermal ketamine as an adjuvant for postoperative analgesia after abdominal gynecological surgery using lidocaine </w:t>
      </w:r>
      <w:r w:rsidRPr="005F7EC5">
        <w:rPr>
          <w:rFonts w:ascii="Book Antiqua" w:hAnsi="Book Antiqua"/>
        </w:rPr>
        <w:lastRenderedPageBreak/>
        <w:t>epidural blockade. </w:t>
      </w:r>
      <w:r w:rsidRPr="005F7EC5">
        <w:rPr>
          <w:rFonts w:ascii="Book Antiqua" w:hAnsi="Book Antiqua"/>
          <w:i/>
          <w:iCs/>
        </w:rPr>
        <w:t>Anesth Analg</w:t>
      </w:r>
      <w:r w:rsidRPr="005F7EC5">
        <w:rPr>
          <w:rFonts w:ascii="Book Antiqua" w:hAnsi="Book Antiqua"/>
        </w:rPr>
        <w:t> 2000; </w:t>
      </w:r>
      <w:r w:rsidRPr="005F7EC5">
        <w:rPr>
          <w:rFonts w:ascii="Book Antiqua" w:hAnsi="Book Antiqua"/>
          <w:b/>
          <w:bCs/>
        </w:rPr>
        <w:t>91</w:t>
      </w:r>
      <w:r w:rsidRPr="005F7EC5">
        <w:rPr>
          <w:rFonts w:ascii="Book Antiqua" w:hAnsi="Book Antiqua"/>
        </w:rPr>
        <w:t>: 1479-1482 [PMID: 11094004 DOI: 10.1097/00000539-200012000-00034]</w:t>
      </w:r>
    </w:p>
    <w:p w14:paraId="3165AC59"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72 </w:t>
      </w:r>
      <w:r w:rsidRPr="005F7EC5">
        <w:rPr>
          <w:rFonts w:ascii="Book Antiqua" w:hAnsi="Book Antiqua"/>
          <w:b/>
          <w:bCs/>
        </w:rPr>
        <w:t>Pickering G</w:t>
      </w:r>
      <w:r w:rsidRPr="005F7EC5">
        <w:rPr>
          <w:rFonts w:ascii="Book Antiqua" w:hAnsi="Book Antiqua"/>
        </w:rPr>
        <w:t>, Martin E, Tiberghien F, Delorme C, Mick G. Localized neuropathic pain: an expert consensus on local treatments. </w:t>
      </w:r>
      <w:r w:rsidRPr="005F7EC5">
        <w:rPr>
          <w:rFonts w:ascii="Book Antiqua" w:hAnsi="Book Antiqua"/>
          <w:i/>
          <w:iCs/>
        </w:rPr>
        <w:t>Drug Des Devel Ther</w:t>
      </w:r>
      <w:r w:rsidRPr="005F7EC5">
        <w:rPr>
          <w:rFonts w:ascii="Book Antiqua" w:hAnsi="Book Antiqua"/>
        </w:rPr>
        <w:t> 2017; </w:t>
      </w:r>
      <w:r w:rsidRPr="005F7EC5">
        <w:rPr>
          <w:rFonts w:ascii="Book Antiqua" w:hAnsi="Book Antiqua"/>
          <w:b/>
          <w:bCs/>
        </w:rPr>
        <w:t>11</w:t>
      </w:r>
      <w:r w:rsidRPr="005F7EC5">
        <w:rPr>
          <w:rFonts w:ascii="Book Antiqua" w:hAnsi="Book Antiqua"/>
        </w:rPr>
        <w:t>: 2709-2718 [PMID: 29066862 DOI: 10.2147/DDDT.S142630]</w:t>
      </w:r>
    </w:p>
    <w:p w14:paraId="24919731"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73 </w:t>
      </w:r>
      <w:r w:rsidRPr="005F7EC5">
        <w:rPr>
          <w:rFonts w:ascii="Book Antiqua" w:hAnsi="Book Antiqua"/>
          <w:b/>
          <w:bCs/>
        </w:rPr>
        <w:t>Rascol O</w:t>
      </w:r>
      <w:r w:rsidRPr="005F7EC5">
        <w:rPr>
          <w:rFonts w:ascii="Book Antiqua" w:hAnsi="Book Antiqua"/>
        </w:rPr>
        <w:t>, Zesiewicz T, Chaudhuri KR, Asgharnejad M, Surmann E, Dohin E, Nilius S, Bauer L. A Randomized Controlled Exploratory Pilot Study to Evaluate the Effect of Rotigotine Transdermal Patch on Parkinson's Disease-Associated Chronic Pain. </w:t>
      </w:r>
      <w:r w:rsidRPr="005F7EC5">
        <w:rPr>
          <w:rFonts w:ascii="Book Antiqua" w:hAnsi="Book Antiqua"/>
          <w:i/>
          <w:iCs/>
        </w:rPr>
        <w:t>J Clin Pharmacol</w:t>
      </w:r>
      <w:r w:rsidRPr="005F7EC5">
        <w:rPr>
          <w:rFonts w:ascii="Book Antiqua" w:hAnsi="Book Antiqua"/>
        </w:rPr>
        <w:t> 2016; </w:t>
      </w:r>
      <w:r w:rsidRPr="005F7EC5">
        <w:rPr>
          <w:rFonts w:ascii="Book Antiqua" w:hAnsi="Book Antiqua"/>
          <w:b/>
          <w:bCs/>
        </w:rPr>
        <w:t>56</w:t>
      </w:r>
      <w:r w:rsidRPr="005F7EC5">
        <w:rPr>
          <w:rFonts w:ascii="Book Antiqua" w:hAnsi="Book Antiqua"/>
        </w:rPr>
        <w:t>: 852-861 [PMID: 26626320 DOI: 10.1002/jcph.678]</w:t>
      </w:r>
    </w:p>
    <w:p w14:paraId="006209DF"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74 </w:t>
      </w:r>
      <w:r w:rsidRPr="005F7EC5">
        <w:rPr>
          <w:rFonts w:ascii="Book Antiqua" w:hAnsi="Book Antiqua"/>
          <w:b/>
          <w:bCs/>
        </w:rPr>
        <w:t>Gerner P</w:t>
      </w:r>
      <w:r w:rsidRPr="005F7EC5">
        <w:rPr>
          <w:rFonts w:ascii="Book Antiqua" w:hAnsi="Book Antiqua"/>
        </w:rPr>
        <w:t>, Kao G, Srinivasa V, Narang S, Wang GK. Topical amitriptyline in healthy volunteers. </w:t>
      </w:r>
      <w:r w:rsidRPr="005F7EC5">
        <w:rPr>
          <w:rFonts w:ascii="Book Antiqua" w:hAnsi="Book Antiqua"/>
          <w:i/>
          <w:iCs/>
        </w:rPr>
        <w:t>Reg Anesth Pain Med</w:t>
      </w:r>
      <w:r w:rsidRPr="005F7EC5">
        <w:rPr>
          <w:rFonts w:ascii="Book Antiqua" w:hAnsi="Book Antiqua"/>
        </w:rPr>
        <w:t> 2003; </w:t>
      </w:r>
      <w:r w:rsidRPr="005F7EC5">
        <w:rPr>
          <w:rFonts w:ascii="Book Antiqua" w:hAnsi="Book Antiqua"/>
          <w:b/>
          <w:bCs/>
        </w:rPr>
        <w:t>28</w:t>
      </w:r>
      <w:r w:rsidRPr="005F7EC5">
        <w:rPr>
          <w:rFonts w:ascii="Book Antiqua" w:hAnsi="Book Antiqua"/>
        </w:rPr>
        <w:t>: 289-293 [PMID: 12945021 DOI: 10.1016/s1098-7339(03)00209-8]</w:t>
      </w:r>
    </w:p>
    <w:p w14:paraId="4C216609" w14:textId="474476ED"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highlight w:val="yellow"/>
        </w:rPr>
        <w:t>75 </w:t>
      </w:r>
      <w:r w:rsidRPr="005F7EC5">
        <w:rPr>
          <w:rFonts w:ascii="Book Antiqua" w:hAnsi="Book Antiqua"/>
          <w:b/>
          <w:bCs/>
          <w:highlight w:val="yellow"/>
        </w:rPr>
        <w:t xml:space="preserve">US Food and Drug Administration. </w:t>
      </w:r>
      <w:r w:rsidRPr="005F7EC5">
        <w:rPr>
          <w:rFonts w:ascii="Book Antiqua" w:hAnsi="Book Antiqua"/>
          <w:bCs/>
          <w:highlight w:val="yellow"/>
        </w:rPr>
        <w:t>Catapres-TTS</w:t>
      </w:r>
      <w:r w:rsidRPr="005F7EC5">
        <w:rPr>
          <w:rFonts w:ascii="Book Antiqua" w:hAnsi="Book Antiqua"/>
          <w:bCs/>
          <w:highlight w:val="yellow"/>
          <w:vertAlign w:val="superscript"/>
        </w:rPr>
        <w:t>®</w:t>
      </w:r>
      <w:r w:rsidRPr="005F7EC5">
        <w:rPr>
          <w:rFonts w:ascii="Book Antiqua" w:hAnsi="Book Antiqua"/>
          <w:bCs/>
          <w:highlight w:val="yellow"/>
        </w:rPr>
        <w:t xml:space="preserve"> label information. </w:t>
      </w:r>
      <w:r w:rsidR="00B24292" w:rsidRPr="005F7EC5">
        <w:rPr>
          <w:rFonts w:ascii="Book Antiqua" w:hAnsi="Book Antiqua"/>
          <w:highlight w:val="yellow"/>
        </w:rPr>
        <w:t xml:space="preserve">August 10, 2019. </w:t>
      </w:r>
      <w:r w:rsidR="00E104A4" w:rsidRPr="005F7EC5">
        <w:rPr>
          <w:rFonts w:ascii="Book Antiqua" w:hAnsi="Book Antiqua"/>
          <w:highlight w:val="yellow"/>
        </w:rPr>
        <w:t xml:space="preserve">[cited 30 November 2020]. </w:t>
      </w:r>
      <w:r w:rsidR="00B24292" w:rsidRPr="005F7EC5">
        <w:rPr>
          <w:rFonts w:ascii="Book Antiqua" w:hAnsi="Book Antiqua"/>
          <w:highlight w:val="yellow"/>
        </w:rPr>
        <w:t xml:space="preserve">Available from: </w:t>
      </w:r>
      <w:r w:rsidRPr="005F7EC5">
        <w:rPr>
          <w:rFonts w:ascii="Book Antiqua" w:hAnsi="Book Antiqua"/>
          <w:bCs/>
          <w:highlight w:val="yellow"/>
        </w:rPr>
        <w:t>https://www.accessdata.fda.gov/drugsatfda_doc</w:t>
      </w:r>
      <w:r w:rsidR="00B24292" w:rsidRPr="005F7EC5">
        <w:rPr>
          <w:rFonts w:ascii="Book Antiqua" w:hAnsi="Book Antiqua"/>
          <w:bCs/>
          <w:highlight w:val="yellow"/>
        </w:rPr>
        <w:t>s/Label/2012/018891s028 Lbl.pdf</w:t>
      </w:r>
    </w:p>
    <w:p w14:paraId="38543FB0"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76 </w:t>
      </w:r>
      <w:r w:rsidRPr="005F7EC5">
        <w:rPr>
          <w:rFonts w:ascii="Book Antiqua" w:hAnsi="Book Antiqua"/>
          <w:b/>
          <w:bCs/>
        </w:rPr>
        <w:t>Knezevic NN</w:t>
      </w:r>
      <w:r w:rsidRPr="005F7EC5">
        <w:rPr>
          <w:rFonts w:ascii="Book Antiqua" w:hAnsi="Book Antiqua"/>
        </w:rPr>
        <w:t>, Tverdohleb T, Nikibin F, Knezevic I, Candido KD. Management of chronic neuropathic pain with single and compounded topical analgesics. </w:t>
      </w:r>
      <w:r w:rsidRPr="005F7EC5">
        <w:rPr>
          <w:rFonts w:ascii="Book Antiqua" w:hAnsi="Book Antiqua"/>
          <w:i/>
          <w:iCs/>
        </w:rPr>
        <w:t>Pain Manag</w:t>
      </w:r>
      <w:r w:rsidRPr="005F7EC5">
        <w:rPr>
          <w:rFonts w:ascii="Book Antiqua" w:hAnsi="Book Antiqua"/>
        </w:rPr>
        <w:t> 2017; </w:t>
      </w:r>
      <w:r w:rsidRPr="005F7EC5">
        <w:rPr>
          <w:rFonts w:ascii="Book Antiqua" w:hAnsi="Book Antiqua"/>
          <w:b/>
          <w:bCs/>
        </w:rPr>
        <w:t>7</w:t>
      </w:r>
      <w:r w:rsidRPr="005F7EC5">
        <w:rPr>
          <w:rFonts w:ascii="Book Antiqua" w:hAnsi="Book Antiqua"/>
        </w:rPr>
        <w:t>: 537-558 [PMID: 29125423 DOI: 10.2217/pmt-2017-0020]</w:t>
      </w:r>
    </w:p>
    <w:p w14:paraId="131C11B1" w14:textId="77777777" w:rsidR="00E60A5A" w:rsidRPr="005F7EC5" w:rsidRDefault="00E60A5A" w:rsidP="005F7EC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F7EC5">
        <w:rPr>
          <w:rFonts w:ascii="Book Antiqua" w:hAnsi="Book Antiqua"/>
        </w:rPr>
        <w:t>77 </w:t>
      </w:r>
      <w:r w:rsidRPr="005F7EC5">
        <w:rPr>
          <w:rFonts w:ascii="Book Antiqua" w:hAnsi="Book Antiqua"/>
          <w:b/>
          <w:bCs/>
        </w:rPr>
        <w:t>Wrzosek A</w:t>
      </w:r>
      <w:r w:rsidRPr="005F7EC5">
        <w:rPr>
          <w:rFonts w:ascii="Book Antiqua" w:hAnsi="Book Antiqua"/>
        </w:rPr>
        <w:t>, Woron J, Dobrogowski J, Jakowicka-Wordliczek J, Wordliczek J. Topical clonidine for neuropathic pain. </w:t>
      </w:r>
      <w:r w:rsidRPr="005F7EC5">
        <w:rPr>
          <w:rFonts w:ascii="Book Antiqua" w:hAnsi="Book Antiqua"/>
          <w:i/>
          <w:iCs/>
        </w:rPr>
        <w:t>Cochrane Database Syst Rev</w:t>
      </w:r>
      <w:r w:rsidRPr="005F7EC5">
        <w:rPr>
          <w:rFonts w:ascii="Book Antiqua" w:hAnsi="Book Antiqua"/>
        </w:rPr>
        <w:t> 2015; </w:t>
      </w:r>
      <w:r w:rsidRPr="005F7EC5">
        <w:rPr>
          <w:rFonts w:ascii="Book Antiqua" w:hAnsi="Book Antiqua"/>
          <w:b/>
          <w:bCs/>
        </w:rPr>
        <w:t>8</w:t>
      </w:r>
      <w:r w:rsidRPr="005F7EC5">
        <w:rPr>
          <w:rFonts w:ascii="Book Antiqua" w:hAnsi="Book Antiqua"/>
        </w:rPr>
        <w:t>: CD010967 [PMID: 26329307 DOI: 10.1002/14651858.CD010967.pub2]</w:t>
      </w:r>
      <w:bookmarkEnd w:id="98"/>
      <w:bookmarkEnd w:id="99"/>
      <w:bookmarkEnd w:id="100"/>
    </w:p>
    <w:bookmarkEnd w:id="97"/>
    <w:bookmarkEnd w:id="101"/>
    <w:p w14:paraId="36DF631B" w14:textId="77777777" w:rsidR="00A77B3E" w:rsidRPr="005F7EC5" w:rsidRDefault="00A77B3E" w:rsidP="005F7EC5">
      <w:pPr>
        <w:spacing w:line="360" w:lineRule="auto"/>
        <w:jc w:val="both"/>
        <w:sectPr w:rsidR="00A77B3E" w:rsidRPr="005F7EC5">
          <w:pgSz w:w="12240" w:h="15840"/>
          <w:pgMar w:top="1440" w:right="1440" w:bottom="1440" w:left="1440" w:header="720" w:footer="720" w:gutter="0"/>
          <w:cols w:space="720"/>
          <w:docGrid w:linePitch="360"/>
        </w:sectPr>
      </w:pPr>
    </w:p>
    <w:p w14:paraId="32E9D84E" w14:textId="77777777" w:rsidR="00A77B3E" w:rsidRPr="005F7EC5" w:rsidRDefault="00FA2DBE" w:rsidP="005F7EC5">
      <w:pPr>
        <w:spacing w:line="360" w:lineRule="auto"/>
        <w:jc w:val="both"/>
      </w:pPr>
      <w:r w:rsidRPr="005F7EC5">
        <w:rPr>
          <w:rFonts w:ascii="Book Antiqua" w:eastAsia="Book Antiqua" w:hAnsi="Book Antiqua" w:cs="Book Antiqua"/>
          <w:b/>
          <w:color w:val="000000"/>
        </w:rPr>
        <w:lastRenderedPageBreak/>
        <w:t>Footnotes</w:t>
      </w:r>
    </w:p>
    <w:p w14:paraId="501BE57A" w14:textId="2AAE971D"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Conflict-of-interest statement: </w:t>
      </w:r>
      <w:r w:rsidR="00F741A0">
        <w:rPr>
          <w:rStyle w:val="translated-span"/>
          <w:rFonts w:ascii="Book Antiqua" w:eastAsia="Book Antiqua" w:hAnsi="Book Antiqua" w:cs="Book Antiqua"/>
          <w:color w:val="000000"/>
        </w:rPr>
        <w:t>The a</w:t>
      </w:r>
      <w:r w:rsidRPr="005F7EC5">
        <w:rPr>
          <w:rStyle w:val="translated-span"/>
          <w:rFonts w:ascii="Book Antiqua" w:eastAsia="Book Antiqua" w:hAnsi="Book Antiqua" w:cs="Book Antiqua"/>
          <w:color w:val="000000"/>
        </w:rPr>
        <w:t>uthors declare no conflict of interests for this article.</w:t>
      </w:r>
    </w:p>
    <w:p w14:paraId="593F5B8D" w14:textId="77777777" w:rsidR="00A77B3E" w:rsidRPr="005F7EC5" w:rsidRDefault="00A77B3E" w:rsidP="005F7EC5">
      <w:pPr>
        <w:spacing w:line="360" w:lineRule="auto"/>
        <w:jc w:val="both"/>
      </w:pPr>
    </w:p>
    <w:p w14:paraId="6EA80F14" w14:textId="77777777" w:rsidR="00A77B3E" w:rsidRPr="005F7EC5" w:rsidRDefault="00FA2DBE" w:rsidP="005F7EC5">
      <w:pPr>
        <w:spacing w:line="360" w:lineRule="auto"/>
        <w:jc w:val="both"/>
      </w:pPr>
      <w:r w:rsidRPr="005F7EC5">
        <w:rPr>
          <w:rFonts w:ascii="Book Antiqua" w:eastAsia="Book Antiqua" w:hAnsi="Book Antiqua" w:cs="Book Antiqua"/>
          <w:b/>
          <w:bCs/>
          <w:color w:val="000000"/>
        </w:rPr>
        <w:t xml:space="preserve">Open-Access: </w:t>
      </w:r>
      <w:r w:rsidRPr="005F7EC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5770D2" w14:textId="77777777" w:rsidR="00A77B3E" w:rsidRPr="005F7EC5" w:rsidRDefault="00A77B3E" w:rsidP="005F7EC5">
      <w:pPr>
        <w:spacing w:line="360" w:lineRule="auto"/>
        <w:jc w:val="both"/>
      </w:pPr>
    </w:p>
    <w:p w14:paraId="758FFA2F" w14:textId="15154E3F" w:rsidR="00A77B3E" w:rsidRPr="005F7EC5" w:rsidRDefault="00FA2DBE" w:rsidP="005F7EC5">
      <w:pPr>
        <w:spacing w:line="360" w:lineRule="auto"/>
        <w:jc w:val="both"/>
      </w:pPr>
      <w:r w:rsidRPr="005F7EC5">
        <w:rPr>
          <w:rFonts w:ascii="Book Antiqua" w:eastAsia="Book Antiqua" w:hAnsi="Book Antiqua" w:cs="Book Antiqua"/>
          <w:b/>
          <w:color w:val="000000"/>
        </w:rPr>
        <w:t xml:space="preserve">Manuscript source: </w:t>
      </w:r>
      <w:r w:rsidR="009B6ADC" w:rsidRPr="005F7EC5">
        <w:rPr>
          <w:rFonts w:ascii="Book Antiqua" w:eastAsia="Book Antiqua" w:hAnsi="Book Antiqua" w:cs="Book Antiqua"/>
          <w:color w:val="000000"/>
        </w:rPr>
        <w:t>Unsolicited manuscript</w:t>
      </w:r>
    </w:p>
    <w:p w14:paraId="2F7DCB5F" w14:textId="77777777" w:rsidR="00A77B3E" w:rsidRPr="005F7EC5" w:rsidRDefault="00A77B3E" w:rsidP="005F7EC5">
      <w:pPr>
        <w:spacing w:line="360" w:lineRule="auto"/>
        <w:jc w:val="both"/>
      </w:pPr>
    </w:p>
    <w:p w14:paraId="07EFBD61"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Peer-review started: </w:t>
      </w:r>
      <w:r w:rsidRPr="005F7EC5">
        <w:rPr>
          <w:rFonts w:ascii="Book Antiqua" w:eastAsia="Book Antiqua" w:hAnsi="Book Antiqua" w:cs="Book Antiqua"/>
          <w:color w:val="000000"/>
        </w:rPr>
        <w:t>November 30, 2020</w:t>
      </w:r>
    </w:p>
    <w:p w14:paraId="1340D8C1"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First decision: </w:t>
      </w:r>
      <w:r w:rsidRPr="005F7EC5">
        <w:rPr>
          <w:rFonts w:ascii="Book Antiqua" w:eastAsia="Book Antiqua" w:hAnsi="Book Antiqua" w:cs="Book Antiqua"/>
          <w:color w:val="000000"/>
        </w:rPr>
        <w:t>January 29, 2021</w:t>
      </w:r>
    </w:p>
    <w:p w14:paraId="39C82587"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Article in press: </w:t>
      </w:r>
    </w:p>
    <w:p w14:paraId="4E547579" w14:textId="77777777" w:rsidR="00A77B3E" w:rsidRPr="005F7EC5" w:rsidRDefault="00A77B3E" w:rsidP="005F7EC5">
      <w:pPr>
        <w:spacing w:line="360" w:lineRule="auto"/>
        <w:jc w:val="both"/>
      </w:pPr>
    </w:p>
    <w:p w14:paraId="192B7D19"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Specialty type: </w:t>
      </w:r>
      <w:r w:rsidRPr="005F7EC5">
        <w:rPr>
          <w:rFonts w:ascii="Book Antiqua" w:eastAsia="Book Antiqua" w:hAnsi="Book Antiqua" w:cs="Book Antiqua"/>
          <w:color w:val="000000"/>
        </w:rPr>
        <w:t xml:space="preserve">Pharmacology and </w:t>
      </w:r>
      <w:r w:rsidR="0091117B" w:rsidRPr="005F7EC5">
        <w:rPr>
          <w:rFonts w:ascii="Book Antiqua" w:eastAsia="Book Antiqua" w:hAnsi="Book Antiqua" w:cs="Book Antiqua"/>
          <w:color w:val="000000"/>
        </w:rPr>
        <w:t>pharmacy</w:t>
      </w:r>
    </w:p>
    <w:p w14:paraId="346AEF44"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 xml:space="preserve">Country/Territory of origin: </w:t>
      </w:r>
      <w:r w:rsidRPr="005F7EC5">
        <w:rPr>
          <w:rFonts w:ascii="Book Antiqua" w:eastAsia="Book Antiqua" w:hAnsi="Book Antiqua" w:cs="Book Antiqua"/>
          <w:color w:val="000000"/>
        </w:rPr>
        <w:t>China</w:t>
      </w:r>
    </w:p>
    <w:p w14:paraId="0569CC9D" w14:textId="77777777" w:rsidR="00A77B3E" w:rsidRPr="005F7EC5" w:rsidRDefault="00FA2DBE" w:rsidP="005F7EC5">
      <w:pPr>
        <w:spacing w:line="360" w:lineRule="auto"/>
        <w:jc w:val="both"/>
      </w:pPr>
      <w:r w:rsidRPr="005F7EC5">
        <w:rPr>
          <w:rFonts w:ascii="Book Antiqua" w:eastAsia="Book Antiqua" w:hAnsi="Book Antiqua" w:cs="Book Antiqua"/>
          <w:b/>
          <w:color w:val="000000"/>
        </w:rPr>
        <w:t>Peer-review report’s scientific quality classification</w:t>
      </w:r>
    </w:p>
    <w:p w14:paraId="46DB4C65" w14:textId="77777777" w:rsidR="00A77B3E" w:rsidRPr="005F7EC5" w:rsidRDefault="00FA2DBE" w:rsidP="005F7EC5">
      <w:pPr>
        <w:spacing w:line="360" w:lineRule="auto"/>
        <w:jc w:val="both"/>
      </w:pPr>
      <w:r w:rsidRPr="005F7EC5">
        <w:rPr>
          <w:rFonts w:ascii="Book Antiqua" w:eastAsia="Book Antiqua" w:hAnsi="Book Antiqua" w:cs="Book Antiqua"/>
          <w:color w:val="000000"/>
        </w:rPr>
        <w:t>Grade A (Excellent): 0</w:t>
      </w:r>
    </w:p>
    <w:p w14:paraId="660EA2B8" w14:textId="77777777" w:rsidR="00A77B3E" w:rsidRPr="005F7EC5" w:rsidRDefault="00FA2DBE" w:rsidP="005F7EC5">
      <w:pPr>
        <w:spacing w:line="360" w:lineRule="auto"/>
        <w:jc w:val="both"/>
      </w:pPr>
      <w:r w:rsidRPr="005F7EC5">
        <w:rPr>
          <w:rFonts w:ascii="Book Antiqua" w:eastAsia="Book Antiqua" w:hAnsi="Book Antiqua" w:cs="Book Antiqua"/>
          <w:color w:val="000000"/>
        </w:rPr>
        <w:t>Grade B (Very good): B</w:t>
      </w:r>
    </w:p>
    <w:p w14:paraId="5A85597D" w14:textId="77777777" w:rsidR="00A77B3E" w:rsidRPr="005F7EC5" w:rsidRDefault="00FA2DBE" w:rsidP="005F7EC5">
      <w:pPr>
        <w:spacing w:line="360" w:lineRule="auto"/>
        <w:jc w:val="both"/>
      </w:pPr>
      <w:r w:rsidRPr="005F7EC5">
        <w:rPr>
          <w:rFonts w:ascii="Book Antiqua" w:eastAsia="Book Antiqua" w:hAnsi="Book Antiqua" w:cs="Book Antiqua"/>
          <w:color w:val="000000"/>
        </w:rPr>
        <w:t>Grade C (Good): 0</w:t>
      </w:r>
    </w:p>
    <w:p w14:paraId="48C6F8C9" w14:textId="77777777" w:rsidR="00A77B3E" w:rsidRPr="005F7EC5" w:rsidRDefault="00FA2DBE" w:rsidP="005F7EC5">
      <w:pPr>
        <w:spacing w:line="360" w:lineRule="auto"/>
        <w:jc w:val="both"/>
      </w:pPr>
      <w:r w:rsidRPr="005F7EC5">
        <w:rPr>
          <w:rFonts w:ascii="Book Antiqua" w:eastAsia="Book Antiqua" w:hAnsi="Book Antiqua" w:cs="Book Antiqua"/>
          <w:color w:val="000000"/>
        </w:rPr>
        <w:t>Grade D (Fair): 0</w:t>
      </w:r>
    </w:p>
    <w:p w14:paraId="144311D6" w14:textId="77777777" w:rsidR="00A77B3E" w:rsidRPr="005F7EC5" w:rsidRDefault="00FA2DBE" w:rsidP="005F7EC5">
      <w:pPr>
        <w:spacing w:line="360" w:lineRule="auto"/>
        <w:jc w:val="both"/>
      </w:pPr>
      <w:r w:rsidRPr="005F7EC5">
        <w:rPr>
          <w:rFonts w:ascii="Book Antiqua" w:eastAsia="Book Antiqua" w:hAnsi="Book Antiqua" w:cs="Book Antiqua"/>
          <w:color w:val="000000"/>
        </w:rPr>
        <w:t>Grade E (Poor): 0</w:t>
      </w:r>
    </w:p>
    <w:p w14:paraId="6C0FF7E9" w14:textId="77777777" w:rsidR="00A77B3E" w:rsidRPr="005F7EC5" w:rsidRDefault="00A77B3E" w:rsidP="005F7EC5">
      <w:pPr>
        <w:spacing w:line="360" w:lineRule="auto"/>
        <w:jc w:val="both"/>
      </w:pPr>
    </w:p>
    <w:p w14:paraId="3BA69630" w14:textId="1C8E36A7" w:rsidR="002C0776" w:rsidRPr="005F7EC5" w:rsidRDefault="00FA2DBE" w:rsidP="005F7EC5">
      <w:pPr>
        <w:spacing w:line="360" w:lineRule="auto"/>
        <w:jc w:val="both"/>
        <w:rPr>
          <w:rFonts w:ascii="Book Antiqua" w:eastAsia="Book Antiqua" w:hAnsi="Book Antiqua" w:cs="Book Antiqua"/>
          <w:b/>
          <w:color w:val="000000"/>
        </w:rPr>
      </w:pPr>
      <w:r w:rsidRPr="005F7EC5">
        <w:rPr>
          <w:rFonts w:ascii="Book Antiqua" w:eastAsia="Book Antiqua" w:hAnsi="Book Antiqua" w:cs="Book Antiqua"/>
          <w:b/>
          <w:color w:val="000000"/>
        </w:rPr>
        <w:t xml:space="preserve">P-Reviewer: </w:t>
      </w:r>
      <w:r w:rsidRPr="005F7EC5">
        <w:rPr>
          <w:rFonts w:ascii="Book Antiqua" w:eastAsia="Book Antiqua" w:hAnsi="Book Antiqua" w:cs="Book Antiqua"/>
          <w:color w:val="000000"/>
        </w:rPr>
        <w:t>Liang XY</w:t>
      </w:r>
      <w:r w:rsidRPr="005F7EC5">
        <w:rPr>
          <w:rFonts w:ascii="Book Antiqua" w:eastAsia="Book Antiqua" w:hAnsi="Book Antiqua" w:cs="Book Antiqua"/>
          <w:b/>
          <w:color w:val="000000"/>
        </w:rPr>
        <w:t xml:space="preserve"> S-Editor: </w:t>
      </w:r>
      <w:r w:rsidRPr="005F7EC5">
        <w:rPr>
          <w:rFonts w:ascii="Book Antiqua" w:eastAsia="Book Antiqua" w:hAnsi="Book Antiqua" w:cs="Book Antiqua"/>
          <w:color w:val="000000"/>
        </w:rPr>
        <w:t>Zhang H</w:t>
      </w:r>
      <w:r w:rsidR="0091117B" w:rsidRPr="005F7EC5">
        <w:rPr>
          <w:rFonts w:ascii="Book Antiqua" w:eastAsia="Book Antiqua" w:hAnsi="Book Antiqua" w:cs="Book Antiqua"/>
          <w:b/>
          <w:color w:val="000000"/>
        </w:rPr>
        <w:t xml:space="preserve"> L-Editor: </w:t>
      </w:r>
      <w:r w:rsidR="005B1742" w:rsidRPr="005F7EC5">
        <w:rPr>
          <w:rFonts w:ascii="Book Antiqua" w:eastAsia="Book Antiqua" w:hAnsi="Book Antiqua" w:cs="Book Antiqua"/>
          <w:bCs/>
          <w:color w:val="000000"/>
        </w:rPr>
        <w:t xml:space="preserve">Filipodia </w:t>
      </w:r>
      <w:r w:rsidRPr="005F7EC5">
        <w:rPr>
          <w:rFonts w:ascii="Book Antiqua" w:eastAsia="Book Antiqua" w:hAnsi="Book Antiqua" w:cs="Book Antiqua"/>
          <w:b/>
          <w:color w:val="000000"/>
        </w:rPr>
        <w:t xml:space="preserve">P-Editor: </w:t>
      </w:r>
    </w:p>
    <w:p w14:paraId="00DC82B0" w14:textId="0C40D6DD" w:rsidR="00256861" w:rsidRPr="005F7EC5" w:rsidRDefault="002C0776" w:rsidP="005F7EC5">
      <w:pPr>
        <w:adjustRightInd w:val="0"/>
        <w:snapToGrid w:val="0"/>
        <w:spacing w:line="360" w:lineRule="auto"/>
        <w:jc w:val="both"/>
        <w:rPr>
          <w:rStyle w:val="translated-span"/>
          <w:rFonts w:ascii="Book Antiqua" w:hAnsi="Book Antiqua"/>
          <w:b/>
        </w:rPr>
      </w:pPr>
      <w:r w:rsidRPr="005F7EC5">
        <w:rPr>
          <w:rFonts w:ascii="Book Antiqua" w:eastAsia="Book Antiqua" w:hAnsi="Book Antiqua" w:cs="Book Antiqua"/>
          <w:b/>
          <w:color w:val="000000"/>
        </w:rPr>
        <w:br w:type="page"/>
      </w:r>
      <w:r w:rsidR="00256861" w:rsidRPr="005F7EC5">
        <w:rPr>
          <w:rStyle w:val="translated-span"/>
          <w:rFonts w:ascii="Book Antiqua" w:hAnsi="Book Antiqua"/>
          <w:b/>
          <w:bCs/>
        </w:rPr>
        <w:lastRenderedPageBreak/>
        <w:t>Table 1</w:t>
      </w:r>
      <w:r w:rsidR="00256861" w:rsidRPr="005F7EC5">
        <w:rPr>
          <w:rStyle w:val="translated-span"/>
          <w:rFonts w:ascii="Book Antiqua" w:hAnsi="Book Antiqua"/>
          <w:b/>
        </w:rPr>
        <w:t xml:space="preserve"> Advantages of transdermal </w:t>
      </w:r>
      <w:r w:rsidR="00127596">
        <w:rPr>
          <w:rStyle w:val="translated-span"/>
          <w:rFonts w:ascii="Book Antiqua" w:hAnsi="Book Antiqua"/>
          <w:b/>
        </w:rPr>
        <w:t xml:space="preserve">drug delivery system </w:t>
      </w:r>
      <w:r w:rsidR="00256861" w:rsidRPr="005F7EC5">
        <w:rPr>
          <w:rStyle w:val="translated-span"/>
          <w:rFonts w:ascii="Book Antiqua" w:hAnsi="Book Antiqua"/>
          <w:b/>
        </w:rPr>
        <w:t>administration</w:t>
      </w:r>
    </w:p>
    <w:tbl>
      <w:tblPr>
        <w:tblW w:w="0" w:type="auto"/>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8306"/>
      </w:tblGrid>
      <w:tr w:rsidR="00256861" w:rsidRPr="005F7EC5" w14:paraId="3B1A5A3E" w14:textId="77777777" w:rsidTr="00461C10">
        <w:tc>
          <w:tcPr>
            <w:tcW w:w="8306" w:type="dxa"/>
            <w:tcBorders>
              <w:top w:val="single" w:sz="8" w:space="0" w:color="auto"/>
              <w:bottom w:val="single" w:sz="8" w:space="0" w:color="auto"/>
            </w:tcBorders>
            <w:shd w:val="clear" w:color="auto" w:fill="auto"/>
            <w:tcMar>
              <w:top w:w="0" w:type="dxa"/>
              <w:left w:w="108" w:type="dxa"/>
              <w:bottom w:w="0" w:type="dxa"/>
              <w:right w:w="108" w:type="dxa"/>
            </w:tcMar>
            <w:hideMark/>
          </w:tcPr>
          <w:p w14:paraId="268E45D9"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Advantages</w:t>
            </w:r>
          </w:p>
        </w:tc>
      </w:tr>
      <w:tr w:rsidR="00256861" w:rsidRPr="005F7EC5" w14:paraId="3E6B264D" w14:textId="77777777" w:rsidTr="00461C10">
        <w:tc>
          <w:tcPr>
            <w:tcW w:w="8306" w:type="dxa"/>
            <w:tcBorders>
              <w:top w:val="single" w:sz="8" w:space="0" w:color="auto"/>
            </w:tcBorders>
            <w:shd w:val="clear" w:color="auto" w:fill="auto"/>
            <w:tcMar>
              <w:top w:w="0" w:type="dxa"/>
              <w:left w:w="108" w:type="dxa"/>
              <w:bottom w:w="0" w:type="dxa"/>
              <w:right w:w="108" w:type="dxa"/>
            </w:tcMar>
            <w:hideMark/>
          </w:tcPr>
          <w:p w14:paraId="7D04DBA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Simple administration and improved patient compliance</w:t>
            </w:r>
          </w:p>
        </w:tc>
      </w:tr>
      <w:tr w:rsidR="00256861" w:rsidRPr="005F7EC5" w14:paraId="0ACBB483" w14:textId="77777777" w:rsidTr="00461C10">
        <w:tc>
          <w:tcPr>
            <w:tcW w:w="8306" w:type="dxa"/>
            <w:shd w:val="clear" w:color="auto" w:fill="auto"/>
            <w:tcMar>
              <w:top w:w="0" w:type="dxa"/>
              <w:left w:w="108" w:type="dxa"/>
              <w:bottom w:w="0" w:type="dxa"/>
              <w:right w:w="108" w:type="dxa"/>
            </w:tcMar>
            <w:hideMark/>
          </w:tcPr>
          <w:p w14:paraId="2FA93E67" w14:textId="06E7F27B"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Avoid</w:t>
            </w:r>
            <w:r w:rsidR="00127596">
              <w:rPr>
                <w:rStyle w:val="translated-span"/>
                <w:rFonts w:ascii="Book Antiqua" w:hAnsi="Book Antiqua"/>
              </w:rPr>
              <w:t>s</w:t>
            </w:r>
            <w:r w:rsidRPr="005F7EC5">
              <w:rPr>
                <w:rStyle w:val="translated-span"/>
                <w:rFonts w:ascii="Book Antiqua" w:hAnsi="Book Antiqua"/>
              </w:rPr>
              <w:t xml:space="preserve"> hepatic first pass metabolism</w:t>
            </w:r>
          </w:p>
        </w:tc>
      </w:tr>
      <w:tr w:rsidR="00256861" w:rsidRPr="005F7EC5" w14:paraId="6BEA56BA" w14:textId="77777777" w:rsidTr="00461C10">
        <w:tc>
          <w:tcPr>
            <w:tcW w:w="8306" w:type="dxa"/>
            <w:shd w:val="clear" w:color="auto" w:fill="auto"/>
            <w:tcMar>
              <w:top w:w="0" w:type="dxa"/>
              <w:left w:w="108" w:type="dxa"/>
              <w:bottom w:w="0" w:type="dxa"/>
              <w:right w:w="108" w:type="dxa"/>
            </w:tcMar>
            <w:hideMark/>
          </w:tcPr>
          <w:p w14:paraId="43D8B6D1" w14:textId="426F057A"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Avoid</w:t>
            </w:r>
            <w:r w:rsidR="00127596">
              <w:rPr>
                <w:rStyle w:val="translated-span"/>
                <w:rFonts w:ascii="Book Antiqua" w:hAnsi="Book Antiqua"/>
              </w:rPr>
              <w:t>s</w:t>
            </w:r>
            <w:r w:rsidRPr="005F7EC5">
              <w:rPr>
                <w:rStyle w:val="translated-span"/>
                <w:rFonts w:ascii="Book Antiqua" w:hAnsi="Book Antiqua"/>
              </w:rPr>
              <w:t xml:space="preserve"> direct interaction of drugs with food or other drugs in the gastrointestinal tract, which may affect drug absorption</w:t>
            </w:r>
          </w:p>
        </w:tc>
      </w:tr>
      <w:tr w:rsidR="00256861" w:rsidRPr="005F7EC5" w14:paraId="6C0FBAEC" w14:textId="77777777" w:rsidTr="00461C10">
        <w:tc>
          <w:tcPr>
            <w:tcW w:w="8306" w:type="dxa"/>
            <w:shd w:val="clear" w:color="auto" w:fill="auto"/>
            <w:tcMar>
              <w:top w:w="0" w:type="dxa"/>
              <w:left w:w="108" w:type="dxa"/>
              <w:bottom w:w="0" w:type="dxa"/>
              <w:right w:w="108" w:type="dxa"/>
            </w:tcMar>
            <w:hideMark/>
          </w:tcPr>
          <w:p w14:paraId="180DFF8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Helps in controlled drug delivery and reduces frequency of dosing</w:t>
            </w:r>
          </w:p>
        </w:tc>
      </w:tr>
      <w:tr w:rsidR="00256861" w:rsidRPr="005F7EC5" w14:paraId="61C05897" w14:textId="77777777" w:rsidTr="00461C10">
        <w:tc>
          <w:tcPr>
            <w:tcW w:w="8306" w:type="dxa"/>
            <w:shd w:val="clear" w:color="auto" w:fill="auto"/>
            <w:tcMar>
              <w:top w:w="0" w:type="dxa"/>
              <w:left w:w="108" w:type="dxa"/>
              <w:bottom w:w="0" w:type="dxa"/>
              <w:right w:w="108" w:type="dxa"/>
            </w:tcMar>
            <w:hideMark/>
          </w:tcPr>
          <w:p w14:paraId="3282DF61" w14:textId="0B4DFBFA"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Reduce</w:t>
            </w:r>
            <w:r w:rsidR="00127596">
              <w:rPr>
                <w:rStyle w:val="translated-span"/>
                <w:rFonts w:ascii="Book Antiqua" w:hAnsi="Book Antiqua"/>
              </w:rPr>
              <w:t>s</w:t>
            </w:r>
            <w:r w:rsidRPr="005F7EC5">
              <w:rPr>
                <w:rStyle w:val="translated-span"/>
                <w:rFonts w:ascii="Book Antiqua" w:hAnsi="Book Antiqua"/>
              </w:rPr>
              <w:t xml:space="preserve"> dosage and side effects</w:t>
            </w:r>
          </w:p>
        </w:tc>
      </w:tr>
      <w:tr w:rsidR="00256861" w:rsidRPr="005F7EC5" w14:paraId="24AB0242" w14:textId="77777777" w:rsidTr="00461C10">
        <w:tc>
          <w:tcPr>
            <w:tcW w:w="8306" w:type="dxa"/>
            <w:shd w:val="clear" w:color="auto" w:fill="auto"/>
            <w:tcMar>
              <w:top w:w="0" w:type="dxa"/>
              <w:left w:w="108" w:type="dxa"/>
              <w:bottom w:w="0" w:type="dxa"/>
              <w:right w:w="108" w:type="dxa"/>
            </w:tcMar>
            <w:hideMark/>
          </w:tcPr>
          <w:p w14:paraId="2B137638" w14:textId="49C86E80" w:rsidR="00256861" w:rsidRPr="005F7EC5" w:rsidRDefault="00127596" w:rsidP="005F7EC5">
            <w:pPr>
              <w:adjustRightInd w:val="0"/>
              <w:snapToGrid w:val="0"/>
              <w:spacing w:line="360" w:lineRule="auto"/>
              <w:jc w:val="both"/>
              <w:rPr>
                <w:rFonts w:ascii="Book Antiqua" w:hAnsi="Book Antiqua"/>
              </w:rPr>
            </w:pPr>
            <w:r>
              <w:rPr>
                <w:rStyle w:val="translated-span"/>
                <w:rFonts w:ascii="Book Antiqua" w:hAnsi="Book Antiqua"/>
              </w:rPr>
              <w:t>C</w:t>
            </w:r>
            <w:r w:rsidR="00256861" w:rsidRPr="005F7EC5">
              <w:rPr>
                <w:rStyle w:val="translated-span"/>
                <w:rFonts w:ascii="Book Antiqua" w:hAnsi="Book Antiqua"/>
              </w:rPr>
              <w:t>an be removed from the skin surface immediately</w:t>
            </w:r>
          </w:p>
        </w:tc>
      </w:tr>
      <w:tr w:rsidR="00256861" w:rsidRPr="005F7EC5" w14:paraId="5AE2429B" w14:textId="77777777" w:rsidTr="00461C10">
        <w:tc>
          <w:tcPr>
            <w:tcW w:w="8306" w:type="dxa"/>
            <w:shd w:val="clear" w:color="auto" w:fill="auto"/>
            <w:tcMar>
              <w:top w:w="0" w:type="dxa"/>
              <w:left w:w="108" w:type="dxa"/>
              <w:bottom w:w="0" w:type="dxa"/>
              <w:right w:w="108" w:type="dxa"/>
            </w:tcMar>
            <w:hideMark/>
          </w:tcPr>
          <w:p w14:paraId="4F82757E" w14:textId="1BDB0378" w:rsidR="00256861" w:rsidRPr="005F7EC5" w:rsidRDefault="00127596" w:rsidP="005F7EC5">
            <w:pPr>
              <w:adjustRightInd w:val="0"/>
              <w:snapToGrid w:val="0"/>
              <w:spacing w:line="360" w:lineRule="auto"/>
              <w:jc w:val="both"/>
              <w:rPr>
                <w:rFonts w:ascii="Book Antiqua" w:hAnsi="Book Antiqua"/>
              </w:rPr>
            </w:pPr>
            <w:r>
              <w:rPr>
                <w:rStyle w:val="translated-span"/>
                <w:rFonts w:ascii="Book Antiqua" w:hAnsi="Book Antiqua"/>
              </w:rPr>
              <w:t>H</w:t>
            </w:r>
            <w:r w:rsidR="00256861" w:rsidRPr="005F7EC5">
              <w:rPr>
                <w:rStyle w:val="translated-span"/>
                <w:rFonts w:ascii="Book Antiqua" w:hAnsi="Book Antiqua"/>
              </w:rPr>
              <w:t>as physical form, characteristics and identification marks so that it can be easily and quickly identified in an emergency (such as when the patient is unresponsive, unconscious or comatose)</w:t>
            </w:r>
          </w:p>
        </w:tc>
      </w:tr>
    </w:tbl>
    <w:p w14:paraId="05CE4366" w14:textId="793DE8A6" w:rsidR="00256861" w:rsidRPr="005F7EC5" w:rsidRDefault="00256861" w:rsidP="005F7EC5">
      <w:pPr>
        <w:pBdr>
          <w:bottom w:val="single" w:sz="4" w:space="0" w:color="auto"/>
        </w:pBdr>
        <w:adjustRightInd w:val="0"/>
        <w:snapToGrid w:val="0"/>
        <w:spacing w:line="360" w:lineRule="auto"/>
        <w:jc w:val="both"/>
        <w:rPr>
          <w:rFonts w:ascii="Book Antiqua" w:hAnsi="Book Antiqua"/>
          <w:b/>
          <w:lang w:eastAsia="zh-CN"/>
        </w:rPr>
      </w:pPr>
      <w:r w:rsidRPr="005F7EC5">
        <w:rPr>
          <w:rStyle w:val="translated-span"/>
          <w:rFonts w:ascii="Book Antiqua" w:hAnsi="Book Antiqua"/>
          <w:b/>
          <w:bCs/>
        </w:rPr>
        <w:br w:type="page"/>
      </w:r>
      <w:r w:rsidRPr="005F7EC5">
        <w:rPr>
          <w:rStyle w:val="translated-span"/>
          <w:rFonts w:ascii="Book Antiqua" w:hAnsi="Book Antiqua"/>
          <w:b/>
          <w:bCs/>
        </w:rPr>
        <w:lastRenderedPageBreak/>
        <w:t>Table 2</w:t>
      </w:r>
      <w:r w:rsidRPr="005F7EC5">
        <w:rPr>
          <w:rStyle w:val="translated-span"/>
          <w:rFonts w:ascii="Book Antiqua" w:hAnsi="Book Antiqua"/>
          <w:b/>
        </w:rPr>
        <w:t xml:space="preserve"> Factors</w:t>
      </w:r>
      <w:r w:rsidR="003B583A" w:rsidRPr="005F7EC5">
        <w:rPr>
          <w:rStyle w:val="translated-span"/>
          <w:rFonts w:ascii="Book Antiqua" w:hAnsi="Book Antiqua"/>
          <w:b/>
        </w:rPr>
        <w:t xml:space="preserve"> influencing drug percutaneous absorption</w:t>
      </w:r>
      <w:r w:rsidR="003B583A" w:rsidRPr="005F7EC5">
        <w:rPr>
          <w:rStyle w:val="translated-span"/>
          <w:rFonts w:ascii="Book Antiqua" w:hAnsi="Book Antiqua"/>
          <w:b/>
          <w:vertAlign w:val="superscript"/>
          <w:lang w:eastAsia="zh-CN"/>
        </w:rPr>
        <w:t>[</w:t>
      </w:r>
      <w:r w:rsidRPr="005F7EC5">
        <w:rPr>
          <w:rStyle w:val="translated-span"/>
          <w:rFonts w:ascii="Book Antiqua" w:hAnsi="Book Antiqua"/>
          <w:b/>
        </w:rPr>
        <w:fldChar w:fldCharType="begin"/>
      </w:r>
      <w:r w:rsidRPr="005F7EC5">
        <w:rPr>
          <w:rStyle w:val="translated-span"/>
          <w:rFonts w:ascii="Book Antiqua" w:hAnsi="Book Antiqua"/>
          <w:b/>
        </w:rPr>
        <w:instrText xml:space="preserve"> ADDIN ZOTERO_ITEM CSL_CITATION {"citationID":"jwyDrCCi","properties":{"formattedCitation":"\\super 10,12\\nosupersub{}","plainCitation":"10,12","noteIndex":0},"citationItems":[{"id":2388,"uris":["http://zotero.org/users/local/GOBaAt6I/items/262SZC9G"],"uri":["http://zotero.org/users/local/GOBaAt6I/items/262SZC9G"],"itemData":{"id":2388,"type":"book","title":"Ansel Pharmaceutical Dosage System","publisher":"Science Press","publisher-place":"Beijing","edition":"9","event-place":"Beijing","author":[{"family":"Allen","given":"LV"}],"issued":{"date-parts":[["2012"]]}}},{"id":1784,"uris":["http://zotero.org/users/local/GOBaAt6I/items/6V8K8D4C"],"uri":["http://zotero.org/users/local/GOBaAt6I/items/6V8K8D4C"],"itemData":{"id":1784,"type":"article-journal","title":"Transdermal patches: history, development and pharmacology","container-title":"British Journal of Pharmacology","page":"2179-2209","volume":"172","issue":"9","source":"PubMed","abstract":"Transdermal patches are now widely used as cosmetic, topical and transdermal delivery systems. These patches represent a key outcome from the growth in skin science, technology and expertise developed through trial and error, clinical observation and evidence-based studies that date back to the first existing human records. This review begins with the earliest topical therapies and traces topical delivery to the present-day transdermal patches, describing along the way the initial trials, devices and drug delivery systems that underpin current transdermal patches and their actives. This is followed by consideration of the evolution in the various patch designs and their limitations as well as requirements for actives to be used for transdermal delivery. The properties of and issues associated with the use of currently marketed products, such as variability, safety and regulatory aspects, are then described. The review concludes by examining future prospects for transdermal patches and drug delivery systems, such as the combination of active delivery systems with patches, minimally invasive microneedle patches and cutaneous solutions, including metered-dose systems.","DOI":"10.1111/bph.13059","ISSN":"1476-5381","note":"PMID: 25560046\nPMCID: PMC4403087","title-short":"Transdermal patches","journalAbbreviation":"Br. J. Pharmacol.","language":"eng","author":[{"family":"Pastore","given":"Michael N."},{"family":"Kalia","given":"Yogeshvar N."},{"family":"Horstmann","given":"Michael"},{"family":"Roberts","given":"Michael S."}],"issued":{"date-parts":[["2015",5]]}}}],"schema":"https://github.com/citation-style-language/schema/raw/master/csl-citation.json"} </w:instrText>
      </w:r>
      <w:r w:rsidRPr="005F7EC5">
        <w:rPr>
          <w:rStyle w:val="translated-span"/>
          <w:rFonts w:ascii="Book Antiqua" w:hAnsi="Book Antiqua"/>
          <w:b/>
        </w:rPr>
        <w:fldChar w:fldCharType="separate"/>
      </w:r>
      <w:r w:rsidRPr="005F7EC5">
        <w:rPr>
          <w:rFonts w:ascii="Book Antiqua" w:hAnsi="Book Antiqua"/>
          <w:b/>
          <w:vertAlign w:val="superscript"/>
        </w:rPr>
        <w:t>10,12</w:t>
      </w:r>
      <w:r w:rsidRPr="005F7EC5">
        <w:rPr>
          <w:rStyle w:val="translated-span"/>
          <w:rFonts w:ascii="Book Antiqua" w:hAnsi="Book Antiqua"/>
          <w:b/>
        </w:rPr>
        <w:fldChar w:fldCharType="end"/>
      </w:r>
      <w:r w:rsidR="003B583A" w:rsidRPr="005F7EC5">
        <w:rPr>
          <w:rStyle w:val="translated-span"/>
          <w:rFonts w:ascii="Book Antiqua" w:hAnsi="Book Antiqua"/>
          <w:b/>
          <w:vertAlign w:val="superscript"/>
          <w:lang w:eastAsia="zh-CN"/>
        </w:rPr>
        <w:t>]</w:t>
      </w:r>
      <w:r w:rsidRPr="005F7EC5">
        <w:rPr>
          <w:rFonts w:ascii="Book Antiqua" w:hAnsi="Book Antiqua"/>
          <w:b/>
        </w:rPr>
        <w:t xml:space="preserve"> </w:t>
      </w:r>
    </w:p>
    <w:tbl>
      <w:tblPr>
        <w:tblW w:w="0" w:type="auto"/>
        <w:tblBorders>
          <w:top w:val="single" w:sz="8" w:space="0" w:color="000000" w:themeColor="text1"/>
          <w:bottom w:val="single" w:sz="8" w:space="0" w:color="000000" w:themeColor="text1"/>
        </w:tblBorders>
        <w:tblCellMar>
          <w:left w:w="0" w:type="dxa"/>
          <w:right w:w="0" w:type="dxa"/>
        </w:tblCellMar>
        <w:tblLook w:val="04A0" w:firstRow="1" w:lastRow="0" w:firstColumn="1" w:lastColumn="0" w:noHBand="0" w:noVBand="1"/>
      </w:tblPr>
      <w:tblGrid>
        <w:gridCol w:w="2070"/>
        <w:gridCol w:w="6236"/>
      </w:tblGrid>
      <w:tr w:rsidR="00256861" w:rsidRPr="005F7EC5" w14:paraId="0799A323" w14:textId="77777777" w:rsidTr="00461C10">
        <w:tc>
          <w:tcPr>
            <w:tcW w:w="2070" w:type="dxa"/>
            <w:tcBorders>
              <w:top w:val="single" w:sz="8" w:space="0" w:color="000000" w:themeColor="text1"/>
              <w:bottom w:val="single" w:sz="8" w:space="0" w:color="000000" w:themeColor="text1"/>
            </w:tcBorders>
            <w:shd w:val="clear" w:color="auto" w:fill="auto"/>
            <w:tcMar>
              <w:top w:w="0" w:type="dxa"/>
              <w:left w:w="108" w:type="dxa"/>
              <w:bottom w:w="0" w:type="dxa"/>
              <w:right w:w="108" w:type="dxa"/>
            </w:tcMar>
            <w:hideMark/>
          </w:tcPr>
          <w:p w14:paraId="54FC46DE" w14:textId="77777777" w:rsidR="00256861" w:rsidRPr="005F7EC5" w:rsidRDefault="00256861" w:rsidP="005F7EC5">
            <w:pPr>
              <w:adjustRightInd w:val="0"/>
              <w:snapToGrid w:val="0"/>
              <w:spacing w:line="360" w:lineRule="auto"/>
              <w:jc w:val="both"/>
              <w:rPr>
                <w:rFonts w:ascii="Book Antiqua" w:hAnsi="Book Antiqua"/>
                <w:b/>
              </w:rPr>
            </w:pPr>
            <w:bookmarkStart w:id="136" w:name="OLE_LINK49"/>
            <w:bookmarkStart w:id="137" w:name="OLE_LINK50"/>
            <w:r w:rsidRPr="005F7EC5">
              <w:rPr>
                <w:rStyle w:val="translated-span"/>
                <w:rFonts w:ascii="Book Antiqua" w:hAnsi="Book Antiqua"/>
                <w:b/>
              </w:rPr>
              <w:t>Influencing factor</w:t>
            </w:r>
          </w:p>
        </w:tc>
        <w:tc>
          <w:tcPr>
            <w:tcW w:w="6236" w:type="dxa"/>
            <w:tcBorders>
              <w:top w:val="single" w:sz="8" w:space="0" w:color="000000" w:themeColor="text1"/>
              <w:bottom w:val="single" w:sz="8" w:space="0" w:color="000000" w:themeColor="text1"/>
            </w:tcBorders>
            <w:shd w:val="clear" w:color="auto" w:fill="auto"/>
            <w:tcMar>
              <w:top w:w="0" w:type="dxa"/>
              <w:left w:w="108" w:type="dxa"/>
              <w:bottom w:w="0" w:type="dxa"/>
              <w:right w:w="108" w:type="dxa"/>
            </w:tcMar>
            <w:hideMark/>
          </w:tcPr>
          <w:p w14:paraId="6D378FEF" w14:textId="77777777" w:rsidR="00256861" w:rsidRPr="005F7EC5" w:rsidRDefault="00256861" w:rsidP="005F7EC5">
            <w:pPr>
              <w:adjustRightInd w:val="0"/>
              <w:snapToGrid w:val="0"/>
              <w:spacing w:line="360" w:lineRule="auto"/>
              <w:jc w:val="both"/>
              <w:rPr>
                <w:rFonts w:ascii="Book Antiqua" w:hAnsi="Book Antiqua"/>
                <w:b/>
              </w:rPr>
            </w:pPr>
            <w:r w:rsidRPr="005F7EC5">
              <w:rPr>
                <w:rStyle w:val="translated-span"/>
                <w:rFonts w:ascii="Book Antiqua" w:hAnsi="Book Antiqua"/>
                <w:b/>
              </w:rPr>
              <w:t>Effect on transdermal drug absorption</w:t>
            </w:r>
          </w:p>
        </w:tc>
      </w:tr>
      <w:tr w:rsidR="00256861" w:rsidRPr="005F7EC5" w14:paraId="5B3AFEB9" w14:textId="77777777" w:rsidTr="00461C10">
        <w:tc>
          <w:tcPr>
            <w:tcW w:w="2070" w:type="dxa"/>
            <w:tcBorders>
              <w:top w:val="single" w:sz="8" w:space="0" w:color="000000" w:themeColor="text1"/>
            </w:tcBorders>
            <w:shd w:val="clear" w:color="auto" w:fill="auto"/>
            <w:tcMar>
              <w:top w:w="0" w:type="dxa"/>
              <w:left w:w="108" w:type="dxa"/>
              <w:bottom w:w="0" w:type="dxa"/>
              <w:right w:w="108" w:type="dxa"/>
            </w:tcMar>
            <w:hideMark/>
          </w:tcPr>
          <w:p w14:paraId="2C142AFE"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Drug concentration</w:t>
            </w:r>
          </w:p>
        </w:tc>
        <w:tc>
          <w:tcPr>
            <w:tcW w:w="6236" w:type="dxa"/>
            <w:tcBorders>
              <w:top w:val="single" w:sz="8" w:space="0" w:color="000000" w:themeColor="text1"/>
            </w:tcBorders>
            <w:shd w:val="clear" w:color="auto" w:fill="auto"/>
            <w:tcMar>
              <w:top w:w="0" w:type="dxa"/>
              <w:left w:w="108" w:type="dxa"/>
              <w:bottom w:w="0" w:type="dxa"/>
              <w:right w:w="108" w:type="dxa"/>
            </w:tcMar>
            <w:hideMark/>
          </w:tcPr>
          <w:p w14:paraId="1CC20B5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Generally, the amount of drug absorbed per unit area per unit time increases with the increase in TDDS drug concentration</w:t>
            </w:r>
          </w:p>
        </w:tc>
      </w:tr>
      <w:tr w:rsidR="00256861" w:rsidRPr="005F7EC5" w14:paraId="342A5920" w14:textId="77777777" w:rsidTr="00461C10">
        <w:tc>
          <w:tcPr>
            <w:tcW w:w="2070" w:type="dxa"/>
            <w:shd w:val="clear" w:color="auto" w:fill="auto"/>
            <w:tcMar>
              <w:top w:w="0" w:type="dxa"/>
              <w:left w:w="108" w:type="dxa"/>
              <w:bottom w:w="0" w:type="dxa"/>
              <w:right w:w="108" w:type="dxa"/>
            </w:tcMar>
            <w:hideMark/>
          </w:tcPr>
          <w:p w14:paraId="014AD66D"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Drug distribution coefficient</w:t>
            </w:r>
          </w:p>
        </w:tc>
        <w:tc>
          <w:tcPr>
            <w:tcW w:w="6236" w:type="dxa"/>
            <w:shd w:val="clear" w:color="auto" w:fill="auto"/>
            <w:tcMar>
              <w:top w:w="0" w:type="dxa"/>
              <w:left w:w="108" w:type="dxa"/>
              <w:bottom w:w="0" w:type="dxa"/>
              <w:right w:w="108" w:type="dxa"/>
            </w:tcMar>
            <w:hideMark/>
          </w:tcPr>
          <w:p w14:paraId="2F10D78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Drugs with both water-soluble and fat-soluble properties can be effectively absorbed through the skin. The water-soluble properties of drugs determine the concentration of the drug at the absorption site and the partition coefficient affects the rate of drug transport at the absorption site</w:t>
            </w:r>
          </w:p>
        </w:tc>
      </w:tr>
      <w:tr w:rsidR="00256861" w:rsidRPr="005F7EC5" w14:paraId="52710D91" w14:textId="77777777" w:rsidTr="00461C10">
        <w:tc>
          <w:tcPr>
            <w:tcW w:w="2070" w:type="dxa"/>
            <w:shd w:val="clear" w:color="auto" w:fill="auto"/>
            <w:tcMar>
              <w:top w:w="0" w:type="dxa"/>
              <w:left w:w="108" w:type="dxa"/>
              <w:bottom w:w="0" w:type="dxa"/>
              <w:right w:w="108" w:type="dxa"/>
            </w:tcMar>
            <w:hideMark/>
          </w:tcPr>
          <w:p w14:paraId="57A9ED3D"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Drug molecular weight</w:t>
            </w:r>
          </w:p>
        </w:tc>
        <w:tc>
          <w:tcPr>
            <w:tcW w:w="6236" w:type="dxa"/>
            <w:shd w:val="clear" w:color="auto" w:fill="auto"/>
            <w:tcMar>
              <w:top w:w="0" w:type="dxa"/>
              <w:left w:w="108" w:type="dxa"/>
              <w:bottom w:w="0" w:type="dxa"/>
              <w:right w:w="108" w:type="dxa"/>
            </w:tcMar>
            <w:hideMark/>
          </w:tcPr>
          <w:p w14:paraId="2CFF1FBB"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ideal relative molecular weight for transdermal administration is 400 Da or less</w:t>
            </w:r>
          </w:p>
        </w:tc>
      </w:tr>
      <w:tr w:rsidR="00256861" w:rsidRPr="005F7EC5" w14:paraId="2162F016" w14:textId="77777777" w:rsidTr="00461C10">
        <w:tc>
          <w:tcPr>
            <w:tcW w:w="2070" w:type="dxa"/>
            <w:shd w:val="clear" w:color="auto" w:fill="auto"/>
            <w:tcMar>
              <w:top w:w="0" w:type="dxa"/>
              <w:left w:w="108" w:type="dxa"/>
              <w:bottom w:w="0" w:type="dxa"/>
              <w:right w:w="108" w:type="dxa"/>
            </w:tcMar>
            <w:hideMark/>
          </w:tcPr>
          <w:p w14:paraId="56225C3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Carrier factor</w:t>
            </w:r>
          </w:p>
        </w:tc>
        <w:tc>
          <w:tcPr>
            <w:tcW w:w="6236" w:type="dxa"/>
            <w:shd w:val="clear" w:color="auto" w:fill="auto"/>
            <w:tcMar>
              <w:top w:w="0" w:type="dxa"/>
              <w:left w:w="108" w:type="dxa"/>
              <w:bottom w:w="0" w:type="dxa"/>
              <w:right w:w="108" w:type="dxa"/>
            </w:tcMar>
            <w:hideMark/>
          </w:tcPr>
          <w:p w14:paraId="7F37F946"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main effects of carriers on percutaneous absorption include solubility of drugs in carriers</w:t>
            </w:r>
            <w:r w:rsidRPr="005F7EC5">
              <w:rPr>
                <w:rFonts w:ascii="Book Antiqua" w:hAnsi="Book Antiqua"/>
              </w:rPr>
              <w:t xml:space="preserve"> </w:t>
            </w:r>
            <w:r w:rsidRPr="005F7EC5">
              <w:rPr>
                <w:rStyle w:val="translated-span"/>
                <w:rFonts w:ascii="Book Antiqua" w:hAnsi="Book Antiqua"/>
              </w:rPr>
              <w:t>and change of drug distribution coefficient by carrier</w:t>
            </w:r>
          </w:p>
        </w:tc>
      </w:tr>
      <w:tr w:rsidR="00256861" w:rsidRPr="005F7EC5" w14:paraId="5C544BC2" w14:textId="77777777" w:rsidTr="00461C10">
        <w:tc>
          <w:tcPr>
            <w:tcW w:w="2070" w:type="dxa"/>
            <w:shd w:val="clear" w:color="auto" w:fill="auto"/>
            <w:tcMar>
              <w:top w:w="0" w:type="dxa"/>
              <w:left w:w="108" w:type="dxa"/>
              <w:bottom w:w="0" w:type="dxa"/>
              <w:right w:w="108" w:type="dxa"/>
            </w:tcMar>
            <w:hideMark/>
          </w:tcPr>
          <w:p w14:paraId="6BA146FE"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Site of application and time</w:t>
            </w:r>
          </w:p>
        </w:tc>
        <w:tc>
          <w:tcPr>
            <w:tcW w:w="6236" w:type="dxa"/>
            <w:shd w:val="clear" w:color="auto" w:fill="auto"/>
            <w:tcMar>
              <w:top w:w="0" w:type="dxa"/>
              <w:left w:w="108" w:type="dxa"/>
              <w:bottom w:w="0" w:type="dxa"/>
              <w:right w:w="108" w:type="dxa"/>
            </w:tcMar>
            <w:hideMark/>
          </w:tcPr>
          <w:p w14:paraId="252D77A9"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larger the application area (TDDS) and the longer the application time, the more the drugs are absorbed</w:t>
            </w:r>
          </w:p>
        </w:tc>
      </w:tr>
      <w:tr w:rsidR="00256861" w:rsidRPr="005F7EC5" w14:paraId="696F17B8" w14:textId="77777777" w:rsidTr="00461C10">
        <w:tc>
          <w:tcPr>
            <w:tcW w:w="2070" w:type="dxa"/>
            <w:shd w:val="clear" w:color="auto" w:fill="auto"/>
            <w:tcMar>
              <w:top w:w="0" w:type="dxa"/>
              <w:left w:w="108" w:type="dxa"/>
              <w:bottom w:w="0" w:type="dxa"/>
              <w:right w:w="108" w:type="dxa"/>
            </w:tcMar>
            <w:hideMark/>
          </w:tcPr>
          <w:p w14:paraId="28EB489D"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Skin conditions</w:t>
            </w:r>
          </w:p>
        </w:tc>
        <w:tc>
          <w:tcPr>
            <w:tcW w:w="6236" w:type="dxa"/>
            <w:shd w:val="clear" w:color="auto" w:fill="auto"/>
            <w:tcMar>
              <w:top w:w="0" w:type="dxa"/>
              <w:left w:w="108" w:type="dxa"/>
              <w:bottom w:w="0" w:type="dxa"/>
              <w:right w:w="108" w:type="dxa"/>
            </w:tcMar>
            <w:hideMark/>
          </w:tcPr>
          <w:p w14:paraId="654D8187" w14:textId="0A434420"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Hydration of skin helps in</w:t>
            </w:r>
            <w:r w:rsidR="00CD3EA5">
              <w:rPr>
                <w:rStyle w:val="translated-span"/>
                <w:rFonts w:ascii="Book Antiqua" w:hAnsi="Book Antiqua"/>
              </w:rPr>
              <w:t>crease</w:t>
            </w:r>
            <w:r w:rsidRPr="005F7EC5">
              <w:rPr>
                <w:rStyle w:val="translated-span"/>
                <w:rFonts w:ascii="Book Antiqua" w:hAnsi="Book Antiqua"/>
              </w:rPr>
              <w:t xml:space="preserve"> percutaneous absorption. TDDS can form a closed water barrier with evaporating sweat to increase the hydration degree of the skin. It can be applied to the thin cuticle, with better absorption through the skin. When the skin is damaged, the drug will directly enter the subcutaneous tissue and capillaries, which may affect the properties of TDDS</w:t>
            </w:r>
          </w:p>
        </w:tc>
      </w:tr>
    </w:tbl>
    <w:bookmarkEnd w:id="136"/>
    <w:bookmarkEnd w:id="137"/>
    <w:p w14:paraId="65EDDB76" w14:textId="3147166A" w:rsidR="00256861" w:rsidRPr="005F7EC5" w:rsidRDefault="00B03CCA" w:rsidP="005F7EC5">
      <w:pPr>
        <w:adjustRightInd w:val="0"/>
        <w:snapToGrid w:val="0"/>
        <w:spacing w:line="360" w:lineRule="auto"/>
        <w:jc w:val="both"/>
        <w:rPr>
          <w:rFonts w:ascii="Book Antiqua" w:hAnsi="Book Antiqua"/>
          <w:lang w:eastAsia="zh-CN"/>
        </w:rPr>
      </w:pPr>
      <w:r w:rsidRPr="005F7EC5">
        <w:rPr>
          <w:rFonts w:ascii="Book Antiqua" w:hAnsi="Book Antiqua"/>
        </w:rPr>
        <w:t>TDDS</w:t>
      </w:r>
      <w:r w:rsidRPr="005F7EC5">
        <w:rPr>
          <w:rFonts w:ascii="Book Antiqua" w:hAnsi="Book Antiqua"/>
          <w:lang w:eastAsia="zh-CN"/>
        </w:rPr>
        <w:t>:</w:t>
      </w:r>
      <w:r w:rsidRPr="005F7EC5">
        <w:rPr>
          <w:rFonts w:ascii="Book Antiqua" w:hAnsi="Book Antiqua"/>
        </w:rPr>
        <w:t xml:space="preserve"> </w:t>
      </w:r>
      <w:r w:rsidRPr="005F7EC5">
        <w:rPr>
          <w:rFonts w:ascii="Book Antiqua" w:hAnsi="Book Antiqua"/>
          <w:lang w:eastAsia="zh-CN"/>
        </w:rPr>
        <w:t>T</w:t>
      </w:r>
      <w:r w:rsidR="00256861" w:rsidRPr="005F7EC5">
        <w:rPr>
          <w:rFonts w:ascii="Book Antiqua" w:hAnsi="Book Antiqua"/>
        </w:rPr>
        <w:t>ransdermal drug delivery system</w:t>
      </w:r>
      <w:r w:rsidRPr="005F7EC5">
        <w:rPr>
          <w:rFonts w:ascii="Book Antiqua" w:hAnsi="Book Antiqua"/>
          <w:lang w:eastAsia="zh-CN"/>
        </w:rPr>
        <w:t>.</w:t>
      </w:r>
    </w:p>
    <w:p w14:paraId="7109341A" w14:textId="1057E3F2" w:rsidR="00256861" w:rsidRPr="005F7EC5" w:rsidRDefault="00B03CCA" w:rsidP="005F7EC5">
      <w:pPr>
        <w:adjustRightInd w:val="0"/>
        <w:snapToGrid w:val="0"/>
        <w:spacing w:line="360" w:lineRule="auto"/>
        <w:jc w:val="both"/>
        <w:rPr>
          <w:rFonts w:ascii="Book Antiqua" w:hAnsi="Book Antiqua"/>
          <w:b/>
          <w:vertAlign w:val="superscript"/>
          <w:lang w:eastAsia="zh-CN"/>
        </w:rPr>
      </w:pPr>
      <w:r w:rsidRPr="005F7EC5">
        <w:rPr>
          <w:rStyle w:val="translated-span"/>
          <w:rFonts w:ascii="Book Antiqua" w:hAnsi="Book Antiqua"/>
          <w:b/>
          <w:bCs/>
        </w:rPr>
        <w:br w:type="page"/>
      </w:r>
      <w:r w:rsidR="00256861" w:rsidRPr="005F7EC5">
        <w:rPr>
          <w:rStyle w:val="translated-span"/>
          <w:rFonts w:ascii="Book Antiqua" w:hAnsi="Book Antiqua"/>
          <w:b/>
          <w:bCs/>
        </w:rPr>
        <w:lastRenderedPageBreak/>
        <w:t>Table 3</w:t>
      </w:r>
      <w:r w:rsidR="00256861" w:rsidRPr="005F7EC5">
        <w:rPr>
          <w:rStyle w:val="translated-span"/>
          <w:rFonts w:ascii="Book Antiqua" w:hAnsi="Book Antiqua"/>
          <w:b/>
        </w:rPr>
        <w:t xml:space="preserve"> Development o</w:t>
      </w:r>
      <w:r w:rsidR="00461C10" w:rsidRPr="005F7EC5">
        <w:rPr>
          <w:rStyle w:val="translated-span"/>
          <w:rFonts w:ascii="Book Antiqua" w:hAnsi="Book Antiqua"/>
          <w:b/>
        </w:rPr>
        <w:t>f transdermal pat</w:t>
      </w:r>
      <w:r w:rsidR="00256861" w:rsidRPr="005F7EC5">
        <w:rPr>
          <w:rStyle w:val="translated-span"/>
          <w:rFonts w:ascii="Book Antiqua" w:hAnsi="Book Antiqua"/>
          <w:b/>
        </w:rPr>
        <w:t>ch</w:t>
      </w:r>
      <w:r w:rsidR="00461C10" w:rsidRPr="005F7EC5">
        <w:rPr>
          <w:rStyle w:val="translated-span"/>
          <w:rFonts w:ascii="Book Antiqua" w:hAnsi="Book Antiqua"/>
          <w:b/>
          <w:vertAlign w:val="superscript"/>
          <w:lang w:eastAsia="zh-CN"/>
        </w:rPr>
        <w:t>[</w:t>
      </w:r>
      <w:r w:rsidR="00256861" w:rsidRPr="005F7EC5">
        <w:rPr>
          <w:rStyle w:val="translated-span"/>
          <w:rFonts w:ascii="Book Antiqua" w:hAnsi="Book Antiqua"/>
          <w:b/>
        </w:rPr>
        <w:fldChar w:fldCharType="begin"/>
      </w:r>
      <w:r w:rsidR="00256861" w:rsidRPr="005F7EC5">
        <w:rPr>
          <w:rStyle w:val="translated-span"/>
          <w:rFonts w:ascii="Book Antiqua" w:hAnsi="Book Antiqua"/>
          <w:b/>
        </w:rPr>
        <w:instrText xml:space="preserve"> ADDIN ZOTERO_ITEM CSL_CITATION {"citationID":"e1gMiBJx","properties":{"formattedCitation":"\\super 14\\nosupersub{}","plainCitation":"14","noteIndex":0},"citationItems":[{"id":1862,"uris":["http://zotero.org/users/local/GOBaAt6I/items/IYVJAD9W"],"uri":["http://zotero.org/users/local/GOBaAt6I/items/IYVJAD9W"],"itemData":{"id":1862,"type":"article-journal","title":"Transdermal drug delivery","container-title":"Nature Biotechnology","page":"1261-1268","volume":"26","issue":"11","source":"PubMed","abstract":"Transdermal drug delivery has made an important contribution to medical practice, but has yet to fully achieve its potential as an alternative to oral delivery and hypodermic injections. First-generation transdermal delivery systems have continued their steady increase in clinical use for delivery of small, lipophilic, low-dose drugs. Second-generation delivery systems using chemical enhancers, noncavitational ultrasound and iontophoresis have also resulted in clinical products; the ability of iontophoresis to control delivery rates in real time provides added functionality. Third-generation delivery systems target their effects to skin's barrier layer of stratum corneum using microneedles, thermal ablation, microdermabrasion, electroporation and cavitational ultrasound. Microneedles and thermal ablation are currently progressing through clinical trials for delivery of macromolecules and vaccines, such as insulin, parathyroid hormone and influenza vaccine. Using these novel second- and third-generation enhancement strategies, transdermal delivery is poised to significantly increase its impact on medicine.","DOI":"10.1038/nbt.1504","ISSN":"1546-1696","note":"PMID: 18997767\nPMCID: PMC2700785","journalAbbreviation":"Nat. Biotechnol.","language":"eng","author":[{"family":"Prausnitz","given":"Mark R."},{"family":"Langer","given":"Robert"}],"issued":{"date-parts":[["2008",11]]}}}],"schema":"https://github.com/citation-style-language/schema/raw/master/csl-citation.json"} </w:instrText>
      </w:r>
      <w:r w:rsidR="00256861" w:rsidRPr="005F7EC5">
        <w:rPr>
          <w:rStyle w:val="translated-span"/>
          <w:rFonts w:ascii="Book Antiqua" w:hAnsi="Book Antiqua"/>
          <w:b/>
        </w:rPr>
        <w:fldChar w:fldCharType="separate"/>
      </w:r>
      <w:r w:rsidR="00256861" w:rsidRPr="005F7EC5">
        <w:rPr>
          <w:rFonts w:ascii="Book Antiqua" w:hAnsi="Book Antiqua"/>
          <w:b/>
          <w:vertAlign w:val="superscript"/>
        </w:rPr>
        <w:t>14</w:t>
      </w:r>
      <w:r w:rsidR="00256861" w:rsidRPr="005F7EC5">
        <w:rPr>
          <w:rStyle w:val="translated-span"/>
          <w:rFonts w:ascii="Book Antiqua" w:hAnsi="Book Antiqua"/>
          <w:b/>
        </w:rPr>
        <w:fldChar w:fldCharType="end"/>
      </w:r>
      <w:r w:rsidR="00461C10" w:rsidRPr="005F7EC5">
        <w:rPr>
          <w:rStyle w:val="translated-span"/>
          <w:rFonts w:ascii="Book Antiqua" w:hAnsi="Book Antiqua"/>
          <w:b/>
          <w:vertAlign w:val="superscript"/>
          <w:lang w:eastAsia="zh-CN"/>
        </w:rPr>
        <w:t>]</w:t>
      </w:r>
    </w:p>
    <w:tbl>
      <w:tblPr>
        <w:tblW w:w="8364"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985"/>
        <w:gridCol w:w="6379"/>
      </w:tblGrid>
      <w:tr w:rsidR="00256861" w:rsidRPr="005F7EC5" w14:paraId="0E0CB6DC" w14:textId="77777777" w:rsidTr="00461C10">
        <w:tc>
          <w:tcPr>
            <w:tcW w:w="1985" w:type="dxa"/>
            <w:tcBorders>
              <w:top w:val="single" w:sz="8" w:space="0" w:color="auto"/>
              <w:bottom w:val="single" w:sz="8" w:space="0" w:color="auto"/>
            </w:tcBorders>
            <w:shd w:val="clear" w:color="auto" w:fill="auto"/>
            <w:tcMar>
              <w:top w:w="0" w:type="dxa"/>
              <w:left w:w="108" w:type="dxa"/>
              <w:bottom w:w="0" w:type="dxa"/>
              <w:right w:w="108" w:type="dxa"/>
            </w:tcMar>
            <w:hideMark/>
          </w:tcPr>
          <w:p w14:paraId="0920BB6A" w14:textId="77777777" w:rsidR="00256861" w:rsidRPr="005F7EC5" w:rsidRDefault="00256861" w:rsidP="005F7EC5">
            <w:pPr>
              <w:adjustRightInd w:val="0"/>
              <w:snapToGrid w:val="0"/>
              <w:spacing w:line="360" w:lineRule="auto"/>
              <w:jc w:val="both"/>
              <w:rPr>
                <w:rFonts w:ascii="Book Antiqua" w:hAnsi="Book Antiqua"/>
                <w:b/>
              </w:rPr>
            </w:pPr>
            <w:r w:rsidRPr="005F7EC5">
              <w:rPr>
                <w:rStyle w:val="translated-span"/>
                <w:rFonts w:ascii="Book Antiqua" w:hAnsi="Book Antiqua"/>
                <w:b/>
              </w:rPr>
              <w:t>Classification</w:t>
            </w:r>
          </w:p>
        </w:tc>
        <w:tc>
          <w:tcPr>
            <w:tcW w:w="6379" w:type="dxa"/>
            <w:tcBorders>
              <w:top w:val="single" w:sz="8" w:space="0" w:color="auto"/>
              <w:bottom w:val="single" w:sz="8" w:space="0" w:color="auto"/>
            </w:tcBorders>
            <w:shd w:val="clear" w:color="auto" w:fill="auto"/>
            <w:tcMar>
              <w:top w:w="0" w:type="dxa"/>
              <w:left w:w="108" w:type="dxa"/>
              <w:bottom w:w="0" w:type="dxa"/>
              <w:right w:w="108" w:type="dxa"/>
            </w:tcMar>
            <w:hideMark/>
          </w:tcPr>
          <w:p w14:paraId="47C28FA0" w14:textId="77777777" w:rsidR="00256861" w:rsidRPr="005F7EC5" w:rsidRDefault="00256861" w:rsidP="005F7EC5">
            <w:pPr>
              <w:adjustRightInd w:val="0"/>
              <w:snapToGrid w:val="0"/>
              <w:spacing w:line="360" w:lineRule="auto"/>
              <w:jc w:val="both"/>
              <w:rPr>
                <w:rFonts w:ascii="Book Antiqua" w:hAnsi="Book Antiqua"/>
                <w:b/>
              </w:rPr>
            </w:pPr>
            <w:r w:rsidRPr="005F7EC5">
              <w:rPr>
                <w:rStyle w:val="translated-span"/>
                <w:rFonts w:ascii="Book Antiqua" w:hAnsi="Book Antiqua"/>
                <w:b/>
              </w:rPr>
              <w:t>Characteristic</w:t>
            </w:r>
          </w:p>
        </w:tc>
      </w:tr>
      <w:tr w:rsidR="00256861" w:rsidRPr="005F7EC5" w14:paraId="645BBAD4" w14:textId="77777777" w:rsidTr="00461C10">
        <w:tc>
          <w:tcPr>
            <w:tcW w:w="1985" w:type="dxa"/>
            <w:tcBorders>
              <w:top w:val="single" w:sz="8" w:space="0" w:color="auto"/>
            </w:tcBorders>
            <w:shd w:val="clear" w:color="auto" w:fill="auto"/>
            <w:tcMar>
              <w:top w:w="0" w:type="dxa"/>
              <w:left w:w="108" w:type="dxa"/>
              <w:bottom w:w="0" w:type="dxa"/>
              <w:right w:w="108" w:type="dxa"/>
            </w:tcMar>
            <w:hideMark/>
          </w:tcPr>
          <w:p w14:paraId="18CFBF36"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First-generation transdermal patch</w:t>
            </w:r>
          </w:p>
        </w:tc>
        <w:tc>
          <w:tcPr>
            <w:tcW w:w="6379" w:type="dxa"/>
            <w:tcBorders>
              <w:top w:val="single" w:sz="8" w:space="0" w:color="auto"/>
            </w:tcBorders>
            <w:shd w:val="clear" w:color="auto" w:fill="auto"/>
            <w:tcMar>
              <w:top w:w="0" w:type="dxa"/>
              <w:left w:w="108" w:type="dxa"/>
              <w:bottom w:w="0" w:type="dxa"/>
              <w:right w:w="108" w:type="dxa"/>
            </w:tcMar>
            <w:hideMark/>
          </w:tcPr>
          <w:p w14:paraId="74E73150" w14:textId="416831DA"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drug should have suitable properties (highly potency, low molecular weight and lipophilic) to solve the problem of low oral bioavailability, to reduce the frequency of drug administration or to achieve stable drug administration</w:t>
            </w:r>
          </w:p>
        </w:tc>
      </w:tr>
      <w:tr w:rsidR="00256861" w:rsidRPr="005F7EC5" w14:paraId="2EE72F0D" w14:textId="77777777" w:rsidTr="00461C10">
        <w:tc>
          <w:tcPr>
            <w:tcW w:w="1985" w:type="dxa"/>
            <w:shd w:val="clear" w:color="auto" w:fill="auto"/>
            <w:tcMar>
              <w:top w:w="0" w:type="dxa"/>
              <w:left w:w="108" w:type="dxa"/>
              <w:bottom w:w="0" w:type="dxa"/>
              <w:right w:w="108" w:type="dxa"/>
            </w:tcMar>
            <w:hideMark/>
          </w:tcPr>
          <w:p w14:paraId="2E1B3F18"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Second-generation transdermal patch</w:t>
            </w:r>
          </w:p>
        </w:tc>
        <w:tc>
          <w:tcPr>
            <w:tcW w:w="6379" w:type="dxa"/>
            <w:shd w:val="clear" w:color="auto" w:fill="auto"/>
            <w:tcMar>
              <w:top w:w="0" w:type="dxa"/>
              <w:left w:w="108" w:type="dxa"/>
              <w:bottom w:w="0" w:type="dxa"/>
              <w:right w:w="108" w:type="dxa"/>
            </w:tcMar>
            <w:hideMark/>
          </w:tcPr>
          <w:p w14:paraId="66503AA8" w14:textId="554D3D6E"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This generation of patch can promote and improve the percutaneous absorption of small molecule drugs by means of a chemical penetration enhancer, ion introduction or ultrasound</w:t>
            </w:r>
          </w:p>
        </w:tc>
      </w:tr>
      <w:tr w:rsidR="00256861" w:rsidRPr="005F7EC5" w14:paraId="1028AC0D" w14:textId="77777777" w:rsidTr="00461C10">
        <w:tc>
          <w:tcPr>
            <w:tcW w:w="1985" w:type="dxa"/>
            <w:shd w:val="clear" w:color="auto" w:fill="auto"/>
            <w:tcMar>
              <w:top w:w="0" w:type="dxa"/>
              <w:left w:w="108" w:type="dxa"/>
              <w:bottom w:w="0" w:type="dxa"/>
              <w:right w:w="108" w:type="dxa"/>
            </w:tcMar>
            <w:hideMark/>
          </w:tcPr>
          <w:p w14:paraId="7604CE66"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Third-generation transdermal patch</w:t>
            </w:r>
          </w:p>
        </w:tc>
        <w:tc>
          <w:tcPr>
            <w:tcW w:w="6379" w:type="dxa"/>
            <w:shd w:val="clear" w:color="auto" w:fill="auto"/>
            <w:tcMar>
              <w:top w:w="0" w:type="dxa"/>
              <w:left w:w="108" w:type="dxa"/>
              <w:bottom w:w="0" w:type="dxa"/>
              <w:right w:w="108" w:type="dxa"/>
            </w:tcMar>
            <w:hideMark/>
          </w:tcPr>
          <w:p w14:paraId="316F269A"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These patches help to promote percutaneous absorption of macromolecules, including therapeutic proteins and vaccines</w:t>
            </w:r>
          </w:p>
        </w:tc>
      </w:tr>
    </w:tbl>
    <w:p w14:paraId="77BF23F1" w14:textId="7399589B" w:rsidR="00256861" w:rsidRPr="005F7EC5" w:rsidRDefault="00256861" w:rsidP="005F7EC5">
      <w:pPr>
        <w:adjustRightInd w:val="0"/>
        <w:snapToGrid w:val="0"/>
        <w:spacing w:line="360" w:lineRule="auto"/>
        <w:jc w:val="both"/>
        <w:rPr>
          <w:rFonts w:ascii="Book Antiqua" w:hAnsi="Book Antiqua"/>
          <w:b/>
          <w:bCs/>
          <w:vertAlign w:val="superscript"/>
          <w:lang w:eastAsia="zh-CN"/>
        </w:rPr>
      </w:pPr>
      <w:r w:rsidRPr="005F7EC5">
        <w:rPr>
          <w:rStyle w:val="translated-span"/>
          <w:rFonts w:ascii="Book Antiqua" w:hAnsi="Book Antiqua"/>
          <w:b/>
          <w:bCs/>
        </w:rPr>
        <w:br w:type="page"/>
      </w:r>
      <w:r w:rsidRPr="005F7EC5">
        <w:rPr>
          <w:rStyle w:val="translated-span"/>
          <w:rFonts w:ascii="Book Antiqua" w:hAnsi="Book Antiqua"/>
          <w:b/>
          <w:bCs/>
        </w:rPr>
        <w:lastRenderedPageBreak/>
        <w:t>Table 4</w:t>
      </w:r>
      <w:r w:rsidRPr="005F7EC5">
        <w:rPr>
          <w:rStyle w:val="translated-span"/>
          <w:rFonts w:ascii="Book Antiqua" w:hAnsi="Book Antiqua"/>
          <w:b/>
        </w:rPr>
        <w:t xml:space="preserve"> Pharmacokine</w:t>
      </w:r>
      <w:r w:rsidR="00295E2E" w:rsidRPr="005F7EC5">
        <w:rPr>
          <w:rStyle w:val="translated-span"/>
          <w:rFonts w:ascii="Book Antiqua" w:hAnsi="Book Antiqua"/>
          <w:b/>
        </w:rPr>
        <w:t>tic characteristics of to</w:t>
      </w:r>
      <w:r w:rsidRPr="005F7EC5">
        <w:rPr>
          <w:rStyle w:val="translated-span"/>
          <w:rFonts w:ascii="Book Antiqua" w:hAnsi="Book Antiqua"/>
          <w:b/>
        </w:rPr>
        <w:t xml:space="preserve">pical </w:t>
      </w:r>
      <w:r w:rsidR="00295E2E" w:rsidRPr="005F7EC5">
        <w:rPr>
          <w:rStyle w:val="translated-span"/>
          <w:rFonts w:ascii="Book Antiqua" w:hAnsi="Book Antiqua"/>
          <w:b/>
        </w:rPr>
        <w:t>nonsteroidal anti-inflammatory drugs</w:t>
      </w:r>
      <w:r w:rsidRPr="005F7EC5">
        <w:rPr>
          <w:rStyle w:val="translated-span"/>
          <w:rFonts w:ascii="Book Antiqua" w:hAnsi="Book Antiqua"/>
          <w:b/>
        </w:rPr>
        <w:t xml:space="preserve"> </w:t>
      </w:r>
      <w:r w:rsidR="00295E2E" w:rsidRPr="005F7EC5">
        <w:rPr>
          <w:rStyle w:val="translated-span"/>
          <w:rFonts w:ascii="Book Antiqua" w:hAnsi="Book Antiqua"/>
          <w:b/>
        </w:rPr>
        <w:t>patches</w:t>
      </w:r>
      <w:r w:rsidR="00295E2E" w:rsidRPr="005F7EC5">
        <w:rPr>
          <w:rStyle w:val="translated-span"/>
          <w:rFonts w:ascii="Book Antiqua" w:hAnsi="Book Antiqua"/>
          <w:b/>
          <w:vertAlign w:val="superscript"/>
          <w:lang w:eastAsia="zh-CN"/>
        </w:rPr>
        <w:t>[</w:t>
      </w:r>
      <w:r w:rsidRPr="005F7EC5">
        <w:rPr>
          <w:rStyle w:val="translated-span"/>
          <w:rFonts w:ascii="Book Antiqua" w:hAnsi="Book Antiqua"/>
          <w:b/>
        </w:rPr>
        <w:fldChar w:fldCharType="begin"/>
      </w:r>
      <w:r w:rsidRPr="005F7EC5">
        <w:rPr>
          <w:rStyle w:val="translated-span"/>
          <w:rFonts w:ascii="Book Antiqua" w:hAnsi="Book Antiqua"/>
          <w:b/>
        </w:rPr>
        <w:instrText xml:space="preserve"> ADDIN ZOTERO_ITEM CSL_CITATION {"citationID":"lCoO2wkB","properties":{"formattedCitation":"\\super 26\\uc0\\u8211{}32\\nosupersub{}","plainCitation":"26–32","noteIndex":0},"citationItems":[{"id":1827,"uris":["http://zotero.org/users/local/GOBaAt6I/items/28CHD4W2"],"uri":["http://zotero.org/users/local/GOBaAt6I/items/28CHD4W2"],"itemData":{"id":1827,"type":"article-journal","title":"Bioactivation of loxoprofen to a pharmacologically active metabolite and its disposition kinetics in human skin: Bioactivation of Loxoprofen in Human Skin","container-title":"Biopharmaceutics &amp; Drug Disposition","page":"352-363","volume":"36","issue":"6","source":"DOI.org (Crossref)","DOI":"10.1002/bdd.1945","ISSN":"01422782","title-short":"Bioactivation of loxoprofen to a pharmacologically active metabolite and its disposition kinetics in human skin","journalAbbreviation":"Biopharm. Drug Dispos.","language":"en","author":[{"family":"Sawamura","given":"Ryoko"},{"family":"Sakurai","given":"Hidetaka"},{"family":"Wada","given":"Naoya"},{"family":"Nishiya","given":"Yumi"},{"family":"Honda","given":"Tomoyo"},{"family":"Kazui","given":"Miho"},{"family":"Kurihara","given":"Atsushi"},{"family":"Shinagawa","given":"Akira"},{"family":"Izumi","given":"Takashi"}],"issued":{"date-parts":[["2015",9]]}}},{"id":1828,"uris":["http://zotero.org/users/local/GOBaAt6I/items/9IGG9GEG"],"uri":["http://zotero.org/users/local/GOBaAt6I/items/9IGG9GEG"],"itemData":{"id":1828,"type":"article-journal","title":"Transdermal Adhesive Patches Loaded with Ketoprofen Evaluated by Dynamic Detection of Percutaneous Absorption","container-title":"AAPS PharmSciTech","page":"2141-2148","volume":"18","issue":"6","source":"DOI.org (Crossref)","DOI":"10.1208/s12249-016-0695-8","ISSN":"1530-9932","journalAbbreviation":"AAPS PharmSciTech","language":"en","author":[{"family":"Wang","given":"Menglin"},{"family":"Li","given":"Longwei"},{"family":"Xie","given":"Junxia"},{"family":"Sun","given":"Yinghua"},{"family":"Ling","given":"Guixia"},{"family":"He","given":"Zhonggui"}],"issued":{"date-parts":[["2017",8]]}}},{"id":1829,"uris":["http://zotero.org/users/local/GOBaAt6I/items/VDWTT8VQ"],"uri":["http://zotero.org/users/local/GOBaAt6I/items/VDWTT8VQ"],"itemData":{"id":1829,"type":"article-journal","title":"Pharmacokinetics of Transdermal Etofenamate and Diclofenac in Healthy Volunteers","container-title":"Basic &amp; Clinical Pharmacology &amp; Toxicology","page":"423-429","volume":"121","issue":"5","source":"DOI.org (Crossref)","DOI":"10.1111/bcpt.12818","ISSN":"17427835","journalAbbreviation":"Basic Clin Pharmacol Toxicol","language":"en","author":[{"family":"Drago","given":"Sara"},{"family":"Imboden","given":"Roger"},{"family":"Schlatter","given":"Philipp"},{"family":"Buylaert","given":"Mirabel"},{"family":"Krähenbühl","given":"Stephan"},{"family":"Drewe","given":"Juergen"}],"issued":{"date-parts":[["2017",11]]}}},{"id":1831,"uris":["http://zotero.org/users/local/GOBaAt6I/items/5PLIIAE4"],"uri":["http://zotero.org/users/local/GOBaAt6I/items/5PLIIAE4"],"itemData":{"id":1831,"type":"article-journal","title":"A Pharmacokinetic Study of an Ibuprofen Topical Patch in Healthy Male and Female Adult Volunteers","container-title":"Clinical Pharmacology in Drug Development","page":"684-691","volume":"7","issue":"7","source":"DOI.org (Crossref)","DOI":"10.1002/cpdd.423","ISSN":"2160763X","journalAbbreviation":"Clinical Pharmacology in Drug Development","language":"en","author":[{"family":"Lewis","given":"Fraser"},{"family":"Connolly","given":"Mark P."},{"family":"Bhatt","given":"Aomesh"}],"issued":{"date-parts":[["2018",9]]}}},{"id":1832,"uris":["http://zotero.org/users/local/GOBaAt6I/items/6STDK4RM"],"uri":["http://zotero.org/users/local/GOBaAt6I/items/6STDK4RM"],"itemData":{"id":1832,"type":"article-journal","title":"Tissue distribution and dermal drug determination of indomethacin transdermal-absorption patches","container-title":"Drug Delivery and Translational Research","page":"617-624","volume":"7","issue":"5","source":"DOI.org (Crossref)","DOI":"10.1007/s13346-017-0392-5","ISSN":"2190-393X, 2190-3948","journalAbbreviation":"Drug Deliv. and Transl. Res.","language":"en","author":[{"family":"Ma","given":"Jingjing"},{"family":"Gao","given":"Ying"},{"family":"Sun","given":"Yinghua"},{"family":"Ding","given":"Dawei"},{"family":"Zhang","given":"Qi"},{"family":"Sun","given":"Bingjun"},{"family":"Wang","given":"Menglin"},{"family":"Sun","given":"Jin"},{"family":"He","given":"Zhonggui"}],"issued":{"date-parts":[["2017",10]]}}},{"id":1833,"uris":["http://zotero.org/users/local/GOBaAt6I/items/986KUCCN"],"uri":["http://zotero.org/users/local/GOBaAt6I/items/986KUCCN"],"itemData":{"id":1833,"type":"article-journal","title":"Pharmacokinetic comparison of oral and local action transcutaneous flurbiprofen in healthy volunteers","container-title":"Journal of Clinical Pharmacy and Therapeutics","page":"101-107","volume":"20","issue":"2","source":"PubMed","abstract":"Flurbiprofen is a propionic acid-derived non-steroidal anti-inflammatory drug (NSAID) used widely in the treatment of rheumatism and non-arthritic pain. The pharmacokinetics of topically and orally administered flurbiprofen were compared in a two-part, open study involving healthy adult volunteers. In the first (cross-over) part of the study, 12 Caucasians were randomized to receive either a single oral dose of 50 mg flurbiprofen or a single topical application of a novel 40 mg flurbiprofen-containing patch on the right wrist for 12 h. In the second part of the study, each subject applied a flurbiprofen-containing patch twice daily to the same wrist for 7 days. Plasma concentrations of flurbiprofen and urinary concentrations of the NSAID and its metabolites were measured by high-performance liquid chromatography assay, to enable comparison of the pharmacokinetic parameters for delivery of the drug by both routes. Maximum concentrations of the NSAID in plasma (Cmax) were much lower after a single application of the topical 40 mg flurbiprofen patch than after a single oral dose of 50 mg of the NSAID (mean +/- SD: 43 +/- 16 ng/ml versus 5999 +/- 1300 ng/ml, respectively). After repeated application of the topical patch, Cmax increased only slightly to 103 +/- 57 ng/ml. The mean relative bioavailability of flurbiprofen from the patch was 3.5 +/- 1.7%, calculated from plasma area under the curve data and 4.4 +/- 2.8% from urinary excretion data.(ABSTRACT TRUNCATED AT 250 WORDS)","DOI":"10.1111/j.1365-2710.1995.tb00636.x","ISSN":"0269-4727","note":"PMID: 7650070","journalAbbreviation":"J Clin Pharm Ther","language":"eng","author":[{"family":"Taburet","given":"A. M."},{"family":"Singlas","given":"E."},{"family":"Glass","given":"R. C."},{"family":"Thomas","given":"F."},{"family":"Leutenegger","given":"E."}],"issued":{"date-parts":[["1995",4]]}}},{"id":1835,"uris":["http://zotero.org/users/local/GOBaAt6I/items/W3GWSZU2"],"uri":["http://zotero.org/users/local/GOBaAt6I/items/W3GWSZU2"],"itemData":{"id":1835,"type":"article-journal","title":"Skin permeability of various non-steroidal anti-inflammatory drugs in man","container-title":"Life Sciences","page":"1043-1050","volume":"39","issue":"12","source":"DOI.org (Crossref)","DOI":"10.1016/0024-3205(86)90195-5","ISSN":"00243205","journalAbbreviation":"Life Sciences","language":"en","author":[{"family":"Yano","given":"Tadanori"},{"family":"Nakagawa","given":"Akira"},{"family":"Tsuji","given":"Masayoshi"},{"family":"Noda","given":"Kanji"}],"issued":{"date-parts":[["1986",9]]}}}],"schema":"https://github.com/citation-style-language/schema/raw/master/csl-citation.json"} </w:instrText>
      </w:r>
      <w:r w:rsidRPr="005F7EC5">
        <w:rPr>
          <w:rStyle w:val="translated-span"/>
          <w:rFonts w:ascii="Book Antiqua" w:hAnsi="Book Antiqua"/>
          <w:b/>
        </w:rPr>
        <w:fldChar w:fldCharType="separate"/>
      </w:r>
      <w:r w:rsidRPr="005F7EC5">
        <w:rPr>
          <w:rFonts w:ascii="Book Antiqua" w:hAnsi="Book Antiqua"/>
          <w:b/>
          <w:vertAlign w:val="superscript"/>
        </w:rPr>
        <w:t>2</w:t>
      </w:r>
      <w:r w:rsidR="00C146B5" w:rsidRPr="005F7EC5">
        <w:rPr>
          <w:rFonts w:ascii="Book Antiqua" w:hAnsi="Book Antiqua"/>
          <w:b/>
          <w:vertAlign w:val="superscript"/>
        </w:rPr>
        <w:t>3-29</w:t>
      </w:r>
      <w:r w:rsidRPr="005F7EC5">
        <w:rPr>
          <w:rStyle w:val="translated-span"/>
          <w:rFonts w:ascii="Book Antiqua" w:hAnsi="Book Antiqua"/>
          <w:b/>
        </w:rPr>
        <w:fldChar w:fldCharType="end"/>
      </w:r>
      <w:r w:rsidR="00295E2E" w:rsidRPr="005F7EC5">
        <w:rPr>
          <w:rStyle w:val="translated-span"/>
          <w:rFonts w:ascii="Book Antiqua" w:hAnsi="Book Antiqua"/>
          <w:b/>
          <w:vertAlign w:val="superscript"/>
          <w:lang w:eastAsia="zh-CN"/>
        </w:rPr>
        <w:t>]</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943"/>
        <w:gridCol w:w="1399"/>
        <w:gridCol w:w="1386"/>
        <w:gridCol w:w="1324"/>
        <w:gridCol w:w="1536"/>
        <w:gridCol w:w="1510"/>
        <w:gridCol w:w="1262"/>
      </w:tblGrid>
      <w:tr w:rsidR="00256861" w:rsidRPr="005F7EC5" w14:paraId="0D0D20D7" w14:textId="77777777" w:rsidTr="00BE24CF">
        <w:tc>
          <w:tcPr>
            <w:tcW w:w="572" w:type="pct"/>
            <w:tcBorders>
              <w:top w:val="single" w:sz="8" w:space="0" w:color="auto"/>
              <w:bottom w:val="single" w:sz="8" w:space="0" w:color="auto"/>
            </w:tcBorders>
            <w:tcMar>
              <w:top w:w="0" w:type="dxa"/>
              <w:left w:w="108" w:type="dxa"/>
              <w:bottom w:w="0" w:type="dxa"/>
              <w:right w:w="108" w:type="dxa"/>
            </w:tcMar>
            <w:hideMark/>
          </w:tcPr>
          <w:p w14:paraId="7AD2D14E" w14:textId="4968FD46" w:rsidR="00256861" w:rsidRPr="005F7EC5" w:rsidRDefault="00256861" w:rsidP="005F7EC5">
            <w:pPr>
              <w:adjustRightInd w:val="0"/>
              <w:snapToGrid w:val="0"/>
              <w:spacing w:line="360" w:lineRule="auto"/>
              <w:jc w:val="both"/>
              <w:rPr>
                <w:rFonts w:ascii="Book Antiqua" w:hAnsi="Book Antiqua"/>
                <w:lang w:eastAsia="zh-CN"/>
              </w:rPr>
            </w:pPr>
          </w:p>
        </w:tc>
        <w:tc>
          <w:tcPr>
            <w:tcW w:w="736" w:type="pct"/>
            <w:tcBorders>
              <w:top w:val="single" w:sz="8" w:space="0" w:color="auto"/>
              <w:bottom w:val="single" w:sz="8" w:space="0" w:color="auto"/>
            </w:tcBorders>
            <w:tcMar>
              <w:top w:w="0" w:type="dxa"/>
              <w:left w:w="108" w:type="dxa"/>
              <w:bottom w:w="0" w:type="dxa"/>
              <w:right w:w="108" w:type="dxa"/>
            </w:tcMar>
            <w:hideMark/>
          </w:tcPr>
          <w:p w14:paraId="04B487D0" w14:textId="0F3A7882"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 xml:space="preserve">Loxoprofen </w:t>
            </w:r>
            <w:r w:rsidR="00C51F29">
              <w:rPr>
                <w:rStyle w:val="translated-span"/>
                <w:rFonts w:ascii="Book Antiqua" w:hAnsi="Book Antiqua"/>
                <w:b/>
                <w:bCs/>
              </w:rPr>
              <w:t>s</w:t>
            </w:r>
            <w:r w:rsidRPr="005F7EC5">
              <w:rPr>
                <w:rStyle w:val="translated-span"/>
                <w:rFonts w:ascii="Book Antiqua" w:hAnsi="Book Antiqua"/>
                <w:b/>
                <w:bCs/>
              </w:rPr>
              <w:t xml:space="preserve">odium </w:t>
            </w:r>
          </w:p>
        </w:tc>
        <w:tc>
          <w:tcPr>
            <w:tcW w:w="729" w:type="pct"/>
            <w:tcBorders>
              <w:top w:val="single" w:sz="8" w:space="0" w:color="auto"/>
              <w:bottom w:val="single" w:sz="8" w:space="0" w:color="auto"/>
            </w:tcBorders>
            <w:tcMar>
              <w:top w:w="0" w:type="dxa"/>
              <w:left w:w="108" w:type="dxa"/>
              <w:bottom w:w="0" w:type="dxa"/>
              <w:right w:w="108" w:type="dxa"/>
            </w:tcMar>
            <w:hideMark/>
          </w:tcPr>
          <w:p w14:paraId="1CCAEE6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Ketoprofen</w:t>
            </w:r>
          </w:p>
        </w:tc>
        <w:tc>
          <w:tcPr>
            <w:tcW w:w="696" w:type="pct"/>
            <w:tcBorders>
              <w:top w:val="single" w:sz="8" w:space="0" w:color="auto"/>
              <w:bottom w:val="single" w:sz="8" w:space="0" w:color="auto"/>
            </w:tcBorders>
            <w:tcMar>
              <w:top w:w="0" w:type="dxa"/>
              <w:left w:w="108" w:type="dxa"/>
              <w:bottom w:w="0" w:type="dxa"/>
              <w:right w:w="108" w:type="dxa"/>
            </w:tcMar>
            <w:hideMark/>
          </w:tcPr>
          <w:p w14:paraId="30280BCE"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Diclofenac sodium</w:t>
            </w:r>
          </w:p>
        </w:tc>
        <w:tc>
          <w:tcPr>
            <w:tcW w:w="809" w:type="pct"/>
            <w:tcBorders>
              <w:top w:val="single" w:sz="8" w:space="0" w:color="auto"/>
              <w:bottom w:val="single" w:sz="8" w:space="0" w:color="auto"/>
            </w:tcBorders>
            <w:tcMar>
              <w:top w:w="0" w:type="dxa"/>
              <w:left w:w="108" w:type="dxa"/>
              <w:bottom w:w="0" w:type="dxa"/>
              <w:right w:w="108" w:type="dxa"/>
            </w:tcMar>
            <w:hideMark/>
          </w:tcPr>
          <w:p w14:paraId="0B59AE6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Flurbiprofen</w:t>
            </w:r>
          </w:p>
        </w:tc>
        <w:tc>
          <w:tcPr>
            <w:tcW w:w="795" w:type="pct"/>
            <w:tcBorders>
              <w:top w:val="single" w:sz="8" w:space="0" w:color="auto"/>
              <w:bottom w:val="single" w:sz="8" w:space="0" w:color="auto"/>
            </w:tcBorders>
            <w:tcMar>
              <w:top w:w="0" w:type="dxa"/>
              <w:left w:w="108" w:type="dxa"/>
              <w:bottom w:w="0" w:type="dxa"/>
              <w:right w:w="108" w:type="dxa"/>
            </w:tcMar>
            <w:hideMark/>
          </w:tcPr>
          <w:p w14:paraId="0A83C98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Indometacin</w:t>
            </w:r>
          </w:p>
        </w:tc>
        <w:tc>
          <w:tcPr>
            <w:tcW w:w="663" w:type="pct"/>
            <w:tcBorders>
              <w:top w:val="single" w:sz="8" w:space="0" w:color="auto"/>
              <w:bottom w:val="single" w:sz="8" w:space="0" w:color="auto"/>
            </w:tcBorders>
            <w:tcMar>
              <w:top w:w="0" w:type="dxa"/>
              <w:left w:w="108" w:type="dxa"/>
              <w:bottom w:w="0" w:type="dxa"/>
              <w:right w:w="108" w:type="dxa"/>
            </w:tcMar>
            <w:hideMark/>
          </w:tcPr>
          <w:p w14:paraId="7CD8324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Ibuprofen</w:t>
            </w:r>
          </w:p>
        </w:tc>
      </w:tr>
      <w:tr w:rsidR="00256861" w:rsidRPr="005F7EC5" w14:paraId="6031DA61" w14:textId="77777777" w:rsidTr="00BE24CF">
        <w:tc>
          <w:tcPr>
            <w:tcW w:w="572" w:type="pct"/>
            <w:tcBorders>
              <w:top w:val="single" w:sz="8" w:space="0" w:color="auto"/>
            </w:tcBorders>
            <w:tcMar>
              <w:top w:w="0" w:type="dxa"/>
              <w:left w:w="108" w:type="dxa"/>
              <w:bottom w:w="0" w:type="dxa"/>
              <w:right w:w="108" w:type="dxa"/>
            </w:tcMar>
            <w:hideMark/>
          </w:tcPr>
          <w:p w14:paraId="4BB18C2E"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Log</w:t>
            </w:r>
            <w:r w:rsidRPr="005F7EC5">
              <w:rPr>
                <w:rStyle w:val="translated-span"/>
                <w:rFonts w:ascii="Book Antiqua" w:hAnsi="Book Antiqua"/>
                <w:i/>
              </w:rPr>
              <w:t>P</w:t>
            </w:r>
            <w:r w:rsidRPr="005F7EC5">
              <w:rPr>
                <w:rStyle w:val="translated-span"/>
                <w:rFonts w:ascii="Book Antiqua" w:hAnsi="Book Antiqua"/>
              </w:rPr>
              <w:t xml:space="preserve"> value</w:t>
            </w:r>
          </w:p>
        </w:tc>
        <w:tc>
          <w:tcPr>
            <w:tcW w:w="736" w:type="pct"/>
            <w:tcBorders>
              <w:top w:val="single" w:sz="8" w:space="0" w:color="auto"/>
            </w:tcBorders>
            <w:tcMar>
              <w:top w:w="0" w:type="dxa"/>
              <w:left w:w="108" w:type="dxa"/>
              <w:bottom w:w="0" w:type="dxa"/>
              <w:right w:w="108" w:type="dxa"/>
            </w:tcMar>
            <w:hideMark/>
          </w:tcPr>
          <w:p w14:paraId="755BA3C3"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1.97</w:t>
            </w:r>
          </w:p>
        </w:tc>
        <w:tc>
          <w:tcPr>
            <w:tcW w:w="729" w:type="pct"/>
            <w:tcBorders>
              <w:top w:val="single" w:sz="8" w:space="0" w:color="auto"/>
            </w:tcBorders>
            <w:tcMar>
              <w:top w:w="0" w:type="dxa"/>
              <w:left w:w="108" w:type="dxa"/>
              <w:bottom w:w="0" w:type="dxa"/>
              <w:right w:w="108" w:type="dxa"/>
            </w:tcMar>
            <w:hideMark/>
          </w:tcPr>
          <w:p w14:paraId="57A674FC"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2.94</w:t>
            </w:r>
          </w:p>
        </w:tc>
        <w:tc>
          <w:tcPr>
            <w:tcW w:w="696" w:type="pct"/>
            <w:tcBorders>
              <w:top w:val="single" w:sz="8" w:space="0" w:color="auto"/>
            </w:tcBorders>
            <w:tcMar>
              <w:top w:w="0" w:type="dxa"/>
              <w:left w:w="108" w:type="dxa"/>
              <w:bottom w:w="0" w:type="dxa"/>
              <w:right w:w="108" w:type="dxa"/>
            </w:tcMar>
            <w:hideMark/>
          </w:tcPr>
          <w:p w14:paraId="27E2DF36"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4.31</w:t>
            </w:r>
          </w:p>
        </w:tc>
        <w:tc>
          <w:tcPr>
            <w:tcW w:w="809" w:type="pct"/>
            <w:tcBorders>
              <w:top w:val="single" w:sz="8" w:space="0" w:color="auto"/>
            </w:tcBorders>
            <w:tcMar>
              <w:top w:w="0" w:type="dxa"/>
              <w:left w:w="108" w:type="dxa"/>
              <w:bottom w:w="0" w:type="dxa"/>
              <w:right w:w="108" w:type="dxa"/>
            </w:tcMar>
            <w:hideMark/>
          </w:tcPr>
          <w:p w14:paraId="4599D12A"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3.81</w:t>
            </w:r>
          </w:p>
        </w:tc>
        <w:tc>
          <w:tcPr>
            <w:tcW w:w="795" w:type="pct"/>
            <w:tcBorders>
              <w:top w:val="single" w:sz="8" w:space="0" w:color="auto"/>
            </w:tcBorders>
            <w:tcMar>
              <w:top w:w="0" w:type="dxa"/>
              <w:left w:w="108" w:type="dxa"/>
              <w:bottom w:w="0" w:type="dxa"/>
              <w:right w:w="108" w:type="dxa"/>
            </w:tcMar>
            <w:hideMark/>
          </w:tcPr>
          <w:p w14:paraId="38FA1B17"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4.42</w:t>
            </w:r>
          </w:p>
        </w:tc>
        <w:tc>
          <w:tcPr>
            <w:tcW w:w="663" w:type="pct"/>
            <w:tcBorders>
              <w:top w:val="single" w:sz="8" w:space="0" w:color="auto"/>
            </w:tcBorders>
            <w:tcMar>
              <w:top w:w="0" w:type="dxa"/>
              <w:left w:w="108" w:type="dxa"/>
              <w:bottom w:w="0" w:type="dxa"/>
              <w:right w:w="108" w:type="dxa"/>
            </w:tcMar>
            <w:hideMark/>
          </w:tcPr>
          <w:p w14:paraId="6DEE0B3B"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3.51</w:t>
            </w:r>
          </w:p>
        </w:tc>
      </w:tr>
      <w:tr w:rsidR="00256861" w:rsidRPr="005F7EC5" w14:paraId="51A52183" w14:textId="77777777" w:rsidTr="00BE24CF">
        <w:tc>
          <w:tcPr>
            <w:tcW w:w="572" w:type="pct"/>
            <w:tcMar>
              <w:top w:w="0" w:type="dxa"/>
              <w:left w:w="108" w:type="dxa"/>
              <w:bottom w:w="0" w:type="dxa"/>
              <w:right w:w="108" w:type="dxa"/>
            </w:tcMar>
            <w:hideMark/>
          </w:tcPr>
          <w:p w14:paraId="7393B67E" w14:textId="6737B603"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Cmax</w:t>
            </w:r>
            <w:r w:rsidR="004C6DE4">
              <w:rPr>
                <w:rStyle w:val="translated-span"/>
                <w:rFonts w:ascii="Book Antiqua" w:hAnsi="Book Antiqua"/>
              </w:rPr>
              <w:t xml:space="preserve"> in</w:t>
            </w:r>
            <w:r w:rsidRPr="005F7EC5">
              <w:rPr>
                <w:rStyle w:val="translated-span"/>
                <w:rFonts w:ascii="Book Antiqua" w:hAnsi="Book Antiqua"/>
              </w:rPr>
              <w:t xml:space="preserve"> ng/mL</w:t>
            </w:r>
          </w:p>
        </w:tc>
        <w:tc>
          <w:tcPr>
            <w:tcW w:w="736" w:type="pct"/>
            <w:tcMar>
              <w:top w:w="0" w:type="dxa"/>
              <w:left w:w="108" w:type="dxa"/>
              <w:bottom w:w="0" w:type="dxa"/>
              <w:right w:w="108" w:type="dxa"/>
            </w:tcMar>
            <w:hideMark/>
          </w:tcPr>
          <w:p w14:paraId="04CCF843" w14:textId="2CDEE552"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61.2</w:t>
            </w:r>
            <w:r w:rsidR="00C51F29">
              <w:rPr>
                <w:rFonts w:ascii="Book Antiqua" w:hAnsi="Book Antiqua"/>
              </w:rPr>
              <w:t>0</w:t>
            </w:r>
          </w:p>
        </w:tc>
        <w:tc>
          <w:tcPr>
            <w:tcW w:w="729" w:type="pct"/>
            <w:tcMar>
              <w:top w:w="0" w:type="dxa"/>
              <w:left w:w="108" w:type="dxa"/>
              <w:bottom w:w="0" w:type="dxa"/>
              <w:right w:w="108" w:type="dxa"/>
            </w:tcMar>
            <w:hideMark/>
          </w:tcPr>
          <w:p w14:paraId="465CD8D0"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891.36</w:t>
            </w:r>
          </w:p>
        </w:tc>
        <w:tc>
          <w:tcPr>
            <w:tcW w:w="696" w:type="pct"/>
            <w:tcMar>
              <w:top w:w="0" w:type="dxa"/>
              <w:left w:w="108" w:type="dxa"/>
              <w:bottom w:w="0" w:type="dxa"/>
              <w:right w:w="108" w:type="dxa"/>
            </w:tcMar>
            <w:hideMark/>
          </w:tcPr>
          <w:p w14:paraId="72F67F6C"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0.81</w:t>
            </w:r>
          </w:p>
        </w:tc>
        <w:tc>
          <w:tcPr>
            <w:tcW w:w="809" w:type="pct"/>
            <w:tcMar>
              <w:top w:w="0" w:type="dxa"/>
              <w:left w:w="108" w:type="dxa"/>
              <w:bottom w:w="0" w:type="dxa"/>
              <w:right w:w="108" w:type="dxa"/>
            </w:tcMar>
            <w:hideMark/>
          </w:tcPr>
          <w:p w14:paraId="75834698" w14:textId="019B798D"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43</w:t>
            </w:r>
            <w:r w:rsidR="00C51F29">
              <w:rPr>
                <w:rFonts w:ascii="Book Antiqua" w:hAnsi="Book Antiqua"/>
              </w:rPr>
              <w:t>.</w:t>
            </w:r>
            <w:r w:rsidR="00C51F29">
              <w:t>00</w:t>
            </w:r>
          </w:p>
        </w:tc>
        <w:tc>
          <w:tcPr>
            <w:tcW w:w="795" w:type="pct"/>
            <w:tcMar>
              <w:top w:w="0" w:type="dxa"/>
              <w:left w:w="108" w:type="dxa"/>
              <w:bottom w:w="0" w:type="dxa"/>
              <w:right w:w="108" w:type="dxa"/>
            </w:tcMar>
            <w:hideMark/>
          </w:tcPr>
          <w:p w14:paraId="483838DE"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27.00</w:t>
            </w:r>
          </w:p>
        </w:tc>
        <w:tc>
          <w:tcPr>
            <w:tcW w:w="663" w:type="pct"/>
            <w:tcMar>
              <w:top w:w="0" w:type="dxa"/>
              <w:left w:w="108" w:type="dxa"/>
              <w:bottom w:w="0" w:type="dxa"/>
              <w:right w:w="108" w:type="dxa"/>
            </w:tcMar>
            <w:hideMark/>
          </w:tcPr>
          <w:p w14:paraId="2FEA7C09" w14:textId="4491A9AE"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556</w:t>
            </w:r>
            <w:r w:rsidR="00C51F29">
              <w:rPr>
                <w:rFonts w:ascii="Book Antiqua" w:hAnsi="Book Antiqua"/>
              </w:rPr>
              <w:t>.</w:t>
            </w:r>
            <w:r w:rsidR="00C51F29">
              <w:t>00</w:t>
            </w:r>
          </w:p>
        </w:tc>
      </w:tr>
      <w:tr w:rsidR="00256861" w:rsidRPr="005F7EC5" w14:paraId="783D5A42" w14:textId="77777777" w:rsidTr="00BE24CF">
        <w:tc>
          <w:tcPr>
            <w:tcW w:w="572" w:type="pct"/>
            <w:tcMar>
              <w:top w:w="0" w:type="dxa"/>
              <w:left w:w="108" w:type="dxa"/>
              <w:bottom w:w="0" w:type="dxa"/>
              <w:right w:w="108" w:type="dxa"/>
            </w:tcMar>
            <w:hideMark/>
          </w:tcPr>
          <w:p w14:paraId="470379ED" w14:textId="6373A410"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Tmax</w:t>
            </w:r>
            <w:r w:rsidR="004C6DE4">
              <w:rPr>
                <w:rStyle w:val="translated-span"/>
                <w:rFonts w:ascii="Book Antiqua" w:hAnsi="Book Antiqua"/>
              </w:rPr>
              <w:t xml:space="preserve"> in</w:t>
            </w:r>
            <w:r w:rsidRPr="005F7EC5">
              <w:rPr>
                <w:rStyle w:val="translated-span"/>
                <w:rFonts w:ascii="Book Antiqua" w:hAnsi="Book Antiqua"/>
              </w:rPr>
              <w:t xml:space="preserve"> h</w:t>
            </w:r>
          </w:p>
        </w:tc>
        <w:tc>
          <w:tcPr>
            <w:tcW w:w="736" w:type="pct"/>
            <w:tcMar>
              <w:top w:w="0" w:type="dxa"/>
              <w:left w:w="108" w:type="dxa"/>
              <w:bottom w:w="0" w:type="dxa"/>
              <w:right w:w="108" w:type="dxa"/>
            </w:tcMar>
            <w:hideMark/>
          </w:tcPr>
          <w:p w14:paraId="6B69630B" w14:textId="500E23E1"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82.3</w:t>
            </w:r>
            <w:r w:rsidR="00C51F29">
              <w:rPr>
                <w:rFonts w:ascii="Book Antiqua" w:hAnsi="Book Antiqua"/>
              </w:rPr>
              <w:t>0</w:t>
            </w:r>
          </w:p>
        </w:tc>
        <w:tc>
          <w:tcPr>
            <w:tcW w:w="729" w:type="pct"/>
            <w:tcMar>
              <w:top w:w="0" w:type="dxa"/>
              <w:left w:w="108" w:type="dxa"/>
              <w:bottom w:w="0" w:type="dxa"/>
              <w:right w:w="108" w:type="dxa"/>
            </w:tcMar>
            <w:hideMark/>
          </w:tcPr>
          <w:p w14:paraId="4509970E" w14:textId="498360EE"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7.6</w:t>
            </w:r>
            <w:r w:rsidR="00C51F29">
              <w:rPr>
                <w:rFonts w:ascii="Book Antiqua" w:hAnsi="Book Antiqua"/>
              </w:rPr>
              <w:t>0</w:t>
            </w:r>
          </w:p>
        </w:tc>
        <w:tc>
          <w:tcPr>
            <w:tcW w:w="696" w:type="pct"/>
            <w:tcMar>
              <w:top w:w="0" w:type="dxa"/>
              <w:left w:w="108" w:type="dxa"/>
              <w:bottom w:w="0" w:type="dxa"/>
              <w:right w:w="108" w:type="dxa"/>
            </w:tcMar>
            <w:hideMark/>
          </w:tcPr>
          <w:p w14:paraId="1BF4C9E2" w14:textId="502A5D68"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16.9</w:t>
            </w:r>
            <w:r w:rsidR="00C51F29">
              <w:rPr>
                <w:rFonts w:ascii="Book Antiqua" w:hAnsi="Book Antiqua"/>
              </w:rPr>
              <w:t>0</w:t>
            </w:r>
          </w:p>
        </w:tc>
        <w:tc>
          <w:tcPr>
            <w:tcW w:w="809" w:type="pct"/>
            <w:tcMar>
              <w:top w:w="0" w:type="dxa"/>
              <w:left w:w="108" w:type="dxa"/>
              <w:bottom w:w="0" w:type="dxa"/>
              <w:right w:w="108" w:type="dxa"/>
            </w:tcMar>
            <w:hideMark/>
          </w:tcPr>
          <w:p w14:paraId="18F195C1" w14:textId="044E3B8C"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20</w:t>
            </w:r>
            <w:r w:rsidR="00C51F29">
              <w:rPr>
                <w:rFonts w:ascii="Book Antiqua" w:hAnsi="Book Antiqua"/>
              </w:rPr>
              <w:t>.</w:t>
            </w:r>
            <w:r w:rsidR="00C51F29">
              <w:t>00</w:t>
            </w:r>
          </w:p>
        </w:tc>
        <w:tc>
          <w:tcPr>
            <w:tcW w:w="795" w:type="pct"/>
            <w:tcMar>
              <w:top w:w="0" w:type="dxa"/>
              <w:left w:w="108" w:type="dxa"/>
              <w:bottom w:w="0" w:type="dxa"/>
              <w:right w:w="108" w:type="dxa"/>
            </w:tcMar>
            <w:hideMark/>
          </w:tcPr>
          <w:p w14:paraId="070ADEDD"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16.00</w:t>
            </w:r>
          </w:p>
        </w:tc>
        <w:tc>
          <w:tcPr>
            <w:tcW w:w="663" w:type="pct"/>
            <w:tcMar>
              <w:top w:w="0" w:type="dxa"/>
              <w:left w:w="108" w:type="dxa"/>
              <w:bottom w:w="0" w:type="dxa"/>
              <w:right w:w="108" w:type="dxa"/>
            </w:tcMar>
            <w:hideMark/>
          </w:tcPr>
          <w:p w14:paraId="47147E48" w14:textId="484F1864"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14.4</w:t>
            </w:r>
            <w:r w:rsidR="00C51F29">
              <w:rPr>
                <w:rFonts w:ascii="Book Antiqua" w:hAnsi="Book Antiqua"/>
              </w:rPr>
              <w:t>0</w:t>
            </w:r>
          </w:p>
        </w:tc>
      </w:tr>
      <w:tr w:rsidR="00256861" w:rsidRPr="005F7EC5" w14:paraId="1C8C1441" w14:textId="77777777" w:rsidTr="00BE24CF">
        <w:tc>
          <w:tcPr>
            <w:tcW w:w="572" w:type="pct"/>
            <w:tcMar>
              <w:top w:w="0" w:type="dxa"/>
              <w:left w:w="108" w:type="dxa"/>
              <w:bottom w:w="0" w:type="dxa"/>
              <w:right w:w="108" w:type="dxa"/>
            </w:tcMar>
            <w:hideMark/>
          </w:tcPr>
          <w:p w14:paraId="64BC8877" w14:textId="0941ED4B"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w:t>
            </w:r>
            <w:r w:rsidRPr="005F7EC5">
              <w:rPr>
                <w:rStyle w:val="translated-span"/>
                <w:rFonts w:ascii="Book Antiqua" w:hAnsi="Book Antiqua"/>
                <w:vertAlign w:val="subscript"/>
              </w:rPr>
              <w:t xml:space="preserve">1/2 </w:t>
            </w:r>
            <w:r w:rsidR="004C6DE4">
              <w:t xml:space="preserve">in </w:t>
            </w:r>
            <w:r w:rsidRPr="005F7EC5">
              <w:rPr>
                <w:rFonts w:ascii="Book Antiqua" w:hAnsi="Book Antiqua"/>
              </w:rPr>
              <w:t>h</w:t>
            </w:r>
          </w:p>
        </w:tc>
        <w:tc>
          <w:tcPr>
            <w:tcW w:w="736" w:type="pct"/>
            <w:tcMar>
              <w:top w:w="0" w:type="dxa"/>
              <w:left w:w="108" w:type="dxa"/>
              <w:bottom w:w="0" w:type="dxa"/>
              <w:right w:w="108" w:type="dxa"/>
            </w:tcMar>
            <w:hideMark/>
          </w:tcPr>
          <w:p w14:paraId="2FCC2C0D"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7.8</w:t>
            </w:r>
          </w:p>
        </w:tc>
        <w:tc>
          <w:tcPr>
            <w:tcW w:w="729" w:type="pct"/>
            <w:tcMar>
              <w:top w:w="0" w:type="dxa"/>
              <w:left w:w="108" w:type="dxa"/>
              <w:bottom w:w="0" w:type="dxa"/>
              <w:right w:w="108" w:type="dxa"/>
            </w:tcMar>
            <w:hideMark/>
          </w:tcPr>
          <w:p w14:paraId="46C2BB00"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NA</w:t>
            </w:r>
          </w:p>
        </w:tc>
        <w:tc>
          <w:tcPr>
            <w:tcW w:w="696" w:type="pct"/>
            <w:tcMar>
              <w:top w:w="0" w:type="dxa"/>
              <w:left w:w="108" w:type="dxa"/>
              <w:bottom w:w="0" w:type="dxa"/>
              <w:right w:w="108" w:type="dxa"/>
            </w:tcMar>
            <w:hideMark/>
          </w:tcPr>
          <w:p w14:paraId="378CC565"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NA</w:t>
            </w:r>
          </w:p>
        </w:tc>
        <w:tc>
          <w:tcPr>
            <w:tcW w:w="809" w:type="pct"/>
            <w:tcMar>
              <w:top w:w="0" w:type="dxa"/>
              <w:left w:w="108" w:type="dxa"/>
              <w:bottom w:w="0" w:type="dxa"/>
              <w:right w:w="108" w:type="dxa"/>
            </w:tcMar>
            <w:hideMark/>
          </w:tcPr>
          <w:p w14:paraId="2E7D77BA" w14:textId="450AF2B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13.9</w:t>
            </w:r>
            <w:r w:rsidR="00C51F29">
              <w:rPr>
                <w:rFonts w:ascii="Book Antiqua" w:hAnsi="Book Antiqua"/>
              </w:rPr>
              <w:t>0</w:t>
            </w:r>
          </w:p>
        </w:tc>
        <w:tc>
          <w:tcPr>
            <w:tcW w:w="795" w:type="pct"/>
            <w:tcMar>
              <w:top w:w="0" w:type="dxa"/>
              <w:left w:w="108" w:type="dxa"/>
              <w:bottom w:w="0" w:type="dxa"/>
              <w:right w:w="108" w:type="dxa"/>
            </w:tcMar>
            <w:hideMark/>
          </w:tcPr>
          <w:p w14:paraId="1E66F1B7"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11.55</w:t>
            </w:r>
          </w:p>
        </w:tc>
        <w:tc>
          <w:tcPr>
            <w:tcW w:w="663" w:type="pct"/>
            <w:tcMar>
              <w:top w:w="0" w:type="dxa"/>
              <w:left w:w="108" w:type="dxa"/>
              <w:bottom w:w="0" w:type="dxa"/>
              <w:right w:w="108" w:type="dxa"/>
            </w:tcMar>
            <w:hideMark/>
          </w:tcPr>
          <w:p w14:paraId="6E53B678"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NA</w:t>
            </w:r>
          </w:p>
        </w:tc>
      </w:tr>
    </w:tbl>
    <w:p w14:paraId="44F1C26D" w14:textId="77777777" w:rsidR="00256861" w:rsidRPr="005F7EC5" w:rsidRDefault="00256861" w:rsidP="005F7EC5">
      <w:pPr>
        <w:adjustRightInd w:val="0"/>
        <w:snapToGrid w:val="0"/>
        <w:spacing w:line="360" w:lineRule="auto"/>
        <w:jc w:val="both"/>
        <w:rPr>
          <w:rFonts w:ascii="Book Antiqua" w:hAnsi="Book Antiqua"/>
        </w:rPr>
      </w:pPr>
    </w:p>
    <w:p w14:paraId="09BCAE03" w14:textId="77775963" w:rsidR="00256861" w:rsidRPr="005F7EC5" w:rsidRDefault="00256861" w:rsidP="005F7EC5">
      <w:pPr>
        <w:adjustRightInd w:val="0"/>
        <w:snapToGrid w:val="0"/>
        <w:spacing w:line="360" w:lineRule="auto"/>
        <w:jc w:val="both"/>
        <w:rPr>
          <w:rFonts w:ascii="Book Antiqua" w:hAnsi="Book Antiqua"/>
          <w:b/>
          <w:bCs/>
          <w:vertAlign w:val="superscript"/>
          <w:lang w:eastAsia="zh-CN"/>
        </w:rPr>
      </w:pPr>
      <w:r w:rsidRPr="005F7EC5">
        <w:rPr>
          <w:rStyle w:val="translated-span"/>
          <w:rFonts w:ascii="Book Antiqua" w:hAnsi="Book Antiqua"/>
          <w:b/>
          <w:bCs/>
        </w:rPr>
        <w:br w:type="page"/>
      </w:r>
      <w:r w:rsidRPr="005F7EC5">
        <w:rPr>
          <w:rStyle w:val="translated-span"/>
          <w:rFonts w:ascii="Book Antiqua" w:hAnsi="Book Antiqua"/>
          <w:b/>
          <w:bCs/>
        </w:rPr>
        <w:lastRenderedPageBreak/>
        <w:t>Table 5</w:t>
      </w:r>
      <w:r w:rsidRPr="005F7EC5">
        <w:rPr>
          <w:rStyle w:val="translated-span"/>
          <w:rFonts w:ascii="Book Antiqua" w:hAnsi="Book Antiqua"/>
          <w:b/>
        </w:rPr>
        <w:t xml:space="preserve"> Pharmacology of</w:t>
      </w:r>
      <w:r w:rsidR="00E07E6C" w:rsidRPr="005F7EC5">
        <w:rPr>
          <w:rStyle w:val="translated-span"/>
          <w:rFonts w:ascii="Book Antiqua" w:hAnsi="Book Antiqua"/>
          <w:b/>
        </w:rPr>
        <w:t xml:space="preserve"> fentanyl and buprenorphine transdermal pat</w:t>
      </w:r>
      <w:r w:rsidRPr="005F7EC5">
        <w:rPr>
          <w:rStyle w:val="translated-span"/>
          <w:rFonts w:ascii="Book Antiqua" w:hAnsi="Book Antiqua"/>
          <w:b/>
        </w:rPr>
        <w:t>ches</w:t>
      </w:r>
      <w:r w:rsidR="00E07E6C" w:rsidRPr="005F7EC5">
        <w:rPr>
          <w:rStyle w:val="translated-span"/>
          <w:rFonts w:ascii="Book Antiqua" w:hAnsi="Book Antiqua"/>
          <w:b/>
          <w:vertAlign w:val="superscript"/>
          <w:lang w:eastAsia="zh-CN"/>
        </w:rPr>
        <w:t>[</w:t>
      </w:r>
      <w:r w:rsidRPr="005F7EC5">
        <w:rPr>
          <w:rStyle w:val="translated-span"/>
          <w:rFonts w:ascii="Book Antiqua" w:hAnsi="Book Antiqua"/>
          <w:b/>
        </w:rPr>
        <w:fldChar w:fldCharType="begin"/>
      </w:r>
      <w:r w:rsidRPr="005F7EC5">
        <w:rPr>
          <w:rStyle w:val="translated-span"/>
          <w:rFonts w:ascii="Book Antiqua" w:hAnsi="Book Antiqua"/>
          <w:b/>
        </w:rPr>
        <w:instrText xml:space="preserve"> ADDIN ZOTERO_ITEM CSL_CITATION {"citationID":"R0JT3NAf","properties":{"formattedCitation":"\\super 48\\uc0\\u8211{}52\\nosupersub{}","plainCitation":"48–52","noteIndex":0},"citationItems":[{"id":1836,"uris":["http://zotero.org/users/local/GOBaAt6I/items/5PLTSY92"],"uri":["http://zotero.org/users/local/GOBaAt6I/items/5PLTSY92"],"itemData":{"id":1836,"type":"article-journal","title":"Transdermal fentanyl. A review of its pharmacological properties and therapeutic efficacy in pain control","container-title":"Drugs","page":"109-138","volume":"53","issue":"1","source":"PubMed","abstract":"Fentanyl is a synthetic opioid with short-acting analgesic activity after intravenous or subcutaneous administration. The low molecular weight, high potency and lipid solubility of fentanyl make it suitable for delivery via the transdermal therapeutic system (TTS). These systems are designed to release the drug into the skin at a constant rate ranging from 25 to 100 micrograms/h, multiple systems can be applied to achieve higher delivery rates. Initially, much of the clinical experience with fentanyl TTS was obtained in patients with acute postoperative pain. However, because of the increased risk of respiratory complications, fentanyl TTS is contraindicated in this setting. Fentanyl TTS is recommended for use in chronic cancer pain. Moreover, in 11 countries worldwide including the US, its use is not restricted to chronic cancer pain; the drug is also available for treatment of general chronic pain, including that of nonmalignant origin. At the start of fentanyl TTS treatment, depot accumulation of the drug within skin tissue results in a significant delay (17 to 48 hours) before maximum plasma concentration is achieved. Approximately half of the cancer patients converted to transdermal fentanyl from other opioid agents required increased dosages after initial application of the patch. However, concomitant use of short-acting morphine maintained pain relief during the titration period, and the use of such supplementary medication decreased with the duration of fentanyl TTS treatment. In patients with chronic cancer pain, changes in visual analogue scale (VAS) pain scores ranged from a 10% increase (worse pain) to &gt; 50% decrease (less pain) during transdermal fentanyl therapy compared with previous opioid treatment. In addition, patient preference for fentanyl TTS was indicated by the number of patient requests (up to 95%) for continued use of the drug at the end of the study. Although fentanyl TTS is contraindicated in patients postoperatively, the efficacy of fentanyl via the transdermal route was investigated in this patient group. Supplementary patient controlled analgesia was significantly reduced in patients who received fentanyl TTS 75 micrograms/h compared with placebo, although this was not apparent until &gt; or = 12 hours after application. Data evaluating pain relief, which was assessed by VAS pain scores, were inconclusive. Preliminary data, although from relatively small numbers of patients, indicate that transdermal fentanyl may be useful in the management of chronic non-malignant pain. Indeed, some patients whose pain was previously uncontrolled became completely pain free. The most frequently occurring adverse events during fentanyl TTS therapy (as with other opioid agents) included vomiting, nausea and constipation, although vomiting and nausea were not clearly associated with the drug. The most serious adverse event was hypoventilation, which occurred more frequently in postoperative (4%) than in cancer patients (2%). In surgical patients, fentanyl-associated respiratory events (reduced respiratory rate and apnoea) generally occurred within 24 hours of patch application; however, there were isolated reports of late onset (&gt; or = 36 hours postsurgery) fentanyl-associated respiratory depression. In cancer patients, the incidence of constipation was reduced by up to two-thirds after switching from oral morphine to transdermal fentanyl. Transient skin irritation associated with the plastic patch or the adhesive, rather than the drug, was reported in a maximum 3% of patients. In summary, transdermal fentanyl is a useful alternative to other opioid agents, which are also recommended on the third step of the WHO analgesic ladder, in the management of chronic malignant pain. Preliminary data indicate that it may be useful in the management of chronic nonmalignant pain. The advantages offered by fentanyl TTS over traditional methods of chronic pain control include its ease of administration, less constipation and the 3-","DOI":"10.2165/00003495-199753010-00011","ISSN":"0012-6667","note":"PMID: 9010652","journalAbbreviation":"Drugs","language":"eng","author":[{"family":"Jeal","given":"W."},{"family":"Benfield","given":"P."}],"issued":{"date-parts":[["1997",1]]}}},{"id":2396,"uris":["http://zotero.org/users/local/GOBaAt6I/items/NQDMVFMK"],"uri":["http://zotero.org/users/local/GOBaAt6I/items/NQDMVFMK"],"itemData":{"id":2396,"type":"article-journal","title":"Transdermal fentanyl: an updated review of its pharmacological properties and therapeutic efficacy in chronic cancer pain control","container-title":"Drugs","page":"2289-2307","volume":"61","issue":"15","source":"PubMed","abstract":"Fentanyl is a synthetic opioid agonist which interacts primarily with the mu-opioid receptor. The low molecular weight, high potency and lipid solubility of fentanyl make it suitable for delivery by the transdermal therapeutic system. These patches are designed to deliver fentanyl at a constant rate (25, 50, 75 and 100 microg/h), and require replacement every 3 days. Data from randomised, nonblind trials suggest that transdermal fentanyl is as effective as sustained-release oral morphine in the treatment of chronic cancer pain, as reported by patients using visual and numerical analogue scales as well as verbal description scales. No obvious differences in health-related quality of life were found in patients with chronic cancer pain when comparing transdermal fentanyl with sustained-release oral morphine. Nevertheless, significantly more patients expressed a preference for transdermal fentanyl than for sustained-release oral morphine after a randomised, nonblind, crossover trial. Because of the formation of a fentanyl depot in the skin tissue, serum fentanyl concentrations increase gradually following initial application, generally levelling off between 12 and 24 hours. Thereafter, they remain relatively constant, with some fluctuation, for the remainder of the 72-hour application period. Once achieved, steady-state plasma fentanyl concentrations can be maintained for as long as the patches are renewed. The most frequently observed adverse events during transdermal fentanyl administration (as with other opioid agonists) included vomiting, nausea and constipation. Data from a nonblind, randomised trials suggest that constipation occurs less frequently in patients receiving transdermal fentanyl than in those given sustained-release oral morphine. The most serious adverse event reported in US premarketing trials was hypoventilation, which occurred with an incidence of approximately 2%. Adverse reactions related to skin and appendages (i.e. rash and application site reactions - erythema, papules, itching and oedema) were reported in 153 patients with cancer at a frequency between 1 and 3%.\nCONCLUSION: Transdermal fentanyl is a useful opioid-agonist for the treatment of moderate to severe chronic cancer pain. The advantages of transdermal fentanyl include ease of administration and the 3-day application interval. These factors coupled with a lower incidence of constipation are likely to contribute to the reported patient preference of transdermal fentanyl over sustained-release oral morphine.","DOI":"10.2165/00003495-200161150-00014","ISSN":"0012-6667","note":"PMID: 11772140","title-short":"Transdermal fentanyl","journalAbbreviation":"Drugs","language":"eng","author":[{"family":"Muijsers","given":"R. B."},{"family":"Wagstaff","given":"A. J."}],"issued":{"date-parts":[["2001"]]}}},{"id":1838,"uris":["http://zotero.org/users/local/GOBaAt6I/items/UJ5S96H2"],"uri":["http://zotero.org/users/local/GOBaAt6I/items/UJ5S96H2"],"itemData":{"id":1838,"type":"article-newspaper","title":"US Food and Drug Administration. Duralgesic ® prescribing information. [EB/OL].","URL":"https://www.accessdata.fda.gov/drugsatfda_docs/label/2018/019813s075s076lbl.pdf","issued":{"date-parts":[["2019",6,24]]}}},{"id":2399,"uris":["http://zotero.org/users/local/GOBaAt6I/items/CU3F2CRE"],"uri":["http://zotero.org/users/local/GOBaAt6I/items/CU3F2CRE"],"itemData":{"id":2399,"type":"article-journal","title":"Transdermal buprenorphine","container-title":"Drugs","page":"1999-2010; discussion 2011-2012","volume":"63","issue":"19","source":"PubMed","abstract":"Buprenorphine is a low molecular weight, lipophilic, opioid analgesic. Recently, a transdermal matrix patch formulation of buprenorphine has become available in three dosage strengths designed to release buprenorphine at 35, 52.5 and 70 micro g/h over a 72-hour period. At least satisfactory analgesia with minimal requirement for rescue medication (&lt;/=0.2 mg/day sublingual buprenorphine) was achieved by 34-50% of patients with chronic pain treated with transdermal buprenorphine 35, 52.5 or 70 micro g/h and 31% of placebo recipients, in one double-blind, placebo-controlled, randomised trial. In one trial involving patients unsuccessfully treated with weak opioids or morphine, 36.6% and 47.5% of buprenorphine 35 micro g/h and 52.5 micro g/h recipients, respectively, experienced at least satisfactory analgesia and received &lt;/=0.2 mg/day of sublingual buprenorphine compared with 16.2% of placebo recipients (both p &lt;/= 0.032). The requirement for rescue medication was reduced from baseline in &gt;50% of patients treated with transdermal buprenorphine, in two trials. Furthermore, despite the availability of rescue medication to all patients, those receiving transdermal buprenorphine tended to experience greater pain relief, reduced pain intensity and longer pain-free sleep. Transdermal buprenorphine was generally well tolerated. Systemic adverse events were typical of opioid treatment or were attributable to the underlying disease.","DOI":"10.2165/00003495-200363190-00003","ISSN":"0012-6667","note":"PMID: 12962515","journalAbbreviation":"Drugs","language":"eng","author":[{"family":"Evans","given":"Hannah C."},{"family":"Easthope","given":"Stephanie E."}],"issued":{"date-parts":[["2003"]]}}},{"id":2401,"uris":["http://zotero.org/users/local/GOBaAt6I/items/FZIYRTWL"],"uri":["http://zotero.org/users/local/GOBaAt6I/items/FZIYRTWL"],"itemData":{"id":2401,"type":"article-journal","title":"The role of transdermal buprenorphine in the treatment of cancer pain: an expert panel consensus","container-title":"Current Medical Research and Opinion","page":"1517-1528","volume":"25","issue":"6","source":"DOI.org (Crossref)","DOI":"10.1185/03007990902920731","ISSN":"0300-7995, 1473-4877","title-short":"The role of transdermal buprenorphine in the treatment of cancer pain","journalAbbreviation":"Current Medical Research and Opinion","language":"en","author":[{"family":"Pergolizzi","given":"Joseph V."},{"family":"Mercadante","given":"Sebastiano"},{"family":"Echaburu","given":"Antonio Virizuela"},{"family":"Eynden","given":"Bart Van","dropping-particle":"den"},{"family":"Fragoso","given":"Rosa María de Faría"},{"family":"Mordarski","given":"Sylvester"},{"family":"Lybaert","given":"Willem"},{"family":"Beniak","given":"Juraj"},{"family":"Orońska","given":"Anna"},{"family":"Slama","given":"Ondrej"}],"issued":{"date-parts":[["2009",6,1]]}}}],"schema":"https://github.com/citation-style-language/schema/raw/master/csl-citation.json"} </w:instrText>
      </w:r>
      <w:r w:rsidRPr="005F7EC5">
        <w:rPr>
          <w:rStyle w:val="translated-span"/>
          <w:rFonts w:ascii="Book Antiqua" w:hAnsi="Book Antiqua"/>
          <w:b/>
        </w:rPr>
        <w:fldChar w:fldCharType="separate"/>
      </w:r>
      <w:r w:rsidRPr="005F7EC5">
        <w:rPr>
          <w:rFonts w:ascii="Book Antiqua" w:hAnsi="Book Antiqua"/>
          <w:b/>
          <w:vertAlign w:val="superscript"/>
        </w:rPr>
        <w:t>48</w:t>
      </w:r>
      <w:r w:rsidR="008E3FEB" w:rsidRPr="005F7EC5">
        <w:rPr>
          <w:rFonts w:ascii="Book Antiqua" w:hAnsi="Book Antiqua"/>
          <w:b/>
          <w:vertAlign w:val="superscript"/>
        </w:rPr>
        <w:t>-</w:t>
      </w:r>
      <w:r w:rsidRPr="005F7EC5">
        <w:rPr>
          <w:rFonts w:ascii="Book Antiqua" w:hAnsi="Book Antiqua"/>
          <w:b/>
          <w:vertAlign w:val="superscript"/>
        </w:rPr>
        <w:t>52</w:t>
      </w:r>
      <w:r w:rsidRPr="005F7EC5">
        <w:rPr>
          <w:rStyle w:val="translated-span"/>
          <w:rFonts w:ascii="Book Antiqua" w:hAnsi="Book Antiqua"/>
          <w:b/>
        </w:rPr>
        <w:fldChar w:fldCharType="end"/>
      </w:r>
      <w:r w:rsidR="00E07E6C" w:rsidRPr="005F7EC5">
        <w:rPr>
          <w:rStyle w:val="translated-span"/>
          <w:rFonts w:ascii="Book Antiqua" w:hAnsi="Book Antiqua"/>
          <w:b/>
          <w:vertAlign w:val="superscript"/>
          <w:lang w:eastAsia="zh-CN"/>
        </w:rPr>
        <w:t>]</w:t>
      </w:r>
    </w:p>
    <w:tbl>
      <w:tblPr>
        <w:tblW w:w="9498"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763"/>
        <w:gridCol w:w="3766"/>
        <w:gridCol w:w="3969"/>
      </w:tblGrid>
      <w:tr w:rsidR="00256861" w:rsidRPr="005F7EC5" w14:paraId="75DA04A4" w14:textId="77777777" w:rsidTr="009256F1">
        <w:trPr>
          <w:trHeight w:val="267"/>
        </w:trPr>
        <w:tc>
          <w:tcPr>
            <w:tcW w:w="0" w:type="auto"/>
            <w:tcBorders>
              <w:top w:val="single" w:sz="8" w:space="0" w:color="auto"/>
              <w:bottom w:val="single" w:sz="8" w:space="0" w:color="auto"/>
            </w:tcBorders>
            <w:shd w:val="clear" w:color="auto" w:fill="auto"/>
            <w:tcMar>
              <w:top w:w="0" w:type="dxa"/>
              <w:left w:w="108" w:type="dxa"/>
              <w:bottom w:w="0" w:type="dxa"/>
              <w:right w:w="108" w:type="dxa"/>
            </w:tcMar>
            <w:hideMark/>
          </w:tcPr>
          <w:p w14:paraId="266C5779" w14:textId="77777777" w:rsidR="00256861" w:rsidRPr="005F7EC5" w:rsidRDefault="00256861" w:rsidP="005F7EC5">
            <w:pPr>
              <w:adjustRightInd w:val="0"/>
              <w:snapToGrid w:val="0"/>
              <w:spacing w:line="360" w:lineRule="auto"/>
              <w:jc w:val="both"/>
              <w:rPr>
                <w:rFonts w:ascii="Book Antiqua" w:hAnsi="Book Antiqua"/>
              </w:rPr>
            </w:pPr>
          </w:p>
        </w:tc>
        <w:tc>
          <w:tcPr>
            <w:tcW w:w="3766" w:type="dxa"/>
            <w:tcBorders>
              <w:top w:val="single" w:sz="8" w:space="0" w:color="auto"/>
              <w:bottom w:val="single" w:sz="8" w:space="0" w:color="auto"/>
            </w:tcBorders>
            <w:shd w:val="clear" w:color="auto" w:fill="auto"/>
            <w:tcMar>
              <w:top w:w="0" w:type="dxa"/>
              <w:left w:w="108" w:type="dxa"/>
              <w:bottom w:w="0" w:type="dxa"/>
              <w:right w:w="108" w:type="dxa"/>
            </w:tcMar>
            <w:hideMark/>
          </w:tcPr>
          <w:p w14:paraId="25648125" w14:textId="7C02223F" w:rsidR="00256861" w:rsidRPr="005F7EC5" w:rsidRDefault="009256F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Fentanyl transdermal patch</w:t>
            </w:r>
          </w:p>
        </w:tc>
        <w:tc>
          <w:tcPr>
            <w:tcW w:w="3969" w:type="dxa"/>
            <w:tcBorders>
              <w:top w:val="single" w:sz="8" w:space="0" w:color="auto"/>
              <w:bottom w:val="single" w:sz="8" w:space="0" w:color="auto"/>
            </w:tcBorders>
            <w:shd w:val="clear" w:color="auto" w:fill="auto"/>
            <w:tcMar>
              <w:top w:w="0" w:type="dxa"/>
              <w:left w:w="108" w:type="dxa"/>
              <w:bottom w:w="0" w:type="dxa"/>
              <w:right w:w="108" w:type="dxa"/>
            </w:tcMar>
            <w:hideMark/>
          </w:tcPr>
          <w:p w14:paraId="1BBB2729" w14:textId="1414D681" w:rsidR="00256861" w:rsidRPr="005F7EC5" w:rsidRDefault="009256F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 xml:space="preserve">Buprenorphine transdermal patch </w:t>
            </w:r>
          </w:p>
        </w:tc>
      </w:tr>
      <w:tr w:rsidR="00256861" w:rsidRPr="005F7EC5" w14:paraId="6EB31BBD" w14:textId="77777777" w:rsidTr="009256F1">
        <w:trPr>
          <w:trHeight w:val="1902"/>
        </w:trPr>
        <w:tc>
          <w:tcPr>
            <w:tcW w:w="0" w:type="auto"/>
            <w:tcBorders>
              <w:top w:val="single" w:sz="8" w:space="0" w:color="auto"/>
            </w:tcBorders>
            <w:shd w:val="clear" w:color="auto" w:fill="auto"/>
            <w:tcMar>
              <w:top w:w="0" w:type="dxa"/>
              <w:left w:w="108" w:type="dxa"/>
              <w:bottom w:w="0" w:type="dxa"/>
              <w:right w:w="108" w:type="dxa"/>
            </w:tcMar>
            <w:hideMark/>
          </w:tcPr>
          <w:p w14:paraId="47F102FC"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Absorption</w:t>
            </w:r>
          </w:p>
        </w:tc>
        <w:tc>
          <w:tcPr>
            <w:tcW w:w="3766" w:type="dxa"/>
            <w:tcBorders>
              <w:top w:val="single" w:sz="8" w:space="0" w:color="auto"/>
            </w:tcBorders>
            <w:shd w:val="clear" w:color="auto" w:fill="auto"/>
            <w:tcMar>
              <w:top w:w="0" w:type="dxa"/>
              <w:left w:w="108" w:type="dxa"/>
              <w:bottom w:w="0" w:type="dxa"/>
              <w:right w:w="108" w:type="dxa"/>
            </w:tcMar>
            <w:hideMark/>
          </w:tcPr>
          <w:p w14:paraId="76CD83CC" w14:textId="4667DED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Bioavailability, 92%</w:t>
            </w:r>
            <w:r w:rsidR="003D37AF" w:rsidRPr="005F7EC5">
              <w:rPr>
                <w:rFonts w:ascii="Book Antiqua" w:hAnsi="Book Antiqua"/>
                <w:lang w:eastAsia="zh-CN"/>
              </w:rPr>
              <w:t xml:space="preserve">; </w:t>
            </w:r>
            <w:r w:rsidRPr="005F7EC5">
              <w:rPr>
                <w:rStyle w:val="translated-span"/>
                <w:rFonts w:ascii="Book Antiqua" w:hAnsi="Book Antiqua"/>
              </w:rPr>
              <w:t>Plasma protein binding,</w:t>
            </w:r>
            <w:r w:rsidRPr="005F7EC5" w:rsidDel="00537B21">
              <w:rPr>
                <w:rStyle w:val="translated-span"/>
                <w:rFonts w:ascii="Book Antiqua" w:hAnsi="Book Antiqua"/>
              </w:rPr>
              <w:t xml:space="preserve"> </w:t>
            </w:r>
            <w:r w:rsidRPr="005F7EC5">
              <w:rPr>
                <w:rStyle w:val="translated-span"/>
                <w:rFonts w:ascii="Book Antiqua" w:hAnsi="Book Antiqua"/>
              </w:rPr>
              <w:t>79%-87%</w:t>
            </w:r>
            <w:r w:rsidR="003D37AF" w:rsidRPr="005F7EC5">
              <w:rPr>
                <w:rFonts w:ascii="Book Antiqua" w:hAnsi="Book Antiqua"/>
                <w:lang w:eastAsia="zh-CN"/>
              </w:rPr>
              <w:t xml:space="preserve">; </w:t>
            </w:r>
            <w:r w:rsidR="003D37AF" w:rsidRPr="005F7EC5">
              <w:rPr>
                <w:rStyle w:val="translated-span"/>
                <w:rFonts w:ascii="Book Antiqua" w:hAnsi="Book Antiqua"/>
              </w:rPr>
              <w:t>Cmax, 2.6 μg/L</w:t>
            </w:r>
            <w:r w:rsidR="003D37AF" w:rsidRPr="005F7EC5">
              <w:rPr>
                <w:rStyle w:val="translated-span"/>
                <w:rFonts w:ascii="Book Antiqua" w:hAnsi="Book Antiqua"/>
                <w:lang w:eastAsia="zh-CN"/>
              </w:rPr>
              <w:t xml:space="preserve">; </w:t>
            </w:r>
            <w:r w:rsidR="00C51F29">
              <w:rPr>
                <w:rStyle w:val="translated-span"/>
                <w:rFonts w:ascii="Book Antiqua" w:hAnsi="Book Antiqua"/>
              </w:rPr>
              <w:t>E</w:t>
            </w:r>
            <w:r w:rsidRPr="005F7EC5">
              <w:rPr>
                <w:rStyle w:val="translated-span"/>
                <w:rFonts w:ascii="Book Antiqua" w:hAnsi="Book Antiqua"/>
              </w:rPr>
              <w:t>ffective time</w:t>
            </w:r>
            <w:r w:rsidR="00C51F29">
              <w:rPr>
                <w:rStyle w:val="translated-span"/>
                <w:rFonts w:ascii="Book Antiqua" w:hAnsi="Book Antiqua"/>
              </w:rPr>
              <w:t>,</w:t>
            </w:r>
            <w:r w:rsidRPr="005F7EC5">
              <w:rPr>
                <w:rStyle w:val="translated-span"/>
                <w:rFonts w:ascii="Book Antiqua" w:hAnsi="Book Antiqua"/>
              </w:rPr>
              <w:t xml:space="preserve"> 12.7-16.6 h</w:t>
            </w:r>
            <w:r w:rsidR="003D37AF" w:rsidRPr="005F7EC5">
              <w:rPr>
                <w:rFonts w:ascii="Book Antiqua" w:hAnsi="Book Antiqua"/>
                <w:lang w:eastAsia="zh-CN"/>
              </w:rPr>
              <w:t xml:space="preserve">; </w:t>
            </w:r>
            <w:r w:rsidRPr="005F7EC5">
              <w:rPr>
                <w:rStyle w:val="translated-span"/>
                <w:rFonts w:ascii="Book Antiqua" w:hAnsi="Book Antiqua"/>
              </w:rPr>
              <w:t>Peak time 38.1 h</w:t>
            </w:r>
            <w:r w:rsidR="003D37AF" w:rsidRPr="005F7EC5">
              <w:rPr>
                <w:rFonts w:ascii="Book Antiqua" w:hAnsi="Book Antiqua"/>
                <w:lang w:eastAsia="zh-CN"/>
              </w:rPr>
              <w:t xml:space="preserve">; </w:t>
            </w:r>
            <w:r w:rsidRPr="005F7EC5">
              <w:rPr>
                <w:rStyle w:val="translated-span"/>
                <w:rFonts w:ascii="Book Antiqua" w:hAnsi="Book Antiqua"/>
              </w:rPr>
              <w:t>AUC, 117 μg/L</w:t>
            </w:r>
            <w:r w:rsidR="00C51F29">
              <w:rPr>
                <w:rStyle w:val="translated-span"/>
                <w:rFonts w:ascii="Book Antiqua" w:hAnsi="Book Antiqua"/>
              </w:rPr>
              <w:t>;</w:t>
            </w:r>
            <w:r w:rsidRPr="005F7EC5">
              <w:rPr>
                <w:rStyle w:val="translated-span"/>
                <w:rFonts w:ascii="Book Antiqua" w:hAnsi="Book Antiqua"/>
              </w:rPr>
              <w:t xml:space="preserve"> H (0-72 h)</w:t>
            </w:r>
          </w:p>
        </w:tc>
        <w:tc>
          <w:tcPr>
            <w:tcW w:w="3969" w:type="dxa"/>
            <w:tcBorders>
              <w:top w:val="single" w:sz="8" w:space="0" w:color="auto"/>
            </w:tcBorders>
            <w:shd w:val="clear" w:color="auto" w:fill="auto"/>
            <w:tcMar>
              <w:top w:w="0" w:type="dxa"/>
              <w:left w:w="108" w:type="dxa"/>
              <w:bottom w:w="0" w:type="dxa"/>
              <w:right w:w="108" w:type="dxa"/>
            </w:tcMar>
            <w:hideMark/>
          </w:tcPr>
          <w:p w14:paraId="7F40A97D" w14:textId="4E487EE2"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Bioavailability, 50%</w:t>
            </w:r>
            <w:r w:rsidR="003D37AF" w:rsidRPr="005F7EC5">
              <w:rPr>
                <w:rFonts w:ascii="Book Antiqua" w:hAnsi="Book Antiqua"/>
                <w:lang w:eastAsia="zh-CN"/>
              </w:rPr>
              <w:t xml:space="preserve">; </w:t>
            </w:r>
            <w:r w:rsidRPr="005F7EC5">
              <w:rPr>
                <w:rStyle w:val="translated-span"/>
                <w:rFonts w:ascii="Book Antiqua" w:hAnsi="Book Antiqua"/>
              </w:rPr>
              <w:t>Plasma protein binding, 96%</w:t>
            </w:r>
            <w:r w:rsidR="003D37AF" w:rsidRPr="005F7EC5">
              <w:rPr>
                <w:rFonts w:ascii="Book Antiqua" w:hAnsi="Book Antiqua"/>
                <w:lang w:eastAsia="zh-CN"/>
              </w:rPr>
              <w:t xml:space="preserve">; </w:t>
            </w:r>
            <w:r w:rsidR="003D37AF" w:rsidRPr="005F7EC5">
              <w:rPr>
                <w:rStyle w:val="translated-span"/>
                <w:rFonts w:ascii="Book Antiqua" w:hAnsi="Book Antiqua"/>
              </w:rPr>
              <w:t>Cmax, 305 pg/mL</w:t>
            </w:r>
            <w:r w:rsidR="003D37AF" w:rsidRPr="005F7EC5">
              <w:rPr>
                <w:rStyle w:val="translated-span"/>
                <w:rFonts w:ascii="Book Antiqua" w:hAnsi="Book Antiqua"/>
                <w:lang w:eastAsia="zh-CN"/>
              </w:rPr>
              <w:t xml:space="preserve">; </w:t>
            </w:r>
            <w:r w:rsidRPr="005F7EC5">
              <w:rPr>
                <w:rStyle w:val="translated-span"/>
                <w:rFonts w:ascii="Book Antiqua" w:hAnsi="Book Antiqua"/>
              </w:rPr>
              <w:t>Onset time 21 h</w:t>
            </w:r>
            <w:r w:rsidR="003D37AF" w:rsidRPr="005F7EC5">
              <w:rPr>
                <w:rStyle w:val="translated-span"/>
                <w:rFonts w:ascii="Book Antiqua" w:hAnsi="Book Antiqua"/>
                <w:lang w:eastAsia="zh-CN"/>
              </w:rPr>
              <w:t xml:space="preserve">; </w:t>
            </w:r>
            <w:r w:rsidRPr="005F7EC5">
              <w:rPr>
                <w:rStyle w:val="translated-span"/>
                <w:rFonts w:ascii="Book Antiqua" w:hAnsi="Book Antiqua"/>
              </w:rPr>
              <w:t>Peak time, about 60 h</w:t>
            </w:r>
            <w:r w:rsidR="003D37AF" w:rsidRPr="005F7EC5">
              <w:rPr>
                <w:rFonts w:ascii="Book Antiqua" w:hAnsi="Book Antiqua"/>
                <w:lang w:eastAsia="zh-CN"/>
              </w:rPr>
              <w:t xml:space="preserve">; </w:t>
            </w:r>
            <w:r w:rsidRPr="005F7EC5">
              <w:rPr>
                <w:rStyle w:val="translated-span"/>
                <w:rFonts w:ascii="Book Antiqua" w:hAnsi="Book Antiqua"/>
              </w:rPr>
              <w:t>AUC, 20228 pg/mL</w:t>
            </w:r>
          </w:p>
        </w:tc>
      </w:tr>
      <w:tr w:rsidR="00256861" w:rsidRPr="005F7EC5" w14:paraId="72D9752F" w14:textId="77777777" w:rsidTr="009256F1">
        <w:trPr>
          <w:trHeight w:val="591"/>
        </w:trPr>
        <w:tc>
          <w:tcPr>
            <w:tcW w:w="0" w:type="auto"/>
            <w:shd w:val="clear" w:color="auto" w:fill="auto"/>
            <w:tcMar>
              <w:top w:w="0" w:type="dxa"/>
              <w:left w:w="108" w:type="dxa"/>
              <w:bottom w:w="0" w:type="dxa"/>
              <w:right w:w="108" w:type="dxa"/>
            </w:tcMar>
            <w:hideMark/>
          </w:tcPr>
          <w:p w14:paraId="683C214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Metabolism</w:t>
            </w:r>
          </w:p>
        </w:tc>
        <w:tc>
          <w:tcPr>
            <w:tcW w:w="3766" w:type="dxa"/>
            <w:shd w:val="clear" w:color="auto" w:fill="auto"/>
            <w:tcMar>
              <w:top w:w="0" w:type="dxa"/>
              <w:left w:w="108" w:type="dxa"/>
              <w:bottom w:w="0" w:type="dxa"/>
              <w:right w:w="108" w:type="dxa"/>
            </w:tcMar>
            <w:hideMark/>
          </w:tcPr>
          <w:p w14:paraId="65D4EE11" w14:textId="027E7B1F"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 xml:space="preserve">Metabolized by CYP3A4 in </w:t>
            </w:r>
            <w:r w:rsidR="00C51F29">
              <w:rPr>
                <w:rStyle w:val="translated-span"/>
                <w:rFonts w:ascii="Book Antiqua" w:hAnsi="Book Antiqua"/>
              </w:rPr>
              <w:t xml:space="preserve">the </w:t>
            </w:r>
            <w:r w:rsidRPr="005F7EC5">
              <w:rPr>
                <w:rStyle w:val="translated-span"/>
                <w:rFonts w:ascii="Book Antiqua" w:hAnsi="Book Antiqua"/>
              </w:rPr>
              <w:t>liver</w:t>
            </w:r>
            <w:r w:rsidR="00C51F29">
              <w:rPr>
                <w:rStyle w:val="translated-span"/>
                <w:rFonts w:ascii="Book Antiqua" w:hAnsi="Book Antiqua"/>
              </w:rPr>
              <w:t>,</w:t>
            </w:r>
            <w:r w:rsidRPr="005F7EC5">
              <w:rPr>
                <w:rStyle w:val="translated-span"/>
                <w:rFonts w:ascii="Book Antiqua" w:hAnsi="Book Antiqua"/>
              </w:rPr>
              <w:t xml:space="preserve"> and the metabolites are basically inactive</w:t>
            </w:r>
          </w:p>
        </w:tc>
        <w:tc>
          <w:tcPr>
            <w:tcW w:w="3969" w:type="dxa"/>
            <w:shd w:val="clear" w:color="auto" w:fill="auto"/>
            <w:tcMar>
              <w:top w:w="0" w:type="dxa"/>
              <w:left w:w="108" w:type="dxa"/>
              <w:bottom w:w="0" w:type="dxa"/>
              <w:right w:w="108" w:type="dxa"/>
            </w:tcMar>
            <w:hideMark/>
          </w:tcPr>
          <w:p w14:paraId="34BDDD2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Metabolized by CYP3A4 in the liver</w:t>
            </w:r>
          </w:p>
        </w:tc>
      </w:tr>
      <w:tr w:rsidR="00256861" w:rsidRPr="005F7EC5" w14:paraId="6B69804D" w14:textId="77777777" w:rsidTr="009256F1">
        <w:trPr>
          <w:trHeight w:val="452"/>
        </w:trPr>
        <w:tc>
          <w:tcPr>
            <w:tcW w:w="0" w:type="auto"/>
            <w:shd w:val="clear" w:color="auto" w:fill="auto"/>
            <w:tcMar>
              <w:top w:w="0" w:type="dxa"/>
              <w:left w:w="108" w:type="dxa"/>
              <w:bottom w:w="0" w:type="dxa"/>
              <w:right w:w="108" w:type="dxa"/>
            </w:tcMar>
            <w:hideMark/>
          </w:tcPr>
          <w:p w14:paraId="1B71746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Elimination</w:t>
            </w:r>
          </w:p>
        </w:tc>
        <w:tc>
          <w:tcPr>
            <w:tcW w:w="3766" w:type="dxa"/>
            <w:shd w:val="clear" w:color="auto" w:fill="auto"/>
            <w:tcMar>
              <w:top w:w="0" w:type="dxa"/>
              <w:left w:w="108" w:type="dxa"/>
              <w:bottom w:w="0" w:type="dxa"/>
              <w:right w:w="108" w:type="dxa"/>
            </w:tcMar>
            <w:hideMark/>
          </w:tcPr>
          <w:p w14:paraId="6A8A5AB8"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half-life of the transdermal patch is about 17 h (13-22 h)</w:t>
            </w:r>
          </w:p>
        </w:tc>
        <w:tc>
          <w:tcPr>
            <w:tcW w:w="3969" w:type="dxa"/>
            <w:shd w:val="clear" w:color="auto" w:fill="auto"/>
            <w:tcMar>
              <w:top w:w="0" w:type="dxa"/>
              <w:left w:w="108" w:type="dxa"/>
              <w:bottom w:w="0" w:type="dxa"/>
              <w:right w:w="108" w:type="dxa"/>
            </w:tcMar>
            <w:hideMark/>
          </w:tcPr>
          <w:p w14:paraId="58C7287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half-life of the transdermal patch is 25.3 h</w:t>
            </w:r>
          </w:p>
        </w:tc>
      </w:tr>
      <w:tr w:rsidR="00256861" w:rsidRPr="005F7EC5" w14:paraId="1E821DC3" w14:textId="77777777" w:rsidTr="009256F1">
        <w:trPr>
          <w:trHeight w:val="1215"/>
        </w:trPr>
        <w:tc>
          <w:tcPr>
            <w:tcW w:w="0" w:type="auto"/>
            <w:shd w:val="clear" w:color="auto" w:fill="auto"/>
            <w:tcMar>
              <w:top w:w="0" w:type="dxa"/>
              <w:left w:w="108" w:type="dxa"/>
              <w:bottom w:w="0" w:type="dxa"/>
              <w:right w:w="108" w:type="dxa"/>
            </w:tcMar>
            <w:hideMark/>
          </w:tcPr>
          <w:p w14:paraId="496C06F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Mechanism</w:t>
            </w:r>
          </w:p>
        </w:tc>
        <w:tc>
          <w:tcPr>
            <w:tcW w:w="3766" w:type="dxa"/>
            <w:shd w:val="clear" w:color="auto" w:fill="auto"/>
            <w:tcMar>
              <w:top w:w="0" w:type="dxa"/>
              <w:left w:w="108" w:type="dxa"/>
              <w:bottom w:w="0" w:type="dxa"/>
              <w:right w:w="108" w:type="dxa"/>
            </w:tcMar>
            <w:hideMark/>
          </w:tcPr>
          <w:p w14:paraId="5053979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μ opioid receptor agonist</w:t>
            </w:r>
          </w:p>
        </w:tc>
        <w:tc>
          <w:tcPr>
            <w:tcW w:w="3969" w:type="dxa"/>
            <w:shd w:val="clear" w:color="auto" w:fill="auto"/>
            <w:tcMar>
              <w:top w:w="0" w:type="dxa"/>
              <w:left w:w="108" w:type="dxa"/>
              <w:bottom w:w="0" w:type="dxa"/>
              <w:right w:w="108" w:type="dxa"/>
            </w:tcMar>
            <w:hideMark/>
          </w:tcPr>
          <w:p w14:paraId="31EAF9E9"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μ opioid receptor partial agonist, δ opioid receptor agonist, weak κ opioid receptor antagonist, ORL-1 agonist</w:t>
            </w:r>
          </w:p>
        </w:tc>
      </w:tr>
      <w:tr w:rsidR="00256861" w:rsidRPr="005F7EC5" w14:paraId="66CEE5DE" w14:textId="77777777" w:rsidTr="009256F1">
        <w:trPr>
          <w:trHeight w:val="601"/>
        </w:trPr>
        <w:tc>
          <w:tcPr>
            <w:tcW w:w="0" w:type="auto"/>
            <w:shd w:val="clear" w:color="auto" w:fill="auto"/>
            <w:tcMar>
              <w:top w:w="0" w:type="dxa"/>
              <w:left w:w="108" w:type="dxa"/>
              <w:bottom w:w="0" w:type="dxa"/>
              <w:right w:w="108" w:type="dxa"/>
            </w:tcMar>
            <w:hideMark/>
          </w:tcPr>
          <w:p w14:paraId="00BC8B9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Indication</w:t>
            </w:r>
          </w:p>
        </w:tc>
        <w:tc>
          <w:tcPr>
            <w:tcW w:w="3766" w:type="dxa"/>
            <w:shd w:val="clear" w:color="auto" w:fill="auto"/>
            <w:tcMar>
              <w:top w:w="0" w:type="dxa"/>
              <w:left w:w="108" w:type="dxa"/>
              <w:bottom w:w="0" w:type="dxa"/>
              <w:right w:w="108" w:type="dxa"/>
            </w:tcMar>
            <w:hideMark/>
          </w:tcPr>
          <w:p w14:paraId="5C432FB0"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Moderate to severe chronic pain and intractable pain treated with opioid analgesics</w:t>
            </w:r>
          </w:p>
        </w:tc>
        <w:tc>
          <w:tcPr>
            <w:tcW w:w="3969" w:type="dxa"/>
            <w:shd w:val="clear" w:color="auto" w:fill="auto"/>
            <w:tcMar>
              <w:top w:w="0" w:type="dxa"/>
              <w:left w:w="108" w:type="dxa"/>
              <w:bottom w:w="0" w:type="dxa"/>
              <w:right w:w="108" w:type="dxa"/>
            </w:tcMar>
            <w:hideMark/>
          </w:tcPr>
          <w:p w14:paraId="1889500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Chronic pain beyond the control of nonopioid analgesics</w:t>
            </w:r>
          </w:p>
        </w:tc>
      </w:tr>
      <w:tr w:rsidR="00256861" w:rsidRPr="005F7EC5" w14:paraId="296DC60F" w14:textId="77777777" w:rsidTr="009256F1">
        <w:trPr>
          <w:trHeight w:val="556"/>
        </w:trPr>
        <w:tc>
          <w:tcPr>
            <w:tcW w:w="0" w:type="auto"/>
            <w:shd w:val="clear" w:color="auto" w:fill="auto"/>
            <w:tcMar>
              <w:top w:w="0" w:type="dxa"/>
              <w:left w:w="108" w:type="dxa"/>
              <w:bottom w:w="0" w:type="dxa"/>
              <w:right w:w="108" w:type="dxa"/>
            </w:tcMar>
            <w:hideMark/>
          </w:tcPr>
          <w:p w14:paraId="2A5555A2"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Dosage form specification</w:t>
            </w:r>
          </w:p>
        </w:tc>
        <w:tc>
          <w:tcPr>
            <w:tcW w:w="3766" w:type="dxa"/>
            <w:shd w:val="clear" w:color="auto" w:fill="auto"/>
            <w:tcMar>
              <w:top w:w="0" w:type="dxa"/>
              <w:left w:w="108" w:type="dxa"/>
              <w:bottom w:w="0" w:type="dxa"/>
              <w:right w:w="108" w:type="dxa"/>
            </w:tcMar>
            <w:hideMark/>
          </w:tcPr>
          <w:p w14:paraId="20502A0E" w14:textId="4241DF54" w:rsidR="00256861" w:rsidRPr="005F7EC5" w:rsidRDefault="00256861" w:rsidP="00C51F29">
            <w:pPr>
              <w:adjustRightInd w:val="0"/>
              <w:snapToGrid w:val="0"/>
              <w:spacing w:line="360" w:lineRule="auto"/>
              <w:jc w:val="both"/>
              <w:rPr>
                <w:rFonts w:ascii="Book Antiqua" w:hAnsi="Book Antiqua"/>
              </w:rPr>
            </w:pPr>
            <w:r w:rsidRPr="005F7EC5">
              <w:rPr>
                <w:rStyle w:val="translated-span"/>
                <w:rFonts w:ascii="Book Antiqua" w:hAnsi="Book Antiqua"/>
              </w:rPr>
              <w:t>2.1-, 4.2-, 8.4- and 12.6-mg paste</w:t>
            </w:r>
            <w:r w:rsidR="00C51F29">
              <w:rPr>
                <w:rStyle w:val="translated-span"/>
                <w:rFonts w:ascii="Book Antiqua" w:hAnsi="Book Antiqua"/>
              </w:rPr>
              <w:t xml:space="preserve">; </w:t>
            </w:r>
            <w:r w:rsidRPr="005F7EC5">
              <w:rPr>
                <w:rStyle w:val="translated-span"/>
                <w:rFonts w:ascii="Book Antiqua" w:hAnsi="Book Antiqua"/>
              </w:rPr>
              <w:t>Four specifications, lasting for 72 h</w:t>
            </w:r>
          </w:p>
        </w:tc>
        <w:tc>
          <w:tcPr>
            <w:tcW w:w="3969" w:type="dxa"/>
            <w:shd w:val="clear" w:color="auto" w:fill="auto"/>
            <w:tcMar>
              <w:top w:w="0" w:type="dxa"/>
              <w:left w:w="108" w:type="dxa"/>
              <w:bottom w:w="0" w:type="dxa"/>
              <w:right w:w="108" w:type="dxa"/>
            </w:tcMar>
            <w:hideMark/>
          </w:tcPr>
          <w:p w14:paraId="089A7B03" w14:textId="74217C58" w:rsidR="00256861" w:rsidRPr="005F7EC5" w:rsidRDefault="00256861" w:rsidP="005F7EC5">
            <w:pPr>
              <w:adjustRightInd w:val="0"/>
              <w:snapToGrid w:val="0"/>
              <w:spacing w:line="360" w:lineRule="auto"/>
              <w:jc w:val="both"/>
              <w:rPr>
                <w:rFonts w:ascii="Book Antiqua" w:hAnsi="Book Antiqua"/>
                <w:lang w:eastAsia="zh-CN"/>
              </w:rPr>
            </w:pPr>
            <w:r w:rsidRPr="005F7EC5">
              <w:rPr>
                <w:rStyle w:val="translated-span"/>
                <w:rFonts w:ascii="Book Antiqua" w:hAnsi="Book Antiqua"/>
              </w:rPr>
              <w:t>5-, 10- and 20-mg paste</w:t>
            </w:r>
            <w:r w:rsidR="00483E1B" w:rsidRPr="005F7EC5">
              <w:rPr>
                <w:rStyle w:val="translated-span"/>
                <w:rFonts w:ascii="Book Antiqua" w:hAnsi="Book Antiqua"/>
                <w:lang w:eastAsia="zh-CN"/>
              </w:rPr>
              <w:t>.</w:t>
            </w:r>
            <w:r w:rsidRPr="005F7EC5">
              <w:rPr>
                <w:rStyle w:val="translated-span"/>
                <w:rFonts w:ascii="Book Antiqua" w:hAnsi="Book Antiqua"/>
              </w:rPr>
              <w:t xml:space="preserve"> Each paste is used</w:t>
            </w:r>
            <w:r w:rsidRPr="005F7EC5">
              <w:rPr>
                <w:rFonts w:ascii="Book Antiqua" w:hAnsi="Book Antiqua"/>
              </w:rPr>
              <w:t xml:space="preserve"> for 7 </w:t>
            </w:r>
            <w:r w:rsidRPr="005F7EC5">
              <w:rPr>
                <w:rStyle w:val="translated-span"/>
                <w:rFonts w:ascii="Book Antiqua" w:hAnsi="Book Antiqua"/>
              </w:rPr>
              <w:t>d</w:t>
            </w:r>
          </w:p>
        </w:tc>
      </w:tr>
      <w:tr w:rsidR="00256861" w:rsidRPr="005F7EC5" w14:paraId="5A849B82" w14:textId="77777777" w:rsidTr="009256F1">
        <w:trPr>
          <w:trHeight w:val="567"/>
        </w:trPr>
        <w:tc>
          <w:tcPr>
            <w:tcW w:w="0" w:type="auto"/>
            <w:shd w:val="clear" w:color="auto" w:fill="auto"/>
            <w:tcMar>
              <w:top w:w="0" w:type="dxa"/>
              <w:left w:w="108" w:type="dxa"/>
              <w:bottom w:w="0" w:type="dxa"/>
              <w:right w:w="108" w:type="dxa"/>
            </w:tcMar>
            <w:hideMark/>
          </w:tcPr>
          <w:p w14:paraId="7353E81E" w14:textId="3F28F15A"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Adverse reactions</w:t>
            </w:r>
            <w:r w:rsidR="004C6DE4">
              <w:rPr>
                <w:rStyle w:val="translated-span"/>
                <w:rFonts w:ascii="Book Antiqua" w:hAnsi="Book Antiqua"/>
              </w:rPr>
              <w:t>,</w:t>
            </w:r>
            <w:r w:rsidRPr="005F7EC5">
              <w:rPr>
                <w:rStyle w:val="translated-span"/>
                <w:rFonts w:ascii="Book Antiqua" w:hAnsi="Book Antiqua"/>
              </w:rPr>
              <w:t xml:space="preserve"> &gt;</w:t>
            </w:r>
            <w:r w:rsidR="00483E1B" w:rsidRPr="005F7EC5">
              <w:rPr>
                <w:rStyle w:val="translated-span"/>
                <w:rFonts w:ascii="Book Antiqua" w:hAnsi="Book Antiqua"/>
                <w:lang w:eastAsia="zh-CN"/>
              </w:rPr>
              <w:t xml:space="preserve"> </w:t>
            </w:r>
            <w:r w:rsidRPr="005F7EC5">
              <w:rPr>
                <w:rStyle w:val="translated-span"/>
                <w:rFonts w:ascii="Book Antiqua" w:hAnsi="Book Antiqua"/>
              </w:rPr>
              <w:t>10%</w:t>
            </w:r>
          </w:p>
        </w:tc>
        <w:tc>
          <w:tcPr>
            <w:tcW w:w="3766" w:type="dxa"/>
            <w:shd w:val="clear" w:color="auto" w:fill="auto"/>
            <w:tcMar>
              <w:top w:w="0" w:type="dxa"/>
              <w:left w:w="108" w:type="dxa"/>
              <w:bottom w:w="0" w:type="dxa"/>
              <w:right w:w="108" w:type="dxa"/>
            </w:tcMar>
            <w:hideMark/>
          </w:tcPr>
          <w:p w14:paraId="74FCA95A" w14:textId="20BFEC74"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Nausea, headache, constipation, dry mouth, drowsiness, fuzzy consciousness, powerlessness, sweating</w:t>
            </w:r>
          </w:p>
        </w:tc>
        <w:tc>
          <w:tcPr>
            <w:tcW w:w="3969" w:type="dxa"/>
            <w:shd w:val="clear" w:color="auto" w:fill="auto"/>
            <w:tcMar>
              <w:top w:w="0" w:type="dxa"/>
              <w:left w:w="108" w:type="dxa"/>
              <w:bottom w:w="0" w:type="dxa"/>
              <w:right w:w="108" w:type="dxa"/>
            </w:tcMar>
            <w:hideMark/>
          </w:tcPr>
          <w:p w14:paraId="1BF9D59D"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Erythema, pruritus, nausea</w:t>
            </w:r>
          </w:p>
        </w:tc>
      </w:tr>
    </w:tbl>
    <w:p w14:paraId="647F5DBA" w14:textId="6041E301" w:rsidR="00C51F29" w:rsidRDefault="004C6DE4" w:rsidP="005F7EC5">
      <w:pPr>
        <w:adjustRightInd w:val="0"/>
        <w:snapToGrid w:val="0"/>
        <w:spacing w:line="360" w:lineRule="auto"/>
        <w:jc w:val="both"/>
        <w:rPr>
          <w:rFonts w:ascii="Book Antiqua" w:hAnsi="Book Antiqua"/>
        </w:rPr>
      </w:pPr>
      <w:r w:rsidRPr="005F7EC5">
        <w:rPr>
          <w:rFonts w:ascii="Book Antiqua" w:hAnsi="Book Antiqua"/>
        </w:rPr>
        <w:t>AUC: Area under the curve</w:t>
      </w:r>
      <w:r>
        <w:rPr>
          <w:rFonts w:ascii="Book Antiqua" w:hAnsi="Book Antiqua"/>
        </w:rPr>
        <w:t>;</w:t>
      </w:r>
      <w:r w:rsidRPr="005F7EC5">
        <w:rPr>
          <w:rFonts w:ascii="Book Antiqua" w:hAnsi="Book Antiqua"/>
        </w:rPr>
        <w:t xml:space="preserve"> ORL</w:t>
      </w:r>
      <w:r w:rsidRPr="005F7EC5">
        <w:rPr>
          <w:rFonts w:ascii="Book Antiqua" w:hAnsi="Book Antiqua"/>
          <w:lang w:eastAsia="zh-CN"/>
        </w:rPr>
        <w:t>:</w:t>
      </w:r>
      <w:r w:rsidRPr="005F7EC5">
        <w:rPr>
          <w:rFonts w:ascii="Book Antiqua" w:hAnsi="Book Antiqua"/>
        </w:rPr>
        <w:t xml:space="preserve"> </w:t>
      </w:r>
      <w:r w:rsidRPr="005F7EC5">
        <w:rPr>
          <w:rFonts w:ascii="Book Antiqua" w:hAnsi="Book Antiqua"/>
          <w:lang w:eastAsia="zh-CN"/>
        </w:rPr>
        <w:t>O</w:t>
      </w:r>
      <w:r w:rsidRPr="005F7EC5">
        <w:rPr>
          <w:rFonts w:ascii="Book Antiqua" w:hAnsi="Book Antiqua"/>
        </w:rPr>
        <w:t>pioid receptor like;</w:t>
      </w:r>
      <w:r>
        <w:rPr>
          <w:rFonts w:ascii="Book Antiqua" w:hAnsi="Book Antiqua"/>
        </w:rPr>
        <w:t xml:space="preserve"> </w:t>
      </w:r>
      <w:r w:rsidR="00BF2064" w:rsidRPr="005F7EC5">
        <w:rPr>
          <w:rFonts w:ascii="Book Antiqua" w:hAnsi="Book Antiqua"/>
        </w:rPr>
        <w:t>TDDS</w:t>
      </w:r>
      <w:r w:rsidR="00BF2064" w:rsidRPr="005F7EC5">
        <w:rPr>
          <w:rFonts w:ascii="Book Antiqua" w:hAnsi="Book Antiqua"/>
          <w:lang w:eastAsia="zh-CN"/>
        </w:rPr>
        <w:t>:</w:t>
      </w:r>
      <w:r w:rsidR="00BF2064" w:rsidRPr="005F7EC5">
        <w:rPr>
          <w:rFonts w:ascii="Book Antiqua" w:hAnsi="Book Antiqua"/>
        </w:rPr>
        <w:t xml:space="preserve"> </w:t>
      </w:r>
      <w:r w:rsidR="00BF2064" w:rsidRPr="005F7EC5">
        <w:rPr>
          <w:rFonts w:ascii="Book Antiqua" w:hAnsi="Book Antiqua"/>
          <w:lang w:eastAsia="zh-CN"/>
        </w:rPr>
        <w:t>T</w:t>
      </w:r>
      <w:r w:rsidR="00256861" w:rsidRPr="005F7EC5">
        <w:rPr>
          <w:rFonts w:ascii="Book Antiqua" w:hAnsi="Book Antiqua"/>
        </w:rPr>
        <w:t>ransd</w:t>
      </w:r>
      <w:r w:rsidR="00BF2064" w:rsidRPr="005F7EC5">
        <w:rPr>
          <w:rFonts w:ascii="Book Antiqua" w:hAnsi="Book Antiqua"/>
        </w:rPr>
        <w:t>ermal drug delivery system</w:t>
      </w:r>
      <w:r w:rsidR="008E3FEB" w:rsidRPr="005F7EC5">
        <w:rPr>
          <w:rFonts w:ascii="Book Antiqua" w:hAnsi="Book Antiqua"/>
        </w:rPr>
        <w:t xml:space="preserve">. </w:t>
      </w:r>
    </w:p>
    <w:p w14:paraId="20E3BA2E" w14:textId="77777777" w:rsidR="00C51F29" w:rsidRDefault="00C51F29">
      <w:pPr>
        <w:rPr>
          <w:rFonts w:ascii="Book Antiqua" w:hAnsi="Book Antiqua"/>
        </w:rPr>
      </w:pPr>
      <w:r>
        <w:rPr>
          <w:rFonts w:ascii="Book Antiqua" w:hAnsi="Book Antiqua"/>
        </w:rPr>
        <w:br w:type="page"/>
      </w:r>
    </w:p>
    <w:p w14:paraId="17F1D5F7" w14:textId="77777777" w:rsidR="00256861" w:rsidRPr="005F7EC5" w:rsidRDefault="00256861" w:rsidP="005F7EC5">
      <w:pPr>
        <w:adjustRightInd w:val="0"/>
        <w:snapToGrid w:val="0"/>
        <w:spacing w:line="360" w:lineRule="auto"/>
        <w:jc w:val="both"/>
        <w:rPr>
          <w:rFonts w:ascii="Book Antiqua" w:hAnsi="Book Antiqua"/>
          <w:lang w:eastAsia="zh-CN"/>
        </w:rPr>
      </w:pPr>
    </w:p>
    <w:p w14:paraId="5B08F9A5" w14:textId="5AAE807E" w:rsidR="00256861" w:rsidRPr="005F7EC5" w:rsidRDefault="00256861" w:rsidP="005F7EC5">
      <w:pPr>
        <w:adjustRightInd w:val="0"/>
        <w:snapToGrid w:val="0"/>
        <w:spacing w:line="360" w:lineRule="auto"/>
        <w:jc w:val="both"/>
        <w:rPr>
          <w:rStyle w:val="translated-span"/>
          <w:rFonts w:ascii="Book Antiqua" w:hAnsi="Book Antiqua"/>
          <w:b/>
        </w:rPr>
      </w:pPr>
      <w:r w:rsidRPr="005F7EC5">
        <w:rPr>
          <w:rStyle w:val="translated-span"/>
          <w:rFonts w:ascii="Book Antiqua" w:hAnsi="Book Antiqua"/>
          <w:b/>
          <w:bCs/>
        </w:rPr>
        <w:t>Table 6</w:t>
      </w:r>
      <w:r w:rsidRPr="005F7EC5">
        <w:rPr>
          <w:rStyle w:val="translated-span"/>
          <w:rFonts w:ascii="Book Antiqua" w:hAnsi="Book Antiqua"/>
          <w:b/>
        </w:rPr>
        <w:t xml:space="preserve"> Quality classification and definition of grade evidence</w:t>
      </w:r>
    </w:p>
    <w:tbl>
      <w:tblPr>
        <w:tblW w:w="9639"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1701"/>
        <w:gridCol w:w="7938"/>
      </w:tblGrid>
      <w:tr w:rsidR="00256861" w:rsidRPr="005F7EC5" w14:paraId="6F4E5C27" w14:textId="77777777" w:rsidTr="00877945">
        <w:trPr>
          <w:trHeight w:val="313"/>
        </w:trPr>
        <w:tc>
          <w:tcPr>
            <w:tcW w:w="1701" w:type="dxa"/>
            <w:tcBorders>
              <w:top w:val="single" w:sz="8" w:space="0" w:color="auto"/>
              <w:bottom w:val="single" w:sz="8" w:space="0" w:color="auto"/>
            </w:tcBorders>
            <w:shd w:val="clear" w:color="auto" w:fill="auto"/>
            <w:tcMar>
              <w:top w:w="0" w:type="dxa"/>
              <w:left w:w="108" w:type="dxa"/>
              <w:bottom w:w="0" w:type="dxa"/>
              <w:right w:w="108" w:type="dxa"/>
            </w:tcMar>
            <w:hideMark/>
          </w:tcPr>
          <w:p w14:paraId="025E2149"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Quality level</w:t>
            </w:r>
          </w:p>
        </w:tc>
        <w:tc>
          <w:tcPr>
            <w:tcW w:w="7938" w:type="dxa"/>
            <w:tcBorders>
              <w:top w:val="single" w:sz="8" w:space="0" w:color="auto"/>
              <w:bottom w:val="single" w:sz="8" w:space="0" w:color="auto"/>
            </w:tcBorders>
            <w:shd w:val="clear" w:color="auto" w:fill="auto"/>
            <w:tcMar>
              <w:top w:w="0" w:type="dxa"/>
              <w:left w:w="108" w:type="dxa"/>
              <w:bottom w:w="0" w:type="dxa"/>
              <w:right w:w="108" w:type="dxa"/>
            </w:tcMar>
            <w:hideMark/>
          </w:tcPr>
          <w:p w14:paraId="702FA809" w14:textId="2E7E3EC4" w:rsidR="00256861" w:rsidRPr="005F7EC5" w:rsidRDefault="00877945" w:rsidP="005F7EC5">
            <w:pPr>
              <w:adjustRightInd w:val="0"/>
              <w:snapToGrid w:val="0"/>
              <w:spacing w:line="360" w:lineRule="auto"/>
              <w:jc w:val="both"/>
              <w:rPr>
                <w:rFonts w:ascii="Book Antiqua" w:hAnsi="Book Antiqua"/>
              </w:rPr>
            </w:pPr>
            <w:r w:rsidRPr="005F7EC5">
              <w:rPr>
                <w:rStyle w:val="translated-span"/>
                <w:rFonts w:ascii="Book Antiqua" w:hAnsi="Book Antiqua"/>
                <w:b/>
                <w:bCs/>
                <w:lang w:eastAsia="zh-CN"/>
              </w:rPr>
              <w:t>D</w:t>
            </w:r>
            <w:r w:rsidR="00256861" w:rsidRPr="005F7EC5">
              <w:rPr>
                <w:rStyle w:val="translated-span"/>
                <w:rFonts w:ascii="Book Antiqua" w:hAnsi="Book Antiqua"/>
                <w:b/>
                <w:bCs/>
              </w:rPr>
              <w:t>efinition</w:t>
            </w:r>
          </w:p>
        </w:tc>
      </w:tr>
      <w:tr w:rsidR="00256861" w:rsidRPr="005F7EC5" w14:paraId="0426B2C4" w14:textId="77777777" w:rsidTr="00877945">
        <w:trPr>
          <w:trHeight w:val="347"/>
        </w:trPr>
        <w:tc>
          <w:tcPr>
            <w:tcW w:w="1701" w:type="dxa"/>
            <w:tcBorders>
              <w:top w:val="single" w:sz="8" w:space="0" w:color="auto"/>
            </w:tcBorders>
            <w:shd w:val="clear" w:color="auto" w:fill="auto"/>
            <w:tcMar>
              <w:top w:w="0" w:type="dxa"/>
              <w:left w:w="108" w:type="dxa"/>
              <w:bottom w:w="0" w:type="dxa"/>
              <w:right w:w="108" w:type="dxa"/>
            </w:tcMar>
            <w:hideMark/>
          </w:tcPr>
          <w:p w14:paraId="2C3230E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High (a)</w:t>
            </w:r>
          </w:p>
        </w:tc>
        <w:tc>
          <w:tcPr>
            <w:tcW w:w="7938" w:type="dxa"/>
            <w:tcBorders>
              <w:top w:val="single" w:sz="8" w:space="0" w:color="auto"/>
            </w:tcBorders>
            <w:shd w:val="clear" w:color="auto" w:fill="auto"/>
            <w:tcMar>
              <w:top w:w="0" w:type="dxa"/>
              <w:left w:w="108" w:type="dxa"/>
              <w:bottom w:w="0" w:type="dxa"/>
              <w:right w:w="108" w:type="dxa"/>
            </w:tcMar>
            <w:hideMark/>
          </w:tcPr>
          <w:p w14:paraId="1C8A63E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Very sure that the true effect value is close to the effect value estimation</w:t>
            </w:r>
          </w:p>
        </w:tc>
      </w:tr>
      <w:tr w:rsidR="00256861" w:rsidRPr="005F7EC5" w14:paraId="4871E8A6" w14:textId="77777777" w:rsidTr="00877945">
        <w:trPr>
          <w:trHeight w:val="313"/>
        </w:trPr>
        <w:tc>
          <w:tcPr>
            <w:tcW w:w="1701" w:type="dxa"/>
            <w:shd w:val="clear" w:color="auto" w:fill="auto"/>
            <w:tcMar>
              <w:top w:w="0" w:type="dxa"/>
              <w:left w:w="108" w:type="dxa"/>
              <w:bottom w:w="0" w:type="dxa"/>
              <w:right w:w="108" w:type="dxa"/>
            </w:tcMar>
            <w:hideMark/>
          </w:tcPr>
          <w:p w14:paraId="5BA4BEA0"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Medium (b)</w:t>
            </w:r>
          </w:p>
        </w:tc>
        <w:tc>
          <w:tcPr>
            <w:tcW w:w="7938" w:type="dxa"/>
            <w:shd w:val="clear" w:color="auto" w:fill="auto"/>
            <w:tcMar>
              <w:top w:w="0" w:type="dxa"/>
              <w:left w:w="108" w:type="dxa"/>
              <w:bottom w:w="0" w:type="dxa"/>
              <w:right w:w="108" w:type="dxa"/>
            </w:tcMar>
            <w:hideMark/>
          </w:tcPr>
          <w:p w14:paraId="5A31ED85" w14:textId="73844786"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There is a moderate degree of confidence in the value of effect</w:t>
            </w:r>
            <w:r w:rsidR="00F741A0">
              <w:rPr>
                <w:rStyle w:val="translated-span"/>
                <w:rFonts w:ascii="Book Antiqua" w:hAnsi="Book Antiqua"/>
              </w:rPr>
              <w:t>;</w:t>
            </w:r>
            <w:r w:rsidRPr="005F7EC5">
              <w:rPr>
                <w:rStyle w:val="translated-span"/>
                <w:rFonts w:ascii="Book Antiqua" w:hAnsi="Book Antiqua"/>
              </w:rPr>
              <w:t xml:space="preserve"> the real effect value may be close to the estimated value, but there is still a possibility that the two are not the same</w:t>
            </w:r>
          </w:p>
        </w:tc>
      </w:tr>
      <w:tr w:rsidR="00256861" w:rsidRPr="005F7EC5" w14:paraId="761535A8" w14:textId="77777777" w:rsidTr="00877945">
        <w:trPr>
          <w:trHeight w:val="313"/>
        </w:trPr>
        <w:tc>
          <w:tcPr>
            <w:tcW w:w="1701" w:type="dxa"/>
            <w:shd w:val="clear" w:color="auto" w:fill="auto"/>
            <w:tcMar>
              <w:top w:w="0" w:type="dxa"/>
              <w:left w:w="108" w:type="dxa"/>
              <w:bottom w:w="0" w:type="dxa"/>
              <w:right w:w="108" w:type="dxa"/>
            </w:tcMar>
            <w:hideMark/>
          </w:tcPr>
          <w:p w14:paraId="54F70045"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Low (c)</w:t>
            </w:r>
          </w:p>
        </w:tc>
        <w:tc>
          <w:tcPr>
            <w:tcW w:w="7938" w:type="dxa"/>
            <w:shd w:val="clear" w:color="auto" w:fill="auto"/>
            <w:tcMar>
              <w:top w:w="0" w:type="dxa"/>
              <w:left w:w="108" w:type="dxa"/>
              <w:bottom w:w="0" w:type="dxa"/>
              <w:right w:w="108" w:type="dxa"/>
            </w:tcMar>
            <w:hideMark/>
          </w:tcPr>
          <w:p w14:paraId="22D23A59" w14:textId="34B8D325"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There is limited confidence in the effect estimates</w:t>
            </w:r>
            <w:r w:rsidR="00F741A0">
              <w:rPr>
                <w:rStyle w:val="translated-span"/>
                <w:rFonts w:ascii="Book Antiqua" w:hAnsi="Book Antiqua"/>
              </w:rPr>
              <w:t>;</w:t>
            </w:r>
            <w:r w:rsidRPr="005F7EC5">
              <w:rPr>
                <w:rStyle w:val="translated-span"/>
                <w:rFonts w:ascii="Book Antiqua" w:hAnsi="Book Antiqua"/>
              </w:rPr>
              <w:t xml:space="preserve"> the true effect values may not be the same as the effect estimates</w:t>
            </w:r>
          </w:p>
        </w:tc>
      </w:tr>
      <w:tr w:rsidR="00256861" w:rsidRPr="005F7EC5" w14:paraId="33C87478" w14:textId="77777777" w:rsidTr="00877945">
        <w:trPr>
          <w:trHeight w:val="313"/>
        </w:trPr>
        <w:tc>
          <w:tcPr>
            <w:tcW w:w="1701" w:type="dxa"/>
            <w:shd w:val="clear" w:color="auto" w:fill="auto"/>
            <w:tcMar>
              <w:top w:w="0" w:type="dxa"/>
              <w:left w:w="108" w:type="dxa"/>
              <w:bottom w:w="0" w:type="dxa"/>
              <w:right w:w="108" w:type="dxa"/>
            </w:tcMar>
            <w:hideMark/>
          </w:tcPr>
          <w:p w14:paraId="26B8594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Very low (d)</w:t>
            </w:r>
          </w:p>
        </w:tc>
        <w:tc>
          <w:tcPr>
            <w:tcW w:w="7938" w:type="dxa"/>
            <w:shd w:val="clear" w:color="auto" w:fill="auto"/>
            <w:tcMar>
              <w:top w:w="0" w:type="dxa"/>
              <w:left w:w="108" w:type="dxa"/>
              <w:bottom w:w="0" w:type="dxa"/>
              <w:right w:w="108" w:type="dxa"/>
            </w:tcMar>
            <w:hideMark/>
          </w:tcPr>
          <w:p w14:paraId="0944E9C2" w14:textId="318908D6"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There is little confidence in the estimated effect</w:t>
            </w:r>
            <w:r w:rsidR="00F741A0">
              <w:rPr>
                <w:rStyle w:val="translated-span"/>
                <w:rFonts w:ascii="Book Antiqua" w:hAnsi="Book Antiqua"/>
              </w:rPr>
              <w:t>;</w:t>
            </w:r>
            <w:r w:rsidRPr="005F7EC5">
              <w:rPr>
                <w:rStyle w:val="translated-span"/>
                <w:rFonts w:ascii="Book Antiqua" w:hAnsi="Book Antiqua"/>
              </w:rPr>
              <w:t xml:space="preserve"> the true effect value may be quite different from the effect estimate</w:t>
            </w:r>
          </w:p>
        </w:tc>
      </w:tr>
    </w:tbl>
    <w:p w14:paraId="4CC24E9B" w14:textId="77777777" w:rsidR="00C5473D" w:rsidRPr="005F7EC5" w:rsidRDefault="00C5473D" w:rsidP="005F7EC5">
      <w:pPr>
        <w:adjustRightInd w:val="0"/>
        <w:snapToGrid w:val="0"/>
        <w:spacing w:line="360" w:lineRule="auto"/>
        <w:jc w:val="both"/>
        <w:rPr>
          <w:rStyle w:val="translated-span"/>
          <w:b/>
          <w:bCs/>
          <w:lang w:eastAsia="zh-CN"/>
        </w:rPr>
      </w:pPr>
    </w:p>
    <w:p w14:paraId="2C28F3E4" w14:textId="7124BDC6" w:rsidR="00256861" w:rsidRPr="005F7EC5" w:rsidRDefault="00877945" w:rsidP="005F7EC5">
      <w:pPr>
        <w:adjustRightInd w:val="0"/>
        <w:snapToGrid w:val="0"/>
        <w:spacing w:line="360" w:lineRule="auto"/>
        <w:jc w:val="both"/>
        <w:rPr>
          <w:rStyle w:val="translated-span"/>
          <w:rFonts w:ascii="Book Antiqua" w:hAnsi="Book Antiqua"/>
          <w:b/>
        </w:rPr>
      </w:pPr>
      <w:r w:rsidRPr="005F7EC5">
        <w:rPr>
          <w:rStyle w:val="translated-span"/>
          <w:b/>
          <w:bCs/>
        </w:rPr>
        <w:br w:type="page"/>
      </w:r>
      <w:r w:rsidR="00C5473D" w:rsidRPr="005F7EC5">
        <w:rPr>
          <w:rStyle w:val="translated-span"/>
          <w:rFonts w:ascii="Book Antiqua" w:hAnsi="Book Antiqua"/>
          <w:b/>
          <w:bCs/>
        </w:rPr>
        <w:lastRenderedPageBreak/>
        <w:t>Table 7</w:t>
      </w:r>
      <w:r w:rsidR="00C5473D" w:rsidRPr="005F7EC5">
        <w:rPr>
          <w:rStyle w:val="translated-span"/>
          <w:rFonts w:ascii="Book Antiqua" w:hAnsi="Book Antiqua"/>
          <w:b/>
        </w:rPr>
        <w:t xml:space="preserve"> </w:t>
      </w:r>
      <w:r w:rsidR="00256861" w:rsidRPr="005F7EC5">
        <w:rPr>
          <w:rStyle w:val="translated-span"/>
          <w:rFonts w:ascii="Book Antiqua" w:hAnsi="Book Antiqua"/>
          <w:b/>
        </w:rPr>
        <w:t>Grade recommended strength classification and definition</w:t>
      </w:r>
    </w:p>
    <w:tbl>
      <w:tblPr>
        <w:tblW w:w="9639"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3076"/>
        <w:gridCol w:w="3330"/>
        <w:gridCol w:w="1816"/>
        <w:gridCol w:w="1417"/>
      </w:tblGrid>
      <w:tr w:rsidR="00256861" w:rsidRPr="005F7EC5" w14:paraId="215B0DB1" w14:textId="77777777" w:rsidTr="007257B0">
        <w:trPr>
          <w:trHeight w:val="313"/>
        </w:trPr>
        <w:tc>
          <w:tcPr>
            <w:tcW w:w="3076" w:type="dxa"/>
            <w:tcBorders>
              <w:top w:val="single" w:sz="8" w:space="0" w:color="auto"/>
              <w:bottom w:val="single" w:sz="8" w:space="0" w:color="auto"/>
            </w:tcBorders>
            <w:shd w:val="clear" w:color="auto" w:fill="auto"/>
            <w:tcMar>
              <w:top w:w="0" w:type="dxa"/>
              <w:left w:w="108" w:type="dxa"/>
              <w:bottom w:w="0" w:type="dxa"/>
              <w:right w:w="108" w:type="dxa"/>
            </w:tcMar>
            <w:hideMark/>
          </w:tcPr>
          <w:p w14:paraId="3A21329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Recommended strength</w:t>
            </w:r>
          </w:p>
        </w:tc>
        <w:tc>
          <w:tcPr>
            <w:tcW w:w="3330" w:type="dxa"/>
            <w:tcBorders>
              <w:top w:val="single" w:sz="8" w:space="0" w:color="auto"/>
              <w:bottom w:val="single" w:sz="8" w:space="0" w:color="auto"/>
            </w:tcBorders>
            <w:shd w:val="clear" w:color="auto" w:fill="auto"/>
            <w:tcMar>
              <w:top w:w="0" w:type="dxa"/>
              <w:left w:w="108" w:type="dxa"/>
              <w:bottom w:w="0" w:type="dxa"/>
              <w:right w:w="108" w:type="dxa"/>
            </w:tcMar>
            <w:hideMark/>
          </w:tcPr>
          <w:p w14:paraId="269DBC1E" w14:textId="29915270" w:rsidR="00256861" w:rsidRPr="005F7EC5" w:rsidRDefault="00C5473D"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E</w:t>
            </w:r>
            <w:r w:rsidR="00256861" w:rsidRPr="005F7EC5">
              <w:rPr>
                <w:rStyle w:val="translated-span"/>
                <w:rFonts w:ascii="Book Antiqua" w:hAnsi="Book Antiqua"/>
                <w:b/>
                <w:bCs/>
              </w:rPr>
              <w:t>xpla</w:t>
            </w:r>
            <w:r w:rsidR="00F741A0">
              <w:rPr>
                <w:rStyle w:val="translated-span"/>
                <w:rFonts w:ascii="Book Antiqua" w:hAnsi="Book Antiqua"/>
                <w:b/>
                <w:bCs/>
              </w:rPr>
              <w:t>nation</w:t>
            </w:r>
          </w:p>
        </w:tc>
        <w:tc>
          <w:tcPr>
            <w:tcW w:w="1816" w:type="dxa"/>
            <w:tcBorders>
              <w:top w:val="single" w:sz="8" w:space="0" w:color="auto"/>
              <w:bottom w:val="single" w:sz="8" w:space="0" w:color="auto"/>
            </w:tcBorders>
            <w:shd w:val="clear" w:color="auto" w:fill="auto"/>
            <w:tcMar>
              <w:top w:w="0" w:type="dxa"/>
              <w:left w:w="108" w:type="dxa"/>
              <w:bottom w:w="0" w:type="dxa"/>
              <w:right w:w="108" w:type="dxa"/>
            </w:tcMar>
            <w:hideMark/>
          </w:tcPr>
          <w:p w14:paraId="0C46A3C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Expression method</w:t>
            </w:r>
          </w:p>
        </w:tc>
        <w:tc>
          <w:tcPr>
            <w:tcW w:w="1417" w:type="dxa"/>
            <w:tcBorders>
              <w:top w:val="single" w:sz="8" w:space="0" w:color="auto"/>
              <w:bottom w:val="single" w:sz="8" w:space="0" w:color="auto"/>
            </w:tcBorders>
            <w:shd w:val="clear" w:color="auto" w:fill="auto"/>
            <w:tcMar>
              <w:top w:w="0" w:type="dxa"/>
              <w:left w:w="108" w:type="dxa"/>
              <w:bottom w:w="0" w:type="dxa"/>
              <w:right w:w="108" w:type="dxa"/>
            </w:tcMar>
            <w:hideMark/>
          </w:tcPr>
          <w:p w14:paraId="0D055A0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Expression method</w:t>
            </w:r>
          </w:p>
        </w:tc>
      </w:tr>
      <w:tr w:rsidR="00256861" w:rsidRPr="005F7EC5" w14:paraId="7C463BE8" w14:textId="77777777" w:rsidTr="007257B0">
        <w:trPr>
          <w:trHeight w:val="347"/>
        </w:trPr>
        <w:tc>
          <w:tcPr>
            <w:tcW w:w="3076" w:type="dxa"/>
            <w:tcBorders>
              <w:top w:val="single" w:sz="8" w:space="0" w:color="auto"/>
            </w:tcBorders>
            <w:shd w:val="clear" w:color="auto" w:fill="auto"/>
            <w:tcMar>
              <w:top w:w="0" w:type="dxa"/>
              <w:left w:w="108" w:type="dxa"/>
              <w:bottom w:w="0" w:type="dxa"/>
              <w:right w:w="108" w:type="dxa"/>
            </w:tcMar>
            <w:hideMark/>
          </w:tcPr>
          <w:p w14:paraId="3D2908A8"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Strong recommendations to support the use of an intervention</w:t>
            </w:r>
          </w:p>
        </w:tc>
        <w:tc>
          <w:tcPr>
            <w:tcW w:w="3330" w:type="dxa"/>
            <w:tcBorders>
              <w:top w:val="single" w:sz="8" w:space="0" w:color="auto"/>
            </w:tcBorders>
            <w:shd w:val="clear" w:color="auto" w:fill="auto"/>
            <w:tcMar>
              <w:top w:w="0" w:type="dxa"/>
              <w:left w:w="108" w:type="dxa"/>
              <w:bottom w:w="0" w:type="dxa"/>
              <w:right w:w="108" w:type="dxa"/>
            </w:tcMar>
            <w:hideMark/>
          </w:tcPr>
          <w:p w14:paraId="6A3DE833"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advantages of the intervention measures outweigh the disadvantages</w:t>
            </w:r>
          </w:p>
        </w:tc>
        <w:tc>
          <w:tcPr>
            <w:tcW w:w="1816" w:type="dxa"/>
            <w:tcBorders>
              <w:top w:val="single" w:sz="8" w:space="0" w:color="auto"/>
            </w:tcBorders>
            <w:shd w:val="clear" w:color="auto" w:fill="auto"/>
            <w:tcMar>
              <w:top w:w="0" w:type="dxa"/>
              <w:left w:w="108" w:type="dxa"/>
              <w:bottom w:w="0" w:type="dxa"/>
              <w:right w:w="108" w:type="dxa"/>
            </w:tcMar>
            <w:hideMark/>
          </w:tcPr>
          <w:p w14:paraId="6401DE3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Recommended</w:t>
            </w:r>
          </w:p>
        </w:tc>
        <w:tc>
          <w:tcPr>
            <w:tcW w:w="1417" w:type="dxa"/>
            <w:tcBorders>
              <w:top w:val="single" w:sz="8" w:space="0" w:color="auto"/>
            </w:tcBorders>
            <w:shd w:val="clear" w:color="auto" w:fill="auto"/>
            <w:tcMar>
              <w:top w:w="0" w:type="dxa"/>
              <w:left w:w="108" w:type="dxa"/>
              <w:bottom w:w="0" w:type="dxa"/>
              <w:right w:w="108" w:type="dxa"/>
            </w:tcMar>
            <w:hideMark/>
          </w:tcPr>
          <w:p w14:paraId="36B5ECB2"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w:t>
            </w:r>
          </w:p>
        </w:tc>
      </w:tr>
      <w:tr w:rsidR="00256861" w:rsidRPr="005F7EC5" w14:paraId="1B5DFA13" w14:textId="77777777" w:rsidTr="007257B0">
        <w:trPr>
          <w:trHeight w:val="313"/>
        </w:trPr>
        <w:tc>
          <w:tcPr>
            <w:tcW w:w="3076" w:type="dxa"/>
            <w:shd w:val="clear" w:color="auto" w:fill="auto"/>
            <w:tcMar>
              <w:top w:w="0" w:type="dxa"/>
              <w:left w:w="108" w:type="dxa"/>
              <w:bottom w:w="0" w:type="dxa"/>
              <w:right w:w="108" w:type="dxa"/>
            </w:tcMar>
            <w:hideMark/>
          </w:tcPr>
          <w:p w14:paraId="2D752BEB"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Weak recommendations to support the use of an intervention</w:t>
            </w:r>
          </w:p>
        </w:tc>
        <w:tc>
          <w:tcPr>
            <w:tcW w:w="3330" w:type="dxa"/>
            <w:shd w:val="clear" w:color="auto" w:fill="auto"/>
            <w:tcMar>
              <w:top w:w="0" w:type="dxa"/>
              <w:left w:w="108" w:type="dxa"/>
              <w:bottom w:w="0" w:type="dxa"/>
              <w:right w:w="108" w:type="dxa"/>
            </w:tcMar>
            <w:hideMark/>
          </w:tcPr>
          <w:p w14:paraId="03229AE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Interventions may have more advantages than disadvantages</w:t>
            </w:r>
          </w:p>
        </w:tc>
        <w:tc>
          <w:tcPr>
            <w:tcW w:w="1816" w:type="dxa"/>
            <w:shd w:val="clear" w:color="auto" w:fill="auto"/>
            <w:tcMar>
              <w:top w:w="0" w:type="dxa"/>
              <w:left w:w="108" w:type="dxa"/>
              <w:bottom w:w="0" w:type="dxa"/>
              <w:right w:w="108" w:type="dxa"/>
            </w:tcMar>
            <w:hideMark/>
          </w:tcPr>
          <w:p w14:paraId="619E7E0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Recommended use</w:t>
            </w:r>
          </w:p>
        </w:tc>
        <w:tc>
          <w:tcPr>
            <w:tcW w:w="1417" w:type="dxa"/>
            <w:shd w:val="clear" w:color="auto" w:fill="auto"/>
            <w:tcMar>
              <w:top w:w="0" w:type="dxa"/>
              <w:left w:w="108" w:type="dxa"/>
              <w:bottom w:w="0" w:type="dxa"/>
              <w:right w:w="108" w:type="dxa"/>
            </w:tcMar>
            <w:hideMark/>
          </w:tcPr>
          <w:p w14:paraId="18554C54"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2</w:t>
            </w:r>
          </w:p>
        </w:tc>
      </w:tr>
      <w:tr w:rsidR="00256861" w:rsidRPr="005F7EC5" w14:paraId="3228DDF9" w14:textId="77777777" w:rsidTr="007257B0">
        <w:trPr>
          <w:trHeight w:val="313"/>
        </w:trPr>
        <w:tc>
          <w:tcPr>
            <w:tcW w:w="3076" w:type="dxa"/>
            <w:shd w:val="clear" w:color="auto" w:fill="auto"/>
            <w:tcMar>
              <w:top w:w="0" w:type="dxa"/>
              <w:left w:w="108" w:type="dxa"/>
              <w:bottom w:w="0" w:type="dxa"/>
              <w:right w:w="108" w:type="dxa"/>
            </w:tcMar>
            <w:hideMark/>
          </w:tcPr>
          <w:p w14:paraId="7F4F7048"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Weak recommendations against the use of an intervention</w:t>
            </w:r>
          </w:p>
        </w:tc>
        <w:tc>
          <w:tcPr>
            <w:tcW w:w="3330" w:type="dxa"/>
            <w:shd w:val="clear" w:color="auto" w:fill="auto"/>
            <w:tcMar>
              <w:top w:w="0" w:type="dxa"/>
              <w:left w:w="108" w:type="dxa"/>
              <w:bottom w:w="0" w:type="dxa"/>
              <w:right w:w="108" w:type="dxa"/>
            </w:tcMar>
            <w:hideMark/>
          </w:tcPr>
          <w:p w14:paraId="2593820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Interventions may do more harm than good or the relationship between the advantages and disadvantages is not clear</w:t>
            </w:r>
          </w:p>
        </w:tc>
        <w:tc>
          <w:tcPr>
            <w:tcW w:w="1816" w:type="dxa"/>
            <w:shd w:val="clear" w:color="auto" w:fill="auto"/>
            <w:tcMar>
              <w:top w:w="0" w:type="dxa"/>
              <w:left w:w="108" w:type="dxa"/>
              <w:bottom w:w="0" w:type="dxa"/>
              <w:right w:w="108" w:type="dxa"/>
            </w:tcMar>
            <w:hideMark/>
          </w:tcPr>
          <w:p w14:paraId="26EF1FFB"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Not recommended</w:t>
            </w:r>
          </w:p>
        </w:tc>
        <w:tc>
          <w:tcPr>
            <w:tcW w:w="1417" w:type="dxa"/>
            <w:shd w:val="clear" w:color="auto" w:fill="auto"/>
            <w:tcMar>
              <w:top w:w="0" w:type="dxa"/>
              <w:left w:w="108" w:type="dxa"/>
              <w:bottom w:w="0" w:type="dxa"/>
              <w:right w:w="108" w:type="dxa"/>
            </w:tcMar>
            <w:hideMark/>
          </w:tcPr>
          <w:p w14:paraId="3EAA9BD4"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2</w:t>
            </w:r>
          </w:p>
        </w:tc>
      </w:tr>
      <w:tr w:rsidR="00256861" w:rsidRPr="005F7EC5" w14:paraId="2D179496" w14:textId="77777777" w:rsidTr="007257B0">
        <w:trPr>
          <w:trHeight w:val="313"/>
        </w:trPr>
        <w:tc>
          <w:tcPr>
            <w:tcW w:w="3076" w:type="dxa"/>
            <w:shd w:val="clear" w:color="auto" w:fill="auto"/>
            <w:tcMar>
              <w:top w:w="0" w:type="dxa"/>
              <w:left w:w="108" w:type="dxa"/>
              <w:bottom w:w="0" w:type="dxa"/>
              <w:right w:w="108" w:type="dxa"/>
            </w:tcMar>
            <w:hideMark/>
          </w:tcPr>
          <w:p w14:paraId="64D857A5"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Strong recommendations against the use of an intervention</w:t>
            </w:r>
          </w:p>
        </w:tc>
        <w:tc>
          <w:tcPr>
            <w:tcW w:w="3330" w:type="dxa"/>
            <w:shd w:val="clear" w:color="auto" w:fill="auto"/>
            <w:tcMar>
              <w:top w:w="0" w:type="dxa"/>
              <w:left w:w="108" w:type="dxa"/>
              <w:bottom w:w="0" w:type="dxa"/>
              <w:right w:w="108" w:type="dxa"/>
            </w:tcMar>
            <w:hideMark/>
          </w:tcPr>
          <w:p w14:paraId="5AA74C00"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The disadvantages of the intervention measures are obviously greater than the advantages</w:t>
            </w:r>
          </w:p>
        </w:tc>
        <w:tc>
          <w:tcPr>
            <w:tcW w:w="1816" w:type="dxa"/>
            <w:shd w:val="clear" w:color="auto" w:fill="auto"/>
            <w:tcMar>
              <w:top w:w="0" w:type="dxa"/>
              <w:left w:w="108" w:type="dxa"/>
              <w:bottom w:w="0" w:type="dxa"/>
              <w:right w:w="108" w:type="dxa"/>
            </w:tcMar>
            <w:hideMark/>
          </w:tcPr>
          <w:p w14:paraId="5F1B8DE4"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Not recommended</w:t>
            </w:r>
          </w:p>
        </w:tc>
        <w:tc>
          <w:tcPr>
            <w:tcW w:w="1417" w:type="dxa"/>
            <w:shd w:val="clear" w:color="auto" w:fill="auto"/>
            <w:tcMar>
              <w:top w:w="0" w:type="dxa"/>
              <w:left w:w="108" w:type="dxa"/>
              <w:bottom w:w="0" w:type="dxa"/>
              <w:right w:w="108" w:type="dxa"/>
            </w:tcMar>
            <w:hideMark/>
          </w:tcPr>
          <w:p w14:paraId="3F1F4144" w14:textId="77777777" w:rsidR="00256861" w:rsidRPr="005F7EC5" w:rsidRDefault="00256861" w:rsidP="005F7EC5">
            <w:pPr>
              <w:adjustRightInd w:val="0"/>
              <w:snapToGrid w:val="0"/>
              <w:spacing w:line="360" w:lineRule="auto"/>
              <w:jc w:val="both"/>
              <w:rPr>
                <w:rFonts w:ascii="Book Antiqua" w:hAnsi="Book Antiqua"/>
              </w:rPr>
            </w:pPr>
            <w:r w:rsidRPr="005F7EC5">
              <w:rPr>
                <w:rFonts w:ascii="Book Antiqua" w:hAnsi="Book Antiqua"/>
              </w:rPr>
              <w:t>1</w:t>
            </w:r>
          </w:p>
        </w:tc>
      </w:tr>
    </w:tbl>
    <w:p w14:paraId="4276460F" w14:textId="77777777" w:rsidR="00C5473D" w:rsidRPr="005F7EC5" w:rsidRDefault="00C5473D" w:rsidP="005F7EC5">
      <w:pPr>
        <w:adjustRightInd w:val="0"/>
        <w:snapToGrid w:val="0"/>
        <w:spacing w:line="360" w:lineRule="auto"/>
        <w:jc w:val="both"/>
        <w:rPr>
          <w:rStyle w:val="translated-span"/>
          <w:b/>
          <w:bCs/>
          <w:lang w:eastAsia="zh-CN"/>
        </w:rPr>
      </w:pPr>
    </w:p>
    <w:p w14:paraId="7CAC11E2" w14:textId="71796280" w:rsidR="00256861" w:rsidRPr="005F7EC5" w:rsidRDefault="007257B0" w:rsidP="005F7EC5">
      <w:pPr>
        <w:adjustRightInd w:val="0"/>
        <w:snapToGrid w:val="0"/>
        <w:spacing w:line="360" w:lineRule="auto"/>
        <w:jc w:val="both"/>
        <w:rPr>
          <w:rFonts w:ascii="Book Antiqua" w:hAnsi="Book Antiqua"/>
          <w:b/>
        </w:rPr>
      </w:pPr>
      <w:r w:rsidRPr="005F7EC5">
        <w:rPr>
          <w:rStyle w:val="translated-span"/>
          <w:b/>
          <w:bCs/>
        </w:rPr>
        <w:br w:type="page"/>
      </w:r>
      <w:r w:rsidR="00C5473D" w:rsidRPr="005F7EC5">
        <w:rPr>
          <w:rStyle w:val="translated-span"/>
          <w:rFonts w:ascii="Book Antiqua" w:hAnsi="Book Antiqua"/>
          <w:b/>
          <w:bCs/>
        </w:rPr>
        <w:lastRenderedPageBreak/>
        <w:t>Table 8</w:t>
      </w:r>
      <w:r w:rsidR="00C5473D" w:rsidRPr="005F7EC5">
        <w:rPr>
          <w:rStyle w:val="translated-span"/>
          <w:rFonts w:ascii="Book Antiqua" w:hAnsi="Book Antiqua"/>
          <w:b/>
        </w:rPr>
        <w:t xml:space="preserve"> </w:t>
      </w:r>
      <w:r w:rsidR="00256861" w:rsidRPr="005F7EC5">
        <w:rPr>
          <w:rStyle w:val="translated-span"/>
          <w:rFonts w:ascii="Book Antiqua" w:hAnsi="Book Antiqua"/>
          <w:b/>
        </w:rPr>
        <w:t>Consensu</w:t>
      </w:r>
      <w:r w:rsidRPr="005F7EC5">
        <w:rPr>
          <w:rStyle w:val="translated-span"/>
          <w:rFonts w:ascii="Book Antiqua" w:hAnsi="Book Antiqua"/>
          <w:b/>
        </w:rPr>
        <w:t>s statemen</w:t>
      </w:r>
      <w:r w:rsidR="00256861" w:rsidRPr="005F7EC5">
        <w:rPr>
          <w:rStyle w:val="translated-span"/>
          <w:rFonts w:ascii="Book Antiqua" w:hAnsi="Book Antiqua"/>
          <w:b/>
        </w:rPr>
        <w:t>t of Chinese</w:t>
      </w:r>
      <w:r w:rsidRPr="005F7EC5">
        <w:rPr>
          <w:rStyle w:val="translated-span"/>
          <w:rFonts w:ascii="Book Antiqua" w:hAnsi="Book Antiqua"/>
          <w:b/>
        </w:rPr>
        <w:t xml:space="preserve"> experts on pain treatment with transdermal patch</w:t>
      </w:r>
    </w:p>
    <w:tbl>
      <w:tblPr>
        <w:tblW w:w="10173"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7479"/>
        <w:gridCol w:w="2694"/>
      </w:tblGrid>
      <w:tr w:rsidR="00256861" w:rsidRPr="005F7EC5" w14:paraId="26F82BE6" w14:textId="77777777" w:rsidTr="00875526">
        <w:trPr>
          <w:trHeight w:val="309"/>
        </w:trPr>
        <w:tc>
          <w:tcPr>
            <w:tcW w:w="7479" w:type="dxa"/>
            <w:tcBorders>
              <w:top w:val="single" w:sz="8" w:space="0" w:color="auto"/>
              <w:bottom w:val="single" w:sz="8" w:space="0" w:color="auto"/>
            </w:tcBorders>
            <w:shd w:val="clear" w:color="auto" w:fill="auto"/>
            <w:tcMar>
              <w:top w:w="0" w:type="dxa"/>
              <w:left w:w="108" w:type="dxa"/>
              <w:bottom w:w="0" w:type="dxa"/>
              <w:right w:w="108" w:type="dxa"/>
            </w:tcMar>
            <w:hideMark/>
          </w:tcPr>
          <w:p w14:paraId="703711AC" w14:textId="5455E4FC" w:rsidR="00256861" w:rsidRPr="005F7EC5" w:rsidRDefault="00875526"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 xml:space="preserve">Consensus </w:t>
            </w:r>
            <w:r w:rsidRPr="005F7EC5">
              <w:rPr>
                <w:rStyle w:val="translated-span"/>
                <w:rFonts w:ascii="Book Antiqua" w:hAnsi="Book Antiqua"/>
                <w:b/>
                <w:bCs/>
                <w:lang w:eastAsia="zh-CN"/>
              </w:rPr>
              <w:t>o</w:t>
            </w:r>
            <w:r w:rsidR="00256861" w:rsidRPr="005F7EC5">
              <w:rPr>
                <w:rStyle w:val="translated-span"/>
                <w:rFonts w:ascii="Book Antiqua" w:hAnsi="Book Antiqua"/>
                <w:b/>
                <w:bCs/>
              </w:rPr>
              <w:t>pinion</w:t>
            </w:r>
          </w:p>
        </w:tc>
        <w:tc>
          <w:tcPr>
            <w:tcW w:w="2694" w:type="dxa"/>
            <w:tcBorders>
              <w:top w:val="single" w:sz="8" w:space="0" w:color="auto"/>
              <w:bottom w:val="single" w:sz="8" w:space="0" w:color="auto"/>
            </w:tcBorders>
            <w:shd w:val="clear" w:color="auto" w:fill="auto"/>
            <w:tcMar>
              <w:top w:w="0" w:type="dxa"/>
              <w:left w:w="108" w:type="dxa"/>
              <w:bottom w:w="0" w:type="dxa"/>
              <w:right w:w="108" w:type="dxa"/>
            </w:tcMar>
            <w:hideMark/>
          </w:tcPr>
          <w:p w14:paraId="0BADD605" w14:textId="40146C28"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b/>
                <w:bCs/>
              </w:rPr>
              <w:t xml:space="preserve">Recommended </w:t>
            </w:r>
            <w:r w:rsidR="00875526" w:rsidRPr="005F7EC5">
              <w:rPr>
                <w:rStyle w:val="translated-span"/>
                <w:rFonts w:ascii="Book Antiqua" w:hAnsi="Book Antiqua"/>
                <w:b/>
                <w:bCs/>
              </w:rPr>
              <w:t>strength level of evi</w:t>
            </w:r>
            <w:r w:rsidRPr="005F7EC5">
              <w:rPr>
                <w:rStyle w:val="translated-span"/>
                <w:rFonts w:ascii="Book Antiqua" w:hAnsi="Book Antiqua"/>
                <w:b/>
                <w:bCs/>
              </w:rPr>
              <w:t>dence</w:t>
            </w:r>
          </w:p>
        </w:tc>
      </w:tr>
      <w:tr w:rsidR="00256861" w:rsidRPr="005F7EC5" w14:paraId="36E33B77" w14:textId="77777777" w:rsidTr="00875526">
        <w:trPr>
          <w:trHeight w:val="342"/>
        </w:trPr>
        <w:tc>
          <w:tcPr>
            <w:tcW w:w="7479" w:type="dxa"/>
            <w:tcBorders>
              <w:top w:val="single" w:sz="8" w:space="0" w:color="auto"/>
            </w:tcBorders>
            <w:shd w:val="clear" w:color="auto" w:fill="auto"/>
            <w:tcMar>
              <w:top w:w="0" w:type="dxa"/>
              <w:left w:w="108" w:type="dxa"/>
              <w:bottom w:w="0" w:type="dxa"/>
              <w:right w:w="108" w:type="dxa"/>
            </w:tcMar>
            <w:hideMark/>
          </w:tcPr>
          <w:p w14:paraId="19B8E53B" w14:textId="6760DA9E"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 xml:space="preserve">The effect of </w:t>
            </w:r>
            <w:r w:rsidR="00F741A0">
              <w:rPr>
                <w:rStyle w:val="translated-span"/>
                <w:rFonts w:ascii="Book Antiqua" w:hAnsi="Book Antiqua"/>
              </w:rPr>
              <w:t xml:space="preserve">the </w:t>
            </w:r>
            <w:r w:rsidRPr="005F7EC5">
              <w:rPr>
                <w:rStyle w:val="translated-span"/>
                <w:rFonts w:ascii="Book Antiqua" w:hAnsi="Book Antiqua"/>
              </w:rPr>
              <w:t>transdermal patch in pain treatment is clear. It has the advantages of reducing adverse drug reactions and improving patient compliance</w:t>
            </w:r>
          </w:p>
        </w:tc>
        <w:tc>
          <w:tcPr>
            <w:tcW w:w="2694" w:type="dxa"/>
            <w:tcBorders>
              <w:top w:val="single" w:sz="8" w:space="0" w:color="auto"/>
            </w:tcBorders>
            <w:shd w:val="clear" w:color="auto" w:fill="auto"/>
            <w:tcMar>
              <w:top w:w="0" w:type="dxa"/>
              <w:left w:w="108" w:type="dxa"/>
              <w:bottom w:w="0" w:type="dxa"/>
              <w:right w:w="108" w:type="dxa"/>
            </w:tcMar>
            <w:hideMark/>
          </w:tcPr>
          <w:p w14:paraId="653ED7A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1A</w:t>
            </w:r>
          </w:p>
        </w:tc>
      </w:tr>
      <w:tr w:rsidR="00256861" w:rsidRPr="005F7EC5" w14:paraId="643DBD72" w14:textId="77777777" w:rsidTr="00875526">
        <w:trPr>
          <w:trHeight w:val="309"/>
        </w:trPr>
        <w:tc>
          <w:tcPr>
            <w:tcW w:w="7479" w:type="dxa"/>
            <w:shd w:val="clear" w:color="auto" w:fill="auto"/>
            <w:tcMar>
              <w:top w:w="0" w:type="dxa"/>
              <w:left w:w="108" w:type="dxa"/>
              <w:bottom w:w="0" w:type="dxa"/>
              <w:right w:w="108" w:type="dxa"/>
            </w:tcMar>
            <w:hideMark/>
          </w:tcPr>
          <w:p w14:paraId="466D275C" w14:textId="47144FC1"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NSAID transdermal patch is effective in the treatment of chronic skeletal muscle pain with few side effects, which is recommended as the first choice for the treatment of chronic musculoskeletal pain</w:t>
            </w:r>
          </w:p>
        </w:tc>
        <w:tc>
          <w:tcPr>
            <w:tcW w:w="2694" w:type="dxa"/>
            <w:shd w:val="clear" w:color="auto" w:fill="auto"/>
            <w:tcMar>
              <w:top w:w="0" w:type="dxa"/>
              <w:left w:w="108" w:type="dxa"/>
              <w:bottom w:w="0" w:type="dxa"/>
              <w:right w:w="108" w:type="dxa"/>
            </w:tcMar>
            <w:hideMark/>
          </w:tcPr>
          <w:p w14:paraId="648BDA2C"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1A</w:t>
            </w:r>
          </w:p>
        </w:tc>
      </w:tr>
      <w:tr w:rsidR="00256861" w:rsidRPr="005F7EC5" w14:paraId="463A6C11" w14:textId="77777777" w:rsidTr="00875526">
        <w:trPr>
          <w:trHeight w:val="309"/>
        </w:trPr>
        <w:tc>
          <w:tcPr>
            <w:tcW w:w="7479" w:type="dxa"/>
            <w:shd w:val="clear" w:color="auto" w:fill="auto"/>
            <w:tcMar>
              <w:top w:w="0" w:type="dxa"/>
              <w:left w:w="108" w:type="dxa"/>
              <w:bottom w:w="0" w:type="dxa"/>
              <w:right w:w="108" w:type="dxa"/>
            </w:tcMar>
            <w:hideMark/>
          </w:tcPr>
          <w:p w14:paraId="2F99BB19"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NSAIDs can be used as a combination therapy for neuropathic pain</w:t>
            </w:r>
          </w:p>
        </w:tc>
        <w:tc>
          <w:tcPr>
            <w:tcW w:w="2694" w:type="dxa"/>
            <w:shd w:val="clear" w:color="auto" w:fill="auto"/>
            <w:tcMar>
              <w:top w:w="0" w:type="dxa"/>
              <w:left w:w="108" w:type="dxa"/>
              <w:bottom w:w="0" w:type="dxa"/>
              <w:right w:w="108" w:type="dxa"/>
            </w:tcMar>
            <w:hideMark/>
          </w:tcPr>
          <w:p w14:paraId="37AB6B26"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2C</w:t>
            </w:r>
          </w:p>
        </w:tc>
      </w:tr>
      <w:tr w:rsidR="00256861" w:rsidRPr="005F7EC5" w14:paraId="394B2CAD" w14:textId="77777777" w:rsidTr="00875526">
        <w:trPr>
          <w:trHeight w:val="309"/>
        </w:trPr>
        <w:tc>
          <w:tcPr>
            <w:tcW w:w="7479" w:type="dxa"/>
            <w:shd w:val="clear" w:color="auto" w:fill="auto"/>
            <w:tcMar>
              <w:top w:w="0" w:type="dxa"/>
              <w:left w:w="108" w:type="dxa"/>
              <w:bottom w:w="0" w:type="dxa"/>
              <w:right w:w="108" w:type="dxa"/>
            </w:tcMar>
            <w:hideMark/>
          </w:tcPr>
          <w:p w14:paraId="4A50AB28" w14:textId="3A50120F"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 xml:space="preserve">When the efficacy of transdermal NSAIDs alone is not good enough, which can be combined with analgesic drugs of </w:t>
            </w:r>
            <w:r w:rsidR="00F741A0">
              <w:rPr>
                <w:rStyle w:val="translated-span"/>
                <w:rFonts w:ascii="Book Antiqua" w:hAnsi="Book Antiqua"/>
              </w:rPr>
              <w:t>an</w:t>
            </w:r>
            <w:r w:rsidRPr="005F7EC5">
              <w:rPr>
                <w:rStyle w:val="translated-span"/>
                <w:rFonts w:ascii="Book Antiqua" w:hAnsi="Book Antiqua"/>
              </w:rPr>
              <w:t>other administration route, such as oral NSAIDs</w:t>
            </w:r>
          </w:p>
        </w:tc>
        <w:tc>
          <w:tcPr>
            <w:tcW w:w="2694" w:type="dxa"/>
            <w:shd w:val="clear" w:color="auto" w:fill="auto"/>
            <w:tcMar>
              <w:top w:w="0" w:type="dxa"/>
              <w:left w:w="108" w:type="dxa"/>
              <w:bottom w:w="0" w:type="dxa"/>
              <w:right w:w="108" w:type="dxa"/>
            </w:tcMar>
            <w:hideMark/>
          </w:tcPr>
          <w:p w14:paraId="13C2F55A"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2B</w:t>
            </w:r>
          </w:p>
        </w:tc>
      </w:tr>
      <w:tr w:rsidR="00256861" w:rsidRPr="005F7EC5" w14:paraId="0470C54C" w14:textId="77777777" w:rsidTr="00875526">
        <w:trPr>
          <w:trHeight w:val="309"/>
        </w:trPr>
        <w:tc>
          <w:tcPr>
            <w:tcW w:w="7479" w:type="dxa"/>
            <w:shd w:val="clear" w:color="auto" w:fill="auto"/>
            <w:tcMar>
              <w:top w:w="0" w:type="dxa"/>
              <w:left w:w="108" w:type="dxa"/>
              <w:bottom w:w="0" w:type="dxa"/>
              <w:right w:w="108" w:type="dxa"/>
            </w:tcMar>
            <w:hideMark/>
          </w:tcPr>
          <w:p w14:paraId="13FDBE6B" w14:textId="71447A60"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 xml:space="preserve">Opioid transdermal patch is effective in the treatment of chronic pain, but it should not be used as the initial treatment for chronic pain </w:t>
            </w:r>
            <w:r w:rsidR="00F741A0">
              <w:rPr>
                <w:rStyle w:val="translated-span"/>
                <w:rFonts w:ascii="Book Antiqua" w:hAnsi="Book Antiqua"/>
              </w:rPr>
              <w:t>due to</w:t>
            </w:r>
            <w:r w:rsidRPr="005F7EC5">
              <w:rPr>
                <w:rStyle w:val="translated-span"/>
                <w:rFonts w:ascii="Book Antiqua" w:hAnsi="Book Antiqua"/>
              </w:rPr>
              <w:t xml:space="preserve"> addiction and adverse reactions</w:t>
            </w:r>
          </w:p>
        </w:tc>
        <w:tc>
          <w:tcPr>
            <w:tcW w:w="2694" w:type="dxa"/>
            <w:shd w:val="clear" w:color="auto" w:fill="auto"/>
            <w:tcMar>
              <w:top w:w="0" w:type="dxa"/>
              <w:left w:w="108" w:type="dxa"/>
              <w:bottom w:w="0" w:type="dxa"/>
              <w:right w:w="108" w:type="dxa"/>
            </w:tcMar>
            <w:hideMark/>
          </w:tcPr>
          <w:p w14:paraId="087ED2FC"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1B</w:t>
            </w:r>
          </w:p>
        </w:tc>
      </w:tr>
      <w:tr w:rsidR="00256861" w:rsidRPr="005F7EC5" w14:paraId="1F1D8C6D" w14:textId="77777777" w:rsidTr="00875526">
        <w:trPr>
          <w:trHeight w:val="309"/>
        </w:trPr>
        <w:tc>
          <w:tcPr>
            <w:tcW w:w="7479" w:type="dxa"/>
            <w:shd w:val="clear" w:color="auto" w:fill="auto"/>
            <w:tcMar>
              <w:top w:w="0" w:type="dxa"/>
              <w:left w:w="108" w:type="dxa"/>
              <w:bottom w:w="0" w:type="dxa"/>
              <w:right w:w="108" w:type="dxa"/>
            </w:tcMar>
            <w:hideMark/>
          </w:tcPr>
          <w:p w14:paraId="754DAD7A"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Opioid transdermal patch should not be used in the treatment of acute or breakthrough pain</w:t>
            </w:r>
          </w:p>
        </w:tc>
        <w:tc>
          <w:tcPr>
            <w:tcW w:w="2694" w:type="dxa"/>
            <w:shd w:val="clear" w:color="auto" w:fill="auto"/>
            <w:tcMar>
              <w:top w:w="0" w:type="dxa"/>
              <w:left w:w="108" w:type="dxa"/>
              <w:bottom w:w="0" w:type="dxa"/>
              <w:right w:w="108" w:type="dxa"/>
            </w:tcMar>
            <w:hideMark/>
          </w:tcPr>
          <w:p w14:paraId="40051C5A"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1A</w:t>
            </w:r>
          </w:p>
        </w:tc>
      </w:tr>
      <w:tr w:rsidR="00256861" w:rsidRPr="005F7EC5" w14:paraId="36002B0B" w14:textId="77777777" w:rsidTr="00875526">
        <w:trPr>
          <w:trHeight w:val="309"/>
        </w:trPr>
        <w:tc>
          <w:tcPr>
            <w:tcW w:w="7479" w:type="dxa"/>
            <w:shd w:val="clear" w:color="auto" w:fill="auto"/>
            <w:tcMar>
              <w:top w:w="0" w:type="dxa"/>
              <w:left w:w="108" w:type="dxa"/>
              <w:bottom w:w="0" w:type="dxa"/>
              <w:right w:w="108" w:type="dxa"/>
            </w:tcMar>
            <w:hideMark/>
          </w:tcPr>
          <w:p w14:paraId="4BA1025F"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When other first-line treatment drugs are ineffective, 8% capsaicin patch can be considered for chronic pain related to peripheral neuropathic pain</w:t>
            </w:r>
          </w:p>
        </w:tc>
        <w:tc>
          <w:tcPr>
            <w:tcW w:w="2694" w:type="dxa"/>
            <w:shd w:val="clear" w:color="auto" w:fill="auto"/>
            <w:tcMar>
              <w:top w:w="0" w:type="dxa"/>
              <w:left w:w="108" w:type="dxa"/>
              <w:bottom w:w="0" w:type="dxa"/>
              <w:right w:w="108" w:type="dxa"/>
            </w:tcMar>
            <w:hideMark/>
          </w:tcPr>
          <w:p w14:paraId="7AE4C90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1B</w:t>
            </w:r>
          </w:p>
        </w:tc>
      </w:tr>
      <w:tr w:rsidR="00256861" w:rsidRPr="005F7EC5" w14:paraId="23A42C04" w14:textId="77777777" w:rsidTr="00875526">
        <w:trPr>
          <w:trHeight w:val="309"/>
        </w:trPr>
        <w:tc>
          <w:tcPr>
            <w:tcW w:w="7479" w:type="dxa"/>
            <w:shd w:val="clear" w:color="auto" w:fill="auto"/>
            <w:tcMar>
              <w:top w:w="0" w:type="dxa"/>
              <w:left w:w="108" w:type="dxa"/>
              <w:bottom w:w="0" w:type="dxa"/>
              <w:right w:w="108" w:type="dxa"/>
            </w:tcMar>
            <w:hideMark/>
          </w:tcPr>
          <w:p w14:paraId="3F800C41"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When other first-line treatment drugs are ineffective, 5% lidocaine patch can be considered for chronic pain related to peripheral neuropathic pain</w:t>
            </w:r>
          </w:p>
        </w:tc>
        <w:tc>
          <w:tcPr>
            <w:tcW w:w="2694" w:type="dxa"/>
            <w:shd w:val="clear" w:color="auto" w:fill="auto"/>
            <w:tcMar>
              <w:top w:w="0" w:type="dxa"/>
              <w:left w:w="108" w:type="dxa"/>
              <w:bottom w:w="0" w:type="dxa"/>
              <w:right w:w="108" w:type="dxa"/>
            </w:tcMar>
            <w:hideMark/>
          </w:tcPr>
          <w:p w14:paraId="2E62E97D" w14:textId="77777777" w:rsidR="00256861" w:rsidRPr="005F7EC5" w:rsidRDefault="00256861" w:rsidP="005F7EC5">
            <w:pPr>
              <w:adjustRightInd w:val="0"/>
              <w:snapToGrid w:val="0"/>
              <w:spacing w:line="360" w:lineRule="auto"/>
              <w:jc w:val="both"/>
              <w:rPr>
                <w:rFonts w:ascii="Book Antiqua" w:hAnsi="Book Antiqua"/>
              </w:rPr>
            </w:pPr>
            <w:r w:rsidRPr="005F7EC5">
              <w:rPr>
                <w:rStyle w:val="translated-span"/>
                <w:rFonts w:ascii="Book Antiqua" w:hAnsi="Book Antiqua"/>
              </w:rPr>
              <w:t>2B</w:t>
            </w:r>
          </w:p>
        </w:tc>
      </w:tr>
    </w:tbl>
    <w:p w14:paraId="497AA4C9" w14:textId="045D68A7" w:rsidR="00A77B3E" w:rsidRPr="005F7EC5" w:rsidRDefault="00A532F3" w:rsidP="005F7EC5">
      <w:pPr>
        <w:spacing w:line="360" w:lineRule="auto"/>
        <w:jc w:val="both"/>
        <w:rPr>
          <w:lang w:eastAsia="zh-CN"/>
        </w:rPr>
      </w:pPr>
      <w:r w:rsidRPr="005F7EC5">
        <w:rPr>
          <w:rStyle w:val="translated-span"/>
          <w:rFonts w:ascii="Book Antiqua" w:hAnsi="Book Antiqua"/>
        </w:rPr>
        <w:t>NSAID</w:t>
      </w:r>
      <w:r w:rsidRPr="005F7EC5">
        <w:rPr>
          <w:rStyle w:val="translated-span"/>
          <w:rFonts w:ascii="Book Antiqua" w:hAnsi="Book Antiqua"/>
          <w:lang w:eastAsia="zh-CN"/>
        </w:rPr>
        <w:t>:</w:t>
      </w:r>
      <w:r w:rsidRPr="005F7EC5">
        <w:rPr>
          <w:rStyle w:val="translated-span"/>
          <w:rFonts w:ascii="Book Antiqua" w:eastAsia="Book Antiqua" w:hAnsi="Book Antiqua" w:cs="Book Antiqua"/>
          <w:color w:val="000000"/>
        </w:rPr>
        <w:t xml:space="preserve"> </w:t>
      </w:r>
      <w:r w:rsidRPr="005F7EC5">
        <w:rPr>
          <w:rStyle w:val="translated-span"/>
          <w:rFonts w:ascii="Book Antiqua" w:hAnsi="Book Antiqua" w:cs="Book Antiqua"/>
          <w:color w:val="000000"/>
          <w:lang w:eastAsia="zh-CN"/>
        </w:rPr>
        <w:t>N</w:t>
      </w:r>
      <w:r w:rsidRPr="005F7EC5">
        <w:rPr>
          <w:rStyle w:val="translated-span"/>
          <w:rFonts w:ascii="Book Antiqua" w:eastAsia="Book Antiqua" w:hAnsi="Book Antiqua" w:cs="Book Antiqua"/>
          <w:color w:val="000000"/>
        </w:rPr>
        <w:t>onsteroidal anti-inflammatory drug</w:t>
      </w:r>
      <w:r w:rsidRPr="005F7EC5">
        <w:rPr>
          <w:rStyle w:val="translated-span"/>
          <w:rFonts w:ascii="Book Antiqua" w:hAnsi="Book Antiqua" w:cs="Book Antiqua"/>
          <w:color w:val="000000"/>
          <w:lang w:eastAsia="zh-CN"/>
        </w:rPr>
        <w:t>.</w:t>
      </w:r>
    </w:p>
    <w:sectPr w:rsidR="00A77B3E" w:rsidRPr="005F7E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37322" w14:textId="77777777" w:rsidR="003C510D" w:rsidRDefault="003C510D" w:rsidP="00EB0149">
      <w:r>
        <w:separator/>
      </w:r>
    </w:p>
  </w:endnote>
  <w:endnote w:type="continuationSeparator" w:id="0">
    <w:p w14:paraId="6FBC7661" w14:textId="77777777" w:rsidR="003C510D" w:rsidRDefault="003C510D" w:rsidP="00EB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040310699"/>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741D6258" w14:textId="50BB5063" w:rsidR="005347D1" w:rsidRPr="00EF1BF4" w:rsidRDefault="005347D1">
            <w:pPr>
              <w:pStyle w:val="Footer"/>
              <w:jc w:val="right"/>
              <w:rPr>
                <w:rFonts w:ascii="Book Antiqua" w:hAnsi="Book Antiqua"/>
                <w:sz w:val="24"/>
                <w:szCs w:val="24"/>
              </w:rPr>
            </w:pPr>
            <w:r w:rsidRPr="00EF1BF4">
              <w:rPr>
                <w:rFonts w:ascii="Book Antiqua" w:hAnsi="Book Antiqua"/>
                <w:sz w:val="24"/>
                <w:szCs w:val="24"/>
                <w:lang w:val="zh-CN" w:eastAsia="zh-CN"/>
              </w:rPr>
              <w:t xml:space="preserve"> </w:t>
            </w:r>
            <w:r w:rsidRPr="00EF1BF4">
              <w:rPr>
                <w:rFonts w:ascii="Book Antiqua" w:hAnsi="Book Antiqua"/>
                <w:sz w:val="24"/>
                <w:szCs w:val="24"/>
              </w:rPr>
              <w:fldChar w:fldCharType="begin"/>
            </w:r>
            <w:r w:rsidRPr="00EF1BF4">
              <w:rPr>
                <w:rFonts w:ascii="Book Antiqua" w:hAnsi="Book Antiqua"/>
                <w:sz w:val="24"/>
                <w:szCs w:val="24"/>
              </w:rPr>
              <w:instrText>PAGE</w:instrText>
            </w:r>
            <w:r w:rsidRPr="00EF1BF4">
              <w:rPr>
                <w:rFonts w:ascii="Book Antiqua" w:hAnsi="Book Antiqua"/>
                <w:sz w:val="24"/>
                <w:szCs w:val="24"/>
              </w:rPr>
              <w:fldChar w:fldCharType="separate"/>
            </w:r>
            <w:r w:rsidRPr="00EF1BF4">
              <w:rPr>
                <w:rFonts w:ascii="Book Antiqua" w:hAnsi="Book Antiqua"/>
                <w:noProof/>
                <w:sz w:val="24"/>
                <w:szCs w:val="24"/>
              </w:rPr>
              <w:t>15</w:t>
            </w:r>
            <w:r w:rsidRPr="00EF1BF4">
              <w:rPr>
                <w:rFonts w:ascii="Book Antiqua" w:hAnsi="Book Antiqua"/>
                <w:sz w:val="24"/>
                <w:szCs w:val="24"/>
              </w:rPr>
              <w:fldChar w:fldCharType="end"/>
            </w:r>
            <w:r w:rsidRPr="00EF1BF4">
              <w:rPr>
                <w:rFonts w:ascii="Book Antiqua" w:hAnsi="Book Antiqua"/>
                <w:sz w:val="24"/>
                <w:szCs w:val="24"/>
                <w:lang w:val="zh-CN" w:eastAsia="zh-CN"/>
              </w:rPr>
              <w:t xml:space="preserve"> / </w:t>
            </w:r>
            <w:r w:rsidRPr="00EF1BF4">
              <w:rPr>
                <w:rFonts w:ascii="Book Antiqua" w:hAnsi="Book Antiqua"/>
                <w:sz w:val="24"/>
                <w:szCs w:val="24"/>
              </w:rPr>
              <w:fldChar w:fldCharType="begin"/>
            </w:r>
            <w:r w:rsidRPr="00EF1BF4">
              <w:rPr>
                <w:rFonts w:ascii="Book Antiqua" w:hAnsi="Book Antiqua"/>
                <w:sz w:val="24"/>
                <w:szCs w:val="24"/>
              </w:rPr>
              <w:instrText>NUMPAGES</w:instrText>
            </w:r>
            <w:r w:rsidRPr="00EF1BF4">
              <w:rPr>
                <w:rFonts w:ascii="Book Antiqua" w:hAnsi="Book Antiqua"/>
                <w:sz w:val="24"/>
                <w:szCs w:val="24"/>
              </w:rPr>
              <w:fldChar w:fldCharType="separate"/>
            </w:r>
            <w:r w:rsidRPr="00EF1BF4">
              <w:rPr>
                <w:rFonts w:ascii="Book Antiqua" w:hAnsi="Book Antiqua"/>
                <w:noProof/>
                <w:sz w:val="24"/>
                <w:szCs w:val="24"/>
              </w:rPr>
              <w:t>32</w:t>
            </w:r>
            <w:r w:rsidRPr="00EF1BF4">
              <w:rPr>
                <w:rFonts w:ascii="Book Antiqua" w:hAnsi="Book Antiqua"/>
                <w:sz w:val="24"/>
                <w:szCs w:val="24"/>
              </w:rPr>
              <w:fldChar w:fldCharType="end"/>
            </w:r>
          </w:p>
        </w:sdtContent>
      </w:sdt>
    </w:sdtContent>
  </w:sdt>
  <w:p w14:paraId="6FEB498E" w14:textId="77777777" w:rsidR="005347D1" w:rsidRDefault="00534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13FC8" w14:textId="77777777" w:rsidR="003C510D" w:rsidRDefault="003C510D" w:rsidP="00EB0149">
      <w:r>
        <w:separator/>
      </w:r>
    </w:p>
  </w:footnote>
  <w:footnote w:type="continuationSeparator" w:id="0">
    <w:p w14:paraId="6617A0F5" w14:textId="77777777" w:rsidR="003C510D" w:rsidRDefault="003C510D" w:rsidP="00EB0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79A"/>
    <w:rsid w:val="000412C1"/>
    <w:rsid w:val="00044F10"/>
    <w:rsid w:val="000511C2"/>
    <w:rsid w:val="0009342F"/>
    <w:rsid w:val="000B35BC"/>
    <w:rsid w:val="000B43B1"/>
    <w:rsid w:val="00127596"/>
    <w:rsid w:val="001339A0"/>
    <w:rsid w:val="0014177D"/>
    <w:rsid w:val="00151FCF"/>
    <w:rsid w:val="001B20BE"/>
    <w:rsid w:val="001D0A1A"/>
    <w:rsid w:val="001D300F"/>
    <w:rsid w:val="001D5624"/>
    <w:rsid w:val="001F023A"/>
    <w:rsid w:val="001F67CE"/>
    <w:rsid w:val="00217CFF"/>
    <w:rsid w:val="00230C17"/>
    <w:rsid w:val="002410D7"/>
    <w:rsid w:val="00251C9D"/>
    <w:rsid w:val="00256861"/>
    <w:rsid w:val="00267DD8"/>
    <w:rsid w:val="00295E2E"/>
    <w:rsid w:val="00296C21"/>
    <w:rsid w:val="002B429F"/>
    <w:rsid w:val="002B661C"/>
    <w:rsid w:val="002C0776"/>
    <w:rsid w:val="002C2050"/>
    <w:rsid w:val="002F17BA"/>
    <w:rsid w:val="00301342"/>
    <w:rsid w:val="00306A3B"/>
    <w:rsid w:val="00331282"/>
    <w:rsid w:val="00371EB2"/>
    <w:rsid w:val="0038072F"/>
    <w:rsid w:val="003B37DA"/>
    <w:rsid w:val="003B583A"/>
    <w:rsid w:val="003B795F"/>
    <w:rsid w:val="003C510D"/>
    <w:rsid w:val="003D37AF"/>
    <w:rsid w:val="003E6E4B"/>
    <w:rsid w:val="00406339"/>
    <w:rsid w:val="00421EC3"/>
    <w:rsid w:val="00461C10"/>
    <w:rsid w:val="00477886"/>
    <w:rsid w:val="00483E1B"/>
    <w:rsid w:val="00490383"/>
    <w:rsid w:val="004A5C6B"/>
    <w:rsid w:val="004B472E"/>
    <w:rsid w:val="004C6DE4"/>
    <w:rsid w:val="004D3C94"/>
    <w:rsid w:val="004E6496"/>
    <w:rsid w:val="00507957"/>
    <w:rsid w:val="005347D1"/>
    <w:rsid w:val="00573B6B"/>
    <w:rsid w:val="00594B27"/>
    <w:rsid w:val="005A27C5"/>
    <w:rsid w:val="005B0FBF"/>
    <w:rsid w:val="005B1742"/>
    <w:rsid w:val="005D4A9E"/>
    <w:rsid w:val="005E7376"/>
    <w:rsid w:val="005F3DED"/>
    <w:rsid w:val="005F7EC5"/>
    <w:rsid w:val="006377FA"/>
    <w:rsid w:val="00661FA2"/>
    <w:rsid w:val="00665AB7"/>
    <w:rsid w:val="006A1E78"/>
    <w:rsid w:val="006A796A"/>
    <w:rsid w:val="006C2FE9"/>
    <w:rsid w:val="006D06BC"/>
    <w:rsid w:val="006D56B8"/>
    <w:rsid w:val="0070190A"/>
    <w:rsid w:val="00715523"/>
    <w:rsid w:val="00717A75"/>
    <w:rsid w:val="007257B0"/>
    <w:rsid w:val="00731263"/>
    <w:rsid w:val="007401FA"/>
    <w:rsid w:val="00765F3C"/>
    <w:rsid w:val="00772FC8"/>
    <w:rsid w:val="007801C3"/>
    <w:rsid w:val="007C5344"/>
    <w:rsid w:val="007F7D3D"/>
    <w:rsid w:val="00804782"/>
    <w:rsid w:val="0080738B"/>
    <w:rsid w:val="00834723"/>
    <w:rsid w:val="00855B83"/>
    <w:rsid w:val="008724B3"/>
    <w:rsid w:val="00875526"/>
    <w:rsid w:val="00877945"/>
    <w:rsid w:val="0088343A"/>
    <w:rsid w:val="0089195B"/>
    <w:rsid w:val="00894B7B"/>
    <w:rsid w:val="0089551A"/>
    <w:rsid w:val="008961FA"/>
    <w:rsid w:val="008E3FEB"/>
    <w:rsid w:val="0091117B"/>
    <w:rsid w:val="009210B3"/>
    <w:rsid w:val="009256F1"/>
    <w:rsid w:val="00927FCC"/>
    <w:rsid w:val="00967A7B"/>
    <w:rsid w:val="00967DC5"/>
    <w:rsid w:val="009873F0"/>
    <w:rsid w:val="009B6ADC"/>
    <w:rsid w:val="009C10E4"/>
    <w:rsid w:val="009D3B22"/>
    <w:rsid w:val="00A20059"/>
    <w:rsid w:val="00A2062B"/>
    <w:rsid w:val="00A21ED3"/>
    <w:rsid w:val="00A3214D"/>
    <w:rsid w:val="00A532F3"/>
    <w:rsid w:val="00A640C0"/>
    <w:rsid w:val="00A77B3E"/>
    <w:rsid w:val="00A87CA5"/>
    <w:rsid w:val="00A94BEA"/>
    <w:rsid w:val="00AA59B7"/>
    <w:rsid w:val="00AC00DD"/>
    <w:rsid w:val="00AC2E04"/>
    <w:rsid w:val="00AC37D6"/>
    <w:rsid w:val="00AF0879"/>
    <w:rsid w:val="00AF4F2C"/>
    <w:rsid w:val="00AF6C03"/>
    <w:rsid w:val="00B014EE"/>
    <w:rsid w:val="00B03CCA"/>
    <w:rsid w:val="00B11230"/>
    <w:rsid w:val="00B118F8"/>
    <w:rsid w:val="00B12D04"/>
    <w:rsid w:val="00B17A60"/>
    <w:rsid w:val="00B24292"/>
    <w:rsid w:val="00B250A8"/>
    <w:rsid w:val="00B8099E"/>
    <w:rsid w:val="00BE24CF"/>
    <w:rsid w:val="00BF2064"/>
    <w:rsid w:val="00C01A04"/>
    <w:rsid w:val="00C04E96"/>
    <w:rsid w:val="00C075E0"/>
    <w:rsid w:val="00C146B5"/>
    <w:rsid w:val="00C17BD2"/>
    <w:rsid w:val="00C32DFC"/>
    <w:rsid w:val="00C34004"/>
    <w:rsid w:val="00C51F29"/>
    <w:rsid w:val="00C5473D"/>
    <w:rsid w:val="00C863ED"/>
    <w:rsid w:val="00CA2A55"/>
    <w:rsid w:val="00CA60E7"/>
    <w:rsid w:val="00CA7060"/>
    <w:rsid w:val="00CC17A1"/>
    <w:rsid w:val="00CD21C1"/>
    <w:rsid w:val="00CD3567"/>
    <w:rsid w:val="00CD3EA5"/>
    <w:rsid w:val="00CD4A8A"/>
    <w:rsid w:val="00CE0E77"/>
    <w:rsid w:val="00CF5FA2"/>
    <w:rsid w:val="00D25773"/>
    <w:rsid w:val="00D343E3"/>
    <w:rsid w:val="00D54740"/>
    <w:rsid w:val="00D606C6"/>
    <w:rsid w:val="00D6463F"/>
    <w:rsid w:val="00D64DF4"/>
    <w:rsid w:val="00D73594"/>
    <w:rsid w:val="00D73B14"/>
    <w:rsid w:val="00D83653"/>
    <w:rsid w:val="00DA7C9B"/>
    <w:rsid w:val="00DD17B2"/>
    <w:rsid w:val="00DE6227"/>
    <w:rsid w:val="00DE668B"/>
    <w:rsid w:val="00DF5EBC"/>
    <w:rsid w:val="00E0696D"/>
    <w:rsid w:val="00E07DB7"/>
    <w:rsid w:val="00E07E6C"/>
    <w:rsid w:val="00E104A4"/>
    <w:rsid w:val="00E27E3F"/>
    <w:rsid w:val="00E4741D"/>
    <w:rsid w:val="00E60A5A"/>
    <w:rsid w:val="00E66045"/>
    <w:rsid w:val="00EB0149"/>
    <w:rsid w:val="00EC1004"/>
    <w:rsid w:val="00EE46F0"/>
    <w:rsid w:val="00EF138A"/>
    <w:rsid w:val="00EF1BF4"/>
    <w:rsid w:val="00F0793F"/>
    <w:rsid w:val="00F13122"/>
    <w:rsid w:val="00F741A0"/>
    <w:rsid w:val="00F87640"/>
    <w:rsid w:val="00FA2DBE"/>
    <w:rsid w:val="00FA7AE5"/>
    <w:rsid w:val="00FA7D99"/>
    <w:rsid w:val="00FC5EF1"/>
    <w:rsid w:val="00FD0963"/>
    <w:rsid w:val="00FD7DCB"/>
    <w:rsid w:val="00FE0C79"/>
    <w:rsid w:val="00FF0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lated-span">
    <w:name w:val="translated-span"/>
    <w:basedOn w:val="DefaultParagraphFont"/>
  </w:style>
  <w:style w:type="paragraph" w:styleId="NormalWeb">
    <w:name w:val="Normal (Web)"/>
    <w:basedOn w:val="Normal"/>
    <w:uiPriority w:val="99"/>
    <w:unhideWhenUsed/>
    <w:rsid w:val="00E60A5A"/>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256861"/>
    <w:rPr>
      <w:sz w:val="21"/>
      <w:szCs w:val="21"/>
    </w:rPr>
  </w:style>
  <w:style w:type="paragraph" w:styleId="CommentText">
    <w:name w:val="annotation text"/>
    <w:basedOn w:val="Normal"/>
    <w:link w:val="CommentTextChar"/>
    <w:rsid w:val="00256861"/>
  </w:style>
  <w:style w:type="character" w:customStyle="1" w:styleId="CommentTextChar">
    <w:name w:val="Comment Text Char"/>
    <w:basedOn w:val="DefaultParagraphFont"/>
    <w:link w:val="CommentText"/>
    <w:rsid w:val="00256861"/>
    <w:rPr>
      <w:sz w:val="24"/>
      <w:szCs w:val="24"/>
    </w:rPr>
  </w:style>
  <w:style w:type="paragraph" w:styleId="CommentSubject">
    <w:name w:val="annotation subject"/>
    <w:basedOn w:val="CommentText"/>
    <w:next w:val="CommentText"/>
    <w:link w:val="CommentSubjectChar"/>
    <w:rsid w:val="00256861"/>
    <w:rPr>
      <w:b/>
      <w:bCs/>
    </w:rPr>
  </w:style>
  <w:style w:type="character" w:customStyle="1" w:styleId="CommentSubjectChar">
    <w:name w:val="Comment Subject Char"/>
    <w:basedOn w:val="CommentTextChar"/>
    <w:link w:val="CommentSubject"/>
    <w:rsid w:val="00256861"/>
    <w:rPr>
      <w:b/>
      <w:bCs/>
      <w:sz w:val="24"/>
      <w:szCs w:val="24"/>
    </w:rPr>
  </w:style>
  <w:style w:type="paragraph" w:styleId="BalloonText">
    <w:name w:val="Balloon Text"/>
    <w:basedOn w:val="Normal"/>
    <w:link w:val="BalloonTextChar"/>
    <w:rsid w:val="00256861"/>
    <w:rPr>
      <w:sz w:val="18"/>
      <w:szCs w:val="18"/>
    </w:rPr>
  </w:style>
  <w:style w:type="character" w:customStyle="1" w:styleId="BalloonTextChar">
    <w:name w:val="Balloon Text Char"/>
    <w:basedOn w:val="DefaultParagraphFont"/>
    <w:link w:val="BalloonText"/>
    <w:rsid w:val="00256861"/>
    <w:rPr>
      <w:sz w:val="18"/>
      <w:szCs w:val="18"/>
    </w:rPr>
  </w:style>
  <w:style w:type="paragraph" w:styleId="Header">
    <w:name w:val="header"/>
    <w:basedOn w:val="Normal"/>
    <w:link w:val="HeaderChar"/>
    <w:unhideWhenUsed/>
    <w:rsid w:val="00EB01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B0149"/>
    <w:rPr>
      <w:sz w:val="18"/>
      <w:szCs w:val="18"/>
    </w:rPr>
  </w:style>
  <w:style w:type="paragraph" w:styleId="Footer">
    <w:name w:val="footer"/>
    <w:basedOn w:val="Normal"/>
    <w:link w:val="FooterChar"/>
    <w:uiPriority w:val="99"/>
    <w:unhideWhenUsed/>
    <w:rsid w:val="00EB014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B01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18263">
      <w:bodyDiv w:val="1"/>
      <w:marLeft w:val="0"/>
      <w:marRight w:val="0"/>
      <w:marTop w:val="0"/>
      <w:marBottom w:val="0"/>
      <w:divBdr>
        <w:top w:val="none" w:sz="0" w:space="0" w:color="auto"/>
        <w:left w:val="none" w:sz="0" w:space="0" w:color="auto"/>
        <w:bottom w:val="none" w:sz="0" w:space="0" w:color="auto"/>
        <w:right w:val="none" w:sz="0" w:space="0" w:color="auto"/>
      </w:divBdr>
    </w:div>
    <w:div w:id="132974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2A8B-06DE-48ED-82CE-F22F4AA1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10850</Words>
  <Characters>61849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2021-03-17T18:35:00Z</dcterms:created>
  <dcterms:modified xsi:type="dcterms:W3CDTF">2021-03-17T18:35:00Z</dcterms:modified>
</cp:coreProperties>
</file>