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9" w:rsidRDefault="00616AB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rsidR="00323A99" w:rsidRDefault="00616AB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61171</w:t>
      </w:r>
    </w:p>
    <w:p w:rsidR="00323A99" w:rsidRDefault="00616AB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i/>
          <w:color w:val="000000"/>
        </w:rPr>
        <w:t>Retrospective Study</w:t>
      </w:r>
    </w:p>
    <w:p w:rsidR="00323A99" w:rsidRDefault="00616ABD">
      <w:pPr>
        <w:spacing w:line="360" w:lineRule="auto"/>
        <w:jc w:val="both"/>
      </w:pPr>
      <w:r>
        <w:rPr>
          <w:rFonts w:ascii="Book Antiqua" w:eastAsia="Book Antiqua" w:hAnsi="Book Antiqua" w:cs="Book Antiqua"/>
          <w:b/>
          <w:bCs/>
          <w:color w:val="000000"/>
        </w:rPr>
        <w:t xml:space="preserve">Association of non-alcoholic fatty liver disease with gallstone disease in the United States hospitalized </w:t>
      </w:r>
      <w:r>
        <w:rPr>
          <w:rFonts w:ascii="Book Antiqua" w:eastAsia="Book Antiqua" w:hAnsi="Book Antiqua" w:cs="Book Antiqua"/>
          <w:b/>
          <w:bCs/>
          <w:color w:val="000000"/>
        </w:rPr>
        <w:t>patient population</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color w:val="000000"/>
        </w:rPr>
        <w:t xml:space="preserve">Kichloo A </w:t>
      </w:r>
      <w:r>
        <w:rPr>
          <w:rFonts w:ascii="Book Antiqua" w:eastAsia="Book Antiqua" w:hAnsi="Book Antiqua" w:cs="Book Antiqua"/>
          <w:i/>
          <w:iCs/>
          <w:color w:val="000000"/>
        </w:rPr>
        <w:t>et al</w:t>
      </w:r>
      <w:r>
        <w:rPr>
          <w:rFonts w:ascii="Book Antiqua" w:eastAsia="Book Antiqua" w:hAnsi="Book Antiqua" w:cs="Book Antiqua"/>
          <w:color w:val="000000"/>
        </w:rPr>
        <w:t>. NAFLD and GSD</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color w:val="000000"/>
        </w:rPr>
        <w:t>Asim Kichloo, Shantanu Solanki, Khwaja F Haq, Dushyant Dahiya, Beth Bailey, Dhanshree Solanki, Jagmeet Singh, Michael Albosta, Farah Wani, Michael Aljadah, Harshil Shah, Hafiz Khan, Syed-Mohammed Jafri</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A</w:t>
      </w:r>
      <w:r>
        <w:rPr>
          <w:rFonts w:ascii="Book Antiqua" w:eastAsia="Book Antiqua" w:hAnsi="Book Antiqua" w:cs="Book Antiqua"/>
          <w:b/>
          <w:bCs/>
          <w:color w:val="000000"/>
        </w:rPr>
        <w:t xml:space="preserve">sim Kichloo, Dushyant Dahiya, Beth Bailey, Michael Albosta, </w:t>
      </w:r>
      <w:r>
        <w:rPr>
          <w:rFonts w:ascii="Book Antiqua" w:eastAsia="Book Antiqua" w:hAnsi="Book Antiqua" w:cs="Book Antiqua"/>
          <w:color w:val="000000"/>
        </w:rPr>
        <w:t>Department of Internal Medicine, Central Michigan University College of Medicine, Saginaw, MI 48602, United States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 xml:space="preserve">Shantanu Solanki, Harshil Shah, </w:t>
      </w:r>
      <w:r>
        <w:rPr>
          <w:rFonts w:ascii="Book Antiqua" w:eastAsia="Book Antiqua" w:hAnsi="Book Antiqua" w:cs="Book Antiqua"/>
          <w:color w:val="000000"/>
        </w:rPr>
        <w:t xml:space="preserve">Department of Internal Medicine, Guthrie Robert </w:t>
      </w:r>
      <w:r>
        <w:rPr>
          <w:rFonts w:ascii="Book Antiqua" w:eastAsia="Book Antiqua" w:hAnsi="Book Antiqua" w:cs="Book Antiqua"/>
          <w:color w:val="000000"/>
        </w:rPr>
        <w:t>Packer Hospital, Sayre, PA 18840, United States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 xml:space="preserve">Khwaja F Haq, Syed-Mohammed Jafri, </w:t>
      </w:r>
      <w:r>
        <w:rPr>
          <w:rFonts w:ascii="Book Antiqua" w:eastAsia="Book Antiqua" w:hAnsi="Book Antiqua" w:cs="Book Antiqua"/>
          <w:color w:val="000000"/>
        </w:rPr>
        <w:t>Department of Gastroenterology, Henry Ford Hospital, Detroit, MI 48202, United States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 xml:space="preserve">Dhanshree Solanki, </w:t>
      </w:r>
      <w:r>
        <w:rPr>
          <w:rFonts w:ascii="Book Antiqua" w:eastAsia="Book Antiqua" w:hAnsi="Book Antiqua" w:cs="Book Antiqua"/>
          <w:color w:val="000000"/>
        </w:rPr>
        <w:t>Health Administration, Rutgers University, New Brunswick, NJ 08901</w:t>
      </w:r>
      <w:r>
        <w:rPr>
          <w:rFonts w:ascii="Book Antiqua" w:eastAsia="Book Antiqua" w:hAnsi="Book Antiqua" w:cs="Book Antiqua"/>
          <w:color w:val="000000"/>
        </w:rPr>
        <w:t>, United States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 xml:space="preserve">Jagmeet Singh, </w:t>
      </w:r>
      <w:r>
        <w:rPr>
          <w:rFonts w:ascii="Book Antiqua" w:eastAsia="Book Antiqua" w:hAnsi="Book Antiqua" w:cs="Book Antiqua"/>
          <w:color w:val="000000"/>
        </w:rPr>
        <w:t>Department of Nephrology, Guthrie Robert Packer Hospital, Sayre, PA 18840, United States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lastRenderedPageBreak/>
        <w:t xml:space="preserve">Farah Wani, </w:t>
      </w:r>
      <w:r>
        <w:rPr>
          <w:rFonts w:ascii="Book Antiqua" w:eastAsia="Book Antiqua" w:hAnsi="Book Antiqua" w:cs="Book Antiqua"/>
          <w:color w:val="000000"/>
        </w:rPr>
        <w:t>Family Medicine, Samaritan Medical Center, Watertown, NY 13601, United States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 xml:space="preserve">Michael Aljadah, </w:t>
      </w:r>
      <w:r>
        <w:rPr>
          <w:rFonts w:ascii="Book Antiqua" w:eastAsia="Book Antiqua" w:hAnsi="Book Antiqua" w:cs="Book Antiqua"/>
          <w:color w:val="000000"/>
        </w:rPr>
        <w:t>Department of Internal Med</w:t>
      </w:r>
      <w:r>
        <w:rPr>
          <w:rFonts w:ascii="Book Antiqua" w:eastAsia="Book Antiqua" w:hAnsi="Book Antiqua" w:cs="Book Antiqua"/>
          <w:color w:val="000000"/>
        </w:rPr>
        <w:t>icine, Medical College of Wisconsin, Milwaukee, WI 53226, United States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 xml:space="preserve">Hafiz Khan, </w:t>
      </w:r>
      <w:r>
        <w:rPr>
          <w:rFonts w:ascii="Book Antiqua" w:eastAsia="Book Antiqua" w:hAnsi="Book Antiqua" w:cs="Book Antiqua"/>
          <w:color w:val="000000"/>
        </w:rPr>
        <w:t>Department of Gastroenterology, Guthrie Robert Packer Hospital, Sayre, PA 18840, United States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Kichloo A and Solanki S are credited with substantial</w:t>
      </w:r>
      <w:r>
        <w:rPr>
          <w:rFonts w:ascii="Book Antiqua" w:eastAsia="Book Antiqua" w:hAnsi="Book Antiqua" w:cs="Book Antiqua"/>
          <w:color w:val="000000"/>
        </w:rPr>
        <w:t xml:space="preserve"> contribution to the design of the work, acquisition and interpretation of the data, drafting the manuscript, revision of important intellectual content, final approval of the version published, and agreement of accountability for all aspects of the work; </w:t>
      </w:r>
      <w:r>
        <w:rPr>
          <w:rFonts w:ascii="Book Antiqua" w:eastAsia="Book Antiqua" w:hAnsi="Book Antiqua" w:cs="Book Antiqua"/>
          <w:color w:val="000000"/>
        </w:rPr>
        <w:t>Haq KF, Dahiya D and Solanki D are credited with substantial contribution to interpretation of data, literature review of all sections discussed, drafting of the manuscript, final approval of the version published, and agreement of accountability for all a</w:t>
      </w:r>
      <w:r>
        <w:rPr>
          <w:rFonts w:ascii="Book Antiqua" w:eastAsia="Book Antiqua" w:hAnsi="Book Antiqua" w:cs="Book Antiqua"/>
          <w:color w:val="000000"/>
        </w:rPr>
        <w:t>spects of the work; Bailey B is credited with substantial contribution to acquisition, analysis, and interpretation of the data, revision of critically important intellectual content, final approval of the version to be published, and agreement of accounta</w:t>
      </w:r>
      <w:r>
        <w:rPr>
          <w:rFonts w:ascii="Book Antiqua" w:eastAsia="Book Antiqua" w:hAnsi="Book Antiqua" w:cs="Book Antiqua"/>
          <w:color w:val="000000"/>
        </w:rPr>
        <w:t>bility for all aspects of the work; Singh J, Wani F, Albosta M and Aljadah M are credited with interpretation of the data, literature review of all sections, revision of important intellectual content, final approval of the version published, and agreement</w:t>
      </w:r>
      <w:r>
        <w:rPr>
          <w:rFonts w:ascii="Book Antiqua" w:eastAsia="Book Antiqua" w:hAnsi="Book Antiqua" w:cs="Book Antiqua"/>
          <w:color w:val="000000"/>
        </w:rPr>
        <w:t xml:space="preserve"> of accountability of all aspects of the work; Shah H, Khan H and Jafri SM are credited with interpretation of data, literature review, specifically for the discussion section, revision of the work for critically important intellectual content, final appro</w:t>
      </w:r>
      <w:r>
        <w:rPr>
          <w:rFonts w:ascii="Book Antiqua" w:eastAsia="Book Antiqua" w:hAnsi="Book Antiqua" w:cs="Book Antiqua"/>
          <w:color w:val="000000"/>
        </w:rPr>
        <w:t>val of the version published, and agreement of accountability for all aspects of the work.</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 xml:space="preserve">Corresponding author: Michael Albosta, MD, Doctor, </w:t>
      </w:r>
      <w:r>
        <w:rPr>
          <w:rFonts w:ascii="Book Antiqua" w:eastAsia="Book Antiqua" w:hAnsi="Book Antiqua" w:cs="Book Antiqua"/>
          <w:color w:val="000000"/>
        </w:rPr>
        <w:t xml:space="preserve">Department of Internal Medicine, Central Michigan University College of Medicine, 1000 Houghton Avenue, Saginaw, </w:t>
      </w:r>
      <w:r>
        <w:rPr>
          <w:rFonts w:ascii="Book Antiqua" w:eastAsia="Book Antiqua" w:hAnsi="Book Antiqua" w:cs="Book Antiqua"/>
          <w:color w:val="000000"/>
        </w:rPr>
        <w:t>MI 48602, United States. albos1ms@cmich.edu</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27, 2020</w:t>
      </w:r>
    </w:p>
    <w:p w:rsidR="00323A99" w:rsidRDefault="00616AB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27, 2020</w:t>
      </w:r>
    </w:p>
    <w:p w:rsidR="00323A99" w:rsidRDefault="00616ABD">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January 14, 2021</w:t>
      </w:r>
    </w:p>
    <w:p w:rsidR="00323A99" w:rsidRDefault="00616ABD">
      <w:pPr>
        <w:spacing w:line="360" w:lineRule="auto"/>
        <w:jc w:val="both"/>
        <w:rPr>
          <w:rFonts w:eastAsia="宋体"/>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March</w:t>
      </w:r>
      <w:r>
        <w:rPr>
          <w:rFonts w:ascii="Book Antiqua" w:eastAsia="宋体" w:hAnsi="Book Antiqua" w:cs="Book Antiqua" w:hint="eastAsia"/>
          <w:color w:val="000000"/>
          <w:lang w:eastAsia="zh-CN"/>
        </w:rPr>
        <w:t xml:space="preserve"> 22, 2021</w:t>
      </w:r>
    </w:p>
    <w:p w:rsidR="00323A99" w:rsidRDefault="00323A99">
      <w:pPr>
        <w:spacing w:line="360" w:lineRule="auto"/>
        <w:jc w:val="both"/>
        <w:sectPr w:rsidR="00323A99">
          <w:footerReference w:type="default" r:id="rId8"/>
          <w:pgSz w:w="12240" w:h="15840"/>
          <w:pgMar w:top="1440" w:right="1440" w:bottom="1440" w:left="1440" w:header="720" w:footer="720" w:gutter="0"/>
          <w:cols w:space="720"/>
          <w:docGrid w:linePitch="360"/>
        </w:sectPr>
      </w:pPr>
    </w:p>
    <w:p w:rsidR="00323A99" w:rsidRDefault="00616ABD">
      <w:pPr>
        <w:spacing w:line="360" w:lineRule="auto"/>
        <w:jc w:val="both"/>
      </w:pPr>
      <w:r>
        <w:rPr>
          <w:rFonts w:ascii="Book Antiqua" w:eastAsia="Book Antiqua" w:hAnsi="Book Antiqua" w:cs="Book Antiqua"/>
          <w:b/>
          <w:color w:val="000000"/>
        </w:rPr>
        <w:t>Abstract</w:t>
      </w:r>
    </w:p>
    <w:p w:rsidR="00323A99" w:rsidRDefault="00616ABD">
      <w:pPr>
        <w:spacing w:line="360" w:lineRule="auto"/>
        <w:jc w:val="both"/>
      </w:pPr>
      <w:r>
        <w:rPr>
          <w:rFonts w:ascii="Book Antiqua" w:eastAsia="Book Antiqua" w:hAnsi="Book Antiqua" w:cs="Book Antiqua"/>
          <w:color w:val="000000"/>
        </w:rPr>
        <w:t>BACKGROUND</w:t>
      </w:r>
    </w:p>
    <w:p w:rsidR="00323A99" w:rsidRDefault="00616ABD">
      <w:pPr>
        <w:spacing w:line="360" w:lineRule="auto"/>
        <w:jc w:val="both"/>
      </w:pPr>
      <w:r>
        <w:rPr>
          <w:rFonts w:ascii="Book Antiqua" w:eastAsia="Book Antiqua" w:hAnsi="Book Antiqua" w:cs="Book Antiqua"/>
          <w:color w:val="000000"/>
        </w:rPr>
        <w:t xml:space="preserve">Gallstones and cholecystectomy have been proposed as risk factors for non-alcoholic fatty liver disease (NAFLD). The reason for this may be that both gallstones, as well as NAFLD share several risk factors with regards to </w:t>
      </w:r>
      <w:r>
        <w:rPr>
          <w:rFonts w:ascii="Book Antiqua" w:eastAsia="Book Antiqua" w:hAnsi="Book Antiqua" w:cs="Book Antiqua"/>
          <w:color w:val="000000"/>
        </w:rPr>
        <w:t>their development. Currently, t</w:t>
      </w:r>
      <w:r>
        <w:rPr>
          <w:rFonts w:ascii="Book Antiqua" w:eastAsia="Book Antiqua" w:hAnsi="Book Antiqua" w:cs="Book Antiqua"/>
          <w:color w:val="000000"/>
          <w:shd w:val="clear" w:color="auto" w:fill="FFFFFF"/>
        </w:rPr>
        <w:t>here is a lack of sufficient evidence showing an association between these clinical conditions.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color w:val="000000"/>
        </w:rPr>
        <w:t>AIM</w:t>
      </w:r>
    </w:p>
    <w:p w:rsidR="00323A99" w:rsidRDefault="00616ABD">
      <w:pPr>
        <w:spacing w:line="360" w:lineRule="auto"/>
        <w:jc w:val="both"/>
      </w:pPr>
      <w:r>
        <w:rPr>
          <w:rFonts w:ascii="Book Antiqua" w:eastAsia="Book Antiqua" w:hAnsi="Book Antiqua" w:cs="Book Antiqua"/>
          <w:color w:val="000000"/>
          <w:shd w:val="clear" w:color="auto" w:fill="FFFFFF"/>
        </w:rPr>
        <w:t xml:space="preserve">To determine whether there is a meaningful association between gallstones and cholecystectomy with </w:t>
      </w:r>
      <w:r>
        <w:rPr>
          <w:rFonts w:ascii="Book Antiqua" w:eastAsia="Book Antiqua" w:hAnsi="Book Antiqua" w:cs="Book Antiqua"/>
          <w:color w:val="000000"/>
        </w:rPr>
        <w:t>NAFLD</w:t>
      </w:r>
      <w:r>
        <w:rPr>
          <w:rFonts w:ascii="Book Antiqua" w:eastAsia="Book Antiqua" w:hAnsi="Book Antiqua" w:cs="Book Antiqua"/>
          <w:color w:val="000000"/>
          <w:shd w:val="clear" w:color="auto" w:fill="FFFFFF"/>
        </w:rPr>
        <w:t>.</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color w:val="000000"/>
        </w:rPr>
        <w:t>METHODS</w:t>
      </w:r>
    </w:p>
    <w:p w:rsidR="00323A99" w:rsidRDefault="00616ABD">
      <w:pPr>
        <w:spacing w:line="360" w:lineRule="auto"/>
        <w:jc w:val="both"/>
      </w:pPr>
      <w:r>
        <w:rPr>
          <w:rFonts w:ascii="Book Antiqua" w:eastAsia="Book Antiqua" w:hAnsi="Book Antiqua" w:cs="Book Antiqua"/>
          <w:color w:val="000000"/>
        </w:rPr>
        <w:t xml:space="preserve">We </w:t>
      </w:r>
      <w:r>
        <w:rPr>
          <w:rFonts w:ascii="Book Antiqua" w:eastAsia="Book Antiqua" w:hAnsi="Book Antiqua" w:cs="Book Antiqua"/>
          <w:color w:val="000000"/>
        </w:rPr>
        <w:t>queried the National Inpatient Sample database from the years 2016 and 2017 using International Classification of Diseases,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revision, Clinical Modification diagnosis codes to identify hospitalizations with a diagnosis of gallstone disease (GSD) (inclu</w:t>
      </w:r>
      <w:r>
        <w:rPr>
          <w:rFonts w:ascii="Book Antiqua" w:eastAsia="Book Antiqua" w:hAnsi="Book Antiqua" w:cs="Book Antiqua"/>
          <w:color w:val="000000"/>
        </w:rPr>
        <w:t>des calculus of gallbladder without cholecystitis without obstruction and acquired absence of gallbladder) as well as NAFLD (includes simple fatty liver and non-alcoholic steatohepatitis). Odds ratios (ORs) measuring the association between GSD (includes g</w:t>
      </w:r>
      <w:r>
        <w:rPr>
          <w:rFonts w:ascii="Book Antiqua" w:eastAsia="Book Antiqua" w:hAnsi="Book Antiqua" w:cs="Book Antiqua"/>
          <w:color w:val="000000"/>
        </w:rPr>
        <w:t>allstones and cholecystectomy) and NAFLD were calculated using logistic regression after adjusting for confounding variables.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color w:val="000000"/>
        </w:rPr>
        <w:t>RESULTS</w:t>
      </w:r>
    </w:p>
    <w:p w:rsidR="00323A99" w:rsidRDefault="00616ABD">
      <w:pPr>
        <w:spacing w:line="360" w:lineRule="auto"/>
        <w:jc w:val="both"/>
      </w:pPr>
      <w:r>
        <w:rPr>
          <w:rFonts w:ascii="Book Antiqua" w:eastAsia="Book Antiqua" w:hAnsi="Book Antiqua" w:cs="Book Antiqua"/>
          <w:color w:val="000000"/>
        </w:rPr>
        <w:t>Out of 14294784 hospitalizations in 2016-2017, 159259 were found to have NAFLD. The prevalence of NAFLD was 3.3% in patients with GSD and 1% in those without. NAFLD was prevalent in 64.3% of women with GSD as compared to 35.7% of men with GSD. After contro</w:t>
      </w:r>
      <w:r>
        <w:rPr>
          <w:rFonts w:ascii="Book Antiqua" w:eastAsia="Book Antiqua" w:hAnsi="Book Antiqua" w:cs="Book Antiqua"/>
          <w:color w:val="000000"/>
        </w:rPr>
        <w:t>lling for various confounders associated with NAFLD and GSD, multivariate-adjusted analysis showed that there was an association between NAFLD with gallstones [OR = 6.32; 95% confidence interval (CI): 6.15-6.48] as well as cholecystectomy (OR = 1.97; 95%CI</w:t>
      </w:r>
      <w:r>
        <w:rPr>
          <w:rFonts w:ascii="Book Antiqua" w:eastAsia="Book Antiqua" w:hAnsi="Book Antiqua" w:cs="Book Antiqua"/>
          <w:color w:val="000000"/>
        </w:rPr>
        <w:t>: 1.93-2.01). The association between NAFLD and gallstones was stronger in men (OR = 6.67; 95%CI: 6.42-6.93) than women (OR = 6.05; 95%CI: 5.83-6.27). The association between NAFLD and cholecystectomy was stronger in women (OR = 2.01; 95%CI: 1.96-2.06) tha</w:t>
      </w:r>
      <w:r>
        <w:rPr>
          <w:rFonts w:ascii="Book Antiqua" w:eastAsia="Book Antiqua" w:hAnsi="Book Antiqua" w:cs="Book Antiqua"/>
          <w:color w:val="000000"/>
        </w:rPr>
        <w:t xml:space="preserve">n men (OR = 1.85; 95%CI: 1.79-1.92).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less than 0.001 for all comparisons.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color w:val="000000"/>
        </w:rPr>
        <w:t>CONCLUSION</w:t>
      </w:r>
    </w:p>
    <w:p w:rsidR="00323A99" w:rsidRDefault="00616ABD">
      <w:pPr>
        <w:spacing w:line="360" w:lineRule="auto"/>
        <w:jc w:val="both"/>
      </w:pPr>
      <w:r>
        <w:rPr>
          <w:rFonts w:ascii="Book Antiqua" w:eastAsia="Book Antiqua" w:hAnsi="Book Antiqua" w:cs="Book Antiqua"/>
          <w:color w:val="000000"/>
        </w:rPr>
        <w:t>NAFLD is more prevalent in women with GSD than men. The association between NAFLD and cholecystectomy/gallstones indicates that they may be risk factors for N</w:t>
      </w:r>
      <w:r>
        <w:rPr>
          <w:rFonts w:ascii="Book Antiqua" w:eastAsia="Book Antiqua" w:hAnsi="Book Antiqua" w:cs="Book Antiqua"/>
          <w:color w:val="000000"/>
        </w:rPr>
        <w:t xml:space="preserve">AFLD. </w:t>
      </w:r>
    </w:p>
    <w:p w:rsidR="00323A99" w:rsidRDefault="00323A99">
      <w:pPr>
        <w:spacing w:line="360" w:lineRule="auto"/>
        <w:jc w:val="both"/>
      </w:pPr>
    </w:p>
    <w:p w:rsidR="00020DF5" w:rsidRDefault="00616ABD" w:rsidP="00020DF5">
      <w:pPr>
        <w:spacing w:line="360" w:lineRule="auto"/>
        <w:jc w:val="both"/>
        <w:rPr>
          <w:rFonts w:hint="eastAsi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Gallstones; Non-alcoholic fatty liver disease; Gastroenterology; Hepatology; Non-alcoholic steatohepatitis; Cholecystectomy</w:t>
      </w:r>
    </w:p>
    <w:p w:rsidR="00020DF5" w:rsidRDefault="00020DF5" w:rsidP="00020DF5">
      <w:pPr>
        <w:spacing w:line="360" w:lineRule="auto"/>
        <w:jc w:val="both"/>
        <w:rPr>
          <w:lang w:eastAsia="zh-CN"/>
        </w:rPr>
      </w:pPr>
    </w:p>
    <w:p w:rsidR="00020DF5" w:rsidRPr="00026CB8" w:rsidRDefault="00020DF5" w:rsidP="00020DF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323A99" w:rsidRDefault="00323A99">
      <w:pPr>
        <w:spacing w:line="360" w:lineRule="auto"/>
        <w:jc w:val="both"/>
      </w:pPr>
    </w:p>
    <w:p w:rsidR="00A112A6" w:rsidRDefault="00A112A6">
      <w:pPr>
        <w:spacing w:line="360" w:lineRule="auto"/>
        <w:jc w:val="both"/>
        <w:rPr>
          <w:rFonts w:ascii="Book Antiqua" w:hAnsi="Book Antiqua" w:cs="Book Antiqua" w:hint="eastAsia"/>
          <w:color w:val="000000"/>
          <w:lang w:eastAsia="zh-CN"/>
        </w:rPr>
      </w:pPr>
      <w:r w:rsidRPr="00A112A6">
        <w:rPr>
          <w:rFonts w:ascii="Book Antiqua" w:hAnsi="Book Antiqua" w:cs="Book Antiqua" w:hint="eastAsia"/>
          <w:b/>
          <w:color w:val="000000"/>
          <w:lang w:eastAsia="zh-CN"/>
        </w:rPr>
        <w:t xml:space="preserve">Citation: </w:t>
      </w:r>
      <w:r w:rsidR="00616ABD">
        <w:rPr>
          <w:rFonts w:ascii="Book Antiqua" w:eastAsia="Book Antiqua" w:hAnsi="Book Antiqua" w:cs="Book Antiqua"/>
          <w:color w:val="000000"/>
        </w:rPr>
        <w:t>Kichloo A, Solanki S, Haq KF, Dahiya D, Bailey B, Solanki D, Singh J, Albosta M, Wani F, Aljadah M, Shah H, Khan</w:t>
      </w:r>
      <w:r w:rsidR="00616ABD">
        <w:rPr>
          <w:rFonts w:ascii="Book Antiqua" w:eastAsia="Book Antiqua" w:hAnsi="Book Antiqua" w:cs="Book Antiqua"/>
          <w:color w:val="000000"/>
        </w:rPr>
        <w:t xml:space="preserve"> H, Jafri SM. Association of non-alcoholic fatty liver disease with gallstone disease in the United States hospitalized patient population. </w:t>
      </w:r>
      <w:r w:rsidR="00616ABD">
        <w:rPr>
          <w:rFonts w:ascii="Book Antiqua" w:eastAsia="Book Antiqua" w:hAnsi="Book Antiqua" w:cs="Book Antiqua"/>
          <w:i/>
          <w:iCs/>
          <w:color w:val="000000"/>
        </w:rPr>
        <w:t>World J Gastrointest Pathophysiol</w:t>
      </w:r>
      <w:r w:rsidR="00616ABD">
        <w:rPr>
          <w:rFonts w:ascii="Book Antiqua" w:eastAsia="Book Antiqua" w:hAnsi="Book Antiqua" w:cs="Book Antiqua"/>
          <w:color w:val="000000"/>
        </w:rPr>
        <w:t xml:space="preserve"> 2021;</w:t>
      </w:r>
      <w:r w:rsidR="00616ABD">
        <w:rPr>
          <w:rFonts w:ascii="Book Antiqua" w:eastAsia="Book Antiqua" w:hAnsi="Book Antiqua" w:cs="Book Antiqua" w:hint="eastAsia"/>
          <w:color w:val="000000"/>
        </w:rPr>
        <w:t xml:space="preserve"> 1</w:t>
      </w:r>
      <w:r w:rsidR="00616ABD">
        <w:rPr>
          <w:rFonts w:ascii="Book Antiqua" w:eastAsia="宋体" w:hAnsi="Book Antiqua" w:cs="Book Antiqua" w:hint="eastAsia"/>
          <w:color w:val="000000"/>
          <w:lang w:eastAsia="zh-CN"/>
        </w:rPr>
        <w:t>2</w:t>
      </w:r>
      <w:r w:rsidR="00616ABD">
        <w:rPr>
          <w:rFonts w:ascii="Book Antiqua" w:eastAsia="Book Antiqua" w:hAnsi="Book Antiqua" w:cs="Book Antiqua" w:hint="eastAsia"/>
          <w:color w:val="000000"/>
        </w:rPr>
        <w:t>(</w:t>
      </w:r>
      <w:r w:rsidR="00616ABD">
        <w:rPr>
          <w:rFonts w:ascii="Book Antiqua" w:eastAsia="宋体" w:hAnsi="Book Antiqua" w:cs="Book Antiqua" w:hint="eastAsia"/>
          <w:color w:val="000000"/>
          <w:lang w:eastAsia="zh-CN"/>
        </w:rPr>
        <w:t>2</w:t>
      </w:r>
      <w:r w:rsidR="00616ABD">
        <w:rPr>
          <w:rFonts w:ascii="Book Antiqua" w:eastAsia="Book Antiqua" w:hAnsi="Book Antiqua" w:cs="Book Antiqua" w:hint="eastAsia"/>
          <w:color w:val="000000"/>
        </w:rPr>
        <w:t xml:space="preserve">): </w:t>
      </w:r>
      <w:r w:rsidR="00BB376D">
        <w:rPr>
          <w:rFonts w:ascii="Book Antiqua" w:hAnsi="Book Antiqua" w:hint="eastAsia"/>
        </w:rPr>
        <w:t>14-24</w:t>
      </w:r>
      <w:r w:rsidR="00616ABD">
        <w:rPr>
          <w:rFonts w:ascii="Book Antiqua" w:eastAsia="Book Antiqua" w:hAnsi="Book Antiqua" w:cs="Book Antiqua" w:hint="eastAsia"/>
          <w:color w:val="000000"/>
        </w:rPr>
        <w:t xml:space="preserve">  </w:t>
      </w:r>
    </w:p>
    <w:p w:rsidR="00A112A6" w:rsidRDefault="00616ABD">
      <w:pPr>
        <w:spacing w:line="360" w:lineRule="auto"/>
        <w:jc w:val="both"/>
        <w:rPr>
          <w:rFonts w:asciiTheme="minorEastAsia" w:hAnsiTheme="minorEastAsia" w:cs="Book Antiqua" w:hint="eastAsia"/>
          <w:color w:val="000000"/>
          <w:lang w:eastAsia="zh-CN"/>
        </w:rPr>
      </w:pPr>
      <w:r w:rsidRPr="00A112A6">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https://www.wjgnet.com/2150</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5330/full/v1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sidR="00BF45E9">
        <w:rPr>
          <w:rFonts w:ascii="Book Antiqua" w:hAnsi="Book Antiqua" w:cs="Book Antiqua" w:hint="eastAsia"/>
          <w:color w:val="000000"/>
          <w:lang w:eastAsia="zh-CN"/>
        </w:rPr>
        <w:t>14</w:t>
      </w:r>
      <w:r>
        <w:rPr>
          <w:rFonts w:ascii="Book Antiqua" w:eastAsia="Book Antiqua" w:hAnsi="Book Antiqua" w:cs="Book Antiqua" w:hint="eastAsia"/>
          <w:color w:val="000000"/>
        </w:rPr>
        <w:t>.htm</w:t>
      </w:r>
      <w:r>
        <w:rPr>
          <w:rFonts w:ascii="Book Antiqua" w:eastAsia="Book Antiqua" w:hAnsi="Book Antiqua" w:cs="Book Antiqua" w:hint="eastAsia"/>
          <w:color w:val="000000"/>
        </w:rPr>
        <w:t xml:space="preserve">  </w:t>
      </w:r>
    </w:p>
    <w:p w:rsidR="00323A99" w:rsidRPr="00BF45E9" w:rsidRDefault="00616ABD">
      <w:pPr>
        <w:spacing w:line="360" w:lineRule="auto"/>
        <w:jc w:val="both"/>
        <w:rPr>
          <w:lang w:eastAsia="zh-CN"/>
        </w:rPr>
      </w:pPr>
      <w:r w:rsidRPr="00A112A6">
        <w:rPr>
          <w:rFonts w:ascii="Book Antiqua" w:eastAsia="Book Antiqua" w:hAnsi="Book Antiqua" w:cs="Book Antiqua" w:hint="eastAsia"/>
          <w:b/>
          <w:color w:val="000000"/>
        </w:rPr>
        <w:t>DOI:</w:t>
      </w:r>
      <w:r>
        <w:rPr>
          <w:rFonts w:ascii="Book Antiqua" w:eastAsia="Book Antiqua" w:hAnsi="Book Antiqua" w:cs="Book Antiqua" w:hint="eastAsia"/>
          <w:color w:val="000000"/>
        </w:rPr>
        <w:t xml:space="preserve"> https://dx.doi.org/10.4291/</w:t>
      </w:r>
      <w:r>
        <w:rPr>
          <w:rFonts w:ascii="Book Antiqua" w:eastAsia="宋体" w:hAnsi="Book Antiqua" w:cs="Book Antiqua" w:hint="eastAsia"/>
          <w:color w:val="000000"/>
          <w:lang w:eastAsia="zh-CN"/>
        </w:rPr>
        <w:t>wjgp</w:t>
      </w:r>
      <w:r>
        <w:rPr>
          <w:rFonts w:ascii="Book Antiqua" w:eastAsia="Book Antiqua" w:hAnsi="Book Antiqua" w:cs="Book Antiqua" w:hint="eastAsia"/>
          <w:color w:val="000000"/>
        </w:rPr>
        <w:t>.v1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sidR="00BF45E9">
        <w:rPr>
          <w:rFonts w:ascii="Book Antiqua" w:hAnsi="Book Antiqua" w:cs="Book Antiqua" w:hint="eastAsia"/>
          <w:color w:val="000000"/>
          <w:lang w:eastAsia="zh-CN"/>
        </w:rPr>
        <w:t>14</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have identified a significant association between gallstone disease and non-alcoholic fatty liver disease. This association is stronger in women with gallstone disease than men. Further, this</w:t>
      </w:r>
      <w:r>
        <w:rPr>
          <w:rFonts w:ascii="Book Antiqua" w:eastAsia="Book Antiqua" w:hAnsi="Book Antiqua" w:cs="Book Antiqua"/>
          <w:color w:val="000000"/>
        </w:rPr>
        <w:t xml:space="preserve"> association is strongest in the Caucasian population. It is believed that this association is due to both physiologic changes post-cholecystectomy as well as the presence of metabolic derangement common to the development of both disorders. Lifestyle modi</w:t>
      </w:r>
      <w:r>
        <w:rPr>
          <w:rFonts w:ascii="Book Antiqua" w:eastAsia="Book Antiqua" w:hAnsi="Book Antiqua" w:cs="Book Antiqua"/>
          <w:color w:val="000000"/>
        </w:rPr>
        <w:t>fication, including weight loss, dietary alterations, exercise, decreasing alcohol intake, and screening for the development of hepatic malignancy are important in preventing the development/progression of non-alcoholic fatty liver disease.</w:t>
      </w:r>
    </w:p>
    <w:p w:rsidR="00323A99" w:rsidRDefault="00616ABD">
      <w:pPr>
        <w:spacing w:line="360" w:lineRule="auto"/>
        <w:jc w:val="both"/>
      </w:pPr>
      <w:r>
        <w:br w:type="page"/>
      </w:r>
      <w:r>
        <w:rPr>
          <w:rFonts w:ascii="Book Antiqua" w:eastAsia="Book Antiqua" w:hAnsi="Book Antiqua" w:cs="Book Antiqua"/>
          <w:b/>
          <w:caps/>
          <w:color w:val="000000"/>
          <w:u w:val="single"/>
        </w:rPr>
        <w:t>INTRODUCTION</w:t>
      </w:r>
    </w:p>
    <w:p w:rsidR="00323A99" w:rsidRDefault="00616ABD">
      <w:pPr>
        <w:spacing w:line="360" w:lineRule="auto"/>
        <w:jc w:val="both"/>
      </w:pPr>
      <w:r>
        <w:rPr>
          <w:rFonts w:ascii="Book Antiqua" w:eastAsia="Book Antiqua" w:hAnsi="Book Antiqua" w:cs="Book Antiqua"/>
          <w:color w:val="000000"/>
        </w:rPr>
        <w:t>Non-alcoholic fatty liver disease (NAFLD) is defined as the presence of hepatic steatosis in the absence of other etiologies responsible for secondary fatty deposition in the liver. NAFLD is a spectrum of disease characterized initially by hepatic steatosi</w:t>
      </w:r>
      <w:r>
        <w:rPr>
          <w:rFonts w:ascii="Book Antiqua" w:eastAsia="Book Antiqua" w:hAnsi="Book Antiqua" w:cs="Book Antiqua"/>
          <w:color w:val="000000"/>
        </w:rPr>
        <w:t>s with gradual progression to liver fibrosis and ultimately, end stage liver disease. It is one of the most frequent causes of liver disease in the United States (US), with recent studies reporting a prevalence as high as 20%-30%. Additionally, the prevale</w:t>
      </w:r>
      <w:r>
        <w:rPr>
          <w:rFonts w:ascii="Book Antiqua" w:eastAsia="Book Antiqua" w:hAnsi="Book Antiqua" w:cs="Book Antiqua"/>
          <w:color w:val="000000"/>
        </w:rPr>
        <w:t>nce of NAFLD continues to rise globally in line with the obesity epidemic</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Although believed to be a slowly progressive disease, it is currently the third most common reason for liver transplant in the US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323A99" w:rsidRDefault="00616ABD">
      <w:pPr>
        <w:spacing w:line="360" w:lineRule="auto"/>
        <w:ind w:firstLineChars="50" w:firstLine="120"/>
        <w:jc w:val="both"/>
      </w:pPr>
      <w:r>
        <w:rPr>
          <w:rFonts w:ascii="Book Antiqua" w:eastAsia="Book Antiqua" w:hAnsi="Book Antiqua" w:cs="Book Antiqua"/>
          <w:color w:val="000000"/>
        </w:rPr>
        <w:t>Multiple co-morbidities closely associated</w:t>
      </w:r>
      <w:r>
        <w:rPr>
          <w:rFonts w:ascii="Book Antiqua" w:eastAsia="Book Antiqua" w:hAnsi="Book Antiqua" w:cs="Book Antiqua"/>
          <w:color w:val="000000"/>
        </w:rPr>
        <w:t xml:space="preserve"> with NAFLD have been identified, including visceral obesity, type 2 diabetes mellitus (T2DM), dyslipidemia and the metabolic syndrome. Other potential risk factors that may contribute to the development of NAFLD including gallstone disease (GSD), cholecys</w:t>
      </w:r>
      <w:r>
        <w:rPr>
          <w:rFonts w:ascii="Book Antiqua" w:eastAsia="Book Antiqua" w:hAnsi="Book Antiqua" w:cs="Book Antiqua"/>
          <w:color w:val="000000"/>
        </w:rPr>
        <w:t>tectomy, sleep deprivation, polycystic ovarian syndrome, hypertension and pituitary disorders are not well understood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it has been well established that some degree of metabolic derangement and insulin resistance are involved in the core pathop</w:t>
      </w:r>
      <w:r>
        <w:rPr>
          <w:rFonts w:ascii="Book Antiqua" w:eastAsia="Book Antiqua" w:hAnsi="Book Antiqua" w:cs="Book Antiqua"/>
          <w:color w:val="000000"/>
        </w:rPr>
        <w:t>hysiology of the development of NAFLD. Our study evaluates GSD, which includes both a diagnosis of cholelithiasis as well as sequalae associated with this diagnosis, including cholecystectomy, and its’ association with the development of NAFLD. Cholesterol</w:t>
      </w:r>
      <w:r>
        <w:rPr>
          <w:rFonts w:ascii="Book Antiqua" w:eastAsia="Book Antiqua" w:hAnsi="Book Antiqua" w:cs="Book Antiqua"/>
          <w:color w:val="000000"/>
        </w:rPr>
        <w:t xml:space="preserve"> gallstones are the most common type of gallstones and the risk factors for their formation are largely similar to those associated with NAFLD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Hepatic insulin resistance is implicated in supersaturation and excessive production of bile salts. It is not</w:t>
      </w:r>
      <w:r>
        <w:rPr>
          <w:rFonts w:ascii="Book Antiqua" w:eastAsia="Book Antiqua" w:hAnsi="Book Antiqua" w:cs="Book Antiqua"/>
          <w:color w:val="000000"/>
        </w:rPr>
        <w:t xml:space="preserve"> clear whether the presence of gallstones are merely a reflection of the presence of risk factors for the metabolic syndrome, which accelerate NAFLD progression, or whether NAFLD leads to gallstone formation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On the other hand, cholecystectomy is believ</w:t>
      </w:r>
      <w:r>
        <w:rPr>
          <w:rFonts w:ascii="Book Antiqua" w:eastAsia="Book Antiqua" w:hAnsi="Book Antiqua" w:cs="Book Antiqua"/>
          <w:color w:val="000000"/>
        </w:rPr>
        <w:t xml:space="preserve">ed to alter the metabolism of the enterohepatic circulation of bile acids leading to an increased risk for the development of NAFLD. In 2013, Ruhl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used the US National Health and Nutrition Examination Survey (NHANES) from 1988 to 1994 to report th</w:t>
      </w:r>
      <w:r>
        <w:rPr>
          <w:rFonts w:ascii="Book Antiqua" w:eastAsia="Book Antiqua" w:hAnsi="Book Antiqua" w:cs="Book Antiqua"/>
          <w:color w:val="000000"/>
        </w:rPr>
        <w:t xml:space="preserve">at having had a cholecystectomy may be a risk factor for the development of NAFLD. More recently, Kakati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found an increased prevalence of cholecystectomy among NAFLD patients than non-NAFLD patients at a tertiary care center in the US. However, th</w:t>
      </w:r>
      <w:r>
        <w:rPr>
          <w:rFonts w:ascii="Book Antiqua" w:eastAsia="Book Antiqua" w:hAnsi="Book Antiqua" w:cs="Book Antiqua"/>
          <w:color w:val="000000"/>
        </w:rPr>
        <w:t>e sample size of this study was small (379 patients) and it was confined to one center. Hence, a direct correlation between cholecystectomy and NAFLD has yet to be proven.</w:t>
      </w:r>
    </w:p>
    <w:p w:rsidR="00323A99" w:rsidRDefault="00616ABD">
      <w:pPr>
        <w:spacing w:line="360" w:lineRule="auto"/>
        <w:ind w:firstLineChars="100" w:firstLine="240"/>
        <w:jc w:val="both"/>
      </w:pPr>
      <w:r>
        <w:rPr>
          <w:rFonts w:ascii="Book Antiqua" w:eastAsia="Book Antiqua" w:hAnsi="Book Antiqua" w:cs="Book Antiqua"/>
          <w:color w:val="000000"/>
        </w:rPr>
        <w:t>There is a paucity of literature and data in terms of large-scale multicenter retros</w:t>
      </w:r>
      <w:r>
        <w:rPr>
          <w:rFonts w:ascii="Book Antiqua" w:eastAsia="Book Antiqua" w:hAnsi="Book Antiqua" w:cs="Book Antiqua"/>
          <w:color w:val="000000"/>
        </w:rPr>
        <w:t>pective studies investigating an association between GSD and NAFLD. The purpose of our study is to determine whether an association between GSD and NAFLD exists, identify the prevalence of multiple co-morbidities associated with NAFLD, and discuss risk fac</w:t>
      </w:r>
      <w:r>
        <w:rPr>
          <w:rFonts w:ascii="Book Antiqua" w:eastAsia="Book Antiqua" w:hAnsi="Book Antiqua" w:cs="Book Antiqua"/>
          <w:color w:val="000000"/>
        </w:rPr>
        <w:t>tor modification for the prevention of the development of NAFLD in addition to halting its progression to end stage liver disease.</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caps/>
          <w:color w:val="000000"/>
          <w:u w:val="single"/>
        </w:rPr>
        <w:t>MATERIALS AND METHODS</w:t>
      </w:r>
    </w:p>
    <w:p w:rsidR="00323A99" w:rsidRDefault="00616ABD">
      <w:pPr>
        <w:spacing w:line="360" w:lineRule="auto"/>
        <w:jc w:val="both"/>
      </w:pPr>
      <w:r>
        <w:rPr>
          <w:rFonts w:ascii="Book Antiqua" w:eastAsia="Book Antiqua" w:hAnsi="Book Antiqua" w:cs="Book Antiqua"/>
          <w:b/>
          <w:bCs/>
          <w:i/>
          <w:iCs/>
          <w:color w:val="000000"/>
        </w:rPr>
        <w:t>Data source</w:t>
      </w:r>
    </w:p>
    <w:p w:rsidR="00323A99" w:rsidRDefault="00616AB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National Inpatient Sample (NIS) is a publicly available all-payer Healthcare Cost and </w:t>
      </w:r>
      <w:r>
        <w:rPr>
          <w:rFonts w:ascii="Book Antiqua" w:eastAsia="Book Antiqua" w:hAnsi="Book Antiqua" w:cs="Book Antiqua"/>
          <w:color w:val="000000"/>
        </w:rPr>
        <w:t>Utilization Project (HCUP) database designed to produce US regional and national estimates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HCUP is a family of healthcare databases and related software tools and products released by the Agency for Healthcare Research and Quality. The NIS contains d</w:t>
      </w:r>
      <w:r>
        <w:rPr>
          <w:rFonts w:ascii="Book Antiqua" w:eastAsia="Book Antiqua" w:hAnsi="Book Antiqua" w:cs="Book Antiqua"/>
          <w:color w:val="000000"/>
        </w:rPr>
        <w:t>ata from more than 7 million hospital stays every year and approximates a 20% stratified sample of discharges from US community hospitals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HCUP databases are limited data sets. Under the Health Insurance Portability and Accountability Act, review by an </w:t>
      </w:r>
      <w:r>
        <w:rPr>
          <w:rFonts w:ascii="Book Antiqua" w:eastAsia="Book Antiqua" w:hAnsi="Book Antiqua" w:cs="Book Antiqua"/>
          <w:color w:val="000000"/>
        </w:rPr>
        <w:t>Institutional Review Board (IRB) is not required for the use of limited data sets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Therefore, our study was exempt from IRB review.</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i/>
          <w:iCs/>
          <w:color w:val="000000"/>
        </w:rPr>
        <w:t>Study design</w:t>
      </w:r>
    </w:p>
    <w:p w:rsidR="00323A99" w:rsidRDefault="00616ABD">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This is a retrospective study utilizing the NIS dataset from 2016 and 2017 using International Classificat</w:t>
      </w:r>
      <w:r>
        <w:rPr>
          <w:rFonts w:ascii="Book Antiqua" w:eastAsia="Book Antiqua" w:hAnsi="Book Antiqua" w:cs="Book Antiqua"/>
          <w:color w:val="000000"/>
        </w:rPr>
        <w:t>ion of Diseases, 10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 Clinical Modification (ICD-10-CM) diagnosis codes. GSD was identified using the codes K80.20 (calculus of gallbladder without cholecystitis without obstruction) and </w:t>
      </w:r>
      <w:r>
        <w:rPr>
          <w:rFonts w:ascii="Book Antiqua" w:eastAsia="Book Antiqua" w:hAnsi="Book Antiqua" w:cs="Book Antiqua"/>
          <w:color w:val="000000"/>
          <w:shd w:val="clear" w:color="auto" w:fill="FFFFFF"/>
        </w:rPr>
        <w:t xml:space="preserve">Z90.49 (acquired absence of gallbladder). The </w:t>
      </w:r>
      <w:r>
        <w:rPr>
          <w:rFonts w:ascii="Book Antiqua" w:eastAsia="Book Antiqua" w:hAnsi="Book Antiqua" w:cs="Book Antiqua"/>
          <w:color w:val="000000"/>
        </w:rPr>
        <w:t xml:space="preserve">NAFLD cohort was then generated using the codes K76.0 (simple fatty liver) and K75.81 (non-alcoholic steatohepatitis, NASH) </w:t>
      </w:r>
      <w:r>
        <w:rPr>
          <w:rFonts w:ascii="Book Antiqua" w:eastAsia="Book Antiqua" w:hAnsi="Book Antiqua" w:cs="Book Antiqua"/>
          <w:color w:val="000000"/>
          <w:shd w:val="clear" w:color="auto" w:fill="FFFFFF"/>
        </w:rPr>
        <w:t>as depicted in Supplementary Table 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Co-morbidities and known risk factors were identified using the ICD-10 codes depicted in Suppl</w:t>
      </w:r>
      <w:r>
        <w:rPr>
          <w:rFonts w:ascii="Book Antiqua" w:eastAsia="Book Antiqua" w:hAnsi="Book Antiqua" w:cs="Book Antiqua"/>
          <w:color w:val="000000"/>
          <w:shd w:val="clear" w:color="auto" w:fill="FFFFFF"/>
        </w:rPr>
        <w:t>ementary Table 1.</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i/>
          <w:iCs/>
          <w:color w:val="000000"/>
        </w:rPr>
        <w:t>Statistical analysis</w:t>
      </w:r>
    </w:p>
    <w:p w:rsidR="00323A99" w:rsidRDefault="00616ABD">
      <w:pPr>
        <w:spacing w:line="360" w:lineRule="auto"/>
        <w:jc w:val="both"/>
      </w:pPr>
      <w:r>
        <w:rPr>
          <w:rFonts w:ascii="Book Antiqua" w:eastAsia="Book Antiqua" w:hAnsi="Book Antiqua" w:cs="Book Antiqua"/>
          <w:color w:val="000000"/>
        </w:rPr>
        <w:t>SAS 9.3 (SAS Institute, Cary, NC, United States) was used for data analysis. Statistical review was performed by a biomedical statistician. We used NIS designated weights to produce nationally representative estimate</w:t>
      </w:r>
      <w:r>
        <w:rPr>
          <w:rFonts w:ascii="Book Antiqua" w:eastAsia="Book Antiqua" w:hAnsi="Book Antiqua" w:cs="Book Antiqua"/>
          <w:color w:val="000000"/>
        </w:rPr>
        <w:t xml:space="preserve">s of disease prevalence and demographic variations. A two-tailed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less than 0.05 was considered statistically significant. Age and sex standardized prevalence of NAFLD and GSD were generated. The unadjusted prevalence of NAFLD by GSD status was c</w:t>
      </w:r>
      <w:r>
        <w:rPr>
          <w:rFonts w:ascii="Book Antiqua" w:eastAsia="Book Antiqua" w:hAnsi="Book Antiqua" w:cs="Book Antiqua"/>
          <w:color w:val="000000"/>
        </w:rPr>
        <w:t>ompared using the chi-square (</w:t>
      </w:r>
      <w:r>
        <w:rPr>
          <w:rFonts w:ascii="Book Antiqua" w:eastAsia="Book Antiqua" w:hAnsi="Book Antiqua" w:cs="Book Antiqu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The differences in demographics and co-morbidities by GSD status were also compared using the </w:t>
      </w:r>
      <w:r>
        <w:rPr>
          <w:rFonts w:ascii="Book Antiqua" w:eastAsia="Book Antiqua" w:hAnsi="Book Antiqua" w:cs="Book Antiqu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We used multivariate logistic regression analysis to determine odds ratios (ORs) for NAFLD comparing GSD to those</w:t>
      </w:r>
      <w:r>
        <w:rPr>
          <w:rFonts w:ascii="Book Antiqua" w:eastAsia="Book Antiqua" w:hAnsi="Book Antiqua" w:cs="Book Antiqua"/>
          <w:color w:val="000000"/>
        </w:rPr>
        <w:t xml:space="preserve"> without GSD after adjusting for age, gender, race, alcohol abuse, diabetes mellitus, dyslipidemia, hypertension, metabolic syndrome, nicotine dependence, and obesity. Owing to the gender differences in the prevalence of NAFLD and GSD, ORs for men and wome</w:t>
      </w:r>
      <w:r>
        <w:rPr>
          <w:rFonts w:ascii="Book Antiqua" w:eastAsia="Book Antiqua" w:hAnsi="Book Antiqua" w:cs="Book Antiqua"/>
          <w:color w:val="000000"/>
        </w:rPr>
        <w:t xml:space="preserve">n were also calculated separately. </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caps/>
          <w:color w:val="000000"/>
          <w:u w:val="single"/>
        </w:rPr>
        <w:t>RESULTS</w:t>
      </w:r>
    </w:p>
    <w:p w:rsidR="00323A99" w:rsidRDefault="00616ABD">
      <w:pPr>
        <w:spacing w:line="360" w:lineRule="auto"/>
        <w:jc w:val="both"/>
      </w:pPr>
      <w:r>
        <w:rPr>
          <w:rFonts w:ascii="Book Antiqua" w:eastAsia="Book Antiqua" w:hAnsi="Book Antiqua" w:cs="Book Antiqua"/>
          <w:color w:val="000000"/>
        </w:rPr>
        <w:t xml:space="preserve">The total sample size of the study population for the years 2016-2017 was </w:t>
      </w:r>
      <w:r>
        <w:rPr>
          <w:rFonts w:ascii="Book Antiqua" w:eastAsia="Book Antiqua" w:hAnsi="Book Antiqua" w:cs="Book Antiqua"/>
          <w:i/>
          <w:iCs/>
          <w:color w:val="000000"/>
        </w:rPr>
        <w:t>n</w:t>
      </w:r>
      <w:r>
        <w:rPr>
          <w:rFonts w:ascii="Book Antiqua" w:eastAsia="Book Antiqua" w:hAnsi="Book Antiqua" w:cs="Book Antiqua"/>
          <w:color w:val="000000"/>
        </w:rPr>
        <w:t xml:space="preserve"> = 14294784. The total number of hospitalizations with GSD as a primary diagnosis was </w:t>
      </w:r>
      <w:r>
        <w:rPr>
          <w:rFonts w:ascii="Book Antiqua" w:eastAsia="Book Antiqua" w:hAnsi="Book Antiqua" w:cs="Book Antiqua"/>
          <w:i/>
          <w:iCs/>
          <w:color w:val="000000"/>
        </w:rPr>
        <w:t>n</w:t>
      </w:r>
      <w:r>
        <w:rPr>
          <w:rFonts w:ascii="Book Antiqua" w:eastAsia="Book Antiqua" w:hAnsi="Book Antiqua" w:cs="Book Antiqua"/>
          <w:color w:val="000000"/>
        </w:rPr>
        <w:t xml:space="preserve"> = 534015 (87769 gallstone diagnoses and 448932 cholecystectomy diagnoses). The sample size of the NAFLD cohort was </w:t>
      </w:r>
      <w:r>
        <w:rPr>
          <w:rFonts w:ascii="Book Antiqua" w:eastAsia="Book Antiqua" w:hAnsi="Book Antiqua" w:cs="Book Antiqua"/>
          <w:i/>
          <w:iCs/>
          <w:color w:val="000000"/>
        </w:rPr>
        <w:t>n</w:t>
      </w:r>
      <w:r>
        <w:rPr>
          <w:rFonts w:ascii="Book Antiqua" w:eastAsia="Book Antiqua" w:hAnsi="Book Antiqua" w:cs="Book Antiqua"/>
          <w:color w:val="000000"/>
        </w:rPr>
        <w:t xml:space="preserve"> = 159259, with simple fatty liver accounting for 123549 hospitalizations and NASH accounting for 36440 hospitalizations. </w:t>
      </w:r>
    </w:p>
    <w:p w:rsidR="00323A99" w:rsidRDefault="00616ABD">
      <w:pPr>
        <w:spacing w:line="360" w:lineRule="auto"/>
        <w:ind w:firstLineChars="100" w:firstLine="240"/>
        <w:jc w:val="both"/>
      </w:pPr>
      <w:r>
        <w:rPr>
          <w:rFonts w:ascii="Book Antiqua" w:eastAsia="Book Antiqua" w:hAnsi="Book Antiqua" w:cs="Book Antiqua"/>
          <w:color w:val="000000"/>
        </w:rPr>
        <w:t>The prevalence o</w:t>
      </w:r>
      <w:r>
        <w:rPr>
          <w:rFonts w:ascii="Book Antiqua" w:eastAsia="Book Antiqua" w:hAnsi="Book Antiqua" w:cs="Book Antiqua"/>
          <w:color w:val="000000"/>
        </w:rPr>
        <w:t>f NAFLD was 3.3% in GSD hospitalizations and 1.0% in non-GSD hospitalizations. Patients with GSD and NAFLD were more likely to be older, and more likely to be women (Table 1). In white patients, GSD hospitalizations (72.1%) were more common than non-GSD ho</w:t>
      </w:r>
      <w:r>
        <w:rPr>
          <w:rFonts w:ascii="Book Antiqua" w:eastAsia="Book Antiqua" w:hAnsi="Book Antiqua" w:cs="Book Antiqua"/>
          <w:color w:val="000000"/>
        </w:rPr>
        <w:t xml:space="preserve">spitalizations (64.9%). For other racial groups, the percentage of non-GSD hospitalizations was higher than GSD hospitalizations. Medicare was the primary payor for 58% of hospitalizations with GSD in contrast to 39.4% of non-GSD hospitalizations. Alcohol </w:t>
      </w:r>
      <w:r>
        <w:rPr>
          <w:rFonts w:ascii="Book Antiqua" w:eastAsia="Book Antiqua" w:hAnsi="Book Antiqua" w:cs="Book Antiqua"/>
          <w:color w:val="000000"/>
        </w:rPr>
        <w:t xml:space="preserve">abuse, diabetes mellitus, dyslipidemia, hypertension, metabolic syndrome, and nicotine dependence were seen in a higher proportion of GSD hospitalizations than non-GSD hospitalizations. In contrast, obesity was more common in non-GSD hospitalizations than </w:t>
      </w:r>
      <w:r>
        <w:rPr>
          <w:rFonts w:ascii="Book Antiqua" w:eastAsia="Book Antiqua" w:hAnsi="Book Antiqua" w:cs="Book Antiqua"/>
          <w:color w:val="000000"/>
        </w:rPr>
        <w:t xml:space="preserve">GSD hospitalizations (Table 1). All the differences between the two groups were significant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rsidR="00323A99" w:rsidRDefault="00616ABD">
      <w:pPr>
        <w:spacing w:line="360" w:lineRule="auto"/>
        <w:ind w:firstLineChars="100" w:firstLine="240"/>
        <w:jc w:val="both"/>
      </w:pPr>
      <w:r>
        <w:rPr>
          <w:rFonts w:ascii="Book Antiqua" w:eastAsia="Book Antiqua" w:hAnsi="Book Antiqua" w:cs="Book Antiqua"/>
          <w:color w:val="000000"/>
        </w:rPr>
        <w:t>After adjusting for age (Table 2), patients with gallstones were 6.85 times more likely to have NAFLD [OR = 6.85; 95% confidence interval (CI): 6.67-7</w:t>
      </w:r>
      <w:r>
        <w:rPr>
          <w:rFonts w:ascii="Book Antiqua" w:eastAsia="Book Antiqua" w:hAnsi="Book Antiqua" w:cs="Book Antiqua"/>
          <w:color w:val="000000"/>
        </w:rPr>
        <w:t xml:space="preserve">.03,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whereas those with cholecystectomy were 2.14 times more likely to have NAFLD. In addition, after adjusting for age, men with gallstones were more likely to have NAFLD than women, whereas women with cholecystectomy were more likely to have N</w:t>
      </w:r>
      <w:r>
        <w:rPr>
          <w:rFonts w:ascii="Book Antiqua" w:eastAsia="Book Antiqua" w:hAnsi="Book Antiqua" w:cs="Book Antiqua"/>
          <w:color w:val="000000"/>
        </w:rPr>
        <w:t xml:space="preserve">AFLD than men. </w:t>
      </w:r>
    </w:p>
    <w:p w:rsidR="00323A99" w:rsidRDefault="00616ABD">
      <w:pPr>
        <w:spacing w:line="360" w:lineRule="auto"/>
        <w:ind w:firstLineChars="100" w:firstLine="240"/>
        <w:jc w:val="both"/>
      </w:pPr>
      <w:r>
        <w:rPr>
          <w:rFonts w:ascii="Book Antiqua" w:eastAsia="Book Antiqua" w:hAnsi="Book Antiqua" w:cs="Book Antiqua"/>
          <w:color w:val="000000"/>
        </w:rPr>
        <w:t xml:space="preserve">In multivariate-adjusted analysis (Table 2), patients with gallstones were 6.32 times more likely to have NALFD (OR = 6.32; 95%CI: 6.15-6.48,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patients with cholecystectomy were 1.97 times more likely to have NAFLD (OR = 1.97;</w:t>
      </w:r>
      <w:r>
        <w:rPr>
          <w:rFonts w:ascii="Book Antiqua" w:eastAsia="Book Antiqua" w:hAnsi="Book Antiqua" w:cs="Book Antiqua"/>
          <w:color w:val="000000"/>
        </w:rPr>
        <w:t xml:space="preserve"> 95%CI: 1.93-2.01,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Also, in the sex-adjusted analysis, the association of NAFLD with gallstones was found to be stronger in men (OR = 6.67; 95%CI: 6.42-6.93,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than in women (OR = 6.05; 95%CI: 5.83-6.27,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association of </w:t>
      </w:r>
      <w:r>
        <w:rPr>
          <w:rFonts w:ascii="Book Antiqua" w:eastAsia="Book Antiqua" w:hAnsi="Book Antiqua" w:cs="Book Antiqua"/>
          <w:color w:val="000000"/>
        </w:rPr>
        <w:t xml:space="preserve">NAFLD with cholecystectomy was found to be stronger in women (OR = 2.01; 95%CI: 1.96-2.06,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than in men (OR = 1.85; 95%CI: 1.79-1.92,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caps/>
          <w:color w:val="000000"/>
          <w:u w:val="single"/>
        </w:rPr>
        <w:t>DISCUSSION</w:t>
      </w:r>
    </w:p>
    <w:p w:rsidR="00323A99" w:rsidRDefault="00616ABD">
      <w:pPr>
        <w:spacing w:line="360" w:lineRule="auto"/>
        <w:jc w:val="both"/>
      </w:pPr>
      <w:r>
        <w:rPr>
          <w:rFonts w:ascii="Book Antiqua" w:eastAsia="Book Antiqua" w:hAnsi="Book Antiqua" w:cs="Book Antiqua"/>
          <w:color w:val="000000"/>
        </w:rPr>
        <w:t>It has previously been established that gallstones and cholecystectomy are independently</w:t>
      </w:r>
      <w:r>
        <w:rPr>
          <w:rFonts w:ascii="Book Antiqua" w:eastAsia="Book Antiqua" w:hAnsi="Book Antiqua" w:cs="Book Antiqua"/>
          <w:color w:val="000000"/>
        </w:rPr>
        <w:t xml:space="preserve"> associated with NAFLD after adjustment for metabolic risk factors, especially in Asian populations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In our study we report that the prevalence of NAFLD is 3.3% in patients with GSD, which includes both the presence of gallstones and history of </w:t>
      </w:r>
      <w:r>
        <w:rPr>
          <w:rFonts w:ascii="Book Antiqua" w:eastAsia="Book Antiqua" w:hAnsi="Book Antiqua" w:cs="Book Antiqua"/>
          <w:color w:val="000000"/>
        </w:rPr>
        <w:t xml:space="preserve">cholecystectomy, and 1% in those without GSD. After controlling for various confounders associated with NAFLD and GSD, a multivariate-adjusted analysis showed that there was significant association between NAFLD with gallstones as well as cholecystectomy. </w:t>
      </w:r>
      <w:r>
        <w:rPr>
          <w:rFonts w:ascii="Book Antiqua" w:eastAsia="Book Antiqua" w:hAnsi="Book Antiqua" w:cs="Book Antiqua"/>
          <w:color w:val="000000"/>
        </w:rPr>
        <w:t>The exact pathophysiology behind the presence of gallstones leading to NAFLD is not well understood, however, the association between gallstones and NAFLD might stem from the common pathogenic factors shared by both gallstone formation and NAFLD, given tha</w:t>
      </w:r>
      <w:r>
        <w:rPr>
          <w:rFonts w:ascii="Book Antiqua" w:eastAsia="Book Antiqua" w:hAnsi="Book Antiqua" w:cs="Book Antiqua"/>
          <w:color w:val="000000"/>
        </w:rPr>
        <w:t>t the risk for gallstones is high in patients with central obesity, type 2 diabetes and insulin resistance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removal of the gallbladder has a metabolic impact on NAFLD initiation and progression. Once the gallbladder is removed, bile is continuously</w:t>
      </w:r>
      <w:r>
        <w:rPr>
          <w:rFonts w:ascii="Book Antiqua" w:eastAsia="Book Antiqua" w:hAnsi="Book Antiqua" w:cs="Book Antiqua"/>
          <w:color w:val="000000"/>
        </w:rPr>
        <w:t xml:space="preserve"> secreted into the small intestine. This leads to quicker enterohepatic circulation of bile acids, consequently leading to a greater influx of bile acids into the liver</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Also, the gallbladder is the main site of fibroblast growth factor 19 (FGF19) expre</w:t>
      </w:r>
      <w:r>
        <w:rPr>
          <w:rFonts w:ascii="Book Antiqua" w:eastAsia="Book Antiqua" w:hAnsi="Book Antiqua" w:cs="Book Antiqua"/>
          <w:color w:val="000000"/>
        </w:rPr>
        <w:t>ssion in the enterohepatobiliary system</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FGF19 suppresses the ability of insulin to promote synthesis of hepatic fatty acid</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Barrera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found that cholecystectomy leads to reduced serum FGF19 levels and increased bile acid synthesis. Animal </w:t>
      </w:r>
      <w:r>
        <w:rPr>
          <w:rFonts w:ascii="Book Antiqua" w:eastAsia="Book Antiqua" w:hAnsi="Book Antiqua" w:cs="Book Antiqua"/>
          <w:color w:val="000000"/>
        </w:rPr>
        <w:t>studies have shown that cholecystectomy leads to increased serum triglycerides and very low-density lipoprotein, which may contribute to increased triglyceride accumulation in the liver, and ultimately, NAFLD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Because of this, we postulate that cholecy</w:t>
      </w:r>
      <w:r>
        <w:rPr>
          <w:rFonts w:ascii="Book Antiqua" w:eastAsia="Book Antiqua" w:hAnsi="Book Antiqua" w:cs="Book Antiqua"/>
          <w:color w:val="000000"/>
        </w:rPr>
        <w:t>stectomy may contribute to NAFLD initiation or progression.</w:t>
      </w:r>
    </w:p>
    <w:p w:rsidR="00323A99" w:rsidRDefault="00616ABD">
      <w:pPr>
        <w:spacing w:line="360" w:lineRule="auto"/>
        <w:ind w:firstLineChars="100" w:firstLine="240"/>
        <w:jc w:val="both"/>
      </w:pPr>
      <w:r>
        <w:rPr>
          <w:rFonts w:ascii="Book Antiqua" w:eastAsia="Book Antiqua" w:hAnsi="Book Antiqua" w:cs="Book Antiqua"/>
          <w:color w:val="000000"/>
        </w:rPr>
        <w:t>Gender differences in NAFLD continues to be a debated topic, however, it is well known that NAFLD is a sexually dysmorphic condition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After analysis of the NHANES data, most studies reported a</w:t>
      </w:r>
      <w:r>
        <w:rPr>
          <w:rFonts w:ascii="Book Antiqua" w:eastAsia="Book Antiqua" w:hAnsi="Book Antiqua" w:cs="Book Antiqua"/>
          <w:color w:val="000000"/>
        </w:rPr>
        <w:t xml:space="preserve"> higher prevalence of NAFLD in men than women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However, the study by Younossi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which divides individuals into lean or obese-overweight subgroups, reported that the lean NAFLD cohort was more commonly female. Our study also focused on these ge</w:t>
      </w:r>
      <w:r>
        <w:rPr>
          <w:rFonts w:ascii="Book Antiqua" w:eastAsia="Book Antiqua" w:hAnsi="Book Antiqua" w:cs="Book Antiqua"/>
          <w:color w:val="000000"/>
        </w:rPr>
        <w:t>nder differences. We report that NAFLD was prevalent in 64.3% of women with GSD as compared to 35.7% of men with GSD. The association between NAFLD with gallstones was found to be stronger in men (OR = 6.67; 95%CI: 6.42-6.93) than in women (OR = 6.05; 95%C</w:t>
      </w:r>
      <w:r>
        <w:rPr>
          <w:rFonts w:ascii="Book Antiqua" w:eastAsia="Book Antiqua" w:hAnsi="Book Antiqua" w:cs="Book Antiqua"/>
          <w:color w:val="000000"/>
        </w:rPr>
        <w:t>I: 5.83-6.27) and the association between NAFLD with cholecystectomy was found to be stronger in women (OR = 2.01; 95%CI: 1.96-2.06) than in men (OR = 1.85; 95%CI: 1.79-1.92). The pathophysiology behind this difference is attributed to natural changes in f</w:t>
      </w:r>
      <w:r>
        <w:rPr>
          <w:rFonts w:ascii="Book Antiqua" w:eastAsia="Book Antiqua" w:hAnsi="Book Antiqua" w:cs="Book Antiqua"/>
          <w:color w:val="000000"/>
        </w:rPr>
        <w:t>emale physiology, especially in the post-menopausal years, such as increased rates of insulin resistance, central obesity, and alterations in adipose tissue distribution as a result of fluctuations in estrogen levels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It has also been noted that early </w:t>
      </w:r>
      <w:r>
        <w:rPr>
          <w:rFonts w:ascii="Book Antiqua" w:eastAsia="Book Antiqua" w:hAnsi="Book Antiqua" w:cs="Book Antiqua"/>
          <w:color w:val="000000"/>
        </w:rPr>
        <w:t>menarche may predispose women to an increased risk of NAFLD in adulthood, due to the association between obesity and early onset of menses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Animal studies in over nourished zebrafish models have shown that ovarian senescence causing hypoestrogenemia fa</w:t>
      </w:r>
      <w:r>
        <w:rPr>
          <w:rFonts w:ascii="Book Antiqua" w:eastAsia="Book Antiqua" w:hAnsi="Book Antiqua" w:cs="Book Antiqua"/>
          <w:color w:val="000000"/>
        </w:rPr>
        <w:t>cilitates the development of hepatic steatosis and the fibrotic progression of liver disease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Understanding gender differences in NAFLD is crucial as it will allow us to target specific groups to improve primary prevention and health promotion, as well</w:t>
      </w:r>
      <w:r>
        <w:rPr>
          <w:rFonts w:ascii="Book Antiqua" w:eastAsia="Book Antiqua" w:hAnsi="Book Antiqua" w:cs="Book Antiqua"/>
          <w:color w:val="000000"/>
        </w:rPr>
        <w:t xml:space="preserve"> as provide treatment strategies which may help reduce morbidity and mortality associated with NAFLD and its associated pathologies.</w:t>
      </w:r>
    </w:p>
    <w:p w:rsidR="00323A99" w:rsidRDefault="00616ABD">
      <w:pPr>
        <w:spacing w:line="360" w:lineRule="auto"/>
        <w:ind w:firstLineChars="100" w:firstLine="240"/>
        <w:jc w:val="both"/>
      </w:pPr>
      <w:r>
        <w:rPr>
          <w:rFonts w:ascii="Book Antiqua" w:eastAsia="Book Antiqua" w:hAnsi="Book Antiqua" w:cs="Book Antiqua"/>
          <w:color w:val="000000"/>
        </w:rPr>
        <w:t>Significant racial differences exist with regards to the prevalence of NAFLD. Our study reports that the prevalence of NAFL</w:t>
      </w:r>
      <w:r>
        <w:rPr>
          <w:rFonts w:ascii="Book Antiqua" w:eastAsia="Book Antiqua" w:hAnsi="Book Antiqua" w:cs="Book Antiqua"/>
          <w:color w:val="000000"/>
        </w:rPr>
        <w:t>D with GSD was 72.1% in the Caucasian population, followed by 11.8% in African Americans, 11.2% in Hispanics and 4.9% in other races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This is most likely attributed to complex interactions between environmental, behavioral, and genetic factors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3,18]</w:t>
      </w:r>
      <w:r>
        <w:rPr>
          <w:rFonts w:ascii="Book Antiqua" w:eastAsia="Book Antiqua" w:hAnsi="Book Antiqua" w:cs="Book Antiqua"/>
          <w:color w:val="000000"/>
        </w:rPr>
        <w:t xml:space="preserve">. One explanation for the racial variance may be a higher average BMI and visceral adiposity in the Caucasian population as compared to their African American counterparts. The most recent literature suggests that the East Asian Indian population may </w:t>
      </w:r>
      <w:r>
        <w:rPr>
          <w:rFonts w:ascii="Book Antiqua" w:eastAsia="Book Antiqua" w:hAnsi="Book Antiqua" w:cs="Book Antiqua"/>
          <w:color w:val="000000"/>
        </w:rPr>
        <w:t>be at the highest risk of NAFLD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rsidR="00323A99" w:rsidRDefault="00616ABD">
      <w:pPr>
        <w:spacing w:line="360" w:lineRule="auto"/>
        <w:ind w:firstLineChars="100" w:firstLine="240"/>
        <w:jc w:val="both"/>
      </w:pPr>
      <w:r>
        <w:rPr>
          <w:rFonts w:ascii="Book Antiqua" w:eastAsia="Book Antiqua" w:hAnsi="Book Antiqua" w:cs="Book Antiqua"/>
          <w:color w:val="000000"/>
        </w:rPr>
        <w:t>Our study reports a higher prevalence of NAFLD in the GSD group. Numerous co-morbidities have been identified in the GSD disease group which could possibly be linked to the development of NAFLD, with most having some fo</w:t>
      </w:r>
      <w:r>
        <w:rPr>
          <w:rFonts w:ascii="Book Antiqua" w:eastAsia="Book Antiqua" w:hAnsi="Book Antiqua" w:cs="Book Antiqua"/>
          <w:color w:val="000000"/>
        </w:rPr>
        <w:t>rm of metabolic derangement or insulin resistance as the core pathophysiology. We analyzed some of the common co-morbidities associated with GSD, as follows:</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T2DM or insulin resistance</w:t>
      </w:r>
    </w:p>
    <w:p w:rsidR="00323A99" w:rsidRDefault="00616ABD">
      <w:pPr>
        <w:spacing w:line="360" w:lineRule="auto"/>
        <w:jc w:val="both"/>
      </w:pPr>
      <w:r>
        <w:rPr>
          <w:rFonts w:ascii="Book Antiqua" w:eastAsia="Book Antiqua" w:hAnsi="Book Antiqua" w:cs="Book Antiqua"/>
          <w:color w:val="000000"/>
        </w:rPr>
        <w:t>NAFLD and T2DM often co-exist, leading to adverse outcomes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pr</w:t>
      </w:r>
      <w:r>
        <w:rPr>
          <w:rFonts w:ascii="Book Antiqua" w:eastAsia="Book Antiqua" w:hAnsi="Book Antiqua" w:cs="Book Antiqua"/>
          <w:color w:val="000000"/>
        </w:rPr>
        <w:t>esence of NAFLD is also associated with an increased incidence of the microvascular complications of T2DM. We found that T2DM had a prevalence of 18.9% in the GSD group as compared to 13.2% in the group without GSD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Therefore, patients with T2D</w:t>
      </w:r>
      <w:r>
        <w:rPr>
          <w:rFonts w:ascii="Book Antiqua" w:eastAsia="Book Antiqua" w:hAnsi="Book Antiqua" w:cs="Book Antiqua"/>
          <w:color w:val="000000"/>
        </w:rPr>
        <w:t>M should be screened for NAFLD. Elastography, a technique used to measure tissue stiffness, can be used as a screening tool for NAFLD.</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Metabolic syndrome</w:t>
      </w:r>
    </w:p>
    <w:p w:rsidR="00323A99" w:rsidRDefault="00616ABD">
      <w:pPr>
        <w:spacing w:line="360" w:lineRule="auto"/>
        <w:jc w:val="both"/>
      </w:pPr>
      <w:r>
        <w:rPr>
          <w:rFonts w:ascii="Book Antiqua" w:eastAsia="Book Antiqua" w:hAnsi="Book Antiqua" w:cs="Book Antiqua"/>
          <w:color w:val="000000"/>
        </w:rPr>
        <w:t xml:space="preserve">This is defined as a cluster of conditions that occur in conjunction leading to an increased risk of </w:t>
      </w:r>
      <w:r>
        <w:rPr>
          <w:rFonts w:ascii="Book Antiqua" w:eastAsia="Book Antiqua" w:hAnsi="Book Antiqua" w:cs="Book Antiqua"/>
          <w:color w:val="000000"/>
        </w:rPr>
        <w:t>developing cardiovascular disease, diabetes, and stroke. There is a strong association between the metabolic syndrome and NAFLD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Metabolic syndrome is characterized by the presence of 3 out of the following 5 criteria: (1) Abdominal obesity; waist circ</w:t>
      </w:r>
      <w:r>
        <w:rPr>
          <w:rFonts w:ascii="Book Antiqua" w:eastAsia="Book Antiqua" w:hAnsi="Book Antiqua" w:cs="Book Antiqua"/>
          <w:color w:val="000000"/>
        </w:rPr>
        <w:t>umference ≥ 102 cm in men and ≥ 88 cm in women; (2) Serum triglycerides ≥ 150 mg/dL or drug treatment for elevated triglycerides; (3) Serum high-density lipoprotein (HDL) cholesterol &lt; 40 mg/dL in men and &lt; 50 mg/dL in women or drug treatment for low HDL c</w:t>
      </w:r>
      <w:r>
        <w:rPr>
          <w:rFonts w:ascii="Book Antiqua" w:eastAsia="Book Antiqua" w:hAnsi="Book Antiqua" w:cs="Book Antiqua"/>
          <w:color w:val="000000"/>
        </w:rPr>
        <w:t>holesterol; (4) Blood pressure ≥ 130/85 mmHg or drug treatment for elevated blood pressure; and (5) Fasting plasma glucose ≥ 100 mg/dL or drug treatment for elevated blood glucose.</w:t>
      </w:r>
    </w:p>
    <w:p w:rsidR="00323A99" w:rsidRDefault="00616ABD">
      <w:pPr>
        <w:spacing w:line="360" w:lineRule="auto"/>
        <w:ind w:firstLineChars="100" w:firstLine="240"/>
        <w:jc w:val="both"/>
      </w:pPr>
      <w:r>
        <w:rPr>
          <w:rFonts w:ascii="Book Antiqua" w:eastAsia="Book Antiqua" w:hAnsi="Book Antiqua" w:cs="Book Antiqua"/>
          <w:color w:val="000000"/>
        </w:rPr>
        <w:t>We found that there was a higher prevalence of patients having metabolic sy</w:t>
      </w:r>
      <w:r>
        <w:rPr>
          <w:rFonts w:ascii="Book Antiqua" w:eastAsia="Book Antiqua" w:hAnsi="Book Antiqua" w:cs="Book Antiqua"/>
          <w:color w:val="000000"/>
        </w:rPr>
        <w:t xml:space="preserve">ndrome in the GSD group (0.2%) </w:t>
      </w:r>
      <w:r>
        <w:rPr>
          <w:rFonts w:ascii="Book Antiqua" w:eastAsia="Book Antiqua" w:hAnsi="Book Antiqua" w:cs="Book Antiqua"/>
          <w:i/>
          <w:iCs/>
          <w:color w:val="000000"/>
        </w:rPr>
        <w:t>vs</w:t>
      </w:r>
      <w:r>
        <w:rPr>
          <w:rFonts w:ascii="Book Antiqua" w:eastAsia="Book Antiqua" w:hAnsi="Book Antiqua" w:cs="Book Antiqua"/>
          <w:color w:val="000000"/>
        </w:rPr>
        <w:t xml:space="preserve"> the group without GSD (0.1%)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Therefore, Metabolic syndrome may be closely associated with NAFLD.</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Dyslipidaemia</w:t>
      </w:r>
    </w:p>
    <w:p w:rsidR="00323A99" w:rsidRDefault="00616ABD">
      <w:pPr>
        <w:spacing w:line="360" w:lineRule="auto"/>
        <w:jc w:val="both"/>
      </w:pPr>
      <w:r>
        <w:rPr>
          <w:rFonts w:ascii="Book Antiqua" w:eastAsia="Book Antiqua" w:hAnsi="Book Antiqua" w:cs="Book Antiqua"/>
          <w:color w:val="000000"/>
        </w:rPr>
        <w:t>Elevated levels of free fatty acids promote insulin resistance leading to NAFLD</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We found </w:t>
      </w:r>
      <w:r>
        <w:rPr>
          <w:rFonts w:ascii="Book Antiqua" w:eastAsia="Book Antiqua" w:hAnsi="Book Antiqua" w:cs="Book Antiqua"/>
          <w:color w:val="000000"/>
        </w:rPr>
        <w:t>that dyslipidaemia was more common in patients in the GSD group (33.4%) compared to the non-GSD group (22.6%)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Hypertriglyceridemia is known to be an independent risk factor for NAFLD and therefore requires appropriate screening. The Framingham</w:t>
      </w:r>
      <w:r>
        <w:rPr>
          <w:rFonts w:ascii="Book Antiqua" w:eastAsia="Book Antiqua" w:hAnsi="Book Antiqua" w:cs="Book Antiqua"/>
          <w:color w:val="000000"/>
        </w:rPr>
        <w:t xml:space="preserve"> Heart study also revealed that patients with fatty liver had a high prevalence of hypertriglyceridemia and low HDL levels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Obesity</w:t>
      </w:r>
    </w:p>
    <w:p w:rsidR="00323A99" w:rsidRDefault="00616ABD">
      <w:pPr>
        <w:spacing w:line="360" w:lineRule="auto"/>
        <w:jc w:val="both"/>
      </w:pPr>
      <w:r>
        <w:rPr>
          <w:rFonts w:ascii="Book Antiqua" w:eastAsia="Book Antiqua" w:hAnsi="Book Antiqua" w:cs="Book Antiqua"/>
          <w:color w:val="000000"/>
        </w:rPr>
        <w:t>Weight gain is a modifiable risk factor believed to be strongly associated with the development of NAFLD. The distribut</w:t>
      </w:r>
      <w:r>
        <w:rPr>
          <w:rFonts w:ascii="Book Antiqua" w:eastAsia="Book Antiqua" w:hAnsi="Book Antiqua" w:cs="Book Antiqua"/>
          <w:color w:val="000000"/>
        </w:rPr>
        <w:t>ion of the adipose tissue, rather than the amount, is more clearly associated with NAFLD. However, our study found a higher prevalence of obesity (7.5%) in the group without GSD compared to the GSD group (5.4%)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Nevertheless, it has been well e</w:t>
      </w:r>
      <w:r>
        <w:rPr>
          <w:rFonts w:ascii="Book Antiqua" w:eastAsia="Book Antiqua" w:hAnsi="Book Antiqua" w:cs="Book Antiqua"/>
          <w:color w:val="000000"/>
        </w:rPr>
        <w:t>stablished that visceral adipose tissue predisposes patients to the development of NAFLD even at lower body mass index</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Hypertension</w:t>
      </w:r>
    </w:p>
    <w:p w:rsidR="00323A99" w:rsidRDefault="00616ABD">
      <w:pPr>
        <w:spacing w:line="360" w:lineRule="auto"/>
        <w:jc w:val="both"/>
      </w:pPr>
      <w:r>
        <w:rPr>
          <w:rFonts w:ascii="Book Antiqua" w:eastAsia="Book Antiqua" w:hAnsi="Book Antiqua" w:cs="Book Antiqua"/>
          <w:color w:val="000000"/>
        </w:rPr>
        <w:t xml:space="preserve">Essential hypertension has been known to be associated with metabolic syndrome which in-turn is associated with the </w:t>
      </w:r>
      <w:r>
        <w:rPr>
          <w:rFonts w:ascii="Book Antiqua" w:eastAsia="Book Antiqua" w:hAnsi="Book Antiqua" w:cs="Book Antiqua"/>
          <w:color w:val="000000"/>
        </w:rPr>
        <w:t>development of NAFLD. Other mechanisms for hypertension leading to NAFLD development are poorly understood</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Our study reported a 43% prevalence of hypertension in the GSD group and a 29.8% prevalence in the group without GSD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Hence, we advo</w:t>
      </w:r>
      <w:r>
        <w:rPr>
          <w:rFonts w:ascii="Book Antiqua" w:eastAsia="Book Antiqua" w:hAnsi="Book Antiqua" w:cs="Book Antiqua"/>
          <w:color w:val="000000"/>
        </w:rPr>
        <w:t>cate for a more aggressive approach to screening and treatment for hypertension.</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Nicotine dependence</w:t>
      </w:r>
    </w:p>
    <w:p w:rsidR="00323A99" w:rsidRDefault="00616ABD">
      <w:pPr>
        <w:spacing w:line="360" w:lineRule="auto"/>
        <w:jc w:val="both"/>
      </w:pPr>
      <w:r>
        <w:rPr>
          <w:rFonts w:ascii="Book Antiqua" w:eastAsia="Book Antiqua" w:hAnsi="Book Antiqua" w:cs="Book Antiqua"/>
          <w:color w:val="000000"/>
        </w:rPr>
        <w:t>Some studies on humans and animal models indicate that smoking has some association with NAFLD. However, the clinical correlation of these findings remain</w:t>
      </w:r>
      <w:r>
        <w:rPr>
          <w:rFonts w:ascii="Book Antiqua" w:eastAsia="Book Antiqua" w:hAnsi="Book Antiqua" w:cs="Book Antiqua"/>
          <w:color w:val="000000"/>
        </w:rPr>
        <w:t>s controversial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We looked at nicotine dependence and found that the prevalence of NAFLD is 40.1% in nicotine dependent patients in the GSD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29.6% in the group without GSD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More studies are needed to establish a significant relation</w:t>
      </w:r>
      <w:r>
        <w:rPr>
          <w:rFonts w:ascii="Book Antiqua" w:eastAsia="Book Antiqua" w:hAnsi="Book Antiqua" w:cs="Book Antiqua"/>
          <w:color w:val="000000"/>
        </w:rPr>
        <w:t>ship between the use of nicotine and NAFLD.</w:t>
      </w:r>
    </w:p>
    <w:p w:rsidR="00323A99" w:rsidRDefault="00616ABD">
      <w:pPr>
        <w:spacing w:line="360" w:lineRule="auto"/>
        <w:ind w:firstLineChars="100" w:firstLine="240"/>
        <w:jc w:val="both"/>
      </w:pPr>
      <w:r>
        <w:rPr>
          <w:rFonts w:ascii="Book Antiqua" w:eastAsia="Book Antiqua" w:hAnsi="Book Antiqua" w:cs="Book Antiqua"/>
          <w:color w:val="000000"/>
        </w:rPr>
        <w:t>Patients with NAFLD tend to have a decreased survival rate when compared to the general population. Cardiovascular disease is a major cause of death in these patients, followed by malignancies such as hepatocellu</w:t>
      </w:r>
      <w:r>
        <w:rPr>
          <w:rFonts w:ascii="Book Antiqua" w:eastAsia="Book Antiqua" w:hAnsi="Book Antiqua" w:cs="Book Antiqua"/>
          <w:color w:val="000000"/>
        </w:rPr>
        <w:t>lar carcinoma, as well as increased morbidity and mortality due to the sequela of chronic liver disease itself</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Despite a thorough investigation into available clinical trials, no effective treatment therapy or protocol currently exists for NAFLD. Ther</w:t>
      </w:r>
      <w:r>
        <w:rPr>
          <w:rFonts w:ascii="Book Antiqua" w:eastAsia="Book Antiqua" w:hAnsi="Book Antiqua" w:cs="Book Antiqua"/>
          <w:color w:val="000000"/>
        </w:rPr>
        <w:t>efore, a non-pharmacological approach for controlling the co-morbidities leading to not only NAFLD but also cardiovascular risk and overall mortality becomes crucial in the management of the NAFLD population. Correcting the core pathophysiology (often unde</w:t>
      </w:r>
      <w:r>
        <w:rPr>
          <w:rFonts w:ascii="Book Antiqua" w:eastAsia="Book Antiqua" w:hAnsi="Book Antiqua" w:cs="Book Antiqua"/>
          <w:color w:val="000000"/>
        </w:rPr>
        <w:t>rlying metabolic derangement or insulin resistance) is the basis of the management of NAFLD. It can be achieved through a patient-tailored approach of risk factor modification through lifestyle changes, which consists of:</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Weight loss</w:t>
      </w:r>
    </w:p>
    <w:p w:rsidR="00323A99" w:rsidRDefault="00616ABD">
      <w:pPr>
        <w:spacing w:line="360" w:lineRule="auto"/>
        <w:jc w:val="both"/>
      </w:pPr>
      <w:r>
        <w:rPr>
          <w:rFonts w:ascii="Book Antiqua" w:eastAsia="Book Antiqua" w:hAnsi="Book Antiqua" w:cs="Book Antiqua"/>
          <w:color w:val="000000"/>
        </w:rPr>
        <w:t xml:space="preserve">Weight loss of 3%-5% </w:t>
      </w:r>
      <w:r>
        <w:rPr>
          <w:rFonts w:ascii="Book Antiqua" w:eastAsia="Book Antiqua" w:hAnsi="Book Antiqua" w:cs="Book Antiqua"/>
          <w:color w:val="000000"/>
        </w:rPr>
        <w:t>in patients with steatosis and 7%-10% in patients with NASH is recommended, with the long-term goal of achieving a normal BMI</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 5% weight loss is associated with about a 75% rate of remission of NAFLD</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Diet</w:t>
      </w:r>
    </w:p>
    <w:p w:rsidR="00323A99" w:rsidRDefault="00616ABD">
      <w:pPr>
        <w:spacing w:line="360" w:lineRule="auto"/>
        <w:jc w:val="both"/>
      </w:pPr>
      <w:r>
        <w:rPr>
          <w:rFonts w:ascii="Book Antiqua" w:eastAsia="Book Antiqua" w:hAnsi="Book Antiqua" w:cs="Book Antiqua"/>
          <w:color w:val="000000"/>
        </w:rPr>
        <w:t>Patients with dyslipidaemia benefit fro</w:t>
      </w:r>
      <w:r>
        <w:rPr>
          <w:rFonts w:ascii="Book Antiqua" w:eastAsia="Book Antiqua" w:hAnsi="Book Antiqua" w:cs="Book Antiqua"/>
          <w:color w:val="000000"/>
        </w:rPr>
        <w:t xml:space="preserve">m a low-fat diet, whereas patients with insulin resistance or Diabetes Mellitus should be advised to follow a low carbohydrate diet. Patients with NAFLD and NASH eat a lower polyunsaturated </w:t>
      </w:r>
      <w:r>
        <w:rPr>
          <w:rFonts w:ascii="Book Antiqua" w:eastAsia="Book Antiqua" w:hAnsi="Book Antiqua" w:cs="Book Antiqua"/>
          <w:i/>
          <w:iCs/>
          <w:color w:val="000000"/>
        </w:rPr>
        <w:t>vs</w:t>
      </w:r>
      <w:r>
        <w:rPr>
          <w:rFonts w:ascii="Book Antiqua" w:eastAsia="Book Antiqua" w:hAnsi="Book Antiqua" w:cs="Book Antiqua"/>
          <w:color w:val="000000"/>
        </w:rPr>
        <w:t xml:space="preserve"> saturated Fatty Acid ratio, a lower omega-3 </w:t>
      </w:r>
      <w:r>
        <w:rPr>
          <w:rFonts w:ascii="Book Antiqua" w:eastAsia="Book Antiqua" w:hAnsi="Book Antiqua" w:cs="Book Antiqua"/>
          <w:i/>
          <w:iCs/>
          <w:color w:val="000000"/>
        </w:rPr>
        <w:t>vs</w:t>
      </w:r>
      <w:r>
        <w:rPr>
          <w:rFonts w:ascii="Book Antiqua" w:eastAsia="Book Antiqua" w:hAnsi="Book Antiqua" w:cs="Book Antiqua"/>
          <w:color w:val="000000"/>
        </w:rPr>
        <w:t xml:space="preserve"> omega-6 ratio, a</w:t>
      </w:r>
      <w:r>
        <w:rPr>
          <w:rFonts w:ascii="Book Antiqua" w:eastAsia="Book Antiqua" w:hAnsi="Book Antiqua" w:cs="Book Antiqua"/>
          <w:color w:val="000000"/>
        </w:rPr>
        <w:t>nd a higher amount of cholesterol, as compared to the general population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Therefore, it is recommended to modify the diet to include more polyunsaturated fatty acids, omega-3 fatty acids, and decrease cholesterol consumption to less than 200 mg a day.</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Exercise</w:t>
      </w:r>
    </w:p>
    <w:p w:rsidR="00323A99" w:rsidRDefault="00616ABD">
      <w:pPr>
        <w:spacing w:line="360" w:lineRule="auto"/>
        <w:jc w:val="both"/>
      </w:pPr>
      <w:r>
        <w:rPr>
          <w:rFonts w:ascii="Book Antiqua" w:eastAsia="Book Antiqua" w:hAnsi="Book Antiqua" w:cs="Book Antiqua"/>
          <w:color w:val="000000"/>
        </w:rPr>
        <w:t xml:space="preserve">The literature suggests that exercise alone has a beneficial effect in NAFLD. Exercise along with dietary modification may play a synergistic role in the management of NAFLD. Aerobic exercise, about 3-4 times a week with &gt; 400 kcal per session is </w:t>
      </w:r>
      <w:r>
        <w:rPr>
          <w:rFonts w:ascii="Book Antiqua" w:eastAsia="Book Antiqua" w:hAnsi="Book Antiqua" w:cs="Book Antiqua"/>
          <w:color w:val="000000"/>
        </w:rPr>
        <w:t>currently recommended.</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color w:val="000000"/>
        </w:rPr>
      </w:pPr>
      <w:r>
        <w:rPr>
          <w:rFonts w:ascii="Book Antiqua" w:eastAsia="Book Antiqua" w:hAnsi="Book Antiqua" w:cs="Book Antiqua"/>
          <w:b/>
          <w:bCs/>
          <w:i/>
          <w:iCs/>
          <w:color w:val="000000"/>
        </w:rPr>
        <w:t>Alcohol intake</w:t>
      </w:r>
    </w:p>
    <w:p w:rsidR="00323A99" w:rsidRDefault="00616ABD">
      <w:pPr>
        <w:spacing w:line="360" w:lineRule="auto"/>
        <w:jc w:val="both"/>
      </w:pPr>
      <w:r>
        <w:rPr>
          <w:rFonts w:ascii="Book Antiqua" w:eastAsia="Book Antiqua" w:hAnsi="Book Antiqua" w:cs="Book Antiqua"/>
          <w:color w:val="000000"/>
        </w:rPr>
        <w:t xml:space="preserve">The literature suggests a U-relationship between alcohol consumption, with lower intake associated with decreased overall mortality, decreased rates of cardiovascular events, lower risk of Diabetes Mellitus, and </w:t>
      </w:r>
      <w:r>
        <w:rPr>
          <w:rFonts w:ascii="Book Antiqua" w:eastAsia="Book Antiqua" w:hAnsi="Book Antiqua" w:cs="Book Antiqua"/>
          <w:color w:val="000000"/>
        </w:rPr>
        <w:t>decreased incidence of the metabolic syndrome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Studies have also shown a possible beneficial effect of mild alcohol consumption in NAFLD. However, we do not actively recommend alcohol consumption in NAFLD patients especially in those suffering from prog</w:t>
      </w:r>
      <w:r>
        <w:rPr>
          <w:rFonts w:ascii="Book Antiqua" w:eastAsia="Book Antiqua" w:hAnsi="Book Antiqua" w:cs="Book Antiqua"/>
          <w:color w:val="000000"/>
        </w:rPr>
        <w:t>ressive NAFLD.</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Coffee consumption</w:t>
      </w:r>
    </w:p>
    <w:p w:rsidR="00323A99" w:rsidRDefault="00616ABD">
      <w:pPr>
        <w:spacing w:line="360" w:lineRule="auto"/>
        <w:jc w:val="both"/>
      </w:pPr>
      <w:r>
        <w:rPr>
          <w:rFonts w:ascii="Book Antiqua" w:eastAsia="Book Antiqua" w:hAnsi="Book Antiqua" w:cs="Book Antiqua"/>
          <w:color w:val="000000"/>
        </w:rPr>
        <w:t>Animal and epidemiological studies reveal a possible beneficial effect of coffee consumption in terms of metabolic control and development of NAFLD</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Because of this, coffee consumption should not be restricted.</w:t>
      </w:r>
    </w:p>
    <w:p w:rsidR="00323A99" w:rsidRDefault="00323A99">
      <w:pPr>
        <w:spacing w:line="360" w:lineRule="auto"/>
        <w:jc w:val="both"/>
      </w:pPr>
    </w:p>
    <w:p w:rsidR="00323A99" w:rsidRDefault="00616AB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Cance</w:t>
      </w:r>
      <w:r>
        <w:rPr>
          <w:rFonts w:ascii="Book Antiqua" w:eastAsia="Book Antiqua" w:hAnsi="Book Antiqua" w:cs="Book Antiqua"/>
          <w:b/>
          <w:bCs/>
          <w:i/>
          <w:iCs/>
          <w:color w:val="000000"/>
        </w:rPr>
        <w:t xml:space="preserve">r screening </w:t>
      </w:r>
    </w:p>
    <w:p w:rsidR="00323A99" w:rsidRDefault="00616ABD">
      <w:pPr>
        <w:spacing w:line="360" w:lineRule="auto"/>
        <w:jc w:val="both"/>
      </w:pPr>
      <w:r>
        <w:rPr>
          <w:rFonts w:ascii="Book Antiqua" w:eastAsia="Book Antiqua" w:hAnsi="Book Antiqua" w:cs="Book Antiqua"/>
          <w:color w:val="000000"/>
        </w:rPr>
        <w:t>Patients with NAFLD are at increased risk for developing malignancies. The literature does report the incidence of liver cancer in patients with NAFLD without fibrosis but not enough evidence exists to recommend a screening protocol</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Patien</w:t>
      </w:r>
      <w:r>
        <w:rPr>
          <w:rFonts w:ascii="Book Antiqua" w:eastAsia="Book Antiqua" w:hAnsi="Book Antiqua" w:cs="Book Antiqua"/>
          <w:color w:val="000000"/>
        </w:rPr>
        <w:t>ts with NAFLD should also be monitored in regular screening programs for breast, prostate, colorectal and cervical cancer.</w:t>
      </w:r>
    </w:p>
    <w:p w:rsidR="00323A99" w:rsidRDefault="00616ABD">
      <w:pPr>
        <w:spacing w:line="360" w:lineRule="auto"/>
        <w:ind w:firstLineChars="100" w:firstLine="240"/>
        <w:jc w:val="both"/>
      </w:pPr>
      <w:r>
        <w:rPr>
          <w:rFonts w:ascii="Book Antiqua" w:eastAsia="Book Antiqua" w:hAnsi="Book Antiqua" w:cs="Book Antiqua"/>
          <w:color w:val="000000"/>
        </w:rPr>
        <w:t>In addition to lifestyle modification, pharmacological therapies such as orlistat may be considered for assistance with weight reduct</w:t>
      </w:r>
      <w:r>
        <w:rPr>
          <w:rFonts w:ascii="Book Antiqua" w:eastAsia="Book Antiqua" w:hAnsi="Book Antiqua" w:cs="Book Antiqua"/>
          <w:color w:val="000000"/>
        </w:rPr>
        <w:t xml:space="preserve">ion. Bariatric surgery may be considered in moderately to severely obese patients. In fact, a systematic review by Bower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found that among 16 studies evaluating steatosis before and after bariatric surgery, the weighted mean decrease in the incide</w:t>
      </w:r>
      <w:r>
        <w:rPr>
          <w:rFonts w:ascii="Book Antiqua" w:eastAsia="Book Antiqua" w:hAnsi="Book Antiqua" w:cs="Book Antiqua"/>
          <w:color w:val="000000"/>
        </w:rPr>
        <w:t xml:space="preserve">nce of steatosis was 50.2%. </w:t>
      </w:r>
    </w:p>
    <w:p w:rsidR="00323A99" w:rsidRDefault="00616ABD">
      <w:pPr>
        <w:spacing w:line="360" w:lineRule="auto"/>
        <w:ind w:firstLineChars="100" w:firstLine="240"/>
        <w:jc w:val="both"/>
      </w:pPr>
      <w:r>
        <w:rPr>
          <w:rFonts w:ascii="Book Antiqua" w:eastAsia="Book Antiqua" w:hAnsi="Book Antiqua" w:cs="Book Antiqua"/>
          <w:color w:val="000000"/>
        </w:rPr>
        <w:t>There are limitations to the current study, in particular with regards to the utilization of the Healthcare Utilization Project database, including errors in relation to the ICD9 and ICD10 coding system. In order to prevent thi</w:t>
      </w:r>
      <w:r>
        <w:rPr>
          <w:rFonts w:ascii="Book Antiqua" w:eastAsia="Book Antiqua" w:hAnsi="Book Antiqua" w:cs="Book Antiqua"/>
          <w:color w:val="000000"/>
        </w:rPr>
        <w:t>s, we have utilized codes that have been validated in previous studies. We have performed a retrospective analysis and given insight into an association between these conditions and the studied outcomes, however the nature of observational studies does not</w:t>
      </w:r>
      <w:r>
        <w:rPr>
          <w:rFonts w:ascii="Book Antiqua" w:eastAsia="Book Antiqua" w:hAnsi="Book Antiqua" w:cs="Book Antiqua"/>
          <w:color w:val="000000"/>
        </w:rPr>
        <w:t xml:space="preserve"> allow for the determination of causation between the variables being studied. An additional limitation is that the ICD coding system is unable to identify when patients are readmitted with the same condition. Because of this, every admission is considered</w:t>
      </w:r>
      <w:r>
        <w:rPr>
          <w:rFonts w:ascii="Book Antiqua" w:eastAsia="Book Antiqua" w:hAnsi="Book Antiqua" w:cs="Book Antiqua"/>
          <w:color w:val="000000"/>
        </w:rPr>
        <w:t xml:space="preserve"> a separate case and therefore a new patient encounter. A final limitation of the study is that it was not performed on the general population.</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caps/>
          <w:color w:val="000000"/>
          <w:u w:val="single"/>
        </w:rPr>
        <w:t>CONCLUSION</w:t>
      </w:r>
    </w:p>
    <w:p w:rsidR="00323A99" w:rsidRDefault="00616ABD">
      <w:pPr>
        <w:spacing w:line="360" w:lineRule="auto"/>
        <w:jc w:val="both"/>
      </w:pPr>
      <w:r>
        <w:rPr>
          <w:rFonts w:ascii="Book Antiqua" w:eastAsia="Book Antiqua" w:hAnsi="Book Antiqua" w:cs="Book Antiqua"/>
          <w:color w:val="000000"/>
        </w:rPr>
        <w:t xml:space="preserve">We conclude that NAFLD is more prevalent in women with GSD than men. The association of NAFLD with </w:t>
      </w:r>
      <w:r>
        <w:rPr>
          <w:rFonts w:ascii="Book Antiqua" w:eastAsia="Book Antiqua" w:hAnsi="Book Antiqua" w:cs="Book Antiqua"/>
          <w:color w:val="000000"/>
        </w:rPr>
        <w:t>cholecystectomy and GSD indicates that they may be risk factors for NAFLD. Lifestyle modification through physical exercise, diet, and weight reduction can prevent gallstone formation and the subsequent need for cholecystectomy. We know that gallstones are</w:t>
      </w:r>
      <w:r>
        <w:rPr>
          <w:rFonts w:ascii="Book Antiqua" w:eastAsia="Book Antiqua" w:hAnsi="Book Antiqua" w:cs="Book Antiqua"/>
          <w:color w:val="000000"/>
        </w:rPr>
        <w:t xml:space="preserve"> a common disease process and cholecystectomy is a commonly performed procedure. Their impact on NAFLD should be further evaluated through prospective studies and randomized clinical trials.</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caps/>
          <w:color w:val="000000"/>
          <w:u w:val="single"/>
        </w:rPr>
        <w:t>ARTICLE HIGHLIGHTS</w:t>
      </w:r>
    </w:p>
    <w:p w:rsidR="00323A99" w:rsidRDefault="00616ABD">
      <w:pPr>
        <w:spacing w:line="360" w:lineRule="auto"/>
        <w:jc w:val="both"/>
      </w:pPr>
      <w:r>
        <w:rPr>
          <w:rFonts w:ascii="Book Antiqua" w:eastAsia="Book Antiqua" w:hAnsi="Book Antiqua" w:cs="Book Antiqua"/>
          <w:b/>
          <w:i/>
          <w:color w:val="000000"/>
        </w:rPr>
        <w:t>Research background</w:t>
      </w:r>
    </w:p>
    <w:p w:rsidR="00323A99" w:rsidRDefault="00616ABD">
      <w:pPr>
        <w:spacing w:line="360" w:lineRule="auto"/>
        <w:jc w:val="both"/>
      </w:pPr>
      <w:r>
        <w:rPr>
          <w:rFonts w:ascii="Book Antiqua" w:eastAsia="Book Antiqua" w:hAnsi="Book Antiqua" w:cs="Book Antiqua"/>
          <w:color w:val="000000"/>
        </w:rPr>
        <w:t>Non-alcoholic fatty liver</w:t>
      </w:r>
      <w:r>
        <w:rPr>
          <w:rFonts w:ascii="Book Antiqua" w:eastAsia="Book Antiqua" w:hAnsi="Book Antiqua" w:cs="Book Antiqua"/>
          <w:color w:val="000000"/>
        </w:rPr>
        <w:t xml:space="preserve"> disease (NAFLD) is one of the most frequent causes of liver disease in the United States. The prevalence of NAFLD is rising globally in line with the obesity epidemic. The pathophysiology of the development of NAFLD is rooted in metabolic derangement and </w:t>
      </w:r>
      <w:r>
        <w:rPr>
          <w:rFonts w:ascii="Book Antiqua" w:eastAsia="Book Antiqua" w:hAnsi="Book Antiqua" w:cs="Book Antiqua"/>
          <w:color w:val="000000"/>
        </w:rPr>
        <w:t>insulin resistance. In addition, the development of gallstones shares several common risk factors with that of NAFLD. Cholecystectomy, a sequela of gallstone disease (GSD), may alter the metabolism of the enterohepatic circulation of bile acids and contrib</w:t>
      </w:r>
      <w:r>
        <w:rPr>
          <w:rFonts w:ascii="Book Antiqua" w:eastAsia="Book Antiqua" w:hAnsi="Book Antiqua" w:cs="Book Antiqua"/>
          <w:color w:val="000000"/>
        </w:rPr>
        <w:t xml:space="preserve">ute to an increased risk of NAFLD. </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i/>
          <w:color w:val="000000"/>
        </w:rPr>
        <w:t>Research motivation</w:t>
      </w:r>
    </w:p>
    <w:p w:rsidR="00323A99" w:rsidRDefault="00616ABD">
      <w:pPr>
        <w:spacing w:line="360" w:lineRule="auto"/>
        <w:jc w:val="both"/>
      </w:pPr>
      <w:r>
        <w:rPr>
          <w:rFonts w:ascii="Book Antiqua" w:eastAsia="Book Antiqua" w:hAnsi="Book Antiqua" w:cs="Book Antiqua"/>
          <w:color w:val="000000"/>
        </w:rPr>
        <w:t xml:space="preserve">There is a paucity of literature and data in terms of large-scale multicenter retrospective studies that have investigated an association between GSD and NAFLD. </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i/>
          <w:color w:val="000000"/>
        </w:rPr>
        <w:t>Research objectives</w:t>
      </w:r>
    </w:p>
    <w:p w:rsidR="00323A99" w:rsidRDefault="00616ABD">
      <w:pPr>
        <w:spacing w:line="360" w:lineRule="auto"/>
        <w:jc w:val="both"/>
      </w:pPr>
      <w:r>
        <w:rPr>
          <w:rFonts w:ascii="Book Antiqua" w:eastAsia="Book Antiqua" w:hAnsi="Book Antiqua" w:cs="Book Antiqua"/>
          <w:color w:val="000000"/>
        </w:rPr>
        <w:t xml:space="preserve">To determine </w:t>
      </w:r>
      <w:r>
        <w:rPr>
          <w:rFonts w:ascii="Book Antiqua" w:eastAsia="Book Antiqua" w:hAnsi="Book Antiqua" w:cs="Book Antiqua"/>
          <w:color w:val="000000"/>
        </w:rPr>
        <w:t>whether an association between GSD and NAFLD exists, identify the prevalence of multiple co-morbidities associated with NAFLD, and discuss risk factor modification for the prevention of the development of NAFLD in addition to halting its progression to end</w:t>
      </w:r>
      <w:r>
        <w:rPr>
          <w:rFonts w:ascii="Book Antiqua" w:eastAsia="Book Antiqua" w:hAnsi="Book Antiqua" w:cs="Book Antiqua"/>
          <w:color w:val="000000"/>
        </w:rPr>
        <w:t xml:space="preserve"> stage liver disease.</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i/>
          <w:color w:val="000000"/>
        </w:rPr>
        <w:t>Research methods</w:t>
      </w:r>
    </w:p>
    <w:p w:rsidR="00323A99" w:rsidRDefault="00616ABD">
      <w:pPr>
        <w:spacing w:line="360" w:lineRule="auto"/>
        <w:jc w:val="both"/>
      </w:pPr>
      <w:r>
        <w:rPr>
          <w:rFonts w:ascii="Book Antiqua" w:eastAsia="Book Antiqua" w:hAnsi="Book Antiqua" w:cs="Book Antiqua"/>
          <w:color w:val="000000"/>
        </w:rPr>
        <w:t>We queried the National Inpatient Sample database from the years 2016 and 2017 using International Classification of Diseases,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revision, Clinical Modification diagnosis codes to identify hospitalizations with a </w:t>
      </w:r>
      <w:r>
        <w:rPr>
          <w:rFonts w:ascii="Book Antiqua" w:eastAsia="Book Antiqua" w:hAnsi="Book Antiqua" w:cs="Book Antiqua"/>
          <w:color w:val="000000"/>
        </w:rPr>
        <w:t xml:space="preserve">diagnosis of GSD as well as NAFLD. Odds ratios (ORs) measuring the association between GSD and NAFLD were calculated using logistic regression after adjusting for confounding variables. </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i/>
          <w:color w:val="000000"/>
        </w:rPr>
        <w:t>Research results</w:t>
      </w:r>
    </w:p>
    <w:p w:rsidR="00323A99" w:rsidRDefault="00616ABD">
      <w:pPr>
        <w:spacing w:line="360" w:lineRule="auto"/>
        <w:jc w:val="both"/>
      </w:pPr>
      <w:r>
        <w:rPr>
          <w:rFonts w:ascii="Book Antiqua" w:eastAsia="Book Antiqua" w:hAnsi="Book Antiqua" w:cs="Book Antiqua"/>
          <w:color w:val="000000"/>
        </w:rPr>
        <w:t>The prevalence of NAFLD was 3.3% in patients with G</w:t>
      </w:r>
      <w:r>
        <w:rPr>
          <w:rFonts w:ascii="Book Antiqua" w:eastAsia="Book Antiqua" w:hAnsi="Book Antiqua" w:cs="Book Antiqua"/>
          <w:color w:val="000000"/>
        </w:rPr>
        <w:t>SD and 1% in those without. NAFLD was prevalent in 64.3% of women with GSD as compared to 35.7% of men with GSD. After controlling for confounders, multivariate-adjusted analysis showed that there was an association between NAFLD with gallstones [OR = 6.32</w:t>
      </w:r>
      <w:r>
        <w:rPr>
          <w:rFonts w:ascii="Book Antiqua" w:eastAsia="Book Antiqua" w:hAnsi="Book Antiqua" w:cs="Book Antiqua"/>
          <w:color w:val="000000"/>
        </w:rPr>
        <w:t>; 95% confidence interval (CI): 6.15-6.48] as well as cholecystectomy (OR = 1.97; 95%CI: 1.93-2.01). The association between NAFLD and gallstones was stronger in men (OR = 6.67; 95%CI: 6.42-6.93) than women (OR = 6.05; 95%CI: 5.83-6.27). The association be</w:t>
      </w:r>
      <w:r>
        <w:rPr>
          <w:rFonts w:ascii="Book Antiqua" w:eastAsia="Book Antiqua" w:hAnsi="Book Antiqua" w:cs="Book Antiqua"/>
          <w:color w:val="000000"/>
        </w:rPr>
        <w:t>tween NAFLD with cholecystectomy was stronger in women (OR = 2.01; 95%CI: 1.96-2.06) than men (OR = 1.85; 95%CI: 1.79-1.92).</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i/>
          <w:color w:val="000000"/>
        </w:rPr>
        <w:t>Research conclusions</w:t>
      </w:r>
    </w:p>
    <w:p w:rsidR="00323A99" w:rsidRDefault="00616ABD">
      <w:pPr>
        <w:spacing w:line="360" w:lineRule="auto"/>
        <w:jc w:val="both"/>
      </w:pPr>
      <w:r>
        <w:rPr>
          <w:rFonts w:ascii="Book Antiqua" w:eastAsia="Book Antiqua" w:hAnsi="Book Antiqua" w:cs="Book Antiqua"/>
          <w:color w:val="000000"/>
        </w:rPr>
        <w:t>NAFLD is more prevalent in women with GSD than men. The association between NAFLD and cholecystectomy/gallsto</w:t>
      </w:r>
      <w:r>
        <w:rPr>
          <w:rFonts w:ascii="Book Antiqua" w:eastAsia="Book Antiqua" w:hAnsi="Book Antiqua" w:cs="Book Antiqua"/>
          <w:color w:val="000000"/>
        </w:rPr>
        <w:t xml:space="preserve">nes indicates that they may be risk factors for NAFLD. </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i/>
          <w:color w:val="000000"/>
        </w:rPr>
        <w:t>Research perspectives</w:t>
      </w:r>
    </w:p>
    <w:p w:rsidR="00323A99" w:rsidRDefault="00616ABD">
      <w:pPr>
        <w:spacing w:line="360" w:lineRule="auto"/>
        <w:jc w:val="both"/>
      </w:pPr>
      <w:r>
        <w:rPr>
          <w:rFonts w:ascii="Book Antiqua" w:eastAsia="Book Antiqua" w:hAnsi="Book Antiqua" w:cs="Book Antiqua"/>
          <w:color w:val="000000"/>
        </w:rPr>
        <w:t>There is a need for further prospective studies and randomized clinical trials to evaluate the impact of gallstones and cholecystectomy on the development of NAFLD.</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color w:val="000000"/>
        </w:rPr>
        <w:t>REFERENCES</w:t>
      </w:r>
    </w:p>
    <w:p w:rsidR="00323A99" w:rsidRDefault="00616AB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Perumpail BJ</w:t>
      </w:r>
      <w:r>
        <w:rPr>
          <w:rFonts w:ascii="Book Antiqua" w:eastAsia="Book Antiqua" w:hAnsi="Book Antiqua" w:cs="Book Antiqua"/>
          <w:color w:val="000000"/>
        </w:rPr>
        <w:t xml:space="preserve">, Khan MA, Yoo ER, Cholankeril G, Kim D, Ahmed A. Clinical epidemiology and disease burden of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8263-8276 [PMID: 29307986 DOI: 10.3748/wjg.v23.i47.8263]</w:t>
      </w:r>
    </w:p>
    <w:p w:rsidR="00323A99" w:rsidRDefault="00616AB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 MH</w:t>
      </w:r>
      <w:r>
        <w:rPr>
          <w:rFonts w:ascii="Book Antiqua" w:eastAsia="Book Antiqua" w:hAnsi="Book Antiqua" w:cs="Book Antiqua"/>
          <w:color w:val="000000"/>
        </w:rPr>
        <w:t>, Devaki P, Ha NB,</w:t>
      </w:r>
      <w:r>
        <w:rPr>
          <w:rFonts w:ascii="Book Antiqua" w:eastAsia="Book Antiqua" w:hAnsi="Book Antiqua" w:cs="Book Antiqua"/>
          <w:color w:val="000000"/>
        </w:rPr>
        <w:t xml:space="preserve"> Jun DW, Te HS, Cheung RC, Nguyen MH. Prevalence of non-alcoholic fatty liver disease and risk factors for advanced fibrosis and mortality in the United States.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e0173499 [PMID: 28346543 DOI: 10.1371/journal.pone.0173499]</w:t>
      </w:r>
    </w:p>
    <w:p w:rsidR="00323A99" w:rsidRDefault="00616AB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Machado MV</w:t>
      </w:r>
      <w:r>
        <w:rPr>
          <w:rFonts w:ascii="Book Antiqua" w:eastAsia="Book Antiqua" w:hAnsi="Book Antiqua" w:cs="Book Antiqua"/>
          <w:color w:val="000000"/>
        </w:rPr>
        <w:t>, Co</w:t>
      </w:r>
      <w:r>
        <w:rPr>
          <w:rFonts w:ascii="Book Antiqua" w:eastAsia="Book Antiqua" w:hAnsi="Book Antiqua" w:cs="Book Antiqua"/>
          <w:color w:val="000000"/>
        </w:rPr>
        <w:t xml:space="preserve">rtez-Pinto H. Non-alcoholic fatty liver disease: what the clinician needs to know.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12956-12980 [PMID: 25278691 DOI: 10.3748/wjg.v20.i36.12956]</w:t>
      </w:r>
    </w:p>
    <w:p w:rsidR="00323A99" w:rsidRDefault="00616AB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Shabanzadeh DM</w:t>
      </w:r>
      <w:r>
        <w:rPr>
          <w:rFonts w:ascii="Book Antiqua" w:eastAsia="Book Antiqua" w:hAnsi="Book Antiqua" w:cs="Book Antiqua"/>
          <w:color w:val="000000"/>
        </w:rPr>
        <w:t xml:space="preserve">. Incidence of gallstone disease and complications. </w:t>
      </w:r>
      <w:r>
        <w:rPr>
          <w:rFonts w:ascii="Book Antiqua" w:eastAsia="Book Antiqua" w:hAnsi="Book Antiqua" w:cs="Book Antiqua"/>
          <w:i/>
          <w:iCs/>
          <w:color w:val="000000"/>
        </w:rPr>
        <w:t xml:space="preserve">Curr Opin </w:t>
      </w:r>
      <w:r>
        <w:rPr>
          <w:rFonts w:ascii="Book Antiqua" w:eastAsia="Book Antiqua" w:hAnsi="Book Antiqua" w:cs="Book Antiqua"/>
          <w:i/>
          <w:iCs/>
          <w:color w:val="000000"/>
        </w:rPr>
        <w:t>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81-89 [PMID: 29256915 DOI: 10.1097/MOG.0000000000000418]</w:t>
      </w:r>
    </w:p>
    <w:p w:rsidR="00323A99" w:rsidRDefault="00616AB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Ahmed MH</w:t>
      </w:r>
      <w:r>
        <w:rPr>
          <w:rFonts w:ascii="Book Antiqua" w:eastAsia="Book Antiqua" w:hAnsi="Book Antiqua" w:cs="Book Antiqua"/>
          <w:color w:val="000000"/>
        </w:rPr>
        <w:t xml:space="preserve">, Ali A. Nonalcoholic fatty liver disease and cholesterol gallstones: which comes first?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521-527 [PMID: 24646400 DOI: 10.3109/0036552</w:t>
      </w:r>
      <w:r>
        <w:rPr>
          <w:rFonts w:ascii="Book Antiqua" w:eastAsia="Book Antiqua" w:hAnsi="Book Antiqua" w:cs="Book Antiqua"/>
          <w:color w:val="000000"/>
        </w:rPr>
        <w:t>1.2014.894119]</w:t>
      </w:r>
    </w:p>
    <w:p w:rsidR="00323A99" w:rsidRDefault="00616AB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Ruhl CE</w:t>
      </w:r>
      <w:r>
        <w:rPr>
          <w:rFonts w:ascii="Book Antiqua" w:eastAsia="Book Antiqua" w:hAnsi="Book Antiqua" w:cs="Book Antiqua"/>
          <w:color w:val="000000"/>
        </w:rPr>
        <w:t xml:space="preserve">, Everhart JE. Relationship of non-alcoholic fatty liver disease with cholecystectomy in the US population.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952-958 [PMID: 23545713 DOI: 10.1038/ajg.2013.70]</w:t>
      </w:r>
    </w:p>
    <w:p w:rsidR="00323A99" w:rsidRPr="003766B0" w:rsidRDefault="00616AB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Kakati D</w:t>
      </w:r>
      <w:r>
        <w:rPr>
          <w:rFonts w:ascii="Book Antiqua" w:eastAsia="Book Antiqua" w:hAnsi="Book Antiqua" w:cs="Book Antiqua"/>
          <w:color w:val="000000"/>
        </w:rPr>
        <w:t xml:space="preserve">, Kumar U, Russ K, Shoreibah M, Kuo YF, Jackson B, Singal AK. Cholecystectomy does not worsen progression or outcomes in non-alcoholic fatty liver disease. </w:t>
      </w:r>
      <w:r>
        <w:rPr>
          <w:rFonts w:ascii="Book Antiqua" w:eastAsia="Book Antiqua" w:hAnsi="Book Antiqua" w:cs="Book Antiqua"/>
          <w:i/>
          <w:iCs/>
          <w:color w:val="000000"/>
        </w:rPr>
        <w:t>Transl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3 [PMID: 32190771 DOI: </w:t>
      </w:r>
      <w:r w:rsidRPr="003766B0">
        <w:rPr>
          <w:rFonts w:ascii="Book Antiqua" w:eastAsia="Book Antiqua" w:hAnsi="Book Antiqua" w:cs="Book Antiqua"/>
          <w:color w:val="000000"/>
        </w:rPr>
        <w:t>10.21037/tgh.2019.09.03]</w:t>
      </w:r>
    </w:p>
    <w:p w:rsidR="00323A99" w:rsidRPr="003766B0" w:rsidRDefault="00616ABD">
      <w:pPr>
        <w:spacing w:line="360" w:lineRule="auto"/>
        <w:jc w:val="both"/>
      </w:pPr>
      <w:r w:rsidRPr="003766B0">
        <w:rPr>
          <w:rFonts w:ascii="Book Antiqua" w:eastAsia="Book Antiqua" w:hAnsi="Book Antiqua" w:cs="Book Antiqua"/>
          <w:color w:val="000000"/>
        </w:rPr>
        <w:t xml:space="preserve">8 </w:t>
      </w:r>
      <w:r w:rsidRPr="003766B0">
        <w:rPr>
          <w:rFonts w:ascii="Book Antiqua" w:eastAsia="Book Antiqua" w:hAnsi="Book Antiqua" w:cs="Book Antiqua"/>
          <w:b/>
          <w:bCs/>
          <w:color w:val="000000"/>
        </w:rPr>
        <w:t>Healthcare c</w:t>
      </w:r>
      <w:r w:rsidRPr="003766B0">
        <w:rPr>
          <w:rFonts w:ascii="Book Antiqua" w:eastAsia="Book Antiqua" w:hAnsi="Book Antiqua" w:cs="Book Antiqua"/>
          <w:b/>
          <w:bCs/>
          <w:color w:val="000000"/>
        </w:rPr>
        <w:t>ost and utilization Project</w:t>
      </w:r>
      <w:r w:rsidRPr="003766B0">
        <w:rPr>
          <w:rFonts w:ascii="Book Antiqua" w:eastAsia="Book Antiqua" w:hAnsi="Book Antiqua" w:cs="Book Antiqua"/>
          <w:color w:val="000000"/>
        </w:rPr>
        <w:t>. NIS Database Documentation. (cited March 31 2020). Available from: https://www.hcup-us.ahrq.gov/db/nation/nis/nisdbdocumentation.jsp</w:t>
      </w:r>
    </w:p>
    <w:p w:rsidR="00323A99" w:rsidRPr="003766B0" w:rsidRDefault="00616ABD">
      <w:pPr>
        <w:spacing w:line="360" w:lineRule="auto"/>
        <w:jc w:val="both"/>
      </w:pPr>
      <w:r w:rsidRPr="003766B0">
        <w:rPr>
          <w:rFonts w:ascii="Book Antiqua" w:eastAsia="Book Antiqua" w:hAnsi="Book Antiqua" w:cs="Book Antiqua"/>
          <w:color w:val="000000"/>
        </w:rPr>
        <w:t xml:space="preserve">9 </w:t>
      </w:r>
      <w:r w:rsidRPr="003766B0">
        <w:rPr>
          <w:rFonts w:ascii="Book Antiqua" w:eastAsia="Book Antiqua" w:hAnsi="Book Antiqua" w:cs="Book Antiqua"/>
          <w:b/>
          <w:bCs/>
          <w:color w:val="000000"/>
        </w:rPr>
        <w:t>Healthcare Cost and Utilization Project</w:t>
      </w:r>
      <w:r w:rsidRPr="003766B0">
        <w:rPr>
          <w:rFonts w:ascii="Book Antiqua" w:eastAsia="Book Antiqua" w:hAnsi="Book Antiqua" w:cs="Book Antiqua"/>
          <w:color w:val="000000"/>
        </w:rPr>
        <w:t>. Overview of the National (Nationwide) Inpatient Sam</w:t>
      </w:r>
      <w:r w:rsidRPr="003766B0">
        <w:rPr>
          <w:rFonts w:ascii="Book Antiqua" w:eastAsia="Book Antiqua" w:hAnsi="Book Antiqua" w:cs="Book Antiqua"/>
          <w:color w:val="000000"/>
        </w:rPr>
        <w:t>ple (NIS). (cited March 31 2020). Available from: https://www.hcup-us.ahrq.gov/nisoverview.jsp</w:t>
      </w:r>
    </w:p>
    <w:p w:rsidR="00323A99" w:rsidRPr="003766B0" w:rsidRDefault="00616ABD">
      <w:pPr>
        <w:spacing w:line="360" w:lineRule="auto"/>
        <w:jc w:val="both"/>
      </w:pPr>
      <w:r w:rsidRPr="003766B0">
        <w:rPr>
          <w:rFonts w:ascii="Book Antiqua" w:eastAsia="Book Antiqua" w:hAnsi="Book Antiqua" w:cs="Book Antiqua"/>
          <w:color w:val="000000"/>
        </w:rPr>
        <w:t xml:space="preserve">10 </w:t>
      </w:r>
      <w:r w:rsidRPr="003766B0">
        <w:rPr>
          <w:rFonts w:ascii="Book Antiqua" w:eastAsia="Book Antiqua" w:hAnsi="Book Antiqua" w:cs="Book Antiqua"/>
          <w:b/>
          <w:bCs/>
          <w:color w:val="000000"/>
        </w:rPr>
        <w:t>Healthcare Cost and Utilization Project</w:t>
      </w:r>
      <w:r w:rsidRPr="003766B0">
        <w:rPr>
          <w:rFonts w:ascii="Book Antiqua" w:eastAsia="Book Antiqua" w:hAnsi="Book Antiqua" w:cs="Book Antiqua"/>
          <w:color w:val="000000"/>
        </w:rPr>
        <w:t>. Healthcare Cost and Utilization Project Data Use Agreement Course. (cited March 25 2020). Available from: https://www</w:t>
      </w:r>
      <w:r w:rsidRPr="003766B0">
        <w:rPr>
          <w:rFonts w:ascii="Book Antiqua" w:eastAsia="Book Antiqua" w:hAnsi="Book Antiqua" w:cs="Book Antiqua"/>
          <w:color w:val="000000"/>
        </w:rPr>
        <w:t>.hcup-us.ahrq.gov/DUA/dua_508/DUA508version.jsp</w:t>
      </w:r>
    </w:p>
    <w:p w:rsidR="00323A99" w:rsidRDefault="00616ABD">
      <w:pPr>
        <w:spacing w:line="360" w:lineRule="auto"/>
        <w:jc w:val="both"/>
      </w:pPr>
      <w:r w:rsidRPr="003766B0">
        <w:rPr>
          <w:rFonts w:ascii="Book Antiqua" w:eastAsia="Book Antiqua" w:hAnsi="Book Antiqua" w:cs="Book Antiqua"/>
          <w:color w:val="000000"/>
        </w:rPr>
        <w:t xml:space="preserve">11 </w:t>
      </w:r>
      <w:r w:rsidRPr="003766B0">
        <w:rPr>
          <w:rFonts w:ascii="Book Antiqua" w:eastAsia="Book Antiqua" w:hAnsi="Book Antiqua" w:cs="Book Antiqua"/>
          <w:b/>
          <w:bCs/>
          <w:color w:val="000000"/>
        </w:rPr>
        <w:t>Amigo L</w:t>
      </w:r>
      <w:r w:rsidRPr="003766B0">
        <w:rPr>
          <w:rFonts w:ascii="Book Antiqua" w:eastAsia="Book Antiqua" w:hAnsi="Book Antiqua" w:cs="Book Antiqua"/>
          <w:color w:val="000000"/>
        </w:rPr>
        <w:t xml:space="preserve">, Husche C, Zanlungo S, Lütjohann D, Arrese M, Miquel JF, Rigotti A, Nervi F. Cholecystectomy increases hepatic triglyceride content and very-low-density lipoproteins production in mice. </w:t>
      </w:r>
      <w:r w:rsidRPr="003766B0">
        <w:rPr>
          <w:rFonts w:ascii="Book Antiqua" w:eastAsia="Book Antiqua" w:hAnsi="Book Antiqua" w:cs="Book Antiqua"/>
          <w:i/>
          <w:iCs/>
          <w:color w:val="000000"/>
        </w:rPr>
        <w:t>Liver Int</w:t>
      </w:r>
      <w:r w:rsidRPr="003766B0">
        <w:rPr>
          <w:rFonts w:ascii="Book Antiqua" w:eastAsia="Book Antiqua" w:hAnsi="Book Antiqua" w:cs="Book Antiqua"/>
          <w:color w:val="000000"/>
        </w:rPr>
        <w:t xml:space="preserve"> 2</w:t>
      </w:r>
      <w:r w:rsidRPr="003766B0">
        <w:rPr>
          <w:rFonts w:ascii="Book Antiqua" w:eastAsia="Book Antiqua" w:hAnsi="Book Antiqua" w:cs="Book Antiqua"/>
          <w:color w:val="000000"/>
        </w:rPr>
        <w:t xml:space="preserve">011; </w:t>
      </w:r>
      <w:r w:rsidRPr="003766B0">
        <w:rPr>
          <w:rFonts w:ascii="Book Antiqua" w:eastAsia="Book Antiqua" w:hAnsi="Book Antiqua" w:cs="Book Antiqua"/>
          <w:b/>
          <w:bCs/>
          <w:color w:val="000000"/>
        </w:rPr>
        <w:t>31</w:t>
      </w:r>
      <w:r w:rsidRPr="003766B0">
        <w:rPr>
          <w:rFonts w:ascii="Book Antiqua" w:eastAsia="Book Antiqua" w:hAnsi="Book Antiqua" w:cs="Book Antiqua"/>
          <w:color w:val="000000"/>
        </w:rPr>
        <w:t>:</w:t>
      </w:r>
      <w:r>
        <w:rPr>
          <w:rFonts w:ascii="Book Antiqua" w:eastAsia="Book Antiqua" w:hAnsi="Book Antiqua" w:cs="Book Antiqua"/>
          <w:color w:val="000000"/>
        </w:rPr>
        <w:t xml:space="preserve"> 52-64 [PMID: 21040411 DOI: 10.1111/j.1478-3231.2010.02361.x]</w:t>
      </w:r>
    </w:p>
    <w:p w:rsidR="00323A99" w:rsidRDefault="00616AB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J</w:t>
      </w:r>
      <w:r>
        <w:rPr>
          <w:rFonts w:ascii="Book Antiqua" w:eastAsia="Book Antiqua" w:hAnsi="Book Antiqua" w:cs="Book Antiqua"/>
          <w:color w:val="000000"/>
        </w:rPr>
        <w:t>, Lin H, Zhang C, Wang L, Wu S, Zhang D, Tang F, Xue F, Liu Y. Non-alcoholic fatty liver disease associated with gallstones in females rather than males: a longitudinal cohort st</w:t>
      </w:r>
      <w:r>
        <w:rPr>
          <w:rFonts w:ascii="Book Antiqua" w:eastAsia="Book Antiqua" w:hAnsi="Book Antiqua" w:cs="Book Antiqua"/>
          <w:color w:val="000000"/>
        </w:rPr>
        <w:t xml:space="preserve">udy in Chinese urban population.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213 [PMID: 25496394 DOI: 10.1186/s12876-014-0213-y]</w:t>
      </w:r>
    </w:p>
    <w:p w:rsidR="00323A99" w:rsidRDefault="00616AB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Fracanzani AL</w:t>
      </w:r>
      <w:r>
        <w:rPr>
          <w:rFonts w:ascii="Book Antiqua" w:eastAsia="Book Antiqua" w:hAnsi="Book Antiqua" w:cs="Book Antiqua"/>
          <w:color w:val="000000"/>
        </w:rPr>
        <w:t>, Valenti L, Russello M, Miele L, Bertelli C, Bellia A, Masetti C, Cefalo C, Grieco A, Marchesini G, Fargion S. Gallstone disea</w:t>
      </w:r>
      <w:r>
        <w:rPr>
          <w:rFonts w:ascii="Book Antiqua" w:eastAsia="Book Antiqua" w:hAnsi="Book Antiqua" w:cs="Book Antiqua"/>
          <w:color w:val="000000"/>
        </w:rPr>
        <w:t xml:space="preserve">se is associated with more severe liver damage in patients with non-alcoholic fatty liver disease.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e41183 [PMID: 22848440 DOI: 10.1371/journal.pone.0041183]</w:t>
      </w:r>
    </w:p>
    <w:p w:rsidR="00323A99" w:rsidRDefault="00616AB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Zweers SJ</w:t>
      </w:r>
      <w:r>
        <w:rPr>
          <w:rFonts w:ascii="Book Antiqua" w:eastAsia="Book Antiqua" w:hAnsi="Book Antiqua" w:cs="Book Antiqua"/>
          <w:color w:val="000000"/>
        </w:rPr>
        <w:t xml:space="preserve">, Booij KA, Komuta M, Roskams T, Gouma DJ, Jansen PL, Schaap FG. The </w:t>
      </w:r>
      <w:r>
        <w:rPr>
          <w:rFonts w:ascii="Book Antiqua" w:eastAsia="Book Antiqua" w:hAnsi="Book Antiqua" w:cs="Book Antiqua"/>
          <w:color w:val="000000"/>
        </w:rPr>
        <w:t xml:space="preserve">human gallbladder secretes fibroblast growth factor 19 into bile: towards defining the role of fibroblast growth factor 19 in the enterobiliary tract.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575-583 [PMID: 21953282 DOI: 10.1002/hep.24702]</w:t>
      </w:r>
    </w:p>
    <w:p w:rsidR="00323A99" w:rsidRDefault="00616AB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Bhatnagar S</w:t>
      </w:r>
      <w:r>
        <w:rPr>
          <w:rFonts w:ascii="Book Antiqua" w:eastAsia="Book Antiqua" w:hAnsi="Book Antiqua" w:cs="Book Antiqua"/>
          <w:color w:val="000000"/>
        </w:rPr>
        <w:t>, Damron HA, Hillgartn</w:t>
      </w:r>
      <w:r>
        <w:rPr>
          <w:rFonts w:ascii="Book Antiqua" w:eastAsia="Book Antiqua" w:hAnsi="Book Antiqua" w:cs="Book Antiqua"/>
          <w:color w:val="000000"/>
        </w:rPr>
        <w:t xml:space="preserve">er FB. Fibroblast growth factor-19, a novel factor that inhibits hepatic fatty acid synthesis.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10023-10033 [PMID: 19233843 DOI: 10.1074/jbc.M808818200]</w:t>
      </w:r>
    </w:p>
    <w:p w:rsidR="00323A99" w:rsidRDefault="00616AB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Barrera F</w:t>
      </w:r>
      <w:r>
        <w:rPr>
          <w:rFonts w:ascii="Book Antiqua" w:eastAsia="Book Antiqua" w:hAnsi="Book Antiqua" w:cs="Book Antiqua"/>
          <w:color w:val="000000"/>
        </w:rPr>
        <w:t xml:space="preserve">, Azócar L, Molina H, Schalper KA, Ocares M, Liberona J, Villarroel L, Pimentel F, Pérez-Ayuso RM, Nervi F, Groen AK, Miquel JF. Effect of cholecystectomy on bile acid synthesis and circulating levels of fibroblast growth factor 19.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7</w:t>
      </w:r>
      <w:r>
        <w:rPr>
          <w:rFonts w:ascii="Book Antiqua" w:eastAsia="Book Antiqua" w:hAnsi="Book Antiqua" w:cs="Book Antiqua"/>
          <w:color w:val="000000"/>
        </w:rPr>
        <w:t>10-721 [PMID: 26256900</w:t>
      </w:r>
      <w:r>
        <w:rPr>
          <w:rFonts w:ascii="Book Antiqua" w:eastAsia="Book Antiqua" w:hAnsi="Book Antiqua" w:cs="Book Antiqua" w:hint="eastAsia"/>
          <w:color w:val="000000"/>
        </w:rPr>
        <w:t xml:space="preserve"> DOI: 10.1016/S1665-2681(19)30766-5</w:t>
      </w:r>
      <w:r>
        <w:rPr>
          <w:rFonts w:ascii="Book Antiqua" w:eastAsia="Book Antiqua" w:hAnsi="Book Antiqua" w:cs="Book Antiqua"/>
          <w:color w:val="000000"/>
        </w:rPr>
        <w:t>]</w:t>
      </w:r>
    </w:p>
    <w:p w:rsidR="00323A99" w:rsidRDefault="00616AB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rPr>
        <w:t>Ballestri S</w:t>
      </w:r>
      <w:r>
        <w:rPr>
          <w:rFonts w:ascii="Book Antiqua" w:eastAsia="Book Antiqua" w:hAnsi="Book Antiqua" w:cs="Book Antiqua"/>
        </w:rPr>
        <w:t>, Nascimbeni F, Baldelli E, Marrazzo A, Romagnoli D, Lonardo A. NAFLD as a Sexual Dimorphic Disease: Role of Gender and Reproductive Status in the Development and Progression of Nonal</w:t>
      </w:r>
      <w:r>
        <w:rPr>
          <w:rFonts w:ascii="Book Antiqua" w:eastAsia="Book Antiqua" w:hAnsi="Book Antiqua" w:cs="Book Antiqua"/>
        </w:rPr>
        <w:t xml:space="preserve">coholic Fatty Liver Disease and Inherent Cardiovascular Risk. </w:t>
      </w:r>
      <w:r>
        <w:rPr>
          <w:rFonts w:ascii="Book Antiqua" w:eastAsia="Book Antiqua" w:hAnsi="Book Antiqua" w:cs="Book Antiqua"/>
          <w:i/>
          <w:iCs/>
        </w:rPr>
        <w:t>Adv Ther</w:t>
      </w:r>
      <w:r>
        <w:rPr>
          <w:rFonts w:ascii="Book Antiqua" w:eastAsia="Book Antiqua" w:hAnsi="Book Antiqua" w:cs="Book Antiqua"/>
        </w:rPr>
        <w:t xml:space="preserve"> 2017; </w:t>
      </w:r>
      <w:r>
        <w:rPr>
          <w:rFonts w:ascii="Book Antiqua" w:eastAsia="Book Antiqua" w:hAnsi="Book Antiqua" w:cs="Book Antiqua"/>
          <w:b/>
          <w:bCs/>
        </w:rPr>
        <w:t>34</w:t>
      </w:r>
      <w:r>
        <w:rPr>
          <w:rFonts w:ascii="Book Antiqua" w:eastAsia="Book Antiqua" w:hAnsi="Book Antiqua" w:cs="Book Antiqua"/>
        </w:rPr>
        <w:t>: 1291-1326 [PMID: 28526997 DOI: 10.1007/s12325-017-0556-1]</w:t>
      </w:r>
    </w:p>
    <w:p w:rsidR="00323A99" w:rsidRDefault="00616AB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Pan JJ</w:t>
      </w:r>
      <w:r>
        <w:rPr>
          <w:rFonts w:ascii="Book Antiqua" w:eastAsia="Book Antiqua" w:hAnsi="Book Antiqua" w:cs="Book Antiqua"/>
          <w:color w:val="000000"/>
        </w:rPr>
        <w:t xml:space="preserve">, Fallon MB. Gender and racial differences in nonalcoholic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274</w:t>
      </w:r>
      <w:r>
        <w:rPr>
          <w:rFonts w:ascii="Book Antiqua" w:eastAsia="Book Antiqua" w:hAnsi="Book Antiqua" w:cs="Book Antiqua"/>
          <w:color w:val="000000"/>
        </w:rPr>
        <w:t>-283 [PMID: 24868321 DOI: 10.4254/wjh.v6.i5.274]</w:t>
      </w:r>
    </w:p>
    <w:p w:rsidR="00323A99" w:rsidRDefault="00616AB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Stepanova M, Negro F, Hallaji S, Younossi Y, Lam B, Srishord M. Nonalcoholic fatty liver disease in lean individuals in the United States.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319-327 [PMID: 231178</w:t>
      </w:r>
      <w:r>
        <w:rPr>
          <w:rFonts w:ascii="Book Antiqua" w:eastAsia="Book Antiqua" w:hAnsi="Book Antiqua" w:cs="Book Antiqua"/>
          <w:color w:val="000000"/>
        </w:rPr>
        <w:t>51 DOI: 10.1097/MD.0b013e3182779d49]</w:t>
      </w:r>
    </w:p>
    <w:p w:rsidR="00323A99" w:rsidRDefault="00616AB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Summart U</w:t>
      </w:r>
      <w:r>
        <w:rPr>
          <w:rFonts w:ascii="Book Antiqua" w:eastAsia="Book Antiqua" w:hAnsi="Book Antiqua" w:cs="Book Antiqua"/>
          <w:color w:val="000000"/>
        </w:rPr>
        <w:t>, Thinkhamrop B, Chamadol N, Khuntikeo N, Songthamwat M, Kim CS. Gender differences in the prevalence of nonalcoholic fatty liver disease in the Northeast of Thailand: A population-based cross-sectional stud</w:t>
      </w:r>
      <w:r>
        <w:rPr>
          <w:rFonts w:ascii="Book Antiqua" w:eastAsia="Book Antiqua" w:hAnsi="Book Antiqua" w:cs="Book Antiqua"/>
          <w:color w:val="000000"/>
        </w:rPr>
        <w:t xml:space="preserve">y.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1630 [PMID: 29093809 DOI: 10.12688/f1000research.12417.2]</w:t>
      </w:r>
    </w:p>
    <w:p w:rsidR="00323A99" w:rsidRDefault="00616AB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Turola E</w:t>
      </w:r>
      <w:r>
        <w:rPr>
          <w:rFonts w:ascii="Book Antiqua" w:eastAsia="Book Antiqua" w:hAnsi="Book Antiqua" w:cs="Book Antiqua"/>
          <w:color w:val="000000"/>
        </w:rPr>
        <w:t>, Petta S, Vanni E, Milosa F, Valenti L, Critelli R, Miele L, Maccio L, Calvaruso V, Fracanzani AL, Bianchini M, Raos N, Bugianesi E, Mercorella S, Di Giovanni M, Cra</w:t>
      </w:r>
      <w:r>
        <w:rPr>
          <w:rFonts w:ascii="Book Antiqua" w:eastAsia="Book Antiqua" w:hAnsi="Book Antiqua" w:cs="Book Antiqua"/>
          <w:color w:val="000000"/>
        </w:rPr>
        <w:t xml:space="preserve">xì A, Fargion S, Grieco A, Cammà C, Cotelli F, Villa E. Ovarian senescence increases liver fibrosis in humans and zebrafish with steatosis.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1037-1046 [PMID: 26183212 DOI: 10.1242/dmm.019950]</w:t>
      </w:r>
    </w:p>
    <w:p w:rsidR="00323A99" w:rsidRDefault="00616AB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Singh S</w:t>
      </w:r>
      <w:r>
        <w:rPr>
          <w:rFonts w:ascii="Book Antiqua" w:eastAsia="Book Antiqua" w:hAnsi="Book Antiqua" w:cs="Book Antiqua"/>
          <w:color w:val="000000"/>
        </w:rPr>
        <w:t>, Kuftinec GN, Sarkar S. Non-al</w:t>
      </w:r>
      <w:r>
        <w:rPr>
          <w:rFonts w:ascii="Book Antiqua" w:eastAsia="Book Antiqua" w:hAnsi="Book Antiqua" w:cs="Book Antiqua"/>
          <w:color w:val="000000"/>
        </w:rPr>
        <w:t xml:space="preserve">coholic Fatty Liver Disease in South Asians: A Review of the Literature.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76-81 [PMID: 28507930 DOI: 10.14218/JCTH.2016.00045]</w:t>
      </w:r>
    </w:p>
    <w:p w:rsidR="00323A99" w:rsidRDefault="00616AB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Dharmalingam M</w:t>
      </w:r>
      <w:r>
        <w:rPr>
          <w:rFonts w:ascii="Book Antiqua" w:eastAsia="Book Antiqua" w:hAnsi="Book Antiqua" w:cs="Book Antiqua"/>
          <w:color w:val="000000"/>
        </w:rPr>
        <w:t xml:space="preserve">, Yamasandhi PG. Nonalcoholic Fatty Liver Disease and Type 2 Diabetes Mellitus. </w:t>
      </w:r>
      <w:r>
        <w:rPr>
          <w:rFonts w:ascii="Book Antiqua" w:eastAsia="Book Antiqua" w:hAnsi="Book Antiqua" w:cs="Book Antiqua"/>
          <w:i/>
          <w:iCs/>
          <w:color w:val="000000"/>
        </w:rPr>
        <w:t>Indian J Endocrinol Metab</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421-428 [PMID: 30090738 DOI: 10.4103/ijem.IJEM_585_17]</w:t>
      </w:r>
    </w:p>
    <w:p w:rsidR="00323A99" w:rsidRDefault="00616AB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Yki-Järvinen H</w:t>
      </w:r>
      <w:r>
        <w:rPr>
          <w:rFonts w:ascii="Book Antiqua" w:eastAsia="Book Antiqua" w:hAnsi="Book Antiqua" w:cs="Book Antiqua"/>
          <w:color w:val="000000"/>
        </w:rPr>
        <w:t xml:space="preserve">. Non-alcoholic fatty liver disease as a cause and a consequence of metabolic syndrome.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xml:space="preserve">: 901-910 [PMID: 24731669 </w:t>
      </w:r>
      <w:r>
        <w:rPr>
          <w:rFonts w:ascii="Book Antiqua" w:eastAsia="Book Antiqua" w:hAnsi="Book Antiqua" w:cs="Book Antiqua"/>
          <w:color w:val="000000"/>
        </w:rPr>
        <w:t>DOI: 10.1016/S2213-8587(14)70032-4]</w:t>
      </w:r>
    </w:p>
    <w:p w:rsidR="00323A99" w:rsidRDefault="00616AB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Mendez-Sanchez N</w:t>
      </w:r>
      <w:r>
        <w:rPr>
          <w:rFonts w:ascii="Book Antiqua" w:eastAsia="Book Antiqua" w:hAnsi="Book Antiqua" w:cs="Book Antiqua"/>
          <w:color w:val="000000"/>
        </w:rPr>
        <w:t xml:space="preserve">, Cruz-Ramon VC, Ramirez-Perez OL, Hwang JP, Barranco-Fragoso B, Cordova-Gallardo J. New Aspects of Lipotoxicity in Nonalcoholic Steatohepatitis.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30011790 DOI: 10.3390/ijm</w:t>
      </w:r>
      <w:r>
        <w:rPr>
          <w:rFonts w:ascii="Book Antiqua" w:eastAsia="Book Antiqua" w:hAnsi="Book Antiqua" w:cs="Book Antiqua"/>
          <w:color w:val="000000"/>
        </w:rPr>
        <w:t>s19072034]</w:t>
      </w:r>
    </w:p>
    <w:p w:rsidR="00323A99" w:rsidRDefault="00616AB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Speliotes EK</w:t>
      </w:r>
      <w:r>
        <w:rPr>
          <w:rFonts w:ascii="Book Antiqua" w:eastAsia="Book Antiqua" w:hAnsi="Book Antiqua" w:cs="Book Antiqua"/>
          <w:color w:val="000000"/>
        </w:rPr>
        <w:t xml:space="preserve">, Massaro JM, Hoffmann U, Vasan RS, Meigs JB, Sahani DV, Hirschhorn JN, O'Donnell CJ, Fox CS. Fatty liver is associated with dyslipidemia and dysglycemia independent of visceral fat: the Framingham Heart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1979-1987 [PMID: 20336705 DOI: 10.1002/hep.23593]</w:t>
      </w:r>
    </w:p>
    <w:p w:rsidR="00323A99" w:rsidRDefault="00616AB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Wong RJ</w:t>
      </w:r>
      <w:r>
        <w:rPr>
          <w:rFonts w:ascii="Book Antiqua" w:eastAsia="Book Antiqua" w:hAnsi="Book Antiqua" w:cs="Book Antiqua"/>
          <w:color w:val="000000"/>
        </w:rPr>
        <w:t xml:space="preserve">, Ahmed A. Obesity and non-alcoholic fatty liver disease: Disparate associations among Asian populations.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263-273 [PMID: 24868320 DOI: 10.4254/wjh.v6.i5.263]</w:t>
      </w:r>
    </w:p>
    <w:p w:rsidR="00323A99" w:rsidRDefault="00616AB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Oikonomo</w:t>
      </w:r>
      <w:r>
        <w:rPr>
          <w:rFonts w:ascii="Book Antiqua" w:eastAsia="Book Antiqua" w:hAnsi="Book Antiqua" w:cs="Book Antiqua"/>
          <w:b/>
          <w:bCs/>
          <w:color w:val="000000"/>
        </w:rPr>
        <w:t>u D</w:t>
      </w:r>
      <w:r>
        <w:rPr>
          <w:rFonts w:ascii="Book Antiqua" w:eastAsia="Book Antiqua" w:hAnsi="Book Antiqua" w:cs="Book Antiqua"/>
          <w:color w:val="000000"/>
        </w:rPr>
        <w:t xml:space="preserve">, Georgiopoulos G, Katsi V, Kourek C, Tsioufis C, Alexopoulou A, Koutli E, Tousoulis D. Non-alcoholic fatty liver disease and hypertension: coprevalent or correlated?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979-985 [PMID: 30048367 DOI: 10.1097/MEG.0000000</w:t>
      </w:r>
      <w:r>
        <w:rPr>
          <w:rFonts w:ascii="Book Antiqua" w:eastAsia="Book Antiqua" w:hAnsi="Book Antiqua" w:cs="Book Antiqua"/>
          <w:color w:val="000000"/>
        </w:rPr>
        <w:t>000001191]</w:t>
      </w:r>
    </w:p>
    <w:p w:rsidR="00323A99" w:rsidRDefault="00616AB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Akhavan Rezayat A</w:t>
      </w:r>
      <w:r>
        <w:rPr>
          <w:rFonts w:ascii="Book Antiqua" w:eastAsia="Book Antiqua" w:hAnsi="Book Antiqua" w:cs="Book Antiqua"/>
          <w:color w:val="000000"/>
        </w:rPr>
        <w:t>, Dadgar Moghadam M, Ghasemi Nour M, Shirazinia M, Ghodsi H, Rouhbakhsh Zahmatkesh MR, Tavakolizadeh Noghabi M, Hoseini B, Akhavan Rezayat K. Association between smoking and non-alcoholic fatty liver disease: A systematic rev</w:t>
      </w:r>
      <w:r>
        <w:rPr>
          <w:rFonts w:ascii="Book Antiqua" w:eastAsia="Book Antiqua" w:hAnsi="Book Antiqua" w:cs="Book Antiqua"/>
          <w:color w:val="000000"/>
        </w:rPr>
        <w:t xml:space="preserve">iew and meta-analysis. </w:t>
      </w:r>
      <w:r>
        <w:rPr>
          <w:rFonts w:ascii="Book Antiqua" w:eastAsia="Book Antiqua" w:hAnsi="Book Antiqua" w:cs="Book Antiqua"/>
          <w:i/>
          <w:iCs/>
          <w:color w:val="000000"/>
        </w:rPr>
        <w:t>SAGE Open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2050312117745223 [PMID: 29399359 DOI: 10.1177/2050312117745223]</w:t>
      </w:r>
    </w:p>
    <w:p w:rsidR="00323A99" w:rsidRDefault="00616AB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Byrne CD</w:t>
      </w:r>
      <w:r>
        <w:rPr>
          <w:rFonts w:ascii="Book Antiqua" w:eastAsia="Book Antiqua" w:hAnsi="Book Antiqua" w:cs="Book Antiqua"/>
          <w:color w:val="000000"/>
        </w:rPr>
        <w:t xml:space="preserve">, Targher G. NAFLD: a multisystem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S47-S64 [PMID: 25920090 DOI: 10.1016/j.jhep.2014.12.012]</w:t>
      </w:r>
    </w:p>
    <w:p w:rsidR="00323A99" w:rsidRDefault="00616AB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Chalasani N</w:t>
      </w:r>
      <w:r>
        <w:rPr>
          <w:rFonts w:ascii="Book Antiqua" w:eastAsia="Book Antiqua" w:hAnsi="Book Antiqua" w:cs="Book Antiqua"/>
          <w:color w:val="000000"/>
        </w:rPr>
        <w:t>,</w:t>
      </w:r>
      <w:r>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w:t>
      </w:r>
      <w:r>
        <w:rPr>
          <w:rFonts w:ascii="Book Antiqua" w:eastAsia="Book Antiqua" w:hAnsi="Book Antiqua" w:cs="Book Antiqua"/>
          <w:color w:val="000000"/>
        </w:rPr>
        <w:t xml:space="preserve"> 328-357 [PMID: 28714183 DOI: 10.1002/hep.29367]</w:t>
      </w:r>
    </w:p>
    <w:p w:rsidR="00323A99" w:rsidRDefault="00616AB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Promrat K</w:t>
      </w:r>
      <w:r>
        <w:rPr>
          <w:rFonts w:ascii="Book Antiqua" w:eastAsia="Book Antiqua" w:hAnsi="Book Antiqua" w:cs="Book Antiqua"/>
          <w:color w:val="000000"/>
        </w:rPr>
        <w:t xml:space="preserve">, Kleiner DE, Niemeier HM, Jackvony E, Kearns M, Wands JR, Fava JL, Wing RR. Randomized controlled trial testing the effects of weight loss on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xml:space="preserve">: </w:t>
      </w:r>
      <w:r>
        <w:rPr>
          <w:rFonts w:ascii="Book Antiqua" w:eastAsia="Book Antiqua" w:hAnsi="Book Antiqua" w:cs="Book Antiqua"/>
          <w:color w:val="000000"/>
        </w:rPr>
        <w:t>121-129 [PMID: 19827166 DOI: 10.1002/hep.23276]</w:t>
      </w:r>
    </w:p>
    <w:p w:rsidR="00323A99" w:rsidRDefault="00616AB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Marventano S</w:t>
      </w:r>
      <w:r>
        <w:rPr>
          <w:rFonts w:ascii="Book Antiqua" w:eastAsia="Book Antiqua" w:hAnsi="Book Antiqua" w:cs="Book Antiqua"/>
          <w:color w:val="000000"/>
        </w:rPr>
        <w:t>, Salomone F, Godos J, Pluchinotta F, Del Rio D, Mistretta A, Grosso G. Coffee and tea consumption in relation with non-alcoholic fatty liver and metabolic syndrome: A systematic review and met</w:t>
      </w:r>
      <w:r>
        <w:rPr>
          <w:rFonts w:ascii="Book Antiqua" w:eastAsia="Book Antiqua" w:hAnsi="Book Antiqua" w:cs="Book Antiqua"/>
          <w:color w:val="000000"/>
        </w:rPr>
        <w:t xml:space="preserve">a-analysis of observational studies.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1269-1281 [PMID: 27060021 DOI: 10.1016/j.clnu.2016.03.012]</w:t>
      </w:r>
    </w:p>
    <w:p w:rsidR="00323A99" w:rsidRDefault="00616AB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Bower G</w:t>
      </w:r>
      <w:r>
        <w:rPr>
          <w:rFonts w:ascii="Book Antiqua" w:eastAsia="Book Antiqua" w:hAnsi="Book Antiqua" w:cs="Book Antiqua"/>
          <w:color w:val="000000"/>
        </w:rPr>
        <w:t xml:space="preserve">, Toma T, Harling L, Jiao LR, Efthimiou E, Darzi A, Athanasiou T, Ashrafian H. Bariatric Surgery and Non-Alcoholic Fatty Liver Disease: a Systematic Review of Liver Biochemistry and Histology.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2280-2289 [PMID: 25917981 DOI: 10.1007/s116</w:t>
      </w:r>
      <w:r>
        <w:rPr>
          <w:rFonts w:ascii="Book Antiqua" w:eastAsia="Book Antiqua" w:hAnsi="Book Antiqua" w:cs="Book Antiqua"/>
          <w:color w:val="000000"/>
        </w:rPr>
        <w:t>95-015-1691-x]</w:t>
      </w:r>
    </w:p>
    <w:p w:rsidR="00323A99" w:rsidRDefault="00323A99">
      <w:pPr>
        <w:spacing w:line="360" w:lineRule="auto"/>
        <w:jc w:val="both"/>
        <w:sectPr w:rsidR="00323A99">
          <w:pgSz w:w="12240" w:h="15840"/>
          <w:pgMar w:top="1440" w:right="1440" w:bottom="1440" w:left="1440" w:header="720" w:footer="720" w:gutter="0"/>
          <w:cols w:space="720"/>
          <w:docGrid w:linePitch="360"/>
        </w:sectPr>
      </w:pPr>
    </w:p>
    <w:p w:rsidR="00323A99" w:rsidRDefault="00616ABD">
      <w:pPr>
        <w:spacing w:line="360" w:lineRule="auto"/>
        <w:jc w:val="both"/>
      </w:pPr>
      <w:r>
        <w:rPr>
          <w:rFonts w:ascii="Book Antiqua" w:eastAsia="Book Antiqua" w:hAnsi="Book Antiqua" w:cs="Book Antiqua"/>
          <w:b/>
          <w:color w:val="000000"/>
        </w:rPr>
        <w:t>Footnotes</w:t>
      </w:r>
    </w:p>
    <w:p w:rsidR="00323A99" w:rsidRDefault="00616AB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presented in the current manuscript, which utilizes data from the Health Cost and Utilization Project, meets all relevant ethical and regulatory standards. These data, which w</w:t>
      </w:r>
      <w:r>
        <w:rPr>
          <w:rFonts w:ascii="Book Antiqua" w:eastAsia="Book Antiqua" w:hAnsi="Book Antiqua" w:cs="Book Antiqua"/>
          <w:color w:val="000000"/>
        </w:rPr>
        <w:t>ere received by the investigators completely deidentified, required a local data custodian, and all investigators who accessed the data completed HCUP appropriate data use training and signed data use agreements. As such, our use of the HCUP data met the C</w:t>
      </w:r>
      <w:r>
        <w:rPr>
          <w:rFonts w:ascii="Book Antiqua" w:eastAsia="Book Antiqua" w:hAnsi="Book Antiqua" w:cs="Book Antiqua"/>
          <w:color w:val="000000"/>
        </w:rPr>
        <w:t>entral Michigan University IRB policy that such data use is not human subjects research, and does not require their review or approval.</w:t>
      </w:r>
    </w:p>
    <w:p w:rsidR="00323A99" w:rsidRDefault="00323A99">
      <w:pPr>
        <w:spacing w:line="360" w:lineRule="auto"/>
        <w:jc w:val="both"/>
        <w:rPr>
          <w:rFonts w:ascii="Book Antiqua" w:eastAsia="Book Antiqua" w:hAnsi="Book Antiqua" w:cs="Book Antiqua"/>
          <w:color w:val="000000"/>
        </w:rPr>
      </w:pPr>
    </w:p>
    <w:p w:rsidR="00323A99" w:rsidRDefault="00616ABD">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shd w:val="clear" w:color="auto" w:fill="FFFFFF"/>
        </w:rPr>
        <w:t>Consent was not obtained but the presented data are anonymized and risk of identification i</w:t>
      </w:r>
      <w:r>
        <w:rPr>
          <w:rFonts w:ascii="Book Antiqua" w:eastAsia="Book Antiqua" w:hAnsi="Book Antiqua" w:cs="Book Antiqua"/>
          <w:color w:val="000000"/>
          <w:shd w:val="clear" w:color="auto" w:fill="FFFFFF"/>
        </w:rPr>
        <w:t>s low.</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The authors declare no potential conflicts of interest with respect to the research, authorship, and/or publication of this article. </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w:t>
      </w:r>
      <w:r>
        <w:rPr>
          <w:rFonts w:ascii="Book Antiqua" w:eastAsia="Book Antiqua" w:hAnsi="Book Antiqua" w:cs="Book Antiqua"/>
          <w:color w:val="000000"/>
          <w:shd w:val="clear" w:color="auto" w:fill="FFFFFF"/>
        </w:rPr>
        <w:t xml:space="preserve">le from the Supplementary Material. </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w:t>
      </w:r>
      <w:r>
        <w:rPr>
          <w:rFonts w:ascii="Book Antiqua" w:eastAsia="Book Antiqua" w:hAnsi="Book Antiqua" w:cs="Book Antiqua"/>
          <w:color w:val="000000"/>
        </w:rPr>
        <w:t>cial (CC BY-NC 4.0) license, which permits others to distribute, remix, adapt, build upon this work non-commercially, and license their derivative works on different terms, provided the original work is properly cited and the use is non-commercial. See: ht</w:t>
      </w:r>
      <w:r>
        <w:rPr>
          <w:rFonts w:ascii="Book Antiqua" w:eastAsia="Book Antiqua" w:hAnsi="Book Antiqua" w:cs="Book Antiqua"/>
          <w:color w:val="000000"/>
        </w:rPr>
        <w:t>tp://creativecommons.org/Licenses/by-nc/4.0/</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27, 2020</w:t>
      </w:r>
    </w:p>
    <w:p w:rsidR="00323A99" w:rsidRDefault="00616AB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rsidR="00323A99" w:rsidRDefault="00616ABD">
      <w:pPr>
        <w:spacing w:line="360" w:lineRule="auto"/>
        <w:jc w:val="both"/>
      </w:pPr>
      <w:r>
        <w:rPr>
          <w:rFonts w:ascii="Book Antiqua" w:eastAsia="Book Antiqua" w:hAnsi="Book Antiqua" w:cs="Book Antiqua"/>
          <w:b/>
          <w:color w:val="000000"/>
        </w:rPr>
        <w:t>Article in press:</w:t>
      </w:r>
      <w:r>
        <w:rPr>
          <w:rFonts w:ascii="Book Antiqua" w:eastAsia="Book Antiqua" w:hAnsi="Book Antiqua" w:cs="Book Antiqua"/>
          <w:bCs/>
          <w:color w:val="000000"/>
        </w:rPr>
        <w:t xml:space="preserve"> </w:t>
      </w:r>
      <w:r>
        <w:rPr>
          <w:rFonts w:ascii="Book Antiqua" w:eastAsia="Book Antiqua" w:hAnsi="Book Antiqua" w:cs="Book Antiqua" w:hint="eastAsia"/>
          <w:bCs/>
          <w:color w:val="000000"/>
        </w:rPr>
        <w:t>January 14, 2021</w:t>
      </w:r>
    </w:p>
    <w:p w:rsidR="00323A99" w:rsidRDefault="00323A99">
      <w:pPr>
        <w:spacing w:line="360" w:lineRule="auto"/>
        <w:jc w:val="both"/>
      </w:pPr>
    </w:p>
    <w:p w:rsidR="00323A99" w:rsidRDefault="00616AB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323A99" w:rsidRDefault="00616AB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323A99" w:rsidRDefault="00616ABD">
      <w:pPr>
        <w:spacing w:line="360" w:lineRule="auto"/>
        <w:jc w:val="both"/>
      </w:pPr>
      <w:r>
        <w:rPr>
          <w:rFonts w:ascii="Book Antiqua" w:eastAsia="Book Antiqua" w:hAnsi="Book Antiqua" w:cs="Book Antiqua"/>
          <w:b/>
          <w:color w:val="000000"/>
        </w:rPr>
        <w:t>Peer-review report’s scientific quality classification</w:t>
      </w:r>
    </w:p>
    <w:p w:rsidR="00323A99" w:rsidRDefault="00616ABD">
      <w:pPr>
        <w:spacing w:line="360" w:lineRule="auto"/>
        <w:jc w:val="both"/>
      </w:pPr>
      <w:r>
        <w:rPr>
          <w:rFonts w:ascii="Book Antiqua" w:eastAsia="Book Antiqua" w:hAnsi="Book Antiqua" w:cs="Book Antiqua"/>
          <w:color w:val="000000"/>
        </w:rPr>
        <w:t>Grade A (Excellent): 0</w:t>
      </w:r>
    </w:p>
    <w:p w:rsidR="00323A99" w:rsidRDefault="00616ABD">
      <w:pPr>
        <w:spacing w:line="360" w:lineRule="auto"/>
        <w:jc w:val="both"/>
      </w:pPr>
      <w:r>
        <w:rPr>
          <w:rFonts w:ascii="Book Antiqua" w:eastAsia="Book Antiqua" w:hAnsi="Book Antiqua" w:cs="Book Antiqua"/>
          <w:color w:val="000000"/>
        </w:rPr>
        <w:t>Grade B (Very good): B</w:t>
      </w:r>
    </w:p>
    <w:p w:rsidR="00323A99" w:rsidRDefault="00616ABD">
      <w:pPr>
        <w:spacing w:line="360" w:lineRule="auto"/>
        <w:jc w:val="both"/>
      </w:pPr>
      <w:r>
        <w:rPr>
          <w:rFonts w:ascii="Book Antiqua" w:eastAsia="Book Antiqua" w:hAnsi="Book Antiqua" w:cs="Book Antiqua"/>
          <w:color w:val="000000"/>
        </w:rPr>
        <w:t>Grade C (Good): C, C</w:t>
      </w:r>
    </w:p>
    <w:p w:rsidR="00323A99" w:rsidRDefault="00616ABD">
      <w:pPr>
        <w:spacing w:line="360" w:lineRule="auto"/>
        <w:jc w:val="both"/>
      </w:pPr>
      <w:r>
        <w:rPr>
          <w:rFonts w:ascii="Book Antiqua" w:eastAsia="Book Antiqua" w:hAnsi="Book Antiqua" w:cs="Book Antiqua"/>
          <w:color w:val="000000"/>
        </w:rPr>
        <w:t>Grade D (Fair): 0</w:t>
      </w:r>
    </w:p>
    <w:p w:rsidR="00323A99" w:rsidRDefault="00616ABD">
      <w:pPr>
        <w:spacing w:line="360" w:lineRule="auto"/>
        <w:jc w:val="both"/>
      </w:pPr>
      <w:r>
        <w:rPr>
          <w:rFonts w:ascii="Book Antiqua" w:eastAsia="Book Antiqua" w:hAnsi="Book Antiqua" w:cs="Book Antiqua"/>
          <w:color w:val="000000"/>
        </w:rPr>
        <w:t>Grade E (Poor): 0</w:t>
      </w:r>
    </w:p>
    <w:p w:rsidR="00323A99" w:rsidRDefault="00323A99">
      <w:pPr>
        <w:spacing w:line="360" w:lineRule="auto"/>
        <w:jc w:val="both"/>
      </w:pPr>
    </w:p>
    <w:p w:rsidR="00323A99" w:rsidRDefault="00616ABD">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Kanda T, Li CP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Yuan YY</w:t>
      </w:r>
    </w:p>
    <w:p w:rsidR="00323A99" w:rsidRDefault="00616AB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t>Table 1 Age- and sex-standardized characteristics of hospitalizations</w:t>
      </w:r>
    </w:p>
    <w:tbl>
      <w:tblPr>
        <w:tblW w:w="9198" w:type="dxa"/>
        <w:tblLook w:val="04A0" w:firstRow="1" w:lastRow="0" w:firstColumn="1" w:lastColumn="0" w:noHBand="0" w:noVBand="1"/>
      </w:tblPr>
      <w:tblGrid>
        <w:gridCol w:w="2988"/>
        <w:gridCol w:w="2610"/>
        <w:gridCol w:w="2070"/>
        <w:gridCol w:w="1530"/>
      </w:tblGrid>
      <w:tr w:rsidR="00323A99">
        <w:trPr>
          <w:trHeight w:val="620"/>
        </w:trPr>
        <w:tc>
          <w:tcPr>
            <w:tcW w:w="2988" w:type="dxa"/>
            <w:tcBorders>
              <w:top w:val="single" w:sz="4" w:space="0" w:color="auto"/>
              <w:bottom w:val="single" w:sz="4" w:space="0" w:color="auto"/>
            </w:tcBorders>
            <w:shd w:val="clear" w:color="auto" w:fill="auto"/>
            <w:noWrap/>
          </w:tcPr>
          <w:p w:rsidR="00323A99" w:rsidRDefault="00323A99">
            <w:pPr>
              <w:spacing w:line="360" w:lineRule="auto"/>
              <w:contextualSpacing/>
              <w:jc w:val="both"/>
              <w:rPr>
                <w:rFonts w:ascii="Book Antiqua" w:eastAsia="Times New Roman" w:hAnsi="Book Antiqua"/>
                <w:b/>
                <w:bCs/>
                <w:color w:val="000000"/>
              </w:rPr>
            </w:pPr>
          </w:p>
        </w:tc>
        <w:tc>
          <w:tcPr>
            <w:tcW w:w="2610" w:type="dxa"/>
            <w:tcBorders>
              <w:top w:val="single" w:sz="4" w:space="0" w:color="auto"/>
              <w:bottom w:val="single" w:sz="4" w:space="0" w:color="auto"/>
            </w:tcBorders>
            <w:shd w:val="clear" w:color="auto" w:fill="auto"/>
          </w:tcPr>
          <w:p w:rsidR="00323A99" w:rsidRDefault="00616ABD">
            <w:pPr>
              <w:spacing w:line="360" w:lineRule="auto"/>
              <w:contextualSpacing/>
              <w:jc w:val="both"/>
              <w:rPr>
                <w:rFonts w:ascii="Book Antiqua" w:eastAsia="Times New Roman" w:hAnsi="Book Antiqua"/>
                <w:b/>
                <w:bCs/>
                <w:color w:val="000000"/>
              </w:rPr>
            </w:pPr>
            <w:r>
              <w:rPr>
                <w:rFonts w:ascii="Book Antiqua" w:eastAsia="Times New Roman" w:hAnsi="Book Antiqua"/>
                <w:b/>
                <w:bCs/>
                <w:color w:val="000000"/>
              </w:rPr>
              <w:t>No gallstone disease (</w:t>
            </w:r>
            <w:r>
              <w:rPr>
                <w:rFonts w:ascii="Book Antiqua" w:eastAsia="Times New Roman" w:hAnsi="Book Antiqua"/>
                <w:b/>
                <w:bCs/>
                <w:i/>
                <w:iCs/>
                <w:color w:val="000000"/>
              </w:rPr>
              <w:t>n</w:t>
            </w:r>
            <w:r>
              <w:rPr>
                <w:rFonts w:ascii="Book Antiqua" w:eastAsia="Times New Roman" w:hAnsi="Book Antiqua"/>
                <w:b/>
                <w:bCs/>
                <w:color w:val="000000"/>
              </w:rPr>
              <w:t xml:space="preserve"> = 13760769)</w:t>
            </w:r>
          </w:p>
        </w:tc>
        <w:tc>
          <w:tcPr>
            <w:tcW w:w="2070" w:type="dxa"/>
            <w:tcBorders>
              <w:top w:val="single" w:sz="4" w:space="0" w:color="auto"/>
              <w:bottom w:val="single" w:sz="4" w:space="0" w:color="auto"/>
            </w:tcBorders>
            <w:shd w:val="clear" w:color="auto" w:fill="auto"/>
          </w:tcPr>
          <w:p w:rsidR="00323A99" w:rsidRDefault="00616ABD">
            <w:pPr>
              <w:spacing w:line="360" w:lineRule="auto"/>
              <w:contextualSpacing/>
              <w:jc w:val="both"/>
              <w:rPr>
                <w:rFonts w:ascii="Book Antiqua" w:eastAsia="Times New Roman" w:hAnsi="Book Antiqua"/>
                <w:b/>
                <w:bCs/>
                <w:color w:val="000000"/>
              </w:rPr>
            </w:pPr>
            <w:r>
              <w:rPr>
                <w:rFonts w:ascii="Book Antiqua" w:eastAsia="Times New Roman" w:hAnsi="Book Antiqua"/>
                <w:b/>
                <w:bCs/>
                <w:color w:val="000000"/>
              </w:rPr>
              <w:t>All gallstone disease (</w:t>
            </w:r>
            <w:r>
              <w:rPr>
                <w:rFonts w:ascii="Book Antiqua" w:eastAsia="Times New Roman" w:hAnsi="Book Antiqua"/>
                <w:b/>
                <w:bCs/>
                <w:i/>
                <w:iCs/>
                <w:color w:val="000000"/>
              </w:rPr>
              <w:t>n</w:t>
            </w:r>
            <w:r>
              <w:rPr>
                <w:rFonts w:ascii="Book Antiqua" w:eastAsia="Times New Roman" w:hAnsi="Book Antiqua"/>
                <w:b/>
                <w:bCs/>
                <w:color w:val="000000"/>
              </w:rPr>
              <w:t xml:space="preserve"> = 534015)</w:t>
            </w:r>
          </w:p>
        </w:tc>
        <w:tc>
          <w:tcPr>
            <w:tcW w:w="1530" w:type="dxa"/>
            <w:tcBorders>
              <w:top w:val="single" w:sz="4" w:space="0" w:color="auto"/>
              <w:bottom w:val="single" w:sz="4" w:space="0" w:color="auto"/>
            </w:tcBorders>
          </w:tcPr>
          <w:p w:rsidR="00323A99" w:rsidRDefault="00616ABD">
            <w:pPr>
              <w:spacing w:line="360" w:lineRule="auto"/>
              <w:contextualSpacing/>
              <w:jc w:val="both"/>
              <w:rPr>
                <w:rFonts w:ascii="Book Antiqua" w:eastAsia="Times New Roman" w:hAnsi="Book Antiqua"/>
                <w:b/>
                <w:bCs/>
                <w:color w:val="000000"/>
              </w:rPr>
            </w:pPr>
            <w:r>
              <w:rPr>
                <w:rFonts w:ascii="Book Antiqua" w:eastAsia="Times New Roman" w:hAnsi="Book Antiqua"/>
                <w:b/>
                <w:bCs/>
                <w:i/>
                <w:iCs/>
                <w:color w:val="000000"/>
              </w:rPr>
              <w:t>P</w:t>
            </w:r>
            <w:r>
              <w:rPr>
                <w:rFonts w:ascii="Book Antiqua" w:eastAsia="Times New Roman" w:hAnsi="Book Antiqua"/>
                <w:b/>
                <w:bCs/>
                <w:color w:val="000000"/>
              </w:rPr>
              <w:t xml:space="preserve"> value</w:t>
            </w:r>
          </w:p>
        </w:tc>
      </w:tr>
      <w:tr w:rsidR="00323A99">
        <w:trPr>
          <w:trHeight w:val="320"/>
        </w:trPr>
        <w:tc>
          <w:tcPr>
            <w:tcW w:w="2988" w:type="dxa"/>
            <w:tcBorders>
              <w:top w:val="single" w:sz="4" w:space="0" w:color="auto"/>
            </w:tcBorders>
            <w:shd w:val="clear" w:color="auto" w:fill="auto"/>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NAFLD (%)</w:t>
            </w:r>
          </w:p>
        </w:tc>
        <w:tc>
          <w:tcPr>
            <w:tcW w:w="2610" w:type="dxa"/>
            <w:tcBorders>
              <w:top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1.0</w:t>
            </w:r>
          </w:p>
        </w:tc>
        <w:tc>
          <w:tcPr>
            <w:tcW w:w="2070" w:type="dxa"/>
            <w:tcBorders>
              <w:top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3.3</w:t>
            </w:r>
          </w:p>
        </w:tc>
        <w:tc>
          <w:tcPr>
            <w:tcW w:w="1530" w:type="dxa"/>
            <w:tcBorders>
              <w:top w:val="single" w:sz="4" w:space="0" w:color="auto"/>
            </w:tcBorders>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Age, yr (mean ± SD)</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48.8 ± 27.6</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63.2 ± 18.1</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Gender (%)</w:t>
            </w:r>
          </w:p>
        </w:tc>
        <w:tc>
          <w:tcPr>
            <w:tcW w:w="261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207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30" w:type="dxa"/>
          </w:tcPr>
          <w:p w:rsidR="00323A99" w:rsidRDefault="00323A99">
            <w:pPr>
              <w:spacing w:line="360" w:lineRule="auto"/>
              <w:contextualSpacing/>
              <w:jc w:val="both"/>
              <w:rPr>
                <w:rFonts w:ascii="Book Antiqua" w:eastAsia="Times New Roman" w:hAnsi="Book Antiqua"/>
                <w:color w:val="000000"/>
              </w:rPr>
            </w:pPr>
          </w:p>
        </w:tc>
      </w:tr>
      <w:tr w:rsidR="00323A99">
        <w:trPr>
          <w:trHeight w:val="320"/>
        </w:trPr>
        <w:tc>
          <w:tcPr>
            <w:tcW w:w="2988" w:type="dxa"/>
            <w:shd w:val="clear" w:color="000000" w:fill="FFFFFF"/>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Male</w:t>
            </w:r>
          </w:p>
        </w:tc>
        <w:tc>
          <w:tcPr>
            <w:tcW w:w="2610" w:type="dxa"/>
            <w:shd w:val="clear" w:color="000000" w:fill="FFFFFF"/>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43.7</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35.7</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000000" w:fill="FFFFFF"/>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Female</w:t>
            </w:r>
          </w:p>
        </w:tc>
        <w:tc>
          <w:tcPr>
            <w:tcW w:w="2610" w:type="dxa"/>
            <w:shd w:val="clear" w:color="000000" w:fill="FFFFFF"/>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56.3</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64.3</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Race (%)</w:t>
            </w:r>
          </w:p>
        </w:tc>
        <w:tc>
          <w:tcPr>
            <w:tcW w:w="261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207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30" w:type="dxa"/>
          </w:tcPr>
          <w:p w:rsidR="00323A99" w:rsidRDefault="00323A99">
            <w:pPr>
              <w:spacing w:line="360" w:lineRule="auto"/>
              <w:contextualSpacing/>
              <w:jc w:val="both"/>
              <w:rPr>
                <w:rFonts w:ascii="Book Antiqua" w:eastAsia="Times New Roman" w:hAnsi="Book Antiqua"/>
                <w:color w:val="000000"/>
              </w:rPr>
            </w:pP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White</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64.9</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72.1</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Black</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15.4</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11.8</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Hispanic</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12.4</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11.2</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Others</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7.3</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4.9</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Payment (%)</w:t>
            </w:r>
          </w:p>
        </w:tc>
        <w:tc>
          <w:tcPr>
            <w:tcW w:w="261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207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30" w:type="dxa"/>
          </w:tcPr>
          <w:p w:rsidR="00323A99" w:rsidRDefault="00323A99">
            <w:pPr>
              <w:spacing w:line="360" w:lineRule="auto"/>
              <w:contextualSpacing/>
              <w:jc w:val="both"/>
              <w:rPr>
                <w:rFonts w:ascii="Book Antiqua" w:eastAsia="Times New Roman" w:hAnsi="Book Antiqua"/>
                <w:color w:val="000000"/>
              </w:rPr>
            </w:pP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Medicare</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39.4</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58.0</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Medicaid</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23.5</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13.6</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Private insurance</w:t>
            </w:r>
          </w:p>
        </w:tc>
        <w:tc>
          <w:tcPr>
            <w:tcW w:w="2610" w:type="dxa"/>
            <w:shd w:val="clear" w:color="auto" w:fill="auto"/>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29.9</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22.8</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Others (includes self-pay)</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7.1</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5.5</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Co-morbidities (%)</w:t>
            </w:r>
          </w:p>
        </w:tc>
        <w:tc>
          <w:tcPr>
            <w:tcW w:w="261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207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30" w:type="dxa"/>
          </w:tcPr>
          <w:p w:rsidR="00323A99" w:rsidRDefault="00323A99">
            <w:pPr>
              <w:spacing w:line="360" w:lineRule="auto"/>
              <w:contextualSpacing/>
              <w:jc w:val="both"/>
              <w:rPr>
                <w:rFonts w:ascii="Book Antiqua" w:eastAsia="Times New Roman" w:hAnsi="Book Antiqua"/>
                <w:color w:val="000000"/>
              </w:rPr>
            </w:pP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Alcohol abuse</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1.6</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2.3</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Diabetes mellitus</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13.2</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18.9</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hAnsi="Book Antiqua"/>
                <w:color w:val="000000" w:themeColor="text1"/>
              </w:rPr>
              <w:t>Dyslipidemia</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22.6</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33.4</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Hypertension</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29.8</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43.0</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hAnsi="Book Antiqua"/>
                <w:color w:val="000000" w:themeColor="text1"/>
              </w:rPr>
              <w:t>Metabolic syndrome</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0.1</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0.2</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shd w:val="clear" w:color="auto" w:fill="auto"/>
            <w:noWrap/>
          </w:tcPr>
          <w:p w:rsidR="00323A99" w:rsidRDefault="00616ABD">
            <w:pPr>
              <w:shd w:val="clear" w:color="auto" w:fill="FFFFFF"/>
              <w:spacing w:line="360" w:lineRule="auto"/>
              <w:ind w:firstLineChars="100" w:firstLine="240"/>
              <w:contextualSpacing/>
              <w:jc w:val="both"/>
              <w:rPr>
                <w:rFonts w:ascii="Book Antiqua" w:eastAsia="Times New Roman" w:hAnsi="Book Antiqua"/>
                <w:color w:val="000000" w:themeColor="text1"/>
              </w:rPr>
            </w:pPr>
            <w:r>
              <w:rPr>
                <w:rFonts w:ascii="Book Antiqua" w:eastAsia="Times New Roman" w:hAnsi="Book Antiqua"/>
                <w:color w:val="000000" w:themeColor="text1"/>
              </w:rPr>
              <w:t>Nicotine dependence</w:t>
            </w:r>
          </w:p>
        </w:tc>
        <w:tc>
          <w:tcPr>
            <w:tcW w:w="261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29.6</w:t>
            </w:r>
          </w:p>
        </w:tc>
        <w:tc>
          <w:tcPr>
            <w:tcW w:w="207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40.1</w:t>
            </w:r>
          </w:p>
        </w:tc>
        <w:tc>
          <w:tcPr>
            <w:tcW w:w="1530" w:type="dxa"/>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320"/>
        </w:trPr>
        <w:tc>
          <w:tcPr>
            <w:tcW w:w="2988" w:type="dxa"/>
            <w:tcBorders>
              <w:bottom w:val="single" w:sz="4" w:space="0" w:color="auto"/>
            </w:tcBorders>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Obesity</w:t>
            </w:r>
          </w:p>
        </w:tc>
        <w:tc>
          <w:tcPr>
            <w:tcW w:w="2610" w:type="dxa"/>
            <w:tcBorders>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7.5</w:t>
            </w:r>
          </w:p>
        </w:tc>
        <w:tc>
          <w:tcPr>
            <w:tcW w:w="2070" w:type="dxa"/>
            <w:tcBorders>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5.4</w:t>
            </w:r>
          </w:p>
        </w:tc>
        <w:tc>
          <w:tcPr>
            <w:tcW w:w="1530" w:type="dxa"/>
            <w:tcBorders>
              <w:bottom w:val="single" w:sz="4" w:space="0" w:color="auto"/>
            </w:tcBorders>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bl>
    <w:p w:rsidR="00323A99" w:rsidRDefault="00616ABD">
      <w:pPr>
        <w:spacing w:line="360" w:lineRule="auto"/>
        <w:jc w:val="both"/>
        <w:rPr>
          <w:rFonts w:ascii="Book Antiqua" w:eastAsia="Book Antiqua" w:hAnsi="Book Antiqua" w:cs="Book Antiqua"/>
          <w:color w:val="000000"/>
        </w:rPr>
      </w:pPr>
      <w:r>
        <w:rPr>
          <w:rFonts w:ascii="Book Antiqua" w:eastAsia="Times New Roman" w:hAnsi="Book Antiqua"/>
          <w:color w:val="000000"/>
        </w:rPr>
        <w:t xml:space="preserve">NAFLD: </w:t>
      </w:r>
      <w:r>
        <w:rPr>
          <w:rFonts w:ascii="Book Antiqua" w:eastAsia="Book Antiqua" w:hAnsi="Book Antiqua" w:cs="Book Antiqua"/>
          <w:color w:val="000000"/>
        </w:rPr>
        <w:t>Non-alcoholic fatty liver disease.</w:t>
      </w:r>
    </w:p>
    <w:p w:rsidR="00323A99" w:rsidRDefault="00616ABD">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t>Table 2 Logistic regression odds ratios for the association of non-alcoholic fatty liver disease with gallstone disease</w:t>
      </w:r>
    </w:p>
    <w:tbl>
      <w:tblPr>
        <w:tblW w:w="5304" w:type="pct"/>
        <w:tblLook w:val="04A0" w:firstRow="1" w:lastRow="0" w:firstColumn="1" w:lastColumn="0" w:noHBand="0" w:noVBand="1"/>
      </w:tblPr>
      <w:tblGrid>
        <w:gridCol w:w="2518"/>
        <w:gridCol w:w="740"/>
        <w:gridCol w:w="1460"/>
        <w:gridCol w:w="1542"/>
        <w:gridCol w:w="794"/>
        <w:gridCol w:w="1564"/>
        <w:gridCol w:w="1542"/>
      </w:tblGrid>
      <w:tr w:rsidR="00323A99">
        <w:trPr>
          <w:trHeight w:val="280"/>
        </w:trPr>
        <w:tc>
          <w:tcPr>
            <w:tcW w:w="2518" w:type="dxa"/>
            <w:vMerge w:val="restart"/>
            <w:tcBorders>
              <w:top w:val="single" w:sz="4" w:space="0" w:color="auto"/>
            </w:tcBorders>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3742" w:type="dxa"/>
            <w:gridSpan w:val="3"/>
            <w:tcBorders>
              <w:top w:val="single" w:sz="4" w:space="0" w:color="auto"/>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b/>
                <w:bCs/>
                <w:color w:val="000000"/>
              </w:rPr>
            </w:pPr>
            <w:r>
              <w:rPr>
                <w:rFonts w:ascii="Book Antiqua" w:eastAsia="Times New Roman" w:hAnsi="Book Antiqua"/>
                <w:b/>
                <w:bCs/>
                <w:color w:val="000000"/>
              </w:rPr>
              <w:t>Age-adjusted</w:t>
            </w:r>
          </w:p>
        </w:tc>
        <w:tc>
          <w:tcPr>
            <w:tcW w:w="3900" w:type="dxa"/>
            <w:gridSpan w:val="3"/>
            <w:tcBorders>
              <w:top w:val="single" w:sz="4" w:space="0" w:color="auto"/>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b/>
                <w:bCs/>
                <w:color w:val="000000"/>
              </w:rPr>
            </w:pPr>
            <w:r>
              <w:rPr>
                <w:rFonts w:ascii="Book Antiqua" w:eastAsia="Times New Roman" w:hAnsi="Book Antiqua"/>
                <w:b/>
                <w:bCs/>
                <w:color w:val="000000"/>
              </w:rPr>
              <w:t>Multivariate-adjusted</w:t>
            </w:r>
            <w:r>
              <w:rPr>
                <w:rFonts w:ascii="Book Antiqua" w:eastAsia="Times New Roman" w:hAnsi="Book Antiqua"/>
                <w:b/>
                <w:bCs/>
                <w:color w:val="000000"/>
                <w:vertAlign w:val="superscript"/>
              </w:rPr>
              <w:t>1</w:t>
            </w:r>
          </w:p>
        </w:tc>
      </w:tr>
      <w:tr w:rsidR="00323A99">
        <w:trPr>
          <w:trHeight w:val="250"/>
        </w:trPr>
        <w:tc>
          <w:tcPr>
            <w:tcW w:w="2518" w:type="dxa"/>
            <w:vMerge/>
            <w:tcBorders>
              <w:bottom w:val="single" w:sz="4" w:space="0" w:color="auto"/>
            </w:tcBorders>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740" w:type="dxa"/>
            <w:tcBorders>
              <w:top w:val="single" w:sz="4" w:space="0" w:color="auto"/>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b/>
                <w:bCs/>
                <w:color w:val="000000"/>
              </w:rPr>
            </w:pPr>
            <w:r>
              <w:rPr>
                <w:rFonts w:ascii="Book Antiqua" w:eastAsia="Times New Roman" w:hAnsi="Book Antiqua"/>
                <w:b/>
                <w:bCs/>
                <w:color w:val="000000"/>
              </w:rPr>
              <w:t>OR</w:t>
            </w:r>
          </w:p>
        </w:tc>
        <w:tc>
          <w:tcPr>
            <w:tcW w:w="1460" w:type="dxa"/>
            <w:tcBorders>
              <w:top w:val="single" w:sz="4" w:space="0" w:color="auto"/>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b/>
                <w:bCs/>
                <w:color w:val="000000"/>
              </w:rPr>
            </w:pPr>
            <w:r>
              <w:rPr>
                <w:rFonts w:ascii="Book Antiqua" w:eastAsia="Times New Roman" w:hAnsi="Book Antiqua"/>
                <w:b/>
                <w:bCs/>
                <w:color w:val="000000"/>
              </w:rPr>
              <w:t>95%CI</w:t>
            </w:r>
          </w:p>
        </w:tc>
        <w:tc>
          <w:tcPr>
            <w:tcW w:w="1542" w:type="dxa"/>
            <w:tcBorders>
              <w:top w:val="single" w:sz="4" w:space="0" w:color="auto"/>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b/>
                <w:bCs/>
                <w:color w:val="000000"/>
              </w:rPr>
            </w:pPr>
            <w:r>
              <w:rPr>
                <w:rFonts w:ascii="Book Antiqua" w:eastAsia="Times New Roman" w:hAnsi="Book Antiqua"/>
                <w:b/>
                <w:bCs/>
                <w:i/>
                <w:iCs/>
                <w:color w:val="000000"/>
              </w:rPr>
              <w:t>P</w:t>
            </w:r>
            <w:r>
              <w:rPr>
                <w:rFonts w:ascii="Book Antiqua" w:eastAsia="Times New Roman" w:hAnsi="Book Antiqua"/>
                <w:b/>
                <w:bCs/>
                <w:color w:val="000000"/>
              </w:rPr>
              <w:t xml:space="preserve"> value</w:t>
            </w:r>
          </w:p>
        </w:tc>
        <w:tc>
          <w:tcPr>
            <w:tcW w:w="794" w:type="dxa"/>
            <w:tcBorders>
              <w:top w:val="single" w:sz="4" w:space="0" w:color="auto"/>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b/>
                <w:bCs/>
                <w:color w:val="000000"/>
              </w:rPr>
            </w:pPr>
            <w:r>
              <w:rPr>
                <w:rFonts w:ascii="Book Antiqua" w:eastAsia="Times New Roman" w:hAnsi="Book Antiqua"/>
                <w:b/>
                <w:bCs/>
                <w:color w:val="000000"/>
              </w:rPr>
              <w:t>OR</w:t>
            </w:r>
          </w:p>
        </w:tc>
        <w:tc>
          <w:tcPr>
            <w:tcW w:w="1564" w:type="dxa"/>
            <w:tcBorders>
              <w:top w:val="single" w:sz="4" w:space="0" w:color="auto"/>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b/>
                <w:bCs/>
                <w:color w:val="000000"/>
              </w:rPr>
            </w:pPr>
            <w:r>
              <w:rPr>
                <w:rFonts w:ascii="Book Antiqua" w:eastAsia="Times New Roman" w:hAnsi="Book Antiqua"/>
                <w:b/>
                <w:bCs/>
                <w:color w:val="000000"/>
              </w:rPr>
              <w:t>95%CI</w:t>
            </w:r>
          </w:p>
        </w:tc>
        <w:tc>
          <w:tcPr>
            <w:tcW w:w="1542" w:type="dxa"/>
            <w:tcBorders>
              <w:top w:val="single" w:sz="4" w:space="0" w:color="auto"/>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b/>
                <w:bCs/>
                <w:color w:val="000000"/>
              </w:rPr>
            </w:pPr>
            <w:r>
              <w:rPr>
                <w:rFonts w:ascii="Book Antiqua" w:eastAsia="Times New Roman" w:hAnsi="Book Antiqua"/>
                <w:b/>
                <w:bCs/>
                <w:i/>
                <w:iCs/>
                <w:color w:val="000000"/>
              </w:rPr>
              <w:t>P</w:t>
            </w:r>
            <w:r>
              <w:rPr>
                <w:rFonts w:ascii="Book Antiqua" w:eastAsia="Times New Roman" w:hAnsi="Book Antiqua"/>
                <w:b/>
                <w:bCs/>
                <w:color w:val="000000"/>
              </w:rPr>
              <w:t xml:space="preserve"> value</w:t>
            </w:r>
          </w:p>
        </w:tc>
      </w:tr>
      <w:tr w:rsidR="00323A99">
        <w:trPr>
          <w:trHeight w:val="280"/>
        </w:trPr>
        <w:tc>
          <w:tcPr>
            <w:tcW w:w="2518" w:type="dxa"/>
            <w:tcBorders>
              <w:top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All</w:t>
            </w:r>
          </w:p>
        </w:tc>
        <w:tc>
          <w:tcPr>
            <w:tcW w:w="740" w:type="dxa"/>
            <w:tcBorders>
              <w:top w:val="single" w:sz="4" w:space="0" w:color="auto"/>
            </w:tcBorders>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460" w:type="dxa"/>
            <w:tcBorders>
              <w:top w:val="single" w:sz="4" w:space="0" w:color="auto"/>
            </w:tcBorders>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42" w:type="dxa"/>
            <w:tcBorders>
              <w:top w:val="single" w:sz="4" w:space="0" w:color="auto"/>
            </w:tcBorders>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794" w:type="dxa"/>
            <w:tcBorders>
              <w:top w:val="single" w:sz="4" w:space="0" w:color="auto"/>
            </w:tcBorders>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64" w:type="dxa"/>
            <w:tcBorders>
              <w:top w:val="single" w:sz="4" w:space="0" w:color="auto"/>
            </w:tcBorders>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42" w:type="dxa"/>
            <w:tcBorders>
              <w:top w:val="single" w:sz="4" w:space="0" w:color="auto"/>
            </w:tcBorders>
            <w:shd w:val="clear" w:color="auto" w:fill="auto"/>
            <w:noWrap/>
          </w:tcPr>
          <w:p w:rsidR="00323A99" w:rsidRDefault="00323A99">
            <w:pPr>
              <w:spacing w:line="360" w:lineRule="auto"/>
              <w:contextualSpacing/>
              <w:jc w:val="both"/>
              <w:rPr>
                <w:rFonts w:ascii="Book Antiqua" w:eastAsia="Times New Roman" w:hAnsi="Book Antiqua"/>
                <w:color w:val="000000"/>
              </w:rPr>
            </w:pPr>
          </w:p>
        </w:tc>
      </w:tr>
      <w:tr w:rsidR="00323A99">
        <w:trPr>
          <w:trHeight w:val="280"/>
        </w:trPr>
        <w:tc>
          <w:tcPr>
            <w:tcW w:w="251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Gallstone disease</w:t>
            </w:r>
            <w:r>
              <w:rPr>
                <w:rFonts w:ascii="Book Antiqua" w:eastAsia="Times New Roman" w:hAnsi="Book Antiqua"/>
                <w:color w:val="000000"/>
                <w:vertAlign w:val="superscript"/>
              </w:rPr>
              <w:t>2</w:t>
            </w:r>
          </w:p>
        </w:tc>
        <w:tc>
          <w:tcPr>
            <w:tcW w:w="74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2.99</w:t>
            </w:r>
          </w:p>
        </w:tc>
        <w:tc>
          <w:tcPr>
            <w:tcW w:w="146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2.94-3.03</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c>
          <w:tcPr>
            <w:tcW w:w="79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2.75</w:t>
            </w:r>
          </w:p>
        </w:tc>
        <w:tc>
          <w:tcPr>
            <w:tcW w:w="156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2.70-2.79</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280"/>
        </w:trPr>
        <w:tc>
          <w:tcPr>
            <w:tcW w:w="251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Gallstones</w:t>
            </w:r>
          </w:p>
        </w:tc>
        <w:tc>
          <w:tcPr>
            <w:tcW w:w="74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6.85</w:t>
            </w:r>
          </w:p>
        </w:tc>
        <w:tc>
          <w:tcPr>
            <w:tcW w:w="146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6.67-7.03</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c>
          <w:tcPr>
            <w:tcW w:w="79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6.32</w:t>
            </w:r>
          </w:p>
        </w:tc>
        <w:tc>
          <w:tcPr>
            <w:tcW w:w="156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6.15-6.48</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280"/>
        </w:trPr>
        <w:tc>
          <w:tcPr>
            <w:tcW w:w="251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Cholecystectomy</w:t>
            </w:r>
          </w:p>
        </w:tc>
        <w:tc>
          <w:tcPr>
            <w:tcW w:w="74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2.14</w:t>
            </w:r>
          </w:p>
        </w:tc>
        <w:tc>
          <w:tcPr>
            <w:tcW w:w="146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2.10-2.18</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c>
          <w:tcPr>
            <w:tcW w:w="79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1.97</w:t>
            </w:r>
          </w:p>
        </w:tc>
        <w:tc>
          <w:tcPr>
            <w:tcW w:w="156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1.93-2.01</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280"/>
        </w:trPr>
        <w:tc>
          <w:tcPr>
            <w:tcW w:w="2518"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Men</w:t>
            </w:r>
          </w:p>
        </w:tc>
        <w:tc>
          <w:tcPr>
            <w:tcW w:w="74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46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42"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794"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64"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42"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r>
      <w:tr w:rsidR="00323A99">
        <w:trPr>
          <w:trHeight w:val="280"/>
        </w:trPr>
        <w:tc>
          <w:tcPr>
            <w:tcW w:w="251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Gallstone disease</w:t>
            </w:r>
          </w:p>
        </w:tc>
        <w:tc>
          <w:tcPr>
            <w:tcW w:w="74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3.09</w:t>
            </w:r>
          </w:p>
        </w:tc>
        <w:tc>
          <w:tcPr>
            <w:tcW w:w="146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3.01-3.17</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c>
          <w:tcPr>
            <w:tcW w:w="79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2.90</w:t>
            </w:r>
          </w:p>
        </w:tc>
        <w:tc>
          <w:tcPr>
            <w:tcW w:w="156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2.82-2.97</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280"/>
        </w:trPr>
        <w:tc>
          <w:tcPr>
            <w:tcW w:w="251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Gallstones</w:t>
            </w:r>
          </w:p>
        </w:tc>
        <w:tc>
          <w:tcPr>
            <w:tcW w:w="74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7.32</w:t>
            </w:r>
          </w:p>
        </w:tc>
        <w:tc>
          <w:tcPr>
            <w:tcW w:w="146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7.05-7.59</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c>
          <w:tcPr>
            <w:tcW w:w="79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6.67</w:t>
            </w:r>
          </w:p>
        </w:tc>
        <w:tc>
          <w:tcPr>
            <w:tcW w:w="156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6.42-6.93</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280"/>
        </w:trPr>
        <w:tc>
          <w:tcPr>
            <w:tcW w:w="251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Cholecystectomy</w:t>
            </w:r>
          </w:p>
        </w:tc>
        <w:tc>
          <w:tcPr>
            <w:tcW w:w="74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1.95</w:t>
            </w:r>
          </w:p>
        </w:tc>
        <w:tc>
          <w:tcPr>
            <w:tcW w:w="146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1.88-2.02</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c>
          <w:tcPr>
            <w:tcW w:w="79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1.85</w:t>
            </w:r>
          </w:p>
        </w:tc>
        <w:tc>
          <w:tcPr>
            <w:tcW w:w="156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1.79-1.92</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280"/>
        </w:trPr>
        <w:tc>
          <w:tcPr>
            <w:tcW w:w="2518"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Women</w:t>
            </w:r>
          </w:p>
        </w:tc>
        <w:tc>
          <w:tcPr>
            <w:tcW w:w="74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460"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42"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794"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64"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c>
          <w:tcPr>
            <w:tcW w:w="1542" w:type="dxa"/>
            <w:shd w:val="clear" w:color="auto" w:fill="auto"/>
            <w:noWrap/>
          </w:tcPr>
          <w:p w:rsidR="00323A99" w:rsidRDefault="00323A99">
            <w:pPr>
              <w:spacing w:line="360" w:lineRule="auto"/>
              <w:contextualSpacing/>
              <w:jc w:val="both"/>
              <w:rPr>
                <w:rFonts w:ascii="Book Antiqua" w:eastAsia="Times New Roman" w:hAnsi="Book Antiqua"/>
                <w:color w:val="000000"/>
              </w:rPr>
            </w:pPr>
          </w:p>
        </w:tc>
      </w:tr>
      <w:tr w:rsidR="00323A99">
        <w:trPr>
          <w:trHeight w:val="280"/>
        </w:trPr>
        <w:tc>
          <w:tcPr>
            <w:tcW w:w="251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Gallstone disease</w:t>
            </w:r>
          </w:p>
        </w:tc>
        <w:tc>
          <w:tcPr>
            <w:tcW w:w="74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2.93</w:t>
            </w:r>
          </w:p>
        </w:tc>
        <w:tc>
          <w:tcPr>
            <w:tcW w:w="146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2.88-3.00</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c>
          <w:tcPr>
            <w:tcW w:w="79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2.63</w:t>
            </w:r>
          </w:p>
        </w:tc>
        <w:tc>
          <w:tcPr>
            <w:tcW w:w="156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2.58-2.69</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280"/>
        </w:trPr>
        <w:tc>
          <w:tcPr>
            <w:tcW w:w="2518" w:type="dxa"/>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Gallstones</w:t>
            </w:r>
          </w:p>
        </w:tc>
        <w:tc>
          <w:tcPr>
            <w:tcW w:w="74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6.48</w:t>
            </w:r>
          </w:p>
        </w:tc>
        <w:tc>
          <w:tcPr>
            <w:tcW w:w="1460"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6.26-6.72</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c>
          <w:tcPr>
            <w:tcW w:w="79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6.05</w:t>
            </w:r>
          </w:p>
        </w:tc>
        <w:tc>
          <w:tcPr>
            <w:tcW w:w="1564"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5.83-6.27</w:t>
            </w:r>
          </w:p>
        </w:tc>
        <w:tc>
          <w:tcPr>
            <w:tcW w:w="1542" w:type="dxa"/>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r w:rsidR="00323A99">
        <w:trPr>
          <w:trHeight w:val="280"/>
        </w:trPr>
        <w:tc>
          <w:tcPr>
            <w:tcW w:w="2518" w:type="dxa"/>
            <w:tcBorders>
              <w:bottom w:val="single" w:sz="4" w:space="0" w:color="auto"/>
            </w:tcBorders>
            <w:shd w:val="clear" w:color="auto" w:fill="auto"/>
            <w:noWrap/>
          </w:tcPr>
          <w:p w:rsidR="00323A99" w:rsidRDefault="00616ABD">
            <w:pPr>
              <w:spacing w:line="360" w:lineRule="auto"/>
              <w:ind w:firstLineChars="100" w:firstLine="240"/>
              <w:contextualSpacing/>
              <w:jc w:val="both"/>
              <w:rPr>
                <w:rFonts w:ascii="Book Antiqua" w:eastAsia="Times New Roman" w:hAnsi="Book Antiqua"/>
                <w:color w:val="000000"/>
              </w:rPr>
            </w:pPr>
            <w:r>
              <w:rPr>
                <w:rFonts w:ascii="Book Antiqua" w:eastAsia="Times New Roman" w:hAnsi="Book Antiqua"/>
                <w:color w:val="000000"/>
              </w:rPr>
              <w:t>Cholecystectomy</w:t>
            </w:r>
          </w:p>
        </w:tc>
        <w:tc>
          <w:tcPr>
            <w:tcW w:w="740" w:type="dxa"/>
            <w:tcBorders>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2.25</w:t>
            </w:r>
          </w:p>
        </w:tc>
        <w:tc>
          <w:tcPr>
            <w:tcW w:w="1460" w:type="dxa"/>
            <w:tcBorders>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2.20-2.30</w:t>
            </w:r>
          </w:p>
        </w:tc>
        <w:tc>
          <w:tcPr>
            <w:tcW w:w="1542" w:type="dxa"/>
            <w:tcBorders>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c>
          <w:tcPr>
            <w:tcW w:w="794" w:type="dxa"/>
            <w:tcBorders>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2.01</w:t>
            </w:r>
          </w:p>
        </w:tc>
        <w:tc>
          <w:tcPr>
            <w:tcW w:w="1564" w:type="dxa"/>
            <w:tcBorders>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1.96-2.06</w:t>
            </w:r>
          </w:p>
        </w:tc>
        <w:tc>
          <w:tcPr>
            <w:tcW w:w="1542" w:type="dxa"/>
            <w:tcBorders>
              <w:bottom w:val="single" w:sz="4" w:space="0" w:color="auto"/>
            </w:tcBorders>
            <w:shd w:val="clear" w:color="auto" w:fill="auto"/>
            <w:noWrap/>
          </w:tcPr>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rPr>
              <w:t>&lt; 0.001</w:t>
            </w:r>
          </w:p>
        </w:tc>
      </w:tr>
    </w:tbl>
    <w:p w:rsidR="00323A99" w:rsidRDefault="00616ABD">
      <w:pPr>
        <w:spacing w:line="360" w:lineRule="auto"/>
        <w:contextualSpacing/>
        <w:jc w:val="both"/>
        <w:rPr>
          <w:rFonts w:ascii="Book Antiqua" w:eastAsia="Times New Roman" w:hAnsi="Book Antiqua"/>
          <w:color w:val="000000"/>
        </w:rPr>
      </w:pPr>
      <w:r>
        <w:rPr>
          <w:rFonts w:ascii="Book Antiqua" w:eastAsia="Times New Roman" w:hAnsi="Book Antiqua"/>
          <w:color w:val="000000"/>
          <w:vertAlign w:val="superscript"/>
        </w:rPr>
        <w:t>1</w:t>
      </w:r>
      <w:r>
        <w:rPr>
          <w:rFonts w:ascii="Book Antiqua" w:eastAsia="Times New Roman" w:hAnsi="Book Antiqua"/>
          <w:color w:val="000000"/>
        </w:rPr>
        <w:t xml:space="preserve">Adjusted for age, gender, race, alcohol abuse, diabetes mellitus, dyslipidemia, hypertension, metabolic syndrome, nicotine dependence, and obesity. </w:t>
      </w:r>
    </w:p>
    <w:p w:rsidR="003766B0" w:rsidRDefault="00616ABD">
      <w:pPr>
        <w:spacing w:line="360" w:lineRule="auto"/>
        <w:contextualSpacing/>
        <w:jc w:val="both"/>
        <w:rPr>
          <w:rFonts w:ascii="Book Antiqua" w:eastAsia="Book Antiqua" w:hAnsi="Book Antiqua" w:cs="Book Antiqua"/>
          <w:color w:val="000000"/>
        </w:rPr>
      </w:pPr>
      <w:r>
        <w:rPr>
          <w:rFonts w:ascii="Book Antiqua" w:eastAsia="Times New Roman" w:hAnsi="Book Antiqua"/>
          <w:color w:val="000000"/>
          <w:vertAlign w:val="superscript"/>
        </w:rPr>
        <w:t>2</w:t>
      </w:r>
      <w:r>
        <w:rPr>
          <w:rFonts w:ascii="Book Antiqua" w:eastAsia="Times New Roman" w:hAnsi="Book Antiqua"/>
          <w:color w:val="000000"/>
        </w:rPr>
        <w:t>Gallstone disease includes both gallstones and cholecystectomy</w:t>
      </w:r>
      <w:r>
        <w:rPr>
          <w:rFonts w:ascii="Book Antiqua" w:hAnsi="Book Antiqua" w:hint="eastAsia"/>
          <w:color w:val="000000"/>
          <w:lang w:eastAsia="zh-CN"/>
        </w:rPr>
        <w:t>.</w:t>
      </w:r>
      <w:r>
        <w:rPr>
          <w:rFonts w:ascii="Book Antiqua" w:hAnsi="Book Antiqua"/>
          <w:color w:val="000000"/>
          <w:lang w:eastAsia="zh-CN"/>
        </w:rPr>
        <w:t xml:space="preserve"> OR: </w:t>
      </w:r>
      <w:r>
        <w:rPr>
          <w:rFonts w:ascii="Book Antiqua" w:eastAsia="Book Antiqua" w:hAnsi="Book Antiqua" w:cs="Book Antiqua"/>
          <w:color w:val="000000"/>
        </w:rPr>
        <w:t>Odds ratio; CI: Confidence interval.</w:t>
      </w:r>
    </w:p>
    <w:p w:rsidR="003766B0" w:rsidRDefault="003766B0">
      <w:pPr>
        <w:rPr>
          <w:rFonts w:ascii="Book Antiqua" w:eastAsia="Book Antiqua" w:hAnsi="Book Antiqua" w:cs="Book Antiqua"/>
          <w:color w:val="000000"/>
        </w:rPr>
      </w:pPr>
      <w:r>
        <w:rPr>
          <w:rFonts w:ascii="Book Antiqua" w:eastAsia="Book Antiqua" w:hAnsi="Book Antiqua" w:cs="Book Antiqua"/>
          <w:color w:val="000000"/>
        </w:rPr>
        <w:br w:type="page"/>
      </w: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r>
        <w:rPr>
          <w:rFonts w:ascii="Book Antiqua" w:hAnsi="Book Antiqua"/>
          <w:noProof/>
          <w:lang w:eastAsia="zh-CN"/>
        </w:rPr>
        <w:drawing>
          <wp:inline distT="0" distB="0" distL="0" distR="0" wp14:anchorId="7E8C502F" wp14:editId="67ED294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3766B0" w:rsidRDefault="003766B0" w:rsidP="003766B0">
      <w:pPr>
        <w:jc w:val="center"/>
        <w:rPr>
          <w:rFonts w:ascii="Book Antiqua" w:hAnsi="Book Antiqua"/>
          <w:lang w:eastAsia="zh-CN"/>
        </w:rPr>
      </w:pPr>
    </w:p>
    <w:p w:rsidR="003766B0" w:rsidRPr="00763D22" w:rsidRDefault="003766B0" w:rsidP="003766B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3766B0" w:rsidRPr="00763D22" w:rsidRDefault="003766B0" w:rsidP="003766B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3766B0" w:rsidRPr="00763D22" w:rsidRDefault="003766B0" w:rsidP="003766B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3766B0" w:rsidRPr="00763D22" w:rsidRDefault="003766B0" w:rsidP="003766B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3766B0" w:rsidRPr="00763D22" w:rsidRDefault="003766B0" w:rsidP="003766B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3766B0" w:rsidRPr="00763D22" w:rsidRDefault="003766B0" w:rsidP="003766B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r>
        <w:rPr>
          <w:rFonts w:ascii="Book Antiqua" w:hAnsi="Book Antiqua"/>
          <w:noProof/>
          <w:lang w:eastAsia="zh-CN"/>
        </w:rPr>
        <w:drawing>
          <wp:inline distT="0" distB="0" distL="0" distR="0" wp14:anchorId="1055CC49" wp14:editId="468ABC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Default="003766B0" w:rsidP="003766B0">
      <w:pPr>
        <w:jc w:val="center"/>
        <w:rPr>
          <w:rFonts w:ascii="Book Antiqua" w:hAnsi="Book Antiqua"/>
          <w:lang w:eastAsia="zh-CN"/>
        </w:rPr>
      </w:pPr>
    </w:p>
    <w:p w:rsidR="003766B0" w:rsidRPr="00763D22" w:rsidRDefault="003766B0" w:rsidP="003766B0">
      <w:pPr>
        <w:jc w:val="right"/>
        <w:rPr>
          <w:rFonts w:ascii="Book Antiqua" w:hAnsi="Book Antiqua"/>
          <w:color w:val="000000" w:themeColor="text1"/>
          <w:lang w:eastAsia="zh-CN"/>
        </w:rPr>
      </w:pPr>
    </w:p>
    <w:p w:rsidR="003766B0" w:rsidRPr="00763D22" w:rsidRDefault="003766B0" w:rsidP="003766B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323A99" w:rsidRPr="003766B0" w:rsidRDefault="00323A99">
      <w:pPr>
        <w:spacing w:line="360" w:lineRule="auto"/>
        <w:contextualSpacing/>
        <w:jc w:val="both"/>
        <w:rPr>
          <w:rFonts w:ascii="Book Antiqua" w:hAnsi="Book Antiqua"/>
          <w:color w:val="000000"/>
          <w:lang w:eastAsia="zh-CN"/>
        </w:rPr>
      </w:pPr>
      <w:bookmarkStart w:id="0" w:name="_GoBack"/>
      <w:bookmarkEnd w:id="0"/>
    </w:p>
    <w:sectPr w:rsidR="00323A99" w:rsidRPr="003766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BD" w:rsidRDefault="00616ABD">
      <w:r>
        <w:separator/>
      </w:r>
    </w:p>
  </w:endnote>
  <w:endnote w:type="continuationSeparator" w:id="0">
    <w:p w:rsidR="00616ABD" w:rsidRDefault="006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00909"/>
    </w:sdtPr>
    <w:sdtEndPr>
      <w:rPr>
        <w:rFonts w:ascii="Book Antiqua" w:hAnsi="Book Antiqua"/>
        <w:sz w:val="24"/>
        <w:szCs w:val="24"/>
      </w:rPr>
    </w:sdtEndPr>
    <w:sdtContent>
      <w:sdt>
        <w:sdtPr>
          <w:id w:val="-1705238520"/>
        </w:sdtPr>
        <w:sdtEndPr>
          <w:rPr>
            <w:rFonts w:ascii="Book Antiqua" w:hAnsi="Book Antiqua"/>
            <w:sz w:val="24"/>
            <w:szCs w:val="24"/>
          </w:rPr>
        </w:sdtEndPr>
        <w:sdtContent>
          <w:p w:rsidR="00323A99" w:rsidRDefault="00616ABD">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p>
        </w:sdtContent>
      </w:sdt>
    </w:sdtContent>
  </w:sdt>
  <w:p w:rsidR="00323A99" w:rsidRDefault="00323A99">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BD" w:rsidRDefault="00616ABD">
      <w:r>
        <w:separator/>
      </w:r>
    </w:p>
  </w:footnote>
  <w:footnote w:type="continuationSeparator" w:id="0">
    <w:p w:rsidR="00616ABD" w:rsidRDefault="00616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DF5"/>
    <w:rsid w:val="00040580"/>
    <w:rsid w:val="00047B55"/>
    <w:rsid w:val="000A69AC"/>
    <w:rsid w:val="000F7CCB"/>
    <w:rsid w:val="00101751"/>
    <w:rsid w:val="00117ACF"/>
    <w:rsid w:val="00135A4E"/>
    <w:rsid w:val="00172C45"/>
    <w:rsid w:val="00177775"/>
    <w:rsid w:val="001A1D08"/>
    <w:rsid w:val="002D4BDD"/>
    <w:rsid w:val="00323A99"/>
    <w:rsid w:val="00331CD8"/>
    <w:rsid w:val="00364EBB"/>
    <w:rsid w:val="003766B0"/>
    <w:rsid w:val="004C54BD"/>
    <w:rsid w:val="00557848"/>
    <w:rsid w:val="005E7F33"/>
    <w:rsid w:val="00616ABD"/>
    <w:rsid w:val="00710524"/>
    <w:rsid w:val="00712A37"/>
    <w:rsid w:val="007306AB"/>
    <w:rsid w:val="00801C3C"/>
    <w:rsid w:val="00893F0D"/>
    <w:rsid w:val="00940D04"/>
    <w:rsid w:val="009B618E"/>
    <w:rsid w:val="009C61CA"/>
    <w:rsid w:val="009D7E79"/>
    <w:rsid w:val="00A112A6"/>
    <w:rsid w:val="00A77B3E"/>
    <w:rsid w:val="00AD21F2"/>
    <w:rsid w:val="00AE6E43"/>
    <w:rsid w:val="00AE77B8"/>
    <w:rsid w:val="00AF24A7"/>
    <w:rsid w:val="00BB376D"/>
    <w:rsid w:val="00BD3CC4"/>
    <w:rsid w:val="00BF45E9"/>
    <w:rsid w:val="00C7391C"/>
    <w:rsid w:val="00CA2A55"/>
    <w:rsid w:val="00CC50F7"/>
    <w:rsid w:val="00DE1BED"/>
    <w:rsid w:val="00DF0327"/>
    <w:rsid w:val="00ED675F"/>
    <w:rsid w:val="00F04CD0"/>
    <w:rsid w:val="00F52722"/>
    <w:rsid w:val="00FE72FD"/>
    <w:rsid w:val="0844628E"/>
    <w:rsid w:val="25B37FA2"/>
    <w:rsid w:val="2A5347C0"/>
    <w:rsid w:val="33FA401F"/>
    <w:rsid w:val="37103525"/>
    <w:rsid w:val="38AA09F5"/>
    <w:rsid w:val="3EBF45FD"/>
    <w:rsid w:val="494C52F9"/>
    <w:rsid w:val="600A33F9"/>
    <w:rsid w:val="65D1452D"/>
    <w:rsid w:val="67B2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21"/>
      <w:szCs w:val="21"/>
    </w:rPr>
  </w:style>
  <w:style w:type="character" w:customStyle="1" w:styleId="Char0">
    <w:name w:val="批注框文本 Char"/>
    <w:basedOn w:val="a0"/>
    <w:link w:val="a4"/>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1">
    <w:name w:val="批注文字 字符1"/>
    <w:basedOn w:val="a0"/>
    <w:uiPriority w:val="99"/>
    <w:qFormat/>
    <w:rPr>
      <w:rFonts w:ascii="Calibri" w:eastAsia="宋体" w:hAnsi="Calibri" w:cs="Times New Roman"/>
      <w:kern w:val="0"/>
      <w:sz w:val="22"/>
      <w:lang w:val="en-GB" w:eastAsia="en-US"/>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21"/>
      <w:szCs w:val="21"/>
    </w:rPr>
  </w:style>
  <w:style w:type="character" w:customStyle="1" w:styleId="Char0">
    <w:name w:val="批注框文本 Char"/>
    <w:basedOn w:val="a0"/>
    <w:link w:val="a4"/>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1">
    <w:name w:val="批注文字 字符1"/>
    <w:basedOn w:val="a0"/>
    <w:uiPriority w:val="99"/>
    <w:qFormat/>
    <w:rPr>
      <w:rFonts w:ascii="Calibri" w:eastAsia="宋体" w:hAnsi="Calibri" w:cs="Times New Roman"/>
      <w:kern w:val="0"/>
      <w:sz w:val="22"/>
      <w:lang w:val="en-GB" w:eastAsia="en-US"/>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6494</Words>
  <Characters>37017</Characters>
  <Application>Microsoft Office Word</Application>
  <DocSecurity>0</DocSecurity>
  <Lines>308</Lines>
  <Paragraphs>86</Paragraphs>
  <ScaleCrop>false</ScaleCrop>
  <Company>HP</Company>
  <LinksUpToDate>false</LinksUpToDate>
  <CharactersWithSpaces>43425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8</cp:revision>
  <dcterms:created xsi:type="dcterms:W3CDTF">2021-01-15T05:06:00Z</dcterms:created>
  <dcterms:modified xsi:type="dcterms:W3CDTF">2021-03-10T11:36:00Z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