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color w:val="000000"/>
        </w:rPr>
        <w:t xml:space="preserve">Name of Journal: </w:t>
      </w:r>
      <w:r w:rsidRPr="00F40118">
        <w:rPr>
          <w:rFonts w:ascii="Book Antiqua" w:eastAsia="Book Antiqua" w:hAnsi="Book Antiqua" w:cs="Book Antiqua"/>
          <w:i/>
          <w:color w:val="000000"/>
        </w:rPr>
        <w:t>World Journal of Gastroenterology</w:t>
      </w: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color w:val="000000"/>
        </w:rPr>
        <w:t xml:space="preserve">Manuscript NO: </w:t>
      </w:r>
      <w:r w:rsidRPr="00F40118">
        <w:rPr>
          <w:rFonts w:ascii="Book Antiqua" w:eastAsia="Book Antiqua" w:hAnsi="Book Antiqua" w:cs="Book Antiqua"/>
          <w:color w:val="000000"/>
        </w:rPr>
        <w:t>61196</w:t>
      </w: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color w:val="000000"/>
        </w:rPr>
        <w:t xml:space="preserve">Manuscript Type: </w:t>
      </w:r>
      <w:r w:rsidRPr="00F40118">
        <w:rPr>
          <w:rFonts w:ascii="Book Antiqua" w:eastAsia="Book Antiqua" w:hAnsi="Book Antiqua" w:cs="Book Antiqua"/>
          <w:color w:val="000000"/>
        </w:rPr>
        <w:t>ORIGINAL ARTICLE</w:t>
      </w:r>
    </w:p>
    <w:p w:rsidR="00A77B3E" w:rsidRPr="00F40118" w:rsidRDefault="00A77B3E"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i/>
          <w:color w:val="000000"/>
        </w:rPr>
        <w:t>Clinical Trials Study</w:t>
      </w:r>
    </w:p>
    <w:p w:rsidR="00A77B3E" w:rsidRPr="00F40118" w:rsidRDefault="00B175BB" w:rsidP="00EF6CF8">
      <w:pPr>
        <w:adjustRightInd w:val="0"/>
        <w:snapToGrid w:val="0"/>
        <w:spacing w:line="360" w:lineRule="auto"/>
        <w:jc w:val="both"/>
        <w:rPr>
          <w:rFonts w:ascii="Book Antiqua" w:hAnsi="Book Antiqua"/>
          <w:b/>
        </w:rPr>
      </w:pPr>
      <w:bookmarkStart w:id="0" w:name="OLE_LINK8"/>
      <w:r w:rsidRPr="00F40118">
        <w:rPr>
          <w:rFonts w:ascii="Book Antiqua" w:hAnsi="Book Antiqua"/>
          <w:b/>
        </w:rPr>
        <w:t>Ursodeoxycholic acid as a means of preventing atherosclerosis, steatosis and liver fibrosis in patients with nonalcoholic fatty liver disease</w:t>
      </w:r>
    </w:p>
    <w:bookmarkEnd w:id="0"/>
    <w:p w:rsidR="00B175BB" w:rsidRPr="00F40118" w:rsidRDefault="00B175BB" w:rsidP="00EF6CF8">
      <w:pPr>
        <w:adjustRightInd w:val="0"/>
        <w:snapToGrid w:val="0"/>
        <w:spacing w:line="360" w:lineRule="auto"/>
        <w:jc w:val="both"/>
        <w:rPr>
          <w:rFonts w:ascii="Book Antiqua" w:hAnsi="Book Antiqua"/>
        </w:rPr>
      </w:pPr>
    </w:p>
    <w:p w:rsidR="00A77B3E" w:rsidRPr="00F40118" w:rsidRDefault="006B343E" w:rsidP="00EF6CF8">
      <w:pPr>
        <w:adjustRightInd w:val="0"/>
        <w:snapToGrid w:val="0"/>
        <w:spacing w:line="360" w:lineRule="auto"/>
        <w:jc w:val="both"/>
        <w:rPr>
          <w:rFonts w:ascii="Book Antiqua" w:hAnsi="Book Antiqua"/>
        </w:rPr>
      </w:pPr>
      <w:r w:rsidRPr="00F40118">
        <w:rPr>
          <w:rFonts w:ascii="Book Antiqua" w:eastAsia="Book Antiqua" w:hAnsi="Book Antiqua" w:cs="Book Antiqua"/>
          <w:color w:val="000000"/>
        </w:rPr>
        <w:t xml:space="preserve">Nadinskaia M </w:t>
      </w:r>
      <w:r w:rsidRPr="00F40118">
        <w:rPr>
          <w:rFonts w:ascii="Book Antiqua" w:eastAsia="Book Antiqua" w:hAnsi="Book Antiqua" w:cs="Book Antiqua"/>
          <w:i/>
          <w:iCs/>
          <w:color w:val="000000"/>
        </w:rPr>
        <w:t>et al.</w:t>
      </w:r>
      <w:r w:rsidRPr="00F40118">
        <w:rPr>
          <w:rFonts w:ascii="Book Antiqua" w:eastAsia="Book Antiqua" w:hAnsi="Book Antiqua" w:cs="Book Antiqua"/>
          <w:color w:val="000000"/>
        </w:rPr>
        <w:t xml:space="preserve"> </w:t>
      </w:r>
      <w:bookmarkStart w:id="1" w:name="OLE_LINK9"/>
      <w:bookmarkStart w:id="2" w:name="OLE_LINK10"/>
      <w:bookmarkStart w:id="3" w:name="OLE_LINK11"/>
      <w:r w:rsidR="00FF7A14" w:rsidRPr="00F40118">
        <w:rPr>
          <w:rFonts w:ascii="Book Antiqua" w:eastAsia="Book Antiqua" w:hAnsi="Book Antiqua" w:cs="Book Antiqua"/>
          <w:color w:val="000000"/>
        </w:rPr>
        <w:t>UDCA and hepatic steatosis and atherosclerosis</w:t>
      </w:r>
    </w:p>
    <w:bookmarkEnd w:id="1"/>
    <w:bookmarkEnd w:id="2"/>
    <w:bookmarkEnd w:id="3"/>
    <w:p w:rsidR="00A77B3E" w:rsidRPr="00F40118" w:rsidRDefault="00A77B3E"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color w:val="000000"/>
        </w:rPr>
        <w:t>Maria Nadinskaia, Marina Maevskaya, Vladimir Ivashkin, Khava Kodzoeva, Irina Pirogova, Evgeny Chesnokov, Alexander Nersesov, Jamilya Kaibullayeva, Akzhan Konysbekova, Aigul Raissova, Feruza Khamrabaeva, Elena Zueva</w:t>
      </w:r>
    </w:p>
    <w:p w:rsidR="00A77B3E" w:rsidRPr="00F40118" w:rsidRDefault="00A77B3E"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bCs/>
          <w:color w:val="000000"/>
        </w:rPr>
        <w:t xml:space="preserve">Maria Nadinskaia, </w:t>
      </w:r>
      <w:r w:rsidR="004324B1" w:rsidRPr="00F40118">
        <w:rPr>
          <w:rFonts w:ascii="Book Antiqua" w:eastAsia="Book Antiqua" w:hAnsi="Book Antiqua" w:cs="Book Antiqua"/>
          <w:b/>
          <w:bCs/>
          <w:color w:val="000000"/>
        </w:rPr>
        <w:t xml:space="preserve">Vladimir Ivashkin, </w:t>
      </w:r>
      <w:r w:rsidRPr="00F40118">
        <w:rPr>
          <w:rFonts w:ascii="Book Antiqua" w:eastAsia="Book Antiqua" w:hAnsi="Book Antiqua" w:cs="Book Antiqua"/>
          <w:b/>
          <w:bCs/>
          <w:color w:val="000000"/>
        </w:rPr>
        <w:t xml:space="preserve">Khava Kodzoeva, </w:t>
      </w:r>
      <w:r w:rsidRPr="00F40118">
        <w:rPr>
          <w:rFonts w:ascii="Book Antiqua" w:eastAsia="Book Antiqua" w:hAnsi="Book Antiqua" w:cs="Book Antiqua"/>
          <w:color w:val="000000"/>
        </w:rPr>
        <w:t>Department of Propaedeutics of Internal Diseases, Gastroenterology</w:t>
      </w:r>
      <w:r w:rsidR="004324B1" w:rsidRPr="00F40118">
        <w:rPr>
          <w:rFonts w:ascii="Book Antiqua" w:eastAsia="Book Antiqua" w:hAnsi="Book Antiqua" w:cs="Book Antiqua"/>
          <w:color w:val="000000"/>
        </w:rPr>
        <w:t xml:space="preserve"> and Hepatology</w:t>
      </w:r>
      <w:r w:rsidRPr="00F40118">
        <w:rPr>
          <w:rFonts w:ascii="Book Antiqua" w:eastAsia="Book Antiqua" w:hAnsi="Book Antiqua" w:cs="Book Antiqua"/>
          <w:color w:val="000000"/>
        </w:rPr>
        <w:t>, Sechenov First Moscow State Medical University (Sechenov University), Moscow 119991, Russia</w:t>
      </w:r>
    </w:p>
    <w:p w:rsidR="00A77B3E" w:rsidRPr="00F40118" w:rsidRDefault="00A77B3E"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bCs/>
          <w:color w:val="000000"/>
        </w:rPr>
        <w:t xml:space="preserve">Marina Maevskaya, </w:t>
      </w:r>
      <w:r w:rsidRPr="00F40118">
        <w:rPr>
          <w:rFonts w:ascii="Book Antiqua" w:eastAsia="Book Antiqua" w:hAnsi="Book Antiqua" w:cs="Book Antiqua"/>
          <w:color w:val="000000"/>
        </w:rPr>
        <w:t xml:space="preserve">Vasilenko Clinic of </w:t>
      </w:r>
      <w:r w:rsidR="00A17F0E" w:rsidRPr="00F40118">
        <w:rPr>
          <w:rFonts w:ascii="Book Antiqua" w:eastAsia="Book Antiqua" w:hAnsi="Book Antiqua" w:cs="Book Antiqua"/>
          <w:color w:val="000000"/>
        </w:rPr>
        <w:t>Internal Diseases Propedeutics</w:t>
      </w:r>
      <w:r w:rsidRPr="00F40118">
        <w:rPr>
          <w:rFonts w:ascii="Book Antiqua" w:eastAsia="Book Antiqua" w:hAnsi="Book Antiqua" w:cs="Book Antiqua"/>
          <w:color w:val="000000"/>
        </w:rPr>
        <w:t xml:space="preserve">, </w:t>
      </w:r>
      <w:r w:rsidR="00A17F0E" w:rsidRPr="00F40118">
        <w:rPr>
          <w:rFonts w:ascii="Book Antiqua" w:eastAsia="Book Antiqua" w:hAnsi="Book Antiqua" w:cs="Book Antiqua"/>
          <w:color w:val="000000"/>
        </w:rPr>
        <w:t xml:space="preserve">Gastroenterology </w:t>
      </w:r>
      <w:r w:rsidRPr="00F40118">
        <w:rPr>
          <w:rFonts w:ascii="Book Antiqua" w:eastAsia="Book Antiqua" w:hAnsi="Book Antiqua" w:cs="Book Antiqua"/>
          <w:color w:val="000000"/>
        </w:rPr>
        <w:t xml:space="preserve">and </w:t>
      </w:r>
      <w:r w:rsidR="00A17F0E" w:rsidRPr="00F40118">
        <w:rPr>
          <w:rFonts w:ascii="Book Antiqua" w:eastAsia="Book Antiqua" w:hAnsi="Book Antiqua" w:cs="Book Antiqua"/>
          <w:color w:val="000000"/>
        </w:rPr>
        <w:t>Hepatology</w:t>
      </w:r>
      <w:r w:rsidRPr="00F40118">
        <w:rPr>
          <w:rFonts w:ascii="Book Antiqua" w:eastAsia="Book Antiqua" w:hAnsi="Book Antiqua" w:cs="Book Antiqua"/>
          <w:color w:val="000000"/>
        </w:rPr>
        <w:t xml:space="preserve">, University Clinical Hospital №2, </w:t>
      </w:r>
      <w:r w:rsidR="004324B1" w:rsidRPr="00F40118">
        <w:rPr>
          <w:rFonts w:ascii="Book Antiqua" w:eastAsia="Book Antiqua" w:hAnsi="Book Antiqua" w:cs="Book Antiqua"/>
          <w:color w:val="000000"/>
        </w:rPr>
        <w:t xml:space="preserve">Sechenov First Moscow State Medical University (Sechenov University), Moscow </w:t>
      </w:r>
      <w:r w:rsidRPr="00F40118">
        <w:rPr>
          <w:rFonts w:ascii="Book Antiqua" w:eastAsia="Book Antiqua" w:hAnsi="Book Antiqua" w:cs="Book Antiqua"/>
          <w:color w:val="000000"/>
        </w:rPr>
        <w:t>119991, Russia</w:t>
      </w:r>
    </w:p>
    <w:p w:rsidR="00A77B3E" w:rsidRPr="00F40118" w:rsidRDefault="00A77B3E"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bCs/>
          <w:color w:val="000000"/>
        </w:rPr>
        <w:t xml:space="preserve">Irina Pirogova, </w:t>
      </w:r>
      <w:r w:rsidRPr="00F40118">
        <w:rPr>
          <w:rFonts w:ascii="Book Antiqua" w:eastAsia="Book Antiqua" w:hAnsi="Book Antiqua" w:cs="Book Antiqua"/>
          <w:color w:val="000000"/>
        </w:rPr>
        <w:t>LLC MC “Lotus”, Center for Gastroenterology and Hepatology, Chelyabinsk 454092, Russia</w:t>
      </w:r>
    </w:p>
    <w:p w:rsidR="0000410C" w:rsidRPr="00F40118" w:rsidRDefault="0000410C"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bCs/>
          <w:color w:val="000000"/>
        </w:rPr>
        <w:lastRenderedPageBreak/>
        <w:t xml:space="preserve">Evgeny Chesnokov, </w:t>
      </w:r>
      <w:bookmarkStart w:id="4" w:name="OLE_LINK30"/>
      <w:bookmarkStart w:id="5" w:name="OLE_LINK31"/>
      <w:r w:rsidRPr="00F40118">
        <w:rPr>
          <w:rFonts w:ascii="Book Antiqua" w:eastAsia="Book Antiqua" w:hAnsi="Book Antiqua" w:cs="Book Antiqua"/>
          <w:color w:val="000000"/>
        </w:rPr>
        <w:t xml:space="preserve">Department of Hospital Therapy with the </w:t>
      </w:r>
      <w:r w:rsidR="00A17F0E" w:rsidRPr="00F40118">
        <w:rPr>
          <w:rFonts w:ascii="Book Antiqua" w:eastAsia="Book Antiqua" w:hAnsi="Book Antiqua" w:cs="Book Antiqua"/>
          <w:color w:val="000000"/>
        </w:rPr>
        <w:t xml:space="preserve">Course </w:t>
      </w:r>
      <w:r w:rsidRPr="00F40118">
        <w:rPr>
          <w:rFonts w:ascii="Book Antiqua" w:eastAsia="Book Antiqua" w:hAnsi="Book Antiqua" w:cs="Book Antiqua"/>
          <w:color w:val="000000"/>
        </w:rPr>
        <w:t>of Endocrinology and Clinical Pharmacology</w:t>
      </w:r>
      <w:bookmarkEnd w:id="4"/>
      <w:bookmarkEnd w:id="5"/>
      <w:r w:rsidRPr="00F40118">
        <w:rPr>
          <w:rFonts w:ascii="Book Antiqua" w:eastAsia="Book Antiqua" w:hAnsi="Book Antiqua" w:cs="Book Antiqua"/>
          <w:color w:val="000000"/>
        </w:rPr>
        <w:t>, Tyumen State Medical University, Tyumen 625003, Russia</w:t>
      </w:r>
    </w:p>
    <w:p w:rsidR="00A77B3E" w:rsidRPr="00F40118" w:rsidRDefault="00A77B3E" w:rsidP="00EF6CF8">
      <w:pPr>
        <w:adjustRightInd w:val="0"/>
        <w:snapToGrid w:val="0"/>
        <w:spacing w:line="360" w:lineRule="auto"/>
        <w:jc w:val="both"/>
        <w:rPr>
          <w:rFonts w:ascii="Book Antiqua" w:hAnsi="Book Antiqua"/>
        </w:rPr>
      </w:pPr>
    </w:p>
    <w:p w:rsidR="00A77B3E" w:rsidRPr="00F40118" w:rsidRDefault="00B175BB"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bCs/>
          <w:color w:val="000000"/>
        </w:rPr>
        <w:t xml:space="preserve">Alexander Nersesov, </w:t>
      </w:r>
      <w:r w:rsidR="00FF7A14" w:rsidRPr="00F40118">
        <w:rPr>
          <w:rFonts w:ascii="Book Antiqua" w:eastAsia="Book Antiqua" w:hAnsi="Book Antiqua" w:cs="Book Antiqua"/>
          <w:b/>
          <w:bCs/>
          <w:color w:val="000000"/>
        </w:rPr>
        <w:t xml:space="preserve">Jamilya Kaibullayeva, </w:t>
      </w:r>
      <w:r w:rsidR="00A17F0E" w:rsidRPr="00F40118">
        <w:rPr>
          <w:rFonts w:ascii="Book Antiqua" w:eastAsia="Book Antiqua" w:hAnsi="Book Antiqua" w:cs="Book Antiqua"/>
          <w:color w:val="000000"/>
        </w:rPr>
        <w:t xml:space="preserve">Department of </w:t>
      </w:r>
      <w:r w:rsidR="00FF7A14" w:rsidRPr="00F40118">
        <w:rPr>
          <w:rFonts w:ascii="Book Antiqua" w:eastAsia="Book Antiqua" w:hAnsi="Book Antiqua" w:cs="Book Antiqua"/>
          <w:color w:val="000000"/>
        </w:rPr>
        <w:t>Gastroenterology, S. Asfendiyarov Kazakh National Medical University, Almaty 050000, Kazakhstan</w:t>
      </w:r>
    </w:p>
    <w:p w:rsidR="00A77B3E" w:rsidRPr="00F40118" w:rsidRDefault="00A77B3E"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bCs/>
          <w:color w:val="000000"/>
        </w:rPr>
        <w:t xml:space="preserve">Akzhan Konysbekova, </w:t>
      </w:r>
      <w:r w:rsidRPr="00F40118">
        <w:rPr>
          <w:rFonts w:ascii="Book Antiqua" w:eastAsia="Book Antiqua" w:hAnsi="Book Antiqua" w:cs="Book Antiqua"/>
          <w:color w:val="000000"/>
        </w:rPr>
        <w:t xml:space="preserve">Functional and </w:t>
      </w:r>
      <w:r w:rsidR="00A17F0E" w:rsidRPr="00F40118">
        <w:rPr>
          <w:rFonts w:ascii="Book Antiqua" w:eastAsia="Book Antiqua" w:hAnsi="Book Antiqua" w:cs="Book Antiqua"/>
          <w:color w:val="000000"/>
        </w:rPr>
        <w:t>Ultrasound Diagnostics</w:t>
      </w:r>
      <w:r w:rsidRPr="00F40118">
        <w:rPr>
          <w:rFonts w:ascii="Book Antiqua" w:eastAsia="Book Antiqua" w:hAnsi="Book Antiqua" w:cs="Book Antiqua"/>
          <w:color w:val="000000"/>
        </w:rPr>
        <w:t>, Scientific and Research Institute of Cardiology and Internal Diseases, Almaty 050000, Kazakhstan</w:t>
      </w:r>
    </w:p>
    <w:p w:rsidR="00A77B3E" w:rsidRPr="00F40118" w:rsidRDefault="00A77B3E"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bCs/>
          <w:color w:val="000000"/>
        </w:rPr>
        <w:t xml:space="preserve">Aigul Raissova, </w:t>
      </w:r>
      <w:r w:rsidRPr="00F40118">
        <w:rPr>
          <w:rFonts w:ascii="Book Antiqua" w:eastAsia="Book Antiqua" w:hAnsi="Book Antiqua" w:cs="Book Antiqua"/>
          <w:color w:val="000000"/>
        </w:rPr>
        <w:t>Department of Internal Diseases, Scientific and Research Institute of Cardiology and Internal Diseases, Almaty 050000, Kazakhstan</w:t>
      </w:r>
    </w:p>
    <w:p w:rsidR="00A77B3E" w:rsidRPr="00F40118" w:rsidRDefault="00A77B3E"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bCs/>
          <w:color w:val="000000"/>
        </w:rPr>
        <w:t xml:space="preserve">Feruza Khamrabaeva, </w:t>
      </w:r>
      <w:r w:rsidRPr="00F40118">
        <w:rPr>
          <w:rFonts w:ascii="Book Antiqua" w:eastAsia="Book Antiqua" w:hAnsi="Book Antiqua" w:cs="Book Antiqua"/>
          <w:color w:val="000000"/>
        </w:rPr>
        <w:t>Faculty of Therapy, Tashkent Institute of Advanced Medical Studies, Tashkent 100007, Uzbekistan</w:t>
      </w:r>
    </w:p>
    <w:p w:rsidR="00A77B3E" w:rsidRPr="00F40118" w:rsidRDefault="00A77B3E"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bCs/>
          <w:color w:val="000000"/>
        </w:rPr>
        <w:t xml:space="preserve">Elena Zueva, </w:t>
      </w:r>
      <w:bookmarkStart w:id="6" w:name="OLE_LINK17"/>
      <w:bookmarkStart w:id="7" w:name="OLE_LINK18"/>
      <w:r w:rsidRPr="00F40118">
        <w:rPr>
          <w:rFonts w:ascii="Book Antiqua" w:eastAsia="Book Antiqua" w:hAnsi="Book Antiqua" w:cs="Book Antiqua"/>
          <w:color w:val="000000"/>
        </w:rPr>
        <w:t xml:space="preserve">Department of Therapy № 1 with </w:t>
      </w:r>
      <w:r w:rsidR="004D16B4" w:rsidRPr="00F40118">
        <w:rPr>
          <w:rFonts w:ascii="Book Antiqua" w:eastAsia="Book Antiqua" w:hAnsi="Book Antiqua" w:cs="Book Antiqua"/>
          <w:color w:val="000000"/>
        </w:rPr>
        <w:t>Training General Practitioners</w:t>
      </w:r>
      <w:bookmarkEnd w:id="6"/>
      <w:bookmarkEnd w:id="7"/>
      <w:r w:rsidRPr="00F40118">
        <w:rPr>
          <w:rFonts w:ascii="Book Antiqua" w:eastAsia="Book Antiqua" w:hAnsi="Book Antiqua" w:cs="Book Antiqua"/>
          <w:color w:val="000000"/>
        </w:rPr>
        <w:t>, Tashkent Medical Academy, Tashkent 100109, Uzbekistan</w:t>
      </w:r>
    </w:p>
    <w:p w:rsidR="00A77B3E" w:rsidRPr="00F40118" w:rsidRDefault="00A77B3E"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bCs/>
          <w:color w:val="000000"/>
        </w:rPr>
        <w:t xml:space="preserve">Author contributions: </w:t>
      </w:r>
      <w:bookmarkStart w:id="8" w:name="OLE_LINK32"/>
      <w:bookmarkStart w:id="9" w:name="OLE_LINK33"/>
      <w:r w:rsidRPr="00F40118">
        <w:rPr>
          <w:rFonts w:ascii="Book Antiqua" w:eastAsia="Book Antiqua" w:hAnsi="Book Antiqua" w:cs="Book Antiqua"/>
          <w:color w:val="000000"/>
          <w:shd w:val="clear" w:color="auto" w:fill="FFFFFF"/>
        </w:rPr>
        <w:t>Nadi</w:t>
      </w:r>
      <w:r w:rsidR="00B74B0B" w:rsidRPr="00F40118">
        <w:rPr>
          <w:rFonts w:ascii="Book Antiqua" w:eastAsia="Book Antiqua" w:hAnsi="Book Antiqua" w:cs="Book Antiqua"/>
          <w:color w:val="000000"/>
          <w:shd w:val="clear" w:color="auto" w:fill="FFFFFF"/>
        </w:rPr>
        <w:t xml:space="preserve">nskaya M, Maevskaya M, </w:t>
      </w:r>
      <w:r w:rsidRPr="00F40118">
        <w:rPr>
          <w:rFonts w:ascii="Book Antiqua" w:eastAsia="Book Antiqua" w:hAnsi="Book Antiqua" w:cs="Book Antiqua"/>
          <w:color w:val="000000"/>
          <w:shd w:val="clear" w:color="auto" w:fill="FFFFFF"/>
        </w:rPr>
        <w:t xml:space="preserve">and Ivashkin V contributed equally to this work and should be considered as co-first authors; Maevskaya M, and Ivashkin V conceived the design; Nadinskaya M and Kodzoeva K analyzed the results; Nadinskaya M, and Maevskaya M wrote the original draft; Kodzoeva K, </w:t>
      </w:r>
      <w:r w:rsidRPr="00F40118">
        <w:rPr>
          <w:rFonts w:ascii="Book Antiqua" w:eastAsia="Book Antiqua" w:hAnsi="Book Antiqua" w:cs="Book Antiqua"/>
          <w:color w:val="000000"/>
        </w:rPr>
        <w:t xml:space="preserve">Pirogova I, Chesnokov E, Nersesov A, Kaibullayeva J, </w:t>
      </w:r>
      <w:bookmarkStart w:id="10" w:name="OLE_LINK1"/>
      <w:bookmarkStart w:id="11" w:name="OLE_LINK2"/>
      <w:r w:rsidRPr="00F40118">
        <w:rPr>
          <w:rFonts w:ascii="Book Antiqua" w:eastAsia="Book Antiqua" w:hAnsi="Book Antiqua" w:cs="Book Antiqua"/>
          <w:color w:val="000000"/>
        </w:rPr>
        <w:t>Konysbekova A</w:t>
      </w:r>
      <w:bookmarkEnd w:id="10"/>
      <w:bookmarkEnd w:id="11"/>
      <w:r w:rsidRPr="00F40118">
        <w:rPr>
          <w:rFonts w:ascii="Book Antiqua" w:eastAsia="Book Antiqua" w:hAnsi="Book Antiqua" w:cs="Book Antiqua"/>
          <w:color w:val="000000"/>
        </w:rPr>
        <w:t>, Raissova A, Khamrabaeva F, and Zueva E</w:t>
      </w:r>
      <w:r w:rsidRPr="00F40118">
        <w:rPr>
          <w:rFonts w:ascii="Book Antiqua" w:eastAsia="Book Antiqua" w:hAnsi="Book Antiqua" w:cs="Book Antiqua"/>
          <w:color w:val="000000"/>
          <w:shd w:val="clear" w:color="auto" w:fill="FFFFFF"/>
        </w:rPr>
        <w:t xml:space="preserve"> conducted the study; </w:t>
      </w:r>
      <w:r w:rsidR="00B10B55" w:rsidRPr="00F40118">
        <w:rPr>
          <w:rFonts w:ascii="Book Antiqua" w:eastAsia="等线" w:hAnsi="Book Antiqua" w:cs="Book Antiqua"/>
          <w:color w:val="000000"/>
          <w:shd w:val="clear" w:color="auto" w:fill="FFFFFF"/>
          <w:lang w:eastAsia="zh-CN"/>
        </w:rPr>
        <w:t>a</w:t>
      </w:r>
      <w:r w:rsidRPr="00F40118">
        <w:rPr>
          <w:rFonts w:ascii="Book Antiqua" w:eastAsia="Book Antiqua" w:hAnsi="Book Antiqua" w:cs="Book Antiqua"/>
          <w:color w:val="000000"/>
          <w:shd w:val="clear" w:color="auto" w:fill="FFFFFF"/>
        </w:rPr>
        <w:t>ll the authors revised the manuscript and approved the final version.</w:t>
      </w:r>
    </w:p>
    <w:bookmarkEnd w:id="8"/>
    <w:bookmarkEnd w:id="9"/>
    <w:p w:rsidR="00A77B3E" w:rsidRPr="00F40118" w:rsidRDefault="00A77B3E"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bCs/>
          <w:color w:val="000000"/>
        </w:rPr>
        <w:t xml:space="preserve">Corresponding author: Marina Maevskaya, MD, Professor, </w:t>
      </w:r>
      <w:r w:rsidRPr="00F40118">
        <w:rPr>
          <w:rFonts w:ascii="Book Antiqua" w:eastAsia="Book Antiqua" w:hAnsi="Book Antiqua" w:cs="Book Antiqua"/>
          <w:color w:val="000000"/>
        </w:rPr>
        <w:t xml:space="preserve">Vasilenko Clinic of </w:t>
      </w:r>
      <w:r w:rsidR="00B74B0B" w:rsidRPr="00F40118">
        <w:rPr>
          <w:rFonts w:ascii="Book Antiqua" w:eastAsia="Book Antiqua" w:hAnsi="Book Antiqua" w:cs="Book Antiqua"/>
          <w:color w:val="000000"/>
        </w:rPr>
        <w:t>Internal Diseases Propedeutics</w:t>
      </w:r>
      <w:r w:rsidRPr="00F40118">
        <w:rPr>
          <w:rFonts w:ascii="Book Antiqua" w:eastAsia="Book Antiqua" w:hAnsi="Book Antiqua" w:cs="Book Antiqua"/>
          <w:color w:val="000000"/>
        </w:rPr>
        <w:t xml:space="preserve">, </w:t>
      </w:r>
      <w:r w:rsidR="00B74B0B" w:rsidRPr="00F40118">
        <w:rPr>
          <w:rFonts w:ascii="Book Antiqua" w:eastAsia="Book Antiqua" w:hAnsi="Book Antiqua" w:cs="Book Antiqua"/>
          <w:color w:val="000000"/>
        </w:rPr>
        <w:t xml:space="preserve">Gastroenterology </w:t>
      </w:r>
      <w:r w:rsidRPr="00F40118">
        <w:rPr>
          <w:rFonts w:ascii="Book Antiqua" w:eastAsia="Book Antiqua" w:hAnsi="Book Antiqua" w:cs="Book Antiqua"/>
          <w:color w:val="000000"/>
        </w:rPr>
        <w:t xml:space="preserve">and </w:t>
      </w:r>
      <w:r w:rsidR="00B74B0B" w:rsidRPr="00F40118">
        <w:rPr>
          <w:rFonts w:ascii="Book Antiqua" w:eastAsia="Book Antiqua" w:hAnsi="Book Antiqua" w:cs="Book Antiqua"/>
          <w:color w:val="000000"/>
        </w:rPr>
        <w:t>Hepatology</w:t>
      </w:r>
      <w:r w:rsidRPr="00F40118">
        <w:rPr>
          <w:rFonts w:ascii="Book Antiqua" w:eastAsia="Book Antiqua" w:hAnsi="Book Antiqua" w:cs="Book Antiqua"/>
          <w:color w:val="000000"/>
        </w:rPr>
        <w:t xml:space="preserve">, University Clinical Hospital №2, </w:t>
      </w:r>
      <w:r w:rsidR="00171BCD" w:rsidRPr="00F40118">
        <w:rPr>
          <w:rFonts w:ascii="Book Antiqua" w:eastAsia="Book Antiqua" w:hAnsi="Book Antiqua" w:cs="Book Antiqua"/>
          <w:color w:val="000000"/>
        </w:rPr>
        <w:t xml:space="preserve">Sechenov First Moscow State Medical University (Sechenov University), </w:t>
      </w:r>
      <w:r w:rsidR="00B10B55" w:rsidRPr="00F40118">
        <w:rPr>
          <w:rFonts w:ascii="Book Antiqua" w:eastAsia="Book Antiqua" w:hAnsi="Book Antiqua" w:cs="Book Antiqua"/>
          <w:color w:val="000000"/>
        </w:rPr>
        <w:t xml:space="preserve">Bolshaya Pirogovskaya ul., 19s1, </w:t>
      </w:r>
      <w:r w:rsidR="00171BCD" w:rsidRPr="00F40118">
        <w:rPr>
          <w:rFonts w:ascii="Book Antiqua" w:eastAsia="Book Antiqua" w:hAnsi="Book Antiqua" w:cs="Book Antiqua"/>
          <w:color w:val="000000"/>
        </w:rPr>
        <w:t xml:space="preserve">Moscow 119991, Russia. </w:t>
      </w:r>
      <w:r w:rsidRPr="00F40118">
        <w:rPr>
          <w:rFonts w:ascii="Book Antiqua" w:eastAsia="Book Antiqua" w:hAnsi="Book Antiqua" w:cs="Book Antiqua"/>
          <w:color w:val="000000"/>
        </w:rPr>
        <w:t>liver.orc@mail.ru</w:t>
      </w:r>
    </w:p>
    <w:p w:rsidR="00A77B3E" w:rsidRPr="00F40118" w:rsidRDefault="00A77B3E"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bCs/>
          <w:color w:val="000000"/>
        </w:rPr>
        <w:t xml:space="preserve">Received: </w:t>
      </w:r>
      <w:r w:rsidRPr="00F40118">
        <w:rPr>
          <w:rFonts w:ascii="Book Antiqua" w:eastAsia="Book Antiqua" w:hAnsi="Book Antiqua" w:cs="Book Antiqua"/>
          <w:color w:val="000000"/>
        </w:rPr>
        <w:t>December 3, 2020</w:t>
      </w:r>
    </w:p>
    <w:p w:rsidR="00A77B3E" w:rsidRPr="00F40118" w:rsidRDefault="00FF7A14" w:rsidP="00EF6CF8">
      <w:pPr>
        <w:adjustRightInd w:val="0"/>
        <w:snapToGrid w:val="0"/>
        <w:spacing w:line="360" w:lineRule="auto"/>
        <w:jc w:val="both"/>
        <w:rPr>
          <w:rFonts w:ascii="Book Antiqua" w:eastAsia="Book Antiqua" w:hAnsi="Book Antiqua" w:cs="Book Antiqua"/>
          <w:color w:val="000000"/>
        </w:rPr>
      </w:pPr>
      <w:r w:rsidRPr="00F40118">
        <w:rPr>
          <w:rFonts w:ascii="Book Antiqua" w:eastAsia="Book Antiqua" w:hAnsi="Book Antiqua" w:cs="Book Antiqua"/>
          <w:b/>
          <w:bCs/>
          <w:color w:val="000000"/>
        </w:rPr>
        <w:t xml:space="preserve">Revised: </w:t>
      </w:r>
      <w:r w:rsidR="006B343E" w:rsidRPr="00F40118">
        <w:rPr>
          <w:rFonts w:ascii="Book Antiqua" w:eastAsia="Book Antiqua" w:hAnsi="Book Antiqua" w:cs="Book Antiqua"/>
          <w:color w:val="000000"/>
        </w:rPr>
        <w:t>December 30, 2020</w:t>
      </w: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bCs/>
          <w:color w:val="000000"/>
        </w:rPr>
        <w:t xml:space="preserve">Accepted: </w:t>
      </w:r>
      <w:r w:rsidR="007E7D8E" w:rsidRPr="007E7D8E">
        <w:rPr>
          <w:rFonts w:ascii="Book Antiqua" w:eastAsia="Book Antiqua" w:hAnsi="Book Antiqua" w:cs="Book Antiqua"/>
          <w:color w:val="000000"/>
        </w:rPr>
        <w:t>February 24, 2021</w:t>
      </w: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bCs/>
          <w:color w:val="000000"/>
        </w:rPr>
        <w:t xml:space="preserve">Published online: </w:t>
      </w:r>
      <w:r w:rsidR="00D47D50" w:rsidRPr="00DB0E52">
        <w:rPr>
          <w:rFonts w:ascii="Book Antiqua" w:eastAsia="Book Antiqua" w:hAnsi="Book Antiqua" w:cs="Book Antiqua"/>
          <w:bCs/>
          <w:color w:val="000000"/>
        </w:rPr>
        <w:t>March</w:t>
      </w:r>
      <w:r w:rsidR="00D47D50">
        <w:rPr>
          <w:rFonts w:ascii="Book Antiqua" w:hAnsi="Book Antiqua" w:cs="Book Antiqua" w:hint="eastAsia"/>
          <w:bCs/>
          <w:color w:val="000000"/>
          <w:lang w:eastAsia="zh-CN"/>
        </w:rPr>
        <w:t xml:space="preserve"> 14</w:t>
      </w:r>
      <w:r w:rsidR="00D47D50" w:rsidRPr="002D5D30">
        <w:rPr>
          <w:rFonts w:ascii="Book Antiqua" w:eastAsia="Book Antiqua" w:hAnsi="Book Antiqua" w:cs="Book Antiqua"/>
          <w:color w:val="000000"/>
        </w:rPr>
        <w:t>, 2021</w:t>
      </w:r>
    </w:p>
    <w:p w:rsidR="00A77B3E" w:rsidRPr="00F40118" w:rsidRDefault="00A77B3E" w:rsidP="00EF6CF8">
      <w:pPr>
        <w:adjustRightInd w:val="0"/>
        <w:snapToGrid w:val="0"/>
        <w:spacing w:line="360" w:lineRule="auto"/>
        <w:jc w:val="both"/>
        <w:rPr>
          <w:rFonts w:ascii="Book Antiqua" w:hAnsi="Book Antiqua"/>
          <w:lang w:eastAsia="zh-CN"/>
        </w:rPr>
        <w:sectPr w:rsidR="00A77B3E" w:rsidRPr="00F40118" w:rsidSect="005B3E00">
          <w:footerReference w:type="default" r:id="rId8"/>
          <w:type w:val="continuous"/>
          <w:pgSz w:w="12240" w:h="15840"/>
          <w:pgMar w:top="1440" w:right="1800" w:bottom="1440" w:left="1800" w:header="720" w:footer="720" w:gutter="0"/>
          <w:cols w:space="720"/>
          <w:docGrid w:linePitch="360"/>
        </w:sectPr>
      </w:pPr>
    </w:p>
    <w:p w:rsidR="00A77B3E" w:rsidRPr="00F40118" w:rsidRDefault="00B74B0B"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color w:val="000000"/>
        </w:rPr>
        <w:br w:type="page"/>
      </w:r>
      <w:r w:rsidR="00FF7A14" w:rsidRPr="00F40118">
        <w:rPr>
          <w:rFonts w:ascii="Book Antiqua" w:eastAsia="Book Antiqua" w:hAnsi="Book Antiqua" w:cs="Book Antiqua"/>
          <w:b/>
          <w:color w:val="000000"/>
        </w:rPr>
        <w:t>Abstract</w:t>
      </w: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color w:val="000000"/>
        </w:rPr>
        <w:t>BACKGROUND</w:t>
      </w:r>
    </w:p>
    <w:p w:rsidR="00A77B3E" w:rsidRPr="00F40118" w:rsidRDefault="00FF7A14" w:rsidP="00EF6CF8">
      <w:pPr>
        <w:adjustRightInd w:val="0"/>
        <w:snapToGrid w:val="0"/>
        <w:spacing w:line="360" w:lineRule="auto"/>
        <w:jc w:val="both"/>
        <w:rPr>
          <w:rFonts w:ascii="Book Antiqua" w:hAnsi="Book Antiqua"/>
        </w:rPr>
      </w:pPr>
      <w:bookmarkStart w:id="12" w:name="OLE_LINK5"/>
      <w:bookmarkStart w:id="13" w:name="OLE_LINK6"/>
      <w:bookmarkStart w:id="14" w:name="OLE_LINK36"/>
      <w:r w:rsidRPr="00F40118">
        <w:rPr>
          <w:rFonts w:ascii="Book Antiqua" w:eastAsia="Book Antiqua" w:hAnsi="Book Antiqua" w:cs="Book Antiqua"/>
          <w:color w:val="000000"/>
          <w:shd w:val="clear" w:color="auto" w:fill="FFFFFF"/>
        </w:rPr>
        <w:t xml:space="preserve">Atherosclerotic cardiovascular disease (ASCVD) is the leading cause of mortality in patients with nonalcoholic fatty liver disease (NAFLD). Weight loss is a key factor for successful NAFLD and CVD therapy. </w:t>
      </w:r>
      <w:r w:rsidRPr="00F40118">
        <w:rPr>
          <w:rFonts w:ascii="Book Antiqua" w:eastAsia="Book Antiqua" w:hAnsi="Book Antiqua" w:cs="Book Antiqua"/>
          <w:color w:val="000000"/>
        </w:rPr>
        <w:t xml:space="preserve">Ursodeoxycholic acid (UDCA), </w:t>
      </w:r>
      <w:r w:rsidRPr="00F40118">
        <w:rPr>
          <w:rFonts w:ascii="Book Antiqua" w:eastAsia="Book Antiqua" w:hAnsi="Book Antiqua" w:cs="Book Antiqua"/>
          <w:color w:val="000000"/>
          <w:shd w:val="clear" w:color="auto" w:fill="FFFFFF"/>
        </w:rPr>
        <w:t>which is one of the first-line therapeutic agents for treatment of NAFLD, is reported to have a beneficial effect on dyslipidemia and ASCVD risk because of antioxidant properties.</w:t>
      </w:r>
    </w:p>
    <w:bookmarkEnd w:id="12"/>
    <w:bookmarkEnd w:id="13"/>
    <w:bookmarkEnd w:id="14"/>
    <w:p w:rsidR="00A77B3E" w:rsidRPr="00F40118" w:rsidRDefault="00A77B3E"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color w:val="000000"/>
        </w:rPr>
        <w:t>AIM</w:t>
      </w:r>
    </w:p>
    <w:p w:rsidR="00A77B3E" w:rsidRPr="00F40118" w:rsidRDefault="00FF7A14" w:rsidP="00EF6CF8">
      <w:pPr>
        <w:adjustRightInd w:val="0"/>
        <w:snapToGrid w:val="0"/>
        <w:spacing w:line="360" w:lineRule="auto"/>
        <w:jc w:val="both"/>
        <w:rPr>
          <w:rFonts w:ascii="Book Antiqua" w:hAnsi="Book Antiqua"/>
        </w:rPr>
      </w:pPr>
      <w:bookmarkStart w:id="15" w:name="OLE_LINK37"/>
      <w:bookmarkStart w:id="16" w:name="OLE_LINK38"/>
      <w:r w:rsidRPr="00F40118">
        <w:rPr>
          <w:rFonts w:ascii="Book Antiqua" w:eastAsia="Book Antiqua" w:hAnsi="Book Antiqua" w:cs="Book Antiqua"/>
          <w:color w:val="000000"/>
        </w:rPr>
        <w:t>To evaluate the effects of 6 mo of UDCA treatment on hepatic function tests, lipid profile, hepatic steatosis and fibrosis, atherogenesis, and ASCVD risk in men and women with NAFLD, as well as to assess the impact of &gt;</w:t>
      </w:r>
      <w:r w:rsidR="006B343E"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5% weight reduction on these parameters.</w:t>
      </w:r>
    </w:p>
    <w:bookmarkEnd w:id="15"/>
    <w:bookmarkEnd w:id="16"/>
    <w:p w:rsidR="00A77B3E" w:rsidRPr="00F40118" w:rsidRDefault="00A77B3E"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color w:val="000000"/>
        </w:rPr>
        <w:t>METHODS</w:t>
      </w:r>
    </w:p>
    <w:p w:rsidR="00A77B3E" w:rsidRPr="00F40118" w:rsidRDefault="00FF7A14" w:rsidP="00EF6CF8">
      <w:pPr>
        <w:adjustRightInd w:val="0"/>
        <w:snapToGrid w:val="0"/>
        <w:spacing w:line="360" w:lineRule="auto"/>
        <w:jc w:val="both"/>
        <w:rPr>
          <w:rFonts w:ascii="Book Antiqua" w:hAnsi="Book Antiqua"/>
        </w:rPr>
      </w:pPr>
      <w:bookmarkStart w:id="17" w:name="OLE_LINK39"/>
      <w:bookmarkStart w:id="18" w:name="OLE_LINK40"/>
      <w:r w:rsidRPr="00F40118">
        <w:rPr>
          <w:rFonts w:ascii="Book Antiqua" w:eastAsia="Book Antiqua" w:hAnsi="Book Antiqua" w:cs="Book Antiqua"/>
          <w:color w:val="000000"/>
        </w:rPr>
        <w:t>An</w:t>
      </w:r>
      <w:r w:rsidRPr="00F40118">
        <w:rPr>
          <w:rFonts w:ascii="Book Antiqua" w:eastAsia="Book Antiqua" w:hAnsi="Book Antiqua" w:cs="Book Antiqua"/>
          <w:color w:val="000000"/>
          <w:shd w:val="clear" w:color="auto" w:fill="FFFFFF"/>
        </w:rPr>
        <w:t xml:space="preserve"> open-label, multicenter, international noncomparative trial carried out at </w:t>
      </w:r>
      <w:r w:rsidRPr="00F40118">
        <w:rPr>
          <w:rFonts w:ascii="Book Antiqua" w:eastAsia="Book Antiqua" w:hAnsi="Book Antiqua" w:cs="Book Antiqua"/>
          <w:color w:val="000000"/>
        </w:rPr>
        <w:t xml:space="preserve">primary health care settings </w:t>
      </w:r>
      <w:r w:rsidRPr="00F40118">
        <w:rPr>
          <w:rFonts w:ascii="Book Antiqua" w:eastAsia="Book Antiqua" w:hAnsi="Book Antiqua" w:cs="Book Antiqua"/>
          <w:color w:val="000000"/>
          <w:shd w:val="clear" w:color="auto" w:fill="FFFFFF"/>
        </w:rPr>
        <w:t xml:space="preserve">and included 174 patients with ultrasound-diagnosed NAFLD who received 15 mg/kg/d UDCA for 6 mo and were prescribed lifestyle modification with diet and exercise. The efficacy criteria were liver enzymes, lipid profile, fatty liver index (FLI), </w:t>
      </w:r>
      <w:r w:rsidRPr="00F40118">
        <w:rPr>
          <w:rFonts w:ascii="Book Antiqua" w:eastAsia="Book Antiqua" w:hAnsi="Book Antiqua" w:cs="Book Antiqua"/>
          <w:color w:val="000000"/>
        </w:rPr>
        <w:t>noninvasive</w:t>
      </w:r>
      <w:r w:rsidRPr="00F40118">
        <w:rPr>
          <w:rFonts w:ascii="Book Antiqua" w:eastAsia="Book Antiqua" w:hAnsi="Book Antiqua" w:cs="Book Antiqua"/>
          <w:color w:val="000000"/>
          <w:shd w:val="clear" w:color="auto" w:fill="FFFFFF"/>
        </w:rPr>
        <w:t xml:space="preserve"> liver fibrosis tests (</w:t>
      </w:r>
      <w:r w:rsidR="006B343E" w:rsidRPr="00F40118">
        <w:rPr>
          <w:rFonts w:ascii="Book Antiqua" w:eastAsia="Book Antiqua" w:hAnsi="Book Antiqua" w:cs="Book Antiqua"/>
          <w:color w:val="000000"/>
          <w:shd w:val="clear" w:color="auto" w:fill="FFFFFF"/>
        </w:rPr>
        <w:t>nonalcoholic fatty liver disease fibrosis score</w:t>
      </w:r>
      <w:r w:rsidRPr="00F40118">
        <w:rPr>
          <w:rFonts w:ascii="Book Antiqua" w:eastAsia="Book Antiqua" w:hAnsi="Book Antiqua" w:cs="Book Antiqua"/>
          <w:color w:val="000000"/>
          <w:shd w:val="clear" w:color="auto" w:fill="FFFFFF"/>
        </w:rPr>
        <w:t xml:space="preserve"> and </w:t>
      </w:r>
      <w:r w:rsidR="006B343E" w:rsidRPr="00F40118">
        <w:rPr>
          <w:rFonts w:ascii="Book Antiqua" w:eastAsia="Book Antiqua" w:hAnsi="Book Antiqua" w:cs="Book Antiqua"/>
          <w:color w:val="000000"/>
          <w:shd w:val="clear" w:color="auto" w:fill="FFFFFF"/>
        </w:rPr>
        <w:t>liver fibrosis index</w:t>
      </w:r>
      <w:r w:rsidRPr="00F40118">
        <w:rPr>
          <w:rFonts w:ascii="Book Antiqua" w:eastAsia="Book Antiqua" w:hAnsi="Book Antiqua" w:cs="Book Antiqua"/>
          <w:color w:val="000000"/>
          <w:shd w:val="clear" w:color="auto" w:fill="FFFFFF"/>
        </w:rPr>
        <w:t xml:space="preserve">), carotid intima-media thickness (CIMT), and ASCVD risk score. </w:t>
      </w:r>
      <w:r w:rsidRPr="00F40118">
        <w:rPr>
          <w:rFonts w:ascii="Book Antiqua" w:eastAsia="Book Antiqua" w:hAnsi="Book Antiqua" w:cs="Book Antiqua"/>
          <w:color w:val="000000"/>
        </w:rPr>
        <w:t xml:space="preserve">To test statistical hypotheses, the Wilcoxon test, paired </w:t>
      </w:r>
      <w:r w:rsidRPr="00F40118">
        <w:rPr>
          <w:rFonts w:ascii="Book Antiqua" w:eastAsia="Book Antiqua" w:hAnsi="Book Antiqua" w:cs="Book Antiqua"/>
          <w:i/>
          <w:iCs/>
          <w:color w:val="000000"/>
        </w:rPr>
        <w:t>t</w:t>
      </w:r>
      <w:r w:rsidRPr="00F40118">
        <w:rPr>
          <w:rFonts w:ascii="Book Antiqua" w:eastAsia="Book Antiqua" w:hAnsi="Book Antiqua" w:cs="Book Antiqua"/>
          <w:color w:val="000000"/>
        </w:rPr>
        <w:t xml:space="preserve">-test, Fisher’s exact test, and </w:t>
      </w:r>
      <w:r w:rsidR="0058601F" w:rsidRPr="00F40118">
        <w:rPr>
          <w:rFonts w:ascii="Book Antiqua" w:eastAsia="Book Antiqua" w:hAnsi="Book Antiqua" w:cs="Book Antiqua"/>
          <w:color w:val="000000"/>
        </w:rPr>
        <w:t xml:space="preserve">Pearson's </w:t>
      </w:r>
      <w:r w:rsidRPr="00F40118">
        <w:rPr>
          <w:rFonts w:ascii="Book Antiqua" w:eastAsia="Book Antiqua" w:hAnsi="Book Antiqua" w:cs="Book Antiqua"/>
          <w:color w:val="000000"/>
        </w:rPr>
        <w:t xml:space="preserve">chi-squared test were used. </w:t>
      </w:r>
    </w:p>
    <w:bookmarkEnd w:id="17"/>
    <w:bookmarkEnd w:id="18"/>
    <w:p w:rsidR="00A77B3E" w:rsidRPr="00F40118" w:rsidRDefault="00A77B3E"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color w:val="000000"/>
        </w:rPr>
        <w:t>RESULTS</w:t>
      </w:r>
    </w:p>
    <w:p w:rsidR="00A77B3E" w:rsidRPr="00F40118" w:rsidRDefault="00FF7A14" w:rsidP="00EF6CF8">
      <w:pPr>
        <w:adjustRightInd w:val="0"/>
        <w:snapToGrid w:val="0"/>
        <w:spacing w:line="360" w:lineRule="auto"/>
        <w:jc w:val="both"/>
        <w:rPr>
          <w:rFonts w:ascii="Book Antiqua" w:hAnsi="Book Antiqua"/>
        </w:rPr>
      </w:pPr>
      <w:bookmarkStart w:id="19" w:name="OLE_LINK41"/>
      <w:bookmarkStart w:id="20" w:name="OLE_LINK42"/>
      <w:r w:rsidRPr="00F40118">
        <w:rPr>
          <w:rFonts w:ascii="Book Antiqua" w:eastAsia="Book Antiqua" w:hAnsi="Book Antiqua" w:cs="Book Antiqua"/>
          <w:color w:val="000000"/>
        </w:rPr>
        <w:t xml:space="preserve">The </w:t>
      </w:r>
      <w:r w:rsidR="00BB13D4" w:rsidRPr="00F40118">
        <w:rPr>
          <w:rFonts w:ascii="Book Antiqua" w:eastAsia="Book Antiqua" w:hAnsi="Book Antiqua" w:cs="Book Antiqua"/>
          <w:color w:val="000000"/>
        </w:rPr>
        <w:t>alanine aminotransferase (</w:t>
      </w:r>
      <w:r w:rsidRPr="00F40118">
        <w:rPr>
          <w:rFonts w:ascii="Book Antiqua" w:eastAsia="Book Antiqua" w:hAnsi="Book Antiqua" w:cs="Book Antiqua"/>
          <w:color w:val="000000"/>
        </w:rPr>
        <w:t>ALT</w:t>
      </w:r>
      <w:r w:rsidR="00BB13D4" w:rsidRPr="00F40118">
        <w:rPr>
          <w:rFonts w:ascii="Book Antiqua" w:eastAsia="Book Antiqua" w:hAnsi="Book Antiqua" w:cs="Book Antiqua"/>
          <w:color w:val="000000"/>
        </w:rPr>
        <w:t>)</w:t>
      </w:r>
      <w:r w:rsidRPr="00F40118">
        <w:rPr>
          <w:rFonts w:ascii="Book Antiqua" w:eastAsia="Book Antiqua" w:hAnsi="Book Antiqua" w:cs="Book Antiqua"/>
          <w:color w:val="000000"/>
        </w:rPr>
        <w:t xml:space="preserve"> level changed by -14.1 U/L </w:t>
      </w:r>
      <w:r w:rsidR="00BB13D4" w:rsidRPr="00F40118">
        <w:rPr>
          <w:rFonts w:ascii="Book Antiqua" w:eastAsia="Book Antiqua" w:hAnsi="Book Antiqua" w:cs="Book Antiqua"/>
          <w:color w:val="000000"/>
        </w:rPr>
        <w:t>(</w:t>
      </w:r>
      <w:r w:rsidRPr="00F40118">
        <w:rPr>
          <w:rFonts w:ascii="Book Antiqua" w:eastAsia="Book Antiqua" w:hAnsi="Book Antiqua" w:cs="Book Antiqua"/>
          <w:color w:val="000000"/>
        </w:rPr>
        <w:t>-31.0;</w:t>
      </w:r>
      <w:r w:rsidR="0059660D"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-5.3</w:t>
      </w:r>
      <w:r w:rsidR="00BB13D4" w:rsidRPr="00F40118">
        <w:rPr>
          <w:rFonts w:ascii="Book Antiqua" w:eastAsia="Book Antiqua" w:hAnsi="Book Antiqua" w:cs="Book Antiqua"/>
          <w:color w:val="000000"/>
        </w:rPr>
        <w:t>)</w:t>
      </w:r>
      <w:r w:rsidRPr="00F40118">
        <w:rPr>
          <w:rFonts w:ascii="Book Antiqua" w:eastAsia="Book Antiqua" w:hAnsi="Book Antiqua" w:cs="Book Antiqua"/>
          <w:color w:val="000000"/>
        </w:rPr>
        <w:t xml:space="preserve"> from baseline to 3 mo and by -6.5 U/L </w:t>
      </w:r>
      <w:r w:rsidR="00BB13D4" w:rsidRPr="00F40118">
        <w:rPr>
          <w:rFonts w:ascii="Book Antiqua" w:eastAsia="Book Antiqua" w:hAnsi="Book Antiqua" w:cs="Book Antiqua"/>
          <w:color w:val="000000"/>
        </w:rPr>
        <w:t>(</w:t>
      </w:r>
      <w:r w:rsidR="0093086B" w:rsidRPr="00F40118">
        <w:rPr>
          <w:rFonts w:ascii="Book Antiqua" w:eastAsia="Book Antiqua" w:hAnsi="Book Antiqua" w:cs="Book Antiqua"/>
          <w:color w:val="000000"/>
        </w:rPr>
        <w:t>-14.0</w:t>
      </w:r>
      <w:r w:rsidRPr="00F40118">
        <w:rPr>
          <w:rFonts w:ascii="Book Antiqua" w:eastAsia="Book Antiqua" w:hAnsi="Book Antiqua" w:cs="Book Antiqua"/>
          <w:color w:val="000000"/>
        </w:rPr>
        <w:t>; 0.1</w:t>
      </w:r>
      <w:r w:rsidR="00BB13D4" w:rsidRPr="00F40118">
        <w:rPr>
          <w:rFonts w:ascii="Book Antiqua" w:eastAsia="Book Antiqua" w:hAnsi="Book Antiqua" w:cs="Book Antiqua"/>
          <w:color w:val="000000"/>
        </w:rPr>
        <w:t>)</w:t>
      </w:r>
      <w:r w:rsidRPr="00F40118">
        <w:rPr>
          <w:rFonts w:ascii="Book Antiqua" w:eastAsia="Book Antiqua" w:hAnsi="Book Antiqua" w:cs="Book Antiqua"/>
          <w:color w:val="000000"/>
        </w:rPr>
        <w:t xml:space="preserve"> from 3 to 6 mo. </w:t>
      </w:r>
      <w:r w:rsidRPr="00F40118">
        <w:rPr>
          <w:rStyle w:val="font16"/>
          <w:rFonts w:ascii="Book Antiqua" w:eastAsia="Book Antiqua" w:hAnsi="Book Antiqua" w:cs="Book Antiqua"/>
          <w:color w:val="000000"/>
        </w:rPr>
        <w:t xml:space="preserve">The magnitude of ALT, </w:t>
      </w:r>
      <w:r w:rsidR="00BB13D4" w:rsidRPr="00F40118">
        <w:rPr>
          <w:rFonts w:ascii="Book Antiqua" w:eastAsia="Book Antiqua" w:hAnsi="Book Antiqua" w:cs="Book Antiqua"/>
          <w:color w:val="000000"/>
        </w:rPr>
        <w:t>aspartate transaminase</w:t>
      </w:r>
      <w:r w:rsidRPr="00F40118">
        <w:rPr>
          <w:rFonts w:ascii="Book Antiqua" w:hAnsi="Book Antiqua"/>
        </w:rPr>
        <w:t>,</w:t>
      </w:r>
      <w:r w:rsidRPr="00F40118">
        <w:rPr>
          <w:rStyle w:val="font16"/>
          <w:rFonts w:ascii="Book Antiqua" w:eastAsia="Book Antiqua" w:hAnsi="Book Antiqua" w:cs="Book Antiqua"/>
          <w:color w:val="000000"/>
        </w:rPr>
        <w:t xml:space="preserve"> and </w:t>
      </w:r>
      <w:r w:rsidR="00BB13D4" w:rsidRPr="00F40118">
        <w:rPr>
          <w:rFonts w:ascii="Book Antiqua" w:eastAsia="Book Antiqua" w:hAnsi="Book Antiqua" w:cs="Book Antiqua"/>
          <w:color w:val="000000"/>
        </w:rPr>
        <w:t>glutamyltransferase</w:t>
      </w:r>
      <w:r w:rsidRPr="00F40118">
        <w:rPr>
          <w:rFonts w:ascii="Book Antiqua" w:hAnsi="Book Antiqua"/>
        </w:rPr>
        <w:t xml:space="preserve"> </w:t>
      </w:r>
      <w:r w:rsidRPr="00F40118">
        <w:rPr>
          <w:rStyle w:val="font16"/>
          <w:rFonts w:ascii="Book Antiqua" w:eastAsia="Book Antiqua" w:hAnsi="Book Antiqua" w:cs="Book Antiqua"/>
          <w:color w:val="000000"/>
        </w:rPr>
        <w:t>decrease was greater during the first 3 mo of treatment compared to the subsequent 3 mo (</w:t>
      </w:r>
      <w:r w:rsidRPr="00F40118">
        <w:rPr>
          <w:rStyle w:val="font16"/>
          <w:rFonts w:ascii="Book Antiqua" w:eastAsia="Book Antiqua" w:hAnsi="Book Antiqua" w:cs="Book Antiqua"/>
          <w:i/>
          <w:iCs/>
          <w:color w:val="000000"/>
        </w:rPr>
        <w:t>P</w:t>
      </w:r>
      <w:r w:rsidRPr="00F40118">
        <w:rPr>
          <w:rStyle w:val="font16"/>
          <w:rFonts w:ascii="Book Antiqua" w:eastAsia="Book Antiqua" w:hAnsi="Book Antiqua" w:cs="Book Antiqua"/>
          <w:color w:val="000000"/>
        </w:rPr>
        <w:t xml:space="preserve"> &lt; 0.001, </w:t>
      </w:r>
      <w:r w:rsidRPr="00F40118">
        <w:rPr>
          <w:rStyle w:val="font16"/>
          <w:rFonts w:ascii="Book Antiqua" w:eastAsia="Book Antiqua" w:hAnsi="Book Antiqua" w:cs="Book Antiqua"/>
          <w:i/>
          <w:iCs/>
          <w:color w:val="000000"/>
        </w:rPr>
        <w:t>P</w:t>
      </w:r>
      <w:r w:rsidRPr="00F40118">
        <w:rPr>
          <w:rStyle w:val="font16"/>
          <w:rFonts w:ascii="Book Antiqua" w:eastAsia="Book Antiqua" w:hAnsi="Book Antiqua" w:cs="Book Antiqua"/>
          <w:color w:val="000000"/>
        </w:rPr>
        <w:t xml:space="preserve"> &lt; 0.01, </w:t>
      </w:r>
      <w:r w:rsidRPr="00F40118">
        <w:rPr>
          <w:rStyle w:val="font16"/>
          <w:rFonts w:ascii="Book Antiqua" w:eastAsia="Book Antiqua" w:hAnsi="Book Antiqua" w:cs="Book Antiqua"/>
          <w:i/>
          <w:iCs/>
          <w:color w:val="000000"/>
        </w:rPr>
        <w:t>P</w:t>
      </w:r>
      <w:r w:rsidRPr="00F40118">
        <w:rPr>
          <w:rStyle w:val="font16"/>
          <w:rFonts w:ascii="Book Antiqua" w:eastAsia="Book Antiqua" w:hAnsi="Book Antiqua" w:cs="Book Antiqua"/>
          <w:color w:val="000000"/>
        </w:rPr>
        <w:t xml:space="preserve"> &lt;</w:t>
      </w:r>
      <w:r w:rsidR="0059660D" w:rsidRPr="00F40118">
        <w:rPr>
          <w:rStyle w:val="font16"/>
          <w:rFonts w:ascii="Book Antiqua" w:eastAsia="Book Antiqua" w:hAnsi="Book Antiqua" w:cs="Book Antiqua"/>
          <w:color w:val="000000"/>
        </w:rPr>
        <w:t xml:space="preserve"> </w:t>
      </w:r>
      <w:r w:rsidRPr="00F40118">
        <w:rPr>
          <w:rStyle w:val="font16"/>
          <w:rFonts w:ascii="Book Antiqua" w:eastAsia="Book Antiqua" w:hAnsi="Book Antiqua" w:cs="Book Antiqua"/>
          <w:color w:val="000000"/>
        </w:rPr>
        <w:t xml:space="preserve">0.001, respectively). </w:t>
      </w:r>
      <w:r w:rsidRPr="00F40118">
        <w:rPr>
          <w:rFonts w:ascii="Book Antiqua" w:eastAsia="Book Antiqua" w:hAnsi="Book Antiqua" w:cs="Book Antiqua"/>
          <w:color w:val="000000"/>
        </w:rPr>
        <w:t xml:space="preserve">At 6 mo, in the total sample, we observed a </w:t>
      </w:r>
      <w:r w:rsidRPr="00F40118">
        <w:rPr>
          <w:rFonts w:ascii="Book Antiqua" w:eastAsia="Book Antiqua" w:hAnsi="Book Antiqua" w:cs="Book Antiqua"/>
          <w:color w:val="000000"/>
          <w:shd w:val="clear" w:color="auto" w:fill="FFFFFF"/>
        </w:rPr>
        <w:t>statistically</w:t>
      </w:r>
      <w:r w:rsidRPr="00F40118">
        <w:rPr>
          <w:rFonts w:ascii="Book Antiqua" w:eastAsia="Book Antiqua" w:hAnsi="Book Antiqua" w:cs="Book Antiqua"/>
          <w:color w:val="000000"/>
        </w:rPr>
        <w:t xml:space="preserve"> significant decrease in body weight and levels of FLI: 84.9</w:t>
      </w:r>
      <w:r w:rsidR="0059660D"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w:t>
      </w:r>
      <w:r w:rsidR="0059660D"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 xml:space="preserve">10.4 </w:t>
      </w:r>
      <w:r w:rsidRPr="00F40118">
        <w:rPr>
          <w:rFonts w:ascii="Book Antiqua" w:eastAsia="Book Antiqua" w:hAnsi="Book Antiqua" w:cs="Book Antiqua"/>
          <w:i/>
          <w:iCs/>
          <w:color w:val="000000"/>
        </w:rPr>
        <w:t>vs</w:t>
      </w:r>
      <w:r w:rsidRPr="00F40118">
        <w:rPr>
          <w:rFonts w:ascii="Book Antiqua" w:eastAsia="Book Antiqua" w:hAnsi="Book Antiqua" w:cs="Book Antiqua"/>
          <w:color w:val="000000"/>
        </w:rPr>
        <w:t xml:space="preserve"> 72.3</w:t>
      </w:r>
      <w:r w:rsidR="00BB13D4"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w:t>
      </w:r>
      <w:r w:rsidR="00BB13D4"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 xml:space="preserve">17.6, </w:t>
      </w:r>
      <w:r w:rsidRPr="00F40118">
        <w:rPr>
          <w:rFonts w:ascii="Book Antiqua" w:eastAsia="Book Antiqua" w:hAnsi="Book Antiqua" w:cs="Book Antiqua"/>
          <w:i/>
          <w:iCs/>
          <w:color w:val="000000"/>
        </w:rPr>
        <w:t>P</w:t>
      </w:r>
      <w:r w:rsidRPr="00F40118">
        <w:rPr>
          <w:rFonts w:ascii="Book Antiqua" w:eastAsia="Book Antiqua" w:hAnsi="Book Antiqua" w:cs="Book Antiqua"/>
          <w:color w:val="000000"/>
        </w:rPr>
        <w:t xml:space="preserve"> &lt; 0.001, total cholesterol: 6.03</w:t>
      </w:r>
      <w:r w:rsidR="0059660D"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w:t>
      </w:r>
      <w:r w:rsidR="0059660D"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 xml:space="preserve">1.36 </w:t>
      </w:r>
      <w:r w:rsidRPr="00F40118">
        <w:rPr>
          <w:rFonts w:ascii="Book Antiqua" w:eastAsia="Book Antiqua" w:hAnsi="Book Antiqua" w:cs="Book Antiqua"/>
          <w:i/>
          <w:iCs/>
          <w:color w:val="000000"/>
        </w:rPr>
        <w:t>vs</w:t>
      </w:r>
      <w:r w:rsidRPr="00F40118">
        <w:rPr>
          <w:rFonts w:ascii="Book Antiqua" w:eastAsia="Book Antiqua" w:hAnsi="Book Antiqua" w:cs="Book Antiqua"/>
          <w:color w:val="000000"/>
        </w:rPr>
        <w:t xml:space="preserve"> 5.76</w:t>
      </w:r>
      <w:r w:rsidR="0059660D"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w:t>
      </w:r>
      <w:r w:rsidR="0059660D"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 xml:space="preserve">1.21, </w:t>
      </w:r>
      <w:r w:rsidRPr="00F40118">
        <w:rPr>
          <w:rFonts w:ascii="Book Antiqua" w:eastAsia="Book Antiqua" w:hAnsi="Book Antiqua" w:cs="Book Antiqua"/>
          <w:i/>
          <w:iCs/>
          <w:color w:val="000000"/>
        </w:rPr>
        <w:t>Р</w:t>
      </w:r>
      <w:r w:rsidRPr="00F40118">
        <w:rPr>
          <w:rFonts w:ascii="Book Antiqua" w:eastAsia="Book Antiqua" w:hAnsi="Book Antiqua" w:cs="Book Antiqua"/>
          <w:color w:val="000000"/>
        </w:rPr>
        <w:t xml:space="preserve"> &lt; 0.001, low-density lipoprotein: 3.86</w:t>
      </w:r>
      <w:r w:rsidR="0059660D"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w:t>
      </w:r>
      <w:r w:rsidR="0059660D"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 xml:space="preserve">1.01 </w:t>
      </w:r>
      <w:r w:rsidRPr="00F40118">
        <w:rPr>
          <w:rFonts w:ascii="Book Antiqua" w:eastAsia="Book Antiqua" w:hAnsi="Book Antiqua" w:cs="Book Antiqua"/>
          <w:i/>
          <w:iCs/>
          <w:color w:val="000000"/>
        </w:rPr>
        <w:t>vs</w:t>
      </w:r>
      <w:r w:rsidRPr="00F40118">
        <w:rPr>
          <w:rFonts w:ascii="Book Antiqua" w:eastAsia="Book Antiqua" w:hAnsi="Book Antiqua" w:cs="Book Antiqua"/>
          <w:color w:val="000000"/>
        </w:rPr>
        <w:t xml:space="preserve"> 3.66</w:t>
      </w:r>
      <w:r w:rsidR="0059660D"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w:t>
      </w:r>
      <w:r w:rsidR="0059660D"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 xml:space="preserve">0.91, </w:t>
      </w:r>
      <w:r w:rsidRPr="00F40118">
        <w:rPr>
          <w:rFonts w:ascii="Book Antiqua" w:eastAsia="Book Antiqua" w:hAnsi="Book Antiqua" w:cs="Book Antiqua"/>
          <w:i/>
          <w:iCs/>
          <w:color w:val="000000"/>
        </w:rPr>
        <w:t>Р</w:t>
      </w:r>
      <w:r w:rsidRPr="00F40118">
        <w:rPr>
          <w:rFonts w:ascii="Book Antiqua" w:eastAsia="Book Antiqua" w:hAnsi="Book Antiqua" w:cs="Book Antiqua"/>
          <w:color w:val="000000"/>
        </w:rPr>
        <w:t xml:space="preserve"> &lt; 0.001, and triglyceride: 3.18 </w:t>
      </w:r>
      <w:r w:rsidR="00BB13D4" w:rsidRPr="00F40118">
        <w:rPr>
          <w:rFonts w:ascii="Book Antiqua" w:eastAsia="Book Antiqua" w:hAnsi="Book Antiqua" w:cs="Book Antiqua"/>
          <w:color w:val="000000"/>
        </w:rPr>
        <w:t>(</w:t>
      </w:r>
      <w:r w:rsidRPr="00F40118">
        <w:rPr>
          <w:rFonts w:ascii="Book Antiqua" w:eastAsia="Book Antiqua" w:hAnsi="Book Antiqua" w:cs="Book Antiqua"/>
          <w:color w:val="000000"/>
        </w:rPr>
        <w:t>2.00; 4.29</w:t>
      </w:r>
      <w:r w:rsidR="00BB13D4" w:rsidRPr="00F40118">
        <w:rPr>
          <w:rFonts w:ascii="Book Antiqua" w:eastAsia="Book Antiqua" w:hAnsi="Book Antiqua" w:cs="Book Antiqua"/>
          <w:color w:val="000000"/>
        </w:rPr>
        <w:t>)</w:t>
      </w:r>
      <w:r w:rsidRPr="00F40118">
        <w:rPr>
          <w:rFonts w:ascii="Book Antiqua" w:eastAsia="Book Antiqua" w:hAnsi="Book Antiqua" w:cs="Book Antiqua"/>
          <w:color w:val="000000"/>
        </w:rPr>
        <w:t xml:space="preserve"> </w:t>
      </w:r>
      <w:r w:rsidRPr="00F40118">
        <w:rPr>
          <w:rFonts w:ascii="Book Antiqua" w:eastAsia="Book Antiqua" w:hAnsi="Book Antiqua" w:cs="Book Antiqua"/>
          <w:i/>
          <w:iCs/>
          <w:color w:val="000000"/>
        </w:rPr>
        <w:t>vs</w:t>
      </w:r>
      <w:r w:rsidRPr="00F40118">
        <w:rPr>
          <w:rFonts w:ascii="Book Antiqua" w:eastAsia="Book Antiqua" w:hAnsi="Book Antiqua" w:cs="Book Antiqua"/>
          <w:color w:val="000000"/>
        </w:rPr>
        <w:t xml:space="preserve"> 2.04 </w:t>
      </w:r>
      <w:r w:rsidR="00BB13D4" w:rsidRPr="00F40118">
        <w:rPr>
          <w:rFonts w:ascii="Book Antiqua" w:eastAsia="Book Antiqua" w:hAnsi="Book Antiqua" w:cs="Book Antiqua"/>
          <w:color w:val="000000"/>
        </w:rPr>
        <w:t>(</w:t>
      </w:r>
      <w:r w:rsidRPr="00F40118">
        <w:rPr>
          <w:rFonts w:ascii="Book Antiqua" w:eastAsia="Book Antiqua" w:hAnsi="Book Antiqua" w:cs="Book Antiqua"/>
          <w:color w:val="000000"/>
        </w:rPr>
        <w:t>1.40; 3.16</w:t>
      </w:r>
      <w:r w:rsidR="00BB13D4" w:rsidRPr="00F40118">
        <w:rPr>
          <w:rFonts w:ascii="Book Antiqua" w:eastAsia="Book Antiqua" w:hAnsi="Book Antiqua" w:cs="Book Antiqua"/>
          <w:color w:val="000000"/>
        </w:rPr>
        <w:t>)</w:t>
      </w:r>
      <w:r w:rsidRPr="00F40118">
        <w:rPr>
          <w:rFonts w:ascii="Book Antiqua" w:eastAsia="Book Antiqua" w:hAnsi="Book Antiqua" w:cs="Book Antiqua"/>
          <w:color w:val="000000"/>
        </w:rPr>
        <w:t xml:space="preserve">, </w:t>
      </w:r>
      <w:r w:rsidRPr="00F40118">
        <w:rPr>
          <w:rFonts w:ascii="Book Antiqua" w:eastAsia="Book Antiqua" w:hAnsi="Book Antiqua" w:cs="Book Antiqua"/>
          <w:i/>
          <w:iCs/>
          <w:color w:val="000000"/>
        </w:rPr>
        <w:t>Р</w:t>
      </w:r>
      <w:r w:rsidRPr="00F40118">
        <w:rPr>
          <w:rFonts w:ascii="Book Antiqua" w:eastAsia="Book Antiqua" w:hAnsi="Book Antiqua" w:cs="Book Antiqua"/>
          <w:color w:val="000000"/>
        </w:rPr>
        <w:t xml:space="preserve"> &lt; 0.001. No effect on </w:t>
      </w:r>
      <w:r w:rsidR="00BB13D4" w:rsidRPr="00F40118">
        <w:rPr>
          <w:rFonts w:ascii="Book Antiqua" w:eastAsia="Book Antiqua" w:hAnsi="Book Antiqua" w:cs="Book Antiqua"/>
          <w:color w:val="000000"/>
          <w:shd w:val="clear" w:color="auto" w:fill="FFFFFF"/>
        </w:rPr>
        <w:t>nonalcoholic fatty liver disease fibrosis score</w:t>
      </w:r>
      <w:r w:rsidRPr="00F40118">
        <w:rPr>
          <w:rFonts w:ascii="Book Antiqua" w:eastAsia="Book Antiqua" w:hAnsi="Book Antiqua" w:cs="Book Antiqua"/>
          <w:color w:val="000000"/>
        </w:rPr>
        <w:t xml:space="preserve"> or </w:t>
      </w:r>
      <w:r w:rsidR="006B343E" w:rsidRPr="00F40118">
        <w:rPr>
          <w:rFonts w:ascii="Book Antiqua" w:eastAsia="Book Antiqua" w:hAnsi="Book Antiqua" w:cs="Book Antiqua"/>
          <w:color w:val="000000"/>
          <w:shd w:val="clear" w:color="auto" w:fill="FFFFFF"/>
        </w:rPr>
        <w:t xml:space="preserve">liver fibrosis </w:t>
      </w:r>
      <w:r w:rsidRPr="00F40118">
        <w:rPr>
          <w:rFonts w:ascii="Book Antiqua" w:eastAsia="Book Antiqua" w:hAnsi="Book Antiqua" w:cs="Book Antiqua"/>
          <w:color w:val="000000"/>
        </w:rPr>
        <w:t xml:space="preserve">index was found. The CIMT decreased significantly in the total sample (0.985 ± 0.243 </w:t>
      </w:r>
      <w:r w:rsidRPr="00F40118">
        <w:rPr>
          <w:rFonts w:ascii="Book Antiqua" w:eastAsia="Book Antiqua" w:hAnsi="Book Antiqua" w:cs="Book Antiqua"/>
          <w:i/>
          <w:iCs/>
          <w:color w:val="000000"/>
        </w:rPr>
        <w:t>vs</w:t>
      </w:r>
      <w:r w:rsidRPr="00F40118">
        <w:rPr>
          <w:rFonts w:ascii="Book Antiqua" w:eastAsia="Book Antiqua" w:hAnsi="Book Antiqua" w:cs="Book Antiqua"/>
          <w:color w:val="000000"/>
        </w:rPr>
        <w:t xml:space="preserve"> 0.968 ± 0.237, </w:t>
      </w:r>
      <w:r w:rsidRPr="00F40118">
        <w:rPr>
          <w:rFonts w:ascii="Book Antiqua" w:eastAsia="Book Antiqua" w:hAnsi="Book Antiqua" w:cs="Book Antiqua"/>
          <w:i/>
          <w:iCs/>
          <w:color w:val="000000"/>
        </w:rPr>
        <w:t>P</w:t>
      </w:r>
      <w:r w:rsidRPr="00F40118">
        <w:rPr>
          <w:rFonts w:ascii="Book Antiqua" w:eastAsia="Book Antiqua" w:hAnsi="Book Antiqua" w:cs="Book Antiqua"/>
          <w:color w:val="000000"/>
        </w:rPr>
        <w:t xml:space="preserve"> = 0.013), whereas the high-density lipoprotein (</w:t>
      </w:r>
      <w:r w:rsidRPr="00F40118">
        <w:rPr>
          <w:rFonts w:ascii="Book Antiqua" w:eastAsia="Book Antiqua" w:hAnsi="Book Antiqua" w:cs="Book Antiqua"/>
          <w:i/>
          <w:iCs/>
          <w:color w:val="000000"/>
        </w:rPr>
        <w:t>Р</w:t>
      </w:r>
      <w:r w:rsidRPr="00F40118">
        <w:rPr>
          <w:rFonts w:ascii="Book Antiqua" w:eastAsia="Book Antiqua" w:hAnsi="Book Antiqua" w:cs="Book Antiqua"/>
          <w:color w:val="000000"/>
        </w:rPr>
        <w:t xml:space="preserve"> = 0.036) and 10-year ASCVD risk (</w:t>
      </w:r>
      <w:r w:rsidRPr="00F40118">
        <w:rPr>
          <w:rFonts w:ascii="Book Antiqua" w:eastAsia="Book Antiqua" w:hAnsi="Book Antiqua" w:cs="Book Antiqua"/>
          <w:i/>
          <w:iCs/>
          <w:color w:val="000000"/>
        </w:rPr>
        <w:t xml:space="preserve">Р </w:t>
      </w:r>
      <w:r w:rsidRPr="00F40118">
        <w:rPr>
          <w:rFonts w:ascii="Book Antiqua" w:eastAsia="Book Antiqua" w:hAnsi="Book Antiqua" w:cs="Book Antiqua"/>
          <w:color w:val="000000"/>
        </w:rPr>
        <w:t xml:space="preserve">= 0.003) improved significantly only in women. Fifty-four patients (31%) achieved </w:t>
      </w:r>
      <w:r w:rsidRPr="00F40118">
        <w:rPr>
          <w:rFonts w:ascii="Book Antiqua" w:eastAsia="Book Antiqua" w:hAnsi="Book Antiqua" w:cs="Book Antiqua"/>
          <w:color w:val="000000"/>
          <w:shd w:val="clear" w:color="auto" w:fill="FFFFFF"/>
        </w:rPr>
        <w:t>&gt;</w:t>
      </w:r>
      <w:r w:rsidR="0059660D" w:rsidRPr="00F40118">
        <w:rPr>
          <w:rFonts w:ascii="Book Antiqua" w:eastAsia="Book Antiqua" w:hAnsi="Book Antiqua" w:cs="Book Antiqua"/>
          <w:color w:val="000000"/>
          <w:shd w:val="clear" w:color="auto" w:fill="FFFFFF"/>
        </w:rPr>
        <w:t xml:space="preserve"> </w:t>
      </w:r>
      <w:r w:rsidRPr="00F40118">
        <w:rPr>
          <w:rFonts w:ascii="Book Antiqua" w:eastAsia="Book Antiqua" w:hAnsi="Book Antiqua" w:cs="Book Antiqua"/>
          <w:color w:val="000000"/>
        </w:rPr>
        <w:t>5% weight loss. At the end of the study, the FLI decreased significantly in patients with (88.3</w:t>
      </w:r>
      <w:r w:rsidR="0059660D"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w:t>
      </w:r>
      <w:r w:rsidR="0059660D"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10.</w:t>
      </w:r>
      <w:r w:rsidR="00DB3BAA" w:rsidRPr="00F40118">
        <w:rPr>
          <w:rFonts w:ascii="Book Antiqua" w:eastAsia="Book Antiqua" w:hAnsi="Book Antiqua" w:cs="Book Antiqua"/>
          <w:color w:val="000000"/>
        </w:rPr>
        <w:t>2</w:t>
      </w:r>
      <w:r w:rsidRPr="00F40118">
        <w:rPr>
          <w:rFonts w:ascii="Book Antiqua" w:eastAsia="Book Antiqua" w:hAnsi="Book Antiqua" w:cs="Book Antiqua"/>
          <w:color w:val="000000"/>
        </w:rPr>
        <w:t xml:space="preserve"> </w:t>
      </w:r>
      <w:r w:rsidRPr="00F40118">
        <w:rPr>
          <w:rFonts w:ascii="Book Antiqua" w:eastAsia="Book Antiqua" w:hAnsi="Book Antiqua" w:cs="Book Antiqua"/>
          <w:i/>
          <w:iCs/>
          <w:color w:val="000000"/>
        </w:rPr>
        <w:t>vs</w:t>
      </w:r>
      <w:r w:rsidRPr="00F40118">
        <w:rPr>
          <w:rFonts w:ascii="Book Antiqua" w:eastAsia="Book Antiqua" w:hAnsi="Book Antiqua" w:cs="Book Antiqua"/>
          <w:color w:val="000000"/>
        </w:rPr>
        <w:t xml:space="preserve"> 71.4</w:t>
      </w:r>
      <w:r w:rsidR="0059660D"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w:t>
      </w:r>
      <w:r w:rsidR="0059660D"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 xml:space="preserve">19.6, </w:t>
      </w:r>
      <w:r w:rsidRPr="00F40118">
        <w:rPr>
          <w:rFonts w:ascii="Book Antiqua" w:eastAsia="Book Antiqua" w:hAnsi="Book Antiqua" w:cs="Book Antiqua"/>
          <w:i/>
          <w:iCs/>
          <w:color w:val="000000"/>
        </w:rPr>
        <w:t>P</w:t>
      </w:r>
      <w:r w:rsidRPr="00F40118">
        <w:rPr>
          <w:rFonts w:ascii="Book Antiqua" w:eastAsia="Book Antiqua" w:hAnsi="Book Antiqua" w:cs="Book Antiqua"/>
          <w:color w:val="000000"/>
        </w:rPr>
        <w:t xml:space="preserve"> &lt; 0.001) and without </w:t>
      </w:r>
      <w:r w:rsidRPr="00F40118">
        <w:rPr>
          <w:rFonts w:ascii="Book Antiqua" w:eastAsia="Book Antiqua" w:hAnsi="Book Antiqua" w:cs="Book Antiqua"/>
          <w:color w:val="000000"/>
          <w:shd w:val="clear" w:color="auto" w:fill="FFFFFF"/>
        </w:rPr>
        <w:t>&gt;</w:t>
      </w:r>
      <w:r w:rsidR="0059660D" w:rsidRPr="00F40118">
        <w:rPr>
          <w:rFonts w:ascii="Book Antiqua" w:eastAsia="Book Antiqua" w:hAnsi="Book Antiqua" w:cs="Book Antiqua"/>
          <w:color w:val="000000"/>
          <w:shd w:val="clear" w:color="auto" w:fill="FFFFFF"/>
        </w:rPr>
        <w:t xml:space="preserve"> </w:t>
      </w:r>
      <w:r w:rsidRPr="00F40118">
        <w:rPr>
          <w:rFonts w:ascii="Book Antiqua" w:eastAsia="Book Antiqua" w:hAnsi="Book Antiqua" w:cs="Book Antiqua"/>
          <w:color w:val="000000"/>
        </w:rPr>
        <w:t>5% weight loss (83.5</w:t>
      </w:r>
      <w:r w:rsidR="0059660D"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w:t>
      </w:r>
      <w:r w:rsidR="0059660D"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 xml:space="preserve">10.3 </w:t>
      </w:r>
      <w:r w:rsidRPr="00F40118">
        <w:rPr>
          <w:rFonts w:ascii="Book Antiqua" w:eastAsia="Book Antiqua" w:hAnsi="Book Antiqua" w:cs="Book Antiqua"/>
          <w:i/>
          <w:iCs/>
          <w:color w:val="000000"/>
        </w:rPr>
        <w:t xml:space="preserve">vs </w:t>
      </w:r>
      <w:r w:rsidRPr="00F40118">
        <w:rPr>
          <w:rFonts w:ascii="Book Antiqua" w:eastAsia="Book Antiqua" w:hAnsi="Book Antiqua" w:cs="Book Antiqua"/>
          <w:color w:val="000000"/>
        </w:rPr>
        <w:t>72.8</w:t>
      </w:r>
      <w:r w:rsidR="0059660D"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w:t>
      </w:r>
      <w:r w:rsidR="0059660D"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 xml:space="preserve">16.7, </w:t>
      </w:r>
      <w:r w:rsidRPr="00F40118">
        <w:rPr>
          <w:rFonts w:ascii="Book Antiqua" w:eastAsia="Book Antiqua" w:hAnsi="Book Antiqua" w:cs="Book Antiqua"/>
          <w:i/>
          <w:iCs/>
          <w:color w:val="000000"/>
        </w:rPr>
        <w:t>P</w:t>
      </w:r>
      <w:r w:rsidRPr="00F40118">
        <w:rPr>
          <w:rFonts w:ascii="Book Antiqua" w:eastAsia="Book Antiqua" w:hAnsi="Book Antiqua" w:cs="Book Antiqua"/>
          <w:color w:val="000000"/>
        </w:rPr>
        <w:t xml:space="preserve"> &lt; 0.001). The changes in ALT, </w:t>
      </w:r>
      <w:r w:rsidR="00BB13D4" w:rsidRPr="00F40118">
        <w:rPr>
          <w:rFonts w:ascii="Book Antiqua" w:eastAsia="Book Antiqua" w:hAnsi="Book Antiqua" w:cs="Book Antiqua"/>
          <w:color w:val="000000"/>
        </w:rPr>
        <w:t>aspartate transaminase</w:t>
      </w:r>
      <w:r w:rsidRPr="00F40118">
        <w:rPr>
          <w:rFonts w:ascii="Book Antiqua" w:eastAsia="Book Antiqua" w:hAnsi="Book Antiqua" w:cs="Book Antiqua"/>
          <w:color w:val="000000"/>
        </w:rPr>
        <w:t xml:space="preserve">, </w:t>
      </w:r>
      <w:r w:rsidR="00BB13D4" w:rsidRPr="00F40118">
        <w:rPr>
          <w:rFonts w:ascii="Book Antiqua" w:eastAsia="Book Antiqua" w:hAnsi="Book Antiqua" w:cs="Book Antiqua"/>
          <w:color w:val="000000"/>
        </w:rPr>
        <w:t>glutamyltransferase</w:t>
      </w:r>
      <w:r w:rsidRPr="00F40118">
        <w:rPr>
          <w:rFonts w:ascii="Book Antiqua" w:eastAsia="Book Antiqua" w:hAnsi="Book Antiqua" w:cs="Book Antiqua"/>
          <w:color w:val="000000"/>
        </w:rPr>
        <w:t xml:space="preserve">, </w:t>
      </w:r>
      <w:r w:rsidR="00BB13D4" w:rsidRPr="00F40118">
        <w:rPr>
          <w:rFonts w:ascii="Book Antiqua" w:eastAsia="Book Antiqua" w:hAnsi="Book Antiqua" w:cs="Book Antiqua"/>
          <w:color w:val="000000"/>
        </w:rPr>
        <w:t>total cholesterol</w:t>
      </w:r>
      <w:r w:rsidRPr="00F40118">
        <w:rPr>
          <w:rFonts w:ascii="Book Antiqua" w:eastAsia="Book Antiqua" w:hAnsi="Book Antiqua" w:cs="Book Antiqua"/>
          <w:color w:val="000000"/>
        </w:rPr>
        <w:t xml:space="preserve">, and </w:t>
      </w:r>
      <w:r w:rsidR="00BB13D4" w:rsidRPr="00F40118">
        <w:rPr>
          <w:rFonts w:ascii="Book Antiqua" w:eastAsia="Book Antiqua" w:hAnsi="Book Antiqua" w:cs="Book Antiqua"/>
          <w:color w:val="000000"/>
        </w:rPr>
        <w:t>low-density lipoprotein</w:t>
      </w:r>
      <w:r w:rsidRPr="00F40118">
        <w:rPr>
          <w:rFonts w:ascii="Book Antiqua" w:eastAsia="Book Antiqua" w:hAnsi="Book Antiqua" w:cs="Book Antiqua"/>
          <w:color w:val="000000"/>
        </w:rPr>
        <w:t xml:space="preserve"> levels were similar between the subgroups.</w:t>
      </w:r>
    </w:p>
    <w:bookmarkEnd w:id="19"/>
    <w:bookmarkEnd w:id="20"/>
    <w:p w:rsidR="00A77B3E" w:rsidRPr="00F40118" w:rsidRDefault="00A77B3E"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color w:val="000000"/>
        </w:rPr>
        <w:t>CONCLUSION</w:t>
      </w:r>
    </w:p>
    <w:p w:rsidR="00A77B3E" w:rsidRPr="00F40118" w:rsidRDefault="00FF7A14" w:rsidP="00EF6CF8">
      <w:pPr>
        <w:adjustRightInd w:val="0"/>
        <w:snapToGrid w:val="0"/>
        <w:spacing w:line="360" w:lineRule="auto"/>
        <w:jc w:val="both"/>
        <w:rPr>
          <w:rFonts w:ascii="Book Antiqua" w:hAnsi="Book Antiqua"/>
        </w:rPr>
      </w:pPr>
      <w:bookmarkStart w:id="21" w:name="OLE_LINK43"/>
      <w:bookmarkStart w:id="22" w:name="OLE_LINK44"/>
      <w:r w:rsidRPr="00F40118">
        <w:rPr>
          <w:rFonts w:ascii="Book Antiqua" w:eastAsia="Book Antiqua" w:hAnsi="Book Antiqua" w:cs="Book Antiqua"/>
          <w:color w:val="000000"/>
        </w:rPr>
        <w:t>UDCA normalizes liver enzymes greatly within the first 3 mo of treatment, improves lipid profile and hepatic steatosis independent of weight loss, and has a positive effect on CIMT in the total sample and 10-year ASCVD risk in women after 6 mo of treatment.</w:t>
      </w:r>
    </w:p>
    <w:bookmarkEnd w:id="21"/>
    <w:bookmarkEnd w:id="22"/>
    <w:p w:rsidR="00A77B3E" w:rsidRPr="00F40118" w:rsidRDefault="00A77B3E"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bCs/>
          <w:color w:val="000000"/>
        </w:rPr>
        <w:t xml:space="preserve">Key Words: </w:t>
      </w:r>
      <w:bookmarkStart w:id="23" w:name="OLE_LINK12"/>
      <w:bookmarkStart w:id="24" w:name="OLE_LINK13"/>
      <w:r w:rsidR="0059660D" w:rsidRPr="00F40118">
        <w:rPr>
          <w:rFonts w:ascii="Book Antiqua" w:eastAsia="Book Antiqua" w:hAnsi="Book Antiqua" w:cs="Book Antiqua"/>
          <w:color w:val="000000"/>
        </w:rPr>
        <w:t>U</w:t>
      </w:r>
      <w:r w:rsidRPr="00F40118">
        <w:rPr>
          <w:rFonts w:ascii="Book Antiqua" w:eastAsia="Book Antiqua" w:hAnsi="Book Antiqua" w:cs="Book Antiqua"/>
          <w:color w:val="000000"/>
        </w:rPr>
        <w:t xml:space="preserve">rsodeoxycholic acid; </w:t>
      </w:r>
      <w:r w:rsidR="0059660D" w:rsidRPr="00F40118">
        <w:rPr>
          <w:rFonts w:ascii="Book Antiqua" w:eastAsia="Book Antiqua" w:hAnsi="Book Antiqua" w:cs="Book Antiqua"/>
          <w:color w:val="000000"/>
        </w:rPr>
        <w:t>N</w:t>
      </w:r>
      <w:r w:rsidRPr="00F40118">
        <w:rPr>
          <w:rFonts w:ascii="Book Antiqua" w:eastAsia="Book Antiqua" w:hAnsi="Book Antiqua" w:cs="Book Antiqua"/>
          <w:color w:val="000000"/>
        </w:rPr>
        <w:t xml:space="preserve">onalcoholic fatty liver disease; </w:t>
      </w:r>
      <w:r w:rsidR="0059660D" w:rsidRPr="00F40118">
        <w:rPr>
          <w:rFonts w:ascii="Book Antiqua" w:eastAsia="Book Antiqua" w:hAnsi="Book Antiqua" w:cs="Book Antiqua"/>
          <w:color w:val="000000"/>
        </w:rPr>
        <w:t>L</w:t>
      </w:r>
      <w:r w:rsidRPr="00F40118">
        <w:rPr>
          <w:rFonts w:ascii="Book Antiqua" w:eastAsia="Book Antiqua" w:hAnsi="Book Antiqua" w:cs="Book Antiqua"/>
          <w:color w:val="000000"/>
        </w:rPr>
        <w:t xml:space="preserve">iver function tests; </w:t>
      </w:r>
      <w:r w:rsidR="0059660D" w:rsidRPr="00F40118">
        <w:rPr>
          <w:rFonts w:ascii="Book Antiqua" w:eastAsia="Book Antiqua" w:hAnsi="Book Antiqua" w:cs="Book Antiqua"/>
          <w:color w:val="000000"/>
        </w:rPr>
        <w:t>F</w:t>
      </w:r>
      <w:r w:rsidRPr="00F40118">
        <w:rPr>
          <w:rFonts w:ascii="Book Antiqua" w:eastAsia="Book Antiqua" w:hAnsi="Book Antiqua" w:cs="Book Antiqua"/>
          <w:color w:val="000000"/>
        </w:rPr>
        <w:t xml:space="preserve">atty liver index; </w:t>
      </w:r>
      <w:r w:rsidR="0059660D" w:rsidRPr="00F40118">
        <w:rPr>
          <w:rFonts w:ascii="Book Antiqua" w:eastAsia="Book Antiqua" w:hAnsi="Book Antiqua" w:cs="Book Antiqua"/>
          <w:color w:val="000000"/>
        </w:rPr>
        <w:t>C</w:t>
      </w:r>
      <w:r w:rsidRPr="00F40118">
        <w:rPr>
          <w:rFonts w:ascii="Book Antiqua" w:eastAsia="Book Antiqua" w:hAnsi="Book Antiqua" w:cs="Book Antiqua"/>
          <w:color w:val="000000"/>
        </w:rPr>
        <w:t xml:space="preserve">arotid intima-media thickness; </w:t>
      </w:r>
      <w:r w:rsidR="0059660D" w:rsidRPr="00F40118">
        <w:rPr>
          <w:rFonts w:ascii="Book Antiqua" w:eastAsia="Book Antiqua" w:hAnsi="Book Antiqua" w:cs="Book Antiqua"/>
          <w:color w:val="000000"/>
        </w:rPr>
        <w:t>A</w:t>
      </w:r>
      <w:r w:rsidRPr="00F40118">
        <w:rPr>
          <w:rFonts w:ascii="Book Antiqua" w:eastAsia="Book Antiqua" w:hAnsi="Book Antiqua" w:cs="Book Antiqua"/>
          <w:color w:val="000000"/>
        </w:rPr>
        <w:t>therosclerotic cardiovascular disease</w:t>
      </w:r>
    </w:p>
    <w:bookmarkEnd w:id="23"/>
    <w:bookmarkEnd w:id="24"/>
    <w:p w:rsidR="00F7101F" w:rsidRDefault="00F7101F" w:rsidP="00F7101F">
      <w:pPr>
        <w:spacing w:line="360" w:lineRule="auto"/>
        <w:jc w:val="both"/>
        <w:rPr>
          <w:lang w:eastAsia="zh-CN"/>
        </w:rPr>
      </w:pPr>
    </w:p>
    <w:p w:rsidR="00F7101F" w:rsidRPr="00026CB8" w:rsidRDefault="00F7101F" w:rsidP="00F7101F">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rsidR="00A77B3E" w:rsidRPr="00F40118" w:rsidRDefault="00A77B3E" w:rsidP="00EF6CF8">
      <w:pPr>
        <w:adjustRightInd w:val="0"/>
        <w:snapToGrid w:val="0"/>
        <w:spacing w:line="360" w:lineRule="auto"/>
        <w:jc w:val="both"/>
        <w:rPr>
          <w:rFonts w:ascii="Book Antiqua" w:hAnsi="Book Antiqua"/>
        </w:rPr>
      </w:pPr>
    </w:p>
    <w:p w:rsidR="006720BF" w:rsidRDefault="006720BF" w:rsidP="00EF6CF8">
      <w:pPr>
        <w:adjustRightInd w:val="0"/>
        <w:snapToGrid w:val="0"/>
        <w:spacing w:line="360" w:lineRule="auto"/>
        <w:jc w:val="both"/>
        <w:rPr>
          <w:rFonts w:ascii="Book Antiqua" w:eastAsiaTheme="minorEastAsia" w:hAnsi="Book Antiqua" w:cs="Book Antiqua" w:hint="eastAsia"/>
          <w:color w:val="000000"/>
          <w:lang w:eastAsia="zh-CN"/>
        </w:rPr>
      </w:pPr>
      <w:bookmarkStart w:id="25" w:name="OLE_LINK15"/>
      <w:bookmarkStart w:id="26" w:name="OLE_LINK16"/>
      <w:r w:rsidRPr="006720BF">
        <w:rPr>
          <w:rFonts w:ascii="Book Antiqua" w:eastAsiaTheme="minorEastAsia" w:hAnsi="Book Antiqua" w:cs="Book Antiqua" w:hint="eastAsia"/>
          <w:b/>
          <w:color w:val="000000"/>
          <w:lang w:eastAsia="zh-CN"/>
        </w:rPr>
        <w:t xml:space="preserve">Citation: </w:t>
      </w:r>
      <w:r w:rsidR="00FF7A14" w:rsidRPr="00F40118">
        <w:rPr>
          <w:rFonts w:ascii="Book Antiqua" w:eastAsia="Book Antiqua" w:hAnsi="Book Antiqua" w:cs="Book Antiqua"/>
          <w:color w:val="000000"/>
        </w:rPr>
        <w:t xml:space="preserve">Nadinskaia M, Maevskaya M, Ivashkin V, Kodzoeva K, Pirogova I, Chesnokov E, Nersesov A, Kaibullayeva J, Konysbekova A, Raissova A, Khamrabaeva F, Zueva E. </w:t>
      </w:r>
      <w:r w:rsidR="00E773A0" w:rsidRPr="00F40118">
        <w:rPr>
          <w:rFonts w:ascii="Book Antiqua" w:hAnsi="Book Antiqua"/>
        </w:rPr>
        <w:t>Ursodeoxycholic acid as a means of preventing atherosclerosis, steatosis and liver fibrosis in patients with nonalcoholic fatty liver disease</w:t>
      </w:r>
      <w:r w:rsidR="00E773A0" w:rsidRPr="00F40118">
        <w:rPr>
          <w:rFonts w:ascii="Book Antiqua" w:hAnsi="Book Antiqua"/>
          <w:lang w:eastAsia="zh-CN"/>
        </w:rPr>
        <w:t>.</w:t>
      </w:r>
      <w:r w:rsidR="00FF7A14" w:rsidRPr="00F40118">
        <w:rPr>
          <w:rFonts w:ascii="Book Antiqua" w:eastAsia="Book Antiqua" w:hAnsi="Book Antiqua" w:cs="Book Antiqua"/>
          <w:color w:val="000000"/>
        </w:rPr>
        <w:t xml:space="preserve"> </w:t>
      </w:r>
      <w:r w:rsidR="00FF7A14" w:rsidRPr="00F40118">
        <w:rPr>
          <w:rFonts w:ascii="Book Antiqua" w:eastAsia="Book Antiqua" w:hAnsi="Book Antiqua" w:cs="Book Antiqua"/>
          <w:i/>
          <w:iCs/>
          <w:color w:val="000000"/>
        </w:rPr>
        <w:t>World J Gastroenterol</w:t>
      </w:r>
      <w:r w:rsidR="00DB3B41" w:rsidRPr="00F40118">
        <w:rPr>
          <w:rFonts w:ascii="Book Antiqua" w:eastAsia="Book Antiqua" w:hAnsi="Book Antiqua" w:cs="Book Antiqua"/>
          <w:color w:val="000000"/>
        </w:rPr>
        <w:t xml:space="preserve"> </w:t>
      </w:r>
      <w:r w:rsidR="00884041" w:rsidRPr="0032360E">
        <w:rPr>
          <w:rFonts w:ascii="Book Antiqua" w:eastAsia="Book Antiqua" w:hAnsi="Book Antiqua" w:cs="Book Antiqua"/>
          <w:color w:val="000000"/>
        </w:rPr>
        <w:t>202</w:t>
      </w:r>
      <w:r w:rsidR="00884041">
        <w:rPr>
          <w:rFonts w:ascii="Book Antiqua" w:hAnsi="Book Antiqua" w:cs="Book Antiqua" w:hint="eastAsia"/>
          <w:color w:val="000000"/>
          <w:lang w:eastAsia="zh-CN"/>
        </w:rPr>
        <w:t>1</w:t>
      </w:r>
      <w:r w:rsidR="00884041" w:rsidRPr="0032360E">
        <w:rPr>
          <w:rFonts w:ascii="Book Antiqua" w:eastAsia="Book Antiqua" w:hAnsi="Book Antiqua" w:cs="Book Antiqua"/>
          <w:color w:val="000000"/>
        </w:rPr>
        <w:t>; 2</w:t>
      </w:r>
      <w:r w:rsidR="00884041">
        <w:rPr>
          <w:rFonts w:ascii="Book Antiqua" w:hAnsi="Book Antiqua" w:cs="Book Antiqua" w:hint="eastAsia"/>
          <w:color w:val="000000"/>
          <w:lang w:eastAsia="zh-CN"/>
        </w:rPr>
        <w:t>7</w:t>
      </w:r>
      <w:r w:rsidR="00884041" w:rsidRPr="0032360E">
        <w:rPr>
          <w:rFonts w:ascii="Book Antiqua" w:eastAsia="Book Antiqua" w:hAnsi="Book Antiqua" w:cs="Book Antiqua"/>
          <w:color w:val="000000"/>
        </w:rPr>
        <w:t>(</w:t>
      </w:r>
      <w:r w:rsidR="00467D81">
        <w:rPr>
          <w:rFonts w:ascii="Book Antiqua" w:hAnsi="Book Antiqua" w:cs="Book Antiqua" w:hint="eastAsia"/>
          <w:color w:val="000000"/>
          <w:lang w:eastAsia="zh-CN"/>
        </w:rPr>
        <w:t>10</w:t>
      </w:r>
      <w:r w:rsidR="00884041" w:rsidRPr="0032360E">
        <w:rPr>
          <w:rFonts w:ascii="Book Antiqua" w:eastAsia="Book Antiqua" w:hAnsi="Book Antiqua" w:cs="Book Antiqua"/>
          <w:color w:val="000000"/>
        </w:rPr>
        <w:t xml:space="preserve">): </w:t>
      </w:r>
      <w:r w:rsidR="00055C4D" w:rsidRPr="00055C4D">
        <w:rPr>
          <w:rFonts w:ascii="Book Antiqua" w:hAnsi="Book Antiqua" w:cs="Book Antiqua"/>
          <w:color w:val="000000"/>
          <w:lang w:eastAsia="zh-CN"/>
        </w:rPr>
        <w:t>959-975</w:t>
      </w:r>
      <w:r w:rsidR="00884041" w:rsidRPr="0032360E">
        <w:rPr>
          <w:rFonts w:ascii="Book Antiqua" w:eastAsia="Book Antiqua" w:hAnsi="Book Antiqua" w:cs="Book Antiqua"/>
          <w:color w:val="000000"/>
        </w:rPr>
        <w:t xml:space="preserve">  </w:t>
      </w:r>
    </w:p>
    <w:p w:rsidR="006720BF" w:rsidRDefault="00884041" w:rsidP="00EF6CF8">
      <w:pPr>
        <w:adjustRightInd w:val="0"/>
        <w:snapToGrid w:val="0"/>
        <w:spacing w:line="360" w:lineRule="auto"/>
        <w:jc w:val="both"/>
        <w:rPr>
          <w:rFonts w:ascii="Book Antiqua" w:eastAsiaTheme="minorEastAsia" w:hAnsi="Book Antiqua" w:cs="Book Antiqua" w:hint="eastAsia"/>
          <w:color w:val="000000"/>
          <w:lang w:eastAsia="zh-CN"/>
        </w:rPr>
      </w:pPr>
      <w:r w:rsidRPr="0062596C">
        <w:rPr>
          <w:rFonts w:ascii="Book Antiqua" w:eastAsia="Book Antiqua" w:hAnsi="Book Antiqua" w:cs="Book Antiqua"/>
          <w:b/>
          <w:color w:val="000000"/>
        </w:rPr>
        <w:t xml:space="preserve">URL: </w:t>
      </w:r>
      <w:r w:rsidRPr="0032360E">
        <w:rPr>
          <w:rFonts w:ascii="Book Antiqua" w:eastAsia="Book Antiqua" w:hAnsi="Book Antiqua" w:cs="Book Antiqua"/>
          <w:color w:val="000000"/>
        </w:rPr>
        <w:t>https://www.wjgnet.com/1007-9327/full/v2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sidR="00467D81">
        <w:rPr>
          <w:rFonts w:ascii="Book Antiqua" w:hAnsi="Book Antiqua" w:cs="Book Antiqua" w:hint="eastAsia"/>
          <w:color w:val="000000"/>
          <w:lang w:eastAsia="zh-CN"/>
        </w:rPr>
        <w:t>10</w:t>
      </w:r>
      <w:r w:rsidRPr="0032360E">
        <w:rPr>
          <w:rFonts w:ascii="Book Antiqua" w:eastAsia="Book Antiqua" w:hAnsi="Book Antiqua" w:cs="Book Antiqua"/>
          <w:color w:val="000000"/>
        </w:rPr>
        <w:t>/</w:t>
      </w:r>
      <w:r w:rsidR="00055C4D">
        <w:rPr>
          <w:rFonts w:ascii="Book Antiqua" w:hAnsi="Book Antiqua" w:cs="Book Antiqua" w:hint="eastAsia"/>
          <w:color w:val="000000"/>
          <w:lang w:eastAsia="zh-CN"/>
        </w:rPr>
        <w:t>959</w:t>
      </w:r>
      <w:r w:rsidRPr="0032360E">
        <w:rPr>
          <w:rFonts w:ascii="Book Antiqua" w:eastAsia="Book Antiqua" w:hAnsi="Book Antiqua" w:cs="Book Antiqua"/>
          <w:color w:val="000000"/>
        </w:rPr>
        <w:t xml:space="preserve">.htm  </w:t>
      </w:r>
    </w:p>
    <w:p w:rsidR="00A77B3E" w:rsidRPr="00F40118" w:rsidRDefault="00884041" w:rsidP="00EF6CF8">
      <w:pPr>
        <w:adjustRightInd w:val="0"/>
        <w:snapToGrid w:val="0"/>
        <w:spacing w:line="360" w:lineRule="auto"/>
        <w:jc w:val="both"/>
        <w:rPr>
          <w:rFonts w:ascii="Book Antiqua" w:hAnsi="Book Antiqua"/>
        </w:rPr>
      </w:pPr>
      <w:r w:rsidRPr="0062596C">
        <w:rPr>
          <w:rFonts w:ascii="Book Antiqua" w:eastAsia="Book Antiqua" w:hAnsi="Book Antiqua" w:cs="Book Antiqua"/>
          <w:b/>
          <w:color w:val="000000"/>
        </w:rPr>
        <w:t xml:space="preserve">DOI: </w:t>
      </w:r>
      <w:r w:rsidRPr="0032360E">
        <w:rPr>
          <w:rFonts w:ascii="Book Antiqua" w:eastAsia="Book Antiqua" w:hAnsi="Book Antiqua" w:cs="Book Antiqua"/>
          <w:color w:val="000000"/>
        </w:rPr>
        <w:t>https://dx.doi.org/10.3748/wjg.v2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sidR="00E5114D">
        <w:rPr>
          <w:rFonts w:ascii="Book Antiqua" w:hAnsi="Book Antiqua" w:cs="Book Antiqua" w:hint="eastAsia"/>
          <w:color w:val="000000"/>
          <w:lang w:eastAsia="zh-CN"/>
        </w:rPr>
        <w:t>10</w:t>
      </w:r>
      <w:r w:rsidRPr="0032360E">
        <w:rPr>
          <w:rFonts w:ascii="Book Antiqua" w:eastAsia="Book Antiqua" w:hAnsi="Book Antiqua" w:cs="Book Antiqua"/>
          <w:color w:val="000000"/>
        </w:rPr>
        <w:t>.</w:t>
      </w:r>
      <w:r w:rsidR="00055C4D">
        <w:rPr>
          <w:rFonts w:ascii="Book Antiqua" w:hAnsi="Book Antiqua" w:cs="Book Antiqua" w:hint="eastAsia"/>
          <w:color w:val="000000"/>
          <w:lang w:eastAsia="zh-CN"/>
        </w:rPr>
        <w:t>959</w:t>
      </w:r>
    </w:p>
    <w:bookmarkEnd w:id="25"/>
    <w:bookmarkEnd w:id="26"/>
    <w:p w:rsidR="00A77B3E" w:rsidRPr="00F40118" w:rsidRDefault="00A77B3E"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bCs/>
          <w:color w:val="000000"/>
        </w:rPr>
        <w:t xml:space="preserve">Core Tip: </w:t>
      </w:r>
      <w:bookmarkStart w:id="27" w:name="OLE_LINK34"/>
      <w:bookmarkStart w:id="28" w:name="OLE_LINK35"/>
      <w:bookmarkStart w:id="29" w:name="OLE_LINK14"/>
      <w:bookmarkStart w:id="30" w:name="OLE_LINK3"/>
      <w:bookmarkStart w:id="31" w:name="OLE_LINK4"/>
      <w:r w:rsidRPr="00F40118">
        <w:rPr>
          <w:rFonts w:ascii="Book Antiqua" w:eastAsia="Book Antiqua" w:hAnsi="Book Antiqua" w:cs="Book Antiqua"/>
          <w:color w:val="000000"/>
        </w:rPr>
        <w:t xml:space="preserve">An open-label, multicenter, international noncomparative trial demonstrated the effect of ursodeoxycholic acid (UDCA) on hepatic steatosis and fibrosis, atherogenesis, and </w:t>
      </w:r>
      <w:r w:rsidR="00BB13D4" w:rsidRPr="00F40118">
        <w:rPr>
          <w:rFonts w:ascii="Book Antiqua" w:eastAsia="Book Antiqua" w:hAnsi="Book Antiqua" w:cs="Book Antiqua"/>
          <w:color w:val="000000"/>
          <w:shd w:val="clear" w:color="auto" w:fill="FFFFFF"/>
        </w:rPr>
        <w:t>atherosclerotic cardiovascular disease</w:t>
      </w:r>
      <w:r w:rsidRPr="00F40118">
        <w:rPr>
          <w:rFonts w:ascii="Book Antiqua" w:eastAsia="Book Antiqua" w:hAnsi="Book Antiqua" w:cs="Book Antiqua"/>
          <w:color w:val="000000"/>
        </w:rPr>
        <w:t xml:space="preserve"> risk in 174 ultrasound-diagnosed </w:t>
      </w:r>
      <w:r w:rsidR="00BB13D4" w:rsidRPr="00F40118">
        <w:rPr>
          <w:rFonts w:ascii="Book Antiqua" w:eastAsia="Book Antiqua" w:hAnsi="Book Antiqua" w:cs="Book Antiqua"/>
          <w:color w:val="000000"/>
          <w:shd w:val="clear" w:color="auto" w:fill="FFFFFF"/>
        </w:rPr>
        <w:t>nonalcoholic fatty liver disease</w:t>
      </w:r>
      <w:r w:rsidRPr="00F40118">
        <w:rPr>
          <w:rFonts w:ascii="Book Antiqua" w:eastAsia="Book Antiqua" w:hAnsi="Book Antiqua" w:cs="Book Antiqua"/>
          <w:color w:val="000000"/>
        </w:rPr>
        <w:t xml:space="preserve"> patients who received 15 mg/kg/d UDCA for 6 mo and were prescribed lifestyle modifications with diet and exercise. UDCA had a bidirectional positive effect on the liver and cardiovascular system in patients with and without &gt;</w:t>
      </w:r>
      <w:r w:rsidR="00BB13D4"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 xml:space="preserve">5% weight loss: </w:t>
      </w:r>
      <w:r w:rsidR="00506087" w:rsidRPr="00F40118">
        <w:rPr>
          <w:rFonts w:ascii="Book Antiqua" w:eastAsia="Book Antiqua" w:hAnsi="Book Antiqua" w:cs="Book Antiqua"/>
          <w:color w:val="000000"/>
        </w:rPr>
        <w:t>I</w:t>
      </w:r>
      <w:r w:rsidRPr="00F40118">
        <w:rPr>
          <w:rFonts w:ascii="Book Antiqua" w:eastAsia="Book Antiqua" w:hAnsi="Book Antiqua" w:cs="Book Antiqua"/>
          <w:color w:val="000000"/>
        </w:rPr>
        <w:t xml:space="preserve">t improved liver enzymes, lipid profiles, and hepatic steatosis in addition to improving carotid intima-media thickness and </w:t>
      </w:r>
      <w:r w:rsidR="00BB13D4" w:rsidRPr="00F40118">
        <w:rPr>
          <w:rFonts w:ascii="Book Antiqua" w:eastAsia="Book Antiqua" w:hAnsi="Book Antiqua" w:cs="Book Antiqua"/>
          <w:color w:val="000000"/>
          <w:shd w:val="clear" w:color="auto" w:fill="FFFFFF"/>
        </w:rPr>
        <w:t>atherosclerotic cardiovascular disease</w:t>
      </w:r>
      <w:r w:rsidRPr="00F40118">
        <w:rPr>
          <w:rFonts w:ascii="Book Antiqua" w:eastAsia="Book Antiqua" w:hAnsi="Book Antiqua" w:cs="Book Antiqua"/>
          <w:color w:val="000000"/>
        </w:rPr>
        <w:t xml:space="preserve"> risk.</w:t>
      </w:r>
    </w:p>
    <w:bookmarkEnd w:id="27"/>
    <w:bookmarkEnd w:id="28"/>
    <w:bookmarkEnd w:id="29"/>
    <w:p w:rsidR="00A77B3E" w:rsidRPr="00F40118" w:rsidRDefault="0059660D" w:rsidP="00EF6CF8">
      <w:pPr>
        <w:adjustRightInd w:val="0"/>
        <w:snapToGrid w:val="0"/>
        <w:spacing w:line="360" w:lineRule="auto"/>
        <w:jc w:val="both"/>
        <w:rPr>
          <w:rFonts w:ascii="Book Antiqua" w:hAnsi="Book Antiqua"/>
        </w:rPr>
      </w:pPr>
      <w:r w:rsidRPr="00F40118">
        <w:rPr>
          <w:rFonts w:ascii="Book Antiqua" w:hAnsi="Book Antiqua"/>
        </w:rPr>
        <w:br w:type="page"/>
      </w:r>
      <w:bookmarkEnd w:id="30"/>
      <w:bookmarkEnd w:id="31"/>
      <w:r w:rsidR="00FF7A14" w:rsidRPr="00F40118">
        <w:rPr>
          <w:rFonts w:ascii="Book Antiqua" w:eastAsia="Book Antiqua" w:hAnsi="Book Antiqua" w:cs="Book Antiqua"/>
          <w:b/>
          <w:caps/>
          <w:color w:val="000000"/>
          <w:u w:val="single"/>
        </w:rPr>
        <w:t>INTRODUCTION</w:t>
      </w:r>
    </w:p>
    <w:p w:rsidR="0059660D" w:rsidRPr="00F40118" w:rsidRDefault="00FF7A14" w:rsidP="00EF6CF8">
      <w:pPr>
        <w:adjustRightInd w:val="0"/>
        <w:snapToGrid w:val="0"/>
        <w:spacing w:line="360" w:lineRule="auto"/>
        <w:jc w:val="both"/>
        <w:rPr>
          <w:rFonts w:ascii="Book Antiqua" w:hAnsi="Book Antiqua"/>
        </w:rPr>
      </w:pPr>
      <w:bookmarkStart w:id="32" w:name="OLE_LINK45"/>
      <w:bookmarkStart w:id="33" w:name="OLE_LINK46"/>
      <w:r w:rsidRPr="00F40118">
        <w:rPr>
          <w:rFonts w:ascii="Book Antiqua" w:eastAsia="Book Antiqua" w:hAnsi="Book Antiqua" w:cs="Book Antiqua"/>
          <w:color w:val="000000"/>
        </w:rPr>
        <w:t>Nonalcoholic fatty liver disease (NAFLD) is currently the leading cause of liver disease and liver transplantation in developed countries; the number of people with this pathology is steadily growing</w:t>
      </w:r>
      <w:r w:rsidRPr="00F40118">
        <w:rPr>
          <w:rFonts w:ascii="Book Antiqua" w:eastAsia="Book Antiqua" w:hAnsi="Book Antiqua" w:cs="Book Antiqua"/>
          <w:color w:val="000000"/>
          <w:vertAlign w:val="superscript"/>
        </w:rPr>
        <w:t>[1,2]</w:t>
      </w:r>
      <w:r w:rsidRPr="00F40118">
        <w:rPr>
          <w:rFonts w:ascii="Book Antiqua" w:eastAsia="Book Antiqua" w:hAnsi="Book Antiqua" w:cs="Book Antiqua"/>
          <w:color w:val="000000"/>
        </w:rPr>
        <w:t>. NAFLD-related morbidity in the world is approximately 25%, being the highest in Middle Eastern and South American countries, while in Europe and Asia, the morbidity is approximately the same</w:t>
      </w:r>
      <w:r w:rsidRPr="00F40118">
        <w:rPr>
          <w:rFonts w:ascii="Book Antiqua" w:eastAsia="Book Antiqua" w:hAnsi="Book Antiqua" w:cs="Book Antiqua"/>
          <w:color w:val="000000"/>
          <w:vertAlign w:val="superscript"/>
        </w:rPr>
        <w:t>[3]</w:t>
      </w:r>
      <w:r w:rsidRPr="00F40118">
        <w:rPr>
          <w:rFonts w:ascii="Book Antiqua" w:eastAsia="Book Antiqua" w:hAnsi="Book Antiqua" w:cs="Book Antiqua"/>
          <w:color w:val="000000"/>
        </w:rPr>
        <w:t>.</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Fonts w:ascii="Book Antiqua" w:eastAsia="Book Antiqua" w:hAnsi="Book Antiqua" w:cs="Book Antiqua"/>
          <w:color w:val="000000"/>
        </w:rPr>
        <w:t>According to the DIREG 1, DIREG_L_01903, and DIREG 2 studies, up to 27% of the population suffers from NAFLD in Russia</w:t>
      </w:r>
      <w:r w:rsidRPr="00F40118">
        <w:rPr>
          <w:rFonts w:ascii="Book Antiqua" w:eastAsia="Book Antiqua" w:hAnsi="Book Antiqua" w:cs="Book Antiqua"/>
          <w:color w:val="000000"/>
          <w:vertAlign w:val="superscript"/>
        </w:rPr>
        <w:t>[4]</w:t>
      </w:r>
      <w:r w:rsidRPr="00F40118">
        <w:rPr>
          <w:rFonts w:ascii="Book Antiqua" w:eastAsia="Book Antiqua" w:hAnsi="Book Antiqua" w:cs="Book Antiqua"/>
          <w:color w:val="000000"/>
        </w:rPr>
        <w:t>. In Kazakhstan, the morbidity is almost 30%</w:t>
      </w:r>
      <w:r w:rsidRPr="00F40118">
        <w:rPr>
          <w:rFonts w:ascii="Book Antiqua" w:eastAsia="Book Antiqua" w:hAnsi="Book Antiqua" w:cs="Book Antiqua"/>
          <w:color w:val="000000"/>
          <w:vertAlign w:val="superscript"/>
        </w:rPr>
        <w:t>[5]</w:t>
      </w:r>
      <w:r w:rsidRPr="00F40118">
        <w:rPr>
          <w:rFonts w:ascii="Book Antiqua" w:eastAsia="Book Antiqua" w:hAnsi="Book Antiqua" w:cs="Book Antiqua"/>
          <w:color w:val="000000"/>
        </w:rPr>
        <w:t>, and in Uzbekistan, it reaches 37%</w:t>
      </w:r>
      <w:r w:rsidRPr="00F40118">
        <w:rPr>
          <w:rFonts w:ascii="Book Antiqua" w:eastAsia="Book Antiqua" w:hAnsi="Book Antiqua" w:cs="Book Antiqua"/>
          <w:color w:val="000000"/>
          <w:vertAlign w:val="superscript"/>
        </w:rPr>
        <w:t>[6]</w:t>
      </w:r>
      <w:r w:rsidRPr="00F40118">
        <w:rPr>
          <w:rFonts w:ascii="Book Antiqua" w:eastAsia="Book Antiqua" w:hAnsi="Book Antiqua" w:cs="Book Antiqua"/>
          <w:color w:val="000000"/>
        </w:rPr>
        <w:t>. Among the NAFLD risk factors, obesity is considered to be one of the key factors: a body mass index (BMI) increase of 1 kg/m</w:t>
      </w:r>
      <w:r w:rsidRPr="00F40118">
        <w:rPr>
          <w:rFonts w:ascii="Book Antiqua" w:eastAsia="Book Antiqua" w:hAnsi="Book Antiqua" w:cs="Book Antiqua"/>
          <w:color w:val="000000"/>
          <w:vertAlign w:val="superscript"/>
        </w:rPr>
        <w:t>2</w:t>
      </w:r>
      <w:r w:rsidRPr="00F40118">
        <w:rPr>
          <w:rFonts w:ascii="Book Antiqua" w:eastAsia="Book Antiqua" w:hAnsi="Book Antiqua" w:cs="Book Antiqua"/>
          <w:color w:val="000000"/>
        </w:rPr>
        <w:t xml:space="preserve"> is associated with a 13</w:t>
      </w:r>
      <w:r w:rsidR="00506087" w:rsidRPr="00F40118">
        <w:rPr>
          <w:rFonts w:ascii="Book Antiqua" w:eastAsia="Book Antiqua" w:hAnsi="Book Antiqua" w:cs="Book Antiqua"/>
          <w:color w:val="000000"/>
        </w:rPr>
        <w:t>%</w:t>
      </w:r>
      <w:r w:rsidRPr="00F40118">
        <w:rPr>
          <w:rFonts w:ascii="Book Antiqua" w:eastAsia="Book Antiqua" w:hAnsi="Book Antiqua" w:cs="Book Antiqua"/>
          <w:color w:val="000000"/>
        </w:rPr>
        <w:t>-38% increased risk of NAFLD development</w:t>
      </w:r>
      <w:r w:rsidRPr="00F40118">
        <w:rPr>
          <w:rFonts w:ascii="Book Antiqua" w:eastAsia="Book Antiqua" w:hAnsi="Book Antiqua" w:cs="Book Antiqua"/>
          <w:color w:val="000000"/>
          <w:vertAlign w:val="superscript"/>
        </w:rPr>
        <w:t>[7]</w:t>
      </w:r>
      <w:r w:rsidRPr="00F40118">
        <w:rPr>
          <w:rFonts w:ascii="Book Antiqua" w:eastAsia="Book Antiqua" w:hAnsi="Book Antiqua" w:cs="Book Antiqua"/>
          <w:color w:val="000000"/>
        </w:rPr>
        <w:t>. Such a high morbidity puts this disease among the most important diseases in primary health care.</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Fonts w:ascii="Book Antiqua" w:eastAsia="Book Antiqua" w:hAnsi="Book Antiqua" w:cs="Book Antiqua"/>
          <w:color w:val="000000"/>
        </w:rPr>
        <w:t>NAFLD is often associated with cardiovascular diseases (CVDs), which have become the main cause of decreased life expectancy in patients</w:t>
      </w:r>
      <w:r w:rsidRPr="00F40118">
        <w:rPr>
          <w:rFonts w:ascii="Book Antiqua" w:eastAsia="Book Antiqua" w:hAnsi="Book Antiqua" w:cs="Book Antiqua"/>
          <w:color w:val="000000"/>
          <w:vertAlign w:val="superscript"/>
        </w:rPr>
        <w:t>[8,9]</w:t>
      </w:r>
      <w:r w:rsidRPr="00F40118">
        <w:rPr>
          <w:rFonts w:ascii="Book Antiqua" w:eastAsia="Book Antiqua" w:hAnsi="Book Antiqua" w:cs="Book Antiqua"/>
          <w:color w:val="000000"/>
        </w:rPr>
        <w:t>. According to one prospective study with over almost three decades of follow-up, 30% of deaths in patients with NAFLD were due to CVD, and 19% were due to liver disease</w:t>
      </w:r>
      <w:r w:rsidRPr="00F40118">
        <w:rPr>
          <w:rFonts w:ascii="Book Antiqua" w:eastAsia="Book Antiqua" w:hAnsi="Book Antiqua" w:cs="Book Antiqua"/>
          <w:color w:val="000000"/>
          <w:vertAlign w:val="superscript"/>
        </w:rPr>
        <w:t>[10]</w:t>
      </w:r>
      <w:r w:rsidRPr="00F40118">
        <w:rPr>
          <w:rFonts w:ascii="Book Antiqua" w:eastAsia="Book Antiqua" w:hAnsi="Book Antiqua" w:cs="Book Antiqua"/>
          <w:color w:val="000000"/>
        </w:rPr>
        <w:t>.</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Fonts w:ascii="Book Antiqua" w:eastAsia="Book Antiqua" w:hAnsi="Book Antiqua" w:cs="Book Antiqua"/>
          <w:color w:val="000000"/>
        </w:rPr>
        <w:t>The gold standard methods for the diagnosis of NAFLD are liver biopsy, proton magnetic resonance spectroscopy, and quantitative fat/water selective magnetic resonance imaging.</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Fonts w:ascii="Book Antiqua" w:eastAsia="Book Antiqua" w:hAnsi="Book Antiqua" w:cs="Book Antiqua"/>
          <w:color w:val="000000"/>
        </w:rPr>
        <w:t xml:space="preserve">An ultrasound examination (US), a less expensive and more accessible method, is preferred for hepatic steatosis detection in primary health care settings. NAFLD is diagnosed after steatosis secondary causes are excluded. At all stages of the disease, the following validated scales are used: the </w:t>
      </w:r>
      <w:r w:rsidRPr="00F40118">
        <w:rPr>
          <w:rFonts w:ascii="Book Antiqua" w:eastAsia="Book Antiqua" w:hAnsi="Book Antiqua" w:cs="Book Antiqua"/>
          <w:color w:val="000000"/>
          <w:shd w:val="clear" w:color="auto" w:fill="FFFFFF"/>
        </w:rPr>
        <w:t>fatty liver index (FLI), nonalcoholic fatty liver disease fibrosis score</w:t>
      </w:r>
      <w:r w:rsidRPr="00F40118">
        <w:rPr>
          <w:rFonts w:ascii="Book Antiqua" w:eastAsia="Book Antiqua" w:hAnsi="Book Antiqua" w:cs="Book Antiqua"/>
          <w:color w:val="000000"/>
        </w:rPr>
        <w:t xml:space="preserve"> (NFS), and </w:t>
      </w:r>
      <w:r w:rsidRPr="00F40118">
        <w:rPr>
          <w:rFonts w:ascii="Book Antiqua" w:eastAsia="Book Antiqua" w:hAnsi="Book Antiqua" w:cs="Book Antiqua"/>
          <w:color w:val="000000"/>
          <w:shd w:val="clear" w:color="auto" w:fill="FFFFFF"/>
        </w:rPr>
        <w:t>liver fibrosis index (</w:t>
      </w:r>
      <w:r w:rsidRPr="00F40118">
        <w:rPr>
          <w:rFonts w:ascii="Book Antiqua" w:eastAsia="Book Antiqua" w:hAnsi="Book Antiqua" w:cs="Book Antiqua"/>
          <w:color w:val="000000"/>
        </w:rPr>
        <w:t>FIB-4)</w:t>
      </w:r>
      <w:r w:rsidRPr="00F40118">
        <w:rPr>
          <w:rFonts w:ascii="Book Antiqua" w:eastAsia="Book Antiqua" w:hAnsi="Book Antiqua" w:cs="Book Antiqua"/>
          <w:color w:val="000000"/>
          <w:vertAlign w:val="superscript"/>
        </w:rPr>
        <w:t>[11]</w:t>
      </w:r>
      <w:r w:rsidRPr="00F40118">
        <w:rPr>
          <w:rFonts w:ascii="Book Antiqua" w:eastAsia="Book Antiqua" w:hAnsi="Book Antiqua" w:cs="Book Antiqua"/>
          <w:color w:val="000000"/>
        </w:rPr>
        <w:t>.</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Fonts w:ascii="Book Antiqua" w:eastAsia="Book Antiqua" w:hAnsi="Book Antiqua" w:cs="Book Antiqua"/>
          <w:color w:val="000000"/>
          <w:shd w:val="clear" w:color="auto" w:fill="FFFFFF"/>
        </w:rPr>
        <w:t>Validated scales are also used to assess the CVD risk in patients with NAFLD. To accomplish this task, the Atherosclerotic Cardiovascular Disease (ASCVD) 2013 Risk Calculator and the Framingham Risk Score (2008)</w:t>
      </w:r>
      <w:r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shd w:val="clear" w:color="auto" w:fill="FFFFFF"/>
        </w:rPr>
        <w:t>are used, the results of which, according to a recent study, correlate with the severity of steatosis according to US data and fibrosis severity, as assessed by the NFS and FIB-4</w:t>
      </w:r>
      <w:r w:rsidRPr="00F40118">
        <w:rPr>
          <w:rFonts w:ascii="Book Antiqua" w:eastAsia="Book Antiqua" w:hAnsi="Book Antiqua" w:cs="Book Antiqua"/>
          <w:color w:val="000000"/>
          <w:vertAlign w:val="superscript"/>
        </w:rPr>
        <w:t>[12]</w:t>
      </w:r>
      <w:r w:rsidRPr="00F40118">
        <w:rPr>
          <w:rFonts w:ascii="Book Antiqua" w:eastAsia="Book Antiqua" w:hAnsi="Book Antiqua" w:cs="Book Antiqua"/>
          <w:color w:val="000000"/>
        </w:rPr>
        <w:t>.</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Fonts w:ascii="Book Antiqua" w:eastAsia="Book Antiqua" w:hAnsi="Book Antiqua" w:cs="Book Antiqua"/>
          <w:color w:val="000000"/>
        </w:rPr>
        <w:t>In a number of studies, it has been noted that hepatic steatosis is an early predictor of coronary atherosclerosis and is associated with an increase in carotid intima-media thickness (CIMT)</w:t>
      </w:r>
      <w:r w:rsidRPr="00F40118">
        <w:rPr>
          <w:rFonts w:ascii="Book Antiqua" w:eastAsia="Book Antiqua" w:hAnsi="Book Antiqua" w:cs="Book Antiqua"/>
          <w:color w:val="000000"/>
          <w:vertAlign w:val="superscript"/>
        </w:rPr>
        <w:t>[13,14]</w:t>
      </w:r>
      <w:r w:rsidRPr="00F40118">
        <w:rPr>
          <w:rFonts w:ascii="Book Antiqua" w:eastAsia="Book Antiqua" w:hAnsi="Book Antiqua" w:cs="Book Antiqua"/>
          <w:color w:val="000000"/>
        </w:rPr>
        <w:t xml:space="preserve"> as well as with uncalcified atherosclerotic plaque formation</w:t>
      </w:r>
      <w:r w:rsidRPr="00F40118">
        <w:rPr>
          <w:rFonts w:ascii="Book Antiqua" w:eastAsia="Book Antiqua" w:hAnsi="Book Antiqua" w:cs="Book Antiqua"/>
          <w:color w:val="000000"/>
          <w:vertAlign w:val="superscript"/>
        </w:rPr>
        <w:t>[15]</w:t>
      </w:r>
      <w:r w:rsidRPr="00F40118">
        <w:rPr>
          <w:rFonts w:ascii="Book Antiqua" w:eastAsia="Book Antiqua" w:hAnsi="Book Antiqua" w:cs="Book Antiqua"/>
          <w:color w:val="000000"/>
        </w:rPr>
        <w:t>.</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Fonts w:ascii="Book Antiqua" w:eastAsia="Book Antiqua" w:hAnsi="Book Antiqua" w:cs="Book Antiqua"/>
          <w:color w:val="000000"/>
        </w:rPr>
        <w:t>There is currently no approved standard therapy for NAFLD. The main factor in successful treatment is weight loss, which is a key link in both NAFLD itself and CVD pathogenesis</w:t>
      </w:r>
      <w:r w:rsidRPr="00F40118">
        <w:rPr>
          <w:rFonts w:ascii="Book Antiqua" w:eastAsia="Book Antiqua" w:hAnsi="Book Antiqua" w:cs="Book Antiqua"/>
          <w:color w:val="000000"/>
          <w:vertAlign w:val="superscript"/>
        </w:rPr>
        <w:t>[16]</w:t>
      </w:r>
      <w:r w:rsidRPr="00F40118">
        <w:rPr>
          <w:rFonts w:ascii="Book Antiqua" w:eastAsia="Book Antiqua" w:hAnsi="Book Antiqua" w:cs="Book Antiqua"/>
          <w:color w:val="000000"/>
        </w:rPr>
        <w:t>. Among the NAFLD drug treatments, those that affect various disease pathogenesis links may be considered, including increased sensitivity to insulin (pioglitazone, rosiglitazone and liraglutide), lipid-lowering agents (statins), and antioxidant and cytoprotective drugs such as ursodeoxycholic acid (UDCA), vitamin E, obeticholic acid, and omega-3 fatty acid-polyunsaturated fatty acids</w:t>
      </w:r>
      <w:r w:rsidRPr="00F40118">
        <w:rPr>
          <w:rFonts w:ascii="Book Antiqua" w:eastAsia="Book Antiqua" w:hAnsi="Book Antiqua" w:cs="Book Antiqua"/>
          <w:color w:val="000000"/>
          <w:vertAlign w:val="superscript"/>
        </w:rPr>
        <w:t>[</w:t>
      </w:r>
      <w:r w:rsidR="00670B44" w:rsidRPr="00F40118">
        <w:rPr>
          <w:rFonts w:ascii="Book Antiqua" w:eastAsia="Book Antiqua" w:hAnsi="Book Antiqua" w:cs="Book Antiqua"/>
          <w:color w:val="000000"/>
          <w:vertAlign w:val="superscript"/>
        </w:rPr>
        <w:t>17</w:t>
      </w:r>
      <w:r w:rsidR="00046E2A" w:rsidRPr="00F40118">
        <w:rPr>
          <w:rFonts w:ascii="Book Antiqua" w:eastAsia="Book Antiqua" w:hAnsi="Book Antiqua" w:cs="Book Antiqua"/>
          <w:color w:val="000000"/>
          <w:vertAlign w:val="superscript"/>
        </w:rPr>
        <w:t>-24</w:t>
      </w:r>
      <w:r w:rsidRPr="00F40118">
        <w:rPr>
          <w:rFonts w:ascii="Book Antiqua" w:eastAsia="Book Antiqua" w:hAnsi="Book Antiqua" w:cs="Book Antiqua"/>
          <w:color w:val="000000"/>
          <w:vertAlign w:val="superscript"/>
        </w:rPr>
        <w:t>]</w:t>
      </w:r>
      <w:r w:rsidRPr="00F40118">
        <w:rPr>
          <w:rFonts w:ascii="Book Antiqua" w:eastAsia="Book Antiqua" w:hAnsi="Book Antiqua" w:cs="Book Antiqua"/>
          <w:color w:val="000000"/>
        </w:rPr>
        <w:t>.</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Fonts w:ascii="Book Antiqua" w:eastAsia="Book Antiqua" w:hAnsi="Book Antiqua" w:cs="Book Antiqua"/>
          <w:color w:val="000000"/>
          <w:shd w:val="clear" w:color="auto" w:fill="FFFFFF"/>
        </w:rPr>
        <w:t>Several antioxidant mechanisms may explain the beneficial effect of</w:t>
      </w:r>
      <w:r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shd w:val="clear" w:color="auto" w:fill="FFFFFF"/>
        </w:rPr>
        <w:t xml:space="preserve">UDCA on dyslipidemia and CVD risk. UDCA treatment seems to protect against </w:t>
      </w:r>
      <w:r w:rsidRPr="00F40118">
        <w:rPr>
          <w:rFonts w:ascii="Book Antiqua" w:eastAsia="Book Antiqua" w:hAnsi="Book Antiqua" w:cs="Book Antiqua"/>
          <w:color w:val="000000"/>
        </w:rPr>
        <w:t xml:space="preserve">iron-dependent and hydroxyl radical-dependent oxidative damage, inhibit lipid peroxidation products, and prevent </w:t>
      </w:r>
      <w:r w:rsidR="00506087" w:rsidRPr="00F40118">
        <w:rPr>
          <w:rFonts w:ascii="Book Antiqua" w:eastAsia="Book Antiqua" w:hAnsi="Book Antiqua" w:cs="Book Antiqua"/>
          <w:color w:val="000000"/>
        </w:rPr>
        <w:t>reactive oxygen species</w:t>
      </w:r>
      <w:r w:rsidRPr="00F40118">
        <w:rPr>
          <w:rFonts w:ascii="Book Antiqua" w:eastAsia="Book Antiqua" w:hAnsi="Book Antiqua" w:cs="Book Antiqua"/>
          <w:color w:val="000000"/>
        </w:rPr>
        <w:t>-induced oxidative stress by activation of the PI3K/Akt/Nrf2 pathway in hepatocytes</w:t>
      </w:r>
      <w:r w:rsidRPr="00F40118">
        <w:rPr>
          <w:rFonts w:ascii="Book Antiqua" w:eastAsia="Book Antiqua" w:hAnsi="Book Antiqua" w:cs="Book Antiqua"/>
          <w:color w:val="000000"/>
          <w:vertAlign w:val="superscript"/>
        </w:rPr>
        <w:t>[</w:t>
      </w:r>
      <w:r w:rsidR="00283293" w:rsidRPr="00F40118">
        <w:rPr>
          <w:rFonts w:ascii="Book Antiqua" w:eastAsia="Book Antiqua" w:hAnsi="Book Antiqua" w:cs="Book Antiqua"/>
          <w:color w:val="000000"/>
          <w:vertAlign w:val="superscript"/>
        </w:rPr>
        <w:t>25-33</w:t>
      </w:r>
      <w:r w:rsidRPr="00F40118">
        <w:rPr>
          <w:rFonts w:ascii="Book Antiqua" w:eastAsia="Book Antiqua" w:hAnsi="Book Antiqua" w:cs="Book Antiqua"/>
          <w:color w:val="000000"/>
          <w:vertAlign w:val="superscript"/>
        </w:rPr>
        <w:t>]</w:t>
      </w:r>
      <w:r w:rsidRPr="00F40118">
        <w:rPr>
          <w:rFonts w:ascii="Book Antiqua" w:eastAsia="Book Antiqua" w:hAnsi="Book Antiqua" w:cs="Book Antiqua"/>
          <w:color w:val="000000"/>
        </w:rPr>
        <w:t xml:space="preserve">. Recent studies demonstrated that the oxidative stress products increase significantly along with the thickening of artery intima, and </w:t>
      </w:r>
      <w:r w:rsidRPr="00F40118">
        <w:rPr>
          <w:rFonts w:ascii="Book Antiqua" w:eastAsia="Book Antiqua" w:hAnsi="Book Antiqua" w:cs="Book Antiqua"/>
          <w:color w:val="000000"/>
          <w:shd w:val="clear" w:color="auto" w:fill="FFFFFF"/>
        </w:rPr>
        <w:t>elevated peroxidative glutathione redox status is associated with atherosclerosis progressing</w:t>
      </w:r>
      <w:r w:rsidRPr="00F40118">
        <w:rPr>
          <w:rFonts w:ascii="Book Antiqua" w:eastAsia="Book Antiqua" w:hAnsi="Book Antiqua" w:cs="Book Antiqua"/>
          <w:color w:val="000000"/>
          <w:shd w:val="clear" w:color="auto" w:fill="FFFFFF"/>
          <w:vertAlign w:val="superscript"/>
        </w:rPr>
        <w:t>[</w:t>
      </w:r>
      <w:r w:rsidR="00283293" w:rsidRPr="00F40118">
        <w:rPr>
          <w:rFonts w:ascii="Book Antiqua" w:eastAsia="Book Antiqua" w:hAnsi="Book Antiqua" w:cs="Book Antiqua"/>
          <w:color w:val="000000"/>
          <w:shd w:val="clear" w:color="auto" w:fill="FFFFFF"/>
          <w:vertAlign w:val="superscript"/>
        </w:rPr>
        <w:t>34,35</w:t>
      </w:r>
      <w:r w:rsidRPr="00F40118">
        <w:rPr>
          <w:rFonts w:ascii="Book Antiqua" w:eastAsia="Book Antiqua" w:hAnsi="Book Antiqua" w:cs="Book Antiqua"/>
          <w:color w:val="000000"/>
          <w:shd w:val="clear" w:color="auto" w:fill="FFFFFF"/>
          <w:vertAlign w:val="superscript"/>
        </w:rPr>
        <w:t>]</w:t>
      </w:r>
      <w:r w:rsidRPr="00F40118">
        <w:rPr>
          <w:rFonts w:ascii="Book Antiqua" w:eastAsia="Book Antiqua" w:hAnsi="Book Antiqua" w:cs="Book Antiqua"/>
          <w:color w:val="000000"/>
          <w:shd w:val="clear" w:color="auto" w:fill="FFFFFF"/>
        </w:rPr>
        <w:t>.</w:t>
      </w:r>
      <w:r w:rsidRPr="00F40118">
        <w:rPr>
          <w:rFonts w:ascii="Book Antiqua" w:eastAsia="Book Antiqua" w:hAnsi="Book Antiqua" w:cs="Book Antiqua"/>
          <w:color w:val="000000"/>
        </w:rPr>
        <w:t xml:space="preserve"> </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Fonts w:ascii="Book Antiqua" w:eastAsia="Book Antiqua" w:hAnsi="Book Antiqua" w:cs="Book Antiqua"/>
          <w:color w:val="000000"/>
        </w:rPr>
        <w:t>Study Purpose: To evaluate the effects of 6 mo of UDCA treatment on liver function tests (LFT), lipid profile, hepatic steatosis and fibrosis, atherogenesis, and CVD risk in men and women with NAFLD, as well as to assess the impact of &gt;</w:t>
      </w:r>
      <w:r w:rsidR="00DC07DC"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5% weight reduction on these parameters.</w:t>
      </w:r>
    </w:p>
    <w:bookmarkEnd w:id="32"/>
    <w:bookmarkEnd w:id="33"/>
    <w:p w:rsidR="00A77B3E" w:rsidRPr="00F40118" w:rsidRDefault="00A77B3E"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caps/>
          <w:color w:val="000000"/>
          <w:u w:val="single"/>
        </w:rPr>
        <w:t>MATERIALS AND METHODS</w:t>
      </w:r>
    </w:p>
    <w:p w:rsidR="00A77B3E" w:rsidRPr="00F40118" w:rsidRDefault="00FF7A14" w:rsidP="00EF6CF8">
      <w:pPr>
        <w:adjustRightInd w:val="0"/>
        <w:snapToGrid w:val="0"/>
        <w:spacing w:line="360" w:lineRule="auto"/>
        <w:jc w:val="both"/>
        <w:rPr>
          <w:rFonts w:ascii="Book Antiqua" w:hAnsi="Book Antiqua"/>
        </w:rPr>
      </w:pPr>
      <w:bookmarkStart w:id="34" w:name="OLE_LINK47"/>
      <w:bookmarkStart w:id="35" w:name="OLE_LINK48"/>
      <w:r w:rsidRPr="00F40118">
        <w:rPr>
          <w:rFonts w:ascii="Book Antiqua" w:eastAsia="Book Antiqua" w:hAnsi="Book Antiqua" w:cs="Book Antiqua"/>
          <w:color w:val="000000"/>
        </w:rPr>
        <w:t>An open international noncomparative study with the code USPEH</w:t>
      </w:r>
      <w:r w:rsidR="00B9165C">
        <w:rPr>
          <w:rFonts w:ascii="Book Antiqua" w:eastAsia="Book Antiqua" w:hAnsi="Book Antiqua" w:cs="Book Antiqua"/>
          <w:color w:val="000000"/>
        </w:rPr>
        <w:t xml:space="preserve"> </w:t>
      </w:r>
      <w:r w:rsidRPr="00F40118">
        <w:rPr>
          <w:rFonts w:ascii="Book Antiqua" w:eastAsia="Book Antiqua" w:hAnsi="Book Antiqua" w:cs="Book Antiqua"/>
          <w:color w:val="000000"/>
        </w:rPr>
        <w:t>–Ursodeoxycholic acid as a mean</w:t>
      </w:r>
      <w:r w:rsidR="00506087" w:rsidRPr="00F40118">
        <w:rPr>
          <w:rFonts w:ascii="Book Antiqua" w:eastAsia="Book Antiqua" w:hAnsi="Book Antiqua" w:cs="Book Antiqua"/>
          <w:color w:val="000000"/>
        </w:rPr>
        <w:t>s</w:t>
      </w:r>
      <w:r w:rsidRPr="00F40118">
        <w:rPr>
          <w:rFonts w:ascii="Book Antiqua" w:eastAsia="Book Antiqua" w:hAnsi="Book Antiqua" w:cs="Book Antiqua"/>
          <w:color w:val="000000"/>
        </w:rPr>
        <w:t xml:space="preserve"> of </w:t>
      </w:r>
      <w:r w:rsidR="00506087" w:rsidRPr="00F40118">
        <w:rPr>
          <w:rFonts w:ascii="Book Antiqua" w:eastAsia="Book Antiqua" w:hAnsi="Book Antiqua" w:cs="Book Antiqua"/>
          <w:color w:val="000000"/>
        </w:rPr>
        <w:t>p</w:t>
      </w:r>
      <w:r w:rsidRPr="00F40118">
        <w:rPr>
          <w:rFonts w:ascii="Book Antiqua" w:eastAsia="Book Antiqua" w:hAnsi="Book Antiqua" w:cs="Book Antiqua"/>
          <w:color w:val="000000"/>
        </w:rPr>
        <w:t>reventing ath</w:t>
      </w:r>
      <w:r w:rsidR="00506087" w:rsidRPr="00F40118">
        <w:rPr>
          <w:rFonts w:ascii="Book Antiqua" w:eastAsia="Book Antiqua" w:hAnsi="Book Antiqua" w:cs="Book Antiqua"/>
          <w:color w:val="000000"/>
        </w:rPr>
        <w:t>e</w:t>
      </w:r>
      <w:r w:rsidRPr="00F40118">
        <w:rPr>
          <w:rFonts w:ascii="Book Antiqua" w:eastAsia="Book Antiqua" w:hAnsi="Book Antiqua" w:cs="Book Antiqua"/>
          <w:color w:val="000000"/>
        </w:rPr>
        <w:t>rosclerosis, steatosis and liver fibrosis in patients with nonalco</w:t>
      </w:r>
      <w:r w:rsidR="00506087" w:rsidRPr="00F40118">
        <w:rPr>
          <w:rFonts w:ascii="Book Antiqua" w:eastAsia="Book Antiqua" w:hAnsi="Book Antiqua" w:cs="Book Antiqua"/>
          <w:color w:val="000000"/>
        </w:rPr>
        <w:t>h</w:t>
      </w:r>
      <w:r w:rsidRPr="00F40118">
        <w:rPr>
          <w:rFonts w:ascii="Book Antiqua" w:eastAsia="Book Antiqua" w:hAnsi="Book Antiqua" w:cs="Book Antiqua"/>
          <w:color w:val="000000"/>
        </w:rPr>
        <w:t>olic fatty liver disease</w:t>
      </w:r>
      <w:r w:rsidR="00B9165C">
        <w:rPr>
          <w:rFonts w:ascii="Book Antiqua" w:eastAsia="Book Antiqua" w:hAnsi="Book Antiqua" w:cs="Book Antiqua"/>
          <w:color w:val="000000"/>
        </w:rPr>
        <w:t xml:space="preserve"> </w:t>
      </w:r>
      <w:r w:rsidRPr="00F40118">
        <w:rPr>
          <w:rFonts w:ascii="Book Antiqua" w:eastAsia="Book Antiqua" w:hAnsi="Book Antiqua" w:cs="Book Antiqua"/>
          <w:color w:val="000000"/>
        </w:rPr>
        <w:t>–</w:t>
      </w:r>
      <w:r w:rsidR="00B9165C">
        <w:rPr>
          <w:rFonts w:ascii="Book Antiqua" w:eastAsia="Book Antiqua" w:hAnsi="Book Antiqua" w:cs="Book Antiqua"/>
          <w:color w:val="000000"/>
        </w:rPr>
        <w:t xml:space="preserve"> </w:t>
      </w:r>
      <w:r w:rsidRPr="00F40118">
        <w:rPr>
          <w:rFonts w:ascii="Book Antiqua" w:eastAsia="Book Antiqua" w:hAnsi="Book Antiqua" w:cs="Book Antiqua"/>
          <w:color w:val="000000"/>
        </w:rPr>
        <w:t>was carried out at primary health care settings.</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Fonts w:ascii="Book Antiqua" w:eastAsia="Book Antiqua" w:hAnsi="Book Antiqua" w:cs="Book Antiqua"/>
          <w:color w:val="000000"/>
        </w:rPr>
        <w:t>The study protocol passed the review procedure and was approved at a meeting of an independent interdisciplinary committee on the ethical review of clinical trials in each center of the Russian Federation, Kazakhstan and Uzbekistan. The study took place from November 01, 2017, until August 31, 2018.</w:t>
      </w:r>
    </w:p>
    <w:p w:rsidR="00DC07DC" w:rsidRPr="00F40118" w:rsidRDefault="00DC07DC" w:rsidP="00EF6CF8">
      <w:pPr>
        <w:adjustRightInd w:val="0"/>
        <w:snapToGrid w:val="0"/>
        <w:spacing w:line="360" w:lineRule="auto"/>
        <w:ind w:firstLine="426"/>
        <w:jc w:val="both"/>
        <w:rPr>
          <w:rFonts w:ascii="Book Antiqua" w:eastAsia="Book Antiqua" w:hAnsi="Book Antiqua" w:cs="Book Antiqua"/>
          <w:b/>
          <w:bCs/>
          <w:i/>
          <w:iCs/>
          <w:color w:val="000000"/>
        </w:rPr>
      </w:pPr>
    </w:p>
    <w:p w:rsidR="00A77B3E" w:rsidRPr="00F40118" w:rsidRDefault="00FF7A14" w:rsidP="00EF6CF8">
      <w:pPr>
        <w:adjustRightInd w:val="0"/>
        <w:snapToGrid w:val="0"/>
        <w:spacing w:line="360" w:lineRule="auto"/>
        <w:jc w:val="both"/>
        <w:rPr>
          <w:rFonts w:ascii="Book Antiqua" w:hAnsi="Book Antiqua"/>
          <w:b/>
          <w:bCs/>
        </w:rPr>
      </w:pPr>
      <w:r w:rsidRPr="00F40118">
        <w:rPr>
          <w:rFonts w:ascii="Book Antiqua" w:eastAsia="Book Antiqua" w:hAnsi="Book Antiqua" w:cs="Book Antiqua"/>
          <w:b/>
          <w:bCs/>
          <w:i/>
          <w:iCs/>
          <w:color w:val="000000"/>
        </w:rPr>
        <w:t>Inclusion criteria</w:t>
      </w:r>
    </w:p>
    <w:p w:rsidR="00A77B3E" w:rsidRPr="00F40118" w:rsidRDefault="00DC07DC" w:rsidP="00EF6CF8">
      <w:pPr>
        <w:adjustRightInd w:val="0"/>
        <w:snapToGrid w:val="0"/>
        <w:spacing w:line="360" w:lineRule="auto"/>
        <w:jc w:val="both"/>
        <w:rPr>
          <w:rFonts w:ascii="Book Antiqua" w:hAnsi="Book Antiqua"/>
        </w:rPr>
      </w:pPr>
      <w:r w:rsidRPr="00F40118">
        <w:rPr>
          <w:rFonts w:ascii="Book Antiqua" w:eastAsia="Book Antiqua" w:hAnsi="Book Antiqua" w:cs="Book Antiqua"/>
          <w:color w:val="000000"/>
        </w:rPr>
        <w:t>A</w:t>
      </w:r>
      <w:r w:rsidR="00FF7A14" w:rsidRPr="00F40118">
        <w:rPr>
          <w:rFonts w:ascii="Book Antiqua" w:eastAsia="Book Antiqua" w:hAnsi="Book Antiqua" w:cs="Book Antiqua"/>
          <w:color w:val="000000"/>
        </w:rPr>
        <w:t>ge over 18</w:t>
      </w:r>
      <w:r w:rsidR="00FF7A14" w:rsidRPr="00F40118">
        <w:rPr>
          <w:rStyle w:val="font16"/>
          <w:rFonts w:ascii="Book Antiqua" w:eastAsia="Book Antiqua" w:hAnsi="Book Antiqua" w:cs="Book Antiqua"/>
          <w:color w:val="000000"/>
        </w:rPr>
        <w:t>;</w:t>
      </w:r>
      <w:r w:rsidRPr="00F40118">
        <w:rPr>
          <w:rFonts w:ascii="Book Antiqua" w:hAnsi="Book Antiqua"/>
          <w:lang w:eastAsia="zh-CN"/>
        </w:rPr>
        <w:t xml:space="preserve"> </w:t>
      </w:r>
      <w:r w:rsidR="00FF7A14" w:rsidRPr="00F40118">
        <w:rPr>
          <w:rFonts w:ascii="Book Antiqua" w:eastAsia="Book Antiqua" w:hAnsi="Book Antiqua" w:cs="Book Antiqua"/>
          <w:color w:val="000000"/>
        </w:rPr>
        <w:t>proven NAFLD case based on US abdominal data</w:t>
      </w:r>
      <w:r w:rsidR="00FF7A14" w:rsidRPr="00F40118">
        <w:rPr>
          <w:rStyle w:val="font16"/>
          <w:rFonts w:ascii="Book Antiqua" w:eastAsia="Book Antiqua" w:hAnsi="Book Antiqua" w:cs="Book Antiqua"/>
          <w:color w:val="000000"/>
        </w:rPr>
        <w:t>;</w:t>
      </w:r>
      <w:r w:rsidRPr="00F40118">
        <w:rPr>
          <w:rFonts w:ascii="Book Antiqua" w:hAnsi="Book Antiqua"/>
          <w:lang w:eastAsia="zh-CN"/>
        </w:rPr>
        <w:t xml:space="preserve"> </w:t>
      </w:r>
      <w:r w:rsidR="00FF7A14" w:rsidRPr="00F40118">
        <w:rPr>
          <w:rStyle w:val="font16"/>
          <w:rFonts w:ascii="Book Antiqua" w:eastAsia="Book Antiqua" w:hAnsi="Book Antiqua" w:cs="Book Antiqua"/>
          <w:color w:val="000000"/>
        </w:rPr>
        <w:t>FLI index value</w:t>
      </w:r>
      <w:r w:rsidR="00506087" w:rsidRPr="00F40118">
        <w:rPr>
          <w:rStyle w:val="font16"/>
          <w:rFonts w:ascii="Book Antiqua" w:eastAsia="Book Antiqua" w:hAnsi="Book Antiqua" w:cs="Book Antiqua"/>
          <w:color w:val="000000"/>
        </w:rPr>
        <w:t xml:space="preserve"> </w:t>
      </w:r>
      <w:r w:rsidR="00FF7A14" w:rsidRPr="00F40118">
        <w:rPr>
          <w:rStyle w:val="font16"/>
          <w:rFonts w:ascii="Book Antiqua" w:eastAsia="Book Antiqua" w:hAnsi="Book Antiqua" w:cs="Book Antiqua"/>
          <w:color w:val="000000"/>
        </w:rPr>
        <w:t>&gt;</w:t>
      </w:r>
      <w:r w:rsidR="00506087" w:rsidRPr="00F40118">
        <w:rPr>
          <w:rStyle w:val="font16"/>
          <w:rFonts w:ascii="Book Antiqua" w:eastAsia="Book Antiqua" w:hAnsi="Book Antiqua" w:cs="Book Antiqua"/>
          <w:color w:val="000000"/>
        </w:rPr>
        <w:t xml:space="preserve"> </w:t>
      </w:r>
      <w:r w:rsidR="00FF7A14" w:rsidRPr="00F40118">
        <w:rPr>
          <w:rStyle w:val="font16"/>
          <w:rFonts w:ascii="Book Antiqua" w:eastAsia="Book Antiqua" w:hAnsi="Book Antiqua" w:cs="Book Antiqua"/>
          <w:color w:val="000000"/>
        </w:rPr>
        <w:t>60;</w:t>
      </w:r>
      <w:r w:rsidRPr="00F40118">
        <w:rPr>
          <w:rFonts w:ascii="Book Antiqua" w:hAnsi="Book Antiqua"/>
          <w:lang w:eastAsia="zh-CN"/>
        </w:rPr>
        <w:t xml:space="preserve"> </w:t>
      </w:r>
      <w:r w:rsidR="00FF7A14" w:rsidRPr="00F40118">
        <w:rPr>
          <w:rStyle w:val="font16"/>
          <w:rFonts w:ascii="Book Antiqua" w:eastAsia="Book Antiqua" w:hAnsi="Book Antiqua" w:cs="Book Antiqua"/>
          <w:color w:val="000000"/>
        </w:rPr>
        <w:t>the physician's decision to prescribe UDCA regardless of the patient's inclusion in the study;</w:t>
      </w:r>
      <w:r w:rsidRPr="00F40118">
        <w:rPr>
          <w:rStyle w:val="font16"/>
          <w:rFonts w:ascii="Book Antiqua" w:eastAsia="Book Antiqua" w:hAnsi="Book Antiqua" w:cs="Book Antiqua"/>
          <w:color w:val="000000"/>
        </w:rPr>
        <w:t xml:space="preserve"> </w:t>
      </w:r>
      <w:r w:rsidR="00FF7A14" w:rsidRPr="00F40118">
        <w:rPr>
          <w:rStyle w:val="font16"/>
          <w:rFonts w:ascii="Book Antiqua" w:eastAsia="Book Antiqua" w:hAnsi="Book Antiqua" w:cs="Book Antiqua"/>
          <w:color w:val="000000"/>
        </w:rPr>
        <w:t>and</w:t>
      </w:r>
      <w:r w:rsidRPr="00F40118">
        <w:rPr>
          <w:rFonts w:ascii="Book Antiqua" w:hAnsi="Book Antiqua"/>
          <w:lang w:eastAsia="zh-CN"/>
        </w:rPr>
        <w:t xml:space="preserve"> </w:t>
      </w:r>
      <w:r w:rsidR="00FF7A14" w:rsidRPr="00F40118">
        <w:rPr>
          <w:rStyle w:val="font16"/>
          <w:rFonts w:ascii="Book Antiqua" w:eastAsia="Book Antiqua" w:hAnsi="Book Antiqua" w:cs="Book Antiqua"/>
          <w:color w:val="000000"/>
        </w:rPr>
        <w:t>availability of the patient's written informed consent to participate in the program and use of personal data in accordance with the legislation of the participating countries</w:t>
      </w:r>
      <w:r w:rsidR="00FF7A14" w:rsidRPr="00F40118">
        <w:rPr>
          <w:rFonts w:ascii="Book Antiqua" w:eastAsia="Book Antiqua" w:hAnsi="Book Antiqua" w:cs="Book Antiqua"/>
          <w:color w:val="000000"/>
        </w:rPr>
        <w:t>.</w:t>
      </w:r>
    </w:p>
    <w:p w:rsidR="00DC07DC" w:rsidRPr="00F40118" w:rsidRDefault="00DC07DC" w:rsidP="00EF6CF8">
      <w:pPr>
        <w:adjustRightInd w:val="0"/>
        <w:snapToGrid w:val="0"/>
        <w:spacing w:line="360" w:lineRule="auto"/>
        <w:jc w:val="both"/>
        <w:rPr>
          <w:rFonts w:ascii="Book Antiqua" w:eastAsia="Book Antiqua" w:hAnsi="Book Antiqua" w:cs="Book Antiqua"/>
          <w:b/>
          <w:bCs/>
          <w:i/>
          <w:iCs/>
          <w:color w:val="000000"/>
        </w:rPr>
      </w:pPr>
    </w:p>
    <w:p w:rsidR="00A77B3E" w:rsidRPr="00F40118" w:rsidRDefault="00FF7A14" w:rsidP="00EF6CF8">
      <w:pPr>
        <w:adjustRightInd w:val="0"/>
        <w:snapToGrid w:val="0"/>
        <w:spacing w:line="360" w:lineRule="auto"/>
        <w:jc w:val="both"/>
        <w:rPr>
          <w:rFonts w:ascii="Book Antiqua" w:hAnsi="Book Antiqua"/>
          <w:b/>
          <w:bCs/>
        </w:rPr>
      </w:pPr>
      <w:r w:rsidRPr="00F40118">
        <w:rPr>
          <w:rFonts w:ascii="Book Antiqua" w:eastAsia="Book Antiqua" w:hAnsi="Book Antiqua" w:cs="Book Antiqua"/>
          <w:b/>
          <w:bCs/>
          <w:i/>
          <w:iCs/>
          <w:color w:val="000000"/>
        </w:rPr>
        <w:t>Non</w:t>
      </w:r>
      <w:r w:rsidR="00D91363" w:rsidRPr="00F40118">
        <w:rPr>
          <w:rFonts w:ascii="Book Antiqua" w:eastAsia="Book Antiqua" w:hAnsi="Book Antiqua" w:cs="Book Antiqua"/>
          <w:b/>
          <w:bCs/>
          <w:i/>
          <w:iCs/>
          <w:color w:val="000000"/>
        </w:rPr>
        <w:t>-</w:t>
      </w:r>
      <w:r w:rsidRPr="00F40118">
        <w:rPr>
          <w:rFonts w:ascii="Book Antiqua" w:eastAsia="Book Antiqua" w:hAnsi="Book Antiqua" w:cs="Book Antiqua"/>
          <w:b/>
          <w:bCs/>
          <w:i/>
          <w:iCs/>
          <w:color w:val="000000"/>
        </w:rPr>
        <w:t>inclusion criteria</w:t>
      </w:r>
    </w:p>
    <w:p w:rsidR="00A77B3E" w:rsidRPr="00F40118" w:rsidRDefault="00DC07DC" w:rsidP="00EF6CF8">
      <w:pPr>
        <w:adjustRightInd w:val="0"/>
        <w:snapToGrid w:val="0"/>
        <w:spacing w:line="360" w:lineRule="auto"/>
        <w:jc w:val="both"/>
        <w:rPr>
          <w:rFonts w:ascii="Book Antiqua" w:hAnsi="Book Antiqua"/>
        </w:rPr>
      </w:pPr>
      <w:r w:rsidRPr="00F40118">
        <w:rPr>
          <w:rFonts w:ascii="Book Antiqua" w:eastAsia="Book Antiqua" w:hAnsi="Book Antiqua" w:cs="Book Antiqua"/>
          <w:color w:val="000000"/>
        </w:rPr>
        <w:t>P</w:t>
      </w:r>
      <w:r w:rsidR="00FF7A14" w:rsidRPr="00F40118">
        <w:rPr>
          <w:rFonts w:ascii="Book Antiqua" w:eastAsia="Book Antiqua" w:hAnsi="Book Antiqua" w:cs="Book Antiqua"/>
          <w:color w:val="000000"/>
        </w:rPr>
        <w:t>regnancy;</w:t>
      </w:r>
      <w:r w:rsidRPr="00F40118">
        <w:rPr>
          <w:rFonts w:ascii="Book Antiqua" w:hAnsi="Book Antiqua"/>
          <w:lang w:eastAsia="zh-CN"/>
        </w:rPr>
        <w:t xml:space="preserve"> </w:t>
      </w:r>
      <w:r w:rsidR="00FF7A14" w:rsidRPr="00F40118">
        <w:rPr>
          <w:rFonts w:ascii="Book Antiqua" w:eastAsia="Book Antiqua" w:hAnsi="Book Antiqua" w:cs="Book Antiqua"/>
          <w:color w:val="000000"/>
        </w:rPr>
        <w:t>hepatic decompensation (serum albumin ≤ 35 g/L, international normalized</w:t>
      </w:r>
      <w:r w:rsidRPr="00F40118">
        <w:rPr>
          <w:rFonts w:ascii="Book Antiqua" w:eastAsia="Book Antiqua" w:hAnsi="Book Antiqua" w:cs="Book Antiqua"/>
          <w:color w:val="000000"/>
        </w:rPr>
        <w:t xml:space="preserve"> </w:t>
      </w:r>
      <w:r w:rsidR="00FF7A14" w:rsidRPr="00F40118">
        <w:rPr>
          <w:rFonts w:ascii="Book Antiqua" w:eastAsia="Book Antiqua" w:hAnsi="Book Antiqua" w:cs="Book Antiqua"/>
          <w:color w:val="000000"/>
        </w:rPr>
        <w:t>ratio ≥ 1.2, platelets &lt;</w:t>
      </w:r>
      <w:r w:rsidR="00506087" w:rsidRPr="00F40118">
        <w:rPr>
          <w:rFonts w:ascii="Book Antiqua" w:eastAsia="Book Antiqua" w:hAnsi="Book Antiqua" w:cs="Book Antiqua"/>
          <w:color w:val="000000"/>
        </w:rPr>
        <w:t xml:space="preserve"> </w:t>
      </w:r>
      <w:r w:rsidR="00FF7A14" w:rsidRPr="00F40118">
        <w:rPr>
          <w:rFonts w:ascii="Book Antiqua" w:eastAsia="Book Antiqua" w:hAnsi="Book Antiqua" w:cs="Book Antiqua"/>
          <w:color w:val="000000"/>
        </w:rPr>
        <w:t>150 × 10</w:t>
      </w:r>
      <w:r w:rsidR="00FF7A14" w:rsidRPr="00F40118">
        <w:rPr>
          <w:rFonts w:ascii="Book Antiqua" w:eastAsia="Book Antiqua" w:hAnsi="Book Antiqua" w:cs="Book Antiqua"/>
          <w:color w:val="000000"/>
          <w:vertAlign w:val="superscript"/>
        </w:rPr>
        <w:t>9</w:t>
      </w:r>
      <w:r w:rsidR="00FF7A14" w:rsidRPr="00F40118">
        <w:rPr>
          <w:rFonts w:ascii="Book Antiqua" w:eastAsia="Book Antiqua" w:hAnsi="Book Antiqua" w:cs="Book Antiqua"/>
          <w:color w:val="000000"/>
        </w:rPr>
        <w:t>/L)</w:t>
      </w:r>
      <w:r w:rsidR="00FF7A14" w:rsidRPr="00F40118">
        <w:rPr>
          <w:rStyle w:val="font16"/>
          <w:rFonts w:ascii="Book Antiqua" w:eastAsia="Book Antiqua" w:hAnsi="Book Antiqua" w:cs="Book Antiqua"/>
          <w:color w:val="000000"/>
        </w:rPr>
        <w:t>;</w:t>
      </w:r>
      <w:r w:rsidRPr="00F40118">
        <w:rPr>
          <w:rFonts w:ascii="Book Antiqua" w:hAnsi="Book Antiqua"/>
          <w:lang w:eastAsia="zh-CN"/>
        </w:rPr>
        <w:t xml:space="preserve"> </w:t>
      </w:r>
      <w:r w:rsidR="00FF7A14" w:rsidRPr="00F40118">
        <w:rPr>
          <w:rFonts w:ascii="Book Antiqua" w:eastAsia="Book Antiqua" w:hAnsi="Book Antiqua" w:cs="Book Antiqua"/>
          <w:color w:val="000000"/>
        </w:rPr>
        <w:t>UDCA allergy in past medical history</w:t>
      </w:r>
      <w:r w:rsidR="00FF7A14" w:rsidRPr="00F40118">
        <w:rPr>
          <w:rStyle w:val="font16"/>
          <w:rFonts w:ascii="Book Antiqua" w:eastAsia="Book Antiqua" w:hAnsi="Book Antiqua" w:cs="Book Antiqua"/>
          <w:color w:val="000000"/>
        </w:rPr>
        <w:t>;</w:t>
      </w:r>
      <w:r w:rsidRPr="00F40118">
        <w:rPr>
          <w:rFonts w:ascii="Book Antiqua" w:hAnsi="Book Antiqua"/>
          <w:lang w:eastAsia="zh-CN"/>
        </w:rPr>
        <w:t xml:space="preserve"> </w:t>
      </w:r>
      <w:r w:rsidR="00FF7A14" w:rsidRPr="00F40118">
        <w:rPr>
          <w:rFonts w:ascii="Book Antiqua" w:eastAsia="Book Antiqua" w:hAnsi="Book Antiqua" w:cs="Book Antiqua"/>
          <w:color w:val="000000"/>
        </w:rPr>
        <w:t>presence of atherosclerosis complications</w:t>
      </w:r>
      <w:r w:rsidR="00FF7A14" w:rsidRPr="00F40118">
        <w:rPr>
          <w:rStyle w:val="font16"/>
          <w:rFonts w:ascii="Book Antiqua" w:eastAsia="Book Antiqua" w:hAnsi="Book Antiqua" w:cs="Book Antiqua"/>
          <w:color w:val="000000"/>
        </w:rPr>
        <w:t>;</w:t>
      </w:r>
      <w:r w:rsidRPr="00F40118">
        <w:rPr>
          <w:rFonts w:ascii="Book Antiqua" w:hAnsi="Book Antiqua"/>
          <w:lang w:eastAsia="zh-CN"/>
        </w:rPr>
        <w:t xml:space="preserve"> </w:t>
      </w:r>
      <w:r w:rsidR="00FF7A14" w:rsidRPr="00F40118">
        <w:rPr>
          <w:rFonts w:ascii="Book Antiqua" w:eastAsia="Book Antiqua" w:hAnsi="Book Antiqua" w:cs="Book Antiqua"/>
          <w:color w:val="000000"/>
        </w:rPr>
        <w:t>use of statins;</w:t>
      </w:r>
      <w:r w:rsidRPr="00F40118">
        <w:rPr>
          <w:rFonts w:ascii="Book Antiqua" w:hAnsi="Book Antiqua"/>
          <w:lang w:eastAsia="zh-CN"/>
        </w:rPr>
        <w:t xml:space="preserve"> </w:t>
      </w:r>
      <w:r w:rsidR="00FF7A14" w:rsidRPr="00F40118">
        <w:rPr>
          <w:rFonts w:ascii="Book Antiqua" w:eastAsia="Book Antiqua" w:hAnsi="Book Antiqua" w:cs="Book Antiqua"/>
          <w:color w:val="000000"/>
        </w:rPr>
        <w:t>use of other drugs that potentially affect the studied parameters</w:t>
      </w:r>
      <w:r w:rsidR="00FF7A14" w:rsidRPr="00F40118">
        <w:rPr>
          <w:rStyle w:val="font16"/>
          <w:rFonts w:ascii="Book Antiqua" w:eastAsia="Book Antiqua" w:hAnsi="Book Antiqua" w:cs="Book Antiqua"/>
          <w:color w:val="000000"/>
        </w:rPr>
        <w:t>;</w:t>
      </w:r>
      <w:r w:rsidRPr="00F40118">
        <w:rPr>
          <w:rFonts w:ascii="Book Antiqua" w:hAnsi="Book Antiqua"/>
          <w:lang w:eastAsia="zh-CN"/>
        </w:rPr>
        <w:t xml:space="preserve"> </w:t>
      </w:r>
      <w:r w:rsidR="00FF7A14" w:rsidRPr="00F40118">
        <w:rPr>
          <w:rFonts w:ascii="Book Antiqua" w:eastAsia="Book Antiqua" w:hAnsi="Book Antiqua" w:cs="Book Antiqua"/>
          <w:color w:val="000000"/>
        </w:rPr>
        <w:t>use of medications in past medical history associated with secondary hepatic steatosis development (amiodarone, methotrexate,</w:t>
      </w:r>
      <w:r w:rsidRPr="00F40118">
        <w:rPr>
          <w:rFonts w:ascii="Book Antiqua" w:eastAsia="Book Antiqua" w:hAnsi="Book Antiqua" w:cs="Book Antiqua"/>
          <w:color w:val="000000"/>
        </w:rPr>
        <w:t xml:space="preserve"> </w:t>
      </w:r>
      <w:r w:rsidR="00FF7A14" w:rsidRPr="00F40118">
        <w:rPr>
          <w:rFonts w:ascii="Book Antiqua" w:eastAsia="Book Antiqua" w:hAnsi="Book Antiqua" w:cs="Book Antiqua"/>
          <w:color w:val="000000"/>
        </w:rPr>
        <w:t>tamoxifen, glucocorticoids, valproic acid, and antiretroviral drugs);</w:t>
      </w:r>
      <w:r w:rsidRPr="00F40118">
        <w:rPr>
          <w:rFonts w:ascii="Book Antiqua" w:hAnsi="Book Antiqua"/>
          <w:lang w:eastAsia="zh-CN"/>
        </w:rPr>
        <w:t xml:space="preserve"> </w:t>
      </w:r>
      <w:r w:rsidR="00FF7A14" w:rsidRPr="00F40118">
        <w:rPr>
          <w:rFonts w:ascii="Book Antiqua" w:eastAsia="Book Antiqua" w:hAnsi="Book Antiqua" w:cs="Book Antiqua"/>
          <w:color w:val="000000"/>
        </w:rPr>
        <w:t>unhealthy alcohol use</w:t>
      </w:r>
      <w:r w:rsidR="00FF7A14" w:rsidRPr="00F40118">
        <w:rPr>
          <w:rStyle w:val="font16"/>
          <w:rFonts w:ascii="Book Antiqua" w:eastAsia="Book Antiqua" w:hAnsi="Book Antiqua" w:cs="Book Antiqua"/>
          <w:color w:val="000000"/>
        </w:rPr>
        <w:t xml:space="preserve"> (40 g ethanol per day for men and 20 g ethanol per day for women); scores on the AUDIT (Alcohol Use Disorders Identification Test) questionnaire &gt; 8 for both men and</w:t>
      </w:r>
      <w:r w:rsidRPr="00F40118">
        <w:rPr>
          <w:rStyle w:val="font16"/>
          <w:rFonts w:ascii="Book Antiqua" w:eastAsia="Book Antiqua" w:hAnsi="Book Antiqua" w:cs="Book Antiqua"/>
          <w:color w:val="000000"/>
        </w:rPr>
        <w:t xml:space="preserve"> </w:t>
      </w:r>
      <w:r w:rsidR="00FF7A14" w:rsidRPr="00F40118">
        <w:rPr>
          <w:rStyle w:val="font16"/>
          <w:rFonts w:ascii="Book Antiqua" w:eastAsia="Book Antiqua" w:hAnsi="Book Antiqua" w:cs="Book Antiqua"/>
          <w:color w:val="000000"/>
        </w:rPr>
        <w:t>women;</w:t>
      </w:r>
      <w:r w:rsidRPr="00F40118">
        <w:rPr>
          <w:rStyle w:val="font16"/>
          <w:rFonts w:ascii="Book Antiqua" w:eastAsia="Book Antiqua" w:hAnsi="Book Antiqua" w:cs="Book Antiqua"/>
          <w:color w:val="000000"/>
        </w:rPr>
        <w:t xml:space="preserve"> </w:t>
      </w:r>
      <w:r w:rsidR="00FF7A14" w:rsidRPr="00F40118">
        <w:rPr>
          <w:rFonts w:ascii="Book Antiqua" w:eastAsia="Book Antiqua" w:hAnsi="Book Antiqua" w:cs="Book Antiqua"/>
          <w:color w:val="000000"/>
        </w:rPr>
        <w:t>type 1 diabetes mellitus</w:t>
      </w:r>
      <w:r w:rsidR="00FF7A14" w:rsidRPr="00F40118">
        <w:rPr>
          <w:rStyle w:val="font16"/>
          <w:rFonts w:ascii="Book Antiqua" w:eastAsia="Book Antiqua" w:hAnsi="Book Antiqua" w:cs="Book Antiqua"/>
          <w:color w:val="000000"/>
        </w:rPr>
        <w:t>;</w:t>
      </w:r>
      <w:r w:rsidRPr="00F40118">
        <w:rPr>
          <w:rFonts w:ascii="Book Antiqua" w:hAnsi="Book Antiqua"/>
          <w:lang w:eastAsia="zh-CN"/>
        </w:rPr>
        <w:t xml:space="preserve"> </w:t>
      </w:r>
      <w:r w:rsidR="00FF7A14" w:rsidRPr="00F40118">
        <w:rPr>
          <w:rFonts w:ascii="Book Antiqua" w:eastAsia="Book Antiqua" w:hAnsi="Book Antiqua" w:cs="Book Antiqua"/>
          <w:color w:val="000000"/>
        </w:rPr>
        <w:t>parenteral nutrition;</w:t>
      </w:r>
      <w:r w:rsidRPr="00F40118">
        <w:rPr>
          <w:rFonts w:ascii="Book Antiqua" w:hAnsi="Book Antiqua"/>
          <w:lang w:eastAsia="zh-CN"/>
        </w:rPr>
        <w:t xml:space="preserve"> </w:t>
      </w:r>
      <w:r w:rsidR="00FF7A14" w:rsidRPr="00F40118">
        <w:rPr>
          <w:rFonts w:ascii="Book Antiqua" w:eastAsia="Book Antiqua" w:hAnsi="Book Antiqua" w:cs="Book Antiqua"/>
          <w:color w:val="000000"/>
        </w:rPr>
        <w:t>fasting</w:t>
      </w:r>
      <w:r w:rsidR="00FF7A14" w:rsidRPr="00F40118">
        <w:rPr>
          <w:rStyle w:val="font16"/>
          <w:rFonts w:ascii="Book Antiqua" w:eastAsia="Book Antiqua" w:hAnsi="Book Antiqua" w:cs="Book Antiqua"/>
          <w:color w:val="000000"/>
        </w:rPr>
        <w:t>; and</w:t>
      </w:r>
      <w:r w:rsidRPr="00F40118">
        <w:rPr>
          <w:rFonts w:ascii="Book Antiqua" w:hAnsi="Book Antiqua"/>
          <w:lang w:eastAsia="zh-CN"/>
        </w:rPr>
        <w:t xml:space="preserve"> </w:t>
      </w:r>
      <w:r w:rsidR="00FF7A14" w:rsidRPr="00F40118">
        <w:rPr>
          <w:rStyle w:val="font16"/>
          <w:rFonts w:ascii="Book Antiqua" w:eastAsia="Book Antiqua" w:hAnsi="Book Antiqua" w:cs="Book Antiqua"/>
          <w:color w:val="000000"/>
        </w:rPr>
        <w:t>presence of a secondary etiology of liver disease (viral,</w:t>
      </w:r>
      <w:r w:rsidRPr="00F40118">
        <w:rPr>
          <w:rStyle w:val="font16"/>
          <w:rFonts w:ascii="Book Antiqua" w:eastAsia="Book Antiqua" w:hAnsi="Book Antiqua" w:cs="Book Antiqua"/>
          <w:color w:val="000000"/>
        </w:rPr>
        <w:t xml:space="preserve"> </w:t>
      </w:r>
      <w:r w:rsidR="00FF7A14" w:rsidRPr="00F40118">
        <w:rPr>
          <w:rStyle w:val="font16"/>
          <w:rFonts w:ascii="Book Antiqua" w:eastAsia="Book Antiqua" w:hAnsi="Book Antiqua" w:cs="Book Antiqua"/>
          <w:color w:val="000000"/>
        </w:rPr>
        <w:t>metabolic, autoimmune, cholestatic, or drug etiology</w:t>
      </w:r>
      <w:r w:rsidR="00FF7A14" w:rsidRPr="00F40118">
        <w:rPr>
          <w:rFonts w:ascii="Book Antiqua" w:eastAsia="Book Antiqua" w:hAnsi="Book Antiqua" w:cs="Book Antiqua"/>
          <w:color w:val="000000"/>
        </w:rPr>
        <w:t>).</w:t>
      </w:r>
    </w:p>
    <w:p w:rsidR="00DC07DC" w:rsidRPr="00F40118" w:rsidRDefault="00DC07DC" w:rsidP="00EF6CF8">
      <w:pPr>
        <w:adjustRightInd w:val="0"/>
        <w:snapToGrid w:val="0"/>
        <w:spacing w:line="360" w:lineRule="auto"/>
        <w:jc w:val="both"/>
        <w:rPr>
          <w:rFonts w:ascii="Book Antiqua" w:eastAsia="Book Antiqua" w:hAnsi="Book Antiqua" w:cs="Book Antiqua"/>
          <w:b/>
          <w:bCs/>
          <w:i/>
          <w:iCs/>
          <w:color w:val="000000"/>
        </w:rPr>
      </w:pPr>
    </w:p>
    <w:p w:rsidR="00A77B3E" w:rsidRPr="00F40118" w:rsidRDefault="00FF7A14" w:rsidP="00EF6CF8">
      <w:pPr>
        <w:adjustRightInd w:val="0"/>
        <w:snapToGrid w:val="0"/>
        <w:spacing w:line="360" w:lineRule="auto"/>
        <w:jc w:val="both"/>
        <w:rPr>
          <w:rFonts w:ascii="Book Antiqua" w:hAnsi="Book Antiqua"/>
          <w:b/>
          <w:bCs/>
        </w:rPr>
      </w:pPr>
      <w:r w:rsidRPr="00F40118">
        <w:rPr>
          <w:rFonts w:ascii="Book Antiqua" w:eastAsia="Book Antiqua" w:hAnsi="Book Antiqua" w:cs="Book Antiqua"/>
          <w:b/>
          <w:bCs/>
          <w:i/>
          <w:iCs/>
          <w:color w:val="000000"/>
        </w:rPr>
        <w:t>Exclusion criteria</w:t>
      </w:r>
    </w:p>
    <w:p w:rsidR="00A77B3E" w:rsidRPr="00F40118" w:rsidRDefault="00DC07DC" w:rsidP="00EF6CF8">
      <w:pPr>
        <w:adjustRightInd w:val="0"/>
        <w:snapToGrid w:val="0"/>
        <w:spacing w:line="360" w:lineRule="auto"/>
        <w:jc w:val="both"/>
        <w:rPr>
          <w:rFonts w:ascii="Book Antiqua" w:hAnsi="Book Antiqua"/>
        </w:rPr>
      </w:pPr>
      <w:r w:rsidRPr="00F40118">
        <w:rPr>
          <w:rFonts w:ascii="Book Antiqua" w:eastAsia="Book Antiqua" w:hAnsi="Book Antiqua" w:cs="Book Antiqua"/>
          <w:color w:val="000000"/>
        </w:rPr>
        <w:t>A</w:t>
      </w:r>
      <w:r w:rsidR="00FF7A14" w:rsidRPr="00F40118">
        <w:rPr>
          <w:rFonts w:ascii="Book Antiqua" w:eastAsia="Book Antiqua" w:hAnsi="Book Antiqua" w:cs="Book Antiqua"/>
          <w:color w:val="000000"/>
        </w:rPr>
        <w:t xml:space="preserve"> patient's decision to discontinue participation in the study at any stage;</w:t>
      </w:r>
      <w:r w:rsidRPr="00F40118">
        <w:rPr>
          <w:rFonts w:ascii="Book Antiqua" w:hAnsi="Book Antiqua"/>
          <w:lang w:eastAsia="zh-CN"/>
        </w:rPr>
        <w:t xml:space="preserve"> </w:t>
      </w:r>
      <w:r w:rsidR="00FF7A14" w:rsidRPr="00F40118">
        <w:rPr>
          <w:rFonts w:ascii="Book Antiqua" w:eastAsia="Book Antiqua" w:hAnsi="Book Antiqua" w:cs="Book Antiqua"/>
          <w:color w:val="000000"/>
        </w:rPr>
        <w:t xml:space="preserve">acute hepatocellular or cholestatic injury that occurred during the study: </w:t>
      </w:r>
      <w:r w:rsidR="00D91363" w:rsidRPr="00F40118">
        <w:rPr>
          <w:rFonts w:ascii="Book Antiqua" w:eastAsia="Book Antiqua" w:hAnsi="Book Antiqua" w:cs="Book Antiqua"/>
          <w:color w:val="000000"/>
        </w:rPr>
        <w:t>I</w:t>
      </w:r>
      <w:r w:rsidR="00FF7A14" w:rsidRPr="00F40118">
        <w:rPr>
          <w:rFonts w:ascii="Book Antiqua" w:eastAsia="Book Antiqua" w:hAnsi="Book Antiqua" w:cs="Book Antiqua"/>
          <w:color w:val="000000"/>
        </w:rPr>
        <w:t xml:space="preserve">ncreased </w:t>
      </w:r>
      <w:r w:rsidR="00506087" w:rsidRPr="00F40118">
        <w:rPr>
          <w:rFonts w:ascii="Book Antiqua" w:eastAsia="Book Antiqua" w:hAnsi="Book Antiqua" w:cs="Book Antiqua"/>
          <w:color w:val="000000"/>
        </w:rPr>
        <w:t>alanine aminotransferase (</w:t>
      </w:r>
      <w:r w:rsidR="00FF7A14" w:rsidRPr="00F40118">
        <w:rPr>
          <w:rFonts w:ascii="Book Antiqua" w:eastAsia="Book Antiqua" w:hAnsi="Book Antiqua" w:cs="Book Antiqua"/>
          <w:color w:val="000000"/>
        </w:rPr>
        <w:t>ALT</w:t>
      </w:r>
      <w:r w:rsidR="00506087" w:rsidRPr="00F40118">
        <w:rPr>
          <w:rFonts w:ascii="Book Antiqua" w:eastAsia="Book Antiqua" w:hAnsi="Book Antiqua" w:cs="Book Antiqua"/>
          <w:color w:val="000000"/>
        </w:rPr>
        <w:t>)</w:t>
      </w:r>
      <w:r w:rsidR="00FF7A14" w:rsidRPr="00F40118">
        <w:rPr>
          <w:rFonts w:ascii="Book Antiqua" w:eastAsia="Book Antiqua" w:hAnsi="Book Antiqua" w:cs="Book Antiqua"/>
          <w:color w:val="000000"/>
        </w:rPr>
        <w:t xml:space="preserve">, </w:t>
      </w:r>
      <w:r w:rsidR="00506087" w:rsidRPr="00F40118">
        <w:rPr>
          <w:rFonts w:ascii="Book Antiqua" w:eastAsia="Book Antiqua" w:hAnsi="Book Antiqua" w:cs="Book Antiqua"/>
          <w:color w:val="000000"/>
        </w:rPr>
        <w:t>aspartate transaminase (</w:t>
      </w:r>
      <w:r w:rsidR="00FF7A14" w:rsidRPr="00F40118">
        <w:rPr>
          <w:rFonts w:ascii="Book Antiqua" w:eastAsia="Book Antiqua" w:hAnsi="Book Antiqua" w:cs="Book Antiqua"/>
          <w:color w:val="000000"/>
        </w:rPr>
        <w:t>AST</w:t>
      </w:r>
      <w:r w:rsidR="00506087" w:rsidRPr="00F40118">
        <w:rPr>
          <w:rFonts w:ascii="Book Antiqua" w:eastAsia="Book Antiqua" w:hAnsi="Book Antiqua" w:cs="Book Antiqua"/>
          <w:color w:val="000000"/>
        </w:rPr>
        <w:t>)</w:t>
      </w:r>
      <w:r w:rsidR="00FF7A14" w:rsidRPr="00F40118">
        <w:rPr>
          <w:rFonts w:ascii="Book Antiqua" w:eastAsia="Book Antiqua" w:hAnsi="Book Antiqua" w:cs="Book Antiqua"/>
          <w:color w:val="000000"/>
        </w:rPr>
        <w:t>,</w:t>
      </w:r>
      <w:r w:rsidRPr="00F40118">
        <w:rPr>
          <w:rFonts w:ascii="Book Antiqua" w:eastAsia="Book Antiqua" w:hAnsi="Book Antiqua" w:cs="Book Antiqua"/>
          <w:color w:val="000000"/>
        </w:rPr>
        <w:t xml:space="preserve"> </w:t>
      </w:r>
      <w:r w:rsidR="00506087" w:rsidRPr="00F40118">
        <w:rPr>
          <w:rFonts w:ascii="Book Antiqua" w:eastAsia="Book Antiqua" w:hAnsi="Book Antiqua" w:cs="Book Antiqua"/>
          <w:color w:val="000000"/>
        </w:rPr>
        <w:t>glutamyltransferase (</w:t>
      </w:r>
      <w:r w:rsidR="00FF7A14" w:rsidRPr="00F40118">
        <w:rPr>
          <w:rFonts w:ascii="Book Antiqua" w:eastAsia="Book Antiqua" w:hAnsi="Book Antiqua" w:cs="Book Antiqua"/>
          <w:color w:val="000000"/>
        </w:rPr>
        <w:t>GGT</w:t>
      </w:r>
      <w:r w:rsidR="00506087" w:rsidRPr="00F40118">
        <w:rPr>
          <w:rFonts w:ascii="Book Antiqua" w:eastAsia="Book Antiqua" w:hAnsi="Book Antiqua" w:cs="Book Antiqua"/>
          <w:color w:val="000000"/>
        </w:rPr>
        <w:t>)</w:t>
      </w:r>
      <w:r w:rsidR="00FF7A14" w:rsidRPr="00F40118">
        <w:rPr>
          <w:rFonts w:ascii="Book Antiqua" w:eastAsia="Book Antiqua" w:hAnsi="Book Antiqua" w:cs="Book Antiqua"/>
          <w:color w:val="000000"/>
        </w:rPr>
        <w:t>, or alkaline phosphatase</w:t>
      </w:r>
      <w:r w:rsidR="00506087" w:rsidRPr="00F40118">
        <w:rPr>
          <w:rFonts w:ascii="Book Antiqua" w:eastAsia="Book Antiqua" w:hAnsi="Book Antiqua" w:cs="Book Antiqua"/>
          <w:color w:val="000000"/>
        </w:rPr>
        <w:t xml:space="preserve"> </w:t>
      </w:r>
      <w:r w:rsidR="00FF7A14" w:rsidRPr="00F40118">
        <w:rPr>
          <w:rFonts w:ascii="Book Antiqua" w:eastAsia="Book Antiqua" w:hAnsi="Book Antiqua" w:cs="Book Antiqua"/>
          <w:color w:val="000000"/>
        </w:rPr>
        <w:t>levels by two or more times; and</w:t>
      </w:r>
      <w:r w:rsidRPr="00F40118">
        <w:rPr>
          <w:rFonts w:ascii="Book Antiqua" w:hAnsi="Book Antiqua"/>
          <w:lang w:eastAsia="zh-CN"/>
        </w:rPr>
        <w:t xml:space="preserve"> </w:t>
      </w:r>
      <w:r w:rsidR="00FF7A14" w:rsidRPr="00F40118">
        <w:rPr>
          <w:rFonts w:ascii="Book Antiqua" w:eastAsia="Book Antiqua" w:hAnsi="Book Antiqua" w:cs="Book Antiqua"/>
          <w:color w:val="000000"/>
        </w:rPr>
        <w:t>the need to take other drugs that potentially affect the studied parameters, arising during the study.</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Fonts w:ascii="Book Antiqua" w:eastAsia="Book Antiqua" w:hAnsi="Book Antiqua" w:cs="Book Antiqua"/>
          <w:color w:val="000000"/>
        </w:rPr>
        <w:t xml:space="preserve">To select study participants, a total of 207 Caucasian patients from regional registries of patients with NAFLD were screened as follows: 150 people from 3 centers in the Russian Federation (Moscow, Tyumen, Chelyabinsk), 47 people from 3 centers in Kazakhstan (Almaty, Nur-Sultan, Shymkent), and 10 people from 1 center in Uzbekistan (Tashkent). </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Fonts w:ascii="Book Antiqua" w:eastAsia="Book Antiqua" w:hAnsi="Book Antiqua" w:cs="Book Antiqua"/>
          <w:color w:val="000000"/>
        </w:rPr>
        <w:t>The inclusion criteria were met by 183 patients who had been receiving daily UDCA (Ursosan</w:t>
      </w:r>
      <w:r w:rsidRPr="00F40118">
        <w:rPr>
          <w:rFonts w:ascii="Book Antiqua" w:eastAsia="Book Antiqua" w:hAnsi="Book Antiqua" w:cs="Book Antiqua"/>
          <w:color w:val="000000"/>
          <w:vertAlign w:val="superscript"/>
        </w:rPr>
        <w:t>®</w:t>
      </w:r>
      <w:r w:rsidRPr="00F40118">
        <w:rPr>
          <w:rFonts w:ascii="Book Antiqua" w:eastAsia="Book Antiqua" w:hAnsi="Book Antiqua" w:cs="Book Antiqua"/>
          <w:color w:val="000000"/>
        </w:rPr>
        <w:t>) therapy at a dose of 15 mg/kg body weight for 6 mo</w:t>
      </w:r>
      <w:r w:rsidRPr="00F40118">
        <w:rPr>
          <w:rStyle w:val="font16"/>
          <w:rFonts w:ascii="Book Antiqua" w:eastAsia="Book Antiqua" w:hAnsi="Book Antiqua" w:cs="Book Antiqua"/>
          <w:color w:val="000000"/>
        </w:rPr>
        <w:t>.</w:t>
      </w:r>
      <w:r w:rsidRPr="00F40118">
        <w:rPr>
          <w:rFonts w:ascii="Book Antiqua" w:eastAsia="Book Antiqua" w:hAnsi="Book Antiqua" w:cs="Book Antiqua"/>
          <w:color w:val="000000"/>
        </w:rPr>
        <w:t xml:space="preserve"> In addition, total sample were given standard recommendations to modify their lifestyle and diet: strength or aerobic exercise for at least 150 min</w:t>
      </w:r>
      <w:r w:rsidR="00506087"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per week, Mediterranean diet, and consumption of no more than 1500 kcal/d</w:t>
      </w:r>
      <w:r w:rsidRPr="00F40118">
        <w:rPr>
          <w:rFonts w:ascii="Book Antiqua" w:eastAsia="Book Antiqua" w:hAnsi="Book Antiqua" w:cs="Book Antiqua"/>
          <w:color w:val="000000"/>
          <w:vertAlign w:val="superscript"/>
        </w:rPr>
        <w:t>[</w:t>
      </w:r>
      <w:r w:rsidR="00670B44" w:rsidRPr="00F40118">
        <w:rPr>
          <w:rFonts w:ascii="Book Antiqua" w:eastAsia="Book Antiqua" w:hAnsi="Book Antiqua" w:cs="Book Antiqua"/>
          <w:color w:val="000000"/>
          <w:vertAlign w:val="superscript"/>
        </w:rPr>
        <w:t>36</w:t>
      </w:r>
      <w:r w:rsidRPr="00F40118">
        <w:rPr>
          <w:rFonts w:ascii="Book Antiqua" w:eastAsia="Book Antiqua" w:hAnsi="Book Antiqua" w:cs="Book Antiqua"/>
          <w:color w:val="000000"/>
          <w:vertAlign w:val="superscript"/>
        </w:rPr>
        <w:t>]</w:t>
      </w:r>
      <w:r w:rsidRPr="00F40118">
        <w:rPr>
          <w:rFonts w:ascii="Book Antiqua" w:eastAsia="Book Antiqua" w:hAnsi="Book Antiqua" w:cs="Book Antiqua"/>
          <w:color w:val="000000"/>
        </w:rPr>
        <w:t>.</w:t>
      </w:r>
    </w:p>
    <w:p w:rsidR="00DC07DC" w:rsidRPr="00F40118" w:rsidRDefault="00FF7A14" w:rsidP="00EF6CF8">
      <w:pPr>
        <w:adjustRightInd w:val="0"/>
        <w:snapToGrid w:val="0"/>
        <w:spacing w:line="360" w:lineRule="auto"/>
        <w:ind w:firstLineChars="100" w:firstLine="240"/>
        <w:jc w:val="both"/>
        <w:rPr>
          <w:rFonts w:ascii="Book Antiqua" w:eastAsia="Book Antiqua" w:hAnsi="Book Antiqua" w:cs="Book Antiqua"/>
          <w:color w:val="000000"/>
        </w:rPr>
      </w:pPr>
      <w:r w:rsidRPr="00F40118">
        <w:rPr>
          <w:rFonts w:ascii="Book Antiqua" w:eastAsia="Book Antiqua" w:hAnsi="Book Antiqua" w:cs="Book Antiqua"/>
          <w:color w:val="000000"/>
        </w:rPr>
        <w:t>Each patient was assessed according to the following parameters: weight, height, BMI (weight, kg/height, m</w:t>
      </w:r>
      <w:r w:rsidRPr="00F40118">
        <w:rPr>
          <w:rFonts w:ascii="Book Antiqua" w:eastAsia="Book Antiqua" w:hAnsi="Book Antiqua" w:cs="Book Antiqua"/>
          <w:color w:val="000000"/>
          <w:vertAlign w:val="superscript"/>
        </w:rPr>
        <w:t>2</w:t>
      </w:r>
      <w:r w:rsidRPr="00F40118">
        <w:rPr>
          <w:rFonts w:ascii="Book Antiqua" w:eastAsia="Book Antiqua" w:hAnsi="Book Antiqua" w:cs="Book Antiqua"/>
          <w:color w:val="000000"/>
        </w:rPr>
        <w:t xml:space="preserve">), waist circumference (WC), smoking, alcohol consumption, metabolic syndrome criteria according to National Cholesterol Education Program Adult Treatment Panel III </w:t>
      </w:r>
      <w:r w:rsidR="006A4BCD" w:rsidRPr="00F40118">
        <w:rPr>
          <w:rFonts w:ascii="Book Antiqua" w:eastAsia="Book Antiqua" w:hAnsi="Book Antiqua" w:cs="Book Antiqua"/>
          <w:color w:val="000000"/>
        </w:rPr>
        <w:t>(</w:t>
      </w:r>
      <w:r w:rsidRPr="00F40118">
        <w:rPr>
          <w:rFonts w:ascii="Book Antiqua" w:eastAsia="Book Antiqua" w:hAnsi="Book Antiqua" w:cs="Book Antiqua"/>
          <w:color w:val="000000"/>
        </w:rPr>
        <w:t>NCEP ATP III</w:t>
      </w:r>
      <w:r w:rsidR="006A4BCD" w:rsidRPr="00F40118">
        <w:rPr>
          <w:rFonts w:ascii="Book Antiqua" w:eastAsia="Book Antiqua" w:hAnsi="Book Antiqua" w:cs="Book Antiqua"/>
          <w:color w:val="000000"/>
        </w:rPr>
        <w:t>)</w:t>
      </w:r>
      <w:r w:rsidRPr="00F40118">
        <w:rPr>
          <w:rFonts w:ascii="Book Antiqua" w:eastAsia="Book Antiqua" w:hAnsi="Book Antiqua" w:cs="Book Antiqua"/>
          <w:color w:val="000000"/>
          <w:vertAlign w:val="superscript"/>
        </w:rPr>
        <w:t>[</w:t>
      </w:r>
      <w:r w:rsidR="00670B44" w:rsidRPr="00F40118">
        <w:rPr>
          <w:rFonts w:ascii="Book Antiqua" w:eastAsia="Book Antiqua" w:hAnsi="Book Antiqua" w:cs="Book Antiqua"/>
          <w:color w:val="000000"/>
          <w:vertAlign w:val="superscript"/>
        </w:rPr>
        <w:t>37</w:t>
      </w:r>
      <w:r w:rsidRPr="00F40118">
        <w:rPr>
          <w:rFonts w:ascii="Book Antiqua" w:eastAsia="Book Antiqua" w:hAnsi="Book Antiqua" w:cs="Book Antiqua"/>
          <w:color w:val="000000"/>
          <w:vertAlign w:val="superscript"/>
        </w:rPr>
        <w:t>]</w:t>
      </w:r>
      <w:r w:rsidRPr="00F40118">
        <w:rPr>
          <w:rFonts w:ascii="Book Antiqua" w:eastAsia="Book Antiqua" w:hAnsi="Book Antiqua" w:cs="Book Antiqua"/>
          <w:color w:val="000000"/>
        </w:rPr>
        <w:t>, complete blood count and LFT, and lipid profile.</w:t>
      </w:r>
    </w:p>
    <w:p w:rsidR="00A77B3E" w:rsidRPr="00F40118" w:rsidRDefault="00DC07DC" w:rsidP="00EF6CF8">
      <w:pPr>
        <w:adjustRightInd w:val="0"/>
        <w:snapToGrid w:val="0"/>
        <w:spacing w:line="360" w:lineRule="auto"/>
        <w:ind w:firstLineChars="100" w:firstLine="240"/>
        <w:jc w:val="both"/>
        <w:rPr>
          <w:rFonts w:ascii="Book Antiqua" w:hAnsi="Book Antiqua"/>
        </w:rPr>
      </w:pPr>
      <w:r w:rsidRPr="00F40118">
        <w:rPr>
          <w:rFonts w:ascii="Book Antiqua" w:hAnsi="Book Antiqua"/>
          <w:lang w:eastAsia="zh-CN"/>
        </w:rPr>
        <w:t xml:space="preserve"> </w:t>
      </w:r>
      <w:r w:rsidR="00FF7A14" w:rsidRPr="00F40118">
        <w:rPr>
          <w:rFonts w:ascii="Book Antiqua" w:eastAsia="Book Antiqua" w:hAnsi="Book Antiqua" w:cs="Book Antiqua"/>
          <w:color w:val="000000"/>
        </w:rPr>
        <w:t>The criteria for the treatment effectiveness evaluation were as follows:</w:t>
      </w:r>
      <w:r w:rsidRPr="00F40118">
        <w:rPr>
          <w:rFonts w:ascii="Book Antiqua" w:hAnsi="Book Antiqua"/>
          <w:lang w:eastAsia="zh-CN"/>
        </w:rPr>
        <w:t xml:space="preserve"> </w:t>
      </w:r>
      <w:r w:rsidR="00EF0664" w:rsidRPr="00F40118">
        <w:rPr>
          <w:rFonts w:ascii="Book Antiqua" w:eastAsia="Book Antiqua" w:hAnsi="Book Antiqua" w:cs="Book Antiqua"/>
          <w:color w:val="000000"/>
        </w:rPr>
        <w:t xml:space="preserve">LFT [ALT, AST, and GGT </w:t>
      </w:r>
      <w:r w:rsidR="00FF7A14" w:rsidRPr="00F40118">
        <w:rPr>
          <w:rFonts w:ascii="Book Antiqua" w:eastAsia="Book Antiqua" w:hAnsi="Book Antiqua" w:cs="Book Antiqua"/>
          <w:color w:val="000000"/>
        </w:rPr>
        <w:t>upper</w:t>
      </w:r>
      <w:r w:rsidR="00EF0664" w:rsidRPr="00F40118">
        <w:rPr>
          <w:rFonts w:ascii="Book Antiqua" w:eastAsia="Book Antiqua" w:hAnsi="Book Antiqua" w:cs="Book Antiqua"/>
          <w:color w:val="000000"/>
        </w:rPr>
        <w:t xml:space="preserve"> limit of normal (ULN) = 40 U/L</w:t>
      </w:r>
      <w:r w:rsidR="00506087" w:rsidRPr="00F40118">
        <w:rPr>
          <w:rFonts w:ascii="Book Antiqua" w:eastAsia="Book Antiqua" w:hAnsi="Book Antiqua" w:cs="Book Antiqua"/>
          <w:color w:val="000000"/>
        </w:rPr>
        <w:t>]</w:t>
      </w:r>
      <w:r w:rsidR="00FF7A14" w:rsidRPr="00F40118">
        <w:rPr>
          <w:rFonts w:ascii="Book Antiqua" w:eastAsia="Book Antiqua" w:hAnsi="Book Antiqua" w:cs="Book Antiqua"/>
          <w:color w:val="000000"/>
        </w:rPr>
        <w:t>;</w:t>
      </w:r>
      <w:r w:rsidRPr="00F40118">
        <w:rPr>
          <w:rFonts w:ascii="Book Antiqua" w:hAnsi="Book Antiqua"/>
          <w:lang w:eastAsia="zh-CN"/>
        </w:rPr>
        <w:t xml:space="preserve"> </w:t>
      </w:r>
      <w:r w:rsidR="00FF7A14" w:rsidRPr="00F40118">
        <w:rPr>
          <w:rFonts w:ascii="Book Antiqua" w:eastAsia="Book Antiqua" w:hAnsi="Book Antiqua" w:cs="Book Antiqua"/>
          <w:color w:val="000000"/>
        </w:rPr>
        <w:t xml:space="preserve">lipid profile </w:t>
      </w:r>
      <w:r w:rsidR="00711EF1" w:rsidRPr="00F40118">
        <w:rPr>
          <w:rFonts w:ascii="Book Antiqua" w:eastAsia="Book Antiqua" w:hAnsi="Book Antiqua" w:cs="Book Antiqua"/>
          <w:color w:val="000000"/>
        </w:rPr>
        <w:t>[total cholesterol (TC)</w:t>
      </w:r>
      <w:r w:rsidR="00FF7A14" w:rsidRPr="00F40118">
        <w:rPr>
          <w:rFonts w:ascii="Book Antiqua" w:eastAsia="Book Antiqua" w:hAnsi="Book Antiqua" w:cs="Book Antiqua"/>
          <w:color w:val="000000"/>
        </w:rPr>
        <w:t xml:space="preserve">, </w:t>
      </w:r>
      <w:r w:rsidR="00711EF1" w:rsidRPr="00F40118">
        <w:rPr>
          <w:rFonts w:ascii="Book Antiqua" w:eastAsia="Book Antiqua" w:hAnsi="Book Antiqua" w:cs="Book Antiqua"/>
          <w:color w:val="000000"/>
        </w:rPr>
        <w:t>high-density lipoprotein (HDL)</w:t>
      </w:r>
      <w:r w:rsidR="00FF7A14" w:rsidRPr="00F40118">
        <w:rPr>
          <w:rFonts w:ascii="Book Antiqua" w:eastAsia="Book Antiqua" w:hAnsi="Book Antiqua" w:cs="Book Antiqua"/>
          <w:color w:val="000000"/>
        </w:rPr>
        <w:t xml:space="preserve">, </w:t>
      </w:r>
      <w:r w:rsidR="00711EF1" w:rsidRPr="00F40118">
        <w:rPr>
          <w:rFonts w:ascii="Book Antiqua" w:eastAsia="Book Antiqua" w:hAnsi="Book Antiqua" w:cs="Book Antiqua"/>
          <w:color w:val="000000"/>
        </w:rPr>
        <w:t>low-density lipoprotein (LDL)</w:t>
      </w:r>
      <w:r w:rsidR="00FF7A14" w:rsidRPr="00F40118">
        <w:rPr>
          <w:rFonts w:ascii="Book Antiqua" w:eastAsia="Book Antiqua" w:hAnsi="Book Antiqua" w:cs="Book Antiqua"/>
          <w:color w:val="000000"/>
        </w:rPr>
        <w:t xml:space="preserve">, and </w:t>
      </w:r>
      <w:r w:rsidR="00711EF1" w:rsidRPr="00F40118">
        <w:rPr>
          <w:rFonts w:ascii="Book Antiqua" w:eastAsia="Book Antiqua" w:hAnsi="Book Antiqua" w:cs="Book Antiqua"/>
          <w:color w:val="000000"/>
        </w:rPr>
        <w:t>triglyceride (TG)]</w:t>
      </w:r>
      <w:r w:rsidR="00FF7A14" w:rsidRPr="00F40118">
        <w:rPr>
          <w:rFonts w:ascii="Book Antiqua" w:eastAsia="Book Antiqua" w:hAnsi="Book Antiqua" w:cs="Book Antiqua"/>
          <w:color w:val="000000"/>
        </w:rPr>
        <w:t>;</w:t>
      </w:r>
      <w:r w:rsidRPr="00F40118">
        <w:rPr>
          <w:rFonts w:ascii="Book Antiqua" w:hAnsi="Book Antiqua"/>
          <w:lang w:eastAsia="zh-CN"/>
        </w:rPr>
        <w:t xml:space="preserve"> </w:t>
      </w:r>
      <w:r w:rsidR="00FF7A14" w:rsidRPr="00F40118">
        <w:rPr>
          <w:rFonts w:ascii="Book Antiqua" w:eastAsia="Book Antiqua" w:hAnsi="Book Antiqua" w:cs="Book Antiqua"/>
          <w:color w:val="000000"/>
        </w:rPr>
        <w:t>noninvasive hepatic steatosis assessment by the FLI;</w:t>
      </w:r>
      <w:r w:rsidRPr="00F40118">
        <w:rPr>
          <w:rFonts w:ascii="Book Antiqua" w:hAnsi="Book Antiqua"/>
          <w:lang w:eastAsia="zh-CN"/>
        </w:rPr>
        <w:t xml:space="preserve"> </w:t>
      </w:r>
      <w:r w:rsidR="00FF7A14" w:rsidRPr="00F40118">
        <w:rPr>
          <w:rFonts w:ascii="Book Antiqua" w:eastAsia="Book Antiqua" w:hAnsi="Book Antiqua" w:cs="Book Antiqua"/>
          <w:color w:val="000000"/>
        </w:rPr>
        <w:t>noninvasive fibrosis assessment by the NFS and FIB-4;</w:t>
      </w:r>
      <w:r w:rsidRPr="00F40118">
        <w:rPr>
          <w:rFonts w:ascii="Book Antiqua" w:hAnsi="Book Antiqua"/>
          <w:lang w:eastAsia="zh-CN"/>
        </w:rPr>
        <w:t xml:space="preserve"> </w:t>
      </w:r>
      <w:r w:rsidR="00FF7A14" w:rsidRPr="00F40118">
        <w:rPr>
          <w:rFonts w:ascii="Book Antiqua" w:eastAsia="Book Antiqua" w:hAnsi="Book Antiqua" w:cs="Book Antiqua"/>
          <w:color w:val="000000"/>
        </w:rPr>
        <w:t>10-year and lifetime ASCVD risk; and</w:t>
      </w:r>
      <w:r w:rsidRPr="00F40118">
        <w:rPr>
          <w:rFonts w:ascii="Book Antiqua" w:hAnsi="Book Antiqua"/>
          <w:lang w:eastAsia="zh-CN"/>
        </w:rPr>
        <w:t xml:space="preserve"> </w:t>
      </w:r>
      <w:r w:rsidR="00FF7A14" w:rsidRPr="00F40118">
        <w:rPr>
          <w:rFonts w:ascii="Book Antiqua" w:eastAsia="Book Antiqua" w:hAnsi="Book Antiqua" w:cs="Book Antiqua"/>
          <w:color w:val="000000"/>
          <w:shd w:val="clear" w:color="auto" w:fill="FFFFFF"/>
        </w:rPr>
        <w:t>C</w:t>
      </w:r>
      <w:r w:rsidR="00FF7A14" w:rsidRPr="00F40118">
        <w:rPr>
          <w:rFonts w:ascii="Book Antiqua" w:eastAsia="Book Antiqua" w:hAnsi="Book Antiqua" w:cs="Book Antiqua"/>
          <w:color w:val="000000"/>
        </w:rPr>
        <w:t>IMT.</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Fonts w:ascii="Book Antiqua" w:eastAsia="Book Antiqua" w:hAnsi="Book Antiqua" w:cs="Book Antiqua"/>
          <w:color w:val="000000"/>
        </w:rPr>
        <w:t>FLI was calculated using the formula FLI = e</w:t>
      </w:r>
      <w:r w:rsidRPr="00F40118">
        <w:rPr>
          <w:rFonts w:ascii="Book Antiqua" w:eastAsia="Book Antiqua" w:hAnsi="Book Antiqua" w:cs="Book Antiqua"/>
          <w:color w:val="000000"/>
          <w:vertAlign w:val="superscript"/>
        </w:rPr>
        <w:t>y</w:t>
      </w:r>
      <w:r w:rsidRPr="00F40118">
        <w:rPr>
          <w:rFonts w:ascii="Book Antiqua" w:eastAsia="Book Antiqua" w:hAnsi="Book Antiqua" w:cs="Book Antiqua"/>
          <w:color w:val="000000"/>
        </w:rPr>
        <w:t> /(1 + e</w:t>
      </w:r>
      <w:r w:rsidRPr="00F40118">
        <w:rPr>
          <w:rFonts w:ascii="Book Antiqua" w:eastAsia="Book Antiqua" w:hAnsi="Book Antiqua" w:cs="Book Antiqua"/>
          <w:color w:val="000000"/>
          <w:vertAlign w:val="superscript"/>
        </w:rPr>
        <w:t>y</w:t>
      </w:r>
      <w:r w:rsidRPr="00F40118">
        <w:rPr>
          <w:rFonts w:ascii="Book Antiqua" w:eastAsia="Book Antiqua" w:hAnsi="Book Antiqua" w:cs="Book Antiqua"/>
          <w:color w:val="000000"/>
        </w:rPr>
        <w:t>) × 100, where y = 0.953 × ln</w:t>
      </w:r>
      <w:r w:rsidR="00711EF1"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(TG, mg/dL) + 0.139 × BMI, kg/m</w:t>
      </w:r>
      <w:r w:rsidRPr="00F40118">
        <w:rPr>
          <w:rFonts w:ascii="Book Antiqua" w:eastAsia="Book Antiqua" w:hAnsi="Book Antiqua" w:cs="Book Antiqua"/>
          <w:color w:val="000000"/>
          <w:vertAlign w:val="superscript"/>
        </w:rPr>
        <w:t>2</w:t>
      </w:r>
      <w:r w:rsidRPr="00F40118">
        <w:rPr>
          <w:rFonts w:ascii="Book Antiqua" w:eastAsia="Book Antiqua" w:hAnsi="Book Antiqua" w:cs="Book Antiqua"/>
          <w:color w:val="000000"/>
        </w:rPr>
        <w:t> + 0.718 × ln (GGT, U/L) + 0.053 × WC, cm–15.745).</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Fonts w:ascii="Book Antiqua" w:eastAsia="Book Antiqua" w:hAnsi="Book Antiqua" w:cs="Book Antiqua"/>
          <w:color w:val="000000"/>
        </w:rPr>
        <w:t>FLI index values that exceeded a value of 60 corresponded to a high probability of hepatic steatosis, indicators from 30 to 59 constituted the "gray zone", and a result less than 30 excluded the likelihood of hepatic steatosis</w:t>
      </w:r>
      <w:r w:rsidRPr="00F40118">
        <w:rPr>
          <w:rFonts w:ascii="Book Antiqua" w:eastAsia="Book Antiqua" w:hAnsi="Book Antiqua" w:cs="Book Antiqua"/>
          <w:color w:val="000000"/>
          <w:vertAlign w:val="superscript"/>
        </w:rPr>
        <w:t>[</w:t>
      </w:r>
      <w:r w:rsidR="00670B44" w:rsidRPr="00F40118">
        <w:rPr>
          <w:rFonts w:ascii="Book Antiqua" w:eastAsia="Book Antiqua" w:hAnsi="Book Antiqua" w:cs="Book Antiqua"/>
          <w:color w:val="000000"/>
          <w:vertAlign w:val="superscript"/>
        </w:rPr>
        <w:t>38</w:t>
      </w:r>
      <w:r w:rsidRPr="00F40118">
        <w:rPr>
          <w:rFonts w:ascii="Book Antiqua" w:eastAsia="Book Antiqua" w:hAnsi="Book Antiqua" w:cs="Book Antiqua"/>
          <w:color w:val="000000"/>
          <w:vertAlign w:val="superscript"/>
        </w:rPr>
        <w:t>]</w:t>
      </w:r>
      <w:r w:rsidRPr="00F40118">
        <w:rPr>
          <w:rFonts w:ascii="Book Antiqua" w:eastAsia="Book Antiqua" w:hAnsi="Book Antiqua" w:cs="Book Antiqua"/>
          <w:color w:val="000000"/>
        </w:rPr>
        <w:t>.</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Fonts w:ascii="Book Antiqua" w:eastAsia="Book Antiqua" w:hAnsi="Book Antiqua" w:cs="Book Antiqua"/>
          <w:color w:val="000000"/>
        </w:rPr>
        <w:t>The noninvasive liver fibrosis assessment was carried out using the NFS score, which was calculated by the formula NFS = -1.675 +</w:t>
      </w:r>
      <w:r w:rsidR="00711EF1"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0.037</w:t>
      </w:r>
      <w:r w:rsidR="00711EF1" w:rsidRPr="00F40118">
        <w:rPr>
          <w:rFonts w:ascii="Book Antiqua" w:eastAsia="Book Antiqua" w:hAnsi="Book Antiqua" w:cs="Book Antiqua"/>
          <w:color w:val="000000"/>
        </w:rPr>
        <w:t xml:space="preserve"> × </w:t>
      </w:r>
      <w:r w:rsidRPr="00F40118">
        <w:rPr>
          <w:rFonts w:ascii="Book Antiqua" w:eastAsia="Book Antiqua" w:hAnsi="Book Antiqua" w:cs="Book Antiqua"/>
          <w:color w:val="000000"/>
        </w:rPr>
        <w:t>age</w:t>
      </w:r>
      <w:r w:rsidR="00711EF1"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years)</w:t>
      </w:r>
      <w:r w:rsidR="00711EF1" w:rsidRPr="00F40118">
        <w:rPr>
          <w:rFonts w:ascii="Book Antiqua" w:eastAsia="Book Antiqua" w:hAnsi="Book Antiqua" w:cs="Book Antiqua"/>
          <w:color w:val="000000"/>
        </w:rPr>
        <w:t>]</w:t>
      </w:r>
      <w:r w:rsidRPr="00F40118">
        <w:rPr>
          <w:rFonts w:ascii="Book Antiqua" w:eastAsia="Book Antiqua" w:hAnsi="Book Antiqua" w:cs="Book Antiqua"/>
          <w:color w:val="000000"/>
        </w:rPr>
        <w:t xml:space="preserve"> + </w:t>
      </w:r>
      <w:r w:rsidR="00711EF1" w:rsidRPr="00F40118">
        <w:rPr>
          <w:rFonts w:ascii="Book Antiqua" w:eastAsia="Book Antiqua" w:hAnsi="Book Antiqua" w:cs="Book Antiqua"/>
          <w:color w:val="000000"/>
        </w:rPr>
        <w:t>[</w:t>
      </w:r>
      <w:r w:rsidRPr="00F40118">
        <w:rPr>
          <w:rFonts w:ascii="Book Antiqua" w:eastAsia="Book Antiqua" w:hAnsi="Book Antiqua" w:cs="Book Antiqua"/>
          <w:color w:val="000000"/>
        </w:rPr>
        <w:t>0.094</w:t>
      </w:r>
      <w:r w:rsidR="00711EF1" w:rsidRPr="00F40118">
        <w:rPr>
          <w:rFonts w:ascii="Book Antiqua" w:eastAsia="Book Antiqua" w:hAnsi="Book Antiqua" w:cs="Book Antiqua"/>
          <w:color w:val="000000"/>
        </w:rPr>
        <w:t xml:space="preserve"> × </w:t>
      </w:r>
      <w:r w:rsidRPr="00F40118">
        <w:rPr>
          <w:rFonts w:ascii="Book Antiqua" w:eastAsia="Book Antiqua" w:hAnsi="Book Antiqua" w:cs="Book Antiqua"/>
          <w:color w:val="000000"/>
        </w:rPr>
        <w:t xml:space="preserve">BMI </w:t>
      </w:r>
      <w:r w:rsidR="00711EF1" w:rsidRPr="00F40118">
        <w:rPr>
          <w:rFonts w:ascii="Book Antiqua" w:eastAsia="Book Antiqua" w:hAnsi="Book Antiqua" w:cs="Book Antiqua"/>
          <w:color w:val="000000"/>
        </w:rPr>
        <w:t>(</w:t>
      </w:r>
      <w:r w:rsidRPr="00F40118">
        <w:rPr>
          <w:rFonts w:ascii="Book Antiqua" w:eastAsia="Book Antiqua" w:hAnsi="Book Antiqua" w:cs="Book Antiqua"/>
          <w:color w:val="000000"/>
        </w:rPr>
        <w:t>kg/m</w:t>
      </w:r>
      <w:r w:rsidRPr="00F40118">
        <w:rPr>
          <w:rFonts w:ascii="Book Antiqua" w:eastAsia="Book Antiqua" w:hAnsi="Book Antiqua" w:cs="Book Antiqua"/>
          <w:color w:val="000000"/>
          <w:vertAlign w:val="superscript"/>
        </w:rPr>
        <w:t>2</w:t>
      </w:r>
      <w:r w:rsidR="00711EF1" w:rsidRPr="00F40118">
        <w:rPr>
          <w:rFonts w:ascii="Book Antiqua" w:eastAsia="Book Antiqua" w:hAnsi="Book Antiqua" w:cs="Book Antiqua"/>
          <w:color w:val="000000"/>
        </w:rPr>
        <w:t>)</w:t>
      </w:r>
      <w:r w:rsidRPr="00F40118">
        <w:rPr>
          <w:rFonts w:ascii="Book Antiqua" w:eastAsia="Book Antiqua" w:hAnsi="Book Antiqua" w:cs="Book Antiqua"/>
          <w:color w:val="000000"/>
        </w:rPr>
        <w:t xml:space="preserve">] + </w:t>
      </w:r>
      <w:r w:rsidR="00711EF1" w:rsidRPr="00F40118">
        <w:rPr>
          <w:rFonts w:ascii="Book Antiqua" w:eastAsia="Book Antiqua" w:hAnsi="Book Antiqua" w:cs="Book Antiqua"/>
          <w:color w:val="000000"/>
        </w:rPr>
        <w:t>[</w:t>
      </w:r>
      <w:r w:rsidRPr="00F40118">
        <w:rPr>
          <w:rFonts w:ascii="Book Antiqua" w:eastAsia="Book Antiqua" w:hAnsi="Book Antiqua" w:cs="Book Antiqua"/>
          <w:color w:val="000000"/>
        </w:rPr>
        <w:t>1.13</w:t>
      </w:r>
      <w:r w:rsidR="00711EF1"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 xml:space="preserve"> Impaired fasting glucose/diabetes </w:t>
      </w:r>
      <w:r w:rsidR="00711EF1" w:rsidRPr="00F40118">
        <w:rPr>
          <w:rFonts w:ascii="Book Antiqua" w:eastAsia="Book Antiqua" w:hAnsi="Book Antiqua" w:cs="Book Antiqua"/>
          <w:color w:val="000000"/>
        </w:rPr>
        <w:t>(</w:t>
      </w:r>
      <w:r w:rsidRPr="00F40118">
        <w:rPr>
          <w:rFonts w:ascii="Book Antiqua" w:eastAsia="Book Antiqua" w:hAnsi="Book Antiqua" w:cs="Book Antiqua"/>
          <w:color w:val="000000"/>
        </w:rPr>
        <w:t>yes = 1, no = 0)</w:t>
      </w:r>
      <w:r w:rsidR="00711EF1" w:rsidRPr="00F40118">
        <w:rPr>
          <w:rFonts w:ascii="Book Antiqua" w:eastAsia="Book Antiqua" w:hAnsi="Book Antiqua" w:cs="Book Antiqua"/>
          <w:color w:val="000000"/>
        </w:rPr>
        <w:t>]</w:t>
      </w:r>
      <w:r w:rsidRPr="00F40118">
        <w:rPr>
          <w:rFonts w:ascii="Book Antiqua" w:eastAsia="Book Antiqua" w:hAnsi="Book Antiqua" w:cs="Book Antiqua"/>
          <w:color w:val="000000"/>
        </w:rPr>
        <w:t xml:space="preserve"> + (0.99</w:t>
      </w:r>
      <w:r w:rsidR="00711EF1" w:rsidRPr="00F40118">
        <w:rPr>
          <w:rFonts w:ascii="Book Antiqua" w:eastAsia="Book Antiqua" w:hAnsi="Book Antiqua" w:cs="Book Antiqua"/>
          <w:color w:val="000000"/>
        </w:rPr>
        <w:t xml:space="preserve"> × </w:t>
      </w:r>
      <w:r w:rsidRPr="00F40118">
        <w:rPr>
          <w:rFonts w:ascii="Book Antiqua" w:eastAsia="Book Antiqua" w:hAnsi="Book Antiqua" w:cs="Book Antiqua"/>
          <w:color w:val="000000"/>
        </w:rPr>
        <w:t>AST/ALT ratio)</w:t>
      </w:r>
      <w:r w:rsidR="00DB3BAA"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w:t>
      </w:r>
      <w:r w:rsidR="00EF0664" w:rsidRPr="00F40118">
        <w:rPr>
          <w:rFonts w:ascii="Book Antiqua" w:eastAsia="Book Antiqua" w:hAnsi="Book Antiqua" w:cs="Book Antiqua"/>
          <w:color w:val="000000"/>
        </w:rPr>
        <w:t xml:space="preserve"> </w:t>
      </w:r>
      <w:r w:rsidR="00711EF1" w:rsidRPr="00F40118">
        <w:rPr>
          <w:rFonts w:ascii="Book Antiqua" w:eastAsia="Book Antiqua" w:hAnsi="Book Antiqua" w:cs="Book Antiqua"/>
          <w:color w:val="000000"/>
        </w:rPr>
        <w:t>[</w:t>
      </w:r>
      <w:r w:rsidRPr="00F40118">
        <w:rPr>
          <w:rFonts w:ascii="Book Antiqua" w:eastAsia="Book Antiqua" w:hAnsi="Book Antiqua" w:cs="Book Antiqua"/>
          <w:color w:val="000000"/>
        </w:rPr>
        <w:t>0.013</w:t>
      </w:r>
      <w:r w:rsidR="00711EF1" w:rsidRPr="00F40118">
        <w:rPr>
          <w:rFonts w:ascii="Book Antiqua" w:eastAsia="Book Antiqua" w:hAnsi="Book Antiqua" w:cs="Book Antiqua"/>
          <w:color w:val="000000"/>
        </w:rPr>
        <w:t xml:space="preserve"> × </w:t>
      </w:r>
      <w:r w:rsidRPr="00F40118">
        <w:rPr>
          <w:rFonts w:ascii="Book Antiqua" w:eastAsia="Book Antiqua" w:hAnsi="Book Antiqua" w:cs="Book Antiqua"/>
          <w:color w:val="000000"/>
        </w:rPr>
        <w:t xml:space="preserve">platelet count </w:t>
      </w:r>
      <w:r w:rsidR="00711EF1" w:rsidRPr="00F40118">
        <w:rPr>
          <w:rFonts w:ascii="Book Antiqua" w:eastAsia="Book Antiqua" w:hAnsi="Book Antiqua" w:cs="Book Antiqua"/>
          <w:color w:val="000000"/>
        </w:rPr>
        <w:t>(</w:t>
      </w:r>
      <w:r w:rsidRPr="00F40118">
        <w:rPr>
          <w:rFonts w:ascii="Book Antiqua" w:eastAsia="Book Antiqua" w:hAnsi="Book Antiqua" w:cs="Book Antiqua"/>
          <w:color w:val="000000"/>
        </w:rPr>
        <w:t>×</w:t>
      </w:r>
      <w:r w:rsidR="00F63C19"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10</w:t>
      </w:r>
      <w:r w:rsidRPr="00F40118">
        <w:rPr>
          <w:rFonts w:ascii="Book Antiqua" w:eastAsia="Book Antiqua" w:hAnsi="Book Antiqua" w:cs="Book Antiqua"/>
          <w:color w:val="000000"/>
          <w:vertAlign w:val="superscript"/>
        </w:rPr>
        <w:t>9</w:t>
      </w:r>
      <w:r w:rsidRPr="00F40118">
        <w:rPr>
          <w:rFonts w:ascii="Book Antiqua" w:eastAsia="Book Antiqua" w:hAnsi="Book Antiqua" w:cs="Book Antiqua"/>
          <w:color w:val="000000"/>
        </w:rPr>
        <w:t>/L)</w:t>
      </w:r>
      <w:r w:rsidR="00711EF1" w:rsidRPr="00F40118">
        <w:rPr>
          <w:rFonts w:ascii="Book Antiqua" w:eastAsia="Book Antiqua" w:hAnsi="Book Antiqua" w:cs="Book Antiqua"/>
          <w:color w:val="000000"/>
        </w:rPr>
        <w:t>]</w:t>
      </w:r>
      <w:r w:rsidR="00EF0664"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w:t>
      </w:r>
      <w:r w:rsidR="00EF0664" w:rsidRPr="00F40118">
        <w:rPr>
          <w:rFonts w:ascii="Book Antiqua" w:eastAsia="Book Antiqua" w:hAnsi="Book Antiqua" w:cs="Book Antiqua"/>
          <w:color w:val="000000"/>
        </w:rPr>
        <w:t xml:space="preserve"> </w:t>
      </w:r>
      <w:r w:rsidR="00711EF1" w:rsidRPr="00F40118">
        <w:rPr>
          <w:rFonts w:ascii="Book Antiqua" w:eastAsia="Book Antiqua" w:hAnsi="Book Antiqua" w:cs="Book Antiqua"/>
          <w:color w:val="000000"/>
        </w:rPr>
        <w:t>[</w:t>
      </w:r>
      <w:r w:rsidRPr="00F40118">
        <w:rPr>
          <w:rFonts w:ascii="Book Antiqua" w:eastAsia="Book Antiqua" w:hAnsi="Book Antiqua" w:cs="Book Antiqua"/>
          <w:color w:val="000000"/>
        </w:rPr>
        <w:t>0.66</w:t>
      </w:r>
      <w:r w:rsidR="00711EF1" w:rsidRPr="00F40118">
        <w:rPr>
          <w:rFonts w:ascii="Book Antiqua" w:eastAsia="Book Antiqua" w:hAnsi="Book Antiqua" w:cs="Book Antiqua"/>
          <w:color w:val="000000"/>
        </w:rPr>
        <w:t xml:space="preserve"> × </w:t>
      </w:r>
      <w:r w:rsidRPr="00F40118">
        <w:rPr>
          <w:rFonts w:ascii="Book Antiqua" w:eastAsia="Book Antiqua" w:hAnsi="Book Antiqua" w:cs="Book Antiqua"/>
          <w:color w:val="000000"/>
        </w:rPr>
        <w:t xml:space="preserve">albumin </w:t>
      </w:r>
      <w:r w:rsidR="00711EF1" w:rsidRPr="00F40118">
        <w:rPr>
          <w:rFonts w:ascii="Book Antiqua" w:eastAsia="Book Antiqua" w:hAnsi="Book Antiqua" w:cs="Book Antiqua"/>
          <w:color w:val="000000"/>
        </w:rPr>
        <w:t>(</w:t>
      </w:r>
      <w:r w:rsidRPr="00F40118">
        <w:rPr>
          <w:rFonts w:ascii="Book Antiqua" w:eastAsia="Book Antiqua" w:hAnsi="Book Antiqua" w:cs="Book Antiqua"/>
          <w:color w:val="000000"/>
        </w:rPr>
        <w:t>g/dL)</w:t>
      </w:r>
      <w:r w:rsidR="00711EF1" w:rsidRPr="00F40118">
        <w:rPr>
          <w:rFonts w:ascii="Book Antiqua" w:eastAsia="Book Antiqua" w:hAnsi="Book Antiqua" w:cs="Book Antiqua"/>
          <w:color w:val="000000"/>
        </w:rPr>
        <w:t>]</w:t>
      </w:r>
      <w:r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shd w:val="clear" w:color="auto" w:fill="FFFFFF"/>
        </w:rPr>
        <w:t>URL:</w:t>
      </w:r>
      <w:r w:rsidR="00711EF1" w:rsidRPr="00F40118">
        <w:rPr>
          <w:rFonts w:ascii="Book Antiqua" w:eastAsia="Book Antiqua" w:hAnsi="Book Antiqua" w:cs="Book Antiqua"/>
          <w:color w:val="000000"/>
          <w:shd w:val="clear" w:color="auto" w:fill="FFFFFF"/>
        </w:rPr>
        <w:t xml:space="preserve"> </w:t>
      </w:r>
      <w:hyperlink r:id="rId9" w:history="1">
        <w:r w:rsidR="00711EF1" w:rsidRPr="00F40118">
          <w:rPr>
            <w:rStyle w:val="a5"/>
            <w:rFonts w:ascii="Book Antiqua" w:eastAsia="Book Antiqua" w:hAnsi="Book Antiqua" w:cs="Book Antiqua"/>
            <w:color w:val="000000"/>
            <w:u w:val="none"/>
          </w:rPr>
          <w:t>https://www.mdcalc.com/nafld-non-alcoholic-fatty-liver-disease-fibrosis-score</w:t>
        </w:r>
      </w:hyperlink>
      <w:r w:rsidRPr="00F40118">
        <w:rPr>
          <w:rFonts w:ascii="Book Antiqua" w:eastAsia="Book Antiqua" w:hAnsi="Book Antiqua" w:cs="Book Antiqua"/>
          <w:color w:val="000000"/>
        </w:rPr>
        <w:t>.</w:t>
      </w:r>
      <w:r w:rsidR="00A56784"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Fibrosis index values of 1.455 and below have made it possible to exclude the presence of advanced liver fibrosis, and a value of more than 0.676 testified in favor of the F3-F4 fibrosis stages</w:t>
      </w:r>
      <w:r w:rsidRPr="00F40118">
        <w:rPr>
          <w:rFonts w:ascii="Book Antiqua" w:eastAsia="Book Antiqua" w:hAnsi="Book Antiqua" w:cs="Book Antiqua"/>
          <w:color w:val="000000"/>
          <w:vertAlign w:val="superscript"/>
        </w:rPr>
        <w:t>[</w:t>
      </w:r>
      <w:r w:rsidR="00670B44" w:rsidRPr="00F40118">
        <w:rPr>
          <w:rFonts w:ascii="Book Antiqua" w:eastAsia="Book Antiqua" w:hAnsi="Book Antiqua" w:cs="Book Antiqua"/>
          <w:color w:val="000000"/>
          <w:vertAlign w:val="superscript"/>
        </w:rPr>
        <w:t>39</w:t>
      </w:r>
      <w:r w:rsidRPr="00F40118">
        <w:rPr>
          <w:rFonts w:ascii="Book Antiqua" w:eastAsia="Book Antiqua" w:hAnsi="Book Antiqua" w:cs="Book Antiqua"/>
          <w:color w:val="000000"/>
          <w:vertAlign w:val="superscript"/>
        </w:rPr>
        <w:t>]</w:t>
      </w:r>
      <w:r w:rsidRPr="00F40118">
        <w:rPr>
          <w:rFonts w:ascii="Book Antiqua" w:eastAsia="Book Antiqua" w:hAnsi="Book Antiqua" w:cs="Book Antiqua"/>
          <w:color w:val="000000"/>
        </w:rPr>
        <w:t>.</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Fonts w:ascii="Book Antiqua" w:eastAsia="Book Antiqua" w:hAnsi="Book Antiqua" w:cs="Book Antiqua"/>
          <w:color w:val="000000"/>
        </w:rPr>
        <w:t xml:space="preserve">Another method for liver fibrosis assessment was the calculation of the fibrosis index FIB-4 according to the formula FIB-4 = age (years) </w:t>
      </w:r>
      <w:r w:rsidR="00711EF1" w:rsidRPr="00F40118">
        <w:rPr>
          <w:rFonts w:ascii="Book Antiqua" w:eastAsia="Book Antiqua" w:hAnsi="Book Antiqua" w:cs="Book Antiqua"/>
          <w:color w:val="000000"/>
        </w:rPr>
        <w:t>×</w:t>
      </w:r>
      <w:r w:rsidRPr="00F40118">
        <w:rPr>
          <w:rFonts w:ascii="Book Antiqua" w:eastAsia="Book Antiqua" w:hAnsi="Book Antiqua" w:cs="Book Antiqua"/>
          <w:color w:val="000000"/>
        </w:rPr>
        <w:t xml:space="preserve"> AST (U/L)/platelets (10</w:t>
      </w:r>
      <w:r w:rsidRPr="00F40118">
        <w:rPr>
          <w:rFonts w:ascii="Book Antiqua" w:eastAsia="Book Antiqua" w:hAnsi="Book Antiqua" w:cs="Book Antiqua"/>
          <w:color w:val="000000"/>
          <w:vertAlign w:val="superscript"/>
        </w:rPr>
        <w:t>9</w:t>
      </w:r>
      <w:r w:rsidRPr="00F40118">
        <w:rPr>
          <w:rFonts w:ascii="Book Antiqua" w:eastAsia="Book Antiqua" w:hAnsi="Book Antiqua" w:cs="Book Antiqua"/>
          <w:color w:val="000000"/>
        </w:rPr>
        <w:t>/L)</w:t>
      </w:r>
      <w:r w:rsidR="00711EF1" w:rsidRPr="00F40118">
        <w:rPr>
          <w:rFonts w:ascii="Book Antiqua" w:eastAsia="Book Antiqua" w:hAnsi="Book Antiqua" w:cs="Book Antiqua"/>
          <w:color w:val="000000"/>
        </w:rPr>
        <w:t xml:space="preserve"> × </w:t>
      </w:r>
      <w:r w:rsidRPr="00F40118">
        <w:rPr>
          <w:rFonts w:ascii="Book Antiqua" w:eastAsia="Book Antiqua" w:hAnsi="Book Antiqua" w:cs="Book Antiqua"/>
          <w:color w:val="000000"/>
        </w:rPr>
        <w:t>√ ALT (U/L). A FIB-4 value less than 1.45 excluded the presence of severe liver fibrosis, and a value greater than 3.25 indicated the presence of advanced fibrosis.</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Fonts w:ascii="Book Antiqua" w:eastAsia="Book Antiqua" w:hAnsi="Book Antiqua" w:cs="Book Antiqua"/>
          <w:color w:val="000000"/>
        </w:rPr>
        <w:t>The risk of developing complications from the cardiovascular system was assessed using the ASCVD 2013 calculator. In accordance with the age limits, the CVD risk over 10 years in patients over 40 years of age and the risk over a lifetime in those under 59 years of age were calculated</w:t>
      </w:r>
      <w:r w:rsidRPr="00F40118">
        <w:rPr>
          <w:rStyle w:val="font16"/>
          <w:rFonts w:ascii="Book Antiqua" w:eastAsia="Book Antiqua" w:hAnsi="Book Antiqua" w:cs="Book Antiqua"/>
          <w:color w:val="000000"/>
        </w:rPr>
        <w:t>.</w:t>
      </w:r>
      <w:r w:rsidRPr="00F40118">
        <w:rPr>
          <w:rFonts w:ascii="Book Antiqua" w:eastAsia="Book Antiqua" w:hAnsi="Book Antiqua" w:cs="Book Antiqua"/>
          <w:color w:val="000000"/>
        </w:rPr>
        <w:t xml:space="preserve"> A program presented in the public domain was used for calculation</w:t>
      </w:r>
      <w:r w:rsidR="003034AB" w:rsidRPr="009E529C">
        <w:rPr>
          <w:rFonts w:ascii="Book Antiqua" w:eastAsia="Book Antiqua" w:hAnsi="Book Antiqua" w:cs="Book Antiqua"/>
          <w:color w:val="000000"/>
          <w:vertAlign w:val="superscript"/>
        </w:rPr>
        <w:t>[40]</w:t>
      </w:r>
      <w:r w:rsidRPr="009E529C">
        <w:rPr>
          <w:rFonts w:ascii="Book Antiqua" w:eastAsia="Book Antiqua" w:hAnsi="Book Antiqua" w:cs="Book Antiqua"/>
          <w:color w:val="000000"/>
        </w:rPr>
        <w:t>.</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Fonts w:ascii="Book Antiqua" w:eastAsia="Book Antiqua" w:hAnsi="Book Antiqua" w:cs="Book Antiqua"/>
          <w:color w:val="000000"/>
        </w:rPr>
        <w:t>The CIMT was assessed with a standard method in accordance with the European Society of Cardiology recommendations. CIMT was measured from longitudinal images of both the right and left common carotid arteries during B-mode ultrasonography as the distance from the echogenic lumen-intima interface to the echogenic media-adventitia interface; the highest value</w:t>
      </w:r>
      <w:r w:rsidRPr="00F40118">
        <w:rPr>
          <w:rFonts w:ascii="Book Antiqua" w:eastAsia="Book Antiqua" w:hAnsi="Book Antiqua" w:cs="Book Antiqua"/>
          <w:color w:val="000000"/>
          <w:shd w:val="clear" w:color="auto" w:fill="FFFFFF"/>
        </w:rPr>
        <w:t xml:space="preserve"> for each patient was used for analysis</w:t>
      </w:r>
      <w:r w:rsidRPr="00F40118">
        <w:rPr>
          <w:rFonts w:ascii="Book Antiqua" w:eastAsia="Book Antiqua" w:hAnsi="Book Antiqua" w:cs="Book Antiqua"/>
          <w:color w:val="000000"/>
          <w:vertAlign w:val="superscript"/>
        </w:rPr>
        <w:t>[</w:t>
      </w:r>
      <w:r w:rsidR="001F14CF" w:rsidRPr="00F40118">
        <w:rPr>
          <w:rFonts w:ascii="Book Antiqua" w:eastAsia="Book Antiqua" w:hAnsi="Book Antiqua" w:cs="Book Antiqua"/>
          <w:color w:val="000000"/>
          <w:vertAlign w:val="superscript"/>
        </w:rPr>
        <w:t>41</w:t>
      </w:r>
      <w:r w:rsidRPr="00F40118">
        <w:rPr>
          <w:rFonts w:ascii="Book Antiqua" w:eastAsia="Book Antiqua" w:hAnsi="Book Antiqua" w:cs="Book Antiqua"/>
          <w:color w:val="000000"/>
          <w:vertAlign w:val="superscript"/>
        </w:rPr>
        <w:t>]</w:t>
      </w:r>
      <w:r w:rsidRPr="00F40118">
        <w:rPr>
          <w:rFonts w:ascii="Book Antiqua" w:eastAsia="Book Antiqua" w:hAnsi="Book Antiqua" w:cs="Book Antiqua"/>
          <w:color w:val="000000"/>
        </w:rPr>
        <w:t>. Values exceeding the 95</w:t>
      </w:r>
      <w:r w:rsidRPr="00F40118">
        <w:rPr>
          <w:rFonts w:ascii="Book Antiqua" w:eastAsia="Book Antiqua" w:hAnsi="Book Antiqua" w:cs="Book Antiqua"/>
          <w:color w:val="000000"/>
          <w:vertAlign w:val="superscript"/>
        </w:rPr>
        <w:t>th</w:t>
      </w:r>
      <w:r w:rsidRPr="00F40118">
        <w:rPr>
          <w:rFonts w:ascii="Book Antiqua" w:eastAsia="Book Antiqua" w:hAnsi="Book Antiqua" w:cs="Book Antiqua"/>
          <w:color w:val="000000"/>
        </w:rPr>
        <w:t xml:space="preserve"> percentile for the corresponding age and sex were used as the ULN</w:t>
      </w:r>
      <w:r w:rsidRPr="00F40118">
        <w:rPr>
          <w:rFonts w:ascii="Book Antiqua" w:eastAsia="Book Antiqua" w:hAnsi="Book Antiqua" w:cs="Book Antiqua"/>
          <w:color w:val="000000"/>
          <w:vertAlign w:val="superscript"/>
        </w:rPr>
        <w:t>[</w:t>
      </w:r>
      <w:r w:rsidR="001F14CF" w:rsidRPr="00F40118">
        <w:rPr>
          <w:rFonts w:ascii="Book Antiqua" w:eastAsia="Book Antiqua" w:hAnsi="Book Antiqua" w:cs="Book Antiqua"/>
          <w:color w:val="000000"/>
          <w:vertAlign w:val="superscript"/>
        </w:rPr>
        <w:t>42</w:t>
      </w:r>
      <w:r w:rsidRPr="00F40118">
        <w:rPr>
          <w:rFonts w:ascii="Book Antiqua" w:eastAsia="Book Antiqua" w:hAnsi="Book Antiqua" w:cs="Book Antiqua"/>
          <w:color w:val="000000"/>
          <w:vertAlign w:val="superscript"/>
        </w:rPr>
        <w:t>]</w:t>
      </w:r>
      <w:r w:rsidRPr="00F40118">
        <w:rPr>
          <w:rFonts w:ascii="Book Antiqua" w:eastAsia="Book Antiqua" w:hAnsi="Book Antiqua" w:cs="Book Antiqua"/>
          <w:color w:val="000000"/>
        </w:rPr>
        <w:t>.</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Fonts w:ascii="Book Antiqua" w:eastAsia="Book Antiqua" w:hAnsi="Book Antiqua" w:cs="Book Antiqua"/>
          <w:color w:val="000000"/>
        </w:rPr>
        <w:t>All data were entered into the patient’s Case Report Form. After 3 mo of the study, 9 patients were excluded due to acute hepatocellular or cholestatic injury associated with nonsteroidal anti-inflammatory drug intake and alcohol consumption during the study. The study was completed by 174 patients who were included in the final analysis (Figure 1).</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Fonts w:ascii="Book Antiqua" w:eastAsia="Book Antiqua" w:hAnsi="Book Antiqua" w:cs="Book Antiqua"/>
          <w:color w:val="000000"/>
        </w:rPr>
        <w:t xml:space="preserve">To assess treatment effectiveness, the comparisons were made for the total sample and for men and women separately. The body weight, BMI, WC, and LFT were compared between baseline and 3 mo as well as between 3 and 6 mo of the treatment. The lipid profile, FLI, NFS, FIB-4, 10-year and lifetime ASCVD risk, and CIMT were compared between baseline and the end of the follow-up (Figure 2). </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Fonts w:ascii="Book Antiqua" w:eastAsia="Book Antiqua" w:hAnsi="Book Antiqua" w:cs="Book Antiqua"/>
          <w:color w:val="000000"/>
        </w:rPr>
        <w:t>Considering that the patients were given dietary and lifestyle recommendations, it was assumed that some patients would lose weight by the end of the study, which in</w:t>
      </w:r>
      <w:r w:rsidR="00711EF1"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itself could affect the parameters studied. Based on this assumption, a subgroup analysis with and without weight loss &gt;</w:t>
      </w:r>
      <w:r w:rsidR="00711EF1"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5% from baseline was planned.</w:t>
      </w:r>
    </w:p>
    <w:p w:rsidR="00DC07DC" w:rsidRPr="00F40118" w:rsidRDefault="00DC07DC" w:rsidP="00EF6CF8">
      <w:pPr>
        <w:adjustRightInd w:val="0"/>
        <w:snapToGrid w:val="0"/>
        <w:spacing w:line="360" w:lineRule="auto"/>
        <w:jc w:val="both"/>
        <w:rPr>
          <w:rFonts w:ascii="Book Antiqua" w:eastAsia="Book Antiqua" w:hAnsi="Book Antiqua" w:cs="Book Antiqua"/>
          <w:b/>
          <w:bCs/>
          <w:i/>
          <w:iCs/>
          <w:color w:val="000000"/>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bCs/>
          <w:i/>
          <w:iCs/>
          <w:color w:val="000000"/>
        </w:rPr>
        <w:t xml:space="preserve">Statistical </w:t>
      </w:r>
      <w:r w:rsidR="00EF0664" w:rsidRPr="00F40118">
        <w:rPr>
          <w:rFonts w:ascii="Book Antiqua" w:eastAsia="Book Antiqua" w:hAnsi="Book Antiqua" w:cs="Book Antiqua"/>
          <w:b/>
          <w:bCs/>
          <w:i/>
          <w:iCs/>
          <w:color w:val="000000"/>
        </w:rPr>
        <w:t>processing</w:t>
      </w:r>
    </w:p>
    <w:p w:rsidR="00A77B3E" w:rsidRPr="00F40118" w:rsidRDefault="00FF7A14" w:rsidP="00EF6CF8">
      <w:pPr>
        <w:adjustRightInd w:val="0"/>
        <w:snapToGrid w:val="0"/>
        <w:spacing w:line="360" w:lineRule="auto"/>
        <w:jc w:val="both"/>
        <w:rPr>
          <w:rFonts w:ascii="Book Antiqua" w:eastAsia="Book Antiqua" w:hAnsi="Book Antiqua" w:cs="Book Antiqua"/>
          <w:color w:val="000000"/>
        </w:rPr>
      </w:pPr>
      <w:r w:rsidRPr="00F40118">
        <w:rPr>
          <w:rFonts w:ascii="Book Antiqua" w:eastAsia="Book Antiqua" w:hAnsi="Book Antiqua" w:cs="Book Antiqua"/>
          <w:color w:val="000000"/>
        </w:rPr>
        <w:t xml:space="preserve">For the statistical processing of the study results, all data from the case report forms were entered by two researchers (M.N., Kh.K.) independently into a database created on the basis of </w:t>
      </w:r>
      <w:r w:rsidR="00F63C19" w:rsidRPr="00F40118">
        <w:rPr>
          <w:rFonts w:ascii="Book Antiqua" w:eastAsia="Book Antiqua" w:hAnsi="Book Antiqua" w:cs="Book Antiqua"/>
          <w:color w:val="000000"/>
        </w:rPr>
        <w:t>e</w:t>
      </w:r>
      <w:r w:rsidRPr="00F40118">
        <w:rPr>
          <w:rFonts w:ascii="Book Antiqua" w:eastAsia="Book Antiqua" w:hAnsi="Book Antiqua" w:cs="Book Antiqua"/>
          <w:color w:val="000000"/>
        </w:rPr>
        <w:t xml:space="preserve">xcel spreadsheets (Microsoft, </w:t>
      </w:r>
      <w:r w:rsidR="00F63C19" w:rsidRPr="00F40118">
        <w:rPr>
          <w:rFonts w:ascii="Book Antiqua" w:eastAsia="Book Antiqua" w:hAnsi="Book Antiqua" w:cs="Book Antiqua"/>
          <w:color w:val="000000"/>
        </w:rPr>
        <w:t>United States</w:t>
      </w:r>
      <w:r w:rsidRPr="00F40118">
        <w:rPr>
          <w:rFonts w:ascii="Book Antiqua" w:eastAsia="Book Antiqua" w:hAnsi="Book Antiqua" w:cs="Book Antiqua"/>
          <w:color w:val="000000"/>
        </w:rPr>
        <w:t>). In case of data discrepancies, the indicators were manually checked from the case report forms. The missing data for the studied parameters were 2.1</w:t>
      </w:r>
      <w:r w:rsidR="0028117E" w:rsidRPr="00F40118">
        <w:rPr>
          <w:rFonts w:ascii="Book Antiqua" w:eastAsia="Book Antiqua" w:hAnsi="Book Antiqua" w:cs="Book Antiqua"/>
          <w:color w:val="000000"/>
        </w:rPr>
        <w:t>%</w:t>
      </w:r>
      <w:r w:rsidRPr="00F40118">
        <w:rPr>
          <w:rFonts w:ascii="Book Antiqua" w:eastAsia="Book Antiqua" w:hAnsi="Book Antiqua" w:cs="Book Antiqua"/>
          <w:color w:val="000000"/>
        </w:rPr>
        <w:t xml:space="preserve"> ± 0.8%. Data are presented as absolute and relative indicators, mean ± </w:t>
      </w:r>
      <w:r w:rsidR="00977DC3" w:rsidRPr="00F40118">
        <w:rPr>
          <w:rFonts w:ascii="Book Antiqua" w:eastAsia="Book Antiqua" w:hAnsi="Book Antiqua" w:cs="Book Antiqua"/>
          <w:color w:val="000000"/>
        </w:rPr>
        <w:t>SD</w:t>
      </w:r>
      <w:r w:rsidRPr="00F40118">
        <w:rPr>
          <w:rFonts w:ascii="Book Antiqua" w:eastAsia="Book Antiqua" w:hAnsi="Book Antiqua" w:cs="Book Antiqua"/>
          <w:color w:val="000000"/>
        </w:rPr>
        <w:t xml:space="preserve"> for normally distributed values and for the rest of the values, as median (Me) and the 25</w:t>
      </w:r>
      <w:r w:rsidRPr="00F40118">
        <w:rPr>
          <w:rFonts w:ascii="Book Antiqua" w:eastAsia="Book Antiqua" w:hAnsi="Book Antiqua" w:cs="Book Antiqua"/>
          <w:color w:val="000000"/>
          <w:vertAlign w:val="superscript"/>
        </w:rPr>
        <w:t>th</w:t>
      </w:r>
      <w:r w:rsidRPr="00F40118">
        <w:rPr>
          <w:rFonts w:ascii="Book Antiqua" w:eastAsia="Book Antiqua" w:hAnsi="Book Antiqua" w:cs="Book Antiqua"/>
          <w:color w:val="000000"/>
        </w:rPr>
        <w:t xml:space="preserve"> and 75</w:t>
      </w:r>
      <w:r w:rsidRPr="00F40118">
        <w:rPr>
          <w:rFonts w:ascii="Book Antiqua" w:eastAsia="Book Antiqua" w:hAnsi="Book Antiqua" w:cs="Book Antiqua"/>
          <w:color w:val="000000"/>
          <w:vertAlign w:val="superscript"/>
        </w:rPr>
        <w:t>th</w:t>
      </w:r>
      <w:r w:rsidRPr="00F40118">
        <w:rPr>
          <w:rFonts w:ascii="Book Antiqua" w:eastAsia="Book Antiqua" w:hAnsi="Book Antiqua" w:cs="Book Antiqua"/>
          <w:color w:val="000000"/>
        </w:rPr>
        <w:t xml:space="preserve"> percentiles-</w:t>
      </w:r>
      <w:r w:rsidRPr="00F40118">
        <w:rPr>
          <w:rFonts w:ascii="Book Antiqua" w:eastAsia="Book Antiqua" w:hAnsi="Book Antiqua" w:cs="Book Antiqua"/>
          <w:color w:val="000000"/>
          <w:shd w:val="clear" w:color="auto" w:fill="FFFFFF"/>
        </w:rPr>
        <w:t>interquartile range</w:t>
      </w:r>
      <w:r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shd w:val="clear" w:color="auto" w:fill="FFFFFF"/>
        </w:rPr>
        <w:t>IQR</w:t>
      </w:r>
      <w:r w:rsidRPr="00F40118">
        <w:rPr>
          <w:rFonts w:ascii="Book Antiqua" w:eastAsia="Book Antiqua" w:hAnsi="Book Antiqua" w:cs="Book Antiqua"/>
          <w:color w:val="000000"/>
        </w:rPr>
        <w:t xml:space="preserve">). To test statistical hypotheses, the Wilcoxon test, paired </w:t>
      </w:r>
      <w:r w:rsidRPr="00F40118">
        <w:rPr>
          <w:rFonts w:ascii="Book Antiqua" w:eastAsia="Book Antiqua" w:hAnsi="Book Antiqua" w:cs="Book Antiqua"/>
          <w:i/>
          <w:iCs/>
          <w:color w:val="000000"/>
        </w:rPr>
        <w:t>t</w:t>
      </w:r>
      <w:r w:rsidRPr="00F40118">
        <w:rPr>
          <w:rFonts w:ascii="Book Antiqua" w:eastAsia="Book Antiqua" w:hAnsi="Book Antiqua" w:cs="Book Antiqua"/>
          <w:color w:val="000000"/>
        </w:rPr>
        <w:t xml:space="preserve">-test, Fisher’s exact test, and Pearson's chi-squared test were used. The critical value of the statistical significance level, when testing the null hypotheses, was equal to 0.05. Statistical analysis was performed using SPSS Statistics v.23.0 </w:t>
      </w:r>
      <w:r w:rsidRPr="00F40118">
        <w:rPr>
          <w:rFonts w:ascii="Book Antiqua" w:eastAsia="Book Antiqua" w:hAnsi="Book Antiqua" w:cs="Book Antiqua"/>
          <w:color w:val="000000"/>
          <w:shd w:val="clear" w:color="auto" w:fill="FFFFFF"/>
        </w:rPr>
        <w:t>(</w:t>
      </w:r>
      <w:r w:rsidRPr="00F40118">
        <w:rPr>
          <w:rStyle w:val="highlight"/>
          <w:rFonts w:ascii="Book Antiqua" w:eastAsia="Book Antiqua" w:hAnsi="Book Antiqua" w:cs="Book Antiqua"/>
          <w:color w:val="000000"/>
          <w:shd w:val="clear" w:color="auto" w:fill="FFFFFF"/>
        </w:rPr>
        <w:t>IBM</w:t>
      </w:r>
      <w:r w:rsidRPr="00F40118">
        <w:rPr>
          <w:rFonts w:ascii="Book Antiqua" w:eastAsia="Book Antiqua" w:hAnsi="Book Antiqua" w:cs="Book Antiqua"/>
          <w:color w:val="000000"/>
          <w:shd w:val="clear" w:color="auto" w:fill="FFFFFF"/>
        </w:rPr>
        <w:t xml:space="preserve"> Corporation, </w:t>
      </w:r>
      <w:r w:rsidR="0056151A" w:rsidRPr="00F40118">
        <w:rPr>
          <w:rFonts w:ascii="Book Antiqua" w:eastAsia="Book Antiqua" w:hAnsi="Book Antiqua" w:cs="Book Antiqua"/>
          <w:color w:val="000000"/>
        </w:rPr>
        <w:t>United States</w:t>
      </w:r>
      <w:r w:rsidRPr="00F40118">
        <w:rPr>
          <w:rFonts w:ascii="Book Antiqua" w:eastAsia="Book Antiqua" w:hAnsi="Book Antiqua" w:cs="Book Antiqua"/>
          <w:color w:val="000000"/>
        </w:rPr>
        <w:t>).</w:t>
      </w:r>
    </w:p>
    <w:bookmarkEnd w:id="34"/>
    <w:bookmarkEnd w:id="35"/>
    <w:p w:rsidR="00A77B3E" w:rsidRPr="00F40118" w:rsidRDefault="00A77B3E" w:rsidP="002A421B">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caps/>
          <w:color w:val="000000"/>
          <w:u w:val="single"/>
        </w:rPr>
        <w:t>RESULTS</w:t>
      </w:r>
    </w:p>
    <w:p w:rsidR="00A77B3E" w:rsidRPr="00F40118" w:rsidRDefault="00FF7A14" w:rsidP="00EF6CF8">
      <w:pPr>
        <w:adjustRightInd w:val="0"/>
        <w:snapToGrid w:val="0"/>
        <w:spacing w:line="360" w:lineRule="auto"/>
        <w:jc w:val="both"/>
        <w:rPr>
          <w:rFonts w:ascii="Book Antiqua" w:eastAsia="Book Antiqua" w:hAnsi="Book Antiqua" w:cs="Book Antiqua"/>
          <w:color w:val="000000"/>
        </w:rPr>
      </w:pPr>
      <w:bookmarkStart w:id="36" w:name="OLE_LINK49"/>
      <w:bookmarkStart w:id="37" w:name="OLE_LINK50"/>
      <w:r w:rsidRPr="00F40118">
        <w:rPr>
          <w:rFonts w:ascii="Book Antiqua" w:eastAsia="Book Antiqua" w:hAnsi="Book Antiqua" w:cs="Book Antiqua"/>
          <w:color w:val="000000"/>
        </w:rPr>
        <w:t>The study involved 121 (69.5%) men and 53 (30.5%) women aged 24 to 68 years. The patients’ baseline data are presented in Table 1. Among the concomitant diseases, type 2 diabetes mellitus (T2DM) was diagnosed in 54 (31.0%) patients, and arterial hypertension (AH) was diagnosed in 41 (23.6%) patients. Tobacco smoking was noted in every third patient. Obesity (</w:t>
      </w:r>
      <w:r w:rsidR="0048758E" w:rsidRPr="00F40118">
        <w:rPr>
          <w:rFonts w:ascii="Book Antiqua" w:eastAsia="Book Antiqua" w:hAnsi="Book Antiqua" w:cs="Book Antiqua"/>
          <w:color w:val="000000"/>
        </w:rPr>
        <w:t xml:space="preserve">Classes </w:t>
      </w:r>
      <w:r w:rsidRPr="00F40118">
        <w:rPr>
          <w:rFonts w:ascii="Book Antiqua" w:eastAsia="Book Antiqua" w:hAnsi="Book Antiqua" w:cs="Book Antiqua"/>
          <w:color w:val="000000"/>
        </w:rPr>
        <w:t>I-III) was observed in 121 (69.5%) patients, and the remaining patients were overweight. Seventy-nine (45.4%) patients met the NCEP ATP III criteria for metabolic syndrome. The mean age of women was significantly higher than that of men (</w:t>
      </w:r>
      <w:r w:rsidRPr="00F40118">
        <w:rPr>
          <w:rFonts w:ascii="Book Antiqua" w:eastAsia="Book Antiqua" w:hAnsi="Book Antiqua" w:cs="Book Antiqua"/>
          <w:i/>
          <w:iCs/>
          <w:color w:val="000000"/>
        </w:rPr>
        <w:t xml:space="preserve">P </w:t>
      </w:r>
      <w:r w:rsidRPr="00F40118">
        <w:rPr>
          <w:rFonts w:ascii="Book Antiqua" w:eastAsia="Book Antiqua" w:hAnsi="Book Antiqua" w:cs="Book Antiqua"/>
          <w:color w:val="000000"/>
        </w:rPr>
        <w:t>&lt; 0.001); the metabolic syndrome was more common in women compared with men (</w:t>
      </w:r>
      <w:r w:rsidRPr="00F40118">
        <w:rPr>
          <w:rFonts w:ascii="Book Antiqua" w:eastAsia="Book Antiqua" w:hAnsi="Book Antiqua" w:cs="Book Antiqua"/>
          <w:i/>
          <w:iCs/>
          <w:color w:val="000000"/>
        </w:rPr>
        <w:t>P</w:t>
      </w:r>
      <w:r w:rsidRPr="00F40118">
        <w:rPr>
          <w:rFonts w:ascii="Book Antiqua" w:eastAsia="Book Antiqua" w:hAnsi="Book Antiqua" w:cs="Book Antiqua"/>
          <w:color w:val="000000"/>
        </w:rPr>
        <w:t xml:space="preserve"> &lt; 0.002). Men and women did not differ in frequency of T2DM, AH, tobacco smoking, and obesity (classes I-III)</w:t>
      </w:r>
      <w:r w:rsidR="006146C9" w:rsidRPr="00F40118">
        <w:rPr>
          <w:rFonts w:ascii="Book Antiqua" w:eastAsia="Book Antiqua" w:hAnsi="Book Antiqua" w:cs="Book Antiqua"/>
          <w:color w:val="000000"/>
        </w:rPr>
        <w:t xml:space="preserve"> </w:t>
      </w:r>
      <w:r w:rsidR="00DC07DC" w:rsidRPr="00F40118">
        <w:rPr>
          <w:rFonts w:ascii="Book Antiqua" w:eastAsia="Book Antiqua" w:hAnsi="Book Antiqua" w:cs="Book Antiqua"/>
          <w:color w:val="000000"/>
        </w:rPr>
        <w:t>(</w:t>
      </w:r>
      <w:r w:rsidR="006146C9" w:rsidRPr="00F40118">
        <w:rPr>
          <w:rFonts w:ascii="Book Antiqua" w:eastAsia="Book Antiqua" w:hAnsi="Book Antiqua" w:cs="Book Antiqua"/>
          <w:color w:val="000000"/>
        </w:rPr>
        <w:t>Table 1</w:t>
      </w:r>
      <w:r w:rsidR="00DC07DC" w:rsidRPr="00F40118">
        <w:rPr>
          <w:rFonts w:ascii="Book Antiqua" w:eastAsia="Book Antiqua" w:hAnsi="Book Antiqua" w:cs="Book Antiqua"/>
          <w:color w:val="000000"/>
        </w:rPr>
        <w:t>)</w:t>
      </w:r>
      <w:r w:rsidRPr="00F40118">
        <w:rPr>
          <w:rFonts w:ascii="Book Antiqua" w:eastAsia="Book Antiqua" w:hAnsi="Book Antiqua" w:cs="Book Antiqua"/>
          <w:color w:val="000000"/>
        </w:rPr>
        <w:t>.</w:t>
      </w:r>
    </w:p>
    <w:p w:rsidR="00A77B3E" w:rsidRPr="00F40118" w:rsidRDefault="00A77B3E"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bCs/>
          <w:i/>
          <w:iCs/>
          <w:color w:val="000000"/>
        </w:rPr>
        <w:t>Analysis within the total sample and by sex</w:t>
      </w: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color w:val="000000"/>
        </w:rPr>
        <w:t xml:space="preserve">During the study, smoking status, need for AH treatment, and the number of T2DM cases did not change. </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Style w:val="font16"/>
          <w:rFonts w:ascii="Book Antiqua" w:eastAsia="Book Antiqua" w:hAnsi="Book Antiqua" w:cs="Book Antiqua"/>
          <w:color w:val="000000"/>
        </w:rPr>
        <w:t xml:space="preserve">As compared with their initial levels, body weight, BMI, and WC decreased significantly </w:t>
      </w:r>
      <w:r w:rsidRPr="00F40118">
        <w:rPr>
          <w:rFonts w:ascii="Book Antiqua" w:eastAsia="Book Antiqua" w:hAnsi="Book Antiqua" w:cs="Book Antiqua"/>
          <w:color w:val="000000"/>
        </w:rPr>
        <w:t>(</w:t>
      </w:r>
      <w:r w:rsidRPr="00F40118">
        <w:rPr>
          <w:rFonts w:ascii="Book Antiqua" w:eastAsia="Book Antiqua" w:hAnsi="Book Antiqua" w:cs="Book Antiqua"/>
          <w:i/>
          <w:iCs/>
          <w:color w:val="000000"/>
        </w:rPr>
        <w:t>P</w:t>
      </w:r>
      <w:r w:rsidRPr="00F40118">
        <w:rPr>
          <w:rFonts w:ascii="Book Antiqua" w:eastAsia="Book Antiqua" w:hAnsi="Book Antiqua" w:cs="Book Antiqua"/>
          <w:color w:val="000000"/>
        </w:rPr>
        <w:t xml:space="preserve"> &lt; 0.001) </w:t>
      </w:r>
      <w:r w:rsidRPr="00F40118">
        <w:rPr>
          <w:rStyle w:val="font16"/>
          <w:rFonts w:ascii="Book Antiqua" w:eastAsia="Book Antiqua" w:hAnsi="Book Antiqua" w:cs="Book Antiqua"/>
          <w:color w:val="000000"/>
        </w:rPr>
        <w:t>in men and women after 3 mo of treatment and continued to reduce between 3 and 6 mo (</w:t>
      </w:r>
      <w:r w:rsidRPr="00F40118">
        <w:rPr>
          <w:rStyle w:val="font16"/>
          <w:rFonts w:ascii="Book Antiqua" w:eastAsia="Book Antiqua" w:hAnsi="Book Antiqua" w:cs="Book Antiqua"/>
          <w:i/>
          <w:iCs/>
          <w:color w:val="000000"/>
        </w:rPr>
        <w:t xml:space="preserve">P </w:t>
      </w:r>
      <w:r w:rsidRPr="00F40118">
        <w:rPr>
          <w:rStyle w:val="font16"/>
          <w:rFonts w:ascii="Book Antiqua" w:eastAsia="Book Antiqua" w:hAnsi="Book Antiqua" w:cs="Book Antiqua"/>
          <w:color w:val="000000"/>
        </w:rPr>
        <w:t>&lt; 0.001)</w:t>
      </w:r>
      <w:r w:rsidRPr="00F40118">
        <w:rPr>
          <w:rFonts w:ascii="Book Antiqua" w:eastAsia="Book Antiqua" w:hAnsi="Book Antiqua" w:cs="Book Antiqua"/>
          <w:color w:val="000000"/>
        </w:rPr>
        <w:t xml:space="preserve"> (Table 2)</w:t>
      </w:r>
      <w:r w:rsidRPr="00F40118">
        <w:rPr>
          <w:rStyle w:val="font16"/>
          <w:rFonts w:ascii="Book Antiqua" w:eastAsia="Book Antiqua" w:hAnsi="Book Antiqua" w:cs="Book Antiqua"/>
          <w:color w:val="000000"/>
        </w:rPr>
        <w:t>. No significant difference was reported in body weight change between the 0-</w:t>
      </w:r>
      <w:r w:rsidR="00FD56B1" w:rsidRPr="00F40118">
        <w:rPr>
          <w:rStyle w:val="font16"/>
          <w:rFonts w:ascii="Book Antiqua" w:eastAsia="Book Antiqua" w:hAnsi="Book Antiqua" w:cs="Book Antiqua"/>
          <w:color w:val="000000"/>
        </w:rPr>
        <w:t xml:space="preserve"> </w:t>
      </w:r>
      <w:r w:rsidRPr="00F40118">
        <w:rPr>
          <w:rStyle w:val="font16"/>
          <w:rFonts w:ascii="Book Antiqua" w:eastAsia="Book Antiqua" w:hAnsi="Book Antiqua" w:cs="Book Antiqua"/>
          <w:color w:val="000000"/>
        </w:rPr>
        <w:t>to 3-mo and 3- to 6-mo intervals, whereas the WC was greatly reduced between b</w:t>
      </w:r>
      <w:r w:rsidRPr="00F40118">
        <w:rPr>
          <w:rFonts w:ascii="Book Antiqua" w:eastAsia="Book Antiqua" w:hAnsi="Book Antiqua" w:cs="Book Antiqua"/>
          <w:color w:val="000000"/>
        </w:rPr>
        <w:t>aseline</w:t>
      </w:r>
      <w:r w:rsidRPr="00F40118">
        <w:rPr>
          <w:rStyle w:val="font16"/>
          <w:rFonts w:ascii="Book Antiqua" w:eastAsia="Book Antiqua" w:hAnsi="Book Antiqua" w:cs="Book Antiqua"/>
          <w:color w:val="000000"/>
        </w:rPr>
        <w:t xml:space="preserve"> and </w:t>
      </w:r>
      <w:r w:rsidR="00FD56B1" w:rsidRPr="00F40118">
        <w:rPr>
          <w:rStyle w:val="font16"/>
          <w:rFonts w:ascii="Book Antiqua" w:eastAsia="Book Antiqua" w:hAnsi="Book Antiqua" w:cs="Book Antiqua"/>
          <w:color w:val="000000"/>
        </w:rPr>
        <w:t>3</w:t>
      </w:r>
      <w:r w:rsidRPr="00F40118">
        <w:rPr>
          <w:rStyle w:val="font16"/>
          <w:rFonts w:ascii="Book Antiqua" w:eastAsia="Book Antiqua" w:hAnsi="Book Antiqua" w:cs="Book Antiqua"/>
          <w:color w:val="000000"/>
        </w:rPr>
        <w:t xml:space="preserve"> mo of treatment </w:t>
      </w:r>
      <w:r w:rsidRPr="00F40118">
        <w:rPr>
          <w:rFonts w:ascii="Book Antiqua" w:eastAsia="Book Antiqua" w:hAnsi="Book Antiqua" w:cs="Book Antiqua"/>
          <w:color w:val="000000"/>
        </w:rPr>
        <w:t>(</w:t>
      </w:r>
      <w:r w:rsidRPr="00F40118">
        <w:rPr>
          <w:rFonts w:ascii="Book Antiqua" w:eastAsia="Book Antiqua" w:hAnsi="Book Antiqua" w:cs="Book Antiqua"/>
          <w:i/>
          <w:iCs/>
          <w:color w:val="000000"/>
        </w:rPr>
        <w:t>P</w:t>
      </w:r>
      <w:r w:rsidRPr="00F40118">
        <w:rPr>
          <w:rFonts w:ascii="Book Antiqua" w:eastAsia="Book Antiqua" w:hAnsi="Book Antiqua" w:cs="Book Antiqua"/>
          <w:color w:val="000000"/>
        </w:rPr>
        <w:t xml:space="preserve"> &lt; 0.001).</w:t>
      </w:r>
    </w:p>
    <w:p w:rsidR="00A77B3E" w:rsidRPr="00F40118" w:rsidRDefault="00FF7A14" w:rsidP="00EF6CF8">
      <w:pPr>
        <w:adjustRightInd w:val="0"/>
        <w:snapToGrid w:val="0"/>
        <w:spacing w:line="360" w:lineRule="auto"/>
        <w:ind w:firstLineChars="100" w:firstLine="240"/>
        <w:jc w:val="both"/>
        <w:rPr>
          <w:rStyle w:val="font16"/>
          <w:rFonts w:ascii="Book Antiqua" w:eastAsia="Book Antiqua" w:hAnsi="Book Antiqua" w:cs="Book Antiqua"/>
          <w:color w:val="000000"/>
        </w:rPr>
      </w:pPr>
      <w:r w:rsidRPr="00F40118">
        <w:rPr>
          <w:rFonts w:ascii="Book Antiqua" w:eastAsia="Book Antiqua" w:hAnsi="Book Antiqua" w:cs="Book Antiqua"/>
          <w:color w:val="000000"/>
        </w:rPr>
        <w:t>After 3 mo of treatment, 11 (6.3%) patients lost &gt; 5% weight, whereas at the end of treatment, 54 (31%) patients had &gt; 5% weight reduction, a 3-mo difference being statistically significant (</w:t>
      </w:r>
      <w:r w:rsidRPr="00F40118">
        <w:rPr>
          <w:rFonts w:ascii="Book Antiqua" w:eastAsia="Book Antiqua" w:hAnsi="Book Antiqua" w:cs="Book Antiqua"/>
          <w:i/>
          <w:iCs/>
          <w:color w:val="000000"/>
        </w:rPr>
        <w:t>P</w:t>
      </w:r>
      <w:r w:rsidRPr="00F40118">
        <w:rPr>
          <w:rFonts w:ascii="Book Antiqua" w:eastAsia="Book Antiqua" w:hAnsi="Book Antiqua" w:cs="Book Antiqua"/>
          <w:color w:val="000000"/>
        </w:rPr>
        <w:t xml:space="preserve"> &lt; 0.001</w:t>
      </w:r>
      <w:r w:rsidRPr="00F40118">
        <w:rPr>
          <w:rStyle w:val="font16"/>
          <w:rFonts w:ascii="Book Antiqua" w:hAnsi="Book Antiqua"/>
        </w:rPr>
        <w:t>)</w:t>
      </w:r>
      <w:r w:rsidR="00DC07DC" w:rsidRPr="00F40118">
        <w:rPr>
          <w:rStyle w:val="font16"/>
          <w:rFonts w:ascii="Book Antiqua" w:hAnsi="Book Antiqua"/>
        </w:rPr>
        <w:t xml:space="preserve"> (</w:t>
      </w:r>
      <w:r w:rsidR="006146C9" w:rsidRPr="00F40118">
        <w:rPr>
          <w:rStyle w:val="font16"/>
          <w:rFonts w:ascii="Book Antiqua" w:eastAsia="Book Antiqua" w:hAnsi="Book Antiqua"/>
        </w:rPr>
        <w:t>Table 2</w:t>
      </w:r>
      <w:r w:rsidR="00DC07DC" w:rsidRPr="00F40118">
        <w:rPr>
          <w:rStyle w:val="font16"/>
          <w:rFonts w:ascii="Book Antiqua" w:hAnsi="Book Antiqua"/>
        </w:rPr>
        <w:t>)</w:t>
      </w:r>
      <w:r w:rsidRPr="00F40118">
        <w:rPr>
          <w:rStyle w:val="font16"/>
          <w:rFonts w:ascii="Book Antiqua" w:hAnsi="Book Antiqua"/>
        </w:rPr>
        <w:t>.</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Style w:val="font16"/>
          <w:rFonts w:ascii="Book Antiqua" w:eastAsia="Book Antiqua" w:hAnsi="Book Antiqua" w:cs="Book Antiqua"/>
          <w:color w:val="000000"/>
        </w:rPr>
        <w:t xml:space="preserve">The levels of ALT, AST, and GGT decreased significantly from baseline to 3 mo and from 3 to 6 mo. </w:t>
      </w:r>
      <w:r w:rsidRPr="00F40118">
        <w:rPr>
          <w:rFonts w:ascii="Book Antiqua" w:eastAsia="Book Antiqua" w:hAnsi="Book Antiqua" w:cs="Book Antiqua"/>
          <w:color w:val="000000"/>
        </w:rPr>
        <w:t>The ALT level initially exceeded 39.9 U/L in 116 (66.7%) of patients but decreased to 64 (36.8%) by the 3</w:t>
      </w:r>
      <w:r w:rsidRPr="00F40118">
        <w:rPr>
          <w:rFonts w:ascii="Book Antiqua" w:eastAsia="Book Antiqua" w:hAnsi="Book Antiqua" w:cs="Book Antiqua"/>
          <w:color w:val="000000"/>
          <w:vertAlign w:val="superscript"/>
        </w:rPr>
        <w:t>rd</w:t>
      </w:r>
      <w:r w:rsidRPr="00F40118">
        <w:rPr>
          <w:rFonts w:ascii="Book Antiqua" w:eastAsia="Book Antiqua" w:hAnsi="Book Antiqua" w:cs="Book Antiqua"/>
          <w:color w:val="000000"/>
        </w:rPr>
        <w:t xml:space="preserve"> mo and to 40 (23%) by the end of the study. Low-normal ALT values (0-19.9) were noted in 5 (2.8%) at baseline, in 15 (8.6%) at 3 mo, and in 26 (14.9%) after treatment. The ALT level changed by -14.1 U/L (IQR = -31.0 U/L to</w:t>
      </w:r>
      <w:r w:rsidR="0056151A" w:rsidRPr="00F40118">
        <w:rPr>
          <w:rFonts w:ascii="Book Antiqua" w:eastAsia="Book Antiqua" w:hAnsi="Book Antiqua" w:cs="Book Antiqua"/>
          <w:color w:val="000000"/>
        </w:rPr>
        <w:t xml:space="preserve"> </w:t>
      </w:r>
      <w:r w:rsidR="00FD56B1" w:rsidRPr="00F40118">
        <w:rPr>
          <w:rFonts w:ascii="Book Antiqua" w:eastAsia="Book Antiqua" w:hAnsi="Book Antiqua" w:cs="Book Antiqua"/>
          <w:color w:val="000000"/>
        </w:rPr>
        <w:t>-5.3</w:t>
      </w:r>
      <w:r w:rsidRPr="00F40118">
        <w:rPr>
          <w:rFonts w:ascii="Book Antiqua" w:eastAsia="Book Antiqua" w:hAnsi="Book Antiqua" w:cs="Book Antiqua"/>
          <w:color w:val="000000"/>
        </w:rPr>
        <w:t xml:space="preserve"> U/L) from baseline to 3 mo and by</w:t>
      </w:r>
      <w:r w:rsidR="00EF0664"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-6.5 U/L (IQR = -14.0 U/L to 0.1 U/L) from 3 to 6 mo. Similar changes were seen with AST and GGT levels. From baseline to 3 mo, the levels of AST and GGT decreased by -4.0 U/L (IQR = -12.0 U/L to 1.0 U/L) and -5.0 U/L (IQR = -15.0 U/L to 2.0 U/L), respectively. From 3 to 6 mo, AST and GGT levels dropped by -2.0 U/L (IQR = -7.0 U/L to 2.2 U/L) and -3.0 U/L (IQR = -8.0 U/L to 2.0 U/L), respectively.</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Style w:val="font16"/>
          <w:rFonts w:ascii="Book Antiqua" w:eastAsia="Book Antiqua" w:hAnsi="Book Antiqua" w:cs="Book Antiqua"/>
          <w:color w:val="000000"/>
        </w:rPr>
        <w:t>The magnitude of ALT, AST, and GGT decrease was greater during the first 3 mo of treatment compared to the subsequent 3 mo (</w:t>
      </w:r>
      <w:r w:rsidRPr="00F40118">
        <w:rPr>
          <w:rStyle w:val="font16"/>
          <w:rFonts w:ascii="Book Antiqua" w:eastAsia="Book Antiqua" w:hAnsi="Book Antiqua" w:cs="Book Antiqua"/>
          <w:i/>
          <w:iCs/>
          <w:color w:val="000000"/>
        </w:rPr>
        <w:t>P</w:t>
      </w:r>
      <w:r w:rsidRPr="00F40118">
        <w:rPr>
          <w:rStyle w:val="font16"/>
          <w:rFonts w:ascii="Book Antiqua" w:eastAsia="Book Antiqua" w:hAnsi="Book Antiqua" w:cs="Book Antiqua"/>
          <w:color w:val="000000"/>
        </w:rPr>
        <w:t xml:space="preserve"> &lt; 0.001, </w:t>
      </w:r>
      <w:r w:rsidRPr="00F40118">
        <w:rPr>
          <w:rStyle w:val="font16"/>
          <w:rFonts w:ascii="Book Antiqua" w:eastAsia="Book Antiqua" w:hAnsi="Book Antiqua" w:cs="Book Antiqua"/>
          <w:i/>
          <w:iCs/>
          <w:color w:val="000000"/>
        </w:rPr>
        <w:t>P</w:t>
      </w:r>
      <w:r w:rsidRPr="00F40118">
        <w:rPr>
          <w:rStyle w:val="font16"/>
          <w:rFonts w:ascii="Book Antiqua" w:eastAsia="Book Antiqua" w:hAnsi="Book Antiqua" w:cs="Book Antiqua"/>
          <w:color w:val="000000"/>
        </w:rPr>
        <w:t xml:space="preserve"> &lt; 0.01, </w:t>
      </w:r>
      <w:r w:rsidRPr="00F40118">
        <w:rPr>
          <w:rStyle w:val="font16"/>
          <w:rFonts w:ascii="Book Antiqua" w:eastAsia="Book Antiqua" w:hAnsi="Book Antiqua" w:cs="Book Antiqua"/>
          <w:i/>
          <w:iCs/>
          <w:color w:val="000000"/>
        </w:rPr>
        <w:t>P</w:t>
      </w:r>
      <w:r w:rsidRPr="00F40118">
        <w:rPr>
          <w:rStyle w:val="font16"/>
          <w:rFonts w:ascii="Book Antiqua" w:eastAsia="Book Antiqua" w:hAnsi="Book Antiqua" w:cs="Book Antiqua"/>
          <w:color w:val="000000"/>
        </w:rPr>
        <w:t xml:space="preserve"> &lt;</w:t>
      </w:r>
      <w:r w:rsidR="0056151A" w:rsidRPr="00F40118">
        <w:rPr>
          <w:rStyle w:val="font16"/>
          <w:rFonts w:ascii="Book Antiqua" w:eastAsia="Book Antiqua" w:hAnsi="Book Antiqua" w:cs="Book Antiqua"/>
          <w:color w:val="000000"/>
        </w:rPr>
        <w:t xml:space="preserve"> </w:t>
      </w:r>
      <w:r w:rsidRPr="00F40118">
        <w:rPr>
          <w:rStyle w:val="font16"/>
          <w:rFonts w:ascii="Book Antiqua" w:eastAsia="Book Antiqua" w:hAnsi="Book Antiqua" w:cs="Book Antiqua"/>
          <w:color w:val="000000"/>
        </w:rPr>
        <w:t>0.001, respectively). The baseline ALT, AST, and GGT levels did not differ between the sexes, in contrast to the rates of change of these parameters over the trial. Men had a significant decrease in ALT, AST, and GGT levels both from baseline to 3 mo and from 3 to 6 mo, whereas women had the only significant decrease in ALT over the both periods. The AST and GGT levels decreased to normal levels during the first 3 mo of treatment in most women</w:t>
      </w:r>
      <w:r w:rsidR="006146C9" w:rsidRPr="00F40118">
        <w:rPr>
          <w:rStyle w:val="font16"/>
          <w:rFonts w:ascii="Book Antiqua" w:eastAsia="Book Antiqua" w:hAnsi="Book Antiqua" w:cs="Book Antiqua"/>
          <w:color w:val="000000"/>
        </w:rPr>
        <w:t xml:space="preserve"> (Table </w:t>
      </w:r>
      <w:r w:rsidR="00FD56B1" w:rsidRPr="00F40118">
        <w:rPr>
          <w:rStyle w:val="font16"/>
          <w:rFonts w:ascii="Book Antiqua" w:eastAsia="Book Antiqua" w:hAnsi="Book Antiqua" w:cs="Book Antiqua"/>
          <w:color w:val="000000"/>
        </w:rPr>
        <w:t>2</w:t>
      </w:r>
      <w:r w:rsidR="006146C9" w:rsidRPr="00F40118">
        <w:rPr>
          <w:rStyle w:val="font16"/>
          <w:rFonts w:ascii="Book Antiqua" w:eastAsia="Book Antiqua" w:hAnsi="Book Antiqua" w:cs="Book Antiqua"/>
          <w:color w:val="000000"/>
        </w:rPr>
        <w:t>)</w:t>
      </w:r>
      <w:r w:rsidRPr="00F40118">
        <w:rPr>
          <w:rStyle w:val="font16"/>
          <w:rFonts w:ascii="Book Antiqua" w:eastAsia="Book Antiqua" w:hAnsi="Book Antiqua" w:cs="Book Antiqua"/>
          <w:color w:val="000000"/>
        </w:rPr>
        <w:t>.</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Style w:val="font16"/>
          <w:rFonts w:ascii="Book Antiqua" w:eastAsia="Book Antiqua" w:hAnsi="Book Antiqua" w:cs="Book Antiqua"/>
          <w:color w:val="000000"/>
        </w:rPr>
        <w:t>During the study, there was a statistically significant change in lipid profile: a decrease in the ТС, TG, and LDL levels in the total sample and by sex. The HDL level did not change significantly in men, but significantly increased in women</w:t>
      </w:r>
      <w:r w:rsidR="002C0C28" w:rsidRPr="00F40118">
        <w:rPr>
          <w:rStyle w:val="font16"/>
          <w:rFonts w:ascii="Book Antiqua" w:eastAsia="Book Antiqua" w:hAnsi="Book Antiqua" w:cs="Book Antiqua"/>
          <w:color w:val="000000"/>
        </w:rPr>
        <w:t xml:space="preserve"> (Table 3)</w:t>
      </w:r>
      <w:r w:rsidRPr="00F40118">
        <w:rPr>
          <w:rStyle w:val="font16"/>
          <w:rFonts w:ascii="Book Antiqua" w:eastAsia="Book Antiqua" w:hAnsi="Book Antiqua" w:cs="Book Antiqua"/>
          <w:color w:val="000000"/>
        </w:rPr>
        <w:t xml:space="preserve">. </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Fonts w:ascii="Book Antiqua" w:eastAsia="Book Antiqua" w:hAnsi="Book Antiqua" w:cs="Book Antiqua"/>
          <w:color w:val="000000"/>
        </w:rPr>
        <w:t>By the end of the study, the FLI had decreased to a value of &lt;</w:t>
      </w:r>
      <w:r w:rsidR="0056151A"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 xml:space="preserve">30 in one men, and in another 40 patients </w:t>
      </w:r>
      <w:r w:rsidR="0056151A" w:rsidRPr="00F40118">
        <w:rPr>
          <w:rFonts w:ascii="Book Antiqua" w:eastAsia="Book Antiqua" w:hAnsi="Book Antiqua" w:cs="Book Antiqua"/>
          <w:color w:val="000000"/>
        </w:rPr>
        <w:t>[</w:t>
      </w:r>
      <w:r w:rsidRPr="00F40118">
        <w:rPr>
          <w:rFonts w:ascii="Book Antiqua" w:eastAsia="Book Antiqua" w:hAnsi="Book Antiqua" w:cs="Book Antiqua"/>
          <w:color w:val="000000"/>
        </w:rPr>
        <w:t>24 (20%) men 16 (30%) women</w:t>
      </w:r>
      <w:r w:rsidR="0056151A" w:rsidRPr="00F40118">
        <w:rPr>
          <w:rFonts w:ascii="Book Antiqua" w:eastAsia="Book Antiqua" w:hAnsi="Book Antiqua" w:cs="Book Antiqua"/>
          <w:color w:val="000000"/>
        </w:rPr>
        <w:t>]</w:t>
      </w:r>
      <w:r w:rsidRPr="00F40118">
        <w:rPr>
          <w:rFonts w:ascii="Book Antiqua" w:eastAsia="Book Antiqua" w:hAnsi="Book Antiqua" w:cs="Book Antiqua"/>
          <w:color w:val="000000"/>
        </w:rPr>
        <w:t xml:space="preserve">, it had gone into the “gray zone.” </w:t>
      </w:r>
      <w:r w:rsidRPr="00F40118">
        <w:rPr>
          <w:rStyle w:val="font16"/>
          <w:rFonts w:ascii="Book Antiqua" w:eastAsia="Book Antiqua" w:hAnsi="Book Antiqua" w:cs="Book Antiqua"/>
          <w:color w:val="000000"/>
        </w:rPr>
        <w:t>No significant changes in fibrosis were noted according to the NFS and FIB-4.</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Style w:val="font16"/>
          <w:rFonts w:ascii="Book Antiqua" w:eastAsia="Book Antiqua" w:hAnsi="Book Antiqua" w:cs="Book Antiqua"/>
          <w:color w:val="000000"/>
        </w:rPr>
        <w:t xml:space="preserve">The CIMT decreased significantly by the end of 6 mo in the total sample. When men and women were analyzed separately, the rate of CIMT change remained close to significant with </w:t>
      </w:r>
      <w:r w:rsidRPr="00F40118">
        <w:rPr>
          <w:rStyle w:val="font16"/>
          <w:rFonts w:ascii="Book Antiqua" w:eastAsia="Book Antiqua" w:hAnsi="Book Antiqua" w:cs="Book Antiqua"/>
          <w:i/>
          <w:color w:val="000000"/>
        </w:rPr>
        <w:t>Р</w:t>
      </w:r>
      <w:r w:rsidRPr="00F40118">
        <w:rPr>
          <w:rStyle w:val="font16"/>
          <w:rFonts w:ascii="Book Antiqua" w:eastAsia="Book Antiqua" w:hAnsi="Book Antiqua" w:cs="Book Antiqua"/>
          <w:color w:val="000000"/>
        </w:rPr>
        <w:t xml:space="preserve"> values of 0.073 and 0.052, respectively. At the same time, no statistically significant changes in the proportion of persons with reference values exceeding the ULN for the corresponding sex and age were established</w:t>
      </w:r>
      <w:r w:rsidR="00816E61" w:rsidRPr="00F40118">
        <w:rPr>
          <w:rStyle w:val="font16"/>
          <w:rFonts w:ascii="Book Antiqua" w:eastAsia="Book Antiqua" w:hAnsi="Book Antiqua" w:cs="Book Antiqua"/>
          <w:color w:val="000000"/>
        </w:rPr>
        <w:t xml:space="preserve"> (Table 3)</w:t>
      </w:r>
      <w:r w:rsidRPr="00F40118">
        <w:rPr>
          <w:rFonts w:ascii="Book Antiqua" w:eastAsia="Book Antiqua" w:hAnsi="Book Antiqua" w:cs="Book Antiqua"/>
          <w:color w:val="000000"/>
        </w:rPr>
        <w:t>.</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Style w:val="font16"/>
          <w:rFonts w:ascii="Book Antiqua" w:eastAsia="Book Antiqua" w:hAnsi="Book Antiqua" w:cs="Book Antiqua"/>
          <w:color w:val="000000"/>
        </w:rPr>
        <w:t>A significant decrease in the 10-year ASCVD risk score was observed only in women (</w:t>
      </w:r>
      <w:r w:rsidRPr="00F40118">
        <w:rPr>
          <w:rStyle w:val="font16"/>
          <w:rFonts w:ascii="Book Antiqua" w:eastAsia="Book Antiqua" w:hAnsi="Book Antiqua" w:cs="Book Antiqua"/>
          <w:i/>
          <w:iCs/>
          <w:color w:val="000000"/>
        </w:rPr>
        <w:t>Р</w:t>
      </w:r>
      <w:r w:rsidRPr="00F40118">
        <w:rPr>
          <w:rStyle w:val="font16"/>
          <w:rFonts w:ascii="Book Antiqua" w:eastAsia="Book Antiqua" w:hAnsi="Book Antiqua" w:cs="Book Antiqua"/>
          <w:color w:val="000000"/>
        </w:rPr>
        <w:t xml:space="preserve"> = 0.003). The same </w:t>
      </w:r>
      <w:r w:rsidRPr="00F40118">
        <w:rPr>
          <w:rFonts w:ascii="Book Antiqua" w:eastAsia="Book Antiqua" w:hAnsi="Book Antiqua" w:cs="Book Antiqua"/>
          <w:color w:val="000000"/>
          <w:shd w:val="clear" w:color="auto" w:fill="FFFFFF"/>
        </w:rPr>
        <w:t>patient's</w:t>
      </w:r>
      <w:r w:rsidRPr="00F40118">
        <w:rPr>
          <w:rFonts w:ascii="Book Antiqua" w:eastAsia="Book Antiqua" w:hAnsi="Book Antiqua" w:cs="Book Antiqua"/>
          <w:color w:val="000000"/>
        </w:rPr>
        <w:t xml:space="preserve"> 10-year risk with optimal risk factors was 1.5 </w:t>
      </w:r>
      <w:r w:rsidR="0056151A" w:rsidRPr="00F40118">
        <w:rPr>
          <w:rFonts w:ascii="Book Antiqua" w:eastAsia="Book Antiqua" w:hAnsi="Book Antiqua" w:cs="Book Antiqua"/>
          <w:color w:val="000000"/>
        </w:rPr>
        <w:t>(</w:t>
      </w:r>
      <w:r w:rsidRPr="00F40118">
        <w:rPr>
          <w:rFonts w:ascii="Book Antiqua" w:eastAsia="Book Antiqua" w:hAnsi="Book Antiqua" w:cs="Book Antiqua"/>
          <w:color w:val="000000"/>
        </w:rPr>
        <w:t>0.9; 2.9</w:t>
      </w:r>
      <w:r w:rsidR="0056151A" w:rsidRPr="00F40118">
        <w:rPr>
          <w:rFonts w:ascii="Book Antiqua" w:eastAsia="Book Antiqua" w:hAnsi="Book Antiqua" w:cs="Book Antiqua"/>
          <w:color w:val="000000"/>
        </w:rPr>
        <w:t>)</w:t>
      </w:r>
      <w:r w:rsidRPr="00F40118">
        <w:rPr>
          <w:rFonts w:ascii="Book Antiqua" w:eastAsia="Book Antiqua" w:hAnsi="Book Antiqua" w:cs="Book Antiqua"/>
          <w:color w:val="000000"/>
        </w:rPr>
        <w:t xml:space="preserve"> in both sexes. </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Style w:val="font16"/>
          <w:rFonts w:ascii="Book Antiqua" w:eastAsia="Book Antiqua" w:hAnsi="Book Antiqua" w:cs="Book Antiqua"/>
          <w:color w:val="000000"/>
        </w:rPr>
        <w:t xml:space="preserve">The lifetime ASCVD risk did not change during the study and remained significantly increased relative to </w:t>
      </w:r>
      <w:r w:rsidRPr="00F40118">
        <w:rPr>
          <w:rFonts w:ascii="Book Antiqua" w:eastAsia="Book Antiqua" w:hAnsi="Book Antiqua" w:cs="Book Antiqua"/>
          <w:color w:val="000000"/>
        </w:rPr>
        <w:t xml:space="preserve">lifetime risk with an optimal risk factor of 5.0 </w:t>
      </w:r>
      <w:r w:rsidR="0056151A" w:rsidRPr="00F40118">
        <w:rPr>
          <w:rFonts w:ascii="Book Antiqua" w:eastAsia="Book Antiqua" w:hAnsi="Book Antiqua" w:cs="Book Antiqua"/>
          <w:color w:val="000000"/>
        </w:rPr>
        <w:t>(</w:t>
      </w:r>
      <w:r w:rsidRPr="00F40118">
        <w:rPr>
          <w:rFonts w:ascii="Book Antiqua" w:eastAsia="Book Antiqua" w:hAnsi="Book Antiqua" w:cs="Book Antiqua"/>
          <w:color w:val="000000"/>
        </w:rPr>
        <w:t>5.0; 8.0</w:t>
      </w:r>
      <w:r w:rsidR="0056151A" w:rsidRPr="00F40118">
        <w:rPr>
          <w:rFonts w:ascii="Book Antiqua" w:eastAsia="Book Antiqua" w:hAnsi="Book Antiqua" w:cs="Book Antiqua"/>
          <w:color w:val="000000"/>
        </w:rPr>
        <w:t>)</w:t>
      </w:r>
      <w:r w:rsidRPr="00F40118">
        <w:rPr>
          <w:rFonts w:ascii="Book Antiqua" w:eastAsia="Book Antiqua" w:hAnsi="Book Antiqua" w:cs="Book Antiqua"/>
          <w:color w:val="000000"/>
        </w:rPr>
        <w:t>.</w:t>
      </w:r>
    </w:p>
    <w:p w:rsidR="00A77B3E" w:rsidRPr="00F40118" w:rsidRDefault="00A77B3E" w:rsidP="00EF6CF8">
      <w:pPr>
        <w:adjustRightInd w:val="0"/>
        <w:snapToGrid w:val="0"/>
        <w:spacing w:line="360" w:lineRule="auto"/>
        <w:ind w:firstLine="426"/>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Style w:val="font16"/>
          <w:rFonts w:ascii="Book Antiqua" w:eastAsia="Book Antiqua" w:hAnsi="Book Antiqua" w:cs="Book Antiqua"/>
          <w:b/>
          <w:bCs/>
          <w:i/>
          <w:iCs/>
          <w:color w:val="000000"/>
        </w:rPr>
        <w:t xml:space="preserve">Analysis within the </w:t>
      </w:r>
      <w:r w:rsidR="00EF0664" w:rsidRPr="00F40118">
        <w:rPr>
          <w:rStyle w:val="font16"/>
          <w:rFonts w:ascii="Book Antiqua" w:eastAsia="Book Antiqua" w:hAnsi="Book Antiqua" w:cs="Book Antiqua"/>
          <w:b/>
          <w:bCs/>
          <w:i/>
          <w:iCs/>
          <w:color w:val="000000"/>
        </w:rPr>
        <w:t>subgroup</w:t>
      </w:r>
    </w:p>
    <w:p w:rsidR="00A77B3E" w:rsidRPr="00F40118" w:rsidRDefault="00FF7A14" w:rsidP="00EF6CF8">
      <w:pPr>
        <w:adjustRightInd w:val="0"/>
        <w:snapToGrid w:val="0"/>
        <w:spacing w:line="360" w:lineRule="auto"/>
        <w:jc w:val="both"/>
        <w:rPr>
          <w:rFonts w:ascii="Book Antiqua" w:hAnsi="Book Antiqua"/>
        </w:rPr>
      </w:pPr>
      <w:r w:rsidRPr="00F40118">
        <w:rPr>
          <w:rStyle w:val="font16"/>
          <w:rFonts w:ascii="Book Antiqua" w:eastAsia="Book Antiqua" w:hAnsi="Book Antiqua" w:cs="Book Antiqua"/>
          <w:color w:val="000000"/>
        </w:rPr>
        <w:t>Weight loss of more than 5% of the initial weight was observed in 54 patients (31%); in 54 patients (30%), the weight decreased to 5% of the initial weight; in 35 patients (20%), it did not change; and in 31 patients (18%), it increased by an average of 3%. A comparison was made between subgroups with a weight loss of more than 5% and all remaining patients.</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Fonts w:ascii="Book Antiqua" w:eastAsia="Book Antiqua" w:hAnsi="Book Antiqua" w:cs="Book Antiqua"/>
          <w:color w:val="000000"/>
        </w:rPr>
        <w:t>The delta of the studied parameters ALT, AST, GGT, TC, and LDL did not differ between the subgroups</w:t>
      </w:r>
      <w:r w:rsidR="00816E61" w:rsidRPr="00F40118">
        <w:rPr>
          <w:rFonts w:ascii="Book Antiqua" w:eastAsia="Book Antiqua" w:hAnsi="Book Antiqua" w:cs="Book Antiqua"/>
          <w:color w:val="000000"/>
        </w:rPr>
        <w:t xml:space="preserve"> </w:t>
      </w:r>
      <w:r w:rsidR="00816E61" w:rsidRPr="00F40118">
        <w:rPr>
          <w:rStyle w:val="font16"/>
          <w:rFonts w:ascii="Book Antiqua" w:eastAsia="Book Antiqua" w:hAnsi="Book Antiqua" w:cs="Book Antiqua"/>
          <w:color w:val="000000"/>
        </w:rPr>
        <w:t>(Table 4)</w:t>
      </w:r>
      <w:r w:rsidRPr="00F40118">
        <w:rPr>
          <w:rFonts w:ascii="Book Antiqua" w:eastAsia="Book Antiqua" w:hAnsi="Book Antiqua" w:cs="Book Antiqua"/>
          <w:color w:val="000000"/>
        </w:rPr>
        <w:t xml:space="preserve">. In the subgroup with more than 5% weight loss, the FLI baseline was higher, and during the study, there was a more pronounced decrease than in the other group. By the end of the study, the subgroups with and without weight loss of more than 5% did </w:t>
      </w:r>
      <w:r w:rsidR="00816E61" w:rsidRPr="00F40118">
        <w:rPr>
          <w:rFonts w:ascii="Book Antiqua" w:eastAsia="Book Antiqua" w:hAnsi="Book Antiqua" w:cs="Book Antiqua"/>
          <w:color w:val="000000"/>
        </w:rPr>
        <w:t xml:space="preserve">not </w:t>
      </w:r>
      <w:r w:rsidRPr="00F40118">
        <w:rPr>
          <w:rFonts w:ascii="Book Antiqua" w:eastAsia="Book Antiqua" w:hAnsi="Book Antiqua" w:cs="Book Antiqua"/>
          <w:color w:val="000000"/>
        </w:rPr>
        <w:t>differ in FLI. Additionally, in the subgroup with a weight loss of more than 5%, there was a tendency toward a more pronounced decrease in triglycerides (</w:t>
      </w:r>
      <w:r w:rsidR="0056151A" w:rsidRPr="00F40118">
        <w:rPr>
          <w:rFonts w:ascii="Book Antiqua" w:eastAsia="Book Antiqua" w:hAnsi="Book Antiqua" w:cs="Book Antiqua"/>
          <w:i/>
          <w:iCs/>
          <w:color w:val="000000"/>
        </w:rPr>
        <w:t>P</w:t>
      </w:r>
      <w:r w:rsidRPr="00F40118">
        <w:rPr>
          <w:rFonts w:ascii="Book Antiqua" w:eastAsia="Book Antiqua" w:hAnsi="Book Antiqua" w:cs="Book Antiqua"/>
          <w:color w:val="000000"/>
        </w:rPr>
        <w:t xml:space="preserve"> was close</w:t>
      </w:r>
      <w:r w:rsidR="0048758E" w:rsidRPr="00F40118">
        <w:rPr>
          <w:rFonts w:ascii="Book Antiqua" w:eastAsia="Book Antiqua" w:hAnsi="Book Antiqua" w:cs="Book Antiqua"/>
          <w:color w:val="000000"/>
        </w:rPr>
        <w:t xml:space="preserve"> to statistically significant</w:t>
      </w:r>
      <w:r w:rsidR="00816E61" w:rsidRPr="00F40118">
        <w:rPr>
          <w:rFonts w:ascii="Book Antiqua" w:eastAsia="Book Antiqua" w:hAnsi="Book Antiqua" w:cs="Book Antiqua"/>
          <w:color w:val="000000"/>
        </w:rPr>
        <w:t>)</w:t>
      </w:r>
      <w:r w:rsidRPr="00F40118">
        <w:rPr>
          <w:rFonts w:ascii="Book Antiqua" w:eastAsia="Book Antiqua" w:hAnsi="Book Antiqua" w:cs="Book Antiqua"/>
          <w:color w:val="000000"/>
        </w:rPr>
        <w:t>.</w:t>
      </w:r>
    </w:p>
    <w:bookmarkEnd w:id="36"/>
    <w:bookmarkEnd w:id="37"/>
    <w:p w:rsidR="00A77B3E" w:rsidRPr="00F40118" w:rsidRDefault="00A77B3E"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caps/>
          <w:color w:val="000000"/>
          <w:u w:val="single"/>
        </w:rPr>
        <w:t>DISCUSSION</w:t>
      </w:r>
    </w:p>
    <w:p w:rsidR="00A77B3E" w:rsidRPr="00F40118" w:rsidRDefault="00FF7A14" w:rsidP="00EF6CF8">
      <w:pPr>
        <w:adjustRightInd w:val="0"/>
        <w:snapToGrid w:val="0"/>
        <w:spacing w:line="360" w:lineRule="auto"/>
        <w:jc w:val="both"/>
        <w:rPr>
          <w:rFonts w:ascii="Book Antiqua" w:hAnsi="Book Antiqua"/>
        </w:rPr>
      </w:pPr>
      <w:bookmarkStart w:id="38" w:name="OLE_LINK51"/>
      <w:bookmarkStart w:id="39" w:name="OLE_LINK52"/>
      <w:r w:rsidRPr="00F40118">
        <w:rPr>
          <w:rStyle w:val="font16"/>
          <w:rFonts w:ascii="Book Antiqua" w:eastAsia="Book Antiqua" w:hAnsi="Book Antiqua" w:cs="Book Antiqua"/>
          <w:color w:val="000000"/>
        </w:rPr>
        <w:t xml:space="preserve">The NAFLD prevalence rate in the population, as well as associated complications and risk factors, is growing steadily. Thus, </w:t>
      </w:r>
      <w:r w:rsidRPr="00F40118">
        <w:rPr>
          <w:rFonts w:ascii="Book Antiqua" w:eastAsia="Book Antiqua" w:hAnsi="Book Antiqua" w:cs="Book Antiqua"/>
          <w:color w:val="000000"/>
        </w:rPr>
        <w:t xml:space="preserve">a 10-fold increase in </w:t>
      </w:r>
      <w:r w:rsidRPr="00F40118">
        <w:rPr>
          <w:rStyle w:val="font16"/>
          <w:rFonts w:ascii="Book Antiqua" w:eastAsia="Book Antiqua" w:hAnsi="Book Antiqua" w:cs="Book Antiqua"/>
          <w:color w:val="000000"/>
        </w:rPr>
        <w:t>hepatocellular carcinoma</w:t>
      </w:r>
      <w:r w:rsidRPr="00F40118">
        <w:rPr>
          <w:rFonts w:ascii="Book Antiqua" w:eastAsia="Book Antiqua" w:hAnsi="Book Antiqua" w:cs="Book Antiqua"/>
          <w:color w:val="000000"/>
        </w:rPr>
        <w:t xml:space="preserve"> related to NAFLD has been reported </w:t>
      </w:r>
      <w:r w:rsidRPr="00F40118">
        <w:rPr>
          <w:rStyle w:val="font16"/>
          <w:rFonts w:ascii="Book Antiqua" w:eastAsia="Book Antiqua" w:hAnsi="Book Antiqua" w:cs="Book Antiqua"/>
          <w:color w:val="000000"/>
        </w:rPr>
        <w:t xml:space="preserve">over the past decade. Moreover, it has been shown that </w:t>
      </w:r>
      <w:r w:rsidRPr="00F40118">
        <w:rPr>
          <w:rFonts w:ascii="Book Antiqua" w:eastAsia="Book Antiqua" w:hAnsi="Book Antiqua" w:cs="Book Antiqua"/>
          <w:color w:val="000000"/>
        </w:rPr>
        <w:t>patients with more advanced NAFLD are 4 times more likely to have a fatal CVD event and twice as likely to suffer a nonfatal CVD event</w:t>
      </w:r>
      <w:r w:rsidRPr="00F40118">
        <w:rPr>
          <w:rFonts w:ascii="Book Antiqua" w:eastAsia="Book Antiqua" w:hAnsi="Book Antiqua" w:cs="Book Antiqua"/>
          <w:color w:val="000000"/>
          <w:vertAlign w:val="superscript"/>
        </w:rPr>
        <w:t>[</w:t>
      </w:r>
      <w:r w:rsidR="001F14CF" w:rsidRPr="00F40118">
        <w:rPr>
          <w:rFonts w:ascii="Book Antiqua" w:eastAsia="Book Antiqua" w:hAnsi="Book Antiqua" w:cs="Book Antiqua"/>
          <w:color w:val="000000"/>
          <w:vertAlign w:val="superscript"/>
        </w:rPr>
        <w:t>43</w:t>
      </w:r>
      <w:r w:rsidRPr="00F40118">
        <w:rPr>
          <w:rFonts w:ascii="Book Antiqua" w:eastAsia="Book Antiqua" w:hAnsi="Book Antiqua" w:cs="Book Antiqua"/>
          <w:color w:val="000000"/>
          <w:vertAlign w:val="superscript"/>
        </w:rPr>
        <w:t>]</w:t>
      </w:r>
      <w:r w:rsidRPr="00F40118">
        <w:rPr>
          <w:rStyle w:val="font16"/>
          <w:rFonts w:ascii="Book Antiqua" w:eastAsia="Book Antiqua" w:hAnsi="Book Antiqua" w:cs="Book Antiqua"/>
          <w:color w:val="000000"/>
        </w:rPr>
        <w:t>.</w:t>
      </w:r>
      <w:r w:rsidRPr="00F40118">
        <w:rPr>
          <w:rFonts w:ascii="Book Antiqua" w:eastAsia="Book Antiqua" w:hAnsi="Book Antiqua" w:cs="Book Antiqua"/>
          <w:color w:val="000000"/>
        </w:rPr>
        <w:t xml:space="preserve"> These data demonstrate the urgency of NAFLD-related problems and the need to find a modern drug to treat it effectively.</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Fonts w:ascii="Book Antiqua" w:eastAsia="Book Antiqua" w:hAnsi="Book Antiqua" w:cs="Book Antiqua"/>
          <w:color w:val="000000"/>
        </w:rPr>
        <w:t>Male sex is one of the nonmodifiable risk factors for NAFLD and ASCVD. In our study, the number of men with NAFLD was 2 times higher than the number of women, which is consistent with the NAFLD prevalence data in other populations</w:t>
      </w:r>
      <w:r w:rsidRPr="00F40118">
        <w:rPr>
          <w:rFonts w:ascii="Book Antiqua" w:eastAsia="Book Antiqua" w:hAnsi="Book Antiqua" w:cs="Book Antiqua"/>
          <w:color w:val="000000"/>
          <w:vertAlign w:val="superscript"/>
        </w:rPr>
        <w:t>[</w:t>
      </w:r>
      <w:r w:rsidR="001F14CF" w:rsidRPr="00F40118">
        <w:rPr>
          <w:rFonts w:ascii="Book Antiqua" w:eastAsia="Book Antiqua" w:hAnsi="Book Antiqua" w:cs="Book Antiqua"/>
          <w:color w:val="000000"/>
          <w:vertAlign w:val="superscript"/>
        </w:rPr>
        <w:t>44-46</w:t>
      </w:r>
      <w:r w:rsidRPr="00F40118">
        <w:rPr>
          <w:rFonts w:ascii="Book Antiqua" w:eastAsia="Book Antiqua" w:hAnsi="Book Antiqua" w:cs="Book Antiqua"/>
          <w:color w:val="000000"/>
          <w:vertAlign w:val="superscript"/>
        </w:rPr>
        <w:t>]</w:t>
      </w:r>
      <w:r w:rsidRPr="00F40118">
        <w:rPr>
          <w:rStyle w:val="font16"/>
          <w:rFonts w:ascii="Book Antiqua" w:eastAsia="Book Antiqua" w:hAnsi="Book Antiqua" w:cs="Book Antiqua"/>
          <w:color w:val="000000"/>
        </w:rPr>
        <w:t>. The patients’ average age in our study was 45 years, which generally corresponds to the NAFLD epidemiological study data. Thus, according to individual studies, in Europe, the average age of patients with NAFLD is 56 years in Italy and 58 years in Spain</w:t>
      </w:r>
      <w:r w:rsidRPr="00F40118">
        <w:rPr>
          <w:rFonts w:ascii="Book Antiqua" w:eastAsia="Book Antiqua" w:hAnsi="Book Antiqua" w:cs="Book Antiqua"/>
          <w:color w:val="000000"/>
          <w:vertAlign w:val="superscript"/>
        </w:rPr>
        <w:t>[</w:t>
      </w:r>
      <w:r w:rsidR="001F14CF" w:rsidRPr="00F40118">
        <w:rPr>
          <w:rFonts w:ascii="Book Antiqua" w:eastAsia="Book Antiqua" w:hAnsi="Book Antiqua" w:cs="Book Antiqua"/>
          <w:color w:val="000000"/>
          <w:vertAlign w:val="superscript"/>
        </w:rPr>
        <w:t>47,48</w:t>
      </w:r>
      <w:r w:rsidRPr="00F40118">
        <w:rPr>
          <w:rFonts w:ascii="Book Antiqua" w:eastAsia="Book Antiqua" w:hAnsi="Book Antiqua" w:cs="Book Antiqua"/>
          <w:color w:val="000000"/>
          <w:vertAlign w:val="superscript"/>
        </w:rPr>
        <w:t>]</w:t>
      </w:r>
      <w:r w:rsidRPr="00F40118">
        <w:rPr>
          <w:rStyle w:val="font16"/>
          <w:rFonts w:ascii="Book Antiqua" w:eastAsia="Book Antiqua" w:hAnsi="Book Antiqua" w:cs="Book Antiqua"/>
          <w:color w:val="000000"/>
        </w:rPr>
        <w:t>. In Asia, this parameter is lower; in the Chinese population, the average age is 45 years, and in the Japanese population, it is 51 years</w:t>
      </w:r>
      <w:r w:rsidRPr="00F40118">
        <w:rPr>
          <w:rStyle w:val="font16"/>
          <w:rFonts w:ascii="Book Antiqua" w:eastAsia="Book Antiqua" w:hAnsi="Book Antiqua" w:cs="Book Antiqua"/>
          <w:color w:val="000000"/>
          <w:vertAlign w:val="superscript"/>
        </w:rPr>
        <w:t>[</w:t>
      </w:r>
      <w:r w:rsidR="001F14CF" w:rsidRPr="00F40118">
        <w:rPr>
          <w:rStyle w:val="font16"/>
          <w:rFonts w:ascii="Book Antiqua" w:eastAsia="Book Antiqua" w:hAnsi="Book Antiqua" w:cs="Book Antiqua"/>
          <w:color w:val="000000"/>
          <w:vertAlign w:val="superscript"/>
        </w:rPr>
        <w:t>49,50</w:t>
      </w:r>
      <w:r w:rsidRPr="00F40118">
        <w:rPr>
          <w:rStyle w:val="font16"/>
          <w:rFonts w:ascii="Book Antiqua" w:eastAsia="Book Antiqua" w:hAnsi="Book Antiqua" w:cs="Book Antiqua"/>
          <w:color w:val="000000"/>
          <w:vertAlign w:val="superscript"/>
        </w:rPr>
        <w:t>]</w:t>
      </w:r>
      <w:r w:rsidRPr="00F40118">
        <w:rPr>
          <w:rStyle w:val="font16"/>
          <w:rFonts w:ascii="Book Antiqua" w:eastAsia="Book Antiqua" w:hAnsi="Book Antiqua" w:cs="Book Antiqua"/>
          <w:color w:val="000000"/>
        </w:rPr>
        <w:t>. In a NAFLD study conducted in Kazakhstan, the patients’ average age was 55 years</w:t>
      </w:r>
      <w:r w:rsidRPr="00F40118">
        <w:rPr>
          <w:rStyle w:val="font16"/>
          <w:rFonts w:ascii="Book Antiqua" w:eastAsia="Book Antiqua" w:hAnsi="Book Antiqua" w:cs="Book Antiqua"/>
          <w:color w:val="000000"/>
          <w:vertAlign w:val="superscript"/>
        </w:rPr>
        <w:t>[5]</w:t>
      </w:r>
      <w:r w:rsidRPr="00F40118">
        <w:rPr>
          <w:rStyle w:val="font16"/>
          <w:rFonts w:ascii="Book Antiqua" w:eastAsia="Book Antiqua" w:hAnsi="Book Antiqua" w:cs="Book Antiqua"/>
          <w:color w:val="000000"/>
        </w:rPr>
        <w:t>.</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Style w:val="font16"/>
          <w:rFonts w:ascii="Book Antiqua" w:eastAsia="Book Antiqua" w:hAnsi="Book Antiqua" w:cs="Book Antiqua"/>
          <w:color w:val="000000"/>
        </w:rPr>
        <w:t>It is well known that NAFLD and CVD share common modifiable risk factors</w:t>
      </w:r>
      <w:r w:rsidRPr="00F40118">
        <w:rPr>
          <w:rStyle w:val="font16"/>
          <w:rFonts w:ascii="Book Antiqua" w:eastAsia="Book Antiqua" w:hAnsi="Book Antiqua" w:cs="Book Antiqua"/>
          <w:color w:val="000000"/>
          <w:vertAlign w:val="superscript"/>
        </w:rPr>
        <w:t>[</w:t>
      </w:r>
      <w:r w:rsidR="001F14CF" w:rsidRPr="00F40118">
        <w:rPr>
          <w:rStyle w:val="font16"/>
          <w:rFonts w:ascii="Book Antiqua" w:eastAsia="Book Antiqua" w:hAnsi="Book Antiqua" w:cs="Book Antiqua"/>
          <w:color w:val="000000"/>
          <w:vertAlign w:val="superscript"/>
        </w:rPr>
        <w:t>43</w:t>
      </w:r>
      <w:r w:rsidRPr="00F40118">
        <w:rPr>
          <w:rStyle w:val="font16"/>
          <w:rFonts w:ascii="Book Antiqua" w:eastAsia="Book Antiqua" w:hAnsi="Book Antiqua" w:cs="Book Antiqua"/>
          <w:color w:val="000000"/>
          <w:vertAlign w:val="superscript"/>
        </w:rPr>
        <w:t>]</w:t>
      </w:r>
      <w:r w:rsidRPr="00F40118">
        <w:rPr>
          <w:rStyle w:val="font16"/>
          <w:rFonts w:ascii="Book Antiqua" w:eastAsia="Book Antiqua" w:hAnsi="Book Antiqua" w:cs="Book Antiqua"/>
          <w:color w:val="000000"/>
        </w:rPr>
        <w:t xml:space="preserve">. In our study, one-third of patients had T2DM, most (69.5%) of the observed participants were obese (Classes I-III obesity), and the rest were overweight. A total of 45.4% of patients met the criteria for metabolic syndrome based on the NCEP ATP III, which is consistent with a large-scale epidemiological study data conducted by Younossi </w:t>
      </w:r>
      <w:r w:rsidRPr="00F40118">
        <w:rPr>
          <w:rStyle w:val="font16"/>
          <w:rFonts w:ascii="Book Antiqua" w:eastAsia="Book Antiqua" w:hAnsi="Book Antiqua" w:cs="Book Antiqua"/>
          <w:i/>
          <w:iCs/>
          <w:color w:val="000000"/>
        </w:rPr>
        <w:t>et al</w:t>
      </w:r>
      <w:r w:rsidRPr="00F40118">
        <w:rPr>
          <w:rStyle w:val="font16"/>
          <w:rFonts w:ascii="Book Antiqua" w:eastAsia="Book Antiqua" w:hAnsi="Book Antiqua" w:cs="Book Antiqua"/>
          <w:color w:val="000000"/>
          <w:vertAlign w:val="superscript"/>
        </w:rPr>
        <w:t>[3]</w:t>
      </w:r>
      <w:r w:rsidRPr="00F40118">
        <w:rPr>
          <w:rStyle w:val="font16"/>
          <w:rFonts w:ascii="Book Antiqua" w:eastAsia="Book Antiqua" w:hAnsi="Book Antiqua" w:cs="Book Antiqua"/>
          <w:color w:val="000000"/>
        </w:rPr>
        <w:t>, in which the number of patients with metabolic syndrome was 42.5%.</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Fonts w:ascii="Book Antiqua" w:eastAsia="Book Antiqua" w:hAnsi="Book Antiqua" w:cs="Book Antiqua"/>
          <w:color w:val="000000"/>
        </w:rPr>
        <w:t>Factors released from fatty liver that could link NAFLD to CVD are proinflammatory and proatherogenic cytokines (IL-6, tumor necrosis factor-alpha), procoagulant factors (fibrinogen, factors VII and VIII, plasminogen activator type 1 inhibitor), and pro-oxidant factors (reactive oxygen species); other pathogenic mechanisms include progression of insulin resistance and dyslipidemia</w:t>
      </w:r>
      <w:r w:rsidRPr="00F40118">
        <w:rPr>
          <w:rFonts w:ascii="Book Antiqua" w:eastAsia="Book Antiqua" w:hAnsi="Book Antiqua" w:cs="Book Antiqua"/>
          <w:color w:val="000000"/>
          <w:vertAlign w:val="superscript"/>
        </w:rPr>
        <w:t>[10,13]</w:t>
      </w:r>
      <w:r w:rsidRPr="00F40118">
        <w:rPr>
          <w:rFonts w:ascii="Book Antiqua" w:eastAsia="Book Antiqua" w:hAnsi="Book Antiqua" w:cs="Book Antiqua"/>
          <w:color w:val="000000"/>
        </w:rPr>
        <w:t>.</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Style w:val="font16"/>
          <w:rFonts w:ascii="Book Antiqua" w:eastAsia="Book Antiqua" w:hAnsi="Book Antiqua" w:cs="Book Antiqua"/>
          <w:color w:val="000000"/>
        </w:rPr>
        <w:t>In this study, patients were given lifestyle and dietary modifications, and UDCA was prescribed. For 6 mo of the study, there was a statistically significant decrease in weight, BMI, and WC, which is associated with the adherence of a certain proportion of the subjects to the recommendations on lifestyle modification and diet, which were discussed with patients at baseline/prior to the trial/participation/UDCA administration and three months later.</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Style w:val="font16"/>
          <w:rFonts w:ascii="Book Antiqua" w:eastAsia="Book Antiqua" w:hAnsi="Book Antiqua" w:cs="Book Antiqua"/>
          <w:color w:val="000000"/>
        </w:rPr>
        <w:t xml:space="preserve">In a randomized study by Wong </w:t>
      </w:r>
      <w:r w:rsidRPr="00F40118">
        <w:rPr>
          <w:rStyle w:val="font16"/>
          <w:rFonts w:ascii="Book Antiqua" w:eastAsia="Book Antiqua" w:hAnsi="Book Antiqua" w:cs="Book Antiqua"/>
          <w:i/>
          <w:iCs/>
          <w:color w:val="000000"/>
        </w:rPr>
        <w:t>et al</w:t>
      </w:r>
      <w:r w:rsidRPr="00F40118">
        <w:rPr>
          <w:rFonts w:ascii="Book Antiqua" w:eastAsia="Book Antiqua" w:hAnsi="Book Antiqua" w:cs="Book Antiqua"/>
          <w:color w:val="000000"/>
          <w:vertAlign w:val="superscript"/>
        </w:rPr>
        <w:t>[</w:t>
      </w:r>
      <w:r w:rsidR="001F14CF" w:rsidRPr="00F40118">
        <w:rPr>
          <w:rFonts w:ascii="Book Antiqua" w:eastAsia="Book Antiqua" w:hAnsi="Book Antiqua" w:cs="Book Antiqua"/>
          <w:color w:val="000000"/>
          <w:vertAlign w:val="superscript"/>
        </w:rPr>
        <w:t>51</w:t>
      </w:r>
      <w:r w:rsidRPr="00F40118">
        <w:rPr>
          <w:rFonts w:ascii="Book Antiqua" w:eastAsia="Book Antiqua" w:hAnsi="Book Antiqua" w:cs="Book Antiqua"/>
          <w:color w:val="000000"/>
          <w:vertAlign w:val="superscript"/>
        </w:rPr>
        <w:t>]</w:t>
      </w:r>
      <w:r w:rsidRPr="00F40118">
        <w:rPr>
          <w:rStyle w:val="font16"/>
          <w:rFonts w:ascii="Book Antiqua" w:eastAsia="Book Antiqua" w:hAnsi="Book Antiqua" w:cs="Book Antiqua"/>
          <w:color w:val="000000"/>
        </w:rPr>
        <w:t xml:space="preserve">, the participation of patients with NAFLD in lifestyle and diet modification programs contributed to a decrease in body weight, liver TG content and disease remission achievement. At the same time, in a study by Dudekula </w:t>
      </w:r>
      <w:r w:rsidRPr="00F40118">
        <w:rPr>
          <w:rStyle w:val="font16"/>
          <w:rFonts w:ascii="Book Antiqua" w:eastAsia="Book Antiqua" w:hAnsi="Book Antiqua" w:cs="Book Antiqua"/>
          <w:i/>
          <w:iCs/>
          <w:color w:val="000000"/>
        </w:rPr>
        <w:t>et al</w:t>
      </w:r>
      <w:r w:rsidRPr="00F40118">
        <w:rPr>
          <w:rFonts w:ascii="Book Antiqua" w:eastAsia="Book Antiqua" w:hAnsi="Book Antiqua" w:cs="Book Antiqua"/>
          <w:color w:val="000000"/>
          <w:vertAlign w:val="superscript"/>
        </w:rPr>
        <w:t>[</w:t>
      </w:r>
      <w:r w:rsidR="001F14CF" w:rsidRPr="00F40118">
        <w:rPr>
          <w:rFonts w:ascii="Book Antiqua" w:eastAsia="Book Antiqua" w:hAnsi="Book Antiqua" w:cs="Book Antiqua"/>
          <w:color w:val="000000"/>
          <w:vertAlign w:val="superscript"/>
        </w:rPr>
        <w:t>52</w:t>
      </w:r>
      <w:r w:rsidRPr="00F40118">
        <w:rPr>
          <w:rFonts w:ascii="Book Antiqua" w:eastAsia="Book Antiqua" w:hAnsi="Book Antiqua" w:cs="Book Antiqua"/>
          <w:color w:val="000000"/>
          <w:vertAlign w:val="superscript"/>
        </w:rPr>
        <w:t>]</w:t>
      </w:r>
      <w:r w:rsidRPr="00F40118">
        <w:rPr>
          <w:rStyle w:val="font16"/>
          <w:rFonts w:ascii="Book Antiqua" w:eastAsia="Book Antiqua" w:hAnsi="Book Antiqua" w:cs="Book Antiqua"/>
          <w:color w:val="000000"/>
        </w:rPr>
        <w:t>, it has been shown that in a primary care setting, prescribing only lifestyle recommendations for significant (&gt; 5%) weight loss in NAFLD patients is insufficient</w:t>
      </w:r>
      <w:r w:rsidRPr="00F40118">
        <w:rPr>
          <w:rFonts w:ascii="Book Antiqua" w:eastAsia="Book Antiqua" w:hAnsi="Book Antiqua" w:cs="Book Antiqua"/>
          <w:color w:val="000000"/>
        </w:rPr>
        <w:t>. In this study, the degree of weight loss was correlated with the frequency of outpatient visits.</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Style w:val="font16"/>
          <w:rFonts w:ascii="Book Antiqua" w:eastAsia="Book Antiqua" w:hAnsi="Book Antiqua" w:cs="Book Antiqua"/>
          <w:color w:val="000000"/>
        </w:rPr>
        <w:t xml:space="preserve">During the study, a statistically significant decrease in ALT level was achieved; the number of patients whose ALT level exceeded 40 U/L decreased almost 3-fold. The </w:t>
      </w:r>
      <w:r w:rsidR="00711EF1" w:rsidRPr="00F40118">
        <w:rPr>
          <w:rStyle w:val="font16"/>
          <w:rFonts w:ascii="Book Antiqua" w:eastAsia="Book Antiqua" w:hAnsi="Book Antiqua" w:cs="Book Antiqua"/>
          <w:color w:val="000000"/>
        </w:rPr>
        <w:t xml:space="preserve">Me </w:t>
      </w:r>
      <w:r w:rsidRPr="00F40118">
        <w:rPr>
          <w:rStyle w:val="font16"/>
          <w:rFonts w:ascii="Book Antiqua" w:eastAsia="Book Antiqua" w:hAnsi="Book Antiqua" w:cs="Book Antiqua"/>
          <w:color w:val="000000"/>
        </w:rPr>
        <w:t xml:space="preserve">ALT reduction was 42.9%. A decrease in ALT levels in NAFLD patients during treatment with UDCA has been demonstrated in previous studies. For example, in a randomized controlled trial by Ratziu </w:t>
      </w:r>
      <w:r w:rsidRPr="00F40118">
        <w:rPr>
          <w:rStyle w:val="font16"/>
          <w:rFonts w:ascii="Book Antiqua" w:eastAsia="Book Antiqua" w:hAnsi="Book Antiqua" w:cs="Book Antiqua"/>
          <w:i/>
          <w:iCs/>
          <w:color w:val="000000"/>
        </w:rPr>
        <w:t>et al</w:t>
      </w:r>
      <w:r w:rsidRPr="00F40118">
        <w:rPr>
          <w:rStyle w:val="font16"/>
          <w:rFonts w:ascii="Book Antiqua" w:eastAsia="Book Antiqua" w:hAnsi="Book Antiqua" w:cs="Book Antiqua"/>
          <w:color w:val="000000"/>
          <w:vertAlign w:val="superscript"/>
        </w:rPr>
        <w:t>[</w:t>
      </w:r>
      <w:r w:rsidR="00311838" w:rsidRPr="00F40118">
        <w:rPr>
          <w:rStyle w:val="font16"/>
          <w:rFonts w:ascii="Book Antiqua" w:eastAsia="Book Antiqua" w:hAnsi="Book Antiqua" w:cs="Book Antiqua"/>
          <w:color w:val="000000"/>
          <w:vertAlign w:val="superscript"/>
        </w:rPr>
        <w:t>19</w:t>
      </w:r>
      <w:r w:rsidRPr="00F40118">
        <w:rPr>
          <w:rStyle w:val="font16"/>
          <w:rFonts w:ascii="Book Antiqua" w:eastAsia="Book Antiqua" w:hAnsi="Book Antiqua" w:cs="Book Antiqua"/>
          <w:color w:val="000000"/>
          <w:vertAlign w:val="superscript"/>
        </w:rPr>
        <w:t>]</w:t>
      </w:r>
      <w:r w:rsidRPr="00F40118">
        <w:rPr>
          <w:rFonts w:ascii="Book Antiqua" w:eastAsia="Book Antiqua" w:hAnsi="Book Antiqua" w:cs="Book Antiqua"/>
          <w:color w:val="000000"/>
        </w:rPr>
        <w:t xml:space="preserve">, high-dose UDCA therapy for one year was associated with a decrease in ALT level by 28.3% and ALT level normalization in a quarter of the patients, regardless of weight loss. An even more pronounced decrease in ALT level during a 6-mo course of UDCA at a dose of 15 mg/kg/d, as in our study, was noted in a prospective study by </w:t>
      </w:r>
      <w:r w:rsidR="0056151A" w:rsidRPr="00F40118">
        <w:rPr>
          <w:rFonts w:ascii="Book Antiqua" w:eastAsia="Book Antiqua" w:hAnsi="Book Antiqua" w:cs="Book Antiqua"/>
          <w:color w:val="000000"/>
        </w:rPr>
        <w:t xml:space="preserve">Ozel </w:t>
      </w:r>
      <w:r w:rsidRPr="00F40118">
        <w:rPr>
          <w:rFonts w:ascii="Book Antiqua" w:eastAsia="Book Antiqua" w:hAnsi="Book Antiqua" w:cs="Book Antiqua"/>
          <w:color w:val="000000"/>
        </w:rPr>
        <w:t xml:space="preserve">Coskun </w:t>
      </w:r>
      <w:r w:rsidRPr="00F40118">
        <w:rPr>
          <w:rStyle w:val="font16"/>
          <w:rFonts w:ascii="Book Antiqua" w:eastAsia="Book Antiqua" w:hAnsi="Book Antiqua" w:cs="Book Antiqua"/>
          <w:i/>
          <w:iCs/>
          <w:color w:val="000000"/>
        </w:rPr>
        <w:t>et al</w:t>
      </w:r>
      <w:r w:rsidRPr="00F40118">
        <w:rPr>
          <w:rStyle w:val="font16"/>
          <w:rFonts w:ascii="Book Antiqua" w:eastAsia="Book Antiqua" w:hAnsi="Book Antiqua" w:cs="Book Antiqua"/>
          <w:color w:val="000000"/>
          <w:vertAlign w:val="superscript"/>
        </w:rPr>
        <w:t>[</w:t>
      </w:r>
      <w:r w:rsidR="00095A83" w:rsidRPr="00F40118">
        <w:rPr>
          <w:rStyle w:val="font16"/>
          <w:rFonts w:ascii="Book Antiqua" w:eastAsia="Book Antiqua" w:hAnsi="Book Antiqua" w:cs="Book Antiqua"/>
          <w:color w:val="000000"/>
          <w:vertAlign w:val="superscript"/>
        </w:rPr>
        <w:t>20</w:t>
      </w:r>
      <w:r w:rsidRPr="00F40118">
        <w:rPr>
          <w:rStyle w:val="font16"/>
          <w:rFonts w:ascii="Book Antiqua" w:eastAsia="Book Antiqua" w:hAnsi="Book Antiqua" w:cs="Book Antiqua"/>
          <w:color w:val="000000"/>
          <w:vertAlign w:val="superscript"/>
        </w:rPr>
        <w:t>]</w:t>
      </w:r>
      <w:r w:rsidRPr="00F40118">
        <w:rPr>
          <w:rStyle w:val="font16"/>
          <w:rFonts w:ascii="Book Antiqua" w:eastAsia="Book Antiqua" w:hAnsi="Book Antiqua" w:cs="Book Antiqua"/>
          <w:color w:val="000000"/>
        </w:rPr>
        <w:t>: the ALT level decreased after therapy by 54% in patients with histologically confirmed NAFLD.</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Style w:val="font16"/>
          <w:rFonts w:ascii="Book Antiqua" w:eastAsia="Book Antiqua" w:hAnsi="Book Antiqua" w:cs="Book Antiqua"/>
          <w:color w:val="000000"/>
        </w:rPr>
        <w:t>In addition, during the study, there was a significant decrease in AST and GGT levels by 6 and 10 U/L, respectively, which was repeatedly noted in other similar studies</w:t>
      </w:r>
      <w:r w:rsidRPr="00F40118">
        <w:rPr>
          <w:rStyle w:val="font16"/>
          <w:rFonts w:ascii="Book Antiqua" w:eastAsia="Book Antiqua" w:hAnsi="Book Antiqua" w:cs="Book Antiqua"/>
          <w:color w:val="000000"/>
          <w:vertAlign w:val="superscript"/>
        </w:rPr>
        <w:t>[</w:t>
      </w:r>
      <w:r w:rsidR="003C02FF" w:rsidRPr="00F40118">
        <w:rPr>
          <w:rStyle w:val="font16"/>
          <w:rFonts w:ascii="Book Antiqua" w:eastAsia="Book Antiqua" w:hAnsi="Book Antiqua" w:cs="Book Antiqua"/>
          <w:color w:val="000000"/>
          <w:vertAlign w:val="superscript"/>
        </w:rPr>
        <w:t>2</w:t>
      </w:r>
      <w:r w:rsidR="00311838" w:rsidRPr="00F40118">
        <w:rPr>
          <w:rStyle w:val="font16"/>
          <w:rFonts w:ascii="Book Antiqua" w:eastAsia="Book Antiqua" w:hAnsi="Book Antiqua" w:cs="Book Antiqua"/>
          <w:color w:val="000000"/>
          <w:vertAlign w:val="superscript"/>
        </w:rPr>
        <w:t>1</w:t>
      </w:r>
      <w:r w:rsidR="00311838" w:rsidRPr="00F40118">
        <w:rPr>
          <w:rFonts w:ascii="Book Antiqua" w:eastAsia="Book Antiqua" w:hAnsi="Book Antiqua" w:cs="Book Antiqua"/>
          <w:color w:val="000000"/>
          <w:vertAlign w:val="superscript"/>
        </w:rPr>
        <w:t>-2</w:t>
      </w:r>
      <w:r w:rsidR="00311838" w:rsidRPr="00F40118">
        <w:rPr>
          <w:rStyle w:val="font16"/>
          <w:rFonts w:ascii="Book Antiqua" w:eastAsia="Book Antiqua" w:hAnsi="Book Antiqua" w:cs="Book Antiqua"/>
          <w:color w:val="000000"/>
          <w:vertAlign w:val="superscript"/>
        </w:rPr>
        <w:t>4</w:t>
      </w:r>
      <w:r w:rsidRPr="00F40118">
        <w:rPr>
          <w:rStyle w:val="font16"/>
          <w:rFonts w:ascii="Book Antiqua" w:eastAsia="Book Antiqua" w:hAnsi="Book Antiqua" w:cs="Book Antiqua"/>
          <w:color w:val="000000"/>
          <w:vertAlign w:val="superscript"/>
        </w:rPr>
        <w:t>]</w:t>
      </w:r>
      <w:r w:rsidRPr="00F40118">
        <w:rPr>
          <w:rStyle w:val="font16"/>
          <w:rFonts w:ascii="Book Antiqua" w:eastAsia="Book Antiqua" w:hAnsi="Book Antiqua" w:cs="Book Antiqua"/>
          <w:color w:val="000000"/>
        </w:rPr>
        <w:t xml:space="preserve">. </w:t>
      </w:r>
      <w:r w:rsidRPr="00F40118">
        <w:rPr>
          <w:rFonts w:ascii="Book Antiqua" w:eastAsia="Book Antiqua" w:hAnsi="Book Antiqua" w:cs="Book Antiqua"/>
          <w:color w:val="000000"/>
        </w:rPr>
        <w:t>The percentage of AST reduction was 18.8% and 28.1% for GGT, which is consistent with previously mentioned publications: a decrease in AST of 18.9% and GGT of 62% in a study by Ratziu</w:t>
      </w:r>
      <w:r w:rsidRPr="00F40118">
        <w:rPr>
          <w:rFonts w:ascii="Book Antiqua" w:eastAsia="Book Antiqua" w:hAnsi="Book Antiqua" w:cs="Book Antiqua"/>
          <w:i/>
          <w:iCs/>
          <w:color w:val="000000"/>
        </w:rPr>
        <w:t xml:space="preserve"> </w:t>
      </w:r>
      <w:r w:rsidRPr="00F40118">
        <w:rPr>
          <w:rStyle w:val="font16"/>
          <w:rFonts w:ascii="Book Antiqua" w:eastAsia="Book Antiqua" w:hAnsi="Book Antiqua" w:cs="Book Antiqua"/>
          <w:i/>
          <w:iCs/>
          <w:color w:val="000000"/>
        </w:rPr>
        <w:t>et al</w:t>
      </w:r>
      <w:r w:rsidRPr="00F40118">
        <w:rPr>
          <w:rStyle w:val="font16"/>
          <w:rFonts w:ascii="Book Antiqua" w:eastAsia="Book Antiqua" w:hAnsi="Book Antiqua" w:cs="Book Antiqua"/>
          <w:color w:val="000000"/>
          <w:vertAlign w:val="superscript"/>
        </w:rPr>
        <w:t>[</w:t>
      </w:r>
      <w:r w:rsidR="00311838" w:rsidRPr="00F40118">
        <w:rPr>
          <w:rStyle w:val="font16"/>
          <w:rFonts w:ascii="Book Antiqua" w:eastAsia="Book Antiqua" w:hAnsi="Book Antiqua" w:cs="Book Antiqua"/>
          <w:color w:val="000000"/>
          <w:vertAlign w:val="superscript"/>
        </w:rPr>
        <w:t>19</w:t>
      </w:r>
      <w:r w:rsidRPr="00F40118">
        <w:rPr>
          <w:rStyle w:val="font16"/>
          <w:rFonts w:ascii="Book Antiqua" w:eastAsia="Book Antiqua" w:hAnsi="Book Antiqua" w:cs="Book Antiqua"/>
          <w:color w:val="000000"/>
          <w:vertAlign w:val="superscript"/>
        </w:rPr>
        <w:t>]</w:t>
      </w:r>
      <w:r w:rsidRPr="00F40118">
        <w:rPr>
          <w:rFonts w:ascii="Book Antiqua" w:eastAsia="Book Antiqua" w:hAnsi="Book Antiqua" w:cs="Book Antiqua"/>
          <w:color w:val="000000"/>
        </w:rPr>
        <w:t xml:space="preserve">, and a decrease in AST of 43% and GGT of 41% in a study by </w:t>
      </w:r>
      <w:r w:rsidR="0056151A" w:rsidRPr="00F40118">
        <w:rPr>
          <w:rFonts w:ascii="Book Antiqua" w:eastAsia="Book Antiqua" w:hAnsi="Book Antiqua" w:cs="Book Antiqua"/>
          <w:color w:val="000000"/>
        </w:rPr>
        <w:t xml:space="preserve">Ozel </w:t>
      </w:r>
      <w:r w:rsidRPr="00F40118">
        <w:rPr>
          <w:rFonts w:ascii="Book Antiqua" w:eastAsia="Book Antiqua" w:hAnsi="Book Antiqua" w:cs="Book Antiqua"/>
          <w:color w:val="000000"/>
        </w:rPr>
        <w:t xml:space="preserve">Coskun </w:t>
      </w:r>
      <w:r w:rsidRPr="00F40118">
        <w:rPr>
          <w:rStyle w:val="font16"/>
          <w:rFonts w:ascii="Book Antiqua" w:eastAsia="Book Antiqua" w:hAnsi="Book Antiqua" w:cs="Book Antiqua"/>
          <w:i/>
          <w:iCs/>
          <w:color w:val="000000"/>
        </w:rPr>
        <w:t>et al</w:t>
      </w:r>
      <w:r w:rsidRPr="00F40118">
        <w:rPr>
          <w:rStyle w:val="font16"/>
          <w:rFonts w:ascii="Book Antiqua" w:eastAsia="Book Antiqua" w:hAnsi="Book Antiqua" w:cs="Book Antiqua"/>
          <w:color w:val="000000"/>
          <w:vertAlign w:val="superscript"/>
        </w:rPr>
        <w:t>[</w:t>
      </w:r>
      <w:r w:rsidR="003C02FF" w:rsidRPr="00F40118">
        <w:rPr>
          <w:rStyle w:val="font16"/>
          <w:rFonts w:ascii="Book Antiqua" w:eastAsia="Book Antiqua" w:hAnsi="Book Antiqua" w:cs="Book Antiqua"/>
          <w:color w:val="000000"/>
          <w:vertAlign w:val="superscript"/>
        </w:rPr>
        <w:t>2</w:t>
      </w:r>
      <w:r w:rsidR="00311838" w:rsidRPr="00F40118">
        <w:rPr>
          <w:rStyle w:val="font16"/>
          <w:rFonts w:ascii="Book Antiqua" w:eastAsia="Book Antiqua" w:hAnsi="Book Antiqua" w:cs="Book Antiqua"/>
          <w:color w:val="000000"/>
          <w:vertAlign w:val="superscript"/>
        </w:rPr>
        <w:t>0</w:t>
      </w:r>
      <w:r w:rsidRPr="00F40118">
        <w:rPr>
          <w:rStyle w:val="font16"/>
          <w:rFonts w:ascii="Book Antiqua" w:eastAsia="Book Antiqua" w:hAnsi="Book Antiqua" w:cs="Book Antiqua"/>
          <w:color w:val="000000"/>
          <w:vertAlign w:val="superscript"/>
        </w:rPr>
        <w:t>]</w:t>
      </w:r>
      <w:r w:rsidRPr="00F40118">
        <w:rPr>
          <w:rStyle w:val="font16"/>
          <w:rFonts w:ascii="Book Antiqua" w:eastAsia="Book Antiqua" w:hAnsi="Book Antiqua" w:cs="Book Antiqua"/>
          <w:color w:val="000000"/>
        </w:rPr>
        <w:t>. A statistically significant decrease in AST levels of 8.5 U/L and GGT of 16.5 U/L was also demonstrated after a relatively short (3-w</w:t>
      </w:r>
      <w:r w:rsidR="0056151A" w:rsidRPr="00F40118">
        <w:rPr>
          <w:rStyle w:val="font16"/>
          <w:rFonts w:ascii="Book Antiqua" w:eastAsia="Book Antiqua" w:hAnsi="Book Antiqua" w:cs="Book Antiqua"/>
          <w:color w:val="000000"/>
        </w:rPr>
        <w:t>k</w:t>
      </w:r>
      <w:r w:rsidRPr="00F40118">
        <w:rPr>
          <w:rStyle w:val="font16"/>
          <w:rFonts w:ascii="Book Antiqua" w:eastAsia="Book Antiqua" w:hAnsi="Book Antiqua" w:cs="Book Antiqua"/>
          <w:color w:val="000000"/>
        </w:rPr>
        <w:t>) course of UDCA 20 mg/kg/d</w:t>
      </w:r>
      <w:r w:rsidRPr="00F40118">
        <w:rPr>
          <w:rStyle w:val="font16"/>
          <w:rFonts w:ascii="Book Antiqua" w:eastAsia="Book Antiqua" w:hAnsi="Book Antiqua" w:cs="Book Antiqua"/>
          <w:color w:val="000000"/>
          <w:vertAlign w:val="superscript"/>
        </w:rPr>
        <w:t>[</w:t>
      </w:r>
      <w:r w:rsidR="003C02FF" w:rsidRPr="00F40118">
        <w:rPr>
          <w:rStyle w:val="font16"/>
          <w:rFonts w:ascii="Book Antiqua" w:eastAsia="Book Antiqua" w:hAnsi="Book Antiqua" w:cs="Book Antiqua"/>
          <w:color w:val="000000"/>
          <w:vertAlign w:val="superscript"/>
        </w:rPr>
        <w:t>53</w:t>
      </w:r>
      <w:r w:rsidRPr="00F40118">
        <w:rPr>
          <w:rStyle w:val="font16"/>
          <w:rFonts w:ascii="Book Antiqua" w:eastAsia="Book Antiqua" w:hAnsi="Book Antiqua" w:cs="Book Antiqua"/>
          <w:color w:val="000000"/>
          <w:vertAlign w:val="superscript"/>
        </w:rPr>
        <w:t>]</w:t>
      </w:r>
      <w:r w:rsidRPr="00F40118">
        <w:rPr>
          <w:rStyle w:val="font16"/>
          <w:rFonts w:ascii="Book Antiqua" w:eastAsia="Book Antiqua" w:hAnsi="Book Antiqua" w:cs="Book Antiqua"/>
          <w:color w:val="000000"/>
        </w:rPr>
        <w:t>.</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Fonts w:ascii="Book Antiqua" w:eastAsia="Book Antiqua" w:hAnsi="Book Antiqua" w:cs="Book Antiqua"/>
          <w:color w:val="000000"/>
        </w:rPr>
        <w:t>In comparison with other studies, we also analyzed the rates of LFT change during the first and subsequent 3-mo intervals. The magnitude of ALT, AST, and GGT decrease was significantly higher during the first 3 mo of treatment, whereas the rates of weight and BMI change were the same in both periods.</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Style w:val="font16"/>
          <w:rFonts w:ascii="Book Antiqua" w:eastAsia="Book Antiqua" w:hAnsi="Book Antiqua" w:cs="Book Antiqua"/>
          <w:color w:val="000000"/>
        </w:rPr>
        <w:t>Improvement in LFT is probably associated with the antioxidant effect of UDCA, the ability to suppress the production of tumor necrosis factor-alpha, which is associated with an improvement in LFT and histological findings</w:t>
      </w:r>
      <w:r w:rsidRPr="00F40118">
        <w:rPr>
          <w:rStyle w:val="font16"/>
          <w:rFonts w:ascii="Book Antiqua" w:eastAsia="Book Antiqua" w:hAnsi="Book Antiqua" w:cs="Book Antiqua"/>
          <w:color w:val="000000"/>
          <w:vertAlign w:val="superscript"/>
        </w:rPr>
        <w:t>[</w:t>
      </w:r>
      <w:r w:rsidR="00095A83" w:rsidRPr="00F40118">
        <w:rPr>
          <w:rStyle w:val="font16"/>
          <w:rFonts w:ascii="Book Antiqua" w:eastAsia="Book Antiqua" w:hAnsi="Book Antiqua" w:cs="Book Antiqua"/>
          <w:color w:val="000000"/>
          <w:vertAlign w:val="superscript"/>
        </w:rPr>
        <w:t>54,55</w:t>
      </w:r>
      <w:r w:rsidRPr="00F40118">
        <w:rPr>
          <w:rStyle w:val="font16"/>
          <w:rFonts w:ascii="Book Antiqua" w:eastAsia="Book Antiqua" w:hAnsi="Book Antiqua" w:cs="Book Antiqua"/>
          <w:color w:val="000000"/>
          <w:vertAlign w:val="superscript"/>
        </w:rPr>
        <w:t>]</w:t>
      </w:r>
      <w:r w:rsidRPr="00F40118">
        <w:rPr>
          <w:rStyle w:val="font16"/>
          <w:rFonts w:ascii="Book Antiqua" w:eastAsia="Book Antiqua" w:hAnsi="Book Antiqua" w:cs="Book Antiqua"/>
          <w:color w:val="000000"/>
        </w:rPr>
        <w:t>.</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Style w:val="font16"/>
          <w:rFonts w:ascii="Book Antiqua" w:eastAsia="Book Antiqua" w:hAnsi="Book Antiqua" w:cs="Book Antiqua"/>
          <w:color w:val="000000"/>
        </w:rPr>
        <w:t xml:space="preserve">Positive changes have also been observed in relation to lipid profile. The </w:t>
      </w:r>
      <w:r w:rsidR="00711EF1" w:rsidRPr="00F40118">
        <w:rPr>
          <w:rStyle w:val="font16"/>
          <w:rFonts w:ascii="Book Antiqua" w:eastAsia="Book Antiqua" w:hAnsi="Book Antiqua" w:cs="Book Antiqua"/>
          <w:color w:val="000000"/>
        </w:rPr>
        <w:t>Me</w:t>
      </w:r>
      <w:r w:rsidRPr="00F40118">
        <w:rPr>
          <w:rStyle w:val="font16"/>
          <w:rFonts w:ascii="Book Antiqua" w:eastAsia="Book Antiqua" w:hAnsi="Book Antiqua" w:cs="Book Antiqua"/>
          <w:color w:val="000000"/>
        </w:rPr>
        <w:t xml:space="preserve"> ТС during follow-up decreased significantly by 0.27 mmol/L, which is consistent with the results of a recently published meta-analysis, which, based on an analysis of 20 studies, demonstrated a significant decrease in TC with UDCA therapy by 0.36 mmol/L</w:t>
      </w:r>
      <w:r w:rsidRPr="00F40118">
        <w:rPr>
          <w:rStyle w:val="font16"/>
          <w:rFonts w:ascii="Book Antiqua" w:eastAsia="Book Antiqua" w:hAnsi="Book Antiqua" w:cs="Book Antiqua"/>
          <w:color w:val="000000"/>
          <w:vertAlign w:val="superscript"/>
        </w:rPr>
        <w:t>[</w:t>
      </w:r>
      <w:r w:rsidR="003C02FF" w:rsidRPr="00F40118">
        <w:rPr>
          <w:rStyle w:val="font16"/>
          <w:rFonts w:ascii="Book Antiqua" w:eastAsia="Book Antiqua" w:hAnsi="Book Antiqua" w:cs="Book Antiqua"/>
          <w:color w:val="000000"/>
          <w:vertAlign w:val="superscript"/>
        </w:rPr>
        <w:t>56</w:t>
      </w:r>
      <w:r w:rsidRPr="00F40118">
        <w:rPr>
          <w:rStyle w:val="font16"/>
          <w:rFonts w:ascii="Book Antiqua" w:eastAsia="Book Antiqua" w:hAnsi="Book Antiqua" w:cs="Book Antiqua"/>
          <w:color w:val="000000"/>
          <w:vertAlign w:val="superscript"/>
        </w:rPr>
        <w:t>]</w:t>
      </w:r>
      <w:r w:rsidRPr="00F40118">
        <w:rPr>
          <w:rStyle w:val="font16"/>
          <w:rFonts w:ascii="Book Antiqua" w:eastAsia="Book Antiqua" w:hAnsi="Book Antiqua" w:cs="Book Antiqua"/>
          <w:color w:val="000000"/>
        </w:rPr>
        <w:t xml:space="preserve">. The </w:t>
      </w:r>
      <w:r w:rsidR="00711EF1" w:rsidRPr="00F40118">
        <w:rPr>
          <w:rStyle w:val="font16"/>
          <w:rFonts w:ascii="Book Antiqua" w:eastAsia="Book Antiqua" w:hAnsi="Book Antiqua" w:cs="Book Antiqua"/>
          <w:color w:val="000000"/>
        </w:rPr>
        <w:t>Me</w:t>
      </w:r>
      <w:r w:rsidRPr="00F40118">
        <w:rPr>
          <w:rStyle w:val="font16"/>
          <w:rFonts w:ascii="Book Antiqua" w:eastAsia="Book Antiqua" w:hAnsi="Book Antiqua" w:cs="Book Antiqua"/>
          <w:color w:val="000000"/>
        </w:rPr>
        <w:t xml:space="preserve"> of other lipid parameters (LDL and TG) also decreased during the study. The HDL level increased significantly only in women.</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Fonts w:ascii="Book Antiqua" w:eastAsia="Book Antiqua" w:hAnsi="Book Antiqua" w:cs="Book Antiqua"/>
          <w:color w:val="000000"/>
        </w:rPr>
        <w:t>Administration of UDCA improves the lipid spectrum by decreasing cholesterol absorption and synthesis and the activity of the farnesoid X-receptor and increasing the synthesis of bile acids</w:t>
      </w:r>
      <w:r w:rsidRPr="00F40118">
        <w:rPr>
          <w:rStyle w:val="font16"/>
          <w:rFonts w:ascii="Book Antiqua" w:eastAsia="Book Antiqua" w:hAnsi="Book Antiqua" w:cs="Book Antiqua"/>
          <w:color w:val="000000"/>
          <w:vertAlign w:val="superscript"/>
        </w:rPr>
        <w:t>[</w:t>
      </w:r>
      <w:r w:rsidR="003C02FF" w:rsidRPr="00F40118">
        <w:rPr>
          <w:rStyle w:val="font16"/>
          <w:rFonts w:ascii="Book Antiqua" w:eastAsia="Book Antiqua" w:hAnsi="Book Antiqua" w:cs="Book Antiqua"/>
          <w:color w:val="000000"/>
          <w:vertAlign w:val="superscript"/>
        </w:rPr>
        <w:t>56</w:t>
      </w:r>
      <w:r w:rsidRPr="00F40118">
        <w:rPr>
          <w:rStyle w:val="font16"/>
          <w:rFonts w:ascii="Book Antiqua" w:eastAsia="Book Antiqua" w:hAnsi="Book Antiqua" w:cs="Book Antiqua"/>
          <w:color w:val="000000"/>
          <w:vertAlign w:val="superscript"/>
        </w:rPr>
        <w:t>]</w:t>
      </w:r>
      <w:r w:rsidRPr="00F40118">
        <w:rPr>
          <w:rFonts w:ascii="Book Antiqua" w:eastAsia="Book Antiqua" w:hAnsi="Book Antiqua" w:cs="Book Antiqua"/>
          <w:color w:val="000000"/>
        </w:rPr>
        <w:t>.</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Style w:val="font16"/>
          <w:rFonts w:ascii="Book Antiqua" w:eastAsia="Book Antiqua" w:hAnsi="Book Antiqua" w:cs="Book Antiqua"/>
          <w:color w:val="000000"/>
        </w:rPr>
        <w:t>The effect of UDCA therapy on the FLI has not been previously shown. In our study, the FLI, a noninvasive assessment of steatosis, decreased significantly. This is due to a decrease in the parameters included in the FLI algorithm, including BMI, WC, GGT, and TG. At the end of the program,</w:t>
      </w:r>
      <w:r w:rsidR="00BE4144" w:rsidRPr="00F40118">
        <w:rPr>
          <w:rStyle w:val="font16"/>
          <w:rFonts w:ascii="Book Antiqua" w:eastAsia="Book Antiqua" w:hAnsi="Book Antiqua" w:cs="Book Antiqua"/>
          <w:color w:val="000000"/>
        </w:rPr>
        <w:t xml:space="preserve"> 1/4</w:t>
      </w:r>
      <w:r w:rsidRPr="00F40118">
        <w:rPr>
          <w:rStyle w:val="font16"/>
          <w:rFonts w:ascii="Book Antiqua" w:eastAsia="Book Antiqua" w:hAnsi="Book Antiqua" w:cs="Book Antiqua"/>
          <w:color w:val="000000"/>
        </w:rPr>
        <w:t xml:space="preserve"> of the p</w:t>
      </w:r>
      <w:r w:rsidR="00D72692" w:rsidRPr="00F40118">
        <w:rPr>
          <w:rStyle w:val="font16"/>
          <w:rFonts w:ascii="Book Antiqua" w:eastAsia="Book Antiqua" w:hAnsi="Book Antiqua" w:cs="Book Antiqua"/>
          <w:color w:val="000000"/>
        </w:rPr>
        <w:t>atients moved to the "gray zone</w:t>
      </w:r>
      <w:r w:rsidRPr="00F40118">
        <w:rPr>
          <w:rStyle w:val="font16"/>
          <w:rFonts w:ascii="Book Antiqua" w:eastAsia="Book Antiqua" w:hAnsi="Book Antiqua" w:cs="Book Antiqua"/>
          <w:color w:val="000000"/>
        </w:rPr>
        <w:t>"</w:t>
      </w:r>
      <w:r w:rsidR="00D72692" w:rsidRPr="00F40118">
        <w:rPr>
          <w:rStyle w:val="font16"/>
          <w:rFonts w:ascii="Book Antiqua" w:eastAsia="Book Antiqua" w:hAnsi="Book Antiqua" w:cs="Book Antiqua"/>
          <w:color w:val="000000"/>
        </w:rPr>
        <w:t>.</w:t>
      </w:r>
      <w:r w:rsidRPr="00F40118">
        <w:rPr>
          <w:rStyle w:val="font16"/>
          <w:rFonts w:ascii="Book Antiqua" w:eastAsia="Book Antiqua" w:hAnsi="Book Antiqua" w:cs="Book Antiqua"/>
          <w:color w:val="000000"/>
        </w:rPr>
        <w:t xml:space="preserve"> Similarly, Laurin </w:t>
      </w:r>
      <w:r w:rsidRPr="00F40118">
        <w:rPr>
          <w:rStyle w:val="font16"/>
          <w:rFonts w:ascii="Book Antiqua" w:eastAsia="Book Antiqua" w:hAnsi="Book Antiqua" w:cs="Book Antiqua"/>
          <w:i/>
          <w:iCs/>
          <w:color w:val="000000"/>
        </w:rPr>
        <w:t>et al</w:t>
      </w:r>
      <w:r w:rsidRPr="00F40118">
        <w:rPr>
          <w:rStyle w:val="font16"/>
          <w:rFonts w:ascii="Book Antiqua" w:eastAsia="Book Antiqua" w:hAnsi="Book Antiqua" w:cs="Book Antiqua"/>
          <w:color w:val="000000"/>
          <w:vertAlign w:val="superscript"/>
        </w:rPr>
        <w:t>[</w:t>
      </w:r>
      <w:r w:rsidR="004F1652" w:rsidRPr="00F40118">
        <w:rPr>
          <w:rStyle w:val="font16"/>
          <w:rFonts w:ascii="Book Antiqua" w:eastAsia="Book Antiqua" w:hAnsi="Book Antiqua" w:cs="Book Antiqua"/>
          <w:color w:val="000000"/>
          <w:vertAlign w:val="superscript"/>
        </w:rPr>
        <w:t>2</w:t>
      </w:r>
      <w:r w:rsidR="00311838" w:rsidRPr="00F40118">
        <w:rPr>
          <w:rStyle w:val="font16"/>
          <w:rFonts w:ascii="Book Antiqua" w:eastAsia="Book Antiqua" w:hAnsi="Book Antiqua" w:cs="Book Antiqua"/>
          <w:color w:val="000000"/>
          <w:vertAlign w:val="superscript"/>
        </w:rPr>
        <w:t>2</w:t>
      </w:r>
      <w:r w:rsidRPr="00F40118">
        <w:rPr>
          <w:rStyle w:val="font16"/>
          <w:rFonts w:ascii="Book Antiqua" w:eastAsia="Book Antiqua" w:hAnsi="Book Antiqua" w:cs="Book Antiqua"/>
          <w:color w:val="000000"/>
          <w:vertAlign w:val="superscript"/>
        </w:rPr>
        <w:t>]</w:t>
      </w:r>
      <w:r w:rsidRPr="00F40118">
        <w:rPr>
          <w:rFonts w:ascii="Book Antiqua" w:eastAsia="Book Antiqua" w:hAnsi="Book Antiqua" w:cs="Book Antiqua"/>
          <w:color w:val="000000"/>
        </w:rPr>
        <w:t xml:space="preserve"> previously reported a histologic improvement in steatosis after UDCA treatment.</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Style w:val="font16"/>
          <w:rFonts w:ascii="Book Antiqua" w:eastAsia="Book Antiqua" w:hAnsi="Book Antiqua" w:cs="Book Antiqua"/>
          <w:color w:val="000000"/>
        </w:rPr>
        <w:t>The literature contains a limited number of clinical studies evaluating the effects of drug therapy on fibrosis in patients with NAFLD. In our work, liver fibrosis was assessed using the NFS and FIB-4 scales, which have similar diagnostic value according to the Sun meta-analysis</w:t>
      </w:r>
      <w:r w:rsidRPr="00F40118">
        <w:rPr>
          <w:rStyle w:val="font16"/>
          <w:rFonts w:ascii="Book Antiqua" w:eastAsia="Book Antiqua" w:hAnsi="Book Antiqua" w:cs="Book Antiqua"/>
          <w:color w:val="000000"/>
          <w:vertAlign w:val="superscript"/>
        </w:rPr>
        <w:t>[</w:t>
      </w:r>
      <w:r w:rsidR="004F1652" w:rsidRPr="00F40118">
        <w:rPr>
          <w:rStyle w:val="font16"/>
          <w:rFonts w:ascii="Book Antiqua" w:eastAsia="Book Antiqua" w:hAnsi="Book Antiqua" w:cs="Book Antiqua"/>
          <w:color w:val="000000"/>
          <w:vertAlign w:val="superscript"/>
        </w:rPr>
        <w:t>57</w:t>
      </w:r>
      <w:r w:rsidRPr="00F40118">
        <w:rPr>
          <w:rStyle w:val="font16"/>
          <w:rFonts w:ascii="Book Antiqua" w:eastAsia="Book Antiqua" w:hAnsi="Book Antiqua" w:cs="Book Antiqua"/>
          <w:color w:val="000000"/>
          <w:vertAlign w:val="superscript"/>
        </w:rPr>
        <w:t>]</w:t>
      </w:r>
      <w:r w:rsidRPr="00F40118">
        <w:rPr>
          <w:rStyle w:val="font16"/>
          <w:rFonts w:ascii="Book Antiqua" w:eastAsia="Book Antiqua" w:hAnsi="Book Antiqua" w:cs="Book Antiqua"/>
          <w:color w:val="000000"/>
        </w:rPr>
        <w:t xml:space="preserve">. </w:t>
      </w:r>
      <w:r w:rsidRPr="00F40118">
        <w:rPr>
          <w:rFonts w:ascii="Book Antiqua" w:eastAsia="Book Antiqua" w:hAnsi="Book Antiqua" w:cs="Book Antiqua"/>
          <w:color w:val="000000"/>
        </w:rPr>
        <w:t xml:space="preserve">We observed no significant effect on fibrosis, which is consistent with </w:t>
      </w:r>
      <w:r w:rsidRPr="00F40118">
        <w:rPr>
          <w:rStyle w:val="font16"/>
          <w:rFonts w:ascii="Book Antiqua" w:eastAsia="Book Antiqua" w:hAnsi="Book Antiqua" w:cs="Book Antiqua"/>
          <w:color w:val="000000"/>
        </w:rPr>
        <w:t>a 52-w</w:t>
      </w:r>
      <w:r w:rsidR="0056151A" w:rsidRPr="00F40118">
        <w:rPr>
          <w:rStyle w:val="font16"/>
          <w:rFonts w:ascii="Book Antiqua" w:eastAsia="Book Antiqua" w:hAnsi="Book Antiqua" w:cs="Book Antiqua"/>
          <w:color w:val="000000"/>
        </w:rPr>
        <w:t>k</w:t>
      </w:r>
      <w:r w:rsidRPr="00F40118">
        <w:rPr>
          <w:rStyle w:val="font16"/>
          <w:rFonts w:ascii="Book Antiqua" w:eastAsia="Book Antiqua" w:hAnsi="Book Antiqua" w:cs="Book Antiqua"/>
          <w:color w:val="000000"/>
        </w:rPr>
        <w:t xml:space="preserve"> study by Parikh </w:t>
      </w:r>
      <w:r w:rsidRPr="00F40118">
        <w:rPr>
          <w:rStyle w:val="font16"/>
          <w:rFonts w:ascii="Book Antiqua" w:eastAsia="Book Antiqua" w:hAnsi="Book Antiqua" w:cs="Book Antiqua"/>
          <w:i/>
          <w:iCs/>
          <w:color w:val="000000"/>
        </w:rPr>
        <w:t>et al</w:t>
      </w:r>
      <w:r w:rsidRPr="00F40118">
        <w:rPr>
          <w:rStyle w:val="font16"/>
          <w:rFonts w:ascii="Book Antiqua" w:eastAsia="Book Antiqua" w:hAnsi="Book Antiqua" w:cs="Book Antiqua"/>
          <w:color w:val="000000"/>
          <w:vertAlign w:val="superscript"/>
        </w:rPr>
        <w:t>[</w:t>
      </w:r>
      <w:r w:rsidR="004F1652" w:rsidRPr="00F40118">
        <w:rPr>
          <w:rStyle w:val="font16"/>
          <w:rFonts w:ascii="Book Antiqua" w:eastAsia="Book Antiqua" w:hAnsi="Book Antiqua" w:cs="Book Antiqua"/>
          <w:color w:val="000000"/>
          <w:vertAlign w:val="superscript"/>
        </w:rPr>
        <w:t>58</w:t>
      </w:r>
      <w:r w:rsidRPr="00F40118">
        <w:rPr>
          <w:rStyle w:val="font16"/>
          <w:rFonts w:ascii="Book Antiqua" w:eastAsia="Book Antiqua" w:hAnsi="Book Antiqua" w:cs="Book Antiqua"/>
          <w:color w:val="000000"/>
          <w:vertAlign w:val="superscript"/>
        </w:rPr>
        <w:t>]</w:t>
      </w:r>
      <w:r w:rsidRPr="00F40118">
        <w:rPr>
          <w:rStyle w:val="font16"/>
          <w:rFonts w:ascii="Book Antiqua" w:eastAsia="Book Antiqua" w:hAnsi="Book Antiqua" w:cs="Book Antiqua"/>
          <w:color w:val="000000"/>
        </w:rPr>
        <w:t xml:space="preserve"> using the NFS scale to compare the fibrosis severity before and after UDCA therapy</w:t>
      </w:r>
      <w:r w:rsidRPr="00F40118">
        <w:rPr>
          <w:rFonts w:ascii="Book Antiqua" w:eastAsia="Book Antiqua" w:hAnsi="Book Antiqua" w:cs="Book Antiqua"/>
          <w:color w:val="000000"/>
          <w:shd w:val="clear" w:color="auto" w:fill="FFFFFF"/>
        </w:rPr>
        <w:t>.</w:t>
      </w:r>
      <w:r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shd w:val="clear" w:color="auto" w:fill="FFFFFF"/>
        </w:rPr>
        <w:t xml:space="preserve">Notably, in another study, there was a decrease in fibrosis severity when assessed using the FibroTest, but the study duration and the UDCA dose were higher than those in our </w:t>
      </w:r>
      <w:r w:rsidRPr="00F40118">
        <w:rPr>
          <w:rStyle w:val="font16"/>
          <w:rFonts w:ascii="Book Antiqua" w:eastAsia="Book Antiqua" w:hAnsi="Book Antiqua" w:cs="Book Antiqua"/>
          <w:color w:val="000000"/>
        </w:rPr>
        <w:t>trial</w:t>
      </w:r>
      <w:r w:rsidRPr="00F40118">
        <w:rPr>
          <w:rStyle w:val="font16"/>
          <w:rFonts w:ascii="Book Antiqua" w:eastAsia="Book Antiqua" w:hAnsi="Book Antiqua" w:cs="Book Antiqua"/>
          <w:color w:val="000000"/>
          <w:vertAlign w:val="superscript"/>
        </w:rPr>
        <w:t>[</w:t>
      </w:r>
      <w:r w:rsidR="00311838" w:rsidRPr="00F40118">
        <w:rPr>
          <w:rStyle w:val="font16"/>
          <w:rFonts w:ascii="Book Antiqua" w:eastAsia="Book Antiqua" w:hAnsi="Book Antiqua" w:cs="Book Antiqua"/>
          <w:color w:val="000000"/>
          <w:vertAlign w:val="superscript"/>
        </w:rPr>
        <w:t>19</w:t>
      </w:r>
      <w:r w:rsidRPr="00F40118">
        <w:rPr>
          <w:rStyle w:val="font16"/>
          <w:rFonts w:ascii="Book Antiqua" w:eastAsia="Book Antiqua" w:hAnsi="Book Antiqua" w:cs="Book Antiqua"/>
          <w:color w:val="000000"/>
          <w:vertAlign w:val="superscript"/>
        </w:rPr>
        <w:t>]</w:t>
      </w:r>
      <w:r w:rsidRPr="00F40118">
        <w:rPr>
          <w:rStyle w:val="font16"/>
          <w:rFonts w:ascii="Book Antiqua" w:eastAsia="Book Antiqua" w:hAnsi="Book Antiqua" w:cs="Book Antiqua"/>
          <w:color w:val="000000"/>
        </w:rPr>
        <w:t>.</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Style w:val="font16"/>
          <w:rFonts w:ascii="Book Antiqua" w:eastAsia="Book Antiqua" w:hAnsi="Book Antiqua" w:cs="Book Antiqua"/>
          <w:color w:val="000000"/>
        </w:rPr>
        <w:t>NAFLD is currently known to be associated with increased CIMT, an early predictor of atherosclerosis and CVD. In our study, against the background of UDCA treatment, a statistically significant decrease in the CIMT was achieved. In our study, patients achieved a statistically significant decrease in CIMT with UDCA treatment. Similar data have been demonstrated in the prospective Coscun study (6 mo of UDCA at a dose of 15 mg/kg/d). The mechanism for reducing CIMT appears to be associated with the antioxidant, anti-inflammatory, and hypolipidemic effects of UDCA, as well as its effect on insulin resistance</w:t>
      </w:r>
      <w:r w:rsidRPr="00F40118">
        <w:rPr>
          <w:rStyle w:val="font16"/>
          <w:rFonts w:ascii="Book Antiqua" w:eastAsia="Book Antiqua" w:hAnsi="Book Antiqua" w:cs="Book Antiqua"/>
          <w:color w:val="000000"/>
          <w:vertAlign w:val="superscript"/>
        </w:rPr>
        <w:t>[</w:t>
      </w:r>
      <w:r w:rsidR="004F1652" w:rsidRPr="00F40118">
        <w:rPr>
          <w:rStyle w:val="font16"/>
          <w:rFonts w:ascii="Book Antiqua" w:eastAsia="Book Antiqua" w:hAnsi="Book Antiqua" w:cs="Book Antiqua"/>
          <w:color w:val="000000"/>
          <w:vertAlign w:val="superscript"/>
        </w:rPr>
        <w:t>2</w:t>
      </w:r>
      <w:r w:rsidR="002C6ED9" w:rsidRPr="00F40118">
        <w:rPr>
          <w:rStyle w:val="font16"/>
          <w:rFonts w:ascii="Book Antiqua" w:eastAsia="Book Antiqua" w:hAnsi="Book Antiqua" w:cs="Book Antiqua"/>
          <w:color w:val="000000"/>
          <w:vertAlign w:val="superscript"/>
        </w:rPr>
        <w:t>0</w:t>
      </w:r>
      <w:r w:rsidRPr="00F40118">
        <w:rPr>
          <w:rStyle w:val="font16"/>
          <w:rFonts w:ascii="Book Antiqua" w:eastAsia="Book Antiqua" w:hAnsi="Book Antiqua" w:cs="Book Antiqua"/>
          <w:color w:val="000000"/>
          <w:vertAlign w:val="superscript"/>
        </w:rPr>
        <w:t>]</w:t>
      </w:r>
      <w:r w:rsidRPr="00F40118">
        <w:rPr>
          <w:rStyle w:val="font16"/>
          <w:rFonts w:ascii="Book Antiqua" w:eastAsia="Book Antiqua" w:hAnsi="Book Antiqua" w:cs="Book Antiqua"/>
          <w:color w:val="000000"/>
        </w:rPr>
        <w:t>. In turn, CIMT reduction plays an important role in CVD prevention. Notably, CIMT, exceeding the ULN for the corresponding sex and age, remained unchanged during the study, which can probably be explained by the short duration. The duration of cardiac studies, which showed a more pronounced decrease in CIMT, was 24 and 36 mo</w:t>
      </w:r>
      <w:r w:rsidRPr="00F40118">
        <w:rPr>
          <w:rStyle w:val="font16"/>
          <w:rFonts w:ascii="Book Antiqua" w:eastAsia="Book Antiqua" w:hAnsi="Book Antiqua" w:cs="Book Antiqua"/>
          <w:color w:val="000000"/>
          <w:vertAlign w:val="superscript"/>
        </w:rPr>
        <w:t>[</w:t>
      </w:r>
      <w:r w:rsidR="004F1652" w:rsidRPr="00F40118">
        <w:rPr>
          <w:rStyle w:val="font16"/>
          <w:rFonts w:ascii="Book Antiqua" w:eastAsia="Book Antiqua" w:hAnsi="Book Antiqua" w:cs="Book Antiqua"/>
          <w:color w:val="000000"/>
          <w:vertAlign w:val="superscript"/>
        </w:rPr>
        <w:t>59</w:t>
      </w:r>
      <w:r w:rsidRPr="00F40118">
        <w:rPr>
          <w:rStyle w:val="font16"/>
          <w:rFonts w:ascii="Book Antiqua" w:eastAsia="Book Antiqua" w:hAnsi="Book Antiqua" w:cs="Book Antiqua"/>
          <w:color w:val="000000"/>
          <w:vertAlign w:val="superscript"/>
        </w:rPr>
        <w:t>]</w:t>
      </w:r>
      <w:r w:rsidRPr="00F40118">
        <w:rPr>
          <w:rFonts w:ascii="Book Antiqua" w:eastAsia="Book Antiqua" w:hAnsi="Book Antiqua" w:cs="Book Antiqua"/>
          <w:color w:val="000000"/>
        </w:rPr>
        <w:t>.</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Style w:val="font16"/>
          <w:rFonts w:ascii="Book Antiqua" w:eastAsia="Book Antiqua" w:hAnsi="Book Antiqua" w:cs="Book Antiqua"/>
          <w:color w:val="000000"/>
        </w:rPr>
        <w:t>In our study, the impact of UDCA on CVD risk was assessed using the ASCVD risk calculator for the first time. We found a statistically significant decrease in the 10-year ASCVD risk only in women. Of all the parameters assessed in ASCVD, this one was due to a decrease in the TC level in both sexes and the HDL level only in women.</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Style w:val="font16"/>
          <w:rFonts w:ascii="Book Antiqua" w:eastAsia="Book Antiqua" w:hAnsi="Book Antiqua" w:cs="Book Antiqua"/>
          <w:color w:val="000000"/>
        </w:rPr>
        <w:t xml:space="preserve">At the same time, in the present study, the predicted 10-year risk of CVD at the end of 6 mo was 3 times higher than the same </w:t>
      </w:r>
      <w:r w:rsidRPr="00F40118">
        <w:rPr>
          <w:rFonts w:ascii="Book Antiqua" w:eastAsia="Book Antiqua" w:hAnsi="Book Antiqua" w:cs="Book Antiqua"/>
          <w:color w:val="000000"/>
          <w:shd w:val="clear" w:color="auto" w:fill="FFFFFF"/>
        </w:rPr>
        <w:t>patient's</w:t>
      </w:r>
      <w:r w:rsidRPr="00F40118">
        <w:rPr>
          <w:rFonts w:ascii="Book Antiqua" w:eastAsia="Book Antiqua" w:hAnsi="Book Antiqua" w:cs="Book Antiqua"/>
          <w:color w:val="000000"/>
          <w:shd w:val="clear" w:color="auto" w:fill="FAFAFA"/>
        </w:rPr>
        <w:t xml:space="preserve"> </w:t>
      </w:r>
      <w:r w:rsidRPr="00F40118">
        <w:rPr>
          <w:rFonts w:ascii="Book Antiqua" w:eastAsia="Book Antiqua" w:hAnsi="Book Antiqua" w:cs="Book Antiqua"/>
          <w:color w:val="000000"/>
        </w:rPr>
        <w:t>10-year risk with optimal risk factors</w:t>
      </w:r>
      <w:r w:rsidRPr="00F40118">
        <w:rPr>
          <w:rStyle w:val="font16"/>
          <w:rFonts w:ascii="Book Antiqua" w:eastAsia="Book Antiqua" w:hAnsi="Book Antiqua" w:cs="Book Antiqua"/>
          <w:color w:val="000000"/>
        </w:rPr>
        <w:t xml:space="preserve">. There was no reduction in the predicted lifetime CVD risk. Indeed, it was 10 times higher than the same </w:t>
      </w:r>
      <w:r w:rsidRPr="00F40118">
        <w:rPr>
          <w:rFonts w:ascii="Book Antiqua" w:eastAsia="Book Antiqua" w:hAnsi="Book Antiqua" w:cs="Book Antiqua"/>
          <w:color w:val="000000"/>
        </w:rPr>
        <w:t>individual's lifetime risk with optimal risk factors</w:t>
      </w:r>
      <w:r w:rsidRPr="00F40118">
        <w:rPr>
          <w:rStyle w:val="font16"/>
          <w:rFonts w:ascii="Book Antiqua" w:eastAsia="Book Antiqua" w:hAnsi="Book Antiqua" w:cs="Book Antiqua"/>
          <w:color w:val="000000"/>
        </w:rPr>
        <w:t>.</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Style w:val="font16"/>
          <w:rFonts w:ascii="Book Antiqua" w:eastAsia="Book Antiqua" w:hAnsi="Book Antiqua" w:cs="Book Antiqua"/>
          <w:color w:val="000000"/>
        </w:rPr>
        <w:t xml:space="preserve">Achieving more significant reductions in CIMT and ASCVD risk appears to take longer and requires control of other modifiable risk factors such as sedentary lifestyle, </w:t>
      </w:r>
      <w:r w:rsidRPr="00F40118">
        <w:rPr>
          <w:rFonts w:ascii="Book Antiqua" w:eastAsia="Book Antiqua" w:hAnsi="Book Antiqua" w:cs="Book Antiqua"/>
          <w:color w:val="000000"/>
        </w:rPr>
        <w:t>T2DM</w:t>
      </w:r>
      <w:r w:rsidRPr="00F40118">
        <w:rPr>
          <w:rStyle w:val="font16"/>
          <w:rFonts w:ascii="Book Antiqua" w:eastAsia="Book Antiqua" w:hAnsi="Book Antiqua" w:cs="Book Antiqua"/>
          <w:color w:val="000000"/>
        </w:rPr>
        <w:t xml:space="preserve">, AH, and smoking. Cardiological and endocrinological studies have shown that regular physical activity for 1 year or more, smoking cessation, blood pressure control, and glycemic control using new-generation hypoglycemic agents such as </w:t>
      </w:r>
      <w:r w:rsidRPr="00F40118">
        <w:rPr>
          <w:rFonts w:ascii="Book Antiqua" w:eastAsia="Book Antiqua" w:hAnsi="Book Antiqua" w:cs="Book Antiqua"/>
          <w:color w:val="000000"/>
          <w:shd w:val="clear" w:color="auto" w:fill="FFFFFF"/>
        </w:rPr>
        <w:t>sodium–glucose</w:t>
      </w:r>
      <w:r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shd w:val="clear" w:color="auto" w:fill="FFFFFF"/>
        </w:rPr>
        <w:t>cotransporter 2</w:t>
      </w:r>
      <w:r w:rsidRPr="00F40118">
        <w:rPr>
          <w:rStyle w:val="font16"/>
          <w:rFonts w:ascii="Book Antiqua" w:eastAsia="Book Antiqua" w:hAnsi="Book Antiqua" w:cs="Book Antiqua"/>
          <w:color w:val="000000"/>
        </w:rPr>
        <w:t xml:space="preserve"> inhibitor (dapagliflozin) or </w:t>
      </w:r>
      <w:r w:rsidRPr="00F40118">
        <w:rPr>
          <w:rFonts w:ascii="Book Antiqua" w:eastAsia="Book Antiqua" w:hAnsi="Book Antiqua" w:cs="Book Antiqua"/>
          <w:color w:val="000000"/>
          <w:shd w:val="clear" w:color="auto" w:fill="FFFFFF"/>
        </w:rPr>
        <w:t>inhibitor of dipeptidyl peptidase-4</w:t>
      </w:r>
      <w:r w:rsidRPr="00F40118">
        <w:rPr>
          <w:rStyle w:val="font16"/>
          <w:rFonts w:ascii="Book Antiqua" w:eastAsia="Book Antiqua" w:hAnsi="Book Antiqua" w:cs="Book Antiqua"/>
          <w:color w:val="000000"/>
        </w:rPr>
        <w:t xml:space="preserve"> (sitagliptin)</w:t>
      </w:r>
      <w:r w:rsidRPr="00F40118">
        <w:rPr>
          <w:rFonts w:ascii="Book Antiqua" w:eastAsia="Book Antiqua" w:hAnsi="Book Antiqua" w:cs="Book Antiqua"/>
          <w:color w:val="000000"/>
          <w:shd w:val="clear" w:color="auto" w:fill="FFFFFF"/>
        </w:rPr>
        <w:t xml:space="preserve"> </w:t>
      </w:r>
      <w:r w:rsidRPr="00F40118">
        <w:rPr>
          <w:rStyle w:val="font16"/>
          <w:rFonts w:ascii="Book Antiqua" w:eastAsia="Book Antiqua" w:hAnsi="Book Antiqua" w:cs="Book Antiqua"/>
          <w:color w:val="000000"/>
        </w:rPr>
        <w:t>contribute to CIMT and ASCVD risk decrease</w:t>
      </w:r>
      <w:r w:rsidRPr="00F40118">
        <w:rPr>
          <w:rStyle w:val="font16"/>
          <w:rFonts w:ascii="Book Antiqua" w:eastAsia="Book Antiqua" w:hAnsi="Book Antiqua" w:cs="Book Antiqua"/>
          <w:color w:val="000000"/>
          <w:vertAlign w:val="superscript"/>
        </w:rPr>
        <w:t>[</w:t>
      </w:r>
      <w:r w:rsidR="004F1652" w:rsidRPr="00F40118">
        <w:rPr>
          <w:rStyle w:val="font16"/>
          <w:rFonts w:ascii="Book Antiqua" w:eastAsia="Book Antiqua" w:hAnsi="Book Antiqua" w:cs="Book Antiqua"/>
          <w:color w:val="000000"/>
          <w:vertAlign w:val="superscript"/>
        </w:rPr>
        <w:t>60-65</w:t>
      </w:r>
      <w:r w:rsidRPr="00F40118">
        <w:rPr>
          <w:rStyle w:val="font16"/>
          <w:rFonts w:ascii="Book Antiqua" w:eastAsia="Book Antiqua" w:hAnsi="Book Antiqua" w:cs="Book Antiqua"/>
          <w:color w:val="000000"/>
          <w:vertAlign w:val="superscript"/>
        </w:rPr>
        <w:t>]</w:t>
      </w:r>
      <w:r w:rsidRPr="00F40118">
        <w:rPr>
          <w:rFonts w:ascii="Book Antiqua" w:eastAsia="Book Antiqua" w:hAnsi="Book Antiqua" w:cs="Book Antiqua"/>
          <w:color w:val="000000"/>
          <w:shd w:val="clear" w:color="auto" w:fill="FFFFFF"/>
        </w:rPr>
        <w:t>.</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Fonts w:ascii="Book Antiqua" w:eastAsia="Book Antiqua" w:hAnsi="Book Antiqua" w:cs="Book Antiqua"/>
          <w:color w:val="000000"/>
        </w:rPr>
        <w:t xml:space="preserve">Weight loss is believed to be a key factor in successful NAFLD treatment and in reducing the risk of CVD. A recent meta-analysis has shown </w:t>
      </w:r>
      <w:r w:rsidRPr="00F40118">
        <w:rPr>
          <w:rStyle w:val="font16"/>
          <w:rFonts w:ascii="Book Antiqua" w:eastAsia="Book Antiqua" w:hAnsi="Book Antiqua" w:cs="Book Antiqua"/>
          <w:color w:val="000000"/>
        </w:rPr>
        <w:t>clinical and laboratory improvements in NAFLD patients with 5</w:t>
      </w:r>
      <w:r w:rsidR="0056151A" w:rsidRPr="00F40118">
        <w:rPr>
          <w:rStyle w:val="font16"/>
          <w:rFonts w:ascii="Book Antiqua" w:eastAsia="Book Antiqua" w:hAnsi="Book Antiqua" w:cs="Book Antiqua"/>
          <w:color w:val="000000"/>
        </w:rPr>
        <w:t>%</w:t>
      </w:r>
      <w:r w:rsidRPr="00F40118">
        <w:rPr>
          <w:rStyle w:val="font16"/>
          <w:rFonts w:ascii="Book Antiqua" w:eastAsia="Book Antiqua" w:hAnsi="Book Antiqua" w:cs="Book Antiqua"/>
          <w:color w:val="000000"/>
        </w:rPr>
        <w:t>-10% weight loss</w:t>
      </w:r>
      <w:r w:rsidRPr="00F40118">
        <w:rPr>
          <w:rStyle w:val="font16"/>
          <w:rFonts w:ascii="Book Antiqua" w:eastAsia="Book Antiqua" w:hAnsi="Book Antiqua" w:cs="Book Antiqua"/>
          <w:color w:val="000000"/>
          <w:vertAlign w:val="superscript"/>
        </w:rPr>
        <w:t>[</w:t>
      </w:r>
      <w:r w:rsidR="004F1652" w:rsidRPr="00F40118">
        <w:rPr>
          <w:rStyle w:val="font16"/>
          <w:rFonts w:ascii="Book Antiqua" w:eastAsia="Book Antiqua" w:hAnsi="Book Antiqua" w:cs="Book Antiqua"/>
          <w:color w:val="000000"/>
          <w:vertAlign w:val="superscript"/>
        </w:rPr>
        <w:t>66</w:t>
      </w:r>
      <w:r w:rsidRPr="00F40118">
        <w:rPr>
          <w:rStyle w:val="font16"/>
          <w:rFonts w:ascii="Book Antiqua" w:eastAsia="Book Antiqua" w:hAnsi="Book Antiqua" w:cs="Book Antiqua"/>
          <w:color w:val="000000"/>
          <w:vertAlign w:val="superscript"/>
        </w:rPr>
        <w:t>]</w:t>
      </w:r>
      <w:r w:rsidRPr="00F40118">
        <w:rPr>
          <w:rStyle w:val="font16"/>
          <w:rFonts w:ascii="Book Antiqua" w:eastAsia="Book Antiqua" w:hAnsi="Book Antiqua" w:cs="Book Antiqua"/>
          <w:color w:val="000000"/>
        </w:rPr>
        <w:t>. To assess the effect of weight loss on the studied efficacy parameters in our patients, we divided them into two subgroups: weight loss of more than 5% and weight loss of 5% or less. The cutoff point of 5% was chosen due to the short 6-mo</w:t>
      </w:r>
      <w:r w:rsidR="00F63C19" w:rsidRPr="00F40118">
        <w:rPr>
          <w:rStyle w:val="font16"/>
          <w:rFonts w:ascii="Book Antiqua" w:eastAsia="Book Antiqua" w:hAnsi="Book Antiqua" w:cs="Book Antiqua"/>
          <w:color w:val="000000"/>
        </w:rPr>
        <w:t xml:space="preserve"> </w:t>
      </w:r>
      <w:r w:rsidRPr="00F40118">
        <w:rPr>
          <w:rStyle w:val="font16"/>
          <w:rFonts w:ascii="Book Antiqua" w:eastAsia="Book Antiqua" w:hAnsi="Book Antiqua" w:cs="Book Antiqua"/>
          <w:color w:val="000000"/>
        </w:rPr>
        <w:t>study period.</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Style w:val="font16"/>
          <w:rFonts w:ascii="Book Antiqua" w:eastAsia="Book Antiqua" w:hAnsi="Book Antiqua" w:cs="Book Antiqua"/>
          <w:color w:val="000000"/>
        </w:rPr>
        <w:t>When comparing groups, there was no statistically significant difference in absolute and relative reductions in ALT, AST, GGT, TC, and LDL levels. At the same time, in the group with a weight loss of more than 5%, we observed a close to significant decrease in TG level and a significant decrease in FLI steatosis. Since the FLI formula includes the GGT, TG, BMI and WC values, it is likely that the steatosis improvement in the group of patients with a decrease in body weight of more than 5% is associated with a greater change in the values of the last three parameters. However, even in patients who did not achieve more than 5% weight loss, a statistically significant decrease in the FLI index was observed.</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Fonts w:ascii="Book Antiqua" w:eastAsia="Book Antiqua" w:hAnsi="Book Antiqua" w:cs="Book Antiqua"/>
          <w:color w:val="000000"/>
          <w:shd w:val="clear" w:color="auto" w:fill="FFFFFF"/>
        </w:rPr>
        <w:t>A recent meta-analysis</w:t>
      </w:r>
      <w:r w:rsidRPr="00F40118">
        <w:rPr>
          <w:rStyle w:val="font16"/>
          <w:rFonts w:ascii="Book Antiqua" w:eastAsia="Book Antiqua" w:hAnsi="Book Antiqua" w:cs="Book Antiqua"/>
          <w:color w:val="000000"/>
          <w:vertAlign w:val="superscript"/>
        </w:rPr>
        <w:t>[</w:t>
      </w:r>
      <w:r w:rsidR="004F1652" w:rsidRPr="00F40118">
        <w:rPr>
          <w:rStyle w:val="font16"/>
          <w:rFonts w:ascii="Book Antiqua" w:eastAsia="Book Antiqua" w:hAnsi="Book Antiqua" w:cs="Book Antiqua"/>
          <w:color w:val="000000"/>
          <w:vertAlign w:val="superscript"/>
        </w:rPr>
        <w:t>66</w:t>
      </w:r>
      <w:r w:rsidRPr="00F40118">
        <w:rPr>
          <w:rStyle w:val="font16"/>
          <w:rFonts w:ascii="Book Antiqua" w:eastAsia="Book Antiqua" w:hAnsi="Book Antiqua" w:cs="Book Antiqua"/>
          <w:color w:val="000000"/>
          <w:vertAlign w:val="superscript"/>
        </w:rPr>
        <w:t>]</w:t>
      </w:r>
      <w:r w:rsidRPr="00F40118">
        <w:rPr>
          <w:rFonts w:ascii="Book Antiqua" w:eastAsia="Book Antiqua" w:hAnsi="Book Antiqua" w:cs="Book Antiqua"/>
          <w:color w:val="000000"/>
          <w:shd w:val="clear" w:color="auto" w:fill="FFFFFF"/>
        </w:rPr>
        <w:t>, which assessed the relationship between weight loss and LFT,</w:t>
      </w:r>
      <w:r w:rsidRPr="00F40118">
        <w:rPr>
          <w:rStyle w:val="font16"/>
          <w:rFonts w:ascii="Book Antiqua" w:eastAsia="Book Antiqua" w:hAnsi="Book Antiqua" w:cs="Book Antiqua"/>
          <w:color w:val="000000"/>
        </w:rPr>
        <w:t xml:space="preserve"> </w:t>
      </w:r>
      <w:r w:rsidRPr="00F40118">
        <w:rPr>
          <w:rFonts w:ascii="Book Antiqua" w:eastAsia="Book Antiqua" w:hAnsi="Book Antiqua" w:cs="Book Antiqua"/>
          <w:color w:val="000000"/>
          <w:shd w:val="clear" w:color="auto" w:fill="FFFFFF"/>
        </w:rPr>
        <w:t>found that weight reduction resulted in a decrease in ALT by</w:t>
      </w:r>
      <w:r w:rsidR="00D72692" w:rsidRPr="00F40118">
        <w:rPr>
          <w:rFonts w:ascii="Book Antiqua" w:eastAsia="Book Antiqua" w:hAnsi="Book Antiqua" w:cs="Book Antiqua"/>
          <w:color w:val="000000"/>
          <w:shd w:val="clear" w:color="auto" w:fill="FFFFFF"/>
        </w:rPr>
        <w:t xml:space="preserve"> </w:t>
      </w:r>
      <w:r w:rsidRPr="00F40118">
        <w:rPr>
          <w:rFonts w:ascii="Book Antiqua" w:eastAsia="Book Antiqua" w:hAnsi="Book Antiqua" w:cs="Book Antiqua"/>
          <w:color w:val="000000"/>
        </w:rPr>
        <w:t>–9.81 U/L; 95%CI</w:t>
      </w:r>
      <w:r w:rsidR="00D72692" w:rsidRPr="00F40118">
        <w:rPr>
          <w:rFonts w:ascii="Book Antiqua" w:eastAsia="Book Antiqua" w:hAnsi="Book Antiqua" w:cs="Book Antiqua"/>
          <w:color w:val="000000"/>
        </w:rPr>
        <w:t xml:space="preserve">: </w:t>
      </w:r>
      <w:r w:rsidR="0056151A" w:rsidRPr="00F40118">
        <w:rPr>
          <w:rFonts w:ascii="Book Antiqua" w:eastAsia="Book Antiqua" w:hAnsi="Book Antiqua" w:cs="Book Antiqua"/>
          <w:color w:val="000000"/>
        </w:rPr>
        <w:t>-</w:t>
      </w:r>
      <w:r w:rsidRPr="00F40118">
        <w:rPr>
          <w:rFonts w:ascii="Book Antiqua" w:eastAsia="Book Antiqua" w:hAnsi="Book Antiqua" w:cs="Book Antiqua"/>
          <w:color w:val="000000"/>
        </w:rPr>
        <w:t xml:space="preserve">13.12; -6.50. </w:t>
      </w:r>
      <w:r w:rsidRPr="00F40118">
        <w:rPr>
          <w:rFonts w:ascii="Book Antiqua" w:eastAsia="Book Antiqua" w:hAnsi="Book Antiqua" w:cs="Book Antiqua"/>
          <w:color w:val="000000"/>
          <w:shd w:val="clear" w:color="auto" w:fill="FFFFFF"/>
        </w:rPr>
        <w:t>In our study, patients with a weight loss of more than 5% had a decrease in ALT levels by an average of 21.1 U/L; this reduction is greater than that in the meta-analysis, demonstrating</w:t>
      </w:r>
      <w:r w:rsidRPr="00F40118">
        <w:rPr>
          <w:rFonts w:ascii="Book Antiqua" w:eastAsia="Book Antiqua" w:hAnsi="Book Antiqua" w:cs="Book Antiqua"/>
          <w:color w:val="000000"/>
        </w:rPr>
        <w:t xml:space="preserve"> the</w:t>
      </w:r>
      <w:r w:rsidRPr="00F40118">
        <w:rPr>
          <w:rFonts w:ascii="Book Antiqua" w:eastAsia="Book Antiqua" w:hAnsi="Book Antiqua" w:cs="Book Antiqua"/>
          <w:color w:val="000000"/>
          <w:shd w:val="clear" w:color="auto" w:fill="FFFFFF"/>
        </w:rPr>
        <w:t xml:space="preserve"> UDCA effect (effectiveness). Moreover, in </w:t>
      </w:r>
      <w:r w:rsidRPr="00F40118">
        <w:rPr>
          <w:rFonts w:ascii="Book Antiqua" w:eastAsia="Book Antiqua" w:hAnsi="Book Antiqua" w:cs="Book Antiqua"/>
          <w:color w:val="000000"/>
        </w:rPr>
        <w:t xml:space="preserve">the </w:t>
      </w:r>
      <w:r w:rsidRPr="00F40118">
        <w:rPr>
          <w:rFonts w:ascii="Book Antiqua" w:eastAsia="Book Antiqua" w:hAnsi="Book Antiqua" w:cs="Book Antiqua"/>
          <w:color w:val="000000"/>
          <w:shd w:val="clear" w:color="auto" w:fill="FFFFFF"/>
        </w:rPr>
        <w:t xml:space="preserve">current study, both the subgroups with and without </w:t>
      </w:r>
      <w:r w:rsidRPr="00F40118">
        <w:rPr>
          <w:rFonts w:ascii="Book Antiqua" w:eastAsia="Book Antiqua" w:hAnsi="Book Antiqua" w:cs="Book Antiqua"/>
          <w:color w:val="000000"/>
        </w:rPr>
        <w:t>a loss of &gt;</w:t>
      </w:r>
      <w:r w:rsidR="0056151A"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5% body weight</w:t>
      </w:r>
      <w:r w:rsidRPr="00F40118">
        <w:rPr>
          <w:rFonts w:ascii="Book Antiqua" w:eastAsia="Book Antiqua" w:hAnsi="Book Antiqua" w:cs="Book Antiqua"/>
          <w:color w:val="000000"/>
          <w:shd w:val="clear" w:color="auto" w:fill="FFFFFF"/>
        </w:rPr>
        <w:t xml:space="preserve"> achieved significant improvement in FLI</w:t>
      </w:r>
      <w:r w:rsidRPr="00F40118">
        <w:rPr>
          <w:rFonts w:ascii="Book Antiqua" w:eastAsia="Book Antiqua" w:hAnsi="Book Antiqua" w:cs="Book Antiqua"/>
          <w:color w:val="000000"/>
        </w:rPr>
        <w:t>,</w:t>
      </w:r>
      <w:r w:rsidRPr="00F40118">
        <w:rPr>
          <w:rFonts w:ascii="Book Antiqua" w:eastAsia="Book Antiqua" w:hAnsi="Book Antiqua" w:cs="Book Antiqua"/>
          <w:color w:val="000000"/>
          <w:shd w:val="clear" w:color="auto" w:fill="FFFFFF"/>
        </w:rPr>
        <w:t xml:space="preserve"> while</w:t>
      </w:r>
      <w:r w:rsidRPr="00F40118">
        <w:rPr>
          <w:rFonts w:ascii="Book Antiqua" w:eastAsia="Book Antiqua" w:hAnsi="Book Antiqua" w:cs="Book Antiqua"/>
          <w:color w:val="000000"/>
        </w:rPr>
        <w:t xml:space="preserve"> the above mentioned</w:t>
      </w:r>
      <w:r w:rsidRPr="00F40118">
        <w:rPr>
          <w:rFonts w:ascii="Book Antiqua" w:eastAsia="Book Antiqua" w:hAnsi="Book Antiqua" w:cs="Book Antiqua"/>
          <w:color w:val="000000"/>
          <w:shd w:val="clear" w:color="auto" w:fill="FFFFFF"/>
        </w:rPr>
        <w:t xml:space="preserve"> meta-analysis did not show any differences in FLI under UDCA therapy.</w:t>
      </w:r>
    </w:p>
    <w:p w:rsidR="00A77B3E" w:rsidRPr="00F40118" w:rsidRDefault="00FF7A14" w:rsidP="00EF6CF8">
      <w:pPr>
        <w:adjustRightInd w:val="0"/>
        <w:snapToGrid w:val="0"/>
        <w:spacing w:line="360" w:lineRule="auto"/>
        <w:ind w:firstLineChars="100" w:firstLine="240"/>
        <w:jc w:val="both"/>
        <w:rPr>
          <w:rFonts w:ascii="Book Antiqua" w:hAnsi="Book Antiqua"/>
        </w:rPr>
      </w:pPr>
      <w:r w:rsidRPr="00F40118">
        <w:rPr>
          <w:rFonts w:ascii="Book Antiqua" w:eastAsia="Book Antiqua" w:hAnsi="Book Antiqua" w:cs="Book Antiqua"/>
          <w:color w:val="000000"/>
          <w:shd w:val="clear" w:color="auto" w:fill="FFFFFF"/>
        </w:rPr>
        <w:t xml:space="preserve">In addition, in contrast to the meta-analysis data, our study achieved a statistically significant decrease in FLI both in the subgroup with a weight loss of more than 5% and in the subgroup without weight loss; in the meta-analysis, the weight loss effect on FLI </w:t>
      </w:r>
      <w:r w:rsidRPr="00F40118">
        <w:rPr>
          <w:rFonts w:ascii="Book Antiqua" w:eastAsia="Book Antiqua" w:hAnsi="Book Antiqua" w:cs="Book Antiqua"/>
          <w:color w:val="000000"/>
        </w:rPr>
        <w:t>was</w:t>
      </w:r>
      <w:r w:rsidRPr="00F40118">
        <w:rPr>
          <w:rFonts w:ascii="Book Antiqua" w:eastAsia="Book Antiqua" w:hAnsi="Book Antiqua" w:cs="Book Antiqua"/>
          <w:color w:val="000000"/>
          <w:shd w:val="clear" w:color="auto" w:fill="FFFFFF"/>
        </w:rPr>
        <w:t xml:space="preserve"> not established. </w:t>
      </w:r>
      <w:r w:rsidRPr="00F40118">
        <w:rPr>
          <w:rStyle w:val="font16"/>
          <w:rFonts w:ascii="Book Antiqua" w:eastAsia="Book Antiqua" w:hAnsi="Book Antiqua" w:cs="Book Antiqua"/>
          <w:color w:val="000000"/>
        </w:rPr>
        <w:t>The study was conducted in a primary health care setting, which expands the possibilities of its transfer to regular practice. Some limitations of our study should also be noted, namely, the open design, the absence of a control group, and the relatively short follow-up period.</w:t>
      </w:r>
    </w:p>
    <w:bookmarkEnd w:id="38"/>
    <w:bookmarkEnd w:id="39"/>
    <w:p w:rsidR="00A77B3E" w:rsidRPr="00F40118" w:rsidRDefault="00A77B3E"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caps/>
          <w:color w:val="000000"/>
          <w:u w:val="single"/>
        </w:rPr>
        <w:t>CONCLUSION</w:t>
      </w:r>
    </w:p>
    <w:p w:rsidR="00A77B3E" w:rsidRPr="00F40118" w:rsidRDefault="00FF7A14" w:rsidP="00EF6CF8">
      <w:pPr>
        <w:adjustRightInd w:val="0"/>
        <w:snapToGrid w:val="0"/>
        <w:spacing w:line="360" w:lineRule="auto"/>
        <w:jc w:val="both"/>
        <w:rPr>
          <w:rFonts w:ascii="Book Antiqua" w:hAnsi="Book Antiqua"/>
        </w:rPr>
      </w:pPr>
      <w:bookmarkStart w:id="40" w:name="OLE_LINK53"/>
      <w:bookmarkStart w:id="41" w:name="OLE_LINK54"/>
      <w:r w:rsidRPr="00F40118">
        <w:rPr>
          <w:rFonts w:ascii="Book Antiqua" w:eastAsia="Book Antiqua" w:hAnsi="Book Antiqua" w:cs="Book Antiqua"/>
          <w:color w:val="000000"/>
        </w:rPr>
        <w:t xml:space="preserve">The study suggests that 6-mo UDCA therapy at </w:t>
      </w:r>
      <w:r w:rsidRPr="00F40118">
        <w:rPr>
          <w:rStyle w:val="font16"/>
          <w:rFonts w:ascii="Book Antiqua" w:eastAsia="Book Antiqua" w:hAnsi="Book Antiqua" w:cs="Book Antiqua"/>
          <w:color w:val="000000"/>
        </w:rPr>
        <w:t xml:space="preserve">a dose of 15 </w:t>
      </w:r>
      <w:r w:rsidRPr="00F40118">
        <w:rPr>
          <w:rFonts w:ascii="Book Antiqua" w:eastAsia="Book Antiqua" w:hAnsi="Book Antiqua" w:cs="Book Antiqua"/>
          <w:color w:val="000000"/>
        </w:rPr>
        <w:t xml:space="preserve">mg/kg/d may improve </w:t>
      </w:r>
      <w:r w:rsidRPr="00F40118">
        <w:rPr>
          <w:rStyle w:val="font16"/>
          <w:rFonts w:ascii="Book Antiqua" w:eastAsia="Book Antiqua" w:hAnsi="Book Antiqua" w:cs="Book Antiqua"/>
          <w:color w:val="000000"/>
        </w:rPr>
        <w:t>ALT, AST, GGT, TC, and TG levels and FLI in the primary care</w:t>
      </w:r>
      <w:r w:rsidRPr="00F40118">
        <w:rPr>
          <w:rFonts w:ascii="Book Antiqua" w:eastAsia="Book Antiqua" w:hAnsi="Book Antiqua" w:cs="Book Antiqua"/>
          <w:color w:val="000000"/>
        </w:rPr>
        <w:t xml:space="preserve"> setting independent of weight loss.</w:t>
      </w:r>
      <w:r w:rsidRPr="00F40118">
        <w:rPr>
          <w:rFonts w:ascii="Book Antiqua" w:eastAsia="Book Antiqua" w:hAnsi="Book Antiqua" w:cs="Book Antiqua"/>
          <w:color w:val="000000"/>
          <w:shd w:val="clear" w:color="auto" w:fill="FFFFFF"/>
        </w:rPr>
        <w:t xml:space="preserve"> </w:t>
      </w:r>
      <w:r w:rsidRPr="00F40118">
        <w:rPr>
          <w:rStyle w:val="font16"/>
          <w:rFonts w:ascii="Book Antiqua" w:eastAsia="Book Antiqua" w:hAnsi="Book Antiqua" w:cs="Book Antiqua"/>
          <w:color w:val="000000"/>
        </w:rPr>
        <w:t xml:space="preserve">A positive effect of UDCA on ALT, AST, and GGT levels is greater during the first 3 mo of treatment. </w:t>
      </w:r>
      <w:r w:rsidRPr="00F40118">
        <w:rPr>
          <w:rFonts w:ascii="Book Antiqua" w:eastAsia="Book Antiqua" w:hAnsi="Book Antiqua" w:cs="Book Antiqua"/>
          <w:color w:val="000000"/>
        </w:rPr>
        <w:t xml:space="preserve">Our study also demonstrates a beneficial effect of UDCA on the progression of CIMT in both sexes and reduction in </w:t>
      </w:r>
      <w:r w:rsidRPr="00F40118">
        <w:rPr>
          <w:rStyle w:val="font16"/>
          <w:rFonts w:ascii="Book Antiqua" w:eastAsia="Book Antiqua" w:hAnsi="Book Antiqua" w:cs="Book Antiqua"/>
          <w:color w:val="000000"/>
        </w:rPr>
        <w:t>10-year CVD risk in women</w:t>
      </w:r>
      <w:r w:rsidRPr="00F40118">
        <w:rPr>
          <w:rFonts w:ascii="Book Antiqua" w:eastAsia="Book Antiqua" w:hAnsi="Book Antiqua" w:cs="Book Antiqua"/>
          <w:color w:val="000000"/>
        </w:rPr>
        <w:t>. Further long-term studies with control groups are needed to confirm these findings.</w:t>
      </w:r>
    </w:p>
    <w:bookmarkEnd w:id="40"/>
    <w:bookmarkEnd w:id="41"/>
    <w:p w:rsidR="00A77B3E" w:rsidRPr="00F40118" w:rsidRDefault="00A77B3E" w:rsidP="00EF6CF8">
      <w:pPr>
        <w:adjustRightInd w:val="0"/>
        <w:snapToGrid w:val="0"/>
        <w:spacing w:line="360" w:lineRule="auto"/>
        <w:ind w:firstLine="426"/>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caps/>
          <w:color w:val="000000"/>
          <w:u w:val="single"/>
        </w:rPr>
        <w:t>ARTICLE HIGHLIGHTS</w:t>
      </w: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i/>
          <w:color w:val="000000"/>
        </w:rPr>
        <w:t>Research background</w:t>
      </w: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color w:val="000000"/>
        </w:rPr>
        <w:t xml:space="preserve">Nonalcoholic fatty liver disease (NAFLD) is currently the leading cause of liver disease and liver transplantation in developed countries. </w:t>
      </w:r>
      <w:r w:rsidRPr="00F40118">
        <w:rPr>
          <w:rFonts w:ascii="Book Antiqua" w:eastAsia="Book Antiqua" w:hAnsi="Book Antiqua" w:cs="Book Antiqua"/>
          <w:color w:val="000000"/>
          <w:shd w:val="clear" w:color="auto" w:fill="FFFFFF"/>
        </w:rPr>
        <w:t xml:space="preserve">Atherosclerotic cardiovascular disease (ASCVD) is the leading cause of mortality in patients with NAFLD. Weight loss is a key factor for successful NAFLD and cardiovascular disease therapy. </w:t>
      </w:r>
      <w:r w:rsidRPr="00F40118">
        <w:rPr>
          <w:rFonts w:ascii="Book Antiqua" w:eastAsia="Book Antiqua" w:hAnsi="Book Antiqua" w:cs="Book Antiqua"/>
          <w:color w:val="000000"/>
        </w:rPr>
        <w:t xml:space="preserve">Ursodeoxycholic acid (UDCA), </w:t>
      </w:r>
      <w:r w:rsidRPr="00F40118">
        <w:rPr>
          <w:rFonts w:ascii="Book Antiqua" w:eastAsia="Book Antiqua" w:hAnsi="Book Antiqua" w:cs="Book Antiqua"/>
          <w:color w:val="000000"/>
          <w:shd w:val="clear" w:color="auto" w:fill="FFFFFF"/>
        </w:rPr>
        <w:t>which is one of the first-line therapeutic agents for treatment of NAFLD, is reported to have a beneficial effect on dyslipidemia and ASCVD risk because of antioxidant properties.</w:t>
      </w:r>
    </w:p>
    <w:p w:rsidR="00A77B3E" w:rsidRPr="00F40118" w:rsidRDefault="00A77B3E"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i/>
          <w:color w:val="000000"/>
        </w:rPr>
        <w:t>Research motivation</w:t>
      </w: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color w:val="000000"/>
          <w:shd w:val="clear" w:color="auto" w:fill="FFFFFF"/>
        </w:rPr>
        <w:t>The main motivation was our wish to improve the treatment outcomes of patients with NAFLD. Each author of our international study had a personal positive experience of treating NAFLD with UDCA. We sincerely wanted to combine our efforts to gain a new knowledge.</w:t>
      </w:r>
    </w:p>
    <w:p w:rsidR="00A77B3E" w:rsidRPr="00F40118" w:rsidRDefault="00A77B3E"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i/>
          <w:color w:val="000000"/>
        </w:rPr>
        <w:t>Research objectives</w:t>
      </w: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color w:val="000000"/>
        </w:rPr>
        <w:t xml:space="preserve">To evaluate the effects of 6-mo administration of UDCA on liver function tests (LFT), lipid profile, hepatic steatosis and fibrosis, carotid intima-media thickness (CIMT), and </w:t>
      </w:r>
      <w:r w:rsidRPr="00F40118">
        <w:rPr>
          <w:rFonts w:ascii="Book Antiqua" w:eastAsia="Book Antiqua" w:hAnsi="Book Antiqua" w:cs="Book Antiqua"/>
          <w:color w:val="000000"/>
          <w:shd w:val="clear" w:color="auto" w:fill="FFFFFF"/>
        </w:rPr>
        <w:t>ASCVD</w:t>
      </w:r>
      <w:r w:rsidRPr="00F40118">
        <w:rPr>
          <w:rFonts w:ascii="Book Antiqua" w:eastAsia="Book Antiqua" w:hAnsi="Book Antiqua" w:cs="Book Antiqua"/>
          <w:color w:val="000000"/>
        </w:rPr>
        <w:t xml:space="preserve"> risk in total sample with NAFLD, separately in men and women, in patients with and without &gt;</w:t>
      </w:r>
      <w:r w:rsidR="00DC07DC"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5% weight loss.</w:t>
      </w:r>
    </w:p>
    <w:p w:rsidR="00A77B3E" w:rsidRPr="00F40118" w:rsidRDefault="00A77B3E"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i/>
          <w:color w:val="000000"/>
        </w:rPr>
        <w:t>Research methods</w:t>
      </w: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color w:val="000000"/>
        </w:rPr>
        <w:t xml:space="preserve">An open international noncomparative study was carried out at primary health care settings. The study was completed by 174 patients who were included in the final analysis and received UDCA (Ursosan®) therapy at a dose of 15 mg/kg body weight daily for 6 mo. In addition, total sample was given recommendations to modify lifestyle behaviors and diet. The body mass index, waist circumference, and LFT were compared between baseline and 3 mo as well as between 3 and 6 mo of the treatment. The lipid profile, fatty liver index (FLI), </w:t>
      </w:r>
      <w:r w:rsidRPr="00F40118">
        <w:rPr>
          <w:rFonts w:ascii="Book Antiqua" w:eastAsia="Book Antiqua" w:hAnsi="Book Antiqua" w:cs="Book Antiqua"/>
          <w:color w:val="000000"/>
          <w:shd w:val="clear" w:color="auto" w:fill="FFFFFF"/>
        </w:rPr>
        <w:t xml:space="preserve">nonalcoholic fatty liver disease fibrosis score, liver </w:t>
      </w:r>
      <w:r w:rsidRPr="00F40118">
        <w:rPr>
          <w:rFonts w:ascii="Book Antiqua" w:eastAsia="Book Antiqua" w:hAnsi="Book Antiqua" w:cs="Book Antiqua"/>
          <w:color w:val="000000"/>
        </w:rPr>
        <w:t>fibrosis index, 10-year and lifetime ASCVD risk, and CIMT were compared between baseline and the end of the follow-up.</w:t>
      </w:r>
    </w:p>
    <w:p w:rsidR="00A77B3E" w:rsidRPr="00F40118" w:rsidRDefault="00A77B3E"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i/>
          <w:color w:val="000000"/>
        </w:rPr>
        <w:t>Research results</w:t>
      </w:r>
    </w:p>
    <w:p w:rsidR="00A77B3E" w:rsidRPr="00F40118" w:rsidRDefault="00FF7A14" w:rsidP="00EF6CF8">
      <w:pPr>
        <w:adjustRightInd w:val="0"/>
        <w:snapToGrid w:val="0"/>
        <w:spacing w:line="360" w:lineRule="auto"/>
        <w:jc w:val="both"/>
        <w:rPr>
          <w:rFonts w:ascii="Book Antiqua" w:hAnsi="Book Antiqua"/>
        </w:rPr>
      </w:pPr>
      <w:r w:rsidRPr="00F40118">
        <w:rPr>
          <w:rStyle w:val="font16"/>
          <w:rFonts w:ascii="Book Antiqua" w:eastAsia="Book Antiqua" w:hAnsi="Book Antiqua" w:cs="Book Antiqua"/>
          <w:color w:val="000000"/>
        </w:rPr>
        <w:t xml:space="preserve">The magnitude of LFT decrease was greater during the first 3 mo of treatment compared to the subsequent 3 mo. </w:t>
      </w:r>
      <w:r w:rsidRPr="00F40118">
        <w:rPr>
          <w:rFonts w:ascii="Book Antiqua" w:eastAsia="Book Antiqua" w:hAnsi="Book Antiqua" w:cs="Book Antiqua"/>
          <w:color w:val="000000"/>
        </w:rPr>
        <w:t xml:space="preserve">At 6 mo, in the total sample, we observed a </w:t>
      </w:r>
      <w:r w:rsidRPr="00F40118">
        <w:rPr>
          <w:rFonts w:ascii="Book Antiqua" w:eastAsia="Book Antiqua" w:hAnsi="Book Antiqua" w:cs="Book Antiqua"/>
          <w:color w:val="000000"/>
          <w:shd w:val="clear" w:color="auto" w:fill="FFFFFF"/>
        </w:rPr>
        <w:t>statistically</w:t>
      </w:r>
      <w:r w:rsidRPr="00F40118">
        <w:rPr>
          <w:rFonts w:ascii="Book Antiqua" w:eastAsia="Book Antiqua" w:hAnsi="Book Antiqua" w:cs="Book Antiqua"/>
          <w:color w:val="000000"/>
        </w:rPr>
        <w:t xml:space="preserve"> significant decrease in body mass index, waist circumference, and levels of FLI (</w:t>
      </w:r>
      <w:r w:rsidRPr="00F40118">
        <w:rPr>
          <w:rFonts w:ascii="Book Antiqua" w:eastAsia="Book Antiqua" w:hAnsi="Book Antiqua" w:cs="Book Antiqua"/>
          <w:i/>
          <w:iCs/>
          <w:color w:val="000000"/>
        </w:rPr>
        <w:t xml:space="preserve">P </w:t>
      </w:r>
      <w:r w:rsidRPr="00F40118">
        <w:rPr>
          <w:rFonts w:ascii="Book Antiqua" w:eastAsia="Book Antiqua" w:hAnsi="Book Antiqua" w:cs="Book Antiqua"/>
          <w:color w:val="000000"/>
        </w:rPr>
        <w:t>&lt; 0.001), total cholesterol (TC) (</w:t>
      </w:r>
      <w:r w:rsidRPr="00F40118">
        <w:rPr>
          <w:rFonts w:ascii="Book Antiqua" w:eastAsia="Book Antiqua" w:hAnsi="Book Antiqua" w:cs="Book Antiqua"/>
          <w:i/>
          <w:iCs/>
          <w:color w:val="000000"/>
        </w:rPr>
        <w:t xml:space="preserve">Р </w:t>
      </w:r>
      <w:r w:rsidRPr="00F40118">
        <w:rPr>
          <w:rFonts w:ascii="Book Antiqua" w:eastAsia="Book Antiqua" w:hAnsi="Book Antiqua" w:cs="Book Antiqua"/>
          <w:color w:val="000000"/>
        </w:rPr>
        <w:t>&lt; 0.001), low-density lipoprotein (LDL) (</w:t>
      </w:r>
      <w:r w:rsidRPr="00F40118">
        <w:rPr>
          <w:rFonts w:ascii="Book Antiqua" w:eastAsia="Book Antiqua" w:hAnsi="Book Antiqua" w:cs="Book Antiqua"/>
          <w:i/>
          <w:iCs/>
          <w:color w:val="000000"/>
        </w:rPr>
        <w:t xml:space="preserve">Р </w:t>
      </w:r>
      <w:r w:rsidRPr="00F40118">
        <w:rPr>
          <w:rFonts w:ascii="Book Antiqua" w:eastAsia="Book Antiqua" w:hAnsi="Book Antiqua" w:cs="Book Antiqua"/>
          <w:color w:val="000000"/>
        </w:rPr>
        <w:t>&lt; 0.001), triglyceride (TG) (</w:t>
      </w:r>
      <w:r w:rsidRPr="00F40118">
        <w:rPr>
          <w:rFonts w:ascii="Book Antiqua" w:eastAsia="Book Antiqua" w:hAnsi="Book Antiqua" w:cs="Book Antiqua"/>
          <w:i/>
          <w:iCs/>
          <w:color w:val="000000"/>
        </w:rPr>
        <w:t>Р</w:t>
      </w:r>
      <w:r w:rsidRPr="00F40118">
        <w:rPr>
          <w:rFonts w:ascii="Book Antiqua" w:eastAsia="Book Antiqua" w:hAnsi="Book Antiqua" w:cs="Book Antiqua"/>
          <w:color w:val="000000"/>
        </w:rPr>
        <w:t xml:space="preserve"> &lt; 0.001), and the CIMT (</w:t>
      </w:r>
      <w:r w:rsidRPr="00F40118">
        <w:rPr>
          <w:rFonts w:ascii="Book Antiqua" w:eastAsia="Book Antiqua" w:hAnsi="Book Antiqua" w:cs="Book Antiqua"/>
          <w:i/>
          <w:iCs/>
          <w:color w:val="000000"/>
        </w:rPr>
        <w:t>P</w:t>
      </w:r>
      <w:r w:rsidRPr="00F40118">
        <w:rPr>
          <w:rFonts w:ascii="Book Antiqua" w:eastAsia="Book Antiqua" w:hAnsi="Book Antiqua" w:cs="Book Antiqua"/>
          <w:color w:val="000000"/>
        </w:rPr>
        <w:t xml:space="preserve"> = 0.013), whereas the high-density lipoprotein (HDL) (</w:t>
      </w:r>
      <w:r w:rsidRPr="00F40118">
        <w:rPr>
          <w:rFonts w:ascii="Book Antiqua" w:eastAsia="Book Antiqua" w:hAnsi="Book Antiqua" w:cs="Book Antiqua"/>
          <w:i/>
          <w:iCs/>
          <w:color w:val="000000"/>
        </w:rPr>
        <w:t>Р</w:t>
      </w:r>
      <w:r w:rsidRPr="00F40118">
        <w:rPr>
          <w:rFonts w:ascii="Book Antiqua" w:eastAsia="Book Antiqua" w:hAnsi="Book Antiqua" w:cs="Book Antiqua"/>
          <w:color w:val="000000"/>
        </w:rPr>
        <w:t xml:space="preserve"> = 0.036) and 10-year ASCVD risk improved significantly only in women (</w:t>
      </w:r>
      <w:r w:rsidRPr="00F40118">
        <w:rPr>
          <w:rFonts w:ascii="Book Antiqua" w:eastAsia="Book Antiqua" w:hAnsi="Book Antiqua" w:cs="Book Antiqua"/>
          <w:i/>
          <w:iCs/>
          <w:color w:val="000000"/>
        </w:rPr>
        <w:t>Р</w:t>
      </w:r>
      <w:r w:rsidRPr="00F40118">
        <w:rPr>
          <w:rFonts w:ascii="Book Antiqua" w:eastAsia="Book Antiqua" w:hAnsi="Book Antiqua" w:cs="Book Antiqua"/>
          <w:color w:val="000000"/>
        </w:rPr>
        <w:t xml:space="preserve"> = 0.003). No effect on </w:t>
      </w:r>
      <w:r w:rsidRPr="00F40118">
        <w:rPr>
          <w:rFonts w:ascii="Book Antiqua" w:eastAsia="Book Antiqua" w:hAnsi="Book Antiqua" w:cs="Book Antiqua"/>
          <w:color w:val="000000"/>
          <w:shd w:val="clear" w:color="auto" w:fill="FFFFFF"/>
        </w:rPr>
        <w:t xml:space="preserve">nonalcoholic fatty liver disease fibrosis score, and liver </w:t>
      </w:r>
      <w:r w:rsidRPr="00F40118">
        <w:rPr>
          <w:rFonts w:ascii="Book Antiqua" w:eastAsia="Book Antiqua" w:hAnsi="Book Antiqua" w:cs="Book Antiqua"/>
          <w:color w:val="000000"/>
        </w:rPr>
        <w:t xml:space="preserve">fibrosis index was found. At the end of the study, the FLI decreased significantly in patients with and without </w:t>
      </w:r>
      <w:r w:rsidRPr="00F40118">
        <w:rPr>
          <w:rFonts w:ascii="Book Antiqua" w:eastAsia="Book Antiqua" w:hAnsi="Book Antiqua" w:cs="Book Antiqua"/>
          <w:color w:val="000000"/>
          <w:shd w:val="clear" w:color="auto" w:fill="FFFFFF"/>
        </w:rPr>
        <w:t>&gt;</w:t>
      </w:r>
      <w:r w:rsidR="00DC07DC" w:rsidRPr="00F40118">
        <w:rPr>
          <w:rFonts w:ascii="Book Antiqua" w:eastAsia="Book Antiqua" w:hAnsi="Book Antiqua" w:cs="Book Antiqua"/>
          <w:color w:val="000000"/>
          <w:shd w:val="clear" w:color="auto" w:fill="FFFFFF"/>
        </w:rPr>
        <w:t xml:space="preserve"> </w:t>
      </w:r>
      <w:r w:rsidRPr="00F40118">
        <w:rPr>
          <w:rFonts w:ascii="Book Antiqua" w:eastAsia="Book Antiqua" w:hAnsi="Book Antiqua" w:cs="Book Antiqua"/>
          <w:color w:val="000000"/>
        </w:rPr>
        <w:t>5% weight loss; the changes in LFT, TC, TG and LDL levels were similar between the subgroups.</w:t>
      </w:r>
    </w:p>
    <w:p w:rsidR="00A77B3E" w:rsidRPr="00F40118" w:rsidRDefault="00A77B3E"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i/>
          <w:color w:val="000000"/>
        </w:rPr>
        <w:t>Research conclusions</w:t>
      </w: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color w:val="000000"/>
        </w:rPr>
        <w:t>The study suggests that 6-mo UDCA therapy at a dose of 15 mg/kg/d may improve LFT, TC, LDL, and TG levels, FLI, and CIMT in total sample with NAFLD.</w:t>
      </w:r>
      <w:r w:rsidR="00DC07DC" w:rsidRPr="00F40118">
        <w:rPr>
          <w:rFonts w:ascii="Book Antiqua" w:hAnsi="Book Antiqua"/>
          <w:lang w:eastAsia="zh-CN"/>
        </w:rPr>
        <w:t xml:space="preserve"> </w:t>
      </w:r>
      <w:r w:rsidRPr="00F40118">
        <w:rPr>
          <w:rFonts w:ascii="Book Antiqua" w:eastAsia="Book Antiqua" w:hAnsi="Book Antiqua" w:cs="Book Antiqua"/>
          <w:color w:val="000000"/>
        </w:rPr>
        <w:t>These changes are observed independent of sex and weight loss.</w:t>
      </w:r>
      <w:r w:rsidR="00DC07DC" w:rsidRPr="00F40118">
        <w:rPr>
          <w:rFonts w:ascii="Book Antiqua" w:hAnsi="Book Antiqua"/>
          <w:lang w:eastAsia="zh-CN"/>
        </w:rPr>
        <w:t xml:space="preserve"> </w:t>
      </w:r>
      <w:r w:rsidRPr="00F40118">
        <w:rPr>
          <w:rFonts w:ascii="Book Antiqua" w:eastAsia="Book Antiqua" w:hAnsi="Book Antiqua" w:cs="Book Antiqua"/>
          <w:color w:val="000000"/>
        </w:rPr>
        <w:t>UDCA has also a beneficial effect on HDL and 10-year ASCVD risk in women.</w:t>
      </w:r>
    </w:p>
    <w:p w:rsidR="00A77B3E" w:rsidRPr="00F40118" w:rsidRDefault="00A77B3E"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i/>
          <w:color w:val="000000"/>
        </w:rPr>
        <w:t>Research perspectives</w:t>
      </w: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color w:val="000000"/>
        </w:rPr>
        <w:t>Further long-term studies with control groups are needed to confirm these findings.</w:t>
      </w:r>
      <w:r w:rsidR="00DC07DC" w:rsidRPr="00F40118">
        <w:rPr>
          <w:rFonts w:ascii="Book Antiqua" w:hAnsi="Book Antiqua"/>
          <w:lang w:eastAsia="zh-CN"/>
        </w:rPr>
        <w:t xml:space="preserve"> </w:t>
      </w:r>
      <w:r w:rsidRPr="00F40118">
        <w:rPr>
          <w:rFonts w:ascii="Book Antiqua" w:eastAsia="Book Antiqua" w:hAnsi="Book Antiqua" w:cs="Book Antiqua"/>
          <w:color w:val="000000"/>
        </w:rPr>
        <w:t>For further research, we suggest to compare lipid profile and hepatic steatosis between</w:t>
      </w:r>
      <w:r w:rsidR="00DC07DC"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baseline to 3 mo and 3 to 6 mo; evaluate the effects of long- long-term UDCA therapy</w:t>
      </w:r>
      <w:r w:rsidR="00DC07DC" w:rsidRPr="00F40118">
        <w:rPr>
          <w:rFonts w:ascii="Book Antiqua" w:eastAsia="Book Antiqua" w:hAnsi="Book Antiqua" w:cs="Book Antiqua"/>
          <w:color w:val="000000"/>
        </w:rPr>
        <w:t xml:space="preserve"> </w:t>
      </w:r>
      <w:r w:rsidRPr="00F40118">
        <w:rPr>
          <w:rFonts w:ascii="Book Antiqua" w:eastAsia="Book Antiqua" w:hAnsi="Book Antiqua" w:cs="Book Antiqua"/>
          <w:color w:val="000000"/>
        </w:rPr>
        <w:t>(during 1-year follow-up or more) on HDL and 10-year and lifetime risk ASCVD in men and women.</w:t>
      </w:r>
    </w:p>
    <w:p w:rsidR="00A77B3E" w:rsidRPr="00F40118" w:rsidRDefault="00A77B3E" w:rsidP="00EF6CF8">
      <w:pPr>
        <w:adjustRightInd w:val="0"/>
        <w:snapToGrid w:val="0"/>
        <w:spacing w:line="360" w:lineRule="auto"/>
        <w:jc w:val="both"/>
        <w:rPr>
          <w:rFonts w:ascii="Book Antiqua" w:hAnsi="Book Antiqua"/>
        </w:rPr>
      </w:pPr>
    </w:p>
    <w:p w:rsidR="00134FF3"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color w:val="000000"/>
        </w:rPr>
        <w:t>REFERENCES</w:t>
      </w:r>
    </w:p>
    <w:p w:rsidR="00D64640" w:rsidRPr="00884041" w:rsidRDefault="00D64640" w:rsidP="00EF6CF8">
      <w:pPr>
        <w:snapToGrid w:val="0"/>
        <w:spacing w:line="360" w:lineRule="auto"/>
        <w:jc w:val="both"/>
        <w:rPr>
          <w:rFonts w:ascii="Book Antiqua" w:hAnsi="Book Antiqua"/>
        </w:rPr>
      </w:pPr>
      <w:bookmarkStart w:id="42" w:name="OLE_LINK7"/>
      <w:r w:rsidRPr="00884041">
        <w:rPr>
          <w:rFonts w:ascii="Book Antiqua" w:hAnsi="Book Antiqua"/>
        </w:rPr>
        <w:t xml:space="preserve">1 </w:t>
      </w:r>
      <w:r w:rsidRPr="00884041">
        <w:rPr>
          <w:rFonts w:ascii="Book Antiqua" w:hAnsi="Book Antiqua"/>
          <w:b/>
          <w:bCs/>
        </w:rPr>
        <w:t>Kwong A</w:t>
      </w:r>
      <w:r w:rsidRPr="00884041">
        <w:rPr>
          <w:rFonts w:ascii="Book Antiqua" w:hAnsi="Book Antiqua"/>
        </w:rPr>
        <w:t xml:space="preserve">, Kim WR, Lake JR, Smith JM, Schladt DP, Skeans MA, Noreen SM, Foutz J, Miller E, Snyder JJ, Israni AK, Kasiske BL. OPTN/SRTR 2018 Annual Data Report: Liver. </w:t>
      </w:r>
      <w:r w:rsidRPr="00884041">
        <w:rPr>
          <w:rFonts w:ascii="Book Antiqua" w:hAnsi="Book Antiqua"/>
          <w:i/>
          <w:iCs/>
        </w:rPr>
        <w:t>Am J Transplant</w:t>
      </w:r>
      <w:r w:rsidRPr="00884041">
        <w:rPr>
          <w:rFonts w:ascii="Book Antiqua" w:hAnsi="Book Antiqua"/>
        </w:rPr>
        <w:t xml:space="preserve"> 2020; </w:t>
      </w:r>
      <w:r w:rsidRPr="00884041">
        <w:rPr>
          <w:rFonts w:ascii="Book Antiqua" w:hAnsi="Book Antiqua"/>
          <w:b/>
          <w:bCs/>
        </w:rPr>
        <w:t>20 Suppl s1</w:t>
      </w:r>
      <w:r w:rsidRPr="00884041">
        <w:rPr>
          <w:rFonts w:ascii="Book Antiqua" w:hAnsi="Book Antiqua"/>
        </w:rPr>
        <w:t>: 193-299 [PMID: 31898413 DOI: 10.1111/ajt.15674]</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2 </w:t>
      </w:r>
      <w:r w:rsidRPr="00884041">
        <w:rPr>
          <w:rFonts w:ascii="Book Antiqua" w:hAnsi="Book Antiqua"/>
          <w:b/>
          <w:bCs/>
        </w:rPr>
        <w:t>Rinella ME</w:t>
      </w:r>
      <w:r w:rsidRPr="00884041">
        <w:rPr>
          <w:rFonts w:ascii="Book Antiqua" w:hAnsi="Book Antiqua"/>
        </w:rPr>
        <w:t xml:space="preserve">. Nonalcoholic fatty liver disease: a systematic review. </w:t>
      </w:r>
      <w:r w:rsidRPr="00884041">
        <w:rPr>
          <w:rFonts w:ascii="Book Antiqua" w:hAnsi="Book Antiqua"/>
          <w:i/>
          <w:iCs/>
        </w:rPr>
        <w:t>JAMA</w:t>
      </w:r>
      <w:r w:rsidRPr="00884041">
        <w:rPr>
          <w:rFonts w:ascii="Book Antiqua" w:hAnsi="Book Antiqua"/>
        </w:rPr>
        <w:t xml:space="preserve"> 2015; </w:t>
      </w:r>
      <w:r w:rsidRPr="00884041">
        <w:rPr>
          <w:rFonts w:ascii="Book Antiqua" w:hAnsi="Book Antiqua"/>
          <w:b/>
          <w:bCs/>
        </w:rPr>
        <w:t>313</w:t>
      </w:r>
      <w:r w:rsidRPr="00884041">
        <w:rPr>
          <w:rFonts w:ascii="Book Antiqua" w:hAnsi="Book Antiqua"/>
        </w:rPr>
        <w:t>: 2263-2273 [PMID: 26057287 DOI: 10.1001/jama.2015.5370]</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3 </w:t>
      </w:r>
      <w:r w:rsidRPr="00884041">
        <w:rPr>
          <w:rFonts w:ascii="Book Antiqua" w:hAnsi="Book Antiqua"/>
          <w:b/>
          <w:bCs/>
        </w:rPr>
        <w:t>Younossi ZM</w:t>
      </w:r>
      <w:r w:rsidRPr="00884041">
        <w:rPr>
          <w:rFonts w:ascii="Book Antiqua" w:hAnsi="Book Antiqua"/>
        </w:rPr>
        <w:t xml:space="preserve">, Koenig AB, Abdelatif D, Fazel Y, Henry L, Wymer M. Global epidemiology of nonalcoholic fatty liver disease-Meta-analytic assessment of prevalence, incidence, and outcomes. </w:t>
      </w:r>
      <w:r w:rsidRPr="00884041">
        <w:rPr>
          <w:rFonts w:ascii="Book Antiqua" w:hAnsi="Book Antiqua"/>
          <w:i/>
          <w:iCs/>
        </w:rPr>
        <w:t>Hepatology</w:t>
      </w:r>
      <w:r w:rsidRPr="00884041">
        <w:rPr>
          <w:rFonts w:ascii="Book Antiqua" w:hAnsi="Book Antiqua"/>
        </w:rPr>
        <w:t xml:space="preserve"> 2016; </w:t>
      </w:r>
      <w:r w:rsidRPr="00884041">
        <w:rPr>
          <w:rFonts w:ascii="Book Antiqua" w:hAnsi="Book Antiqua"/>
          <w:b/>
          <w:bCs/>
        </w:rPr>
        <w:t>64</w:t>
      </w:r>
      <w:r w:rsidRPr="00884041">
        <w:rPr>
          <w:rFonts w:ascii="Book Antiqua" w:hAnsi="Book Antiqua"/>
        </w:rPr>
        <w:t>: 73-84 [PMID: 26707365 DOI: 10.1002/hep.28431]</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4</w:t>
      </w:r>
      <w:r w:rsidR="00536774" w:rsidRPr="00884041">
        <w:rPr>
          <w:rFonts w:ascii="Book Antiqua" w:hAnsi="Book Antiqua"/>
        </w:rPr>
        <w:t xml:space="preserve"> </w:t>
      </w:r>
      <w:r w:rsidRPr="00884041">
        <w:rPr>
          <w:rFonts w:ascii="Book Antiqua" w:hAnsi="Book Antiqua"/>
          <w:b/>
          <w:bCs/>
        </w:rPr>
        <w:t>Ivashkin</w:t>
      </w:r>
      <w:r w:rsidRPr="00884041">
        <w:rPr>
          <w:b/>
          <w:bCs/>
        </w:rPr>
        <w:t> </w:t>
      </w:r>
      <w:r w:rsidRPr="00884041">
        <w:rPr>
          <w:rFonts w:ascii="Book Antiqua" w:hAnsi="Book Antiqua"/>
          <w:b/>
          <w:bCs/>
        </w:rPr>
        <w:t>VT,</w:t>
      </w:r>
      <w:r w:rsidR="00536774" w:rsidRPr="00884041">
        <w:rPr>
          <w:rFonts w:ascii="Book Antiqua" w:hAnsi="Book Antiqua"/>
          <w:b/>
          <w:bCs/>
        </w:rPr>
        <w:t xml:space="preserve"> </w:t>
      </w:r>
      <w:r w:rsidRPr="00884041">
        <w:rPr>
          <w:rFonts w:ascii="Book Antiqua" w:hAnsi="Book Antiqua"/>
        </w:rPr>
        <w:t>Drapkina</w:t>
      </w:r>
      <w:r w:rsidRPr="00884041">
        <w:t> </w:t>
      </w:r>
      <w:r w:rsidRPr="00884041">
        <w:rPr>
          <w:rFonts w:ascii="Book Antiqua" w:hAnsi="Book Antiqua"/>
        </w:rPr>
        <w:t>OM, Mayev</w:t>
      </w:r>
      <w:r w:rsidRPr="00884041">
        <w:t> </w:t>
      </w:r>
      <w:r w:rsidRPr="00884041">
        <w:rPr>
          <w:rFonts w:ascii="Book Antiqua" w:hAnsi="Book Antiqua"/>
        </w:rPr>
        <w:t>IV, Trukhmanov</w:t>
      </w:r>
      <w:r w:rsidRPr="00884041">
        <w:t> </w:t>
      </w:r>
      <w:r w:rsidRPr="00884041">
        <w:rPr>
          <w:rFonts w:ascii="Book Antiqua" w:hAnsi="Book Antiqua"/>
        </w:rPr>
        <w:t>AS, Blinov</w:t>
      </w:r>
      <w:r w:rsidRPr="00884041">
        <w:t> </w:t>
      </w:r>
      <w:r w:rsidRPr="00884041">
        <w:rPr>
          <w:rFonts w:ascii="Book Antiqua" w:hAnsi="Book Antiqua"/>
        </w:rPr>
        <w:t>DV, Palgova</w:t>
      </w:r>
      <w:r w:rsidRPr="00884041">
        <w:t> </w:t>
      </w:r>
      <w:r w:rsidRPr="00884041">
        <w:rPr>
          <w:rFonts w:ascii="Book Antiqua" w:hAnsi="Book Antiqua"/>
        </w:rPr>
        <w:t>LK, Tsukanov</w:t>
      </w:r>
      <w:r w:rsidRPr="00884041">
        <w:t> </w:t>
      </w:r>
      <w:r w:rsidRPr="00884041">
        <w:rPr>
          <w:rFonts w:ascii="Book Antiqua" w:hAnsi="Book Antiqua"/>
        </w:rPr>
        <w:t>VV, Ushakova</w:t>
      </w:r>
      <w:r w:rsidRPr="00884041">
        <w:t> </w:t>
      </w:r>
      <w:r w:rsidRPr="00884041">
        <w:rPr>
          <w:rFonts w:ascii="Book Antiqua" w:hAnsi="Book Antiqua"/>
        </w:rPr>
        <w:t xml:space="preserve">TI. Prevalence of nonalcoholic fatty liver disease in out-patients of the Russian Federation: DIREG 2 study results. </w:t>
      </w:r>
      <w:r w:rsidR="00312C84" w:rsidRPr="00884041">
        <w:rPr>
          <w:rFonts w:ascii="Book Antiqua" w:hAnsi="Book Antiqua"/>
        </w:rPr>
        <w:t>(In Russian)</w:t>
      </w:r>
      <w:r w:rsidR="00D35667" w:rsidRPr="00884041">
        <w:rPr>
          <w:rFonts w:ascii="Book Antiqua" w:hAnsi="Book Antiqua"/>
        </w:rPr>
        <w:t>.</w:t>
      </w:r>
      <w:r w:rsidR="00312C84" w:rsidRPr="00884041">
        <w:rPr>
          <w:rFonts w:ascii="Book Antiqua" w:hAnsi="Book Antiqua"/>
        </w:rPr>
        <w:t xml:space="preserve"> </w:t>
      </w:r>
      <w:r w:rsidRPr="00884041">
        <w:rPr>
          <w:rFonts w:ascii="Book Antiqua" w:hAnsi="Book Antiqua"/>
          <w:i/>
        </w:rPr>
        <w:t xml:space="preserve">Ross z </w:t>
      </w:r>
      <w:r w:rsidR="00536774" w:rsidRPr="00884041">
        <w:rPr>
          <w:rFonts w:ascii="Book Antiqua" w:hAnsi="Book Antiqua"/>
          <w:i/>
        </w:rPr>
        <w:t>Gastroenterol Gepatol Koloproktol</w:t>
      </w:r>
      <w:r w:rsidR="00536774" w:rsidRPr="00884041">
        <w:rPr>
          <w:rFonts w:ascii="Book Antiqua" w:hAnsi="Book Antiqua"/>
        </w:rPr>
        <w:t xml:space="preserve"> </w:t>
      </w:r>
      <w:r w:rsidRPr="00884041">
        <w:rPr>
          <w:rFonts w:ascii="Book Antiqua" w:hAnsi="Book Antiqua"/>
        </w:rPr>
        <w:t xml:space="preserve">2015; </w:t>
      </w:r>
      <w:r w:rsidRPr="00884041">
        <w:rPr>
          <w:rFonts w:ascii="Book Antiqua" w:hAnsi="Book Antiqua"/>
          <w:b/>
        </w:rPr>
        <w:t xml:space="preserve">6: </w:t>
      </w:r>
      <w:r w:rsidRPr="00884041">
        <w:rPr>
          <w:rFonts w:ascii="Book Antiqua" w:hAnsi="Book Antiqua"/>
        </w:rPr>
        <w:t xml:space="preserve">31-41 </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5 </w:t>
      </w:r>
      <w:r w:rsidRPr="00884041">
        <w:rPr>
          <w:rFonts w:ascii="Book Antiqua" w:hAnsi="Book Antiqua"/>
          <w:b/>
          <w:bCs/>
        </w:rPr>
        <w:t>Nersesov AV,</w:t>
      </w:r>
      <w:r w:rsidRPr="00884041">
        <w:rPr>
          <w:rFonts w:ascii="Book Antiqua" w:hAnsi="Book Antiqua"/>
        </w:rPr>
        <w:t xml:space="preserve"> Raissova AM, Kaibullayeva JA, Jumabayeva AE, Novitskaya MS. Epidemiological Investigation of Fatty Liver Disease and Abnormal Liver Function in the Republic of Kazakhstan. </w:t>
      </w:r>
      <w:r w:rsidRPr="00884041">
        <w:rPr>
          <w:rFonts w:ascii="Book Antiqua" w:hAnsi="Book Antiqua"/>
          <w:i/>
        </w:rPr>
        <w:t>Open J</w:t>
      </w:r>
      <w:r w:rsidR="003E2BBA" w:rsidRPr="00884041">
        <w:rPr>
          <w:rFonts w:ascii="Book Antiqua" w:hAnsi="Book Antiqua"/>
          <w:i/>
        </w:rPr>
        <w:t xml:space="preserve"> </w:t>
      </w:r>
      <w:r w:rsidRPr="00884041">
        <w:rPr>
          <w:rFonts w:ascii="Book Antiqua" w:hAnsi="Book Antiqua"/>
          <w:i/>
        </w:rPr>
        <w:t>Epidemiol</w:t>
      </w:r>
      <w:r w:rsidR="003E2BBA" w:rsidRPr="00884041">
        <w:rPr>
          <w:rFonts w:ascii="Book Antiqua" w:hAnsi="Book Antiqua"/>
          <w:i/>
        </w:rPr>
        <w:t xml:space="preserve"> </w:t>
      </w:r>
      <w:r w:rsidRPr="00884041">
        <w:rPr>
          <w:rFonts w:ascii="Book Antiqua" w:hAnsi="Book Antiqua"/>
        </w:rPr>
        <w:t xml:space="preserve">2019; </w:t>
      </w:r>
      <w:r w:rsidRPr="00884041">
        <w:rPr>
          <w:rFonts w:ascii="Book Antiqua" w:hAnsi="Book Antiqua"/>
          <w:b/>
        </w:rPr>
        <w:t>09</w:t>
      </w:r>
      <w:r w:rsidRPr="00884041">
        <w:rPr>
          <w:rFonts w:ascii="Book Antiqua" w:hAnsi="Book Antiqua"/>
        </w:rPr>
        <w:t>: 309-320 [</w:t>
      </w:r>
      <w:r w:rsidRPr="00884041">
        <w:rPr>
          <w:rFonts w:ascii="Book Antiqua" w:hAnsi="Book Antiqua"/>
          <w:caps/>
        </w:rPr>
        <w:t>doi</w:t>
      </w:r>
      <w:r w:rsidRPr="00884041">
        <w:rPr>
          <w:rFonts w:ascii="Book Antiqua" w:hAnsi="Book Antiqua"/>
        </w:rPr>
        <w:t>:</w:t>
      </w:r>
      <w:r w:rsidR="00E15A8B" w:rsidRPr="00884041">
        <w:rPr>
          <w:rFonts w:ascii="Book Antiqua" w:hAnsi="Book Antiqua"/>
        </w:rPr>
        <w:t xml:space="preserve"> </w:t>
      </w:r>
      <w:r w:rsidRPr="00884041">
        <w:rPr>
          <w:rFonts w:ascii="Book Antiqua" w:hAnsi="Book Antiqua"/>
        </w:rPr>
        <w:t>10.4236/ojepi.2019.94022]</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6 </w:t>
      </w:r>
      <w:r w:rsidRPr="00884041">
        <w:rPr>
          <w:rFonts w:ascii="Book Antiqua" w:hAnsi="Book Antiqua"/>
          <w:b/>
          <w:bCs/>
        </w:rPr>
        <w:t>Daminov BT,</w:t>
      </w:r>
      <w:r w:rsidRPr="00884041">
        <w:rPr>
          <w:rFonts w:ascii="Book Antiqua" w:hAnsi="Book Antiqua"/>
        </w:rPr>
        <w:t xml:space="preserve"> Usmanova US, Alavi BA, Sobirova GN. Risk factors progression of a non-alcoholic fat liver disease and state of gut microflora in patients with overbody and obesity. </w:t>
      </w:r>
      <w:r w:rsidRPr="00884041">
        <w:rPr>
          <w:rFonts w:ascii="Book Antiqua" w:hAnsi="Book Antiqua"/>
          <w:i/>
        </w:rPr>
        <w:t>Int</w:t>
      </w:r>
      <w:r w:rsidR="00225FB8" w:rsidRPr="00884041">
        <w:rPr>
          <w:rFonts w:ascii="Book Antiqua" w:hAnsi="Book Antiqua"/>
          <w:i/>
        </w:rPr>
        <w:t xml:space="preserve"> </w:t>
      </w:r>
      <w:r w:rsidRPr="00884041">
        <w:rPr>
          <w:rFonts w:ascii="Book Antiqua" w:hAnsi="Book Antiqua"/>
          <w:i/>
        </w:rPr>
        <w:t>J</w:t>
      </w:r>
      <w:r w:rsidR="00225FB8" w:rsidRPr="00884041">
        <w:rPr>
          <w:rFonts w:ascii="Book Antiqua" w:hAnsi="Book Antiqua"/>
          <w:i/>
        </w:rPr>
        <w:t xml:space="preserve"> </w:t>
      </w:r>
      <w:r w:rsidRPr="00884041">
        <w:rPr>
          <w:rFonts w:ascii="Book Antiqua" w:hAnsi="Book Antiqua"/>
          <w:i/>
        </w:rPr>
        <w:t>Adv</w:t>
      </w:r>
      <w:r w:rsidR="00225FB8" w:rsidRPr="00884041">
        <w:rPr>
          <w:rFonts w:ascii="Book Antiqua" w:hAnsi="Book Antiqua"/>
          <w:i/>
        </w:rPr>
        <w:t xml:space="preserve"> </w:t>
      </w:r>
      <w:r w:rsidRPr="00884041">
        <w:rPr>
          <w:rFonts w:ascii="Book Antiqua" w:hAnsi="Book Antiqua"/>
          <w:i/>
        </w:rPr>
        <w:t>Sci</w:t>
      </w:r>
      <w:r w:rsidR="00225FB8" w:rsidRPr="00884041">
        <w:rPr>
          <w:rFonts w:ascii="Book Antiqua" w:hAnsi="Book Antiqua"/>
          <w:i/>
        </w:rPr>
        <w:t xml:space="preserve"> </w:t>
      </w:r>
      <w:r w:rsidRPr="00884041">
        <w:rPr>
          <w:rFonts w:ascii="Book Antiqua" w:hAnsi="Book Antiqua"/>
          <w:i/>
        </w:rPr>
        <w:t>Technol</w:t>
      </w:r>
      <w:r w:rsidR="00225FB8" w:rsidRPr="00884041">
        <w:rPr>
          <w:rFonts w:ascii="Book Antiqua" w:hAnsi="Book Antiqua"/>
          <w:i/>
        </w:rPr>
        <w:t xml:space="preserve"> </w:t>
      </w:r>
      <w:r w:rsidRPr="00884041">
        <w:rPr>
          <w:rFonts w:ascii="Book Antiqua" w:hAnsi="Book Antiqua"/>
        </w:rPr>
        <w:t xml:space="preserve">2020; </w:t>
      </w:r>
      <w:r w:rsidRPr="00884041">
        <w:rPr>
          <w:rFonts w:ascii="Book Antiqua" w:hAnsi="Book Antiqua"/>
          <w:b/>
        </w:rPr>
        <w:t>29:</w:t>
      </w:r>
      <w:r w:rsidRPr="00884041">
        <w:rPr>
          <w:rFonts w:ascii="Book Antiqua" w:hAnsi="Book Antiqua"/>
        </w:rPr>
        <w:t xml:space="preserve"> 3241-3246</w:t>
      </w:r>
    </w:p>
    <w:p w:rsidR="00D64640" w:rsidRPr="00884041" w:rsidRDefault="00E15A8B" w:rsidP="00EF6CF8">
      <w:pPr>
        <w:snapToGrid w:val="0"/>
        <w:spacing w:line="360" w:lineRule="auto"/>
        <w:jc w:val="both"/>
        <w:rPr>
          <w:rFonts w:ascii="Book Antiqua" w:hAnsi="Book Antiqua"/>
        </w:rPr>
      </w:pPr>
      <w:r w:rsidRPr="00884041">
        <w:rPr>
          <w:rFonts w:ascii="Book Antiqua" w:hAnsi="Book Antiqua"/>
        </w:rPr>
        <w:t xml:space="preserve">7 </w:t>
      </w:r>
      <w:r w:rsidR="00D64640" w:rsidRPr="00884041">
        <w:rPr>
          <w:rFonts w:ascii="Book Antiqua" w:hAnsi="Book Antiqua"/>
          <w:b/>
        </w:rPr>
        <w:t>European Association for the Study of the Liver (EASL)</w:t>
      </w:r>
      <w:r w:rsidR="00D64640" w:rsidRPr="00884041">
        <w:rPr>
          <w:rFonts w:ascii="Book Antiqua" w:hAnsi="Book Antiqua"/>
        </w:rPr>
        <w:t xml:space="preserve">. The </w:t>
      </w:r>
      <w:r w:rsidRPr="00884041">
        <w:rPr>
          <w:rFonts w:ascii="Book Antiqua" w:hAnsi="Book Antiqua"/>
        </w:rPr>
        <w:t xml:space="preserve">HEPAHEALTH </w:t>
      </w:r>
      <w:r w:rsidR="00D64640" w:rsidRPr="00884041">
        <w:rPr>
          <w:rFonts w:ascii="Book Antiqua" w:hAnsi="Book Antiqua"/>
        </w:rPr>
        <w:t>project report risk factors and the burden of liver disease in Europe and selected Central Asian countries. 2018 [accessed 2020 Oct 25]. Available from: https://easl.eu/wp-content/uploads/20</w:t>
      </w:r>
      <w:r w:rsidR="00225FB8" w:rsidRPr="00884041">
        <w:rPr>
          <w:rFonts w:ascii="Book Antiqua" w:hAnsi="Book Antiqua"/>
        </w:rPr>
        <w:t>18/09/EASLHEPAHEALTH-Report.pdf</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8 </w:t>
      </w:r>
      <w:r w:rsidRPr="00884041">
        <w:rPr>
          <w:rFonts w:ascii="Book Antiqua" w:hAnsi="Book Antiqua"/>
          <w:b/>
          <w:bCs/>
        </w:rPr>
        <w:t>Mahfood Haddad T</w:t>
      </w:r>
      <w:r w:rsidRPr="00884041">
        <w:rPr>
          <w:rFonts w:ascii="Book Antiqua" w:hAnsi="Book Antiqua"/>
        </w:rPr>
        <w:t xml:space="preserve">, Hamdeh S, Kanmanthareddy A, Alla VM. Nonalcoholic fatty liver disease and the risk of clinical cardiovascular events: A systematic review and meta-analysis. </w:t>
      </w:r>
      <w:r w:rsidRPr="00884041">
        <w:rPr>
          <w:rFonts w:ascii="Book Antiqua" w:hAnsi="Book Antiqua"/>
          <w:i/>
          <w:iCs/>
        </w:rPr>
        <w:t>Diabetes Metab Syndr</w:t>
      </w:r>
      <w:r w:rsidRPr="00884041">
        <w:rPr>
          <w:rFonts w:ascii="Book Antiqua" w:hAnsi="Book Antiqua"/>
        </w:rPr>
        <w:t xml:space="preserve"> 2017; </w:t>
      </w:r>
      <w:r w:rsidRPr="00884041">
        <w:rPr>
          <w:rFonts w:ascii="Book Antiqua" w:hAnsi="Book Antiqua"/>
          <w:b/>
          <w:bCs/>
        </w:rPr>
        <w:t>11 Suppl 1</w:t>
      </w:r>
      <w:r w:rsidRPr="00884041">
        <w:rPr>
          <w:rFonts w:ascii="Book Antiqua" w:hAnsi="Book Antiqua"/>
        </w:rPr>
        <w:t>: S209-S216 [PMID: 28017631 DOI: 10.1016/j.dsx.2016.12.033]</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9 </w:t>
      </w:r>
      <w:r w:rsidRPr="00884041">
        <w:rPr>
          <w:rFonts w:ascii="Book Antiqua" w:hAnsi="Book Antiqua"/>
          <w:b/>
          <w:bCs/>
        </w:rPr>
        <w:t>Targher G</w:t>
      </w:r>
      <w:r w:rsidRPr="00884041">
        <w:rPr>
          <w:rFonts w:ascii="Book Antiqua" w:hAnsi="Book Antiqua"/>
        </w:rPr>
        <w:t xml:space="preserve">, Byrne CD, Lonardo A, Zoppini G, Barbui C. Non-alcoholic fatty liver disease and risk of incident cardiovascular disease: A meta-analysis. </w:t>
      </w:r>
      <w:r w:rsidRPr="00884041">
        <w:rPr>
          <w:rFonts w:ascii="Book Antiqua" w:hAnsi="Book Antiqua"/>
          <w:i/>
          <w:iCs/>
        </w:rPr>
        <w:t>J Hepatol</w:t>
      </w:r>
      <w:r w:rsidRPr="00884041">
        <w:rPr>
          <w:rFonts w:ascii="Book Antiqua" w:hAnsi="Book Antiqua"/>
        </w:rPr>
        <w:t xml:space="preserve"> 2016; </w:t>
      </w:r>
      <w:r w:rsidRPr="00884041">
        <w:rPr>
          <w:rFonts w:ascii="Book Antiqua" w:hAnsi="Book Antiqua"/>
          <w:b/>
          <w:bCs/>
        </w:rPr>
        <w:t>65</w:t>
      </w:r>
      <w:r w:rsidRPr="00884041">
        <w:rPr>
          <w:rFonts w:ascii="Book Antiqua" w:hAnsi="Book Antiqua"/>
        </w:rPr>
        <w:t>: 589-600 [PMID: 27212244 DOI: 10.1016/j.jhep.2016.05.013]</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10 </w:t>
      </w:r>
      <w:r w:rsidRPr="00884041">
        <w:rPr>
          <w:rFonts w:ascii="Book Antiqua" w:hAnsi="Book Antiqua"/>
          <w:b/>
          <w:bCs/>
        </w:rPr>
        <w:t>Söderberg C</w:t>
      </w:r>
      <w:r w:rsidRPr="00884041">
        <w:rPr>
          <w:rFonts w:ascii="Book Antiqua" w:hAnsi="Book Antiqua"/>
        </w:rPr>
        <w:t xml:space="preserve">, Stål P, Askling J, Glaumann H, Lindberg G, Marmur J, Hultcrantz R. Decreased survival of subjects with elevated liver function tests during a 28-year follow-up. </w:t>
      </w:r>
      <w:r w:rsidRPr="00884041">
        <w:rPr>
          <w:rFonts w:ascii="Book Antiqua" w:hAnsi="Book Antiqua"/>
          <w:i/>
          <w:iCs/>
        </w:rPr>
        <w:t>Hepatology</w:t>
      </w:r>
      <w:r w:rsidRPr="00884041">
        <w:rPr>
          <w:rFonts w:ascii="Book Antiqua" w:hAnsi="Book Antiqua"/>
        </w:rPr>
        <w:t xml:space="preserve"> 2010; </w:t>
      </w:r>
      <w:r w:rsidRPr="00884041">
        <w:rPr>
          <w:rFonts w:ascii="Book Antiqua" w:hAnsi="Book Antiqua"/>
          <w:b/>
          <w:bCs/>
        </w:rPr>
        <w:t>51</w:t>
      </w:r>
      <w:r w:rsidRPr="00884041">
        <w:rPr>
          <w:rFonts w:ascii="Book Antiqua" w:hAnsi="Book Antiqua"/>
        </w:rPr>
        <w:t>: 595-602 [PMID: 20014114 DOI: 10.1002/hep.23314]</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11 </w:t>
      </w:r>
      <w:r w:rsidRPr="00884041">
        <w:rPr>
          <w:rFonts w:ascii="Book Antiqua" w:hAnsi="Book Antiqua"/>
          <w:b/>
          <w:bCs/>
        </w:rPr>
        <w:t>Sberna AL</w:t>
      </w:r>
      <w:r w:rsidRPr="00884041">
        <w:rPr>
          <w:rFonts w:ascii="Book Antiqua" w:hAnsi="Book Antiqua"/>
        </w:rPr>
        <w:t xml:space="preserve">, Bouillet B, Rouland A, Brindisi MC, Nguyen A, Mouillot T, Duvillard L, Denimal D, Loffroy R, Vergès B, Hillon P, Petit JM. European Association for the Study of the Liver (EASL), European Association for the Study of Diabetes (EASD) and European Association for the Study of Obesity (EASO) clinical practice recommendations for the management of non-alcoholic fatty liver disease: evaluation of their application in people with Type 2 diabetes. </w:t>
      </w:r>
      <w:r w:rsidRPr="00884041">
        <w:rPr>
          <w:rFonts w:ascii="Book Antiqua" w:hAnsi="Book Antiqua"/>
          <w:i/>
          <w:iCs/>
        </w:rPr>
        <w:t>Diabet Med</w:t>
      </w:r>
      <w:r w:rsidRPr="00884041">
        <w:rPr>
          <w:rFonts w:ascii="Book Antiqua" w:hAnsi="Book Antiqua"/>
        </w:rPr>
        <w:t xml:space="preserve"> 2018; </w:t>
      </w:r>
      <w:r w:rsidRPr="00884041">
        <w:rPr>
          <w:rFonts w:ascii="Book Antiqua" w:hAnsi="Book Antiqua"/>
          <w:b/>
          <w:bCs/>
        </w:rPr>
        <w:t>35</w:t>
      </w:r>
      <w:r w:rsidRPr="00884041">
        <w:rPr>
          <w:rFonts w:ascii="Book Antiqua" w:hAnsi="Book Antiqua"/>
        </w:rPr>
        <w:t>: 368-375 [PMID: 29247558 DOI: 10.1111/dme.13565]</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12 </w:t>
      </w:r>
      <w:r w:rsidRPr="00884041">
        <w:rPr>
          <w:rFonts w:ascii="Book Antiqua" w:hAnsi="Book Antiqua"/>
          <w:b/>
          <w:bCs/>
        </w:rPr>
        <w:t>Pisetta C</w:t>
      </w:r>
      <w:r w:rsidRPr="00884041">
        <w:rPr>
          <w:rFonts w:ascii="Book Antiqua" w:hAnsi="Book Antiqua"/>
        </w:rPr>
        <w:t xml:space="preserve">, Chillè C, Pelizzari G, Pigozzi MG, Salvetti M, Paini A, Muiesan ML, De Ciuceis C, Ricci C, Rizzoni D. Evaluation of Cardiovascular Risk in Patient with Primary Non-alcoholic Fatty Liver Disease. </w:t>
      </w:r>
      <w:r w:rsidRPr="00884041">
        <w:rPr>
          <w:rFonts w:ascii="Book Antiqua" w:hAnsi="Book Antiqua"/>
          <w:i/>
          <w:iCs/>
        </w:rPr>
        <w:t>High Blood Press Cardiovasc Prev</w:t>
      </w:r>
      <w:r w:rsidRPr="00884041">
        <w:rPr>
          <w:rFonts w:ascii="Book Antiqua" w:hAnsi="Book Antiqua"/>
        </w:rPr>
        <w:t xml:space="preserve"> 2020; </w:t>
      </w:r>
      <w:r w:rsidRPr="00884041">
        <w:rPr>
          <w:rFonts w:ascii="Book Antiqua" w:hAnsi="Book Antiqua"/>
          <w:b/>
          <w:bCs/>
        </w:rPr>
        <w:t>27</w:t>
      </w:r>
      <w:r w:rsidRPr="00884041">
        <w:rPr>
          <w:rFonts w:ascii="Book Antiqua" w:hAnsi="Book Antiqua"/>
        </w:rPr>
        <w:t>: 321-330 [PMID: 32436128 DOI: 10.1007/s40292-020-00389-8]</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13 </w:t>
      </w:r>
      <w:r w:rsidRPr="00884041">
        <w:rPr>
          <w:rFonts w:ascii="Book Antiqua" w:hAnsi="Book Antiqua"/>
          <w:b/>
          <w:bCs/>
        </w:rPr>
        <w:t>Bonora E</w:t>
      </w:r>
      <w:r w:rsidRPr="00884041">
        <w:rPr>
          <w:rFonts w:ascii="Book Antiqua" w:hAnsi="Book Antiqua"/>
        </w:rPr>
        <w:t xml:space="preserve">, Targher G. Increased risk of cardiovascular disease and chronic kidney disease in NAFLD. </w:t>
      </w:r>
      <w:r w:rsidRPr="00884041">
        <w:rPr>
          <w:rFonts w:ascii="Book Antiqua" w:hAnsi="Book Antiqua"/>
          <w:i/>
          <w:iCs/>
        </w:rPr>
        <w:t>Nat Rev Gastroenterol Hepatol</w:t>
      </w:r>
      <w:r w:rsidRPr="00884041">
        <w:rPr>
          <w:rFonts w:ascii="Book Antiqua" w:hAnsi="Book Antiqua"/>
        </w:rPr>
        <w:t xml:space="preserve"> 2012; </w:t>
      </w:r>
      <w:r w:rsidRPr="00884041">
        <w:rPr>
          <w:rFonts w:ascii="Book Antiqua" w:hAnsi="Book Antiqua"/>
          <w:b/>
          <w:bCs/>
        </w:rPr>
        <w:t>9</w:t>
      </w:r>
      <w:r w:rsidRPr="00884041">
        <w:rPr>
          <w:rFonts w:ascii="Book Antiqua" w:hAnsi="Book Antiqua"/>
        </w:rPr>
        <w:t>: 372-381 [PMID: 22565095 DOI: 10.1038/nrgastro.2012.79]</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14 </w:t>
      </w:r>
      <w:r w:rsidRPr="00884041">
        <w:rPr>
          <w:rFonts w:ascii="Book Antiqua" w:hAnsi="Book Antiqua"/>
          <w:b/>
          <w:bCs/>
        </w:rPr>
        <w:t>Pais R</w:t>
      </w:r>
      <w:r w:rsidRPr="00884041">
        <w:rPr>
          <w:rFonts w:ascii="Book Antiqua" w:hAnsi="Book Antiqua"/>
        </w:rPr>
        <w:t xml:space="preserve">, Giral P, Khan JF, Rosenbaum D, Housset C, Poynard T, Ratziu V; LIDO Study Group. Fatty liver is an independent predictor of early carotid atherosclerosis. </w:t>
      </w:r>
      <w:r w:rsidRPr="00884041">
        <w:rPr>
          <w:rFonts w:ascii="Book Antiqua" w:hAnsi="Book Antiqua"/>
          <w:i/>
          <w:iCs/>
        </w:rPr>
        <w:t>J Hepatol</w:t>
      </w:r>
      <w:r w:rsidRPr="00884041">
        <w:rPr>
          <w:rFonts w:ascii="Book Antiqua" w:hAnsi="Book Antiqua"/>
        </w:rPr>
        <w:t xml:space="preserve"> 2016; </w:t>
      </w:r>
      <w:r w:rsidRPr="00884041">
        <w:rPr>
          <w:rFonts w:ascii="Book Antiqua" w:hAnsi="Book Antiqua"/>
          <w:b/>
          <w:bCs/>
        </w:rPr>
        <w:t>65</w:t>
      </w:r>
      <w:r w:rsidRPr="00884041">
        <w:rPr>
          <w:rFonts w:ascii="Book Antiqua" w:hAnsi="Book Antiqua"/>
        </w:rPr>
        <w:t>: 95-102 [PMID: 27129836 DOI: 10.1016/j.jhep.2016.02.023]</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15 </w:t>
      </w:r>
      <w:r w:rsidRPr="00884041">
        <w:rPr>
          <w:rFonts w:ascii="Book Antiqua" w:hAnsi="Book Antiqua"/>
          <w:b/>
          <w:bCs/>
        </w:rPr>
        <w:t>Lee SB</w:t>
      </w:r>
      <w:r w:rsidRPr="00884041">
        <w:rPr>
          <w:rFonts w:ascii="Book Antiqua" w:hAnsi="Book Antiqua"/>
        </w:rPr>
        <w:t xml:space="preserve">, Park GM, Lee JY, Lee BU, Park JH, Kim BG, Jung SW, Jeong ID, Bang SJ, Shin JW, Park NH, Yang DH, Kang JW, Lim TH, Kim HK, Choe J, Lee HC. Association between non-alcoholic fatty liver disease and subclinical coronary atherosclerosis: An observational cohort study. </w:t>
      </w:r>
      <w:r w:rsidRPr="00884041">
        <w:rPr>
          <w:rFonts w:ascii="Book Antiqua" w:hAnsi="Book Antiqua"/>
          <w:i/>
          <w:iCs/>
        </w:rPr>
        <w:t>J Hepatol</w:t>
      </w:r>
      <w:r w:rsidRPr="00884041">
        <w:rPr>
          <w:rFonts w:ascii="Book Antiqua" w:hAnsi="Book Antiqua"/>
        </w:rPr>
        <w:t xml:space="preserve"> 2018; </w:t>
      </w:r>
      <w:r w:rsidRPr="00884041">
        <w:rPr>
          <w:rFonts w:ascii="Book Antiqua" w:hAnsi="Book Antiqua"/>
          <w:b/>
          <w:bCs/>
        </w:rPr>
        <w:t>68</w:t>
      </w:r>
      <w:r w:rsidRPr="00884041">
        <w:rPr>
          <w:rFonts w:ascii="Book Antiqua" w:hAnsi="Book Antiqua"/>
        </w:rPr>
        <w:t>: 1018-1024 [PMID: 29274406 DOI: 10.1016/j.jhep.2017.12.012]</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16 </w:t>
      </w:r>
      <w:r w:rsidRPr="00884041">
        <w:rPr>
          <w:rFonts w:ascii="Book Antiqua" w:hAnsi="Book Antiqua"/>
          <w:b/>
          <w:bCs/>
        </w:rPr>
        <w:t>Musso G</w:t>
      </w:r>
      <w:r w:rsidRPr="00884041">
        <w:rPr>
          <w:rFonts w:ascii="Book Antiqua" w:hAnsi="Book Antiqua"/>
        </w:rPr>
        <w:t xml:space="preserve">, Gambino R, Cassader M, Pagano G. A meta-analysis of randomized trials for the treatment of nonalcoholic fatty liver disease. </w:t>
      </w:r>
      <w:r w:rsidRPr="00884041">
        <w:rPr>
          <w:rFonts w:ascii="Book Antiqua" w:hAnsi="Book Antiqua"/>
          <w:i/>
          <w:iCs/>
        </w:rPr>
        <w:t>Hepatology</w:t>
      </w:r>
      <w:r w:rsidRPr="00884041">
        <w:rPr>
          <w:rFonts w:ascii="Book Antiqua" w:hAnsi="Book Antiqua"/>
        </w:rPr>
        <w:t xml:space="preserve"> 2010; </w:t>
      </w:r>
      <w:r w:rsidRPr="00884041">
        <w:rPr>
          <w:rFonts w:ascii="Book Antiqua" w:hAnsi="Book Antiqua"/>
          <w:b/>
          <w:bCs/>
        </w:rPr>
        <w:t>52</w:t>
      </w:r>
      <w:r w:rsidRPr="00884041">
        <w:rPr>
          <w:rFonts w:ascii="Book Antiqua" w:hAnsi="Book Antiqua"/>
        </w:rPr>
        <w:t>: 79-104 [PMID: 20578268 DOI: 10.1002/hep.23623]</w:t>
      </w:r>
    </w:p>
    <w:p w:rsidR="00B019CD" w:rsidRPr="00884041" w:rsidRDefault="00D64640" w:rsidP="00EF6CF8">
      <w:pPr>
        <w:snapToGrid w:val="0"/>
        <w:spacing w:line="360" w:lineRule="auto"/>
        <w:jc w:val="both"/>
        <w:rPr>
          <w:rFonts w:ascii="Book Antiqua" w:hAnsi="Book Antiqua"/>
        </w:rPr>
      </w:pPr>
      <w:r w:rsidRPr="00884041">
        <w:rPr>
          <w:rFonts w:ascii="Book Antiqua" w:hAnsi="Book Antiqua"/>
        </w:rPr>
        <w:t xml:space="preserve">17 </w:t>
      </w:r>
      <w:r w:rsidRPr="00884041">
        <w:rPr>
          <w:rFonts w:ascii="Book Antiqua" w:hAnsi="Book Antiqua"/>
          <w:b/>
          <w:bCs/>
        </w:rPr>
        <w:t>Paumgartner G</w:t>
      </w:r>
      <w:r w:rsidRPr="00884041">
        <w:rPr>
          <w:rFonts w:ascii="Book Antiqua" w:hAnsi="Book Antiqua"/>
        </w:rPr>
        <w:t xml:space="preserve">, Beuers U. Mechanisms of action and therapeutic efficacy of ursodeoxycholic acid in cholestatic liver disease. </w:t>
      </w:r>
      <w:r w:rsidRPr="00884041">
        <w:rPr>
          <w:rFonts w:ascii="Book Antiqua" w:hAnsi="Book Antiqua"/>
          <w:i/>
          <w:iCs/>
        </w:rPr>
        <w:t>Clin Liver Dis</w:t>
      </w:r>
      <w:r w:rsidRPr="00884041">
        <w:rPr>
          <w:rFonts w:ascii="Book Antiqua" w:hAnsi="Book Antiqua"/>
        </w:rPr>
        <w:t xml:space="preserve"> 2004; </w:t>
      </w:r>
      <w:r w:rsidRPr="00884041">
        <w:rPr>
          <w:rFonts w:ascii="Book Antiqua" w:hAnsi="Book Antiqua"/>
          <w:b/>
          <w:bCs/>
        </w:rPr>
        <w:t>8</w:t>
      </w:r>
      <w:r w:rsidRPr="00884041">
        <w:rPr>
          <w:rFonts w:ascii="Book Antiqua" w:hAnsi="Book Antiqua"/>
        </w:rPr>
        <w:t>: 67-81, vi [PMID: 15062194 DOI: 10.1016/S1089-3261(03)00135-1]</w:t>
      </w:r>
    </w:p>
    <w:p w:rsidR="00CA02E1" w:rsidRPr="00884041" w:rsidRDefault="00CA02E1" w:rsidP="00EF6CF8">
      <w:pPr>
        <w:snapToGrid w:val="0"/>
        <w:spacing w:line="360" w:lineRule="auto"/>
        <w:jc w:val="both"/>
        <w:rPr>
          <w:rFonts w:ascii="Book Antiqua" w:hAnsi="Book Antiqua"/>
        </w:rPr>
      </w:pPr>
      <w:r w:rsidRPr="00884041">
        <w:rPr>
          <w:rFonts w:ascii="Book Antiqua" w:hAnsi="Book Antiqua"/>
        </w:rPr>
        <w:t xml:space="preserve">18 </w:t>
      </w:r>
      <w:r w:rsidRPr="00884041">
        <w:rPr>
          <w:rFonts w:ascii="Book Antiqua" w:hAnsi="Book Antiqua"/>
          <w:b/>
          <w:bCs/>
        </w:rPr>
        <w:t>Harnois DM</w:t>
      </w:r>
      <w:r w:rsidRPr="00884041">
        <w:rPr>
          <w:rFonts w:ascii="Book Antiqua" w:hAnsi="Book Antiqua"/>
        </w:rPr>
        <w:t xml:space="preserve">, Angulo P, Jorgensen RA, Larusso NF, Lindor KD. High-dose ursodeoxycholic acid as a therapy for patients with primary sclerosing cholangitis. </w:t>
      </w:r>
      <w:r w:rsidRPr="00884041">
        <w:rPr>
          <w:rFonts w:ascii="Book Antiqua" w:hAnsi="Book Antiqua"/>
          <w:i/>
          <w:iCs/>
        </w:rPr>
        <w:t>Am J Gastroenterol</w:t>
      </w:r>
      <w:r w:rsidRPr="00884041">
        <w:rPr>
          <w:rFonts w:ascii="Book Antiqua" w:hAnsi="Book Antiqua"/>
        </w:rPr>
        <w:t xml:space="preserve"> 2001; </w:t>
      </w:r>
      <w:r w:rsidRPr="00884041">
        <w:rPr>
          <w:rFonts w:ascii="Book Antiqua" w:hAnsi="Book Antiqua"/>
          <w:b/>
          <w:bCs/>
        </w:rPr>
        <w:t>96</w:t>
      </w:r>
      <w:r w:rsidRPr="00884041">
        <w:rPr>
          <w:rFonts w:ascii="Book Antiqua" w:hAnsi="Book Antiqua"/>
        </w:rPr>
        <w:t>: 1558-1562 [PMID: 11374699 DOI: 10.1007/s11894-002-0036-9]</w:t>
      </w:r>
    </w:p>
    <w:p w:rsidR="00CA02E1" w:rsidRPr="00884041" w:rsidRDefault="00CA02E1" w:rsidP="00EF6CF8">
      <w:pPr>
        <w:snapToGrid w:val="0"/>
        <w:spacing w:line="360" w:lineRule="auto"/>
        <w:jc w:val="both"/>
        <w:rPr>
          <w:rFonts w:ascii="Book Antiqua" w:hAnsi="Book Antiqua"/>
        </w:rPr>
      </w:pPr>
      <w:r w:rsidRPr="00884041">
        <w:rPr>
          <w:rFonts w:ascii="Book Antiqua" w:hAnsi="Book Antiqua"/>
        </w:rPr>
        <w:t xml:space="preserve">19 </w:t>
      </w:r>
      <w:r w:rsidRPr="00884041">
        <w:rPr>
          <w:rFonts w:ascii="Book Antiqua" w:hAnsi="Book Antiqua"/>
          <w:b/>
          <w:bCs/>
        </w:rPr>
        <w:t>Ratziu V</w:t>
      </w:r>
      <w:r w:rsidRPr="00884041">
        <w:rPr>
          <w:rFonts w:ascii="Book Antiqua" w:hAnsi="Book Antiqua"/>
        </w:rPr>
        <w:t xml:space="preserve">, de Ledinghen V, Oberti F, Mathurin P, Wartelle-Bladou C, Renou C, Sogni P, Maynard M, Larrey D, Serfaty L, Bonnefont-Rousselot D, Bastard JP, Rivière M, Spénard J; FRESGUN. A randomized controlled trial of high-dose ursodesoxycholic acid for nonalcoholic steatohepatitis. </w:t>
      </w:r>
      <w:r w:rsidRPr="00884041">
        <w:rPr>
          <w:rFonts w:ascii="Book Antiqua" w:hAnsi="Book Antiqua"/>
          <w:i/>
          <w:iCs/>
        </w:rPr>
        <w:t>J Hepatol</w:t>
      </w:r>
      <w:r w:rsidRPr="00884041">
        <w:rPr>
          <w:rFonts w:ascii="Book Antiqua" w:hAnsi="Book Antiqua"/>
        </w:rPr>
        <w:t xml:space="preserve"> 2011; </w:t>
      </w:r>
      <w:r w:rsidRPr="00884041">
        <w:rPr>
          <w:rFonts w:ascii="Book Antiqua" w:hAnsi="Book Antiqua"/>
          <w:b/>
          <w:bCs/>
        </w:rPr>
        <w:t>54</w:t>
      </w:r>
      <w:r w:rsidRPr="00884041">
        <w:rPr>
          <w:rFonts w:ascii="Book Antiqua" w:hAnsi="Book Antiqua"/>
        </w:rPr>
        <w:t>: 1011-1019 [PMID: 21145828 DOI: 10.1016/j.jhep.2010.08.030]</w:t>
      </w:r>
    </w:p>
    <w:p w:rsidR="00CA02E1" w:rsidRPr="00884041" w:rsidRDefault="00CA02E1" w:rsidP="00EF6CF8">
      <w:pPr>
        <w:snapToGrid w:val="0"/>
        <w:spacing w:line="360" w:lineRule="auto"/>
        <w:jc w:val="both"/>
        <w:rPr>
          <w:rFonts w:ascii="Book Antiqua" w:hAnsi="Book Antiqua"/>
        </w:rPr>
      </w:pPr>
      <w:r w:rsidRPr="00884041">
        <w:rPr>
          <w:rFonts w:ascii="Book Antiqua" w:hAnsi="Book Antiqua"/>
        </w:rPr>
        <w:t>20</w:t>
      </w:r>
      <w:r w:rsidR="00B019CD" w:rsidRPr="00884041">
        <w:rPr>
          <w:rFonts w:ascii="Book Antiqua" w:hAnsi="Book Antiqua"/>
        </w:rPr>
        <w:t xml:space="preserve"> </w:t>
      </w:r>
      <w:r w:rsidRPr="00884041">
        <w:rPr>
          <w:rFonts w:ascii="Book Antiqua" w:hAnsi="Book Antiqua"/>
          <w:b/>
          <w:bCs/>
        </w:rPr>
        <w:t>Ozel Coskun BD</w:t>
      </w:r>
      <w:r w:rsidRPr="00884041">
        <w:rPr>
          <w:rFonts w:ascii="Book Antiqua" w:hAnsi="Book Antiqua"/>
        </w:rPr>
        <w:t xml:space="preserve">, Yucesoy M, Gursoy S, Baskol M, Yurci A, Yagbasan A, Doğan S, Baskol G. Effects of ursodeoxycholic acid therapy on carotid intima media thickness, apolipoprotein A1, apolipoprotein B, and apolipoprotein B/A1 ratio in nonalcoholic steatohepatitis. </w:t>
      </w:r>
      <w:r w:rsidRPr="00884041">
        <w:rPr>
          <w:rFonts w:ascii="Book Antiqua" w:hAnsi="Book Antiqua"/>
          <w:i/>
          <w:iCs/>
        </w:rPr>
        <w:t>Eur J Gastroenterol Hepatol</w:t>
      </w:r>
      <w:r w:rsidRPr="00884041">
        <w:rPr>
          <w:rFonts w:ascii="Book Antiqua" w:hAnsi="Book Antiqua"/>
        </w:rPr>
        <w:t xml:space="preserve"> 2015; </w:t>
      </w:r>
      <w:r w:rsidRPr="00884041">
        <w:rPr>
          <w:rFonts w:ascii="Book Antiqua" w:hAnsi="Book Antiqua"/>
          <w:b/>
          <w:bCs/>
        </w:rPr>
        <w:t>27</w:t>
      </w:r>
      <w:r w:rsidRPr="00884041">
        <w:rPr>
          <w:rFonts w:ascii="Book Antiqua" w:hAnsi="Book Antiqua"/>
        </w:rPr>
        <w:t>: 142-149 [PMID: 25533429 DOI: 10.1097/MEG.0000000000000264]</w:t>
      </w:r>
    </w:p>
    <w:p w:rsidR="00CA02E1" w:rsidRPr="00884041" w:rsidRDefault="00046E2A" w:rsidP="00EF6CF8">
      <w:pPr>
        <w:snapToGrid w:val="0"/>
        <w:spacing w:line="360" w:lineRule="auto"/>
        <w:jc w:val="both"/>
        <w:rPr>
          <w:rFonts w:ascii="Book Antiqua" w:hAnsi="Book Antiqua"/>
        </w:rPr>
      </w:pPr>
      <w:r w:rsidRPr="00884041">
        <w:rPr>
          <w:rFonts w:ascii="Book Antiqua" w:hAnsi="Book Antiqua"/>
        </w:rPr>
        <w:t xml:space="preserve">21 </w:t>
      </w:r>
      <w:r w:rsidR="00CA02E1" w:rsidRPr="00884041">
        <w:rPr>
          <w:rFonts w:ascii="Book Antiqua" w:hAnsi="Book Antiqua"/>
          <w:b/>
          <w:bCs/>
        </w:rPr>
        <w:t>Kiyici M</w:t>
      </w:r>
      <w:r w:rsidR="00CA02E1" w:rsidRPr="00884041">
        <w:rPr>
          <w:rFonts w:ascii="Book Antiqua" w:hAnsi="Book Antiqua"/>
        </w:rPr>
        <w:t xml:space="preserve">, Gulten M, Gurel S, Nak SG, Dolar E, Savci G, Adim SB, Yerci O, Memik F. Ursodeoxycholic acid and atorvastatin in the treatment of nonalcoholic steatohepatitis. </w:t>
      </w:r>
      <w:r w:rsidR="00CA02E1" w:rsidRPr="00884041">
        <w:rPr>
          <w:rFonts w:ascii="Book Antiqua" w:hAnsi="Book Antiqua"/>
          <w:i/>
          <w:iCs/>
        </w:rPr>
        <w:t>Can J Gastroenterol</w:t>
      </w:r>
      <w:r w:rsidR="00CA02E1" w:rsidRPr="00884041">
        <w:rPr>
          <w:rFonts w:ascii="Book Antiqua" w:hAnsi="Book Antiqua"/>
        </w:rPr>
        <w:t xml:space="preserve"> 2003; </w:t>
      </w:r>
      <w:r w:rsidR="00CA02E1" w:rsidRPr="00884041">
        <w:rPr>
          <w:rFonts w:ascii="Book Antiqua" w:hAnsi="Book Antiqua"/>
          <w:b/>
          <w:bCs/>
        </w:rPr>
        <w:t>17</w:t>
      </w:r>
      <w:r w:rsidR="00CA02E1" w:rsidRPr="00884041">
        <w:rPr>
          <w:rFonts w:ascii="Book Antiqua" w:hAnsi="Book Antiqua"/>
        </w:rPr>
        <w:t>: 713-718 [PMID: 14679419 DOI: 10.1155/2003/857869]</w:t>
      </w:r>
    </w:p>
    <w:p w:rsidR="00CA02E1" w:rsidRPr="00884041" w:rsidRDefault="00046E2A" w:rsidP="00EF6CF8">
      <w:pPr>
        <w:snapToGrid w:val="0"/>
        <w:spacing w:line="360" w:lineRule="auto"/>
        <w:jc w:val="both"/>
        <w:rPr>
          <w:rFonts w:ascii="Book Antiqua" w:hAnsi="Book Antiqua"/>
        </w:rPr>
      </w:pPr>
      <w:r w:rsidRPr="00884041">
        <w:rPr>
          <w:rFonts w:ascii="Book Antiqua" w:hAnsi="Book Antiqua"/>
        </w:rPr>
        <w:t xml:space="preserve">22 </w:t>
      </w:r>
      <w:r w:rsidR="00CA02E1" w:rsidRPr="00884041">
        <w:rPr>
          <w:rFonts w:ascii="Book Antiqua" w:hAnsi="Book Antiqua"/>
          <w:b/>
          <w:bCs/>
        </w:rPr>
        <w:t>Laurin J</w:t>
      </w:r>
      <w:r w:rsidR="00CA02E1" w:rsidRPr="00884041">
        <w:rPr>
          <w:rFonts w:ascii="Book Antiqua" w:hAnsi="Book Antiqua"/>
        </w:rPr>
        <w:t xml:space="preserve">, Lindor KD, Crippin JS, Gossard A, Gores GJ, Ludwig J, Rakela J, McGill DB. Ursodeoxycholic acid or clofibrate in the treatment of non-alcohol-induced steatohepatitis: a pilot study. </w:t>
      </w:r>
      <w:r w:rsidR="00CA02E1" w:rsidRPr="00884041">
        <w:rPr>
          <w:rFonts w:ascii="Book Antiqua" w:hAnsi="Book Antiqua"/>
          <w:i/>
          <w:iCs/>
        </w:rPr>
        <w:t>Hepatology</w:t>
      </w:r>
      <w:r w:rsidR="00CA02E1" w:rsidRPr="00884041">
        <w:rPr>
          <w:rFonts w:ascii="Book Antiqua" w:hAnsi="Book Antiqua"/>
        </w:rPr>
        <w:t xml:space="preserve"> 1996; </w:t>
      </w:r>
      <w:r w:rsidR="00CA02E1" w:rsidRPr="00884041">
        <w:rPr>
          <w:rFonts w:ascii="Book Antiqua" w:hAnsi="Book Antiqua"/>
          <w:b/>
          <w:bCs/>
        </w:rPr>
        <w:t>23</w:t>
      </w:r>
      <w:r w:rsidR="00CA02E1" w:rsidRPr="00884041">
        <w:rPr>
          <w:rFonts w:ascii="Book Antiqua" w:hAnsi="Book Antiqua"/>
        </w:rPr>
        <w:t>: 1464-1467 [PMID: 8675165 DOI: 10.1002/hep.510230624]</w:t>
      </w:r>
    </w:p>
    <w:p w:rsidR="00CA02E1" w:rsidRPr="00884041" w:rsidRDefault="00046E2A" w:rsidP="00EF6CF8">
      <w:pPr>
        <w:snapToGrid w:val="0"/>
        <w:spacing w:line="360" w:lineRule="auto"/>
        <w:jc w:val="both"/>
        <w:rPr>
          <w:rFonts w:ascii="Book Antiqua" w:hAnsi="Book Antiqua"/>
        </w:rPr>
      </w:pPr>
      <w:r w:rsidRPr="00884041">
        <w:rPr>
          <w:rFonts w:ascii="Book Antiqua" w:hAnsi="Book Antiqua"/>
        </w:rPr>
        <w:t xml:space="preserve">23 </w:t>
      </w:r>
      <w:r w:rsidR="00CA02E1" w:rsidRPr="00884041">
        <w:rPr>
          <w:rFonts w:ascii="Book Antiqua" w:hAnsi="Book Antiqua"/>
          <w:b/>
          <w:bCs/>
        </w:rPr>
        <w:t>Dufour JF</w:t>
      </w:r>
      <w:r w:rsidR="00CA02E1" w:rsidRPr="00884041">
        <w:rPr>
          <w:rFonts w:ascii="Book Antiqua" w:hAnsi="Book Antiqua"/>
        </w:rPr>
        <w:t xml:space="preserve">, Oneta CM, Gonvers JJ, Bihl F, Cerny A, Cereda JM, Zala JF, Helbling B, Steuerwald M, Zimmermann A; Swiss Association for the Study of the Liver. Randomized placebo-controlled trial of ursodeoxycholic acid with vitamin e in nonalcoholic steatohepatitis. </w:t>
      </w:r>
      <w:r w:rsidR="00CA02E1" w:rsidRPr="00884041">
        <w:rPr>
          <w:rFonts w:ascii="Book Antiqua" w:hAnsi="Book Antiqua"/>
          <w:i/>
          <w:iCs/>
        </w:rPr>
        <w:t>Clin Gastroenterol Hepatol</w:t>
      </w:r>
      <w:r w:rsidR="00CA02E1" w:rsidRPr="00884041">
        <w:rPr>
          <w:rFonts w:ascii="Book Antiqua" w:hAnsi="Book Antiqua"/>
        </w:rPr>
        <w:t xml:space="preserve"> 2006; </w:t>
      </w:r>
      <w:r w:rsidR="00CA02E1" w:rsidRPr="00884041">
        <w:rPr>
          <w:rFonts w:ascii="Book Antiqua" w:hAnsi="Book Antiqua"/>
          <w:b/>
          <w:bCs/>
        </w:rPr>
        <w:t>4</w:t>
      </w:r>
      <w:r w:rsidR="00CA02E1" w:rsidRPr="00884041">
        <w:rPr>
          <w:rFonts w:ascii="Book Antiqua" w:hAnsi="Book Antiqua"/>
        </w:rPr>
        <w:t>: 1537-1543 [PMID: 17162245 DOI: 10.1016/j.cgh.2006.09.025]</w:t>
      </w:r>
    </w:p>
    <w:p w:rsidR="00CA02E1" w:rsidRPr="00884041" w:rsidRDefault="00046E2A" w:rsidP="00EF6CF8">
      <w:pPr>
        <w:snapToGrid w:val="0"/>
        <w:spacing w:line="360" w:lineRule="auto"/>
        <w:jc w:val="both"/>
        <w:rPr>
          <w:rFonts w:ascii="Book Antiqua" w:hAnsi="Book Antiqua"/>
        </w:rPr>
      </w:pPr>
      <w:r w:rsidRPr="00884041">
        <w:rPr>
          <w:rFonts w:ascii="Book Antiqua" w:hAnsi="Book Antiqua"/>
        </w:rPr>
        <w:t xml:space="preserve">24 </w:t>
      </w:r>
      <w:r w:rsidR="00CA02E1" w:rsidRPr="00884041">
        <w:rPr>
          <w:rFonts w:ascii="Book Antiqua" w:hAnsi="Book Antiqua"/>
          <w:b/>
          <w:bCs/>
        </w:rPr>
        <w:t>Leuschner UF</w:t>
      </w:r>
      <w:r w:rsidR="00CA02E1" w:rsidRPr="00884041">
        <w:rPr>
          <w:rFonts w:ascii="Book Antiqua" w:hAnsi="Book Antiqua"/>
        </w:rPr>
        <w:t xml:space="preserve">, Lindenthal B, Herrmann G, Arnold JC, Rössle M, Cordes HJ, Zeuzem S, Hein J, Berg T; NASH Study Group. High-dose ursodeoxycholic acid therapy for nonalcoholic steatohepatitis: a double-blind, randomized, placebo-controlled trial. </w:t>
      </w:r>
      <w:r w:rsidR="00CA02E1" w:rsidRPr="00884041">
        <w:rPr>
          <w:rFonts w:ascii="Book Antiqua" w:hAnsi="Book Antiqua"/>
          <w:i/>
          <w:iCs/>
        </w:rPr>
        <w:t>Hepatology</w:t>
      </w:r>
      <w:r w:rsidR="00CA02E1" w:rsidRPr="00884041">
        <w:rPr>
          <w:rFonts w:ascii="Book Antiqua" w:hAnsi="Book Antiqua"/>
        </w:rPr>
        <w:t xml:space="preserve"> 2010; </w:t>
      </w:r>
      <w:r w:rsidR="00CA02E1" w:rsidRPr="00884041">
        <w:rPr>
          <w:rFonts w:ascii="Book Antiqua" w:hAnsi="Book Antiqua"/>
          <w:b/>
          <w:bCs/>
        </w:rPr>
        <w:t>52</w:t>
      </w:r>
      <w:r w:rsidR="00CA02E1" w:rsidRPr="00884041">
        <w:rPr>
          <w:rFonts w:ascii="Book Antiqua" w:hAnsi="Book Antiqua"/>
        </w:rPr>
        <w:t>: 472-479 [PMID: 20683947 DOI: 10.1002/hep.23727]</w:t>
      </w:r>
    </w:p>
    <w:p w:rsidR="00D64640" w:rsidRPr="00884041" w:rsidRDefault="00046E2A" w:rsidP="00EF6CF8">
      <w:pPr>
        <w:snapToGrid w:val="0"/>
        <w:spacing w:line="360" w:lineRule="auto"/>
        <w:jc w:val="both"/>
        <w:rPr>
          <w:rFonts w:ascii="Book Antiqua" w:hAnsi="Book Antiqua"/>
        </w:rPr>
      </w:pPr>
      <w:r w:rsidRPr="00884041">
        <w:rPr>
          <w:rFonts w:ascii="Book Antiqua" w:hAnsi="Book Antiqua"/>
        </w:rPr>
        <w:t>25</w:t>
      </w:r>
      <w:r w:rsidR="00AB677F" w:rsidRPr="00884041">
        <w:rPr>
          <w:rFonts w:ascii="Book Antiqua" w:hAnsi="Book Antiqua"/>
        </w:rPr>
        <w:t xml:space="preserve"> </w:t>
      </w:r>
      <w:r w:rsidR="00D64640" w:rsidRPr="00884041">
        <w:rPr>
          <w:rFonts w:ascii="Book Antiqua" w:hAnsi="Book Antiqua"/>
          <w:b/>
          <w:bCs/>
        </w:rPr>
        <w:t>Lapenna D</w:t>
      </w:r>
      <w:r w:rsidR="00D64640" w:rsidRPr="00884041">
        <w:rPr>
          <w:rFonts w:ascii="Book Antiqua" w:hAnsi="Book Antiqua"/>
        </w:rPr>
        <w:t xml:space="preserve">, Ciofani G, Festi D, Neri M, Pierdomenico SD, Giamberardino MA, Cuccurullo F. Antioxidant properties of ursodeoxycholic acid. </w:t>
      </w:r>
      <w:r w:rsidR="00D64640" w:rsidRPr="00884041">
        <w:rPr>
          <w:rFonts w:ascii="Book Antiqua" w:hAnsi="Book Antiqua"/>
          <w:i/>
          <w:iCs/>
        </w:rPr>
        <w:t>Biochem Pharmacol</w:t>
      </w:r>
      <w:r w:rsidR="00D64640" w:rsidRPr="00884041">
        <w:rPr>
          <w:rFonts w:ascii="Book Antiqua" w:hAnsi="Book Antiqua"/>
        </w:rPr>
        <w:t xml:space="preserve"> 2002; </w:t>
      </w:r>
      <w:r w:rsidR="00D64640" w:rsidRPr="00884041">
        <w:rPr>
          <w:rFonts w:ascii="Book Antiqua" w:hAnsi="Book Antiqua"/>
          <w:b/>
          <w:bCs/>
        </w:rPr>
        <w:t>64</w:t>
      </w:r>
      <w:r w:rsidR="00D64640" w:rsidRPr="00884041">
        <w:rPr>
          <w:rFonts w:ascii="Book Antiqua" w:hAnsi="Book Antiqua"/>
        </w:rPr>
        <w:t>: 1661-1667 [PMID: 12429355 DOI: 10.1016/s0006-2952(02)01391-6]</w:t>
      </w:r>
    </w:p>
    <w:p w:rsidR="00D64640" w:rsidRPr="00884041" w:rsidRDefault="00046E2A" w:rsidP="00EF6CF8">
      <w:pPr>
        <w:snapToGrid w:val="0"/>
        <w:spacing w:line="360" w:lineRule="auto"/>
        <w:jc w:val="both"/>
        <w:rPr>
          <w:rFonts w:ascii="Book Antiqua" w:hAnsi="Book Antiqua"/>
        </w:rPr>
      </w:pPr>
      <w:r w:rsidRPr="00884041">
        <w:rPr>
          <w:rFonts w:ascii="Book Antiqua" w:hAnsi="Book Antiqua"/>
        </w:rPr>
        <w:t xml:space="preserve">26 </w:t>
      </w:r>
      <w:r w:rsidR="00D64640" w:rsidRPr="00884041">
        <w:rPr>
          <w:rFonts w:ascii="Book Antiqua" w:hAnsi="Book Antiqua"/>
          <w:b/>
          <w:bCs/>
        </w:rPr>
        <w:t>Qiao L</w:t>
      </w:r>
      <w:r w:rsidR="00D64640" w:rsidRPr="00884041">
        <w:rPr>
          <w:rFonts w:ascii="Book Antiqua" w:hAnsi="Book Antiqua"/>
        </w:rPr>
        <w:t xml:space="preserve">, Yacoub A, Studer E, Gupta S, Pei XY, Grant S, Hylemon PB, Dent P. Inhibition of the MAPK and PI3K pathways enhances UDCA-induced apoptosis in primary rodent hepatocytes. </w:t>
      </w:r>
      <w:r w:rsidR="00D64640" w:rsidRPr="00884041">
        <w:rPr>
          <w:rFonts w:ascii="Book Antiqua" w:hAnsi="Book Antiqua"/>
          <w:i/>
          <w:iCs/>
        </w:rPr>
        <w:t>Hepatology</w:t>
      </w:r>
      <w:r w:rsidR="00D64640" w:rsidRPr="00884041">
        <w:rPr>
          <w:rFonts w:ascii="Book Antiqua" w:hAnsi="Book Antiqua"/>
        </w:rPr>
        <w:t xml:space="preserve"> 2002; </w:t>
      </w:r>
      <w:r w:rsidR="00D64640" w:rsidRPr="00884041">
        <w:rPr>
          <w:rFonts w:ascii="Book Antiqua" w:hAnsi="Book Antiqua"/>
          <w:b/>
          <w:bCs/>
        </w:rPr>
        <w:t>35</w:t>
      </w:r>
      <w:r w:rsidR="00D64640" w:rsidRPr="00884041">
        <w:rPr>
          <w:rFonts w:ascii="Book Antiqua" w:hAnsi="Book Antiqua"/>
        </w:rPr>
        <w:t>: 779-789 [PMID: 11915023 DOI: 10.1053/jhep.2002.32533]</w:t>
      </w:r>
    </w:p>
    <w:p w:rsidR="00D64640" w:rsidRPr="00884041" w:rsidRDefault="00046E2A" w:rsidP="00EF6CF8">
      <w:pPr>
        <w:snapToGrid w:val="0"/>
        <w:spacing w:line="360" w:lineRule="auto"/>
        <w:jc w:val="both"/>
        <w:rPr>
          <w:rFonts w:ascii="Book Antiqua" w:hAnsi="Book Antiqua"/>
        </w:rPr>
      </w:pPr>
      <w:r w:rsidRPr="00884041">
        <w:rPr>
          <w:rFonts w:ascii="Book Antiqua" w:hAnsi="Book Antiqua"/>
        </w:rPr>
        <w:t>27</w:t>
      </w:r>
      <w:r w:rsidR="00AB677F" w:rsidRPr="00884041">
        <w:rPr>
          <w:rFonts w:ascii="Book Antiqua" w:hAnsi="Book Antiqua"/>
        </w:rPr>
        <w:t xml:space="preserve"> </w:t>
      </w:r>
      <w:r w:rsidR="00D64640" w:rsidRPr="00884041">
        <w:rPr>
          <w:rFonts w:ascii="Book Antiqua" w:hAnsi="Book Antiqua"/>
          <w:b/>
          <w:bCs/>
        </w:rPr>
        <w:t>Lukivskaya O</w:t>
      </w:r>
      <w:r w:rsidR="00D64640" w:rsidRPr="00884041">
        <w:rPr>
          <w:rFonts w:ascii="Book Antiqua" w:hAnsi="Book Antiqua"/>
        </w:rPr>
        <w:t xml:space="preserve">, Zavodnik L, Knas M, Buko V. Antioxidant mechanism of hepatoprotection by ursodeoxycholic acid in experimental alcoholic steatohepatitis. </w:t>
      </w:r>
      <w:r w:rsidR="00D64640" w:rsidRPr="00884041">
        <w:rPr>
          <w:rFonts w:ascii="Book Antiqua" w:hAnsi="Book Antiqua"/>
          <w:i/>
          <w:iCs/>
        </w:rPr>
        <w:t>Adv Med Sci</w:t>
      </w:r>
      <w:r w:rsidR="00D64640" w:rsidRPr="00884041">
        <w:rPr>
          <w:rFonts w:ascii="Book Antiqua" w:hAnsi="Book Antiqua"/>
        </w:rPr>
        <w:t xml:space="preserve"> 2006; </w:t>
      </w:r>
      <w:r w:rsidR="00D64640" w:rsidRPr="00884041">
        <w:rPr>
          <w:rFonts w:ascii="Book Antiqua" w:hAnsi="Book Antiqua"/>
          <w:b/>
          <w:bCs/>
        </w:rPr>
        <w:t>51</w:t>
      </w:r>
      <w:r w:rsidR="00D64640" w:rsidRPr="00884041">
        <w:rPr>
          <w:rFonts w:ascii="Book Antiqua" w:hAnsi="Book Antiqua"/>
        </w:rPr>
        <w:t>: 54-59 [PMID: 17357278]</w:t>
      </w:r>
    </w:p>
    <w:p w:rsidR="00D64640" w:rsidRPr="00884041" w:rsidRDefault="00046E2A" w:rsidP="00EF6CF8">
      <w:pPr>
        <w:snapToGrid w:val="0"/>
        <w:spacing w:line="360" w:lineRule="auto"/>
        <w:jc w:val="both"/>
        <w:rPr>
          <w:rFonts w:ascii="Book Antiqua" w:hAnsi="Book Antiqua"/>
        </w:rPr>
      </w:pPr>
      <w:r w:rsidRPr="00884041">
        <w:rPr>
          <w:rFonts w:ascii="Book Antiqua" w:hAnsi="Book Antiqua"/>
        </w:rPr>
        <w:t>28</w:t>
      </w:r>
      <w:r w:rsidR="00AB677F" w:rsidRPr="00884041">
        <w:rPr>
          <w:rFonts w:ascii="Book Antiqua" w:hAnsi="Book Antiqua"/>
        </w:rPr>
        <w:t xml:space="preserve"> </w:t>
      </w:r>
      <w:r w:rsidR="00D64640" w:rsidRPr="00884041">
        <w:rPr>
          <w:rFonts w:ascii="Book Antiqua" w:hAnsi="Book Antiqua"/>
          <w:b/>
          <w:bCs/>
        </w:rPr>
        <w:t>Bernstein C</w:t>
      </w:r>
      <w:r w:rsidR="00D64640" w:rsidRPr="00884041">
        <w:rPr>
          <w:rFonts w:ascii="Book Antiqua" w:hAnsi="Book Antiqua"/>
        </w:rPr>
        <w:t xml:space="preserve">, Payne CM, Bernstein H, Garewal H. Activation of the metallothionein IIA promoter and other key stress response elements by ursodeoxycholate in HepG2 cells: relevance to the cytoprotective function of ursodeoxycholate. </w:t>
      </w:r>
      <w:r w:rsidR="00D64640" w:rsidRPr="00884041">
        <w:rPr>
          <w:rFonts w:ascii="Book Antiqua" w:hAnsi="Book Antiqua"/>
          <w:i/>
          <w:iCs/>
        </w:rPr>
        <w:t>Pharmacology</w:t>
      </w:r>
      <w:r w:rsidR="00D64640" w:rsidRPr="00884041">
        <w:rPr>
          <w:rFonts w:ascii="Book Antiqua" w:hAnsi="Book Antiqua"/>
        </w:rPr>
        <w:t xml:space="preserve"> 2002; </w:t>
      </w:r>
      <w:r w:rsidR="00D64640" w:rsidRPr="00884041">
        <w:rPr>
          <w:rFonts w:ascii="Book Antiqua" w:hAnsi="Book Antiqua"/>
          <w:b/>
          <w:bCs/>
        </w:rPr>
        <w:t>65</w:t>
      </w:r>
      <w:r w:rsidR="00D64640" w:rsidRPr="00884041">
        <w:rPr>
          <w:rFonts w:ascii="Book Antiqua" w:hAnsi="Book Antiqua"/>
        </w:rPr>
        <w:t>: 2-9 [PMID: 11901295 DOI: 10.1159/000056179]</w:t>
      </w:r>
    </w:p>
    <w:p w:rsidR="00D64640" w:rsidRPr="00884041" w:rsidRDefault="00046E2A" w:rsidP="00EF6CF8">
      <w:pPr>
        <w:snapToGrid w:val="0"/>
        <w:spacing w:line="360" w:lineRule="auto"/>
        <w:jc w:val="both"/>
        <w:rPr>
          <w:rFonts w:ascii="Book Antiqua" w:hAnsi="Book Antiqua"/>
        </w:rPr>
      </w:pPr>
      <w:r w:rsidRPr="00884041">
        <w:rPr>
          <w:rFonts w:ascii="Book Antiqua" w:hAnsi="Book Antiqua"/>
        </w:rPr>
        <w:t>29</w:t>
      </w:r>
      <w:r w:rsidR="00AB677F" w:rsidRPr="00884041">
        <w:rPr>
          <w:rFonts w:ascii="Book Antiqua" w:hAnsi="Book Antiqua"/>
        </w:rPr>
        <w:t xml:space="preserve"> </w:t>
      </w:r>
      <w:r w:rsidR="00D64640" w:rsidRPr="00884041">
        <w:rPr>
          <w:rFonts w:ascii="Book Antiqua" w:hAnsi="Book Antiqua"/>
          <w:b/>
          <w:bCs/>
        </w:rPr>
        <w:t>Ljubuncic P</w:t>
      </w:r>
      <w:r w:rsidR="00D64640" w:rsidRPr="00884041">
        <w:rPr>
          <w:rFonts w:ascii="Book Antiqua" w:hAnsi="Book Antiqua"/>
        </w:rPr>
        <w:t xml:space="preserve">, Fuhrman B, Oiknine J, Aviram M, Bomzon A. Effect of deoxycholic acid and ursodeoxycholic acid on lipid peroxidation in cultured macrophages. </w:t>
      </w:r>
      <w:r w:rsidR="00D64640" w:rsidRPr="00884041">
        <w:rPr>
          <w:rFonts w:ascii="Book Antiqua" w:hAnsi="Book Antiqua"/>
          <w:i/>
          <w:iCs/>
        </w:rPr>
        <w:t>Gut</w:t>
      </w:r>
      <w:r w:rsidR="00D64640" w:rsidRPr="00884041">
        <w:rPr>
          <w:rFonts w:ascii="Book Antiqua" w:hAnsi="Book Antiqua"/>
        </w:rPr>
        <w:t xml:space="preserve"> 1996; </w:t>
      </w:r>
      <w:r w:rsidR="00D64640" w:rsidRPr="00884041">
        <w:rPr>
          <w:rFonts w:ascii="Book Antiqua" w:hAnsi="Book Antiqua"/>
          <w:b/>
          <w:bCs/>
        </w:rPr>
        <w:t>39</w:t>
      </w:r>
      <w:r w:rsidR="00D64640" w:rsidRPr="00884041">
        <w:rPr>
          <w:rFonts w:ascii="Book Antiqua" w:hAnsi="Book Antiqua"/>
        </w:rPr>
        <w:t>: 475-478 [PMID: 8949657 DOI: 10.1136/gut.39.3.475]</w:t>
      </w:r>
    </w:p>
    <w:p w:rsidR="00D64640" w:rsidRPr="00884041" w:rsidRDefault="00046E2A" w:rsidP="00EF6CF8">
      <w:pPr>
        <w:snapToGrid w:val="0"/>
        <w:spacing w:line="360" w:lineRule="auto"/>
        <w:jc w:val="both"/>
        <w:rPr>
          <w:rFonts w:ascii="Book Antiqua" w:hAnsi="Book Antiqua"/>
        </w:rPr>
      </w:pPr>
      <w:r w:rsidRPr="00884041">
        <w:rPr>
          <w:rFonts w:ascii="Book Antiqua" w:hAnsi="Book Antiqua"/>
        </w:rPr>
        <w:t xml:space="preserve">30 </w:t>
      </w:r>
      <w:r w:rsidR="00D64640" w:rsidRPr="00884041">
        <w:rPr>
          <w:rFonts w:ascii="Book Antiqua" w:hAnsi="Book Antiqua"/>
          <w:b/>
          <w:bCs/>
        </w:rPr>
        <w:t>Schwarzenberg SJ</w:t>
      </w:r>
      <w:r w:rsidR="00D64640" w:rsidRPr="00884041">
        <w:rPr>
          <w:rFonts w:ascii="Book Antiqua" w:hAnsi="Book Antiqua"/>
        </w:rPr>
        <w:t xml:space="preserve">, Bundy M. Ursodeoxycholic acid modifies gut-derived endotoxemia in neonatal rats. </w:t>
      </w:r>
      <w:r w:rsidR="00D64640" w:rsidRPr="00884041">
        <w:rPr>
          <w:rFonts w:ascii="Book Antiqua" w:hAnsi="Book Antiqua"/>
          <w:i/>
          <w:iCs/>
        </w:rPr>
        <w:t>Pediatr Res</w:t>
      </w:r>
      <w:r w:rsidR="00D64640" w:rsidRPr="00884041">
        <w:rPr>
          <w:rFonts w:ascii="Book Antiqua" w:hAnsi="Book Antiqua"/>
        </w:rPr>
        <w:t xml:space="preserve"> 1994; </w:t>
      </w:r>
      <w:r w:rsidR="00D64640" w:rsidRPr="00884041">
        <w:rPr>
          <w:rFonts w:ascii="Book Antiqua" w:hAnsi="Book Antiqua"/>
          <w:b/>
          <w:bCs/>
        </w:rPr>
        <w:t>35</w:t>
      </w:r>
      <w:r w:rsidR="00D64640" w:rsidRPr="00884041">
        <w:rPr>
          <w:rFonts w:ascii="Book Antiqua" w:hAnsi="Book Antiqua"/>
        </w:rPr>
        <w:t>: 214-217 [PMID: 8165057 DOI: 10.1203/00006450-199402000-00018]</w:t>
      </w:r>
    </w:p>
    <w:p w:rsidR="00D64640" w:rsidRPr="00884041" w:rsidRDefault="00046E2A" w:rsidP="00EF6CF8">
      <w:pPr>
        <w:snapToGrid w:val="0"/>
        <w:spacing w:line="360" w:lineRule="auto"/>
        <w:jc w:val="both"/>
        <w:rPr>
          <w:rFonts w:ascii="Book Antiqua" w:hAnsi="Book Antiqua"/>
        </w:rPr>
      </w:pPr>
      <w:r w:rsidRPr="00884041">
        <w:rPr>
          <w:rFonts w:ascii="Book Antiqua" w:hAnsi="Book Antiqua"/>
        </w:rPr>
        <w:t xml:space="preserve">31 </w:t>
      </w:r>
      <w:r w:rsidR="00D64640" w:rsidRPr="00884041">
        <w:rPr>
          <w:rFonts w:ascii="Book Antiqua" w:hAnsi="Book Antiqua"/>
          <w:b/>
          <w:bCs/>
        </w:rPr>
        <w:t>Lim SC</w:t>
      </w:r>
      <w:r w:rsidR="00D64640" w:rsidRPr="00884041">
        <w:rPr>
          <w:rFonts w:ascii="Book Antiqua" w:hAnsi="Book Antiqua"/>
        </w:rPr>
        <w:t xml:space="preserve">, Duong HQ, Parajuli KR, Han SI. Pro-apoptotic role of the MEK/ERK pathway in ursodeoxycholic acid-induced apoptosis in SNU601 gastric cancer cells. </w:t>
      </w:r>
      <w:r w:rsidR="00D64640" w:rsidRPr="00884041">
        <w:rPr>
          <w:rFonts w:ascii="Book Antiqua" w:hAnsi="Book Antiqua"/>
          <w:i/>
          <w:iCs/>
        </w:rPr>
        <w:t>Oncol Rep</w:t>
      </w:r>
      <w:r w:rsidR="00D64640" w:rsidRPr="00884041">
        <w:rPr>
          <w:rFonts w:ascii="Book Antiqua" w:hAnsi="Book Antiqua"/>
        </w:rPr>
        <w:t xml:space="preserve"> 2012; </w:t>
      </w:r>
      <w:r w:rsidR="00D64640" w:rsidRPr="00884041">
        <w:rPr>
          <w:rFonts w:ascii="Book Antiqua" w:hAnsi="Book Antiqua"/>
          <w:b/>
          <w:bCs/>
        </w:rPr>
        <w:t>28</w:t>
      </w:r>
      <w:r w:rsidR="00D64640" w:rsidRPr="00884041">
        <w:rPr>
          <w:rFonts w:ascii="Book Antiqua" w:hAnsi="Book Antiqua"/>
        </w:rPr>
        <w:t>: 1429-1434 [PMID: 22824956 DOI: 10.3892/or.2012.1918]</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32 </w:t>
      </w:r>
      <w:r w:rsidRPr="00884041">
        <w:rPr>
          <w:rFonts w:ascii="Book Antiqua" w:hAnsi="Book Antiqua"/>
          <w:b/>
          <w:bCs/>
        </w:rPr>
        <w:t>Arisawa S</w:t>
      </w:r>
      <w:r w:rsidRPr="00884041">
        <w:rPr>
          <w:rFonts w:ascii="Book Antiqua" w:hAnsi="Book Antiqua"/>
        </w:rPr>
        <w:t xml:space="preserve">, Ishida K, Kameyama N, Ueyama J, Hattori A, Tatsumi Y, Hayashi H, Yano M, Hayashi K, Katano Y, Goto H, Takagi K, Wakusawa S. Ursodeoxycholic acid induces glutathione synthesis through activation of PI3K/Akt pathway in HepG2 cells. </w:t>
      </w:r>
      <w:r w:rsidRPr="00884041">
        <w:rPr>
          <w:rFonts w:ascii="Book Antiqua" w:hAnsi="Book Antiqua"/>
          <w:i/>
          <w:iCs/>
        </w:rPr>
        <w:t>Biochem Pharmacol</w:t>
      </w:r>
      <w:r w:rsidRPr="00884041">
        <w:rPr>
          <w:rFonts w:ascii="Book Antiqua" w:hAnsi="Book Antiqua"/>
        </w:rPr>
        <w:t xml:space="preserve"> 2009; </w:t>
      </w:r>
      <w:r w:rsidRPr="00884041">
        <w:rPr>
          <w:rFonts w:ascii="Book Antiqua" w:hAnsi="Book Antiqua"/>
          <w:b/>
          <w:bCs/>
        </w:rPr>
        <w:t>77</w:t>
      </w:r>
      <w:r w:rsidRPr="00884041">
        <w:rPr>
          <w:rFonts w:ascii="Book Antiqua" w:hAnsi="Book Antiqua"/>
        </w:rPr>
        <w:t>: 858-866 [PMID: 19073151 DOI: 10.1016/j.bcp.2008.11.012]</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33 </w:t>
      </w:r>
      <w:r w:rsidRPr="00884041">
        <w:rPr>
          <w:rFonts w:ascii="Book Antiqua" w:hAnsi="Book Antiqua"/>
          <w:b/>
          <w:bCs/>
        </w:rPr>
        <w:t>Li C</w:t>
      </w:r>
      <w:r w:rsidRPr="00884041">
        <w:rPr>
          <w:rFonts w:ascii="Book Antiqua" w:hAnsi="Book Antiqua"/>
        </w:rPr>
        <w:t xml:space="preserve">, Zhang S, Li L, Hu Q, Ji S. Ursodeoxycholic Acid Protects Against Arsenic Induced Hepatotoxicity by the Nrf2 Signaling Pathway. </w:t>
      </w:r>
      <w:r w:rsidRPr="00884041">
        <w:rPr>
          <w:rFonts w:ascii="Book Antiqua" w:hAnsi="Book Antiqua"/>
          <w:i/>
          <w:iCs/>
        </w:rPr>
        <w:t>Front Pharmacol</w:t>
      </w:r>
      <w:r w:rsidRPr="00884041">
        <w:rPr>
          <w:rFonts w:ascii="Book Antiqua" w:hAnsi="Book Antiqua"/>
        </w:rPr>
        <w:t xml:space="preserve"> 2020; </w:t>
      </w:r>
      <w:r w:rsidRPr="00884041">
        <w:rPr>
          <w:rFonts w:ascii="Book Antiqua" w:hAnsi="Book Antiqua"/>
          <w:b/>
          <w:bCs/>
        </w:rPr>
        <w:t>11</w:t>
      </w:r>
      <w:r w:rsidRPr="00884041">
        <w:rPr>
          <w:rFonts w:ascii="Book Antiqua" w:hAnsi="Book Antiqua"/>
        </w:rPr>
        <w:t>: 594496 [PMID: 33178028 DOI: 10.3389/fphar.2020.594496]</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34 </w:t>
      </w:r>
      <w:r w:rsidRPr="00884041">
        <w:rPr>
          <w:rFonts w:ascii="Book Antiqua" w:hAnsi="Book Antiqua"/>
          <w:b/>
          <w:bCs/>
        </w:rPr>
        <w:t>Huang YS</w:t>
      </w:r>
      <w:r w:rsidRPr="00884041">
        <w:rPr>
          <w:rFonts w:ascii="Book Antiqua" w:hAnsi="Book Antiqua"/>
        </w:rPr>
        <w:t xml:space="preserve">, Wang LX, Sun L, Wu Y, Lu JM, Zhao SC, Dai FM, Xu BS, Wang SR. Elevated peroxidative glutathione redox status in atherosclerotic patients with increased thickness of carotid intima media. </w:t>
      </w:r>
      <w:r w:rsidRPr="00884041">
        <w:rPr>
          <w:rFonts w:ascii="Book Antiqua" w:hAnsi="Book Antiqua"/>
          <w:i/>
          <w:iCs/>
        </w:rPr>
        <w:t>Chin Med J (Engl)</w:t>
      </w:r>
      <w:r w:rsidRPr="00884041">
        <w:rPr>
          <w:rFonts w:ascii="Book Antiqua" w:hAnsi="Book Antiqua"/>
        </w:rPr>
        <w:t xml:space="preserve"> 2009; </w:t>
      </w:r>
      <w:r w:rsidRPr="00884041">
        <w:rPr>
          <w:rFonts w:ascii="Book Antiqua" w:hAnsi="Book Antiqua"/>
          <w:b/>
          <w:bCs/>
        </w:rPr>
        <w:t>122</w:t>
      </w:r>
      <w:r w:rsidRPr="00884041">
        <w:rPr>
          <w:rFonts w:ascii="Book Antiqua" w:hAnsi="Book Antiqua"/>
        </w:rPr>
        <w:t>: 2827-2832 [PMID: 20092785]</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35 </w:t>
      </w:r>
      <w:r w:rsidRPr="00884041">
        <w:rPr>
          <w:rFonts w:ascii="Book Antiqua" w:hAnsi="Book Antiqua"/>
          <w:b/>
          <w:bCs/>
        </w:rPr>
        <w:t>Leach NV</w:t>
      </w:r>
      <w:r w:rsidRPr="00884041">
        <w:rPr>
          <w:rFonts w:ascii="Book Antiqua" w:hAnsi="Book Antiqua"/>
        </w:rPr>
        <w:t xml:space="preserve">, Dronca E, Vesa SC, Sampelean DP, Craciun EC, Lupsor M, Crisan D, Tarau R, Rusu R, Para I, Grigorescu M. Serum homocysteine levels, oxidative stress and cardiovascular risk in non-alcoholic steatohepatitis. </w:t>
      </w:r>
      <w:r w:rsidRPr="00884041">
        <w:rPr>
          <w:rFonts w:ascii="Book Antiqua" w:hAnsi="Book Antiqua"/>
          <w:i/>
          <w:iCs/>
        </w:rPr>
        <w:t>Eur J Intern Med</w:t>
      </w:r>
      <w:r w:rsidRPr="00884041">
        <w:rPr>
          <w:rFonts w:ascii="Book Antiqua" w:hAnsi="Book Antiqua"/>
        </w:rPr>
        <w:t xml:space="preserve"> 2014; </w:t>
      </w:r>
      <w:r w:rsidRPr="00884041">
        <w:rPr>
          <w:rFonts w:ascii="Book Antiqua" w:hAnsi="Book Antiqua"/>
          <w:b/>
          <w:bCs/>
        </w:rPr>
        <w:t>25</w:t>
      </w:r>
      <w:r w:rsidRPr="00884041">
        <w:rPr>
          <w:rFonts w:ascii="Book Antiqua" w:hAnsi="Book Antiqua"/>
        </w:rPr>
        <w:t>: 762-767 [PMID: 25262992 DOI: 10.1016/j.ejim.2014.09.007]</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36 </w:t>
      </w:r>
      <w:r w:rsidRPr="00884041">
        <w:rPr>
          <w:rFonts w:ascii="Book Antiqua" w:hAnsi="Book Antiqua"/>
          <w:b/>
          <w:bCs/>
        </w:rPr>
        <w:t>Jensen MD</w:t>
      </w:r>
      <w:r w:rsidRPr="00884041">
        <w:rPr>
          <w:rFonts w:ascii="Book Antiqua" w:hAnsi="Book Antiqua"/>
        </w:rPr>
        <w:t xml:space="preserve">, Ryan DH, Apovian CM, Ard JD, Comuzzie AG, Donato KA, Hu FB, Hubbard VS, Jakicic JM, Kushner RF, Loria CM, Millen BE, Nonas CA, Pi-Sunyer FX, Stevens J, Stevens VJ, Wadden TA, Wolfe BM, Yanovski SZ; American College of Cardiology/American Heart Association Task Force on Practice Guidelines; Obesity Society. 2013 AHA/ACC/TOS guideline for the management of overweight and obesity in adults: a report of the American College of Cardiology/American Heart Association Task Force on Practice Guidelines and The Obesity Society. </w:t>
      </w:r>
      <w:r w:rsidRPr="00884041">
        <w:rPr>
          <w:rFonts w:ascii="Book Antiqua" w:hAnsi="Book Antiqua"/>
          <w:i/>
          <w:iCs/>
        </w:rPr>
        <w:t>J Am Coll Cardiol</w:t>
      </w:r>
      <w:r w:rsidRPr="00884041">
        <w:rPr>
          <w:rFonts w:ascii="Book Antiqua" w:hAnsi="Book Antiqua"/>
        </w:rPr>
        <w:t xml:space="preserve"> 2014; </w:t>
      </w:r>
      <w:r w:rsidRPr="00884041">
        <w:rPr>
          <w:rFonts w:ascii="Book Antiqua" w:hAnsi="Book Antiqua"/>
          <w:b/>
          <w:bCs/>
        </w:rPr>
        <w:t>63</w:t>
      </w:r>
      <w:r w:rsidRPr="00884041">
        <w:rPr>
          <w:rFonts w:ascii="Book Antiqua" w:hAnsi="Book Antiqua"/>
        </w:rPr>
        <w:t>: 2985-3023 [PMID: 24239920 DOI: 10.1016/j.jacc.2013.11.004]</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37 </w:t>
      </w:r>
      <w:r w:rsidRPr="00884041">
        <w:rPr>
          <w:rFonts w:ascii="Book Antiqua" w:hAnsi="Book Antiqua"/>
          <w:b/>
          <w:bCs/>
        </w:rPr>
        <w:t>Grundy SM</w:t>
      </w:r>
      <w:r w:rsidRPr="00884041">
        <w:rPr>
          <w:rFonts w:ascii="Book Antiqua" w:hAnsi="Book Antiqua"/>
        </w:rPr>
        <w:t xml:space="preserve">, Cleeman JI, Daniels SR, Donato KA, Eckel RH, Franklin BA, Gordon DJ, Krauss RM, Savage PJ, Smith SC Jr, Spertus JA, Fernando Costa. Diagnosis and management of the metabolic syndrome: an American Heart Association/National Heart, Lung, and Blood Institute scientific statement: Executive Summary. </w:t>
      </w:r>
      <w:r w:rsidRPr="00884041">
        <w:rPr>
          <w:rFonts w:ascii="Book Antiqua" w:hAnsi="Book Antiqua"/>
          <w:i/>
          <w:iCs/>
        </w:rPr>
        <w:t>Crit Pathw Cardiol</w:t>
      </w:r>
      <w:r w:rsidRPr="00884041">
        <w:rPr>
          <w:rFonts w:ascii="Book Antiqua" w:hAnsi="Book Antiqua"/>
        </w:rPr>
        <w:t xml:space="preserve"> 2005; </w:t>
      </w:r>
      <w:r w:rsidRPr="00884041">
        <w:rPr>
          <w:rFonts w:ascii="Book Antiqua" w:hAnsi="Book Antiqua"/>
          <w:b/>
          <w:bCs/>
        </w:rPr>
        <w:t>4</w:t>
      </w:r>
      <w:r w:rsidRPr="00884041">
        <w:rPr>
          <w:rFonts w:ascii="Book Antiqua" w:hAnsi="Book Antiqua"/>
        </w:rPr>
        <w:t>: 198-203 [PMID: 18340209 DOI: 10.1097/00132577-200512000-00018]</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38 </w:t>
      </w:r>
      <w:r w:rsidRPr="00884041">
        <w:rPr>
          <w:rFonts w:ascii="Book Antiqua" w:hAnsi="Book Antiqua"/>
          <w:b/>
          <w:bCs/>
        </w:rPr>
        <w:t>Bedogni G</w:t>
      </w:r>
      <w:r w:rsidRPr="00884041">
        <w:rPr>
          <w:rFonts w:ascii="Book Antiqua" w:hAnsi="Book Antiqua"/>
        </w:rPr>
        <w:t xml:space="preserve">, Bellentani S, Miglioli L, Masutti F, Passalacqua M, Castiglione A, Tiribelli C. The Fatty Liver Index: a simple and accurate predictor of hepatic steatosis in the general population. </w:t>
      </w:r>
      <w:r w:rsidRPr="00884041">
        <w:rPr>
          <w:rFonts w:ascii="Book Antiqua" w:hAnsi="Book Antiqua"/>
          <w:i/>
          <w:iCs/>
        </w:rPr>
        <w:t>BMC Gastroenterol</w:t>
      </w:r>
      <w:r w:rsidRPr="00884041">
        <w:rPr>
          <w:rFonts w:ascii="Book Antiqua" w:hAnsi="Book Antiqua"/>
        </w:rPr>
        <w:t xml:space="preserve"> 2006; </w:t>
      </w:r>
      <w:r w:rsidRPr="00884041">
        <w:rPr>
          <w:rFonts w:ascii="Book Antiqua" w:hAnsi="Book Antiqua"/>
          <w:b/>
          <w:bCs/>
        </w:rPr>
        <w:t>6</w:t>
      </w:r>
      <w:r w:rsidRPr="00884041">
        <w:rPr>
          <w:rFonts w:ascii="Book Antiqua" w:hAnsi="Book Antiqua"/>
        </w:rPr>
        <w:t>: 33 [PMID: 17081293 DOI: 10.1186/1471-230X-6-33]</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39 </w:t>
      </w:r>
      <w:r w:rsidRPr="00884041">
        <w:rPr>
          <w:rFonts w:ascii="Book Antiqua" w:hAnsi="Book Antiqua"/>
          <w:b/>
          <w:bCs/>
        </w:rPr>
        <w:t>European Association for Study of Liver</w:t>
      </w:r>
      <w:r w:rsidRPr="00884041">
        <w:rPr>
          <w:rFonts w:ascii="Book Antiqua" w:hAnsi="Book Antiqua"/>
        </w:rPr>
        <w:t xml:space="preserve">; Asociacion Latinoamericana para el Estudio del Higado. EASL-ALEH Clinical Practice Guidelines: Non-invasive tests for evaluation of liver disease severity and prognosis. </w:t>
      </w:r>
      <w:r w:rsidRPr="00884041">
        <w:rPr>
          <w:rFonts w:ascii="Book Antiqua" w:hAnsi="Book Antiqua"/>
          <w:i/>
          <w:iCs/>
        </w:rPr>
        <w:t>J Hepatol</w:t>
      </w:r>
      <w:r w:rsidRPr="00884041">
        <w:rPr>
          <w:rFonts w:ascii="Book Antiqua" w:hAnsi="Book Antiqua"/>
        </w:rPr>
        <w:t xml:space="preserve"> 2015; </w:t>
      </w:r>
      <w:r w:rsidRPr="00884041">
        <w:rPr>
          <w:rFonts w:ascii="Book Antiqua" w:hAnsi="Book Antiqua"/>
          <w:b/>
          <w:bCs/>
        </w:rPr>
        <w:t>63</w:t>
      </w:r>
      <w:r w:rsidRPr="00884041">
        <w:rPr>
          <w:rFonts w:ascii="Book Antiqua" w:hAnsi="Book Antiqua"/>
        </w:rPr>
        <w:t>: 237-264 [PMID: 25911335 DOI: 10.1016/j.jhep.2015.04.006]</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40 </w:t>
      </w:r>
      <w:r w:rsidRPr="00884041">
        <w:rPr>
          <w:rFonts w:ascii="Book Antiqua" w:hAnsi="Book Antiqua"/>
          <w:b/>
          <w:bCs/>
        </w:rPr>
        <w:t>Lloyd-Jones DM</w:t>
      </w:r>
      <w:r w:rsidRPr="00884041">
        <w:rPr>
          <w:rFonts w:ascii="Book Antiqua" w:hAnsi="Book Antiqua"/>
        </w:rPr>
        <w:t xml:space="preserve">, Huffman MD, Karmali KN, Sanghavi DM, Wright JS, Pelser C, Gulati M, Masoudi FA, Goff DC Jr. Estimating Longitudinal Risks and Benefits From Cardiovascular Preventive Therapies Among Medicare Patients: The Million Hearts Longitudinal ASCVD Risk Assessment Tool: A Special Report From the American Heart Association and American College of Cardiology. </w:t>
      </w:r>
      <w:r w:rsidRPr="00884041">
        <w:rPr>
          <w:rFonts w:ascii="Book Antiqua" w:hAnsi="Book Antiqua"/>
          <w:i/>
          <w:iCs/>
        </w:rPr>
        <w:t>J Am Coll Cardiol</w:t>
      </w:r>
      <w:r w:rsidRPr="00884041">
        <w:rPr>
          <w:rFonts w:ascii="Book Antiqua" w:hAnsi="Book Antiqua"/>
        </w:rPr>
        <w:t xml:space="preserve"> 2017; </w:t>
      </w:r>
      <w:r w:rsidRPr="00884041">
        <w:rPr>
          <w:rFonts w:ascii="Book Antiqua" w:hAnsi="Book Antiqua"/>
          <w:b/>
          <w:bCs/>
        </w:rPr>
        <w:t>69</w:t>
      </w:r>
      <w:r w:rsidRPr="00884041">
        <w:rPr>
          <w:rFonts w:ascii="Book Antiqua" w:hAnsi="Book Antiqua"/>
        </w:rPr>
        <w:t>: 1617-1636 [PMID: 27825770 DOI: 10.1016/j.jacc.2016.10.018]</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41 </w:t>
      </w:r>
      <w:r w:rsidRPr="00884041">
        <w:rPr>
          <w:rFonts w:ascii="Book Antiqua" w:hAnsi="Book Antiqua"/>
          <w:b/>
          <w:bCs/>
        </w:rPr>
        <w:t xml:space="preserve">Simova I. </w:t>
      </w:r>
      <w:r w:rsidRPr="00884041">
        <w:rPr>
          <w:rFonts w:ascii="Book Antiqua" w:hAnsi="Book Antiqua"/>
          <w:bCs/>
        </w:rPr>
        <w:t>Intima-media thickness: appropriate evaluation and proper measurement,</w:t>
      </w:r>
      <w:r w:rsidRPr="00884041">
        <w:rPr>
          <w:rFonts w:ascii="Book Antiqua" w:hAnsi="Book Antiqua"/>
        </w:rPr>
        <w:t xml:space="preserve"> described. An article from the e-journal of the ESC Council for Cardiology Practice. European Society of Cardiology</w:t>
      </w:r>
      <w:r w:rsidRPr="00884041">
        <w:rPr>
          <w:rFonts w:ascii="Book Antiqua" w:hAnsi="Book Antiqua"/>
          <w:i/>
        </w:rPr>
        <w:t xml:space="preserve"> </w:t>
      </w:r>
      <w:r w:rsidRPr="00884041">
        <w:rPr>
          <w:rFonts w:ascii="Book Antiqua" w:hAnsi="Book Antiqua"/>
        </w:rPr>
        <w:t>2015</w:t>
      </w:r>
      <w:r w:rsidR="00E15A8B" w:rsidRPr="00884041">
        <w:rPr>
          <w:rFonts w:ascii="Book Antiqua" w:hAnsi="Book Antiqua"/>
        </w:rPr>
        <w:t>. Available from: https://www.escardio.org/Journals/E-Journal-of-Cardiology-Practice/Volume-13/Intima-media-thickness-Appropriate-evaluation-and-proper-measurement-described</w:t>
      </w:r>
      <w:r w:rsidR="00E34C17" w:rsidRPr="00884041">
        <w:rPr>
          <w:rFonts w:ascii="Book Antiqua" w:hAnsi="Book Antiqua"/>
        </w:rPr>
        <w:t xml:space="preserve"> </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42 </w:t>
      </w:r>
      <w:r w:rsidRPr="00884041">
        <w:rPr>
          <w:rFonts w:ascii="Book Antiqua" w:hAnsi="Book Antiqua"/>
          <w:b/>
          <w:bCs/>
        </w:rPr>
        <w:t>Engelen L</w:t>
      </w:r>
      <w:r w:rsidRPr="00884041">
        <w:rPr>
          <w:rFonts w:ascii="Book Antiqua" w:hAnsi="Book Antiqua"/>
        </w:rPr>
        <w:t xml:space="preserve">, Ferreira I, Stehouwer CD, Boutouyrie P, Laurent S; Reference Values for Arterial Measurements Collaboration. Reference intervals for common carotid intima-media thickness measured with echotracking: relation with risk factors. </w:t>
      </w:r>
      <w:r w:rsidRPr="00884041">
        <w:rPr>
          <w:rFonts w:ascii="Book Antiqua" w:hAnsi="Book Antiqua"/>
          <w:i/>
          <w:iCs/>
        </w:rPr>
        <w:t>Eur Heart J</w:t>
      </w:r>
      <w:r w:rsidRPr="00884041">
        <w:rPr>
          <w:rFonts w:ascii="Book Antiqua" w:hAnsi="Book Antiqua"/>
        </w:rPr>
        <w:t xml:space="preserve"> 2013; </w:t>
      </w:r>
      <w:r w:rsidRPr="00884041">
        <w:rPr>
          <w:rFonts w:ascii="Book Antiqua" w:hAnsi="Book Antiqua"/>
          <w:b/>
          <w:bCs/>
        </w:rPr>
        <w:t>34</w:t>
      </w:r>
      <w:r w:rsidRPr="00884041">
        <w:rPr>
          <w:rFonts w:ascii="Book Antiqua" w:hAnsi="Book Antiqua"/>
        </w:rPr>
        <w:t>: 2368-2380 [PMID: 23186808 DOI: 10.1093/eurheartj/ehs380]</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43 </w:t>
      </w:r>
      <w:r w:rsidRPr="00884041">
        <w:rPr>
          <w:rFonts w:ascii="Book Antiqua" w:hAnsi="Book Antiqua"/>
          <w:b/>
          <w:bCs/>
        </w:rPr>
        <w:t>Marjot T</w:t>
      </w:r>
      <w:r w:rsidRPr="00884041">
        <w:rPr>
          <w:rFonts w:ascii="Book Antiqua" w:hAnsi="Book Antiqua"/>
        </w:rPr>
        <w:t xml:space="preserve">, Moolla A, Cobbold JF, Hodson L, Tomlinson JW. Nonalcoholic Fatty Liver Disease in Adults: Current Concepts in Etiology, Outcomes, and Management. </w:t>
      </w:r>
      <w:r w:rsidRPr="00884041">
        <w:rPr>
          <w:rFonts w:ascii="Book Antiqua" w:hAnsi="Book Antiqua"/>
          <w:i/>
          <w:iCs/>
        </w:rPr>
        <w:t>Endocr Rev</w:t>
      </w:r>
      <w:r w:rsidRPr="00884041">
        <w:rPr>
          <w:rFonts w:ascii="Book Antiqua" w:hAnsi="Book Antiqua"/>
        </w:rPr>
        <w:t xml:space="preserve"> 2020; </w:t>
      </w:r>
      <w:r w:rsidRPr="00884041">
        <w:rPr>
          <w:rFonts w:ascii="Book Antiqua" w:hAnsi="Book Antiqua"/>
          <w:b/>
          <w:bCs/>
        </w:rPr>
        <w:t>41</w:t>
      </w:r>
      <w:r w:rsidRPr="00884041">
        <w:rPr>
          <w:rFonts w:ascii="Book Antiqua" w:hAnsi="Book Antiqua"/>
        </w:rPr>
        <w:t xml:space="preserve"> [PMID: 31629366 DOI: 10.1210/endrev/bnz009]</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44 </w:t>
      </w:r>
      <w:r w:rsidRPr="00884041">
        <w:rPr>
          <w:rFonts w:ascii="Book Antiqua" w:hAnsi="Book Antiqua"/>
          <w:b/>
          <w:bCs/>
        </w:rPr>
        <w:t>Ballestri S</w:t>
      </w:r>
      <w:r w:rsidRPr="00884041">
        <w:rPr>
          <w:rFonts w:ascii="Book Antiqua" w:hAnsi="Book Antiqua"/>
        </w:rPr>
        <w:t xml:space="preserve">, Nascimbeni F, Baldelli E, Marrazzo A, Romagnoli D, Lonardo A. NAFLD as a Sexual Dimorphic Disease: Role of Gender and Reproductive Status in the Development and Progression of Nonalcoholic Fatty Liver Disease and Inherent Cardiovascular Risk. </w:t>
      </w:r>
      <w:r w:rsidRPr="00884041">
        <w:rPr>
          <w:rFonts w:ascii="Book Antiqua" w:hAnsi="Book Antiqua"/>
          <w:i/>
          <w:iCs/>
        </w:rPr>
        <w:t>Adv Ther</w:t>
      </w:r>
      <w:r w:rsidRPr="00884041">
        <w:rPr>
          <w:rFonts w:ascii="Book Antiqua" w:hAnsi="Book Antiqua"/>
        </w:rPr>
        <w:t xml:space="preserve"> 2017; </w:t>
      </w:r>
      <w:r w:rsidRPr="00884041">
        <w:rPr>
          <w:rFonts w:ascii="Book Antiqua" w:hAnsi="Book Antiqua"/>
          <w:b/>
          <w:bCs/>
        </w:rPr>
        <w:t>34</w:t>
      </w:r>
      <w:r w:rsidRPr="00884041">
        <w:rPr>
          <w:rFonts w:ascii="Book Antiqua" w:hAnsi="Book Antiqua"/>
        </w:rPr>
        <w:t>: 1291-1326 [PMID: 28526997 DOI: 10.1007/s12325-017-0556-1]</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45 </w:t>
      </w:r>
      <w:r w:rsidRPr="00884041">
        <w:rPr>
          <w:rFonts w:ascii="Book Antiqua" w:hAnsi="Book Antiqua"/>
          <w:b/>
          <w:bCs/>
        </w:rPr>
        <w:t>Wong VW</w:t>
      </w:r>
      <w:r w:rsidRPr="00884041">
        <w:rPr>
          <w:rFonts w:ascii="Book Antiqua" w:hAnsi="Book Antiqua"/>
        </w:rPr>
        <w:t xml:space="preserve">, Wong GL, Yeung DK, Lau TK, Chan CK, Chim AM, Abrigo JM, Chan RS, Woo J, Tse YK, Chu WC, Chan HL. Incidence of non-alcoholic fatty liver disease in Hong Kong: a population study with paired proton-magnetic resonance spectroscopy. </w:t>
      </w:r>
      <w:r w:rsidRPr="00884041">
        <w:rPr>
          <w:rFonts w:ascii="Book Antiqua" w:hAnsi="Book Antiqua"/>
          <w:i/>
          <w:iCs/>
        </w:rPr>
        <w:t>J Hepatol</w:t>
      </w:r>
      <w:r w:rsidRPr="00884041">
        <w:rPr>
          <w:rFonts w:ascii="Book Antiqua" w:hAnsi="Book Antiqua"/>
        </w:rPr>
        <w:t xml:space="preserve"> 2015; </w:t>
      </w:r>
      <w:r w:rsidRPr="00884041">
        <w:rPr>
          <w:rFonts w:ascii="Book Antiqua" w:hAnsi="Book Antiqua"/>
          <w:b/>
          <w:bCs/>
        </w:rPr>
        <w:t>62</w:t>
      </w:r>
      <w:r w:rsidRPr="00884041">
        <w:rPr>
          <w:rFonts w:ascii="Book Antiqua" w:hAnsi="Book Antiqua"/>
        </w:rPr>
        <w:t>: 182-189 [PMID: 25195550 DOI: 10.1016/j.jhep.2014.08.041]</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46 </w:t>
      </w:r>
      <w:r w:rsidRPr="00884041">
        <w:rPr>
          <w:rFonts w:ascii="Book Antiqua" w:hAnsi="Book Antiqua"/>
          <w:b/>
          <w:bCs/>
        </w:rPr>
        <w:t>Yun KE</w:t>
      </w:r>
      <w:r w:rsidRPr="00884041">
        <w:rPr>
          <w:rFonts w:ascii="Book Antiqua" w:hAnsi="Book Antiqua"/>
        </w:rPr>
        <w:t xml:space="preserve">, Nam GE, Lim J, Park HS, Chang Y, Jung HS, Kim CW, Ko BJ, Chung EC, Shin H, Ryu S. Waist Gain Is Associated with a Higher Incidence of Nonalcoholic Fatty Liver Disease in Korean Adults: A Cohort Study. </w:t>
      </w:r>
      <w:r w:rsidRPr="00884041">
        <w:rPr>
          <w:rFonts w:ascii="Book Antiqua" w:hAnsi="Book Antiqua"/>
          <w:i/>
          <w:iCs/>
        </w:rPr>
        <w:t>PLoS One</w:t>
      </w:r>
      <w:r w:rsidRPr="00884041">
        <w:rPr>
          <w:rFonts w:ascii="Book Antiqua" w:hAnsi="Book Antiqua"/>
        </w:rPr>
        <w:t xml:space="preserve"> 2016; </w:t>
      </w:r>
      <w:r w:rsidRPr="00884041">
        <w:rPr>
          <w:rFonts w:ascii="Book Antiqua" w:hAnsi="Book Antiqua"/>
          <w:b/>
          <w:bCs/>
        </w:rPr>
        <w:t>11</w:t>
      </w:r>
      <w:r w:rsidRPr="00884041">
        <w:rPr>
          <w:rFonts w:ascii="Book Antiqua" w:hAnsi="Book Antiqua"/>
        </w:rPr>
        <w:t>: e0158710 [PMID: 27420035 DOI: 10.1371/journal.pone.0158710]</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47 </w:t>
      </w:r>
      <w:r w:rsidRPr="00884041">
        <w:rPr>
          <w:rFonts w:ascii="Book Antiqua" w:hAnsi="Book Antiqua"/>
          <w:b/>
          <w:bCs/>
        </w:rPr>
        <w:t>Soresi M</w:t>
      </w:r>
      <w:r w:rsidRPr="00884041">
        <w:rPr>
          <w:rFonts w:ascii="Book Antiqua" w:hAnsi="Book Antiqua"/>
        </w:rPr>
        <w:t xml:space="preserve">, Noto D, Cefalù AB, Martini S, Vigna GB, Fonda M, Manzato E, Cattin L, Fellin R, Averna MR, Notarbartolo A; Metabolic Syndrome Study Group. Nonalcoholic fatty liver and metabolic syndrome in Italy: results from a multicentric study of the Italian Arteriosclerosis society. </w:t>
      </w:r>
      <w:r w:rsidRPr="00884041">
        <w:rPr>
          <w:rFonts w:ascii="Book Antiqua" w:hAnsi="Book Antiqua"/>
          <w:i/>
          <w:iCs/>
        </w:rPr>
        <w:t>Acta Diabetol</w:t>
      </w:r>
      <w:r w:rsidRPr="00884041">
        <w:rPr>
          <w:rFonts w:ascii="Book Antiqua" w:hAnsi="Book Antiqua"/>
        </w:rPr>
        <w:t xml:space="preserve"> 2013; </w:t>
      </w:r>
      <w:r w:rsidRPr="00884041">
        <w:rPr>
          <w:rFonts w:ascii="Book Antiqua" w:hAnsi="Book Antiqua"/>
          <w:b/>
          <w:bCs/>
        </w:rPr>
        <w:t>50</w:t>
      </w:r>
      <w:r w:rsidRPr="00884041">
        <w:rPr>
          <w:rFonts w:ascii="Book Antiqua" w:hAnsi="Book Antiqua"/>
        </w:rPr>
        <w:t>: 241-249 [PMID: 22684314 DOI: 10.1007/s00592-012-0406-1]</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48 </w:t>
      </w:r>
      <w:r w:rsidRPr="00884041">
        <w:rPr>
          <w:rFonts w:ascii="Book Antiqua" w:hAnsi="Book Antiqua"/>
          <w:b/>
          <w:bCs/>
        </w:rPr>
        <w:t>Caballería L</w:t>
      </w:r>
      <w:r w:rsidRPr="00884041">
        <w:rPr>
          <w:rFonts w:ascii="Book Antiqua" w:hAnsi="Book Antiqua"/>
        </w:rPr>
        <w:t xml:space="preserve">, Arteaga I, Pera G, Rodríguez L, Alumà A, Auladell MA, Torán P. [Risk factors associated with non-alcoholic fatty liver disease: a case-control study]. </w:t>
      </w:r>
      <w:r w:rsidRPr="00884041">
        <w:rPr>
          <w:rFonts w:ascii="Book Antiqua" w:hAnsi="Book Antiqua"/>
          <w:i/>
          <w:iCs/>
        </w:rPr>
        <w:t>Med Clin (Barc)</w:t>
      </w:r>
      <w:r w:rsidRPr="00884041">
        <w:rPr>
          <w:rFonts w:ascii="Book Antiqua" w:hAnsi="Book Antiqua"/>
        </w:rPr>
        <w:t xml:space="preserve"> 2013; </w:t>
      </w:r>
      <w:r w:rsidRPr="00884041">
        <w:rPr>
          <w:rFonts w:ascii="Book Antiqua" w:hAnsi="Book Antiqua"/>
          <w:b/>
          <w:bCs/>
        </w:rPr>
        <w:t>141</w:t>
      </w:r>
      <w:r w:rsidRPr="00884041">
        <w:rPr>
          <w:rFonts w:ascii="Book Antiqua" w:hAnsi="Book Antiqua"/>
        </w:rPr>
        <w:t>: 233-239 [PMID: 23601740 DOI: 10.1016/j.medcli.2012.11.034]</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49 </w:t>
      </w:r>
      <w:r w:rsidRPr="00884041">
        <w:rPr>
          <w:rFonts w:ascii="Book Antiqua" w:hAnsi="Book Antiqua"/>
          <w:b/>
          <w:bCs/>
        </w:rPr>
        <w:t>Yan J</w:t>
      </w:r>
      <w:r w:rsidRPr="00884041">
        <w:rPr>
          <w:rFonts w:ascii="Book Antiqua" w:hAnsi="Book Antiqua"/>
        </w:rPr>
        <w:t xml:space="preserve">, Xie W, Ou WN, Zhao H, Wang SY, Wang JH, Wang Q, Yang YY, Feng X, Cheng J. Epidemiological survey and risk factor analysis of fatty liver disease of adult residents, Beijing, China. </w:t>
      </w:r>
      <w:r w:rsidRPr="00884041">
        <w:rPr>
          <w:rFonts w:ascii="Book Antiqua" w:hAnsi="Book Antiqua"/>
          <w:i/>
          <w:iCs/>
        </w:rPr>
        <w:t>J Gastroenterol Hepatol</w:t>
      </w:r>
      <w:r w:rsidRPr="00884041">
        <w:rPr>
          <w:rFonts w:ascii="Book Antiqua" w:hAnsi="Book Antiqua"/>
        </w:rPr>
        <w:t xml:space="preserve"> 2013; </w:t>
      </w:r>
      <w:r w:rsidRPr="00884041">
        <w:rPr>
          <w:rFonts w:ascii="Book Antiqua" w:hAnsi="Book Antiqua"/>
          <w:b/>
          <w:bCs/>
        </w:rPr>
        <w:t>28</w:t>
      </w:r>
      <w:r w:rsidRPr="00884041">
        <w:rPr>
          <w:rFonts w:ascii="Book Antiqua" w:hAnsi="Book Antiqua"/>
        </w:rPr>
        <w:t>: 1654-1659 [PMID: 23731053 DOI: 10.1111/jgh.12290]</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50 </w:t>
      </w:r>
      <w:r w:rsidRPr="00884041">
        <w:rPr>
          <w:rFonts w:ascii="Book Antiqua" w:hAnsi="Book Antiqua"/>
          <w:b/>
          <w:bCs/>
        </w:rPr>
        <w:t>Eguchi Y</w:t>
      </w:r>
      <w:r w:rsidRPr="00884041">
        <w:rPr>
          <w:rFonts w:ascii="Book Antiqua" w:hAnsi="Book Antiqua"/>
        </w:rPr>
        <w:t xml:space="preserve">, Hyogo H, Ono M, Mizuta T, Ono N, Fujimoto K, Chayama K, Saibara T; JSG-NAFLD. Prevalence and associated metabolic factors of nonalcoholic fatty liver disease in the general population from 2009 to 2010 in Japan: a multicenter large retrospective study. </w:t>
      </w:r>
      <w:r w:rsidRPr="00884041">
        <w:rPr>
          <w:rFonts w:ascii="Book Antiqua" w:hAnsi="Book Antiqua"/>
          <w:i/>
          <w:iCs/>
        </w:rPr>
        <w:t>J Gastroenterol</w:t>
      </w:r>
      <w:r w:rsidRPr="00884041">
        <w:rPr>
          <w:rFonts w:ascii="Book Antiqua" w:hAnsi="Book Antiqua"/>
        </w:rPr>
        <w:t xml:space="preserve"> 2012; </w:t>
      </w:r>
      <w:r w:rsidRPr="00884041">
        <w:rPr>
          <w:rFonts w:ascii="Book Antiqua" w:hAnsi="Book Antiqua"/>
          <w:b/>
          <w:bCs/>
        </w:rPr>
        <w:t>47</w:t>
      </w:r>
      <w:r w:rsidRPr="00884041">
        <w:rPr>
          <w:rFonts w:ascii="Book Antiqua" w:hAnsi="Book Antiqua"/>
        </w:rPr>
        <w:t>: 586-595 [PMID: 22328022 DOI: 10.1007/s00535-012-0533-z]</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51 </w:t>
      </w:r>
      <w:r w:rsidRPr="00884041">
        <w:rPr>
          <w:rFonts w:ascii="Book Antiqua" w:hAnsi="Book Antiqua"/>
          <w:b/>
          <w:bCs/>
        </w:rPr>
        <w:t>Wong VW</w:t>
      </w:r>
      <w:r w:rsidRPr="00884041">
        <w:rPr>
          <w:rFonts w:ascii="Book Antiqua" w:hAnsi="Book Antiqua"/>
        </w:rPr>
        <w:t xml:space="preserve">, Chan RS, Wong GL, Cheung BH, Chu WC, Yeung DK, Chim AM, Lai JW, Li LS, Sea MM, Chan FK, Sung JJ, Woo J, Chan HL. Community-based lifestyle modification programme for non-alcoholic fatty liver disease: a randomized controlled trial. </w:t>
      </w:r>
      <w:r w:rsidRPr="00884041">
        <w:rPr>
          <w:rFonts w:ascii="Book Antiqua" w:hAnsi="Book Antiqua"/>
          <w:i/>
          <w:iCs/>
        </w:rPr>
        <w:t>J Hepatol</w:t>
      </w:r>
      <w:r w:rsidRPr="00884041">
        <w:rPr>
          <w:rFonts w:ascii="Book Antiqua" w:hAnsi="Book Antiqua"/>
        </w:rPr>
        <w:t xml:space="preserve"> 2013; </w:t>
      </w:r>
      <w:r w:rsidRPr="00884041">
        <w:rPr>
          <w:rFonts w:ascii="Book Antiqua" w:hAnsi="Book Antiqua"/>
          <w:b/>
          <w:bCs/>
        </w:rPr>
        <w:t>59</w:t>
      </w:r>
      <w:r w:rsidRPr="00884041">
        <w:rPr>
          <w:rFonts w:ascii="Book Antiqua" w:hAnsi="Book Antiqua"/>
        </w:rPr>
        <w:t>: 536-542 [PMID: 23623998 DOI: 10.1016/j.jhep.2013.04.013]</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52 </w:t>
      </w:r>
      <w:r w:rsidRPr="00884041">
        <w:rPr>
          <w:rFonts w:ascii="Book Antiqua" w:hAnsi="Book Antiqua"/>
          <w:b/>
          <w:bCs/>
        </w:rPr>
        <w:t>Dudekula A</w:t>
      </w:r>
      <w:r w:rsidRPr="00884041">
        <w:rPr>
          <w:rFonts w:ascii="Book Antiqua" w:hAnsi="Book Antiqua"/>
        </w:rPr>
        <w:t xml:space="preserve">, Rachakonda V, Shaik B, Behari J. Weight loss in nonalcoholic Fatty liver disease patients in an ambulatory care setting is largely unsuccessful but correlates with frequency of clinic visits. </w:t>
      </w:r>
      <w:r w:rsidRPr="00884041">
        <w:rPr>
          <w:rFonts w:ascii="Book Antiqua" w:hAnsi="Book Antiqua"/>
          <w:i/>
          <w:iCs/>
        </w:rPr>
        <w:t>PLoS One</w:t>
      </w:r>
      <w:r w:rsidRPr="00884041">
        <w:rPr>
          <w:rFonts w:ascii="Book Antiqua" w:hAnsi="Book Antiqua"/>
        </w:rPr>
        <w:t xml:space="preserve"> 2014; </w:t>
      </w:r>
      <w:r w:rsidRPr="00884041">
        <w:rPr>
          <w:rFonts w:ascii="Book Antiqua" w:hAnsi="Book Antiqua"/>
          <w:b/>
          <w:bCs/>
        </w:rPr>
        <w:t>9</w:t>
      </w:r>
      <w:r w:rsidRPr="00884041">
        <w:rPr>
          <w:rFonts w:ascii="Book Antiqua" w:hAnsi="Book Antiqua"/>
        </w:rPr>
        <w:t>: e111808 [PMID: 25375228 DOI: 10.1371/journal.pone.0111808]</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53 </w:t>
      </w:r>
      <w:r w:rsidRPr="00884041">
        <w:rPr>
          <w:rFonts w:ascii="Book Antiqua" w:hAnsi="Book Antiqua"/>
          <w:b/>
          <w:bCs/>
        </w:rPr>
        <w:t>Mueller M</w:t>
      </w:r>
      <w:r w:rsidRPr="00884041">
        <w:rPr>
          <w:rFonts w:ascii="Book Antiqua" w:hAnsi="Book Antiqua"/>
        </w:rPr>
        <w:t xml:space="preserve">, Thorell A, Claudel T, Jha P, Koefeler H, Lackner C, Hoesel B, Fauler G, Stojakovic T, Einarsson C, Marschall HU, Trauner M. Ursodeoxycholic acid exerts farnesoid X receptor-antagonistic effects on bile acid and lipid metabolism in morbid obesity. </w:t>
      </w:r>
      <w:r w:rsidRPr="00884041">
        <w:rPr>
          <w:rFonts w:ascii="Book Antiqua" w:hAnsi="Book Antiqua"/>
          <w:i/>
          <w:iCs/>
        </w:rPr>
        <w:t>J Hepatol</w:t>
      </w:r>
      <w:r w:rsidRPr="00884041">
        <w:rPr>
          <w:rFonts w:ascii="Book Antiqua" w:hAnsi="Book Antiqua"/>
        </w:rPr>
        <w:t xml:space="preserve"> 2015; </w:t>
      </w:r>
      <w:r w:rsidRPr="00884041">
        <w:rPr>
          <w:rFonts w:ascii="Book Antiqua" w:hAnsi="Book Antiqua"/>
          <w:b/>
          <w:bCs/>
        </w:rPr>
        <w:t>62</w:t>
      </w:r>
      <w:r w:rsidRPr="00884041">
        <w:rPr>
          <w:rFonts w:ascii="Book Antiqua" w:hAnsi="Book Antiqua"/>
        </w:rPr>
        <w:t>: 1398-1404 [PMID: 25617503 DOI: 10.1016/j.jhep.2014.12.034]</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54 </w:t>
      </w:r>
      <w:r w:rsidRPr="00884041">
        <w:rPr>
          <w:rFonts w:ascii="Book Antiqua" w:hAnsi="Book Antiqua"/>
          <w:b/>
          <w:bCs/>
        </w:rPr>
        <w:t>Neuman M</w:t>
      </w:r>
      <w:r w:rsidRPr="00884041">
        <w:rPr>
          <w:rFonts w:ascii="Book Antiqua" w:hAnsi="Book Antiqua"/>
        </w:rPr>
        <w:t xml:space="preserve">, Angulo P, Malkiewicz I, Jorgensen R, Shear N, Dickson ER, Haber J, Katz G, Lindor K. Tumor necrosis factor-alpha and transforming growth factor-beta reflect severity of liver damage in primary biliary cirrhosis. </w:t>
      </w:r>
      <w:r w:rsidRPr="00884041">
        <w:rPr>
          <w:rFonts w:ascii="Book Antiqua" w:hAnsi="Book Antiqua"/>
          <w:i/>
          <w:iCs/>
        </w:rPr>
        <w:t>J Gastroenterol Hepatol</w:t>
      </w:r>
      <w:r w:rsidRPr="00884041">
        <w:rPr>
          <w:rFonts w:ascii="Book Antiqua" w:hAnsi="Book Antiqua"/>
        </w:rPr>
        <w:t xml:space="preserve"> 2002; </w:t>
      </w:r>
      <w:r w:rsidRPr="00884041">
        <w:rPr>
          <w:rFonts w:ascii="Book Antiqua" w:hAnsi="Book Antiqua"/>
          <w:b/>
          <w:bCs/>
        </w:rPr>
        <w:t>17</w:t>
      </w:r>
      <w:r w:rsidRPr="00884041">
        <w:rPr>
          <w:rFonts w:ascii="Book Antiqua" w:hAnsi="Book Antiqua"/>
        </w:rPr>
        <w:t>: 196-202 [PMID: 11966951 DOI: 10.1046/j.1440-1746.2002.02672.x]</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55 </w:t>
      </w:r>
      <w:r w:rsidRPr="00884041">
        <w:rPr>
          <w:rFonts w:ascii="Book Antiqua" w:hAnsi="Book Antiqua"/>
          <w:b/>
          <w:bCs/>
        </w:rPr>
        <w:t>Lindor KD</w:t>
      </w:r>
      <w:r w:rsidRPr="00884041">
        <w:rPr>
          <w:rFonts w:ascii="Book Antiqua" w:hAnsi="Book Antiqua"/>
        </w:rPr>
        <w:t xml:space="preserve">, Kowdley KV, Heathcote EJ, Harrison ME, Jorgensen R, Angulo P, Lymp JF, Burgart L, Colin P. Ursodeoxycholic acid for treatment of nonalcoholic steatohepatitis: results of a randomized trial. </w:t>
      </w:r>
      <w:r w:rsidRPr="00884041">
        <w:rPr>
          <w:rFonts w:ascii="Book Antiqua" w:hAnsi="Book Antiqua"/>
          <w:i/>
          <w:iCs/>
        </w:rPr>
        <w:t>Hepatology</w:t>
      </w:r>
      <w:r w:rsidRPr="00884041">
        <w:rPr>
          <w:rFonts w:ascii="Book Antiqua" w:hAnsi="Book Antiqua"/>
        </w:rPr>
        <w:t xml:space="preserve"> 2004; </w:t>
      </w:r>
      <w:r w:rsidRPr="00884041">
        <w:rPr>
          <w:rFonts w:ascii="Book Antiqua" w:hAnsi="Book Antiqua"/>
          <w:b/>
          <w:bCs/>
        </w:rPr>
        <w:t>39</w:t>
      </w:r>
      <w:r w:rsidRPr="00884041">
        <w:rPr>
          <w:rFonts w:ascii="Book Antiqua" w:hAnsi="Book Antiqua"/>
        </w:rPr>
        <w:t>: 770-778 [PMID: 14999696 DOI: 10.1002/hep.20092]</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56 </w:t>
      </w:r>
      <w:r w:rsidRPr="00884041">
        <w:rPr>
          <w:rFonts w:ascii="Book Antiqua" w:hAnsi="Book Antiqua"/>
          <w:b/>
          <w:bCs/>
        </w:rPr>
        <w:t>Simental-Mendía LE</w:t>
      </w:r>
      <w:r w:rsidRPr="00884041">
        <w:rPr>
          <w:rFonts w:ascii="Book Antiqua" w:hAnsi="Book Antiqua"/>
        </w:rPr>
        <w:t xml:space="preserve">, Simental-Mendía M, Sánchez-García A, Banach M, Serban MC, Cicero AFG, Sahebkar A. Impact of ursodeoxycholic acid on circulating lipid concentrations: a systematic review and meta-analysis of randomized placebo-controlled trials. </w:t>
      </w:r>
      <w:r w:rsidRPr="00884041">
        <w:rPr>
          <w:rFonts w:ascii="Book Antiqua" w:hAnsi="Book Antiqua"/>
          <w:i/>
          <w:iCs/>
        </w:rPr>
        <w:t>Lipids Health Dis</w:t>
      </w:r>
      <w:r w:rsidRPr="00884041">
        <w:rPr>
          <w:rFonts w:ascii="Book Antiqua" w:hAnsi="Book Antiqua"/>
        </w:rPr>
        <w:t xml:space="preserve"> 2019; </w:t>
      </w:r>
      <w:r w:rsidRPr="00884041">
        <w:rPr>
          <w:rFonts w:ascii="Book Antiqua" w:hAnsi="Book Antiqua"/>
          <w:b/>
          <w:bCs/>
        </w:rPr>
        <w:t>18</w:t>
      </w:r>
      <w:r w:rsidRPr="00884041">
        <w:rPr>
          <w:rFonts w:ascii="Book Antiqua" w:hAnsi="Book Antiqua"/>
        </w:rPr>
        <w:t>: 88 [PMID: 30954082 DOI: 10.1186/s12944-019-1041-4]</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57 </w:t>
      </w:r>
      <w:r w:rsidRPr="00884041">
        <w:rPr>
          <w:rFonts w:ascii="Book Antiqua" w:hAnsi="Book Antiqua"/>
          <w:b/>
          <w:bCs/>
        </w:rPr>
        <w:t>Sun W</w:t>
      </w:r>
      <w:r w:rsidRPr="00884041">
        <w:rPr>
          <w:rFonts w:ascii="Book Antiqua" w:hAnsi="Book Antiqua"/>
        </w:rPr>
        <w:t xml:space="preserve">, Cui H, Li N, Wei Y, Lai S, Yang Y, Yin X, Chen DF. Comparison of FIB-4 index, NAFLD fibrosis score and BARD score for prediction of advanced fibrosis in adult patients with non-alcoholic fatty liver disease: A meta-analysis study. </w:t>
      </w:r>
      <w:r w:rsidRPr="00884041">
        <w:rPr>
          <w:rFonts w:ascii="Book Antiqua" w:hAnsi="Book Antiqua"/>
          <w:i/>
          <w:iCs/>
        </w:rPr>
        <w:t>Hepatol Res</w:t>
      </w:r>
      <w:r w:rsidRPr="00884041">
        <w:rPr>
          <w:rFonts w:ascii="Book Antiqua" w:hAnsi="Book Antiqua"/>
        </w:rPr>
        <w:t xml:space="preserve"> 2016; </w:t>
      </w:r>
      <w:r w:rsidRPr="00884041">
        <w:rPr>
          <w:rFonts w:ascii="Book Antiqua" w:hAnsi="Book Antiqua"/>
          <w:b/>
          <w:bCs/>
        </w:rPr>
        <w:t>46</w:t>
      </w:r>
      <w:r w:rsidRPr="00884041">
        <w:rPr>
          <w:rFonts w:ascii="Book Antiqua" w:hAnsi="Book Antiqua"/>
        </w:rPr>
        <w:t>: 862-870 [PMID: 26763834 DOI: 10.1111/hepr.12647]</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58 </w:t>
      </w:r>
      <w:r w:rsidRPr="00884041">
        <w:rPr>
          <w:rFonts w:ascii="Book Antiqua" w:hAnsi="Book Antiqua"/>
          <w:b/>
          <w:bCs/>
        </w:rPr>
        <w:t>Parikh P</w:t>
      </w:r>
      <w:r w:rsidRPr="00884041">
        <w:rPr>
          <w:rFonts w:ascii="Book Antiqua" w:hAnsi="Book Antiqua"/>
        </w:rPr>
        <w:t xml:space="preserve">, Ingle M, Patel J, Bhate P, Pandey V, Sawant P. An open-label randomized control study to compare the efficacy of vitamin e versus ursodeoxycholic acid in nondiabetic and noncirrhotic Indian NAFLD patients. </w:t>
      </w:r>
      <w:r w:rsidRPr="00884041">
        <w:rPr>
          <w:rFonts w:ascii="Book Antiqua" w:hAnsi="Book Antiqua"/>
          <w:i/>
          <w:iCs/>
        </w:rPr>
        <w:t>Saudi J Gastroenterol</w:t>
      </w:r>
      <w:r w:rsidRPr="00884041">
        <w:rPr>
          <w:rFonts w:ascii="Book Antiqua" w:hAnsi="Book Antiqua"/>
        </w:rPr>
        <w:t xml:space="preserve"> 2016; </w:t>
      </w:r>
      <w:r w:rsidRPr="00884041">
        <w:rPr>
          <w:rFonts w:ascii="Book Antiqua" w:hAnsi="Book Antiqua"/>
          <w:b/>
          <w:bCs/>
        </w:rPr>
        <w:t>22</w:t>
      </w:r>
      <w:r w:rsidRPr="00884041">
        <w:rPr>
          <w:rFonts w:ascii="Book Antiqua" w:hAnsi="Book Antiqua"/>
        </w:rPr>
        <w:t>: 192-197 [PMID: 27184636 DOI: 10.4103/1319-3767.182451]</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59 </w:t>
      </w:r>
      <w:r w:rsidRPr="00884041">
        <w:rPr>
          <w:rFonts w:ascii="Book Antiqua" w:hAnsi="Book Antiqua"/>
          <w:b/>
          <w:bCs/>
        </w:rPr>
        <w:t>Kim JS</w:t>
      </w:r>
      <w:r w:rsidRPr="00884041">
        <w:rPr>
          <w:rFonts w:ascii="Book Antiqua" w:hAnsi="Book Antiqua"/>
        </w:rPr>
        <w:t xml:space="preserve">, Park S, Yan P, Jeffers BW, Cerezo C. Effect of inter-individual blood pressure variability on the progression of atherosclerosis in carotid and coronary arteries: a post hoc analysis of the NORMALISE and PREVENT studies. </w:t>
      </w:r>
      <w:r w:rsidRPr="00884041">
        <w:rPr>
          <w:rFonts w:ascii="Book Antiqua" w:hAnsi="Book Antiqua"/>
          <w:i/>
          <w:iCs/>
        </w:rPr>
        <w:t>Eur Heart J Cardiovasc Pharmacother</w:t>
      </w:r>
      <w:r w:rsidRPr="00884041">
        <w:rPr>
          <w:rFonts w:ascii="Book Antiqua" w:hAnsi="Book Antiqua"/>
        </w:rPr>
        <w:t xml:space="preserve"> 2017; </w:t>
      </w:r>
      <w:r w:rsidRPr="00884041">
        <w:rPr>
          <w:rFonts w:ascii="Book Antiqua" w:hAnsi="Book Antiqua"/>
          <w:b/>
          <w:bCs/>
        </w:rPr>
        <w:t>3</w:t>
      </w:r>
      <w:r w:rsidRPr="00884041">
        <w:rPr>
          <w:rFonts w:ascii="Book Antiqua" w:hAnsi="Book Antiqua"/>
        </w:rPr>
        <w:t>: 82-89 [PMID: 27533954 DOI: 10.1093/ehjcvp/pvw019]</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60 </w:t>
      </w:r>
      <w:r w:rsidRPr="00884041">
        <w:rPr>
          <w:rFonts w:ascii="Book Antiqua" w:hAnsi="Book Antiqua"/>
          <w:b/>
          <w:bCs/>
        </w:rPr>
        <w:t>Byrkjeland R</w:t>
      </w:r>
      <w:r w:rsidRPr="00884041">
        <w:rPr>
          <w:rFonts w:ascii="Book Antiqua" w:hAnsi="Book Antiqua"/>
        </w:rPr>
        <w:t xml:space="preserve">, Stensæth KH, Anderssen S, Njerve IU, Arnesen H, Seljeflot I, Solheim S. Effects of exercise training on carotid intima-media thickness in patients with type 2 diabetes and coronary artery disease. Influence of carotid plaques. </w:t>
      </w:r>
      <w:r w:rsidRPr="00884041">
        <w:rPr>
          <w:rFonts w:ascii="Book Antiqua" w:hAnsi="Book Antiqua"/>
          <w:i/>
          <w:iCs/>
        </w:rPr>
        <w:t>Cardiovasc Diabetol</w:t>
      </w:r>
      <w:r w:rsidRPr="00884041">
        <w:rPr>
          <w:rFonts w:ascii="Book Antiqua" w:hAnsi="Book Antiqua"/>
        </w:rPr>
        <w:t xml:space="preserve"> 2016; </w:t>
      </w:r>
      <w:r w:rsidRPr="00884041">
        <w:rPr>
          <w:rFonts w:ascii="Book Antiqua" w:hAnsi="Book Antiqua"/>
          <w:b/>
          <w:bCs/>
        </w:rPr>
        <w:t>15</w:t>
      </w:r>
      <w:r w:rsidRPr="00884041">
        <w:rPr>
          <w:rFonts w:ascii="Book Antiqua" w:hAnsi="Book Antiqua"/>
        </w:rPr>
        <w:t>: 13 [PMID: 26801098 DOI: 10.1186/s12933-016-0336-2]</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61 </w:t>
      </w:r>
      <w:r w:rsidRPr="00884041">
        <w:rPr>
          <w:rFonts w:ascii="Book Antiqua" w:hAnsi="Book Antiqua"/>
          <w:b/>
          <w:bCs/>
        </w:rPr>
        <w:t>Suhadi R</w:t>
      </w:r>
      <w:r w:rsidRPr="00884041">
        <w:rPr>
          <w:rFonts w:ascii="Book Antiqua" w:hAnsi="Book Antiqua"/>
        </w:rPr>
        <w:t xml:space="preserve">, Virginia DM, Setiawan CH. The Effect of Health Education by Pharmacists on 10-Year Atherosclerotic Cardiovascular Disease Risk: A Cluster-Randomized Control Study in a Low Socioeconomic Status Javanese Population. </w:t>
      </w:r>
      <w:r w:rsidRPr="00884041">
        <w:rPr>
          <w:rFonts w:ascii="Book Antiqua" w:hAnsi="Book Antiqua"/>
          <w:i/>
          <w:iCs/>
        </w:rPr>
        <w:t>J Prim Care Community Health</w:t>
      </w:r>
      <w:r w:rsidRPr="00884041">
        <w:rPr>
          <w:rFonts w:ascii="Book Antiqua" w:hAnsi="Book Antiqua"/>
        </w:rPr>
        <w:t xml:space="preserve"> 2018; </w:t>
      </w:r>
      <w:r w:rsidRPr="00884041">
        <w:rPr>
          <w:rFonts w:ascii="Book Antiqua" w:hAnsi="Book Antiqua"/>
          <w:b/>
          <w:bCs/>
        </w:rPr>
        <w:t>9</w:t>
      </w:r>
      <w:r w:rsidRPr="00884041">
        <w:rPr>
          <w:rFonts w:ascii="Book Antiqua" w:hAnsi="Book Antiqua"/>
        </w:rPr>
        <w:t>: 2150132718773674 [PMID: 29756523 DOI: 10.1177/2150132718773674]</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62 </w:t>
      </w:r>
      <w:r w:rsidRPr="00884041">
        <w:rPr>
          <w:rFonts w:ascii="Book Antiqua" w:hAnsi="Book Antiqua"/>
          <w:b/>
          <w:bCs/>
        </w:rPr>
        <w:t>Kweon SS</w:t>
      </w:r>
      <w:r w:rsidRPr="00884041">
        <w:rPr>
          <w:rFonts w:ascii="Book Antiqua" w:hAnsi="Book Antiqua"/>
        </w:rPr>
        <w:t xml:space="preserve">, Lee YH, Shin MH, Choi JS, Rhee JA, Choi SW, Ryu SY, Kim BH, Nam HS, Jeong SK, Park KS. Effects of cumulative smoking exposure and duration of smoking cessation on carotid artery structure. </w:t>
      </w:r>
      <w:r w:rsidRPr="00884041">
        <w:rPr>
          <w:rFonts w:ascii="Book Antiqua" w:hAnsi="Book Antiqua"/>
          <w:i/>
          <w:iCs/>
        </w:rPr>
        <w:t>Circ J</w:t>
      </w:r>
      <w:r w:rsidRPr="00884041">
        <w:rPr>
          <w:rFonts w:ascii="Book Antiqua" w:hAnsi="Book Antiqua"/>
        </w:rPr>
        <w:t xml:space="preserve"> 2012; </w:t>
      </w:r>
      <w:r w:rsidRPr="00884041">
        <w:rPr>
          <w:rFonts w:ascii="Book Antiqua" w:hAnsi="Book Antiqua"/>
          <w:b/>
          <w:bCs/>
        </w:rPr>
        <w:t>76</w:t>
      </w:r>
      <w:r w:rsidRPr="00884041">
        <w:rPr>
          <w:rFonts w:ascii="Book Antiqua" w:hAnsi="Book Antiqua"/>
        </w:rPr>
        <w:t>: 2041-2047 [PMID: 22664416 DOI: 10.1253/circj.cj-11-1353]</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63 </w:t>
      </w:r>
      <w:r w:rsidRPr="00884041">
        <w:rPr>
          <w:rFonts w:ascii="Book Antiqua" w:hAnsi="Book Antiqua"/>
          <w:b/>
          <w:bCs/>
        </w:rPr>
        <w:t>Puato M</w:t>
      </w:r>
      <w:r w:rsidRPr="00884041">
        <w:rPr>
          <w:rFonts w:ascii="Book Antiqua" w:hAnsi="Book Antiqua"/>
        </w:rPr>
        <w:t xml:space="preserve">, Boschetti G, Rattazzi M, Zanon M, Pesavento R, Faggin E, Fania C, Benetti E, Palatini P, Pauletto P. Intima-media thickness remodelling in hypertensive subjects with long-term well-controlled blood pressure levels. </w:t>
      </w:r>
      <w:r w:rsidRPr="00884041">
        <w:rPr>
          <w:rFonts w:ascii="Book Antiqua" w:hAnsi="Book Antiqua"/>
          <w:i/>
          <w:iCs/>
        </w:rPr>
        <w:t>Blood Press</w:t>
      </w:r>
      <w:r w:rsidRPr="00884041">
        <w:rPr>
          <w:rFonts w:ascii="Book Antiqua" w:hAnsi="Book Antiqua"/>
        </w:rPr>
        <w:t xml:space="preserve"> 2017; </w:t>
      </w:r>
      <w:r w:rsidRPr="00884041">
        <w:rPr>
          <w:rFonts w:ascii="Book Antiqua" w:hAnsi="Book Antiqua"/>
          <w:b/>
          <w:bCs/>
        </w:rPr>
        <w:t>26</w:t>
      </w:r>
      <w:r w:rsidRPr="00884041">
        <w:rPr>
          <w:rFonts w:ascii="Book Antiqua" w:hAnsi="Book Antiqua"/>
        </w:rPr>
        <w:t>: 48-53 [PMID: 27216375 DOI: 10.1080/08037051.2016.1184964]</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64 </w:t>
      </w:r>
      <w:r w:rsidRPr="00884041">
        <w:rPr>
          <w:rFonts w:ascii="Book Antiqua" w:hAnsi="Book Antiqua"/>
          <w:b/>
          <w:bCs/>
        </w:rPr>
        <w:t>Wiviott SD</w:t>
      </w:r>
      <w:r w:rsidRPr="00884041">
        <w:rPr>
          <w:rFonts w:ascii="Book Antiqua" w:hAnsi="Book Antiqua"/>
        </w:rPr>
        <w:t xml:space="preserve">, Raz I, Bonaca MP, Mosenzon O, Kato ET, Cahn A, Silverman MG, Bansilal S, Bhatt DL, Leiter LA, McGuire DK, Wilding JP, Gause-Nilsson IA, Langkilde AM, Johansson PA, Sabatine MS. The design and rationale for the Dapagliflozin Effect on Cardiovascular Events (DECLARE)-TIMI 58 Trial. </w:t>
      </w:r>
      <w:r w:rsidRPr="00884041">
        <w:rPr>
          <w:rFonts w:ascii="Book Antiqua" w:hAnsi="Book Antiqua"/>
          <w:i/>
          <w:iCs/>
        </w:rPr>
        <w:t>Am Heart J</w:t>
      </w:r>
      <w:r w:rsidRPr="00884041">
        <w:rPr>
          <w:rFonts w:ascii="Book Antiqua" w:hAnsi="Book Antiqua"/>
        </w:rPr>
        <w:t xml:space="preserve"> 2018; </w:t>
      </w:r>
      <w:r w:rsidRPr="00884041">
        <w:rPr>
          <w:rFonts w:ascii="Book Antiqua" w:hAnsi="Book Antiqua"/>
          <w:b/>
          <w:bCs/>
        </w:rPr>
        <w:t>200</w:t>
      </w:r>
      <w:r w:rsidRPr="00884041">
        <w:rPr>
          <w:rFonts w:ascii="Book Antiqua" w:hAnsi="Book Antiqua"/>
        </w:rPr>
        <w:t>: 83-89 [PMID: 29898853 DOI: 10.1016/j.ahj.2018.01.012]</w:t>
      </w:r>
    </w:p>
    <w:p w:rsidR="00D64640" w:rsidRPr="00884041" w:rsidRDefault="00D64640" w:rsidP="00EF6CF8">
      <w:pPr>
        <w:snapToGrid w:val="0"/>
        <w:spacing w:line="360" w:lineRule="auto"/>
        <w:jc w:val="both"/>
        <w:rPr>
          <w:rFonts w:ascii="Book Antiqua" w:hAnsi="Book Antiqua"/>
        </w:rPr>
      </w:pPr>
      <w:r w:rsidRPr="00884041">
        <w:rPr>
          <w:rFonts w:ascii="Book Antiqua" w:hAnsi="Book Antiqua"/>
        </w:rPr>
        <w:t xml:space="preserve">65 </w:t>
      </w:r>
      <w:r w:rsidRPr="00884041">
        <w:rPr>
          <w:rFonts w:ascii="Book Antiqua" w:hAnsi="Book Antiqua"/>
          <w:b/>
          <w:bCs/>
        </w:rPr>
        <w:t>Mita T</w:t>
      </w:r>
      <w:r w:rsidRPr="00884041">
        <w:rPr>
          <w:rFonts w:ascii="Book Antiqua" w:hAnsi="Book Antiqua"/>
        </w:rPr>
        <w:t>, Katakami N, Shiraiwa T, Yoshii H, Onuma T, Kuribayashi N, Osonoi T, Kaneto H, Kosugi K, Umayahara Y, Yamamoto T, Matsumoto K, Yokoyama H, Tsugawa M, Gosho M, Shimomura I, Watada H; Collaborators on the Sitagliptin Preventive Study of Intima-Media Thickness Evaluation (SPIKE) Trial. Erratum. Sitagliptin Attenuates the Progression of Carotid Intima-Media Thickening in Insulin-Treated Patients With Type 2 Diabetes: The Sitagliptin Preventive Study of Intima-Media Thickness Evaluation (SPIKE). A Randomized Controlled Trial. Diabetes Care 2016;</w:t>
      </w:r>
      <w:r w:rsidR="0084049C" w:rsidRPr="00884041">
        <w:rPr>
          <w:rFonts w:ascii="Book Antiqua" w:hAnsi="Book Antiqua"/>
        </w:rPr>
        <w:t xml:space="preserve"> </w:t>
      </w:r>
      <w:r w:rsidRPr="00884041">
        <w:rPr>
          <w:rFonts w:ascii="Book Antiqua" w:hAnsi="Book Antiqua"/>
        </w:rPr>
        <w:t>39:</w:t>
      </w:r>
      <w:r w:rsidR="0084049C" w:rsidRPr="00884041">
        <w:rPr>
          <w:rFonts w:ascii="Book Antiqua" w:hAnsi="Book Antiqua"/>
        </w:rPr>
        <w:t xml:space="preserve"> </w:t>
      </w:r>
      <w:r w:rsidRPr="00884041">
        <w:rPr>
          <w:rFonts w:ascii="Book Antiqua" w:hAnsi="Book Antiqua"/>
        </w:rPr>
        <w:t xml:space="preserve">455-464. </w:t>
      </w:r>
      <w:r w:rsidRPr="00884041">
        <w:rPr>
          <w:rFonts w:ascii="Book Antiqua" w:hAnsi="Book Antiqua"/>
          <w:i/>
          <w:iCs/>
        </w:rPr>
        <w:t>Diabetes Care</w:t>
      </w:r>
      <w:r w:rsidRPr="00884041">
        <w:rPr>
          <w:rFonts w:ascii="Book Antiqua" w:hAnsi="Book Antiqua"/>
        </w:rPr>
        <w:t xml:space="preserve"> 2017; </w:t>
      </w:r>
      <w:r w:rsidRPr="00884041">
        <w:rPr>
          <w:rFonts w:ascii="Book Antiqua" w:hAnsi="Book Antiqua"/>
          <w:b/>
          <w:bCs/>
        </w:rPr>
        <w:t>40</w:t>
      </w:r>
      <w:r w:rsidRPr="00884041">
        <w:rPr>
          <w:rFonts w:ascii="Book Antiqua" w:hAnsi="Book Antiqua"/>
        </w:rPr>
        <w:t>: 808 [PMID: 28420697 DOI: 10.2337/dc17-er06a]</w:t>
      </w:r>
    </w:p>
    <w:p w:rsidR="00D64640" w:rsidRPr="00F40118" w:rsidRDefault="00D64640" w:rsidP="00EF6CF8">
      <w:pPr>
        <w:snapToGrid w:val="0"/>
        <w:spacing w:line="360" w:lineRule="auto"/>
        <w:jc w:val="both"/>
        <w:rPr>
          <w:rFonts w:ascii="Book Antiqua" w:hAnsi="Book Antiqua"/>
        </w:rPr>
      </w:pPr>
      <w:r w:rsidRPr="00884041">
        <w:rPr>
          <w:rFonts w:ascii="Book Antiqua" w:hAnsi="Book Antiqua"/>
        </w:rPr>
        <w:t xml:space="preserve">66 </w:t>
      </w:r>
      <w:r w:rsidRPr="00884041">
        <w:rPr>
          <w:rFonts w:ascii="Book Antiqua" w:hAnsi="Book Antiqua"/>
          <w:b/>
          <w:bCs/>
        </w:rPr>
        <w:t>Koutoukidis DA</w:t>
      </w:r>
      <w:r w:rsidRPr="00884041">
        <w:rPr>
          <w:rFonts w:ascii="Book Antiqua" w:hAnsi="Book Antiqua"/>
        </w:rPr>
        <w:t xml:space="preserve">, Astbury NM, Tudor KE, Morris E, Henry JA, Noreik M, Jebb SA, Aveyard P. Association of Weight Loss Interventions With Changes in Biomarkers of Nonalcoholic Fatty Liver Disease: A Systematic Review and Meta-analysis. </w:t>
      </w:r>
      <w:r w:rsidRPr="00884041">
        <w:rPr>
          <w:rFonts w:ascii="Book Antiqua" w:hAnsi="Book Antiqua"/>
          <w:i/>
          <w:iCs/>
        </w:rPr>
        <w:t>JAMA Intern Med</w:t>
      </w:r>
      <w:r w:rsidRPr="00884041">
        <w:rPr>
          <w:rFonts w:ascii="Book Antiqua" w:hAnsi="Book Antiqua"/>
        </w:rPr>
        <w:t xml:space="preserve"> 2019</w:t>
      </w:r>
      <w:r w:rsidR="006E65BB" w:rsidRPr="00884041">
        <w:rPr>
          <w:rFonts w:ascii="Book Antiqua" w:hAnsi="Book Antiqua"/>
        </w:rPr>
        <w:t xml:space="preserve">; </w:t>
      </w:r>
      <w:r w:rsidR="006E65BB" w:rsidRPr="00884041">
        <w:rPr>
          <w:rFonts w:ascii="Book Antiqua" w:hAnsi="Book Antiqua"/>
          <w:b/>
        </w:rPr>
        <w:t>179</w:t>
      </w:r>
      <w:r w:rsidR="006E65BB" w:rsidRPr="00884041">
        <w:rPr>
          <w:rFonts w:ascii="Book Antiqua" w:hAnsi="Book Antiqua"/>
        </w:rPr>
        <w:t>: 1262-1271</w:t>
      </w:r>
      <w:r w:rsidRPr="00884041">
        <w:rPr>
          <w:rFonts w:ascii="Book Antiqua" w:hAnsi="Book Antiqua"/>
        </w:rPr>
        <w:t xml:space="preserve"> [PMID: 31260026 DOI: 10.1001/jamainternmed.2019.2248]</w:t>
      </w:r>
    </w:p>
    <w:bookmarkEnd w:id="42"/>
    <w:p w:rsidR="00D64640" w:rsidRPr="00F40118" w:rsidRDefault="00D64640" w:rsidP="00EF6CF8">
      <w:pPr>
        <w:adjustRightInd w:val="0"/>
        <w:snapToGrid w:val="0"/>
        <w:spacing w:line="360" w:lineRule="auto"/>
        <w:jc w:val="both"/>
        <w:rPr>
          <w:rFonts w:ascii="Book Antiqua" w:hAnsi="Book Antiqua"/>
        </w:rPr>
        <w:sectPr w:rsidR="00D64640" w:rsidRPr="00F40118" w:rsidSect="005B3E00">
          <w:type w:val="continuous"/>
          <w:pgSz w:w="12240" w:h="15840"/>
          <w:pgMar w:top="1440" w:right="1800" w:bottom="1440" w:left="1800" w:header="720" w:footer="720" w:gutter="0"/>
          <w:cols w:space="720"/>
          <w:docGrid w:linePitch="360"/>
        </w:sectPr>
      </w:pPr>
    </w:p>
    <w:p w:rsidR="00A77B3E" w:rsidRPr="00F40118" w:rsidRDefault="00F97A4C"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color w:val="000000"/>
        </w:rPr>
        <w:br w:type="page"/>
      </w:r>
      <w:r w:rsidR="00FF7A14" w:rsidRPr="00F40118">
        <w:rPr>
          <w:rFonts w:ascii="Book Antiqua" w:eastAsia="Book Antiqua" w:hAnsi="Book Antiqua" w:cs="Book Antiqua"/>
          <w:b/>
          <w:color w:val="000000"/>
        </w:rPr>
        <w:t>Footnotes</w:t>
      </w: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bCs/>
          <w:color w:val="000000"/>
        </w:rPr>
        <w:t xml:space="preserve">Institutional review board statement: </w:t>
      </w:r>
      <w:bookmarkStart w:id="43" w:name="OLE_LINK55"/>
      <w:bookmarkStart w:id="44" w:name="OLE_LINK56"/>
      <w:r w:rsidRPr="00F40118">
        <w:rPr>
          <w:rFonts w:ascii="Book Antiqua" w:eastAsia="Book Antiqua" w:hAnsi="Book Antiqua" w:cs="Book Antiqua"/>
          <w:color w:val="000000"/>
          <w:shd w:val="clear" w:color="auto" w:fill="FFFFFF"/>
        </w:rPr>
        <w:t>The study was reviewed and approved by the Russian Scientific Liver Society Review Board. Approval No. 003</w:t>
      </w:r>
      <w:r w:rsidR="0084049C" w:rsidRPr="00F40118">
        <w:rPr>
          <w:rFonts w:ascii="Book Antiqua" w:eastAsia="Book Antiqua" w:hAnsi="Book Antiqua" w:cs="Book Antiqua"/>
          <w:color w:val="000000"/>
          <w:shd w:val="clear" w:color="auto" w:fill="FFFFFF"/>
        </w:rPr>
        <w:t>.</w:t>
      </w:r>
    </w:p>
    <w:bookmarkEnd w:id="43"/>
    <w:bookmarkEnd w:id="44"/>
    <w:p w:rsidR="00A77B3E" w:rsidRDefault="00A77B3E" w:rsidP="00EF6CF8">
      <w:pPr>
        <w:adjustRightInd w:val="0"/>
        <w:snapToGrid w:val="0"/>
        <w:spacing w:line="360" w:lineRule="auto"/>
        <w:jc w:val="both"/>
        <w:rPr>
          <w:rFonts w:ascii="Book Antiqua" w:hAnsi="Book Antiqua"/>
        </w:rPr>
      </w:pPr>
    </w:p>
    <w:p w:rsidR="007A154D" w:rsidRPr="007A154D" w:rsidRDefault="007A154D" w:rsidP="00EF6CF8">
      <w:pPr>
        <w:autoSpaceDE w:val="0"/>
        <w:autoSpaceDN w:val="0"/>
        <w:adjustRightInd w:val="0"/>
        <w:snapToGrid w:val="0"/>
        <w:spacing w:line="360" w:lineRule="auto"/>
        <w:jc w:val="both"/>
        <w:rPr>
          <w:rFonts w:ascii="Book Antiqua" w:hAnsi="Book Antiqua"/>
          <w:b/>
          <w:bCs/>
          <w:iCs/>
          <w:color w:val="000000"/>
        </w:rPr>
      </w:pPr>
      <w:r w:rsidRPr="00265BA5">
        <w:rPr>
          <w:rFonts w:ascii="Book Antiqua" w:hAnsi="Book Antiqua"/>
          <w:b/>
          <w:bCs/>
          <w:iCs/>
          <w:color w:val="000000"/>
        </w:rPr>
        <w:t>Informed consent statement</w:t>
      </w:r>
      <w:r w:rsidRPr="007A154D">
        <w:rPr>
          <w:rFonts w:ascii="Book Antiqua" w:hAnsi="Book Antiqua"/>
          <w:b/>
          <w:bCs/>
          <w:iCs/>
          <w:color w:val="000000"/>
        </w:rPr>
        <w:t xml:space="preserve">: </w:t>
      </w:r>
      <w:r w:rsidRPr="007A154D">
        <w:rPr>
          <w:rFonts w:ascii="Book Antiqua" w:hAnsi="Book Antiqua"/>
          <w:bCs/>
          <w:iCs/>
          <w:color w:val="000000"/>
        </w:rPr>
        <w:t>All study participants, or their legal guardian, provided informed written consent prior to study enrollment.</w:t>
      </w:r>
    </w:p>
    <w:p w:rsidR="007A154D" w:rsidRPr="00F40118" w:rsidRDefault="007A154D"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bCs/>
          <w:color w:val="000000"/>
        </w:rPr>
        <w:t xml:space="preserve">Conflict-of-interest statement: </w:t>
      </w:r>
      <w:bookmarkStart w:id="45" w:name="OLE_LINK57"/>
      <w:bookmarkStart w:id="46" w:name="OLE_LINK58"/>
      <w:r w:rsidRPr="00F40118">
        <w:rPr>
          <w:rFonts w:ascii="Book Antiqua" w:eastAsia="Book Antiqua" w:hAnsi="Book Antiqua" w:cs="Book Antiqua"/>
          <w:color w:val="000000"/>
        </w:rPr>
        <w:t>Maria Yu. Nadinskaia, in 2015-2019 provided consulting services for the PRO.MED.CS Marketing. Marina V. Maevskaia in 2015-2019 provided consulting services for the PRO.MED.CS Marketing. Vladimir T. Ivashkin in 2015-2019, provided consulting services for the PRO.MED.CS Marketing. Feruza I. Khamrabaeva in 2015-2019, provided consulting services for the PROMEDCSCA. Elena B. Zueva, in 2015-2019, provided consulting services for the PROMEDCSCA. Alexandr V. Nersesov, in 2018-2019, provided consulting services for the PROMEDCSCA. Aigul M. Raissova, in 2018-2019, provided consulting services for the PROMEDCSCA. Khava B. Kodzoeva declares that there are no conflicts of interest. Irina Yu. Pirogova declares that there are no conflicts of interest. Evgenii V. Chesnokov declares that there are no conflicts of interest. Jamilya A. Kaibullayeva declares that there are no conflicts of interest. Akzhan Konysbekova declares that there are no conflicts of interest.</w:t>
      </w:r>
    </w:p>
    <w:bookmarkEnd w:id="45"/>
    <w:bookmarkEnd w:id="46"/>
    <w:p w:rsidR="00A77B3E" w:rsidRPr="00F40118" w:rsidRDefault="00A77B3E"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bCs/>
          <w:color w:val="000000"/>
        </w:rPr>
        <w:t xml:space="preserve">Data sharing statement: </w:t>
      </w:r>
      <w:bookmarkStart w:id="47" w:name="OLE_LINK59"/>
      <w:bookmarkStart w:id="48" w:name="OLE_LINK60"/>
      <w:r w:rsidRPr="00F40118">
        <w:rPr>
          <w:rFonts w:ascii="Book Antiqua" w:eastAsia="Book Antiqua" w:hAnsi="Book Antiqua" w:cs="Book Antiqua"/>
          <w:color w:val="000000"/>
          <w:shd w:val="clear" w:color="auto" w:fill="FFFFFF"/>
        </w:rPr>
        <w:t>Technical appendix, statistical code, and dataset available from the corresponding author at liver.orc@mail.ru. Informed consent was not obtained but the presented data are anonymized and risk of identification is low</w:t>
      </w:r>
      <w:r w:rsidR="0084049C" w:rsidRPr="00F40118">
        <w:rPr>
          <w:rFonts w:ascii="Book Antiqua" w:eastAsia="Book Antiqua" w:hAnsi="Book Antiqua" w:cs="Book Antiqua"/>
          <w:color w:val="000000"/>
          <w:shd w:val="clear" w:color="auto" w:fill="FFFFFF"/>
        </w:rPr>
        <w:t>.</w:t>
      </w:r>
    </w:p>
    <w:bookmarkEnd w:id="47"/>
    <w:bookmarkEnd w:id="48"/>
    <w:p w:rsidR="00A77B3E" w:rsidRDefault="00A77B3E" w:rsidP="00EF6CF8">
      <w:pPr>
        <w:adjustRightInd w:val="0"/>
        <w:snapToGrid w:val="0"/>
        <w:spacing w:line="360" w:lineRule="auto"/>
        <w:jc w:val="both"/>
        <w:rPr>
          <w:rFonts w:ascii="Book Antiqua" w:hAnsi="Book Antiqua"/>
        </w:rPr>
      </w:pPr>
    </w:p>
    <w:p w:rsidR="007A154D" w:rsidRPr="00EF6CF8" w:rsidRDefault="007A154D" w:rsidP="00EF6CF8">
      <w:pPr>
        <w:spacing w:line="360" w:lineRule="auto"/>
        <w:jc w:val="both"/>
        <w:rPr>
          <w:rFonts w:ascii="Book Antiqua" w:hAnsi="Book Antiqua"/>
        </w:rPr>
      </w:pPr>
      <w:r w:rsidRPr="00C15739">
        <w:rPr>
          <w:rFonts w:ascii="Book Antiqua" w:hAnsi="Book Antiqua"/>
          <w:b/>
        </w:rPr>
        <w:t>CONSORT 2010 statement</w:t>
      </w:r>
      <w:r>
        <w:rPr>
          <w:rFonts w:ascii="Book Antiqua" w:hAnsi="Book Antiqua" w:hint="eastAsia"/>
          <w:b/>
        </w:rPr>
        <w:t>:</w:t>
      </w:r>
      <w:r w:rsidR="00EF6CF8">
        <w:rPr>
          <w:rFonts w:ascii="Book Antiqua" w:hAnsi="Book Antiqua"/>
          <w:b/>
        </w:rPr>
        <w:t xml:space="preserve"> </w:t>
      </w:r>
      <w:r w:rsidR="00EF6CF8" w:rsidRPr="00EF6CF8">
        <w:rPr>
          <w:rFonts w:ascii="Book Antiqua" w:hAnsi="Book Antiqua"/>
        </w:rPr>
        <w:t>The authors confirm that the manuscript was prepared according to the CONSORT 2010 checklist.</w:t>
      </w:r>
    </w:p>
    <w:p w:rsidR="007A154D" w:rsidRPr="00F40118" w:rsidRDefault="007A154D"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bCs/>
          <w:color w:val="000000"/>
        </w:rPr>
        <w:t xml:space="preserve">Open-Access: </w:t>
      </w:r>
      <w:r w:rsidRPr="00F4011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F40118" w:rsidRDefault="00A77B3E"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color w:val="000000"/>
        </w:rPr>
        <w:t xml:space="preserve">Manuscript source: </w:t>
      </w:r>
      <w:r w:rsidRPr="00F40118">
        <w:rPr>
          <w:rFonts w:ascii="Book Antiqua" w:eastAsia="Book Antiqua" w:hAnsi="Book Antiqua" w:cs="Book Antiqua"/>
          <w:color w:val="000000"/>
        </w:rPr>
        <w:t xml:space="preserve">Unsolicited </w:t>
      </w:r>
      <w:r w:rsidR="0084049C" w:rsidRPr="00F40118">
        <w:rPr>
          <w:rFonts w:ascii="Book Antiqua" w:eastAsia="Book Antiqua" w:hAnsi="Book Antiqua" w:cs="Book Antiqua"/>
          <w:color w:val="000000"/>
        </w:rPr>
        <w:t>manuscript</w:t>
      </w:r>
    </w:p>
    <w:p w:rsidR="00A77B3E" w:rsidRPr="00F40118" w:rsidRDefault="00A77B3E"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color w:val="000000"/>
        </w:rPr>
        <w:t xml:space="preserve">Peer-review started: </w:t>
      </w:r>
      <w:r w:rsidRPr="00F40118">
        <w:rPr>
          <w:rFonts w:ascii="Book Antiqua" w:eastAsia="Book Antiqua" w:hAnsi="Book Antiqua" w:cs="Book Antiqua"/>
          <w:color w:val="000000"/>
        </w:rPr>
        <w:t>December 3, 2020</w:t>
      </w: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color w:val="000000"/>
        </w:rPr>
        <w:t xml:space="preserve">First decision: </w:t>
      </w:r>
      <w:r w:rsidRPr="00F40118">
        <w:rPr>
          <w:rFonts w:ascii="Book Antiqua" w:eastAsia="Book Antiqua" w:hAnsi="Book Antiqua" w:cs="Book Antiqua"/>
          <w:color w:val="000000"/>
        </w:rPr>
        <w:t>December 11, 2020</w:t>
      </w: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color w:val="000000"/>
        </w:rPr>
        <w:t xml:space="preserve">Article in press: </w:t>
      </w:r>
      <w:r w:rsidR="004958CC" w:rsidRPr="007E7D8E">
        <w:rPr>
          <w:rFonts w:ascii="Book Antiqua" w:eastAsia="Book Antiqua" w:hAnsi="Book Antiqua" w:cs="Book Antiqua"/>
          <w:color w:val="000000"/>
        </w:rPr>
        <w:t>February 24, 2021</w:t>
      </w:r>
    </w:p>
    <w:p w:rsidR="00A77B3E" w:rsidRPr="00F40118" w:rsidRDefault="00A77B3E" w:rsidP="00EF6CF8">
      <w:pPr>
        <w:adjustRightInd w:val="0"/>
        <w:snapToGrid w:val="0"/>
        <w:spacing w:line="360" w:lineRule="auto"/>
        <w:jc w:val="both"/>
        <w:rPr>
          <w:rFonts w:ascii="Book Antiqua" w:hAnsi="Book Antiqua"/>
        </w:rPr>
      </w:pP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color w:val="000000"/>
        </w:rPr>
        <w:t xml:space="preserve">Specialty type: </w:t>
      </w:r>
      <w:r w:rsidRPr="00F40118">
        <w:rPr>
          <w:rFonts w:ascii="Book Antiqua" w:eastAsia="Book Antiqua" w:hAnsi="Book Antiqua" w:cs="Book Antiqua"/>
          <w:color w:val="000000"/>
        </w:rPr>
        <w:t xml:space="preserve">Gastroenterology and </w:t>
      </w:r>
      <w:r w:rsidR="0084049C" w:rsidRPr="00F40118">
        <w:rPr>
          <w:rFonts w:ascii="Book Antiqua" w:eastAsia="Book Antiqua" w:hAnsi="Book Antiqua" w:cs="Book Antiqua"/>
          <w:color w:val="000000"/>
        </w:rPr>
        <w:t>hepatology</w:t>
      </w: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color w:val="000000"/>
        </w:rPr>
        <w:t xml:space="preserve">Country/Territory of origin: </w:t>
      </w:r>
      <w:r w:rsidRPr="00F40118">
        <w:rPr>
          <w:rFonts w:ascii="Book Antiqua" w:eastAsia="Book Antiqua" w:hAnsi="Book Antiqua" w:cs="Book Antiqua"/>
          <w:color w:val="000000"/>
        </w:rPr>
        <w:t>Russia</w:t>
      </w: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b/>
          <w:color w:val="000000"/>
        </w:rPr>
        <w:t>Peer-review report’s scientific quality classification</w:t>
      </w: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color w:val="000000"/>
        </w:rPr>
        <w:t>Grade A (Excellent): 0</w:t>
      </w: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color w:val="000000"/>
        </w:rPr>
        <w:t>Grade B (Very good): B</w:t>
      </w: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color w:val="000000"/>
        </w:rPr>
        <w:t>Grade C (Good): 0</w:t>
      </w: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color w:val="000000"/>
        </w:rPr>
        <w:t>Grade D (Fair): 0</w:t>
      </w:r>
    </w:p>
    <w:p w:rsidR="00A77B3E" w:rsidRPr="00F40118" w:rsidRDefault="00FF7A14" w:rsidP="00EF6CF8">
      <w:pPr>
        <w:adjustRightInd w:val="0"/>
        <w:snapToGrid w:val="0"/>
        <w:spacing w:line="360" w:lineRule="auto"/>
        <w:jc w:val="both"/>
        <w:rPr>
          <w:rFonts w:ascii="Book Antiqua" w:hAnsi="Book Antiqua"/>
        </w:rPr>
      </w:pPr>
      <w:r w:rsidRPr="00F40118">
        <w:rPr>
          <w:rFonts w:ascii="Book Antiqua" w:eastAsia="Book Antiqua" w:hAnsi="Book Antiqua" w:cs="Book Antiqua"/>
          <w:color w:val="000000"/>
        </w:rPr>
        <w:t>Grade E (Poor): 0</w:t>
      </w:r>
    </w:p>
    <w:p w:rsidR="00A77B3E" w:rsidRPr="00F40118" w:rsidRDefault="00A77B3E" w:rsidP="00EF6CF8">
      <w:pPr>
        <w:adjustRightInd w:val="0"/>
        <w:snapToGrid w:val="0"/>
        <w:spacing w:line="360" w:lineRule="auto"/>
        <w:jc w:val="both"/>
        <w:rPr>
          <w:rFonts w:ascii="Book Antiqua" w:hAnsi="Book Antiqua"/>
        </w:rPr>
      </w:pPr>
    </w:p>
    <w:p w:rsidR="00A77B3E" w:rsidRPr="00D4221C" w:rsidRDefault="00FF7A14" w:rsidP="00EF6CF8">
      <w:pPr>
        <w:adjustRightInd w:val="0"/>
        <w:snapToGrid w:val="0"/>
        <w:spacing w:line="360" w:lineRule="auto"/>
        <w:jc w:val="both"/>
        <w:rPr>
          <w:rFonts w:ascii="Book Antiqua" w:eastAsiaTheme="minorEastAsia" w:hAnsi="Book Antiqua" w:cs="Book Antiqua"/>
          <w:b/>
          <w:color w:val="000000"/>
          <w:lang w:eastAsia="zh-CN"/>
        </w:rPr>
      </w:pPr>
      <w:r w:rsidRPr="00F40118">
        <w:rPr>
          <w:rFonts w:ascii="Book Antiqua" w:eastAsia="Book Antiqua" w:hAnsi="Book Antiqua" w:cs="Book Antiqua"/>
          <w:b/>
          <w:color w:val="000000"/>
        </w:rPr>
        <w:t xml:space="preserve">P-Reviewer: </w:t>
      </w:r>
      <w:r w:rsidRPr="00F40118">
        <w:rPr>
          <w:rFonts w:ascii="Book Antiqua" w:eastAsia="Book Antiqua" w:hAnsi="Book Antiqua" w:cs="Book Antiqua"/>
          <w:color w:val="000000"/>
        </w:rPr>
        <w:t>Chen GX</w:t>
      </w:r>
      <w:r w:rsidRPr="00F40118">
        <w:rPr>
          <w:rFonts w:ascii="Book Antiqua" w:eastAsia="Book Antiqua" w:hAnsi="Book Antiqua" w:cs="Book Antiqua"/>
          <w:b/>
          <w:color w:val="000000"/>
        </w:rPr>
        <w:t xml:space="preserve"> S-Editor: </w:t>
      </w:r>
      <w:r w:rsidRPr="00F40118">
        <w:rPr>
          <w:rFonts w:ascii="Book Antiqua" w:eastAsia="Book Antiqua" w:hAnsi="Book Antiqua" w:cs="Book Antiqua"/>
          <w:color w:val="000000"/>
        </w:rPr>
        <w:t>Zhang L</w:t>
      </w:r>
      <w:r w:rsidRPr="00F40118">
        <w:rPr>
          <w:rFonts w:ascii="Book Antiqua" w:eastAsia="Book Antiqua" w:hAnsi="Book Antiqua" w:cs="Book Antiqua"/>
          <w:b/>
          <w:color w:val="000000"/>
        </w:rPr>
        <w:t xml:space="preserve"> L-Editor: </w:t>
      </w:r>
      <w:r w:rsidR="00D4221C" w:rsidRPr="00D4221C">
        <w:rPr>
          <w:rFonts w:ascii="Book Antiqua" w:eastAsiaTheme="minorEastAsia" w:hAnsi="Book Antiqua" w:cs="Book Antiqua" w:hint="eastAsia"/>
          <w:color w:val="000000"/>
          <w:lang w:eastAsia="zh-CN"/>
        </w:rPr>
        <w:t xml:space="preserve">A </w:t>
      </w:r>
      <w:r w:rsidRPr="00F40118">
        <w:rPr>
          <w:rFonts w:ascii="Book Antiqua" w:eastAsia="Book Antiqua" w:hAnsi="Book Antiqua" w:cs="Book Antiqua"/>
          <w:b/>
          <w:color w:val="000000"/>
        </w:rPr>
        <w:t xml:space="preserve">P-Editor: </w:t>
      </w:r>
      <w:r w:rsidR="00D4221C" w:rsidRPr="00D4221C">
        <w:rPr>
          <w:rFonts w:ascii="Book Antiqua" w:eastAsiaTheme="minorEastAsia" w:hAnsi="Book Antiqua" w:cs="Book Antiqua" w:hint="eastAsia"/>
          <w:color w:val="000000"/>
          <w:lang w:eastAsia="zh-CN"/>
        </w:rPr>
        <w:t>Liu JH</w:t>
      </w:r>
    </w:p>
    <w:p w:rsidR="0084049C" w:rsidRDefault="0084049C" w:rsidP="00EF6CF8">
      <w:pPr>
        <w:adjustRightInd w:val="0"/>
        <w:snapToGrid w:val="0"/>
        <w:spacing w:line="360" w:lineRule="auto"/>
        <w:jc w:val="both"/>
        <w:rPr>
          <w:rFonts w:ascii="Book Antiqua" w:hAnsi="Book Antiqua"/>
          <w:lang w:eastAsia="zh-CN"/>
        </w:rPr>
      </w:pPr>
    </w:p>
    <w:p w:rsidR="00D4221C" w:rsidRPr="00F40118" w:rsidRDefault="00D4221C" w:rsidP="00EF6CF8">
      <w:pPr>
        <w:adjustRightInd w:val="0"/>
        <w:snapToGrid w:val="0"/>
        <w:spacing w:line="360" w:lineRule="auto"/>
        <w:jc w:val="both"/>
        <w:rPr>
          <w:rFonts w:ascii="Book Antiqua" w:hAnsi="Book Antiqua"/>
          <w:lang w:eastAsia="zh-CN"/>
        </w:rPr>
        <w:sectPr w:rsidR="00D4221C" w:rsidRPr="00F40118" w:rsidSect="005B3E00">
          <w:type w:val="continuous"/>
          <w:pgSz w:w="12240" w:h="15840"/>
          <w:pgMar w:top="1440" w:right="1800" w:bottom="1440" w:left="1800" w:header="720" w:footer="720" w:gutter="0"/>
          <w:cols w:space="720"/>
          <w:docGrid w:linePitch="360"/>
        </w:sectPr>
      </w:pPr>
    </w:p>
    <w:p w:rsidR="00A77B3E" w:rsidRPr="00F40118" w:rsidRDefault="0084049C" w:rsidP="00EF6CF8">
      <w:pPr>
        <w:adjustRightInd w:val="0"/>
        <w:snapToGrid w:val="0"/>
        <w:spacing w:line="360" w:lineRule="auto"/>
        <w:jc w:val="both"/>
        <w:rPr>
          <w:rFonts w:ascii="Book Antiqua" w:eastAsia="Book Antiqua" w:hAnsi="Book Antiqua" w:cs="Book Antiqua"/>
          <w:b/>
          <w:color w:val="000000"/>
        </w:rPr>
      </w:pPr>
      <w:r w:rsidRPr="00F40118">
        <w:rPr>
          <w:rFonts w:ascii="Book Antiqua" w:eastAsia="Book Antiqua" w:hAnsi="Book Antiqua" w:cs="Book Antiqua"/>
          <w:b/>
          <w:color w:val="000000"/>
        </w:rPr>
        <w:br w:type="page"/>
      </w:r>
      <w:r w:rsidR="00FF7A14" w:rsidRPr="00F40118">
        <w:rPr>
          <w:rFonts w:ascii="Book Antiqua" w:eastAsia="Book Antiqua" w:hAnsi="Book Antiqua" w:cs="Book Antiqua"/>
          <w:b/>
          <w:color w:val="000000"/>
        </w:rPr>
        <w:t>Figure Legends</w:t>
      </w:r>
    </w:p>
    <w:p w:rsidR="00C5228A" w:rsidRPr="00F40118" w:rsidRDefault="00882CC1" w:rsidP="00EF6CF8">
      <w:pPr>
        <w:adjustRightInd w:val="0"/>
        <w:snapToGrid w:val="0"/>
        <w:spacing w:line="360" w:lineRule="auto"/>
        <w:jc w:val="both"/>
        <w:rPr>
          <w:rFonts w:ascii="Book Antiqua" w:hAnsi="Book Antiqua"/>
        </w:rPr>
      </w:pPr>
      <w:r>
        <w:rPr>
          <w:noProof/>
          <w:lang w:eastAsia="zh-CN"/>
        </w:rPr>
        <w:drawing>
          <wp:inline distT="0" distB="0" distL="0" distR="0">
            <wp:extent cx="5486400" cy="38112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811270"/>
                    </a:xfrm>
                    <a:prstGeom prst="rect">
                      <a:avLst/>
                    </a:prstGeom>
                    <a:noFill/>
                    <a:ln>
                      <a:noFill/>
                    </a:ln>
                  </pic:spPr>
                </pic:pic>
              </a:graphicData>
            </a:graphic>
          </wp:inline>
        </w:drawing>
      </w:r>
    </w:p>
    <w:p w:rsidR="00A77B3E" w:rsidRPr="00F40118" w:rsidRDefault="00FF7A14" w:rsidP="00EF6CF8">
      <w:pPr>
        <w:adjustRightInd w:val="0"/>
        <w:snapToGrid w:val="0"/>
        <w:spacing w:line="360" w:lineRule="auto"/>
        <w:jc w:val="both"/>
        <w:rPr>
          <w:rFonts w:ascii="Book Antiqua" w:hAnsi="Book Antiqua"/>
        </w:rPr>
      </w:pPr>
      <w:bookmarkStart w:id="49" w:name="OLE_LINK61"/>
      <w:bookmarkStart w:id="50" w:name="OLE_LINK62"/>
      <w:r w:rsidRPr="00F40118">
        <w:rPr>
          <w:rFonts w:ascii="Book Antiqua" w:eastAsia="Book Antiqua" w:hAnsi="Book Antiqua" w:cs="Book Antiqua"/>
          <w:b/>
          <w:bCs/>
          <w:color w:val="000000"/>
        </w:rPr>
        <w:t>Figure 1 Patient enrollment flowchart.</w:t>
      </w:r>
      <w:r w:rsidRPr="00F40118">
        <w:rPr>
          <w:rFonts w:ascii="Book Antiqua" w:eastAsia="Book Antiqua" w:hAnsi="Book Antiqua" w:cs="Book Antiqua"/>
          <w:color w:val="000000"/>
        </w:rPr>
        <w:t xml:space="preserve"> </w:t>
      </w:r>
      <w:r w:rsidR="008967FA" w:rsidRPr="00F40118">
        <w:rPr>
          <w:rFonts w:ascii="Book Antiqua" w:eastAsia="Book Antiqua" w:hAnsi="Book Antiqua" w:cs="Book Antiqua"/>
          <w:color w:val="000000"/>
        </w:rPr>
        <w:t xml:space="preserve">NAFLD: </w:t>
      </w:r>
      <w:r w:rsidR="00DA7F9F" w:rsidRPr="00F40118">
        <w:rPr>
          <w:rFonts w:ascii="Book Antiqua" w:eastAsia="Book Antiqua" w:hAnsi="Book Antiqua" w:cs="Book Antiqua"/>
          <w:color w:val="000000"/>
        </w:rPr>
        <w:t>N</w:t>
      </w:r>
      <w:r w:rsidR="008967FA" w:rsidRPr="00F40118">
        <w:rPr>
          <w:rFonts w:ascii="Book Antiqua" w:eastAsia="Book Antiqua" w:hAnsi="Book Antiqua" w:cs="Book Antiqua"/>
          <w:color w:val="000000"/>
        </w:rPr>
        <w:t xml:space="preserve">onalcoholic fatty liver disease; FLI: </w:t>
      </w:r>
      <w:r w:rsidR="00DA7F9F" w:rsidRPr="00F40118">
        <w:rPr>
          <w:rFonts w:ascii="Book Antiqua" w:eastAsia="Book Antiqua" w:hAnsi="Book Antiqua" w:cs="Book Antiqua"/>
          <w:color w:val="000000"/>
        </w:rPr>
        <w:t>F</w:t>
      </w:r>
      <w:r w:rsidR="008967FA" w:rsidRPr="00F40118">
        <w:rPr>
          <w:rFonts w:ascii="Book Antiqua" w:eastAsia="Book Antiqua" w:hAnsi="Book Antiqua" w:cs="Book Antiqua"/>
          <w:color w:val="000000"/>
        </w:rPr>
        <w:t xml:space="preserve">atty liver index; NSAID: </w:t>
      </w:r>
      <w:r w:rsidR="00DA7F9F" w:rsidRPr="00F40118">
        <w:rPr>
          <w:rFonts w:ascii="Book Antiqua" w:eastAsia="Book Antiqua" w:hAnsi="Book Antiqua" w:cs="Book Antiqua"/>
          <w:color w:val="000000"/>
        </w:rPr>
        <w:t>N</w:t>
      </w:r>
      <w:r w:rsidR="008967FA" w:rsidRPr="00F40118">
        <w:rPr>
          <w:rFonts w:ascii="Book Antiqua" w:eastAsia="Book Antiqua" w:hAnsi="Book Antiqua" w:cs="Book Antiqua"/>
          <w:color w:val="000000"/>
        </w:rPr>
        <w:t>onsteroidal anti-inflammatory drug</w:t>
      </w:r>
      <w:r w:rsidR="00DA7F9F" w:rsidRPr="00F40118">
        <w:rPr>
          <w:rFonts w:ascii="Book Antiqua" w:eastAsia="Book Antiqua" w:hAnsi="Book Antiqua" w:cs="Book Antiqua"/>
          <w:color w:val="000000"/>
        </w:rPr>
        <w:t>.</w:t>
      </w:r>
    </w:p>
    <w:bookmarkEnd w:id="49"/>
    <w:bookmarkEnd w:id="50"/>
    <w:p w:rsidR="008967FA" w:rsidRPr="00F40118" w:rsidRDefault="008967FA" w:rsidP="00EF6CF8">
      <w:pPr>
        <w:adjustRightInd w:val="0"/>
        <w:snapToGrid w:val="0"/>
        <w:spacing w:line="360" w:lineRule="auto"/>
        <w:jc w:val="both"/>
        <w:rPr>
          <w:rFonts w:ascii="Book Antiqua" w:eastAsia="Book Antiqua" w:hAnsi="Book Antiqua" w:cs="Book Antiqua"/>
          <w:b/>
          <w:bCs/>
          <w:color w:val="000000"/>
        </w:rPr>
      </w:pPr>
      <w:r w:rsidRPr="00F40118">
        <w:rPr>
          <w:rFonts w:ascii="Book Antiqua" w:eastAsia="Book Antiqua" w:hAnsi="Book Antiqua" w:cs="Book Antiqua"/>
          <w:b/>
          <w:bCs/>
          <w:color w:val="000000"/>
        </w:rPr>
        <w:br w:type="page"/>
      </w:r>
      <w:r w:rsidR="00882CC1">
        <w:rPr>
          <w:rFonts w:ascii="Book Antiqua" w:eastAsia="Book Antiqua" w:hAnsi="Book Antiqua" w:cs="Book Antiqua"/>
          <w:b/>
          <w:noProof/>
          <w:color w:val="000000"/>
          <w:lang w:eastAsia="zh-CN"/>
        </w:rPr>
        <w:drawing>
          <wp:inline distT="0" distB="0" distL="0" distR="0">
            <wp:extent cx="5494020" cy="2150745"/>
            <wp:effectExtent l="0" t="0" r="0" b="190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4020" cy="2150745"/>
                    </a:xfrm>
                    <a:prstGeom prst="rect">
                      <a:avLst/>
                    </a:prstGeom>
                    <a:noFill/>
                    <a:ln>
                      <a:noFill/>
                    </a:ln>
                  </pic:spPr>
                </pic:pic>
              </a:graphicData>
            </a:graphic>
          </wp:inline>
        </w:drawing>
      </w:r>
    </w:p>
    <w:p w:rsidR="008967FA" w:rsidRPr="00F40118" w:rsidRDefault="00FF7A14" w:rsidP="00EF6CF8">
      <w:pPr>
        <w:adjustRightInd w:val="0"/>
        <w:snapToGrid w:val="0"/>
        <w:spacing w:line="360" w:lineRule="auto"/>
        <w:jc w:val="both"/>
        <w:rPr>
          <w:rFonts w:ascii="Book Antiqua" w:eastAsia="Book Antiqua" w:hAnsi="Book Antiqua" w:cs="Book Antiqua"/>
          <w:color w:val="000000"/>
        </w:rPr>
        <w:sectPr w:rsidR="008967FA" w:rsidRPr="00F40118" w:rsidSect="005B3E00">
          <w:type w:val="continuous"/>
          <w:pgSz w:w="12240" w:h="15840"/>
          <w:pgMar w:top="1440" w:right="1800" w:bottom="1440" w:left="1800" w:header="720" w:footer="720" w:gutter="0"/>
          <w:cols w:space="720"/>
          <w:docGrid w:linePitch="360"/>
        </w:sectPr>
      </w:pPr>
      <w:r w:rsidRPr="00F40118">
        <w:rPr>
          <w:rFonts w:ascii="Book Antiqua" w:eastAsia="Book Antiqua" w:hAnsi="Book Antiqua" w:cs="Book Antiqua"/>
          <w:b/>
          <w:bCs/>
          <w:color w:val="000000"/>
        </w:rPr>
        <w:t xml:space="preserve">Figure 2 Scheme of the study. </w:t>
      </w:r>
      <w:r w:rsidR="008967FA" w:rsidRPr="00F40118">
        <w:rPr>
          <w:rFonts w:ascii="Book Antiqua" w:eastAsia="Book Antiqua" w:hAnsi="Book Antiqua" w:cs="Book Antiqua"/>
          <w:color w:val="000000"/>
        </w:rPr>
        <w:t xml:space="preserve">UDCA: </w:t>
      </w:r>
      <w:r w:rsidR="00DA7F9F" w:rsidRPr="00F40118">
        <w:rPr>
          <w:rFonts w:ascii="Book Antiqua" w:eastAsia="Book Antiqua" w:hAnsi="Book Antiqua" w:cs="Book Antiqua"/>
          <w:color w:val="000000"/>
        </w:rPr>
        <w:t>U</w:t>
      </w:r>
      <w:r w:rsidR="008967FA" w:rsidRPr="00F40118">
        <w:rPr>
          <w:rFonts w:ascii="Book Antiqua" w:eastAsia="Book Antiqua" w:hAnsi="Book Antiqua" w:cs="Book Antiqua"/>
          <w:color w:val="000000"/>
        </w:rPr>
        <w:t xml:space="preserve">rsodeoxycholic acid; NFS: </w:t>
      </w:r>
      <w:r w:rsidR="00DA7F9F" w:rsidRPr="00F40118">
        <w:rPr>
          <w:rFonts w:ascii="Book Antiqua" w:eastAsia="Book Antiqua" w:hAnsi="Book Antiqua" w:cs="Book Antiqua"/>
          <w:color w:val="000000"/>
        </w:rPr>
        <w:t>N</w:t>
      </w:r>
      <w:r w:rsidR="008967FA" w:rsidRPr="00F40118">
        <w:rPr>
          <w:rFonts w:ascii="Book Antiqua" w:eastAsia="Book Antiqua" w:hAnsi="Book Antiqua" w:cs="Book Antiqua"/>
          <w:color w:val="000000"/>
        </w:rPr>
        <w:t xml:space="preserve">onalcoholic fatty liver disease fibrosis score; FIB-4: </w:t>
      </w:r>
      <w:r w:rsidR="00DA7F9F" w:rsidRPr="00F40118">
        <w:rPr>
          <w:rFonts w:ascii="Book Antiqua" w:eastAsia="Book Antiqua" w:hAnsi="Book Antiqua" w:cs="Book Antiqua"/>
          <w:color w:val="000000"/>
        </w:rPr>
        <w:t>L</w:t>
      </w:r>
      <w:r w:rsidR="008967FA" w:rsidRPr="00F40118">
        <w:rPr>
          <w:rFonts w:ascii="Book Antiqua" w:eastAsia="Book Antiqua" w:hAnsi="Book Antiqua" w:cs="Book Antiqua"/>
          <w:color w:val="000000"/>
        </w:rPr>
        <w:t xml:space="preserve">iver fibrosis index; FLI: </w:t>
      </w:r>
      <w:r w:rsidR="00DA7F9F" w:rsidRPr="00F40118">
        <w:rPr>
          <w:rFonts w:ascii="Book Antiqua" w:eastAsia="Book Antiqua" w:hAnsi="Book Antiqua" w:cs="Book Antiqua"/>
          <w:color w:val="000000"/>
        </w:rPr>
        <w:t>F</w:t>
      </w:r>
      <w:r w:rsidR="008967FA" w:rsidRPr="00F40118">
        <w:rPr>
          <w:rFonts w:ascii="Book Antiqua" w:eastAsia="Book Antiqua" w:hAnsi="Book Antiqua" w:cs="Book Antiqua"/>
          <w:color w:val="000000"/>
        </w:rPr>
        <w:t xml:space="preserve">atty liver index; CIMT: </w:t>
      </w:r>
      <w:r w:rsidR="00DA7F9F" w:rsidRPr="00F40118">
        <w:rPr>
          <w:rFonts w:ascii="Book Antiqua" w:eastAsia="Book Antiqua" w:hAnsi="Book Antiqua" w:cs="Book Antiqua"/>
          <w:color w:val="000000"/>
        </w:rPr>
        <w:t>C</w:t>
      </w:r>
      <w:r w:rsidR="008967FA" w:rsidRPr="00F40118">
        <w:rPr>
          <w:rFonts w:ascii="Book Antiqua" w:eastAsia="Book Antiqua" w:hAnsi="Book Antiqua" w:cs="Book Antiqua"/>
          <w:color w:val="000000"/>
        </w:rPr>
        <w:t>arotid intima-media thickness: ASCVD: Atherosclerotic Cardiovascular Disease</w:t>
      </w:r>
      <w:r w:rsidR="00DA7F9F" w:rsidRPr="00F40118">
        <w:rPr>
          <w:rFonts w:ascii="Book Antiqua" w:eastAsia="Book Antiqua" w:hAnsi="Book Antiqua" w:cs="Book Antiqua"/>
          <w:color w:val="000000"/>
        </w:rPr>
        <w:t>.</w:t>
      </w:r>
      <w:r w:rsidR="008967FA" w:rsidRPr="00F40118">
        <w:rPr>
          <w:rFonts w:ascii="Book Antiqua" w:eastAsia="Book Antiqua" w:hAnsi="Book Antiqua" w:cs="Book Antiqua"/>
          <w:color w:val="000000"/>
        </w:rPr>
        <w:cr/>
      </w:r>
    </w:p>
    <w:p w:rsidR="008967FA" w:rsidRPr="00F40118" w:rsidRDefault="008967FA" w:rsidP="00EF6CF8">
      <w:pPr>
        <w:pStyle w:val="a6"/>
        <w:adjustRightInd w:val="0"/>
        <w:snapToGrid w:val="0"/>
        <w:spacing w:line="360" w:lineRule="auto"/>
        <w:jc w:val="both"/>
        <w:rPr>
          <w:rFonts w:ascii="Book Antiqua" w:eastAsia="Times New Roman" w:hAnsi="Book Antiqua" w:cs="Times New Roman"/>
          <w:b/>
          <w:bCs/>
          <w:szCs w:val="24"/>
        </w:rPr>
      </w:pPr>
      <w:r w:rsidRPr="00F40118">
        <w:rPr>
          <w:rFonts w:ascii="Book Antiqua" w:eastAsia="Times New Roman" w:hAnsi="Book Antiqua" w:cs="Times New Roman"/>
          <w:b/>
          <w:bCs/>
          <w:szCs w:val="24"/>
        </w:rPr>
        <w:t xml:space="preserve">Table 1 </w:t>
      </w:r>
      <w:r w:rsidRPr="00F40118">
        <w:rPr>
          <w:rFonts w:ascii="Book Antiqua" w:hAnsi="Book Antiqua" w:cs="Times New Roman"/>
          <w:b/>
          <w:bCs/>
          <w:szCs w:val="24"/>
        </w:rPr>
        <w:t>Baseline characteristics of the study patients</w:t>
      </w:r>
    </w:p>
    <w:tbl>
      <w:tblPr>
        <w:tblW w:w="5000" w:type="pct"/>
        <w:tblBorders>
          <w:top w:val="single" w:sz="4" w:space="0" w:color="auto"/>
          <w:bottom w:val="single" w:sz="4" w:space="0" w:color="auto"/>
        </w:tblBorders>
        <w:tblLook w:val="04A0" w:firstRow="1" w:lastRow="0" w:firstColumn="1" w:lastColumn="0" w:noHBand="0" w:noVBand="1"/>
      </w:tblPr>
      <w:tblGrid>
        <w:gridCol w:w="4645"/>
        <w:gridCol w:w="2876"/>
        <w:gridCol w:w="2180"/>
        <w:gridCol w:w="2182"/>
        <w:gridCol w:w="1571"/>
      </w:tblGrid>
      <w:tr w:rsidR="00381783" w:rsidRPr="00F40118" w:rsidTr="00140718">
        <w:trPr>
          <w:trHeight w:val="418"/>
        </w:trPr>
        <w:tc>
          <w:tcPr>
            <w:tcW w:w="1726" w:type="pct"/>
            <w:tcBorders>
              <w:top w:val="single" w:sz="4" w:space="0" w:color="auto"/>
              <w:bottom w:val="single" w:sz="4" w:space="0" w:color="auto"/>
            </w:tcBorders>
            <w:shd w:val="clear" w:color="auto" w:fill="auto"/>
            <w:hideMark/>
          </w:tcPr>
          <w:p w:rsidR="008967FA" w:rsidRPr="00F40118" w:rsidRDefault="008967FA" w:rsidP="00EF6CF8">
            <w:pPr>
              <w:pStyle w:val="a6"/>
              <w:adjustRightInd w:val="0"/>
              <w:snapToGrid w:val="0"/>
              <w:spacing w:line="360" w:lineRule="auto"/>
              <w:jc w:val="both"/>
              <w:rPr>
                <w:rFonts w:ascii="Book Antiqua" w:hAnsi="Book Antiqua" w:cs="Times New Roman"/>
                <w:b/>
                <w:bCs/>
                <w:color w:val="auto"/>
                <w:szCs w:val="24"/>
                <w:lang w:val="ru-RU"/>
              </w:rPr>
            </w:pPr>
            <w:r w:rsidRPr="00F40118">
              <w:rPr>
                <w:rFonts w:ascii="Book Antiqua" w:hAnsi="Book Antiqua" w:cs="Times New Roman"/>
                <w:b/>
                <w:color w:val="auto"/>
                <w:szCs w:val="24"/>
                <w:lang w:val="ru-RU"/>
              </w:rPr>
              <w:t>Parameter</w:t>
            </w:r>
          </w:p>
        </w:tc>
        <w:tc>
          <w:tcPr>
            <w:tcW w:w="1069" w:type="pct"/>
            <w:tcBorders>
              <w:top w:val="single" w:sz="4" w:space="0" w:color="auto"/>
              <w:bottom w:val="single" w:sz="4" w:space="0" w:color="auto"/>
            </w:tcBorders>
            <w:shd w:val="clear" w:color="auto" w:fill="auto"/>
          </w:tcPr>
          <w:p w:rsidR="008967FA" w:rsidRPr="00F40118" w:rsidRDefault="008967FA" w:rsidP="00EF6CF8">
            <w:pPr>
              <w:pStyle w:val="a6"/>
              <w:adjustRightInd w:val="0"/>
              <w:snapToGrid w:val="0"/>
              <w:spacing w:line="360" w:lineRule="auto"/>
              <w:jc w:val="both"/>
              <w:rPr>
                <w:rFonts w:ascii="Book Antiqua" w:hAnsi="Book Antiqua" w:cs="Times New Roman"/>
                <w:b/>
                <w:bCs/>
                <w:color w:val="auto"/>
                <w:szCs w:val="24"/>
                <w:lang w:val="ru-RU"/>
              </w:rPr>
            </w:pPr>
            <w:r w:rsidRPr="00F40118">
              <w:rPr>
                <w:rFonts w:ascii="Book Antiqua" w:hAnsi="Book Antiqua" w:cs="Times New Roman"/>
                <w:b/>
                <w:bCs/>
                <w:color w:val="auto"/>
                <w:szCs w:val="24"/>
                <w:lang w:val="ru-RU"/>
              </w:rPr>
              <w:t>Total sample</w:t>
            </w:r>
            <w:r w:rsidR="00105D3F" w:rsidRPr="00F40118">
              <w:rPr>
                <w:rFonts w:ascii="Book Antiqua" w:eastAsia="宋体" w:hAnsi="Book Antiqua" w:cs="Times New Roman"/>
                <w:b/>
                <w:bCs/>
                <w:color w:val="auto"/>
                <w:szCs w:val="24"/>
                <w:lang w:val="ru-RU" w:eastAsia="zh-CN"/>
              </w:rPr>
              <w:t xml:space="preserve"> </w:t>
            </w:r>
            <w:r w:rsidRPr="00F40118">
              <w:rPr>
                <w:rFonts w:ascii="Book Antiqua" w:hAnsi="Book Antiqua" w:cs="Times New Roman"/>
                <w:b/>
                <w:bCs/>
                <w:color w:val="auto"/>
                <w:szCs w:val="24"/>
                <w:lang w:val="ru-RU"/>
              </w:rPr>
              <w:t>(</w:t>
            </w:r>
            <w:r w:rsidRPr="00F40118">
              <w:rPr>
                <w:rFonts w:ascii="Book Antiqua" w:hAnsi="Book Antiqua" w:cs="Times New Roman"/>
                <w:b/>
                <w:bCs/>
                <w:i/>
                <w:iCs/>
                <w:color w:val="auto"/>
                <w:szCs w:val="24"/>
                <w:lang w:val="ru-RU"/>
              </w:rPr>
              <w:t>n</w:t>
            </w:r>
            <w:r w:rsidRPr="00F40118">
              <w:rPr>
                <w:rFonts w:ascii="Book Antiqua" w:hAnsi="Book Antiqua" w:cs="Times New Roman"/>
                <w:b/>
                <w:bCs/>
                <w:color w:val="auto"/>
                <w:szCs w:val="24"/>
                <w:lang w:val="ru-RU"/>
              </w:rPr>
              <w:t> = 174)</w:t>
            </w:r>
          </w:p>
        </w:tc>
        <w:tc>
          <w:tcPr>
            <w:tcW w:w="810" w:type="pct"/>
            <w:tcBorders>
              <w:top w:val="single" w:sz="4" w:space="0" w:color="auto"/>
              <w:bottom w:val="single" w:sz="4" w:space="0" w:color="auto"/>
            </w:tcBorders>
            <w:shd w:val="clear" w:color="auto" w:fill="auto"/>
          </w:tcPr>
          <w:p w:rsidR="008967FA" w:rsidRPr="00F40118" w:rsidRDefault="008967FA" w:rsidP="00EF6CF8">
            <w:pPr>
              <w:pStyle w:val="a6"/>
              <w:adjustRightInd w:val="0"/>
              <w:snapToGrid w:val="0"/>
              <w:spacing w:line="360" w:lineRule="auto"/>
              <w:jc w:val="both"/>
              <w:rPr>
                <w:rFonts w:ascii="Book Antiqua" w:hAnsi="Book Antiqua" w:cs="Times New Roman"/>
                <w:b/>
                <w:bCs/>
                <w:color w:val="auto"/>
                <w:szCs w:val="24"/>
                <w:lang w:val="ru-RU"/>
              </w:rPr>
            </w:pPr>
            <w:r w:rsidRPr="00F40118">
              <w:rPr>
                <w:rFonts w:ascii="Book Antiqua" w:hAnsi="Book Antiqua" w:cs="Times New Roman"/>
                <w:b/>
                <w:bCs/>
                <w:color w:val="auto"/>
                <w:szCs w:val="24"/>
                <w:lang w:val="ru-RU"/>
              </w:rPr>
              <w:t>Men</w:t>
            </w:r>
            <w:r w:rsidR="00105D3F" w:rsidRPr="00F40118">
              <w:rPr>
                <w:rFonts w:ascii="Book Antiqua" w:eastAsia="宋体" w:hAnsi="Book Antiqua" w:cs="Times New Roman"/>
                <w:b/>
                <w:bCs/>
                <w:color w:val="auto"/>
                <w:szCs w:val="24"/>
                <w:lang w:val="ru-RU" w:eastAsia="zh-CN"/>
              </w:rPr>
              <w:t xml:space="preserve"> </w:t>
            </w:r>
            <w:r w:rsidRPr="00F40118">
              <w:rPr>
                <w:rFonts w:ascii="Book Antiqua" w:hAnsi="Book Antiqua" w:cs="Times New Roman"/>
                <w:b/>
                <w:bCs/>
                <w:color w:val="auto"/>
                <w:szCs w:val="24"/>
                <w:lang w:val="ru-RU"/>
              </w:rPr>
              <w:t>(</w:t>
            </w:r>
            <w:r w:rsidRPr="00F40118">
              <w:rPr>
                <w:rFonts w:ascii="Book Antiqua" w:hAnsi="Book Antiqua" w:cs="Times New Roman"/>
                <w:b/>
                <w:bCs/>
                <w:i/>
                <w:iCs/>
                <w:color w:val="auto"/>
                <w:szCs w:val="24"/>
                <w:lang w:val="ru-RU"/>
              </w:rPr>
              <w:t>n</w:t>
            </w:r>
            <w:r w:rsidRPr="00F40118">
              <w:rPr>
                <w:rFonts w:ascii="Book Antiqua" w:hAnsi="Book Antiqua" w:cs="Times New Roman"/>
                <w:b/>
                <w:bCs/>
                <w:color w:val="auto"/>
                <w:szCs w:val="24"/>
                <w:lang w:val="ru-RU"/>
              </w:rPr>
              <w:t> = 121)</w:t>
            </w:r>
          </w:p>
        </w:tc>
        <w:tc>
          <w:tcPr>
            <w:tcW w:w="811" w:type="pct"/>
            <w:tcBorders>
              <w:top w:val="single" w:sz="4" w:space="0" w:color="auto"/>
              <w:bottom w:val="single" w:sz="4" w:space="0" w:color="auto"/>
            </w:tcBorders>
            <w:shd w:val="clear" w:color="auto" w:fill="auto"/>
          </w:tcPr>
          <w:p w:rsidR="008967FA" w:rsidRPr="00F40118" w:rsidRDefault="008967FA" w:rsidP="00EF6CF8">
            <w:pPr>
              <w:pStyle w:val="a6"/>
              <w:adjustRightInd w:val="0"/>
              <w:snapToGrid w:val="0"/>
              <w:spacing w:line="360" w:lineRule="auto"/>
              <w:jc w:val="both"/>
              <w:rPr>
                <w:rFonts w:ascii="Book Antiqua" w:hAnsi="Book Antiqua" w:cs="Times New Roman"/>
                <w:b/>
                <w:bCs/>
                <w:color w:val="auto"/>
                <w:szCs w:val="24"/>
                <w:lang w:val="ru-RU"/>
              </w:rPr>
            </w:pPr>
            <w:r w:rsidRPr="00F40118">
              <w:rPr>
                <w:rFonts w:ascii="Book Antiqua" w:hAnsi="Book Antiqua" w:cs="Times New Roman"/>
                <w:b/>
                <w:bCs/>
                <w:color w:val="auto"/>
                <w:szCs w:val="24"/>
                <w:lang w:val="ru-RU"/>
              </w:rPr>
              <w:t>Women</w:t>
            </w:r>
            <w:r w:rsidR="00105D3F" w:rsidRPr="00F40118">
              <w:rPr>
                <w:rFonts w:ascii="Book Antiqua" w:eastAsia="宋体" w:hAnsi="Book Antiqua" w:cs="Times New Roman"/>
                <w:b/>
                <w:bCs/>
                <w:color w:val="auto"/>
                <w:szCs w:val="24"/>
                <w:lang w:val="ru-RU" w:eastAsia="zh-CN"/>
              </w:rPr>
              <w:t xml:space="preserve"> </w:t>
            </w:r>
            <w:r w:rsidRPr="00F40118">
              <w:rPr>
                <w:rFonts w:ascii="Book Antiqua" w:hAnsi="Book Antiqua" w:cs="Times New Roman"/>
                <w:b/>
                <w:bCs/>
                <w:color w:val="auto"/>
                <w:szCs w:val="24"/>
                <w:lang w:val="ru-RU"/>
              </w:rPr>
              <w:t>(</w:t>
            </w:r>
            <w:r w:rsidRPr="00F40118">
              <w:rPr>
                <w:rFonts w:ascii="Book Antiqua" w:hAnsi="Book Antiqua" w:cs="Times New Roman"/>
                <w:b/>
                <w:bCs/>
                <w:i/>
                <w:iCs/>
                <w:color w:val="auto"/>
                <w:szCs w:val="24"/>
                <w:lang w:val="ru-RU"/>
              </w:rPr>
              <w:t>n</w:t>
            </w:r>
            <w:r w:rsidRPr="00F40118">
              <w:rPr>
                <w:rFonts w:ascii="Book Antiqua" w:hAnsi="Book Antiqua" w:cs="Times New Roman"/>
                <w:b/>
                <w:bCs/>
                <w:color w:val="auto"/>
                <w:szCs w:val="24"/>
                <w:lang w:val="ru-RU"/>
              </w:rPr>
              <w:t> = 53)</w:t>
            </w:r>
          </w:p>
        </w:tc>
        <w:tc>
          <w:tcPr>
            <w:tcW w:w="584" w:type="pct"/>
            <w:tcBorders>
              <w:top w:val="single" w:sz="4" w:space="0" w:color="auto"/>
              <w:bottom w:val="single" w:sz="4" w:space="0" w:color="auto"/>
            </w:tcBorders>
            <w:shd w:val="clear" w:color="auto" w:fill="auto"/>
          </w:tcPr>
          <w:p w:rsidR="008967FA" w:rsidRPr="00F40118" w:rsidRDefault="008967FA" w:rsidP="00EF6CF8">
            <w:pPr>
              <w:pStyle w:val="a6"/>
              <w:adjustRightInd w:val="0"/>
              <w:snapToGrid w:val="0"/>
              <w:spacing w:line="360" w:lineRule="auto"/>
              <w:jc w:val="both"/>
              <w:rPr>
                <w:rFonts w:ascii="Book Antiqua" w:hAnsi="Book Antiqua" w:cs="Times New Roman"/>
                <w:b/>
                <w:bCs/>
                <w:color w:val="auto"/>
                <w:szCs w:val="24"/>
                <w:lang w:val="ru-RU"/>
              </w:rPr>
            </w:pPr>
            <w:r w:rsidRPr="00F40118">
              <w:rPr>
                <w:rFonts w:ascii="Book Antiqua" w:hAnsi="Book Antiqua" w:cs="Times New Roman"/>
                <w:b/>
                <w:bCs/>
                <w:i/>
                <w:iCs/>
                <w:color w:val="auto"/>
                <w:szCs w:val="24"/>
                <w:lang w:val="ru-RU"/>
              </w:rPr>
              <w:t>P</w:t>
            </w:r>
            <w:r w:rsidRPr="00F40118">
              <w:rPr>
                <w:rFonts w:ascii="Book Antiqua" w:hAnsi="Book Antiqua" w:cs="Times New Roman"/>
                <w:b/>
                <w:bCs/>
                <w:color w:val="auto"/>
                <w:szCs w:val="24"/>
                <w:lang w:val="ru-RU"/>
              </w:rPr>
              <w:t> value</w:t>
            </w:r>
          </w:p>
        </w:tc>
      </w:tr>
      <w:tr w:rsidR="00381783" w:rsidRPr="00F40118" w:rsidTr="00140718">
        <w:trPr>
          <w:trHeight w:val="268"/>
        </w:trPr>
        <w:tc>
          <w:tcPr>
            <w:tcW w:w="1726" w:type="pct"/>
            <w:tcBorders>
              <w:top w:val="single" w:sz="4" w:space="0" w:color="auto"/>
            </w:tcBorders>
            <w:shd w:val="clear" w:color="auto" w:fill="auto"/>
            <w:hideMark/>
          </w:tcPr>
          <w:p w:rsidR="008967FA" w:rsidRPr="00F40118" w:rsidRDefault="008967FA" w:rsidP="00EF6CF8">
            <w:pPr>
              <w:pStyle w:val="a6"/>
              <w:adjustRightInd w:val="0"/>
              <w:snapToGrid w:val="0"/>
              <w:spacing w:line="360" w:lineRule="auto"/>
              <w:jc w:val="both"/>
              <w:rPr>
                <w:rFonts w:ascii="Book Antiqua" w:hAnsi="Book Antiqua" w:cs="Times New Roman"/>
                <w:color w:val="auto"/>
                <w:szCs w:val="24"/>
                <w:lang w:val="ru-RU"/>
              </w:rPr>
            </w:pPr>
            <w:r w:rsidRPr="00F40118">
              <w:rPr>
                <w:rFonts w:ascii="Book Antiqua" w:hAnsi="Book Antiqua" w:cs="Times New Roman"/>
                <w:color w:val="auto"/>
                <w:szCs w:val="24"/>
                <w:lang w:val="ru-RU"/>
              </w:rPr>
              <w:t>Age, years, Ме (</w:t>
            </w:r>
            <w:r w:rsidRPr="00F40118">
              <w:rPr>
                <w:rFonts w:ascii="Book Antiqua" w:hAnsi="Book Antiqua" w:cs="Times New Roman"/>
                <w:color w:val="auto"/>
                <w:szCs w:val="24"/>
                <w:shd w:val="clear" w:color="auto" w:fill="FFFFFF"/>
                <w:lang w:val="ru-RU"/>
              </w:rPr>
              <w:t>IQR</w:t>
            </w:r>
            <w:r w:rsidRPr="00F40118">
              <w:rPr>
                <w:rFonts w:ascii="Book Antiqua" w:hAnsi="Book Antiqua" w:cs="Times New Roman"/>
                <w:color w:val="auto"/>
                <w:szCs w:val="24"/>
                <w:lang w:val="ru-RU"/>
              </w:rPr>
              <w:t>)</w:t>
            </w:r>
          </w:p>
        </w:tc>
        <w:tc>
          <w:tcPr>
            <w:tcW w:w="1069" w:type="pct"/>
            <w:tcBorders>
              <w:top w:val="single" w:sz="4" w:space="0" w:color="auto"/>
            </w:tcBorders>
            <w:shd w:val="clear" w:color="auto" w:fill="auto"/>
          </w:tcPr>
          <w:p w:rsidR="008967FA" w:rsidRPr="00F40118" w:rsidRDefault="008967FA" w:rsidP="00EF6CF8">
            <w:pPr>
              <w:pStyle w:val="a6"/>
              <w:adjustRightInd w:val="0"/>
              <w:snapToGrid w:val="0"/>
              <w:spacing w:line="360" w:lineRule="auto"/>
              <w:jc w:val="both"/>
              <w:rPr>
                <w:rFonts w:ascii="Book Antiqua" w:hAnsi="Book Antiqua" w:cs="Times New Roman"/>
                <w:color w:val="auto"/>
                <w:szCs w:val="24"/>
                <w:lang w:val="ru-RU"/>
              </w:rPr>
            </w:pPr>
            <w:r w:rsidRPr="00F40118">
              <w:rPr>
                <w:rFonts w:ascii="Book Antiqua" w:hAnsi="Book Antiqua" w:cs="Times New Roman"/>
                <w:color w:val="auto"/>
                <w:szCs w:val="24"/>
                <w:lang w:val="ru-RU"/>
              </w:rPr>
              <w:t>45.2 ± 10.1</w:t>
            </w:r>
          </w:p>
        </w:tc>
        <w:tc>
          <w:tcPr>
            <w:tcW w:w="810" w:type="pct"/>
            <w:tcBorders>
              <w:top w:val="single" w:sz="4" w:space="0" w:color="auto"/>
            </w:tcBorders>
            <w:shd w:val="clear" w:color="auto" w:fill="auto"/>
          </w:tcPr>
          <w:p w:rsidR="008967FA" w:rsidRPr="00F40118" w:rsidRDefault="008967FA" w:rsidP="00EF6CF8">
            <w:pPr>
              <w:pStyle w:val="a6"/>
              <w:adjustRightInd w:val="0"/>
              <w:snapToGrid w:val="0"/>
              <w:spacing w:line="360" w:lineRule="auto"/>
              <w:jc w:val="both"/>
              <w:rPr>
                <w:rFonts w:ascii="Book Antiqua" w:hAnsi="Book Antiqua" w:cs="Times New Roman"/>
                <w:color w:val="auto"/>
                <w:szCs w:val="24"/>
                <w:lang w:val="ru-RU"/>
              </w:rPr>
            </w:pPr>
            <w:r w:rsidRPr="00F40118">
              <w:rPr>
                <w:rFonts w:ascii="Book Antiqua" w:hAnsi="Book Antiqua" w:cs="Times New Roman"/>
                <w:color w:val="auto"/>
                <w:szCs w:val="24"/>
                <w:lang w:val="ru-RU"/>
              </w:rPr>
              <w:t>42.9 ± 8.7</w:t>
            </w:r>
          </w:p>
        </w:tc>
        <w:tc>
          <w:tcPr>
            <w:tcW w:w="811" w:type="pct"/>
            <w:tcBorders>
              <w:top w:val="single" w:sz="4" w:space="0" w:color="auto"/>
            </w:tcBorders>
            <w:shd w:val="clear" w:color="auto" w:fill="auto"/>
          </w:tcPr>
          <w:p w:rsidR="008967FA" w:rsidRPr="00F40118" w:rsidRDefault="008967FA" w:rsidP="00EF6CF8">
            <w:pPr>
              <w:pStyle w:val="a6"/>
              <w:adjustRightInd w:val="0"/>
              <w:snapToGrid w:val="0"/>
              <w:spacing w:line="360" w:lineRule="auto"/>
              <w:jc w:val="both"/>
              <w:rPr>
                <w:rFonts w:ascii="Book Antiqua" w:hAnsi="Book Antiqua" w:cs="Times New Roman"/>
                <w:color w:val="auto"/>
                <w:szCs w:val="24"/>
                <w:lang w:val="ru-RU"/>
              </w:rPr>
            </w:pPr>
            <w:r w:rsidRPr="00F40118">
              <w:rPr>
                <w:rFonts w:ascii="Book Antiqua" w:hAnsi="Book Antiqua" w:cs="Times New Roman"/>
                <w:color w:val="auto"/>
                <w:szCs w:val="24"/>
                <w:lang w:val="ru-RU"/>
              </w:rPr>
              <w:t>50.7 ± 10.5</w:t>
            </w:r>
          </w:p>
        </w:tc>
        <w:tc>
          <w:tcPr>
            <w:tcW w:w="584" w:type="pct"/>
            <w:tcBorders>
              <w:top w:val="single" w:sz="4" w:space="0" w:color="auto"/>
            </w:tcBorders>
            <w:shd w:val="clear" w:color="auto" w:fill="auto"/>
          </w:tcPr>
          <w:p w:rsidR="008967FA" w:rsidRPr="00F40118" w:rsidRDefault="008967FA" w:rsidP="00EF6CF8">
            <w:pPr>
              <w:pStyle w:val="a6"/>
              <w:adjustRightInd w:val="0"/>
              <w:snapToGrid w:val="0"/>
              <w:spacing w:line="360" w:lineRule="auto"/>
              <w:jc w:val="both"/>
              <w:rPr>
                <w:rFonts w:ascii="Book Antiqua" w:hAnsi="Book Antiqua" w:cs="Times New Roman"/>
                <w:bCs/>
                <w:color w:val="auto"/>
                <w:szCs w:val="24"/>
                <w:lang w:val="ru-RU"/>
              </w:rPr>
            </w:pPr>
            <w:r w:rsidRPr="00F40118">
              <w:rPr>
                <w:rFonts w:ascii="Book Antiqua" w:eastAsia="Times New Roman" w:hAnsi="Book Antiqua" w:cs="Times New Roman"/>
                <w:bCs/>
                <w:color w:val="auto"/>
                <w:szCs w:val="24"/>
                <w:lang w:val="ru-RU"/>
              </w:rPr>
              <w:t>&lt; 0.001</w:t>
            </w:r>
          </w:p>
        </w:tc>
      </w:tr>
      <w:tr w:rsidR="00381783" w:rsidRPr="00F40118" w:rsidTr="00140718">
        <w:trPr>
          <w:trHeight w:val="296"/>
        </w:trPr>
        <w:tc>
          <w:tcPr>
            <w:tcW w:w="1726" w:type="pct"/>
            <w:shd w:val="clear" w:color="auto" w:fill="auto"/>
            <w:hideMark/>
          </w:tcPr>
          <w:p w:rsidR="008967FA" w:rsidRPr="00F40118" w:rsidRDefault="008967FA" w:rsidP="00EF6CF8">
            <w:pPr>
              <w:pStyle w:val="a6"/>
              <w:adjustRightInd w:val="0"/>
              <w:snapToGrid w:val="0"/>
              <w:spacing w:line="360" w:lineRule="auto"/>
              <w:jc w:val="both"/>
              <w:rPr>
                <w:rFonts w:ascii="Book Antiqua" w:hAnsi="Book Antiqua" w:cs="Times New Roman"/>
                <w:color w:val="auto"/>
                <w:szCs w:val="24"/>
                <w:lang w:val="ru-RU"/>
              </w:rPr>
            </w:pPr>
            <w:r w:rsidRPr="00F40118">
              <w:rPr>
                <w:rFonts w:ascii="Book Antiqua" w:hAnsi="Book Antiqua" w:cs="Times New Roman"/>
                <w:szCs w:val="24"/>
                <w:lang w:val="ru-RU"/>
              </w:rPr>
              <w:t>T2DM</w:t>
            </w:r>
          </w:p>
        </w:tc>
        <w:tc>
          <w:tcPr>
            <w:tcW w:w="1069" w:type="pct"/>
            <w:shd w:val="clear" w:color="auto" w:fill="auto"/>
          </w:tcPr>
          <w:p w:rsidR="008967FA" w:rsidRPr="00F40118" w:rsidRDefault="008967FA" w:rsidP="00EF6CF8">
            <w:pPr>
              <w:pStyle w:val="a6"/>
              <w:adjustRightInd w:val="0"/>
              <w:snapToGrid w:val="0"/>
              <w:spacing w:line="360" w:lineRule="auto"/>
              <w:jc w:val="both"/>
              <w:rPr>
                <w:rFonts w:ascii="Book Antiqua" w:hAnsi="Book Antiqua" w:cs="Times New Roman"/>
                <w:color w:val="auto"/>
                <w:szCs w:val="24"/>
                <w:lang w:val="ru-RU"/>
              </w:rPr>
            </w:pPr>
            <w:r w:rsidRPr="00F40118">
              <w:rPr>
                <w:rFonts w:ascii="Book Antiqua" w:eastAsia="Times New Roman" w:hAnsi="Book Antiqua" w:cs="Times New Roman"/>
                <w:color w:val="auto"/>
                <w:szCs w:val="24"/>
                <w:lang w:val="ru-RU"/>
              </w:rPr>
              <w:t>54 (31.0)</w:t>
            </w:r>
          </w:p>
        </w:tc>
        <w:tc>
          <w:tcPr>
            <w:tcW w:w="810" w:type="pct"/>
            <w:shd w:val="clear" w:color="auto" w:fill="auto"/>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color w:val="auto"/>
                <w:szCs w:val="24"/>
                <w:lang w:val="ru-RU"/>
              </w:rPr>
            </w:pPr>
            <w:r w:rsidRPr="00F40118">
              <w:rPr>
                <w:rFonts w:ascii="Book Antiqua" w:eastAsia="Times New Roman" w:hAnsi="Book Antiqua" w:cs="Times New Roman"/>
                <w:color w:val="auto"/>
                <w:szCs w:val="24"/>
                <w:lang w:val="ru-RU"/>
              </w:rPr>
              <w:t>35 (28.9)</w:t>
            </w:r>
          </w:p>
        </w:tc>
        <w:tc>
          <w:tcPr>
            <w:tcW w:w="811" w:type="pct"/>
            <w:shd w:val="clear" w:color="auto" w:fill="auto"/>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color w:val="auto"/>
                <w:szCs w:val="24"/>
                <w:lang w:val="ru-RU"/>
              </w:rPr>
            </w:pPr>
            <w:r w:rsidRPr="00F40118">
              <w:rPr>
                <w:rFonts w:ascii="Book Antiqua" w:eastAsia="Times New Roman" w:hAnsi="Book Antiqua" w:cs="Times New Roman"/>
                <w:color w:val="auto"/>
                <w:szCs w:val="24"/>
                <w:lang w:val="ru-RU"/>
              </w:rPr>
              <w:t>19 (35.8)</w:t>
            </w:r>
          </w:p>
        </w:tc>
        <w:tc>
          <w:tcPr>
            <w:tcW w:w="584" w:type="pct"/>
            <w:shd w:val="clear" w:color="auto" w:fill="auto"/>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color w:val="auto"/>
                <w:szCs w:val="24"/>
                <w:lang w:val="ru-RU"/>
              </w:rPr>
            </w:pPr>
            <w:r w:rsidRPr="00F40118">
              <w:rPr>
                <w:rFonts w:ascii="Book Antiqua" w:hAnsi="Book Antiqua" w:cs="Times New Roman"/>
                <w:color w:val="auto"/>
                <w:szCs w:val="24"/>
                <w:shd w:val="clear" w:color="auto" w:fill="FFFFFF"/>
                <w:lang w:val="ru-RU"/>
              </w:rPr>
              <w:t>0.466</w:t>
            </w:r>
          </w:p>
        </w:tc>
      </w:tr>
      <w:tr w:rsidR="00381783" w:rsidRPr="00F40118" w:rsidTr="00140718">
        <w:trPr>
          <w:trHeight w:val="277"/>
        </w:trPr>
        <w:tc>
          <w:tcPr>
            <w:tcW w:w="1726" w:type="pct"/>
            <w:shd w:val="clear" w:color="auto" w:fill="auto"/>
            <w:hideMark/>
          </w:tcPr>
          <w:p w:rsidR="008967FA" w:rsidRPr="00F40118" w:rsidRDefault="008967FA" w:rsidP="00EF6CF8">
            <w:pPr>
              <w:pStyle w:val="a6"/>
              <w:adjustRightInd w:val="0"/>
              <w:snapToGrid w:val="0"/>
              <w:spacing w:line="360" w:lineRule="auto"/>
              <w:jc w:val="both"/>
              <w:rPr>
                <w:rFonts w:ascii="Book Antiqua" w:hAnsi="Book Antiqua" w:cs="Times New Roman"/>
                <w:color w:val="auto"/>
                <w:szCs w:val="24"/>
                <w:lang w:val="ru-RU"/>
              </w:rPr>
            </w:pPr>
            <w:r w:rsidRPr="00F40118">
              <w:rPr>
                <w:rFonts w:ascii="Book Antiqua" w:hAnsi="Book Antiqua" w:cs="Times New Roman"/>
                <w:szCs w:val="24"/>
                <w:lang w:val="ru-RU"/>
              </w:rPr>
              <w:t>AH</w:t>
            </w:r>
          </w:p>
        </w:tc>
        <w:tc>
          <w:tcPr>
            <w:tcW w:w="1069" w:type="pct"/>
            <w:shd w:val="clear" w:color="auto" w:fill="auto"/>
          </w:tcPr>
          <w:p w:rsidR="008967FA" w:rsidRPr="00F40118" w:rsidRDefault="008967FA" w:rsidP="00EF6CF8">
            <w:pPr>
              <w:pStyle w:val="a6"/>
              <w:adjustRightInd w:val="0"/>
              <w:snapToGrid w:val="0"/>
              <w:spacing w:line="360" w:lineRule="auto"/>
              <w:jc w:val="both"/>
              <w:rPr>
                <w:rFonts w:ascii="Book Antiqua" w:hAnsi="Book Antiqua" w:cs="Times New Roman"/>
                <w:color w:val="auto"/>
                <w:szCs w:val="24"/>
                <w:lang w:val="ru-RU"/>
              </w:rPr>
            </w:pPr>
            <w:r w:rsidRPr="00F40118">
              <w:rPr>
                <w:rFonts w:ascii="Book Antiqua" w:eastAsia="Times New Roman" w:hAnsi="Book Antiqua" w:cs="Times New Roman"/>
                <w:color w:val="auto"/>
                <w:szCs w:val="24"/>
                <w:lang w:val="ru-RU"/>
              </w:rPr>
              <w:t>41 (23.6)</w:t>
            </w:r>
          </w:p>
        </w:tc>
        <w:tc>
          <w:tcPr>
            <w:tcW w:w="810" w:type="pct"/>
            <w:shd w:val="clear" w:color="auto" w:fill="auto"/>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color w:val="auto"/>
                <w:szCs w:val="24"/>
                <w:lang w:val="ru-RU"/>
              </w:rPr>
            </w:pPr>
            <w:r w:rsidRPr="00F40118">
              <w:rPr>
                <w:rFonts w:ascii="Book Antiqua" w:eastAsia="Times New Roman" w:hAnsi="Book Antiqua" w:cs="Times New Roman"/>
                <w:color w:val="auto"/>
                <w:szCs w:val="24"/>
                <w:lang w:val="ru-RU"/>
              </w:rPr>
              <w:t>27 (22.3)</w:t>
            </w:r>
          </w:p>
        </w:tc>
        <w:tc>
          <w:tcPr>
            <w:tcW w:w="811" w:type="pct"/>
            <w:shd w:val="clear" w:color="auto" w:fill="auto"/>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color w:val="auto"/>
                <w:szCs w:val="24"/>
                <w:lang w:val="ru-RU"/>
              </w:rPr>
            </w:pPr>
            <w:r w:rsidRPr="00F40118">
              <w:rPr>
                <w:rFonts w:ascii="Book Antiqua" w:eastAsia="Times New Roman" w:hAnsi="Book Antiqua" w:cs="Times New Roman"/>
                <w:color w:val="auto"/>
                <w:szCs w:val="24"/>
                <w:lang w:val="ru-RU"/>
              </w:rPr>
              <w:t>14 (26.4)</w:t>
            </w:r>
          </w:p>
        </w:tc>
        <w:tc>
          <w:tcPr>
            <w:tcW w:w="584" w:type="pct"/>
            <w:shd w:val="clear" w:color="auto" w:fill="auto"/>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color w:val="auto"/>
                <w:szCs w:val="24"/>
                <w:lang w:val="ru-RU"/>
              </w:rPr>
            </w:pPr>
            <w:r w:rsidRPr="00F40118">
              <w:rPr>
                <w:rFonts w:ascii="Book Antiqua" w:hAnsi="Book Antiqua" w:cs="Times New Roman"/>
                <w:color w:val="auto"/>
                <w:szCs w:val="24"/>
                <w:shd w:val="clear" w:color="auto" w:fill="FFFFFF"/>
                <w:lang w:val="ru-RU"/>
              </w:rPr>
              <w:t>0.695</w:t>
            </w:r>
          </w:p>
        </w:tc>
      </w:tr>
      <w:tr w:rsidR="00381783" w:rsidRPr="00F40118" w:rsidTr="00140718">
        <w:trPr>
          <w:trHeight w:val="268"/>
        </w:trPr>
        <w:tc>
          <w:tcPr>
            <w:tcW w:w="1726" w:type="pct"/>
            <w:shd w:val="clear" w:color="auto" w:fill="auto"/>
            <w:hideMark/>
          </w:tcPr>
          <w:p w:rsidR="008967FA" w:rsidRPr="00F40118" w:rsidRDefault="008967FA" w:rsidP="00EF6CF8">
            <w:pPr>
              <w:pStyle w:val="a6"/>
              <w:adjustRightInd w:val="0"/>
              <w:snapToGrid w:val="0"/>
              <w:spacing w:line="360" w:lineRule="auto"/>
              <w:jc w:val="both"/>
              <w:rPr>
                <w:rFonts w:ascii="Book Antiqua" w:hAnsi="Book Antiqua" w:cs="Times New Roman"/>
                <w:color w:val="auto"/>
                <w:szCs w:val="24"/>
                <w:lang w:val="ru-RU"/>
              </w:rPr>
            </w:pPr>
            <w:r w:rsidRPr="00F40118">
              <w:rPr>
                <w:rFonts w:ascii="Book Antiqua" w:hAnsi="Book Antiqua" w:cs="Times New Roman"/>
                <w:color w:val="auto"/>
                <w:szCs w:val="24"/>
                <w:lang w:val="ru-RU"/>
              </w:rPr>
              <w:t>Smoking</w:t>
            </w:r>
          </w:p>
        </w:tc>
        <w:tc>
          <w:tcPr>
            <w:tcW w:w="1069" w:type="pct"/>
            <w:shd w:val="clear" w:color="auto" w:fill="auto"/>
          </w:tcPr>
          <w:p w:rsidR="008967FA" w:rsidRPr="00F40118" w:rsidRDefault="008967FA" w:rsidP="00EF6CF8">
            <w:pPr>
              <w:pStyle w:val="a6"/>
              <w:adjustRightInd w:val="0"/>
              <w:snapToGrid w:val="0"/>
              <w:spacing w:line="360" w:lineRule="auto"/>
              <w:jc w:val="both"/>
              <w:rPr>
                <w:rFonts w:ascii="Book Antiqua" w:hAnsi="Book Antiqua" w:cs="Times New Roman"/>
                <w:color w:val="auto"/>
                <w:szCs w:val="24"/>
                <w:lang w:val="ru-RU"/>
              </w:rPr>
            </w:pPr>
            <w:r w:rsidRPr="00F40118">
              <w:rPr>
                <w:rFonts w:ascii="Book Antiqua" w:eastAsia="Times New Roman" w:hAnsi="Book Antiqua" w:cs="Times New Roman"/>
                <w:color w:val="auto"/>
                <w:szCs w:val="24"/>
                <w:lang w:val="ru-RU"/>
              </w:rPr>
              <w:t>58 (33.3)</w:t>
            </w:r>
          </w:p>
        </w:tc>
        <w:tc>
          <w:tcPr>
            <w:tcW w:w="810" w:type="pct"/>
            <w:shd w:val="clear" w:color="auto" w:fill="auto"/>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color w:val="auto"/>
                <w:szCs w:val="24"/>
                <w:lang w:val="ru-RU"/>
              </w:rPr>
            </w:pPr>
            <w:r w:rsidRPr="00F40118">
              <w:rPr>
                <w:rFonts w:ascii="Book Antiqua" w:eastAsia="Times New Roman" w:hAnsi="Book Antiqua" w:cs="Times New Roman"/>
                <w:color w:val="auto"/>
                <w:szCs w:val="24"/>
                <w:lang w:val="ru-RU"/>
              </w:rPr>
              <w:t>45 (37.2)</w:t>
            </w:r>
          </w:p>
        </w:tc>
        <w:tc>
          <w:tcPr>
            <w:tcW w:w="811" w:type="pct"/>
            <w:shd w:val="clear" w:color="auto" w:fill="auto"/>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color w:val="auto"/>
                <w:szCs w:val="24"/>
                <w:lang w:val="ru-RU"/>
              </w:rPr>
            </w:pPr>
            <w:r w:rsidRPr="00F40118">
              <w:rPr>
                <w:rFonts w:ascii="Book Antiqua" w:eastAsia="Times New Roman" w:hAnsi="Book Antiqua" w:cs="Times New Roman"/>
                <w:color w:val="auto"/>
                <w:szCs w:val="24"/>
                <w:lang w:val="ru-RU"/>
              </w:rPr>
              <w:t>13 (24.5)</w:t>
            </w:r>
          </w:p>
        </w:tc>
        <w:tc>
          <w:tcPr>
            <w:tcW w:w="584" w:type="pct"/>
            <w:shd w:val="clear" w:color="auto" w:fill="auto"/>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color w:val="auto"/>
                <w:szCs w:val="24"/>
                <w:lang w:val="ru-RU"/>
              </w:rPr>
            </w:pPr>
            <w:r w:rsidRPr="00F40118">
              <w:rPr>
                <w:rFonts w:ascii="Book Antiqua" w:hAnsi="Book Antiqua" w:cs="Times New Roman"/>
                <w:color w:val="auto"/>
                <w:szCs w:val="24"/>
                <w:shd w:val="clear" w:color="auto" w:fill="FFFFFF"/>
                <w:lang w:val="ru-RU"/>
              </w:rPr>
              <w:t>0.146</w:t>
            </w:r>
          </w:p>
        </w:tc>
      </w:tr>
      <w:tr w:rsidR="00381783" w:rsidRPr="00F40118" w:rsidTr="00140718">
        <w:trPr>
          <w:trHeight w:val="213"/>
        </w:trPr>
        <w:tc>
          <w:tcPr>
            <w:tcW w:w="1726"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color w:val="auto"/>
                <w:szCs w:val="24"/>
                <w:lang w:val="ru-RU"/>
              </w:rPr>
            </w:pPr>
            <w:r w:rsidRPr="00F40118">
              <w:rPr>
                <w:rFonts w:ascii="Book Antiqua" w:eastAsia="Times New Roman" w:hAnsi="Book Antiqua" w:cs="Times New Roman"/>
                <w:color w:val="auto"/>
                <w:szCs w:val="24"/>
                <w:lang w:val="ru-RU"/>
              </w:rPr>
              <w:t>Obesity, classes I-III</w:t>
            </w:r>
          </w:p>
        </w:tc>
        <w:tc>
          <w:tcPr>
            <w:tcW w:w="1069" w:type="pct"/>
            <w:shd w:val="clear" w:color="auto" w:fill="auto"/>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color w:val="auto"/>
                <w:szCs w:val="24"/>
                <w:lang w:val="ru-RU"/>
              </w:rPr>
            </w:pPr>
            <w:r w:rsidRPr="00F40118">
              <w:rPr>
                <w:rFonts w:ascii="Book Antiqua" w:eastAsia="Times New Roman" w:hAnsi="Book Antiqua" w:cs="Times New Roman"/>
                <w:color w:val="auto"/>
                <w:szCs w:val="24"/>
                <w:lang w:val="ru-RU"/>
              </w:rPr>
              <w:t>121 (69.5)</w:t>
            </w:r>
          </w:p>
        </w:tc>
        <w:tc>
          <w:tcPr>
            <w:tcW w:w="810" w:type="pct"/>
            <w:shd w:val="clear" w:color="auto" w:fill="auto"/>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color w:val="auto"/>
                <w:szCs w:val="24"/>
                <w:lang w:val="ru-RU"/>
              </w:rPr>
            </w:pPr>
            <w:r w:rsidRPr="00F40118">
              <w:rPr>
                <w:rFonts w:ascii="Book Antiqua" w:eastAsia="Times New Roman" w:hAnsi="Book Antiqua" w:cs="Times New Roman"/>
                <w:color w:val="auto"/>
                <w:szCs w:val="24"/>
                <w:lang w:val="ru-RU"/>
              </w:rPr>
              <w:t>79 (65.3)</w:t>
            </w:r>
          </w:p>
        </w:tc>
        <w:tc>
          <w:tcPr>
            <w:tcW w:w="811" w:type="pct"/>
            <w:shd w:val="clear" w:color="auto" w:fill="auto"/>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color w:val="auto"/>
                <w:szCs w:val="24"/>
                <w:lang w:val="ru-RU"/>
              </w:rPr>
            </w:pPr>
            <w:r w:rsidRPr="00F40118">
              <w:rPr>
                <w:rFonts w:ascii="Book Antiqua" w:eastAsia="Times New Roman" w:hAnsi="Book Antiqua" w:cs="Times New Roman"/>
                <w:color w:val="auto"/>
                <w:szCs w:val="24"/>
                <w:lang w:val="ru-RU"/>
              </w:rPr>
              <w:t>42 (79.2)</w:t>
            </w:r>
          </w:p>
        </w:tc>
        <w:tc>
          <w:tcPr>
            <w:tcW w:w="584" w:type="pct"/>
            <w:shd w:val="clear" w:color="auto" w:fill="auto"/>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color w:val="auto"/>
                <w:szCs w:val="24"/>
                <w:lang w:val="ru-RU"/>
              </w:rPr>
            </w:pPr>
            <w:r w:rsidRPr="00F40118">
              <w:rPr>
                <w:rFonts w:ascii="Book Antiqua" w:hAnsi="Book Antiqua" w:cs="Times New Roman"/>
                <w:color w:val="auto"/>
                <w:szCs w:val="24"/>
                <w:shd w:val="clear" w:color="auto" w:fill="FFFFFF"/>
                <w:lang w:val="ru-RU"/>
              </w:rPr>
              <w:t>0.097</w:t>
            </w:r>
          </w:p>
        </w:tc>
      </w:tr>
      <w:tr w:rsidR="00381783" w:rsidRPr="00F40118" w:rsidTr="00140718">
        <w:trPr>
          <w:trHeight w:val="213"/>
        </w:trPr>
        <w:tc>
          <w:tcPr>
            <w:tcW w:w="1726" w:type="pct"/>
            <w:shd w:val="clear" w:color="auto" w:fill="auto"/>
            <w:vAlign w:val="center"/>
            <w:hideMark/>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color w:val="auto"/>
                <w:szCs w:val="24"/>
              </w:rPr>
            </w:pPr>
            <w:r w:rsidRPr="00F40118">
              <w:rPr>
                <w:rFonts w:ascii="Book Antiqua" w:eastAsia="Times New Roman" w:hAnsi="Book Antiqua" w:cs="Times New Roman"/>
                <w:color w:val="auto"/>
                <w:szCs w:val="24"/>
              </w:rPr>
              <w:t xml:space="preserve">Metabolic syndrome, </w:t>
            </w:r>
            <w:r w:rsidRPr="00F40118">
              <w:rPr>
                <w:rFonts w:ascii="Book Antiqua" w:hAnsi="Book Antiqua" w:cs="Times New Roman"/>
                <w:color w:val="auto"/>
                <w:szCs w:val="24"/>
              </w:rPr>
              <w:t xml:space="preserve">NCEP </w:t>
            </w:r>
            <w:r w:rsidRPr="00F40118">
              <w:rPr>
                <w:rFonts w:ascii="Book Antiqua" w:hAnsi="Book Antiqua" w:cs="Times New Roman"/>
                <w:color w:val="auto"/>
                <w:szCs w:val="24"/>
                <w:shd w:val="clear" w:color="auto" w:fill="FFFFFF"/>
              </w:rPr>
              <w:t>ATP III</w:t>
            </w:r>
          </w:p>
        </w:tc>
        <w:tc>
          <w:tcPr>
            <w:tcW w:w="1069" w:type="pct"/>
            <w:shd w:val="clear" w:color="auto" w:fill="auto"/>
          </w:tcPr>
          <w:p w:rsidR="008967FA" w:rsidRPr="00F40118" w:rsidRDefault="008967FA" w:rsidP="00EF6CF8">
            <w:pPr>
              <w:pStyle w:val="a6"/>
              <w:adjustRightInd w:val="0"/>
              <w:snapToGrid w:val="0"/>
              <w:spacing w:line="360" w:lineRule="auto"/>
              <w:jc w:val="both"/>
              <w:rPr>
                <w:rFonts w:ascii="Book Antiqua" w:hAnsi="Book Antiqua" w:cs="Times New Roman"/>
                <w:color w:val="auto"/>
                <w:szCs w:val="24"/>
                <w:lang w:val="ru-RU"/>
              </w:rPr>
            </w:pPr>
            <w:r w:rsidRPr="00F40118">
              <w:rPr>
                <w:rFonts w:ascii="Book Antiqua" w:eastAsia="Times New Roman" w:hAnsi="Book Antiqua" w:cs="Times New Roman"/>
                <w:color w:val="auto"/>
                <w:szCs w:val="24"/>
                <w:lang w:val="ru-RU"/>
              </w:rPr>
              <w:t>79 (45.4)</w:t>
            </w:r>
          </w:p>
        </w:tc>
        <w:tc>
          <w:tcPr>
            <w:tcW w:w="810" w:type="pct"/>
            <w:shd w:val="clear" w:color="auto" w:fill="auto"/>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color w:val="auto"/>
                <w:szCs w:val="24"/>
                <w:lang w:val="ru-RU"/>
              </w:rPr>
            </w:pPr>
            <w:r w:rsidRPr="00F40118">
              <w:rPr>
                <w:rFonts w:ascii="Book Antiqua" w:eastAsia="Times New Roman" w:hAnsi="Book Antiqua" w:cs="Times New Roman"/>
                <w:color w:val="auto"/>
                <w:szCs w:val="24"/>
                <w:lang w:val="ru-RU"/>
              </w:rPr>
              <w:t>45 (37.2)</w:t>
            </w:r>
          </w:p>
        </w:tc>
        <w:tc>
          <w:tcPr>
            <w:tcW w:w="811" w:type="pct"/>
            <w:shd w:val="clear" w:color="auto" w:fill="auto"/>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color w:val="auto"/>
                <w:szCs w:val="24"/>
                <w:lang w:val="ru-RU"/>
              </w:rPr>
            </w:pPr>
            <w:r w:rsidRPr="00F40118">
              <w:rPr>
                <w:rFonts w:ascii="Book Antiqua" w:eastAsia="Times New Roman" w:hAnsi="Book Antiqua" w:cs="Times New Roman"/>
                <w:color w:val="auto"/>
                <w:szCs w:val="24"/>
                <w:lang w:val="ru-RU"/>
              </w:rPr>
              <w:t>34 (64.2)</w:t>
            </w:r>
          </w:p>
        </w:tc>
        <w:tc>
          <w:tcPr>
            <w:tcW w:w="584" w:type="pct"/>
            <w:shd w:val="clear" w:color="auto" w:fill="auto"/>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color w:val="auto"/>
                <w:szCs w:val="24"/>
                <w:lang w:val="ru-RU"/>
              </w:rPr>
            </w:pPr>
            <w:r w:rsidRPr="00F40118">
              <w:rPr>
                <w:rFonts w:ascii="Book Antiqua" w:hAnsi="Book Antiqua" w:cs="Times New Roman"/>
                <w:color w:val="auto"/>
                <w:szCs w:val="24"/>
                <w:shd w:val="clear" w:color="auto" w:fill="FFFFFF"/>
                <w:lang w:val="ru-RU"/>
              </w:rPr>
              <w:t>0.002</w:t>
            </w:r>
          </w:p>
        </w:tc>
      </w:tr>
    </w:tbl>
    <w:p w:rsidR="008967FA" w:rsidRPr="00F40118" w:rsidRDefault="008967FA" w:rsidP="00EF6CF8">
      <w:pPr>
        <w:adjustRightInd w:val="0"/>
        <w:snapToGrid w:val="0"/>
        <w:spacing w:line="360" w:lineRule="auto"/>
        <w:jc w:val="both"/>
        <w:rPr>
          <w:rFonts w:ascii="Book Antiqua" w:hAnsi="Book Antiqua"/>
        </w:rPr>
      </w:pPr>
      <w:r w:rsidRPr="00F40118">
        <w:rPr>
          <w:rFonts w:ascii="Book Antiqua" w:eastAsia="Times New Roman" w:hAnsi="Book Antiqua"/>
        </w:rPr>
        <w:t xml:space="preserve">Data are presented as mean ± </w:t>
      </w:r>
      <w:r w:rsidR="00105D3F" w:rsidRPr="00F40118">
        <w:rPr>
          <w:rFonts w:ascii="Book Antiqua" w:eastAsia="Times New Roman" w:hAnsi="Book Antiqua"/>
        </w:rPr>
        <w:t>SD</w:t>
      </w:r>
      <w:r w:rsidRPr="00F40118">
        <w:rPr>
          <w:rFonts w:ascii="Book Antiqua" w:eastAsia="Times New Roman" w:hAnsi="Book Antiqua"/>
        </w:rPr>
        <w:t xml:space="preserve"> or </w:t>
      </w:r>
      <w:r w:rsidRPr="00F40118">
        <w:rPr>
          <w:rFonts w:ascii="Book Antiqua" w:hAnsi="Book Antiqua"/>
          <w:i/>
          <w:iCs/>
        </w:rPr>
        <w:t>n</w:t>
      </w:r>
      <w:r w:rsidRPr="00F40118">
        <w:rPr>
          <w:rFonts w:ascii="Book Antiqua" w:hAnsi="Book Antiqua"/>
        </w:rPr>
        <w:t> (%)</w:t>
      </w:r>
      <w:r w:rsidR="00105D3F" w:rsidRPr="00F40118">
        <w:rPr>
          <w:rFonts w:ascii="Book Antiqua" w:hAnsi="Book Antiqua"/>
        </w:rPr>
        <w:t>.</w:t>
      </w:r>
      <w:r w:rsidR="00105D3F" w:rsidRPr="00F40118">
        <w:rPr>
          <w:rFonts w:ascii="Book Antiqua" w:hAnsi="Book Antiqua"/>
          <w:lang w:eastAsia="zh-CN"/>
        </w:rPr>
        <w:t xml:space="preserve"> </w:t>
      </w:r>
      <w:r w:rsidRPr="00F40118">
        <w:rPr>
          <w:rFonts w:ascii="Book Antiqua" w:hAnsi="Book Antiqua"/>
          <w:lang w:eastAsia="zh-CN"/>
        </w:rPr>
        <w:t>Me:</w:t>
      </w:r>
      <w:r w:rsidRPr="00F40118">
        <w:rPr>
          <w:rFonts w:ascii="Book Antiqua" w:eastAsia="Book Antiqua" w:hAnsi="Book Antiqua" w:cs="Book Antiqua"/>
          <w:color w:val="000000"/>
        </w:rPr>
        <w:t xml:space="preserve"> Median;</w:t>
      </w:r>
      <w:r w:rsidRPr="00F40118">
        <w:rPr>
          <w:rFonts w:ascii="Book Antiqua" w:hAnsi="Book Antiqua"/>
          <w:lang w:eastAsia="zh-CN"/>
        </w:rPr>
        <w:t xml:space="preserve"> IQR:</w:t>
      </w:r>
      <w:r w:rsidRPr="00F40118">
        <w:rPr>
          <w:rFonts w:ascii="Book Antiqua" w:eastAsia="Book Antiqua" w:hAnsi="Book Antiqua" w:cs="Book Antiqua"/>
          <w:color w:val="000000"/>
          <w:shd w:val="clear" w:color="auto" w:fill="FFFFFF"/>
        </w:rPr>
        <w:t xml:space="preserve"> Interquartile range;</w:t>
      </w:r>
      <w:r w:rsidRPr="00F40118">
        <w:rPr>
          <w:rFonts w:ascii="Book Antiqua" w:hAnsi="Book Antiqua"/>
          <w:lang w:eastAsia="zh-CN"/>
        </w:rPr>
        <w:t xml:space="preserve"> T2DM:</w:t>
      </w:r>
      <w:r w:rsidRPr="00F40118">
        <w:rPr>
          <w:rFonts w:ascii="Book Antiqua" w:eastAsia="Book Antiqua" w:hAnsi="Book Antiqua" w:cs="Book Antiqua"/>
          <w:color w:val="000000"/>
        </w:rPr>
        <w:t xml:space="preserve"> Type 2 diabetes mellitus;</w:t>
      </w:r>
      <w:r w:rsidRPr="00F40118">
        <w:rPr>
          <w:rFonts w:ascii="Book Antiqua" w:hAnsi="Book Antiqua"/>
          <w:lang w:eastAsia="zh-CN"/>
        </w:rPr>
        <w:t xml:space="preserve"> AH:</w:t>
      </w:r>
      <w:r w:rsidRPr="00F40118">
        <w:rPr>
          <w:rFonts w:ascii="Book Antiqua" w:eastAsia="Book Antiqua" w:hAnsi="Book Antiqua" w:cs="Book Antiqua"/>
          <w:color w:val="000000"/>
        </w:rPr>
        <w:t xml:space="preserve"> Arterial hypertension;</w:t>
      </w:r>
      <w:r w:rsidRPr="00F40118">
        <w:rPr>
          <w:rFonts w:ascii="Book Antiqua" w:hAnsi="Book Antiqua"/>
          <w:lang w:eastAsia="zh-CN"/>
        </w:rPr>
        <w:t xml:space="preserve"> </w:t>
      </w:r>
      <w:r w:rsidR="006A4BCD" w:rsidRPr="00F40118">
        <w:rPr>
          <w:rFonts w:ascii="Book Antiqua" w:hAnsi="Book Antiqua"/>
        </w:rPr>
        <w:t xml:space="preserve">NCEP </w:t>
      </w:r>
      <w:r w:rsidR="006A4BCD" w:rsidRPr="00F40118">
        <w:rPr>
          <w:rFonts w:ascii="Book Antiqua" w:hAnsi="Book Antiqua"/>
          <w:shd w:val="clear" w:color="auto" w:fill="FFFFFF"/>
        </w:rPr>
        <w:t>ATP III:</w:t>
      </w:r>
      <w:r w:rsidR="006A4BCD" w:rsidRPr="00F40118">
        <w:rPr>
          <w:rFonts w:ascii="Book Antiqua" w:eastAsia="Book Antiqua" w:hAnsi="Book Antiqua" w:cs="Book Antiqua"/>
          <w:color w:val="000000"/>
        </w:rPr>
        <w:t xml:space="preserve"> National cholesterol education program adult treatment panel III</w:t>
      </w:r>
      <w:r w:rsidR="00105D3F" w:rsidRPr="00F40118">
        <w:rPr>
          <w:rFonts w:ascii="Book Antiqua" w:eastAsia="Book Antiqua" w:hAnsi="Book Antiqua" w:cs="Book Antiqua"/>
          <w:color w:val="000000"/>
        </w:rPr>
        <w:t>.</w:t>
      </w:r>
    </w:p>
    <w:p w:rsidR="008967FA" w:rsidRPr="00F40118" w:rsidRDefault="00F63C19" w:rsidP="00EF6CF8">
      <w:pPr>
        <w:adjustRightInd w:val="0"/>
        <w:snapToGrid w:val="0"/>
        <w:spacing w:line="360" w:lineRule="auto"/>
        <w:jc w:val="both"/>
        <w:rPr>
          <w:rFonts w:ascii="Book Antiqua" w:hAnsi="Book Antiqua"/>
          <w:b/>
          <w:bCs/>
        </w:rPr>
      </w:pPr>
      <w:r w:rsidRPr="00F40118">
        <w:rPr>
          <w:rFonts w:ascii="Book Antiqua" w:hAnsi="Book Antiqua"/>
          <w:b/>
          <w:bCs/>
        </w:rPr>
        <w:br w:type="page"/>
      </w:r>
      <w:r w:rsidR="008967FA" w:rsidRPr="00F40118">
        <w:rPr>
          <w:rFonts w:ascii="Book Antiqua" w:hAnsi="Book Antiqua"/>
          <w:b/>
          <w:bCs/>
        </w:rPr>
        <w:t>Table 2 Changes in clinical variables and liver function tests from baseline during the trial</w:t>
      </w:r>
    </w:p>
    <w:tbl>
      <w:tblPr>
        <w:tblW w:w="5308" w:type="pct"/>
        <w:tblBorders>
          <w:top w:val="single" w:sz="4" w:space="0" w:color="auto"/>
          <w:bottom w:val="single" w:sz="4" w:space="0" w:color="auto"/>
        </w:tblBorders>
        <w:tblLook w:val="04A0" w:firstRow="1" w:lastRow="0" w:firstColumn="1" w:lastColumn="0" w:noHBand="0" w:noVBand="1"/>
      </w:tblPr>
      <w:tblGrid>
        <w:gridCol w:w="4363"/>
        <w:gridCol w:w="3162"/>
        <w:gridCol w:w="3359"/>
        <w:gridCol w:w="3399"/>
      </w:tblGrid>
      <w:tr w:rsidR="008967FA" w:rsidRPr="00F40118" w:rsidTr="00A762C7">
        <w:trPr>
          <w:trHeight w:val="426"/>
        </w:trPr>
        <w:tc>
          <w:tcPr>
            <w:tcW w:w="1527" w:type="pct"/>
            <w:tcBorders>
              <w:top w:val="single" w:sz="4" w:space="0" w:color="auto"/>
              <w:bottom w:val="single" w:sz="4" w:space="0" w:color="auto"/>
            </w:tcBorders>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b/>
                <w:szCs w:val="24"/>
              </w:rPr>
              <w:t>Parameter</w:t>
            </w:r>
          </w:p>
        </w:tc>
        <w:tc>
          <w:tcPr>
            <w:tcW w:w="1107" w:type="pct"/>
            <w:tcBorders>
              <w:top w:val="single" w:sz="4" w:space="0" w:color="auto"/>
              <w:bottom w:val="single" w:sz="4" w:space="0" w:color="auto"/>
            </w:tcBorders>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hAnsi="Book Antiqua" w:cs="Times New Roman"/>
                <w:b/>
                <w:bCs/>
                <w:color w:val="000003"/>
                <w:szCs w:val="24"/>
              </w:rPr>
              <w:t>Baseline</w:t>
            </w:r>
          </w:p>
        </w:tc>
        <w:tc>
          <w:tcPr>
            <w:tcW w:w="1176" w:type="pct"/>
            <w:tcBorders>
              <w:top w:val="single" w:sz="4" w:space="0" w:color="auto"/>
              <w:bottom w:val="single" w:sz="4" w:space="0" w:color="auto"/>
            </w:tcBorders>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b/>
                <w:szCs w:val="24"/>
                <w:lang w:val="ru-RU"/>
              </w:rPr>
              <w:t>3</w:t>
            </w:r>
            <w:r w:rsidRPr="00F40118">
              <w:rPr>
                <w:rFonts w:ascii="Book Antiqua" w:eastAsia="Times New Roman" w:hAnsi="Book Antiqua" w:cs="Times New Roman"/>
                <w:b/>
                <w:szCs w:val="24"/>
              </w:rPr>
              <w:t xml:space="preserve"> mo</w:t>
            </w:r>
          </w:p>
        </w:tc>
        <w:tc>
          <w:tcPr>
            <w:tcW w:w="1191" w:type="pct"/>
            <w:tcBorders>
              <w:top w:val="single" w:sz="4" w:space="0" w:color="auto"/>
              <w:bottom w:val="single" w:sz="4" w:space="0" w:color="auto"/>
            </w:tcBorders>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b/>
                <w:szCs w:val="24"/>
              </w:rPr>
            </w:pPr>
            <w:r w:rsidRPr="00F40118">
              <w:rPr>
                <w:rFonts w:ascii="Book Antiqua" w:eastAsia="Times New Roman" w:hAnsi="Book Antiqua" w:cs="Times New Roman"/>
                <w:b/>
                <w:szCs w:val="24"/>
              </w:rPr>
              <w:t>6 mo</w:t>
            </w:r>
          </w:p>
        </w:tc>
      </w:tr>
      <w:tr w:rsidR="008967FA" w:rsidRPr="00F40118" w:rsidTr="00A762C7">
        <w:trPr>
          <w:trHeight w:val="451"/>
        </w:trPr>
        <w:tc>
          <w:tcPr>
            <w:tcW w:w="1527" w:type="pct"/>
            <w:tcBorders>
              <w:top w:val="single" w:sz="4" w:space="0" w:color="auto"/>
            </w:tcBorders>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Weight (total sample), kg</w:t>
            </w:r>
          </w:p>
        </w:tc>
        <w:tc>
          <w:tcPr>
            <w:tcW w:w="1107" w:type="pct"/>
            <w:tcBorders>
              <w:top w:val="single" w:sz="4" w:space="0" w:color="auto"/>
            </w:tcBorders>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94.8 (86.7; 102.1</w:t>
            </w:r>
            <w:r w:rsidRPr="00F40118">
              <w:rPr>
                <w:rFonts w:ascii="Book Antiqua" w:eastAsia="宋体" w:hAnsi="Book Antiqua" w:cs="宋体"/>
                <w:szCs w:val="24"/>
                <w:lang w:eastAsia="zh-CN"/>
              </w:rPr>
              <w:t>)</w:t>
            </w:r>
          </w:p>
        </w:tc>
        <w:tc>
          <w:tcPr>
            <w:tcW w:w="1176" w:type="pct"/>
            <w:tcBorders>
              <w:top w:val="single" w:sz="4" w:space="0" w:color="auto"/>
            </w:tcBorders>
            <w:shd w:val="clear" w:color="auto" w:fill="auto"/>
            <w:vAlign w:val="center"/>
          </w:tcPr>
          <w:p w:rsidR="008967FA" w:rsidRPr="00F40118" w:rsidRDefault="008967FA" w:rsidP="00EF6CF8">
            <w:pPr>
              <w:adjustRightInd w:val="0"/>
              <w:snapToGrid w:val="0"/>
              <w:spacing w:line="360" w:lineRule="auto"/>
              <w:jc w:val="both"/>
              <w:rPr>
                <w:rFonts w:ascii="Book Antiqua" w:eastAsia="Times New Roman" w:hAnsi="Book Antiqua"/>
              </w:rPr>
            </w:pPr>
            <w:r w:rsidRPr="00F40118">
              <w:rPr>
                <w:rFonts w:ascii="Book Antiqua" w:eastAsia="Times New Roman" w:hAnsi="Book Antiqua"/>
              </w:rPr>
              <w:t>9</w:t>
            </w:r>
            <w:r w:rsidRPr="00F40118">
              <w:rPr>
                <w:rFonts w:ascii="Book Antiqua" w:eastAsia="Times New Roman" w:hAnsi="Book Antiqua"/>
                <w:lang w:val="ru-RU"/>
              </w:rPr>
              <w:t>3</w:t>
            </w:r>
            <w:r w:rsidRPr="00F40118">
              <w:rPr>
                <w:rFonts w:ascii="Book Antiqua" w:eastAsia="Times New Roman" w:hAnsi="Book Antiqua"/>
              </w:rPr>
              <w:t>.</w:t>
            </w:r>
            <w:r w:rsidRPr="00F40118">
              <w:rPr>
                <w:rFonts w:ascii="Book Antiqua" w:eastAsia="Times New Roman" w:hAnsi="Book Antiqua"/>
                <w:lang w:val="ru-RU"/>
              </w:rPr>
              <w:t xml:space="preserve">0 </w:t>
            </w:r>
            <w:r w:rsidRPr="00F40118">
              <w:rPr>
                <w:rFonts w:ascii="Book Antiqua" w:eastAsia="Times New Roman" w:hAnsi="Book Antiqua"/>
              </w:rPr>
              <w:t>(</w:t>
            </w:r>
            <w:r w:rsidRPr="00F40118">
              <w:rPr>
                <w:rFonts w:ascii="Book Antiqua" w:eastAsia="Times New Roman" w:hAnsi="Book Antiqua"/>
                <w:lang w:val="ru-RU"/>
              </w:rPr>
              <w:t>86</w:t>
            </w:r>
            <w:r w:rsidRPr="00F40118">
              <w:rPr>
                <w:rFonts w:ascii="Book Antiqua" w:eastAsia="Times New Roman" w:hAnsi="Book Antiqua"/>
              </w:rPr>
              <w:t>.</w:t>
            </w:r>
            <w:r w:rsidRPr="00F40118">
              <w:rPr>
                <w:rFonts w:ascii="Book Antiqua" w:eastAsia="Times New Roman" w:hAnsi="Book Antiqua"/>
                <w:lang w:val="ru-RU"/>
              </w:rPr>
              <w:t>0</w:t>
            </w:r>
            <w:r w:rsidRPr="00F40118">
              <w:rPr>
                <w:rFonts w:ascii="Book Antiqua" w:eastAsia="Times New Roman" w:hAnsi="Book Antiqua"/>
              </w:rPr>
              <w:t>; 10</w:t>
            </w:r>
            <w:r w:rsidRPr="00F40118">
              <w:rPr>
                <w:rFonts w:ascii="Book Antiqua" w:eastAsia="Times New Roman" w:hAnsi="Book Antiqua"/>
                <w:lang w:val="ru-RU"/>
              </w:rPr>
              <w:t>0</w:t>
            </w:r>
            <w:r w:rsidRPr="00F40118">
              <w:rPr>
                <w:rFonts w:ascii="Book Antiqua" w:eastAsia="Times New Roman" w:hAnsi="Book Antiqua"/>
              </w:rPr>
              <w:t>.0)</w:t>
            </w:r>
            <w:r w:rsidRPr="00F40118">
              <w:rPr>
                <w:rFonts w:ascii="Book Antiqua" w:eastAsia="Times New Roman" w:hAnsi="Book Antiqua"/>
                <w:vertAlign w:val="superscript"/>
              </w:rPr>
              <w:t>c</w:t>
            </w:r>
          </w:p>
        </w:tc>
        <w:tc>
          <w:tcPr>
            <w:tcW w:w="1191" w:type="pct"/>
            <w:tcBorders>
              <w:top w:val="single" w:sz="4" w:space="0" w:color="auto"/>
            </w:tcBorders>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92.9 (85.0; 98.3)</w:t>
            </w:r>
            <w:r w:rsidRPr="00F40118">
              <w:rPr>
                <w:rFonts w:ascii="Book Antiqua" w:eastAsia="Times New Roman" w:hAnsi="Book Antiqua" w:cs="Times New Roman"/>
                <w:szCs w:val="24"/>
                <w:vertAlign w:val="superscript"/>
              </w:rPr>
              <w:t>c</w:t>
            </w:r>
          </w:p>
        </w:tc>
      </w:tr>
      <w:tr w:rsidR="008967FA" w:rsidRPr="00F40118" w:rsidTr="00A762C7">
        <w:trPr>
          <w:trHeight w:val="438"/>
        </w:trPr>
        <w:tc>
          <w:tcPr>
            <w:tcW w:w="1527" w:type="pct"/>
            <w:shd w:val="clear" w:color="auto" w:fill="auto"/>
            <w:vAlign w:val="center"/>
          </w:tcPr>
          <w:p w:rsidR="008967FA" w:rsidRPr="00F40118" w:rsidRDefault="00105D3F" w:rsidP="00EF6CF8">
            <w:pPr>
              <w:pStyle w:val="a6"/>
              <w:adjustRightInd w:val="0"/>
              <w:snapToGrid w:val="0"/>
              <w:spacing w:line="360" w:lineRule="auto"/>
              <w:ind w:firstLineChars="50" w:firstLine="120"/>
              <w:jc w:val="both"/>
              <w:rPr>
                <w:rFonts w:ascii="Book Antiqua" w:eastAsia="Times New Roman" w:hAnsi="Book Antiqua" w:cs="Times New Roman"/>
                <w:szCs w:val="24"/>
              </w:rPr>
            </w:pPr>
            <w:r w:rsidRPr="00F40118">
              <w:rPr>
                <w:rFonts w:ascii="Book Antiqua" w:eastAsia="Times New Roman" w:hAnsi="Book Antiqua" w:cs="Times New Roman"/>
                <w:szCs w:val="24"/>
              </w:rPr>
              <w:t>Men</w:t>
            </w:r>
          </w:p>
        </w:tc>
        <w:tc>
          <w:tcPr>
            <w:tcW w:w="1107" w:type="pct"/>
            <w:shd w:val="clear" w:color="auto" w:fill="auto"/>
            <w:vAlign w:val="center"/>
          </w:tcPr>
          <w:p w:rsidR="008967FA" w:rsidRPr="00F40118" w:rsidRDefault="00F82A97" w:rsidP="00EF6CF8">
            <w:pPr>
              <w:pStyle w:val="a6"/>
              <w:adjustRightInd w:val="0"/>
              <w:snapToGrid w:val="0"/>
              <w:spacing w:line="360" w:lineRule="auto"/>
              <w:jc w:val="both"/>
              <w:rPr>
                <w:rFonts w:ascii="Book Antiqua" w:eastAsia="Times New Roman" w:hAnsi="Book Antiqua" w:cs="Times New Roman"/>
                <w:szCs w:val="24"/>
              </w:rPr>
            </w:pPr>
            <w:r>
              <w:rPr>
                <w:rFonts w:ascii="Book Antiqua" w:eastAsia="Times New Roman" w:hAnsi="Book Antiqua" w:cs="Times New Roman"/>
                <w:szCs w:val="24"/>
              </w:rPr>
              <w:t>95.0 (92.0; 104</w:t>
            </w:r>
            <w:r w:rsidR="00BC7612">
              <w:rPr>
                <w:rFonts w:ascii="Book Antiqua" w:eastAsiaTheme="minorEastAsia" w:hAnsi="Book Antiqua" w:cs="Times New Roman" w:hint="eastAsia"/>
                <w:szCs w:val="24"/>
                <w:lang w:eastAsia="zh-CN"/>
              </w:rPr>
              <w:t>.</w:t>
            </w:r>
            <w:r w:rsidR="008967FA" w:rsidRPr="00F40118">
              <w:rPr>
                <w:rFonts w:ascii="Book Antiqua" w:eastAsia="Times New Roman" w:hAnsi="Book Antiqua" w:cs="Times New Roman"/>
                <w:szCs w:val="24"/>
              </w:rPr>
              <w:t>2)</w:t>
            </w:r>
          </w:p>
        </w:tc>
        <w:tc>
          <w:tcPr>
            <w:tcW w:w="1176" w:type="pct"/>
            <w:shd w:val="clear" w:color="auto" w:fill="auto"/>
            <w:vAlign w:val="center"/>
          </w:tcPr>
          <w:p w:rsidR="008967FA" w:rsidRPr="00F40118" w:rsidRDefault="008967FA" w:rsidP="00EF6CF8">
            <w:pPr>
              <w:adjustRightInd w:val="0"/>
              <w:snapToGrid w:val="0"/>
              <w:spacing w:line="360" w:lineRule="auto"/>
              <w:jc w:val="both"/>
              <w:rPr>
                <w:rFonts w:ascii="Book Antiqua" w:eastAsia="Times New Roman" w:hAnsi="Book Antiqua"/>
              </w:rPr>
            </w:pPr>
            <w:r w:rsidRPr="00F40118">
              <w:rPr>
                <w:rFonts w:ascii="Book Antiqua" w:eastAsia="Times New Roman" w:hAnsi="Book Antiqua"/>
              </w:rPr>
              <w:t>94.0 (90; 101.1)</w:t>
            </w:r>
            <w:r w:rsidRPr="00F40118">
              <w:rPr>
                <w:rFonts w:ascii="Book Antiqua" w:eastAsia="Times New Roman" w:hAnsi="Book Antiqua"/>
                <w:vertAlign w:val="superscript"/>
              </w:rPr>
              <w:t>c</w:t>
            </w:r>
          </w:p>
        </w:tc>
        <w:tc>
          <w:tcPr>
            <w:tcW w:w="1191"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93.7</w:t>
            </w:r>
            <w:r w:rsidRPr="00F40118">
              <w:rPr>
                <w:rFonts w:ascii="Book Antiqua" w:eastAsia="Times New Roman" w:hAnsi="Book Antiqua" w:cs="Times New Roman"/>
                <w:szCs w:val="24"/>
                <w:lang w:val="ru-RU"/>
              </w:rPr>
              <w:t xml:space="preserve"> </w:t>
            </w:r>
            <w:r w:rsidRPr="00F40118">
              <w:rPr>
                <w:rFonts w:ascii="Book Antiqua" w:eastAsia="Times New Roman" w:hAnsi="Book Antiqua" w:cs="Times New Roman"/>
                <w:szCs w:val="24"/>
              </w:rPr>
              <w:t>(88.7; 100.0)</w:t>
            </w:r>
            <w:r w:rsidRPr="00F40118">
              <w:rPr>
                <w:rFonts w:ascii="Book Antiqua" w:eastAsia="Times New Roman" w:hAnsi="Book Antiqua" w:cs="Times New Roman"/>
                <w:szCs w:val="24"/>
                <w:vertAlign w:val="superscript"/>
              </w:rPr>
              <w:t>c</w:t>
            </w:r>
          </w:p>
        </w:tc>
      </w:tr>
      <w:tr w:rsidR="008967FA" w:rsidRPr="00F40118" w:rsidTr="00A762C7">
        <w:trPr>
          <w:trHeight w:val="451"/>
        </w:trPr>
        <w:tc>
          <w:tcPr>
            <w:tcW w:w="1527" w:type="pct"/>
            <w:shd w:val="clear" w:color="auto" w:fill="auto"/>
            <w:vAlign w:val="center"/>
          </w:tcPr>
          <w:p w:rsidR="008967FA" w:rsidRPr="00F40118" w:rsidRDefault="00105D3F" w:rsidP="00EF6CF8">
            <w:pPr>
              <w:pStyle w:val="a6"/>
              <w:adjustRightInd w:val="0"/>
              <w:snapToGrid w:val="0"/>
              <w:spacing w:line="360" w:lineRule="auto"/>
              <w:ind w:firstLineChars="50" w:firstLine="120"/>
              <w:jc w:val="both"/>
              <w:rPr>
                <w:rFonts w:ascii="Book Antiqua" w:eastAsia="Times New Roman" w:hAnsi="Book Antiqua" w:cs="Times New Roman"/>
                <w:szCs w:val="24"/>
              </w:rPr>
            </w:pPr>
            <w:r w:rsidRPr="00F40118">
              <w:rPr>
                <w:rFonts w:ascii="Book Antiqua" w:eastAsia="Times New Roman" w:hAnsi="Book Antiqua" w:cs="Times New Roman"/>
                <w:szCs w:val="24"/>
              </w:rPr>
              <w:t>Women</w:t>
            </w:r>
          </w:p>
        </w:tc>
        <w:tc>
          <w:tcPr>
            <w:tcW w:w="110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86.7 (82.0; 96.0)</w:t>
            </w:r>
          </w:p>
        </w:tc>
        <w:tc>
          <w:tcPr>
            <w:tcW w:w="1176" w:type="pct"/>
            <w:shd w:val="clear" w:color="auto" w:fill="auto"/>
            <w:vAlign w:val="center"/>
          </w:tcPr>
          <w:p w:rsidR="008967FA" w:rsidRPr="00F40118" w:rsidRDefault="008967FA" w:rsidP="00EF6CF8">
            <w:pPr>
              <w:adjustRightInd w:val="0"/>
              <w:snapToGrid w:val="0"/>
              <w:spacing w:line="360" w:lineRule="auto"/>
              <w:jc w:val="both"/>
              <w:rPr>
                <w:rFonts w:ascii="Book Antiqua" w:eastAsia="Times New Roman" w:hAnsi="Book Antiqua"/>
              </w:rPr>
            </w:pPr>
            <w:r w:rsidRPr="00F40118">
              <w:rPr>
                <w:rFonts w:ascii="Book Antiqua" w:eastAsia="Times New Roman" w:hAnsi="Book Antiqua"/>
              </w:rPr>
              <w:t>85.0 (80.0; 94.8)</w:t>
            </w:r>
            <w:r w:rsidRPr="00F40118">
              <w:rPr>
                <w:rFonts w:ascii="Book Antiqua" w:eastAsia="Times New Roman" w:hAnsi="Book Antiqua"/>
                <w:vertAlign w:val="superscript"/>
              </w:rPr>
              <w:t>c</w:t>
            </w:r>
          </w:p>
        </w:tc>
        <w:tc>
          <w:tcPr>
            <w:tcW w:w="1191"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85.0</w:t>
            </w:r>
            <w:r w:rsidRPr="00F40118">
              <w:rPr>
                <w:rFonts w:ascii="Book Antiqua" w:eastAsia="Times New Roman" w:hAnsi="Book Antiqua" w:cs="Times New Roman"/>
                <w:szCs w:val="24"/>
                <w:lang w:val="ru-RU"/>
              </w:rPr>
              <w:t xml:space="preserve"> </w:t>
            </w:r>
            <w:r w:rsidRPr="00F40118">
              <w:rPr>
                <w:rFonts w:ascii="Book Antiqua" w:eastAsia="Times New Roman" w:hAnsi="Book Antiqua" w:cs="Times New Roman"/>
                <w:szCs w:val="24"/>
              </w:rPr>
              <w:t>(79.0; 95.0)</w:t>
            </w:r>
            <w:r w:rsidRPr="00F40118">
              <w:rPr>
                <w:rFonts w:ascii="Book Antiqua" w:eastAsia="Times New Roman" w:hAnsi="Book Antiqua" w:cs="Times New Roman"/>
                <w:szCs w:val="24"/>
                <w:vertAlign w:val="superscript"/>
              </w:rPr>
              <w:t>b</w:t>
            </w:r>
          </w:p>
        </w:tc>
      </w:tr>
      <w:tr w:rsidR="008967FA" w:rsidRPr="00F40118" w:rsidTr="00A762C7">
        <w:trPr>
          <w:trHeight w:val="451"/>
        </w:trPr>
        <w:tc>
          <w:tcPr>
            <w:tcW w:w="152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hAnsi="Book Antiqua" w:cs="Times New Roman"/>
                <w:szCs w:val="24"/>
              </w:rPr>
              <w:t>∆</w:t>
            </w:r>
            <w:r w:rsidRPr="00F40118">
              <w:rPr>
                <w:rFonts w:ascii="Book Antiqua" w:eastAsia="Times New Roman" w:hAnsi="Book Antiqua" w:cs="Times New Roman"/>
                <w:szCs w:val="24"/>
              </w:rPr>
              <w:t xml:space="preserve"> total sample, kg</w:t>
            </w:r>
          </w:p>
        </w:tc>
        <w:tc>
          <w:tcPr>
            <w:tcW w:w="110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p>
        </w:tc>
        <w:tc>
          <w:tcPr>
            <w:tcW w:w="1176" w:type="pct"/>
            <w:shd w:val="clear" w:color="auto" w:fill="auto"/>
            <w:vAlign w:val="center"/>
          </w:tcPr>
          <w:p w:rsidR="008967FA" w:rsidRPr="00F40118" w:rsidRDefault="009A27D6" w:rsidP="00EF6CF8">
            <w:pPr>
              <w:adjustRightInd w:val="0"/>
              <w:snapToGrid w:val="0"/>
              <w:spacing w:line="360" w:lineRule="auto"/>
              <w:jc w:val="both"/>
              <w:rPr>
                <w:rFonts w:ascii="Book Antiqua" w:eastAsia="Times New Roman" w:hAnsi="Book Antiqua"/>
              </w:rPr>
            </w:pPr>
            <w:r w:rsidRPr="00F40118">
              <w:rPr>
                <w:rFonts w:ascii="Book Antiqua" w:eastAsia="Times New Roman" w:hAnsi="Book Antiqua"/>
              </w:rPr>
              <w:t>-1.0 (-2.4; 0.0)</w:t>
            </w:r>
          </w:p>
        </w:tc>
        <w:tc>
          <w:tcPr>
            <w:tcW w:w="1191"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-1.0 (-2.4; 0.0)</w:t>
            </w:r>
          </w:p>
        </w:tc>
      </w:tr>
      <w:tr w:rsidR="008967FA" w:rsidRPr="00F40118" w:rsidTr="00A762C7">
        <w:trPr>
          <w:trHeight w:val="451"/>
        </w:trPr>
        <w:tc>
          <w:tcPr>
            <w:tcW w:w="152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hAnsi="Book Antiqua" w:cs="Times New Roman"/>
                <w:szCs w:val="24"/>
              </w:rPr>
            </w:pPr>
            <w:r w:rsidRPr="00F40118">
              <w:rPr>
                <w:rFonts w:ascii="Book Antiqua" w:hAnsi="Book Antiqua" w:cs="Times New Roman"/>
                <w:szCs w:val="24"/>
              </w:rPr>
              <w:t xml:space="preserve">Weight loss &gt; 5% </w:t>
            </w:r>
            <w:r w:rsidRPr="00F40118">
              <w:rPr>
                <w:rFonts w:ascii="Book Antiqua" w:eastAsia="Times New Roman" w:hAnsi="Book Antiqua" w:cs="Times New Roman"/>
                <w:szCs w:val="24"/>
              </w:rPr>
              <w:t>(total sample)</w:t>
            </w:r>
          </w:p>
        </w:tc>
        <w:tc>
          <w:tcPr>
            <w:tcW w:w="110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p>
        </w:tc>
        <w:tc>
          <w:tcPr>
            <w:tcW w:w="1176" w:type="pct"/>
            <w:shd w:val="clear" w:color="auto" w:fill="auto"/>
            <w:vAlign w:val="center"/>
          </w:tcPr>
          <w:p w:rsidR="008967FA" w:rsidRPr="00F40118" w:rsidRDefault="008967FA" w:rsidP="00EF6CF8">
            <w:pPr>
              <w:adjustRightInd w:val="0"/>
              <w:snapToGrid w:val="0"/>
              <w:spacing w:line="360" w:lineRule="auto"/>
              <w:jc w:val="both"/>
              <w:rPr>
                <w:rFonts w:ascii="Book Antiqua" w:eastAsia="Times New Roman" w:hAnsi="Book Antiqua"/>
                <w:lang w:val="ru-RU"/>
              </w:rPr>
            </w:pPr>
            <w:r w:rsidRPr="00F40118">
              <w:rPr>
                <w:rFonts w:ascii="Book Antiqua" w:eastAsia="Times New Roman" w:hAnsi="Book Antiqua"/>
                <w:lang w:val="ru-RU"/>
              </w:rPr>
              <w:t>11 (6.3)</w:t>
            </w:r>
          </w:p>
        </w:tc>
        <w:tc>
          <w:tcPr>
            <w:tcW w:w="1191"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lang w:val="ru-RU"/>
              </w:rPr>
            </w:pPr>
            <w:r w:rsidRPr="00F40118">
              <w:rPr>
                <w:rFonts w:ascii="Book Antiqua" w:eastAsia="Times New Roman" w:hAnsi="Book Antiqua" w:cs="Times New Roman"/>
                <w:szCs w:val="24"/>
                <w:lang w:val="ru-RU"/>
              </w:rPr>
              <w:t>54 (31)</w:t>
            </w:r>
            <w:r w:rsidRPr="00F40118">
              <w:rPr>
                <w:rFonts w:ascii="Book Antiqua" w:eastAsia="Times New Roman" w:hAnsi="Book Antiqua" w:cs="Times New Roman"/>
                <w:szCs w:val="24"/>
                <w:vertAlign w:val="superscript"/>
              </w:rPr>
              <w:t>c</w:t>
            </w:r>
          </w:p>
        </w:tc>
      </w:tr>
      <w:tr w:rsidR="008967FA" w:rsidRPr="00F40118" w:rsidTr="00A762C7">
        <w:trPr>
          <w:trHeight w:val="438"/>
        </w:trPr>
        <w:tc>
          <w:tcPr>
            <w:tcW w:w="1527" w:type="pct"/>
            <w:shd w:val="clear" w:color="auto" w:fill="auto"/>
            <w:vAlign w:val="center"/>
          </w:tcPr>
          <w:p w:rsidR="008967FA" w:rsidRPr="00F40118" w:rsidRDefault="00105D3F" w:rsidP="00EF6CF8">
            <w:pPr>
              <w:pStyle w:val="a6"/>
              <w:adjustRightInd w:val="0"/>
              <w:snapToGrid w:val="0"/>
              <w:spacing w:line="360" w:lineRule="auto"/>
              <w:ind w:firstLineChars="50" w:firstLine="120"/>
              <w:jc w:val="both"/>
              <w:rPr>
                <w:rFonts w:ascii="Book Antiqua" w:hAnsi="Book Antiqua" w:cs="Times New Roman"/>
                <w:szCs w:val="24"/>
              </w:rPr>
            </w:pPr>
            <w:r w:rsidRPr="00F40118">
              <w:rPr>
                <w:rFonts w:ascii="Book Antiqua" w:eastAsia="Times New Roman" w:hAnsi="Book Antiqua" w:cs="Times New Roman"/>
                <w:szCs w:val="24"/>
              </w:rPr>
              <w:t>Men</w:t>
            </w:r>
          </w:p>
        </w:tc>
        <w:tc>
          <w:tcPr>
            <w:tcW w:w="110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p>
        </w:tc>
        <w:tc>
          <w:tcPr>
            <w:tcW w:w="1176" w:type="pct"/>
            <w:shd w:val="clear" w:color="auto" w:fill="auto"/>
            <w:vAlign w:val="center"/>
          </w:tcPr>
          <w:p w:rsidR="008967FA" w:rsidRPr="00F40118" w:rsidRDefault="008967FA" w:rsidP="00EF6CF8">
            <w:pPr>
              <w:adjustRightInd w:val="0"/>
              <w:snapToGrid w:val="0"/>
              <w:spacing w:line="360" w:lineRule="auto"/>
              <w:jc w:val="both"/>
              <w:rPr>
                <w:rFonts w:ascii="Book Antiqua" w:eastAsia="Times New Roman" w:hAnsi="Book Antiqua"/>
                <w:lang w:val="ru-RU"/>
              </w:rPr>
            </w:pPr>
            <w:r w:rsidRPr="00F40118">
              <w:rPr>
                <w:rFonts w:ascii="Book Antiqua" w:eastAsia="Times New Roman" w:hAnsi="Book Antiqua"/>
              </w:rPr>
              <w:t>8 (6.6)</w:t>
            </w:r>
          </w:p>
        </w:tc>
        <w:tc>
          <w:tcPr>
            <w:tcW w:w="1191"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lang w:val="ru-RU"/>
              </w:rPr>
            </w:pPr>
            <w:r w:rsidRPr="00F40118">
              <w:rPr>
                <w:rFonts w:ascii="Book Antiqua" w:eastAsia="Times New Roman" w:hAnsi="Book Antiqua" w:cs="Times New Roman"/>
                <w:szCs w:val="24"/>
              </w:rPr>
              <w:t>39 (32.2)</w:t>
            </w:r>
            <w:r w:rsidRPr="00F40118">
              <w:rPr>
                <w:rFonts w:ascii="Book Antiqua" w:eastAsia="Times New Roman" w:hAnsi="Book Antiqua" w:cs="Times New Roman"/>
                <w:szCs w:val="24"/>
                <w:vertAlign w:val="superscript"/>
              </w:rPr>
              <w:t>c</w:t>
            </w:r>
          </w:p>
        </w:tc>
      </w:tr>
      <w:tr w:rsidR="008967FA" w:rsidRPr="00F40118" w:rsidTr="00A762C7">
        <w:trPr>
          <w:trHeight w:val="451"/>
        </w:trPr>
        <w:tc>
          <w:tcPr>
            <w:tcW w:w="1527" w:type="pct"/>
            <w:shd w:val="clear" w:color="auto" w:fill="auto"/>
            <w:vAlign w:val="center"/>
          </w:tcPr>
          <w:p w:rsidR="008967FA" w:rsidRPr="00F40118" w:rsidRDefault="00105D3F" w:rsidP="00EF6CF8">
            <w:pPr>
              <w:pStyle w:val="a6"/>
              <w:adjustRightInd w:val="0"/>
              <w:snapToGrid w:val="0"/>
              <w:spacing w:line="360" w:lineRule="auto"/>
              <w:ind w:firstLineChars="50" w:firstLine="120"/>
              <w:jc w:val="both"/>
              <w:rPr>
                <w:rFonts w:ascii="Book Antiqua" w:eastAsia="Times New Roman" w:hAnsi="Book Antiqua" w:cs="Times New Roman"/>
                <w:szCs w:val="24"/>
              </w:rPr>
            </w:pPr>
            <w:r w:rsidRPr="00F40118">
              <w:rPr>
                <w:rFonts w:ascii="Book Antiqua" w:eastAsia="Times New Roman" w:hAnsi="Book Antiqua" w:cs="Times New Roman"/>
                <w:szCs w:val="24"/>
              </w:rPr>
              <w:t>Women</w:t>
            </w:r>
          </w:p>
        </w:tc>
        <w:tc>
          <w:tcPr>
            <w:tcW w:w="110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p>
        </w:tc>
        <w:tc>
          <w:tcPr>
            <w:tcW w:w="1176" w:type="pct"/>
            <w:shd w:val="clear" w:color="auto" w:fill="auto"/>
            <w:vAlign w:val="center"/>
          </w:tcPr>
          <w:p w:rsidR="008967FA" w:rsidRPr="00F40118" w:rsidRDefault="008967FA" w:rsidP="00EF6CF8">
            <w:pPr>
              <w:adjustRightInd w:val="0"/>
              <w:snapToGrid w:val="0"/>
              <w:spacing w:line="360" w:lineRule="auto"/>
              <w:jc w:val="both"/>
              <w:rPr>
                <w:rFonts w:ascii="Book Antiqua" w:eastAsia="Times New Roman" w:hAnsi="Book Antiqua"/>
                <w:lang w:val="ru-RU"/>
              </w:rPr>
            </w:pPr>
            <w:r w:rsidRPr="00F40118">
              <w:rPr>
                <w:rFonts w:ascii="Book Antiqua" w:eastAsia="Times New Roman" w:hAnsi="Book Antiqua"/>
              </w:rPr>
              <w:t>3 (5.6)</w:t>
            </w:r>
          </w:p>
        </w:tc>
        <w:tc>
          <w:tcPr>
            <w:tcW w:w="1191"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lang w:val="ru-RU"/>
              </w:rPr>
            </w:pPr>
            <w:r w:rsidRPr="00F40118">
              <w:rPr>
                <w:rFonts w:ascii="Book Antiqua" w:eastAsia="Times New Roman" w:hAnsi="Book Antiqua" w:cs="Times New Roman"/>
                <w:szCs w:val="24"/>
              </w:rPr>
              <w:t>15 (28.3)</w:t>
            </w:r>
            <w:r w:rsidRPr="00F40118">
              <w:rPr>
                <w:rFonts w:ascii="Book Antiqua" w:eastAsia="Times New Roman" w:hAnsi="Book Antiqua" w:cs="Times New Roman"/>
                <w:szCs w:val="24"/>
                <w:vertAlign w:val="superscript"/>
              </w:rPr>
              <w:t>b</w:t>
            </w:r>
          </w:p>
        </w:tc>
      </w:tr>
      <w:tr w:rsidR="008967FA" w:rsidRPr="00F40118" w:rsidTr="00A762C7">
        <w:trPr>
          <w:trHeight w:val="451"/>
        </w:trPr>
        <w:tc>
          <w:tcPr>
            <w:tcW w:w="152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BMI (total sample), kg/m</w:t>
            </w:r>
            <w:r w:rsidRPr="00F40118">
              <w:rPr>
                <w:rFonts w:ascii="Book Antiqua" w:eastAsia="Times New Roman" w:hAnsi="Book Antiqua" w:cs="Times New Roman"/>
                <w:szCs w:val="24"/>
                <w:vertAlign w:val="superscript"/>
              </w:rPr>
              <w:t>2</w:t>
            </w:r>
          </w:p>
        </w:tc>
        <w:tc>
          <w:tcPr>
            <w:tcW w:w="110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31.2 (29.4; 34.0)</w:t>
            </w:r>
          </w:p>
        </w:tc>
        <w:tc>
          <w:tcPr>
            <w:tcW w:w="1176"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lang w:val="ru-RU"/>
              </w:rPr>
            </w:pPr>
            <w:r w:rsidRPr="00F40118">
              <w:rPr>
                <w:rFonts w:ascii="Book Antiqua" w:eastAsia="Times New Roman" w:hAnsi="Book Antiqua" w:cs="Times New Roman"/>
                <w:szCs w:val="24"/>
              </w:rPr>
              <w:t>3</w:t>
            </w:r>
            <w:r w:rsidRPr="00F40118">
              <w:rPr>
                <w:rFonts w:ascii="Book Antiqua" w:eastAsia="Times New Roman" w:hAnsi="Book Antiqua" w:cs="Times New Roman"/>
                <w:szCs w:val="24"/>
                <w:lang w:val="ru-RU"/>
              </w:rPr>
              <w:t>0</w:t>
            </w:r>
            <w:r w:rsidRPr="00F40118">
              <w:rPr>
                <w:rFonts w:ascii="Book Antiqua" w:eastAsia="Times New Roman" w:hAnsi="Book Antiqua" w:cs="Times New Roman"/>
                <w:szCs w:val="24"/>
              </w:rPr>
              <w:t>.</w:t>
            </w:r>
            <w:r w:rsidRPr="00F40118">
              <w:rPr>
                <w:rFonts w:ascii="Book Antiqua" w:eastAsia="Times New Roman" w:hAnsi="Book Antiqua" w:cs="Times New Roman"/>
                <w:szCs w:val="24"/>
                <w:lang w:val="ru-RU"/>
              </w:rPr>
              <w:t>9</w:t>
            </w:r>
            <w:r w:rsidRPr="00F40118">
              <w:rPr>
                <w:rFonts w:ascii="Book Antiqua" w:eastAsia="Times New Roman" w:hAnsi="Book Antiqua" w:cs="Times New Roman"/>
                <w:szCs w:val="24"/>
              </w:rPr>
              <w:t xml:space="preserve"> (29.</w:t>
            </w:r>
            <w:r w:rsidRPr="00F40118">
              <w:rPr>
                <w:rFonts w:ascii="Book Antiqua" w:eastAsia="Times New Roman" w:hAnsi="Book Antiqua" w:cs="Times New Roman"/>
                <w:szCs w:val="24"/>
                <w:lang w:val="ru-RU"/>
              </w:rPr>
              <w:t>3</w:t>
            </w:r>
            <w:r w:rsidRPr="00F40118">
              <w:rPr>
                <w:rFonts w:ascii="Book Antiqua" w:eastAsia="Times New Roman" w:hAnsi="Book Antiqua" w:cs="Times New Roman"/>
                <w:szCs w:val="24"/>
              </w:rPr>
              <w:t>; 3</w:t>
            </w:r>
            <w:r w:rsidRPr="00F40118">
              <w:rPr>
                <w:rFonts w:ascii="Book Antiqua" w:eastAsia="Times New Roman" w:hAnsi="Book Antiqua" w:cs="Times New Roman"/>
                <w:szCs w:val="24"/>
                <w:lang w:val="ru-RU"/>
              </w:rPr>
              <w:t>3</w:t>
            </w:r>
            <w:r w:rsidRPr="00F40118">
              <w:rPr>
                <w:rFonts w:ascii="Book Antiqua" w:eastAsia="Times New Roman" w:hAnsi="Book Antiqua" w:cs="Times New Roman"/>
                <w:szCs w:val="24"/>
              </w:rPr>
              <w:t>.</w:t>
            </w:r>
            <w:r w:rsidRPr="00F40118">
              <w:rPr>
                <w:rFonts w:ascii="Book Antiqua" w:eastAsia="Times New Roman" w:hAnsi="Book Antiqua" w:cs="Times New Roman"/>
                <w:szCs w:val="24"/>
                <w:lang w:val="ru-RU"/>
              </w:rPr>
              <w:t>3</w:t>
            </w:r>
            <w:r w:rsidRPr="00F40118">
              <w:rPr>
                <w:rFonts w:ascii="Book Antiqua" w:eastAsia="Times New Roman" w:hAnsi="Book Antiqua" w:cs="Times New Roman"/>
                <w:szCs w:val="24"/>
              </w:rPr>
              <w:t>)</w:t>
            </w:r>
            <w:r w:rsidRPr="00F40118">
              <w:rPr>
                <w:rFonts w:ascii="Book Antiqua" w:eastAsia="Times New Roman" w:hAnsi="Book Antiqua" w:cs="Times New Roman"/>
                <w:szCs w:val="24"/>
                <w:vertAlign w:val="superscript"/>
              </w:rPr>
              <w:t>c</w:t>
            </w:r>
          </w:p>
        </w:tc>
        <w:tc>
          <w:tcPr>
            <w:tcW w:w="1191"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30.6 (29.0; 33.1)</w:t>
            </w:r>
            <w:r w:rsidRPr="00F40118">
              <w:rPr>
                <w:rFonts w:ascii="Book Antiqua" w:eastAsia="Times New Roman" w:hAnsi="Book Antiqua" w:cs="Times New Roman"/>
                <w:szCs w:val="24"/>
                <w:vertAlign w:val="superscript"/>
              </w:rPr>
              <w:t>c</w:t>
            </w:r>
          </w:p>
        </w:tc>
      </w:tr>
      <w:tr w:rsidR="008967FA" w:rsidRPr="00F40118" w:rsidTr="00A762C7">
        <w:trPr>
          <w:trHeight w:val="438"/>
        </w:trPr>
        <w:tc>
          <w:tcPr>
            <w:tcW w:w="1527" w:type="pct"/>
            <w:shd w:val="clear" w:color="auto" w:fill="auto"/>
            <w:vAlign w:val="center"/>
          </w:tcPr>
          <w:p w:rsidR="008967FA" w:rsidRPr="00F40118" w:rsidRDefault="00105D3F" w:rsidP="00EF6CF8">
            <w:pPr>
              <w:pStyle w:val="a6"/>
              <w:adjustRightInd w:val="0"/>
              <w:snapToGrid w:val="0"/>
              <w:spacing w:line="360" w:lineRule="auto"/>
              <w:ind w:firstLineChars="50" w:firstLine="120"/>
              <w:jc w:val="both"/>
              <w:rPr>
                <w:rFonts w:ascii="Book Antiqua" w:eastAsia="Times New Roman" w:hAnsi="Book Antiqua" w:cs="Times New Roman"/>
                <w:szCs w:val="24"/>
              </w:rPr>
            </w:pPr>
            <w:r w:rsidRPr="00F40118">
              <w:rPr>
                <w:rFonts w:ascii="Book Antiqua" w:eastAsia="Times New Roman" w:hAnsi="Book Antiqua" w:cs="Times New Roman"/>
                <w:szCs w:val="24"/>
              </w:rPr>
              <w:t>Men</w:t>
            </w:r>
          </w:p>
        </w:tc>
        <w:tc>
          <w:tcPr>
            <w:tcW w:w="110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30.7 (29.0; 33.3)</w:t>
            </w:r>
          </w:p>
        </w:tc>
        <w:tc>
          <w:tcPr>
            <w:tcW w:w="1176"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30.4 (29.0; 32.6)</w:t>
            </w:r>
            <w:r w:rsidRPr="00F40118">
              <w:rPr>
                <w:rFonts w:ascii="Book Antiqua" w:eastAsia="Times New Roman" w:hAnsi="Book Antiqua" w:cs="Times New Roman"/>
                <w:szCs w:val="24"/>
                <w:vertAlign w:val="superscript"/>
              </w:rPr>
              <w:t>c</w:t>
            </w:r>
          </w:p>
        </w:tc>
        <w:tc>
          <w:tcPr>
            <w:tcW w:w="1191"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30.1 (28.4; 32)</w:t>
            </w:r>
            <w:r w:rsidRPr="00F40118">
              <w:rPr>
                <w:rFonts w:ascii="Book Antiqua" w:eastAsia="Times New Roman" w:hAnsi="Book Antiqua" w:cs="Times New Roman"/>
                <w:szCs w:val="24"/>
                <w:vertAlign w:val="superscript"/>
              </w:rPr>
              <w:t>c</w:t>
            </w:r>
          </w:p>
        </w:tc>
      </w:tr>
      <w:tr w:rsidR="008967FA" w:rsidRPr="00F40118" w:rsidTr="00A762C7">
        <w:trPr>
          <w:trHeight w:val="451"/>
        </w:trPr>
        <w:tc>
          <w:tcPr>
            <w:tcW w:w="1527" w:type="pct"/>
            <w:shd w:val="clear" w:color="auto" w:fill="auto"/>
            <w:vAlign w:val="center"/>
          </w:tcPr>
          <w:p w:rsidR="008967FA" w:rsidRPr="00F40118" w:rsidRDefault="00105D3F" w:rsidP="00EF6CF8">
            <w:pPr>
              <w:pStyle w:val="a6"/>
              <w:adjustRightInd w:val="0"/>
              <w:snapToGrid w:val="0"/>
              <w:spacing w:line="360" w:lineRule="auto"/>
              <w:ind w:firstLineChars="50" w:firstLine="120"/>
              <w:jc w:val="both"/>
              <w:rPr>
                <w:rFonts w:ascii="Book Antiqua" w:eastAsia="Times New Roman" w:hAnsi="Book Antiqua" w:cs="Times New Roman"/>
                <w:szCs w:val="24"/>
              </w:rPr>
            </w:pPr>
            <w:r w:rsidRPr="00F40118">
              <w:rPr>
                <w:rFonts w:ascii="Book Antiqua" w:eastAsia="Times New Roman" w:hAnsi="Book Antiqua" w:cs="Times New Roman"/>
                <w:szCs w:val="24"/>
              </w:rPr>
              <w:t>Women</w:t>
            </w:r>
          </w:p>
        </w:tc>
        <w:tc>
          <w:tcPr>
            <w:tcW w:w="110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32.0 (30.7; 36.2)</w:t>
            </w:r>
          </w:p>
        </w:tc>
        <w:tc>
          <w:tcPr>
            <w:tcW w:w="1176"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31.5 (30.1; 34.6)</w:t>
            </w:r>
            <w:r w:rsidRPr="00F40118">
              <w:rPr>
                <w:rFonts w:ascii="Book Antiqua" w:eastAsia="Times New Roman" w:hAnsi="Book Antiqua" w:cs="Times New Roman"/>
                <w:szCs w:val="24"/>
                <w:vertAlign w:val="superscript"/>
              </w:rPr>
              <w:t>c</w:t>
            </w:r>
          </w:p>
        </w:tc>
        <w:tc>
          <w:tcPr>
            <w:tcW w:w="1191"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31.6 (29.7; 34.4)</w:t>
            </w:r>
            <w:r w:rsidRPr="00F40118">
              <w:rPr>
                <w:rFonts w:ascii="Book Antiqua" w:eastAsia="Times New Roman" w:hAnsi="Book Antiqua" w:cs="Times New Roman"/>
                <w:szCs w:val="24"/>
                <w:vertAlign w:val="superscript"/>
              </w:rPr>
              <w:t>b</w:t>
            </w:r>
          </w:p>
        </w:tc>
      </w:tr>
      <w:tr w:rsidR="008967FA" w:rsidRPr="00F40118" w:rsidTr="00A762C7">
        <w:trPr>
          <w:trHeight w:val="451"/>
        </w:trPr>
        <w:tc>
          <w:tcPr>
            <w:tcW w:w="152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hAnsi="Book Antiqua" w:cs="Times New Roman"/>
                <w:szCs w:val="24"/>
              </w:rPr>
              <w:t>∆</w:t>
            </w:r>
            <w:r w:rsidRPr="00F40118">
              <w:rPr>
                <w:rFonts w:ascii="Book Antiqua" w:eastAsia="Times New Roman" w:hAnsi="Book Antiqua" w:cs="Times New Roman"/>
                <w:szCs w:val="24"/>
              </w:rPr>
              <w:t xml:space="preserve"> total sample, kg/m</w:t>
            </w:r>
            <w:r w:rsidRPr="00F40118">
              <w:rPr>
                <w:rFonts w:ascii="Book Antiqua" w:eastAsia="Times New Roman" w:hAnsi="Book Antiqua" w:cs="Times New Roman"/>
                <w:szCs w:val="24"/>
                <w:vertAlign w:val="superscript"/>
              </w:rPr>
              <w:t>2</w:t>
            </w:r>
          </w:p>
        </w:tc>
        <w:tc>
          <w:tcPr>
            <w:tcW w:w="110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p>
        </w:tc>
        <w:tc>
          <w:tcPr>
            <w:tcW w:w="1176"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-0.4 (-0.9; 0.0)</w:t>
            </w:r>
          </w:p>
        </w:tc>
        <w:tc>
          <w:tcPr>
            <w:tcW w:w="1191"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-0.3 (-0.8; 0.0)</w:t>
            </w:r>
          </w:p>
        </w:tc>
      </w:tr>
      <w:tr w:rsidR="008967FA" w:rsidRPr="00F40118" w:rsidTr="00A762C7">
        <w:trPr>
          <w:trHeight w:val="264"/>
        </w:trPr>
        <w:tc>
          <w:tcPr>
            <w:tcW w:w="152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Waist circumference (total sample), cm</w:t>
            </w:r>
          </w:p>
        </w:tc>
        <w:tc>
          <w:tcPr>
            <w:tcW w:w="1107" w:type="pct"/>
            <w:shd w:val="clear" w:color="auto" w:fill="auto"/>
            <w:vAlign w:val="center"/>
          </w:tcPr>
          <w:p w:rsidR="008967FA" w:rsidRPr="00F40118" w:rsidRDefault="008967FA" w:rsidP="00EF6CF8">
            <w:pPr>
              <w:adjustRightInd w:val="0"/>
              <w:snapToGrid w:val="0"/>
              <w:spacing w:line="360" w:lineRule="auto"/>
              <w:jc w:val="both"/>
              <w:rPr>
                <w:rFonts w:ascii="Book Antiqua" w:eastAsia="Times New Roman" w:hAnsi="Book Antiqua"/>
                <w:color w:val="000000"/>
                <w:lang w:eastAsia="ru-RU"/>
              </w:rPr>
            </w:pPr>
            <w:r w:rsidRPr="00F40118">
              <w:rPr>
                <w:rFonts w:ascii="Book Antiqua" w:eastAsia="Times New Roman" w:hAnsi="Book Antiqua"/>
                <w:color w:val="000000"/>
                <w:lang w:eastAsia="ru-RU"/>
              </w:rPr>
              <w:t xml:space="preserve">102.0 </w:t>
            </w:r>
            <w:r w:rsidRPr="00F40118">
              <w:rPr>
                <w:rFonts w:ascii="Book Antiqua" w:eastAsia="Times New Roman" w:hAnsi="Book Antiqua"/>
              </w:rPr>
              <w:t>(</w:t>
            </w:r>
            <w:r w:rsidRPr="00F40118">
              <w:rPr>
                <w:rFonts w:ascii="Book Antiqua" w:eastAsia="Times New Roman" w:hAnsi="Book Antiqua"/>
                <w:color w:val="000000"/>
                <w:lang w:eastAsia="ru-RU"/>
              </w:rPr>
              <w:t>97.0; 111.8</w:t>
            </w:r>
            <w:r w:rsidRPr="00F40118">
              <w:rPr>
                <w:rFonts w:ascii="Book Antiqua" w:eastAsia="Times New Roman" w:hAnsi="Book Antiqua"/>
              </w:rPr>
              <w:t>)</w:t>
            </w:r>
          </w:p>
        </w:tc>
        <w:tc>
          <w:tcPr>
            <w:tcW w:w="1176" w:type="pct"/>
            <w:shd w:val="clear" w:color="auto" w:fill="auto"/>
            <w:vAlign w:val="center"/>
          </w:tcPr>
          <w:p w:rsidR="008967FA" w:rsidRPr="00F40118" w:rsidRDefault="008967FA" w:rsidP="00EF6CF8">
            <w:pPr>
              <w:adjustRightInd w:val="0"/>
              <w:snapToGrid w:val="0"/>
              <w:spacing w:line="360" w:lineRule="auto"/>
              <w:jc w:val="both"/>
              <w:rPr>
                <w:rFonts w:ascii="Book Antiqua" w:eastAsia="Times New Roman" w:hAnsi="Book Antiqua"/>
                <w:color w:val="000000"/>
                <w:lang w:eastAsia="ru-RU"/>
              </w:rPr>
            </w:pPr>
            <w:r w:rsidRPr="00F40118">
              <w:rPr>
                <w:rFonts w:ascii="Book Antiqua" w:eastAsia="Times New Roman" w:hAnsi="Book Antiqua"/>
                <w:color w:val="000000"/>
                <w:lang w:eastAsia="ru-RU"/>
              </w:rPr>
              <w:t>10</w:t>
            </w:r>
            <w:r w:rsidRPr="00F40118">
              <w:rPr>
                <w:rFonts w:ascii="Book Antiqua" w:eastAsia="Times New Roman" w:hAnsi="Book Antiqua"/>
                <w:color w:val="000000"/>
                <w:lang w:val="ru-RU" w:eastAsia="ru-RU"/>
              </w:rPr>
              <w:t>0</w:t>
            </w:r>
            <w:r w:rsidRPr="00F40118">
              <w:rPr>
                <w:rFonts w:ascii="Book Antiqua" w:eastAsia="Times New Roman" w:hAnsi="Book Antiqua"/>
                <w:color w:val="000000"/>
                <w:lang w:eastAsia="ru-RU"/>
              </w:rPr>
              <w:t xml:space="preserve">.0 </w:t>
            </w:r>
            <w:r w:rsidRPr="00F40118">
              <w:rPr>
                <w:rFonts w:ascii="Book Antiqua" w:eastAsia="Times New Roman" w:hAnsi="Book Antiqua"/>
              </w:rPr>
              <w:t>(</w:t>
            </w:r>
            <w:r w:rsidRPr="00F40118">
              <w:rPr>
                <w:rFonts w:ascii="Book Antiqua" w:eastAsia="Times New Roman" w:hAnsi="Book Antiqua"/>
                <w:color w:val="000000"/>
                <w:lang w:eastAsia="ru-RU"/>
              </w:rPr>
              <w:t>9</w:t>
            </w:r>
            <w:r w:rsidRPr="00F40118">
              <w:rPr>
                <w:rFonts w:ascii="Book Antiqua" w:eastAsia="Times New Roman" w:hAnsi="Book Antiqua"/>
                <w:color w:val="000000"/>
                <w:lang w:val="ru-RU" w:eastAsia="ru-RU"/>
              </w:rPr>
              <w:t>6</w:t>
            </w:r>
            <w:r w:rsidRPr="00F40118">
              <w:rPr>
                <w:rFonts w:ascii="Book Antiqua" w:eastAsia="Times New Roman" w:hAnsi="Book Antiqua"/>
                <w:color w:val="000000"/>
                <w:lang w:eastAsia="ru-RU"/>
              </w:rPr>
              <w:t>.0; 1</w:t>
            </w:r>
            <w:r w:rsidRPr="00F40118">
              <w:rPr>
                <w:rFonts w:ascii="Book Antiqua" w:eastAsia="Times New Roman" w:hAnsi="Book Antiqua"/>
                <w:color w:val="000000"/>
                <w:lang w:val="ru-RU" w:eastAsia="ru-RU"/>
              </w:rPr>
              <w:t>08</w:t>
            </w:r>
            <w:r w:rsidRPr="00F40118">
              <w:rPr>
                <w:rFonts w:ascii="Book Antiqua" w:eastAsia="Times New Roman" w:hAnsi="Book Antiqua"/>
                <w:color w:val="000000"/>
                <w:lang w:eastAsia="ru-RU"/>
              </w:rPr>
              <w:t>.</w:t>
            </w:r>
            <w:r w:rsidRPr="00F40118">
              <w:rPr>
                <w:rFonts w:ascii="Book Antiqua" w:eastAsia="Times New Roman" w:hAnsi="Book Antiqua"/>
                <w:color w:val="000000"/>
                <w:lang w:val="ru-RU" w:eastAsia="ru-RU"/>
              </w:rPr>
              <w:t>0</w:t>
            </w:r>
            <w:r w:rsidRPr="00F40118">
              <w:rPr>
                <w:rFonts w:ascii="Book Antiqua" w:eastAsia="Times New Roman" w:hAnsi="Book Antiqua"/>
              </w:rPr>
              <w:t>)</w:t>
            </w:r>
            <w:r w:rsidRPr="00F40118">
              <w:rPr>
                <w:rFonts w:ascii="Book Antiqua" w:eastAsia="Times New Roman" w:hAnsi="Book Antiqua"/>
                <w:vertAlign w:val="superscript"/>
              </w:rPr>
              <w:t>c</w:t>
            </w:r>
          </w:p>
        </w:tc>
        <w:tc>
          <w:tcPr>
            <w:tcW w:w="1191" w:type="pct"/>
            <w:shd w:val="clear" w:color="auto" w:fill="auto"/>
            <w:vAlign w:val="center"/>
          </w:tcPr>
          <w:p w:rsidR="008967FA" w:rsidRPr="00F40118" w:rsidRDefault="008967FA" w:rsidP="00EF6CF8">
            <w:pPr>
              <w:adjustRightInd w:val="0"/>
              <w:snapToGrid w:val="0"/>
              <w:spacing w:line="360" w:lineRule="auto"/>
              <w:jc w:val="both"/>
              <w:rPr>
                <w:rFonts w:ascii="Book Antiqua" w:eastAsia="Times New Roman" w:hAnsi="Book Antiqua"/>
              </w:rPr>
            </w:pPr>
            <w:r w:rsidRPr="00F40118">
              <w:rPr>
                <w:rFonts w:ascii="Book Antiqua" w:eastAsia="Times New Roman" w:hAnsi="Book Antiqua"/>
                <w:color w:val="000000"/>
                <w:lang w:eastAsia="ru-RU"/>
              </w:rPr>
              <w:t xml:space="preserve">100.0 </w:t>
            </w:r>
            <w:r w:rsidRPr="00F40118">
              <w:rPr>
                <w:rFonts w:ascii="Book Antiqua" w:eastAsia="Times New Roman" w:hAnsi="Book Antiqua"/>
              </w:rPr>
              <w:t>(</w:t>
            </w:r>
            <w:r w:rsidRPr="00F40118">
              <w:rPr>
                <w:rFonts w:ascii="Book Antiqua" w:eastAsia="Times New Roman" w:hAnsi="Book Antiqua"/>
                <w:color w:val="000000"/>
                <w:lang w:eastAsia="ru-RU"/>
              </w:rPr>
              <w:t>94.0; 106.0</w:t>
            </w:r>
            <w:r w:rsidRPr="00F40118">
              <w:rPr>
                <w:rFonts w:ascii="Book Antiqua" w:eastAsia="Times New Roman" w:hAnsi="Book Antiqua"/>
              </w:rPr>
              <w:t>)</w:t>
            </w:r>
            <w:r w:rsidRPr="00F40118">
              <w:rPr>
                <w:rFonts w:ascii="Book Antiqua" w:eastAsia="Times New Roman" w:hAnsi="Book Antiqua"/>
                <w:vertAlign w:val="superscript"/>
              </w:rPr>
              <w:t>c</w:t>
            </w:r>
          </w:p>
        </w:tc>
      </w:tr>
      <w:tr w:rsidR="008967FA" w:rsidRPr="00F40118" w:rsidTr="00A762C7">
        <w:trPr>
          <w:trHeight w:val="264"/>
        </w:trPr>
        <w:tc>
          <w:tcPr>
            <w:tcW w:w="1527" w:type="pct"/>
            <w:shd w:val="clear" w:color="auto" w:fill="auto"/>
            <w:vAlign w:val="center"/>
          </w:tcPr>
          <w:p w:rsidR="008967FA" w:rsidRPr="00F40118" w:rsidRDefault="00105D3F" w:rsidP="00EF6CF8">
            <w:pPr>
              <w:pStyle w:val="a6"/>
              <w:adjustRightInd w:val="0"/>
              <w:snapToGrid w:val="0"/>
              <w:spacing w:line="360" w:lineRule="auto"/>
              <w:ind w:firstLineChars="50" w:firstLine="120"/>
              <w:jc w:val="both"/>
              <w:rPr>
                <w:rFonts w:ascii="Book Antiqua" w:eastAsia="Times New Roman" w:hAnsi="Book Antiqua" w:cs="Times New Roman"/>
                <w:szCs w:val="24"/>
              </w:rPr>
            </w:pPr>
            <w:r w:rsidRPr="00F40118">
              <w:rPr>
                <w:rFonts w:ascii="Book Antiqua" w:eastAsia="Times New Roman" w:hAnsi="Book Antiqua" w:cs="Times New Roman"/>
                <w:szCs w:val="24"/>
              </w:rPr>
              <w:t>Men</w:t>
            </w:r>
          </w:p>
        </w:tc>
        <w:tc>
          <w:tcPr>
            <w:tcW w:w="110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color w:val="000000"/>
                <w:szCs w:val="24"/>
                <w:lang w:eastAsia="ru-RU"/>
              </w:rPr>
            </w:pPr>
            <w:r w:rsidRPr="00F40118">
              <w:rPr>
                <w:rFonts w:ascii="Book Antiqua" w:eastAsia="Times New Roman" w:hAnsi="Book Antiqua" w:cs="Times New Roman"/>
                <w:szCs w:val="24"/>
              </w:rPr>
              <w:t>103.0 (98.0; 112.0)</w:t>
            </w:r>
          </w:p>
        </w:tc>
        <w:tc>
          <w:tcPr>
            <w:tcW w:w="1176"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color w:val="000000"/>
                <w:szCs w:val="24"/>
                <w:lang w:eastAsia="ru-RU"/>
              </w:rPr>
            </w:pPr>
            <w:r w:rsidRPr="00F40118">
              <w:rPr>
                <w:rFonts w:ascii="Book Antiqua" w:eastAsia="Times New Roman" w:hAnsi="Book Antiqua" w:cs="Times New Roman"/>
                <w:szCs w:val="24"/>
              </w:rPr>
              <w:t>102.0 (97.0; 110.0)</w:t>
            </w:r>
            <w:r w:rsidRPr="00F40118">
              <w:rPr>
                <w:rFonts w:ascii="Book Antiqua" w:eastAsia="Times New Roman" w:hAnsi="Book Antiqua" w:cs="Times New Roman"/>
                <w:szCs w:val="24"/>
                <w:vertAlign w:val="superscript"/>
              </w:rPr>
              <w:t>c</w:t>
            </w:r>
          </w:p>
        </w:tc>
        <w:tc>
          <w:tcPr>
            <w:tcW w:w="1191"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color w:val="000000"/>
                <w:szCs w:val="24"/>
                <w:lang w:eastAsia="ru-RU"/>
              </w:rPr>
            </w:pPr>
            <w:r w:rsidRPr="00F40118">
              <w:rPr>
                <w:rFonts w:ascii="Book Antiqua" w:eastAsia="Times New Roman" w:hAnsi="Book Antiqua" w:cs="Times New Roman"/>
                <w:szCs w:val="24"/>
              </w:rPr>
              <w:t>100 (97.0; 106.0)</w:t>
            </w:r>
            <w:r w:rsidRPr="00F40118">
              <w:rPr>
                <w:rFonts w:ascii="Book Antiqua" w:eastAsia="Times New Roman" w:hAnsi="Book Antiqua" w:cs="Times New Roman"/>
                <w:szCs w:val="24"/>
                <w:vertAlign w:val="superscript"/>
              </w:rPr>
              <w:t>c</w:t>
            </w:r>
          </w:p>
        </w:tc>
      </w:tr>
      <w:tr w:rsidR="008967FA" w:rsidRPr="00F40118" w:rsidTr="00A762C7">
        <w:trPr>
          <w:trHeight w:val="264"/>
        </w:trPr>
        <w:tc>
          <w:tcPr>
            <w:tcW w:w="1527" w:type="pct"/>
            <w:shd w:val="clear" w:color="auto" w:fill="auto"/>
            <w:vAlign w:val="center"/>
          </w:tcPr>
          <w:p w:rsidR="008967FA" w:rsidRPr="00F40118" w:rsidRDefault="00105D3F" w:rsidP="00EF6CF8">
            <w:pPr>
              <w:pStyle w:val="a6"/>
              <w:adjustRightInd w:val="0"/>
              <w:snapToGrid w:val="0"/>
              <w:spacing w:line="360" w:lineRule="auto"/>
              <w:ind w:firstLineChars="50" w:firstLine="120"/>
              <w:jc w:val="both"/>
              <w:rPr>
                <w:rFonts w:ascii="Book Antiqua" w:eastAsia="Times New Roman" w:hAnsi="Book Antiqua" w:cs="Times New Roman"/>
                <w:szCs w:val="24"/>
              </w:rPr>
            </w:pPr>
            <w:r w:rsidRPr="00F40118">
              <w:rPr>
                <w:rFonts w:ascii="Book Antiqua" w:eastAsia="Times New Roman" w:hAnsi="Book Antiqua" w:cs="Times New Roman"/>
                <w:szCs w:val="24"/>
              </w:rPr>
              <w:t>Women</w:t>
            </w:r>
          </w:p>
        </w:tc>
        <w:tc>
          <w:tcPr>
            <w:tcW w:w="110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color w:val="000000"/>
                <w:szCs w:val="24"/>
                <w:lang w:eastAsia="ru-RU"/>
              </w:rPr>
            </w:pPr>
            <w:r w:rsidRPr="00F40118">
              <w:rPr>
                <w:rFonts w:ascii="Book Antiqua" w:eastAsia="Times New Roman" w:hAnsi="Book Antiqua" w:cs="Times New Roman"/>
                <w:szCs w:val="24"/>
              </w:rPr>
              <w:t>99.0 (93.0; 106.0)</w:t>
            </w:r>
          </w:p>
        </w:tc>
        <w:tc>
          <w:tcPr>
            <w:tcW w:w="1176"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color w:val="000000"/>
                <w:szCs w:val="24"/>
                <w:lang w:eastAsia="ru-RU"/>
              </w:rPr>
            </w:pPr>
            <w:r w:rsidRPr="00F40118">
              <w:rPr>
                <w:rFonts w:ascii="Book Antiqua" w:eastAsia="Times New Roman" w:hAnsi="Book Antiqua" w:cs="Times New Roman"/>
                <w:szCs w:val="24"/>
              </w:rPr>
              <w:t>98.0 (92.0; 105.0)</w:t>
            </w:r>
            <w:r w:rsidRPr="00F40118">
              <w:rPr>
                <w:rFonts w:ascii="Book Antiqua" w:eastAsia="Times New Roman" w:hAnsi="Book Antiqua" w:cs="Times New Roman"/>
                <w:szCs w:val="24"/>
                <w:vertAlign w:val="superscript"/>
              </w:rPr>
              <w:t>c</w:t>
            </w:r>
          </w:p>
        </w:tc>
        <w:tc>
          <w:tcPr>
            <w:tcW w:w="1191"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color w:val="000000"/>
                <w:szCs w:val="24"/>
                <w:lang w:eastAsia="ru-RU"/>
              </w:rPr>
            </w:pPr>
            <w:r w:rsidRPr="00F40118">
              <w:rPr>
                <w:rFonts w:ascii="Book Antiqua" w:eastAsia="Times New Roman" w:hAnsi="Book Antiqua" w:cs="Times New Roman"/>
                <w:szCs w:val="24"/>
              </w:rPr>
              <w:t>97.0 (90.0; 102.0)</w:t>
            </w:r>
            <w:r w:rsidRPr="00F40118">
              <w:rPr>
                <w:rFonts w:ascii="Book Antiqua" w:eastAsia="Times New Roman" w:hAnsi="Book Antiqua" w:cs="Times New Roman"/>
                <w:szCs w:val="24"/>
                <w:vertAlign w:val="superscript"/>
              </w:rPr>
              <w:t>c</w:t>
            </w:r>
          </w:p>
        </w:tc>
      </w:tr>
      <w:tr w:rsidR="008967FA" w:rsidRPr="00F40118" w:rsidTr="00A762C7">
        <w:trPr>
          <w:trHeight w:val="264"/>
        </w:trPr>
        <w:tc>
          <w:tcPr>
            <w:tcW w:w="1527" w:type="pct"/>
            <w:shd w:val="clear" w:color="auto" w:fill="auto"/>
            <w:vAlign w:val="center"/>
          </w:tcPr>
          <w:p w:rsidR="008967FA" w:rsidRPr="00F40118" w:rsidRDefault="008967FA" w:rsidP="00EF6CF8">
            <w:pPr>
              <w:pStyle w:val="a6"/>
              <w:adjustRightInd w:val="0"/>
              <w:snapToGrid w:val="0"/>
              <w:spacing w:line="360" w:lineRule="auto"/>
              <w:ind w:firstLineChars="50" w:firstLine="120"/>
              <w:jc w:val="both"/>
              <w:rPr>
                <w:rFonts w:ascii="Book Antiqua" w:eastAsia="Times New Roman" w:hAnsi="Book Antiqua" w:cs="Times New Roman"/>
                <w:szCs w:val="24"/>
              </w:rPr>
            </w:pPr>
            <w:r w:rsidRPr="00F40118">
              <w:rPr>
                <w:rFonts w:ascii="Book Antiqua" w:hAnsi="Book Antiqua" w:cs="Times New Roman"/>
                <w:szCs w:val="24"/>
              </w:rPr>
              <w:t>∆</w:t>
            </w:r>
            <w:r w:rsidRPr="00F40118">
              <w:rPr>
                <w:rFonts w:ascii="Book Antiqua" w:eastAsia="Times New Roman" w:hAnsi="Book Antiqua" w:cs="Times New Roman"/>
                <w:szCs w:val="24"/>
              </w:rPr>
              <w:t xml:space="preserve"> total sample, </w:t>
            </w:r>
            <w:r w:rsidRPr="00F40118">
              <w:rPr>
                <w:rFonts w:ascii="Book Antiqua" w:eastAsia="Times New Roman" w:hAnsi="Book Antiqua" w:cs="Times New Roman"/>
                <w:szCs w:val="24"/>
                <w:lang w:val="ru-RU"/>
              </w:rPr>
              <w:t>с</w:t>
            </w:r>
            <w:r w:rsidRPr="00F40118">
              <w:rPr>
                <w:rFonts w:ascii="Book Antiqua" w:eastAsia="Times New Roman" w:hAnsi="Book Antiqua" w:cs="Times New Roman"/>
                <w:szCs w:val="24"/>
              </w:rPr>
              <w:t>m</w:t>
            </w:r>
          </w:p>
        </w:tc>
        <w:tc>
          <w:tcPr>
            <w:tcW w:w="110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p>
        </w:tc>
        <w:tc>
          <w:tcPr>
            <w:tcW w:w="1176"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w:t>
            </w:r>
            <w:r w:rsidRPr="00F40118">
              <w:rPr>
                <w:rFonts w:ascii="Book Antiqua" w:eastAsia="Times New Roman" w:hAnsi="Book Antiqua" w:cs="Times New Roman"/>
                <w:szCs w:val="24"/>
                <w:lang w:val="ru-RU"/>
              </w:rPr>
              <w:t>2</w:t>
            </w:r>
            <w:r w:rsidRPr="00F40118">
              <w:rPr>
                <w:rFonts w:ascii="Book Antiqua" w:eastAsia="Times New Roman" w:hAnsi="Book Antiqua" w:cs="Times New Roman"/>
                <w:szCs w:val="24"/>
              </w:rPr>
              <w:t>.</w:t>
            </w:r>
            <w:r w:rsidRPr="00F40118">
              <w:rPr>
                <w:rFonts w:ascii="Book Antiqua" w:eastAsia="Times New Roman" w:hAnsi="Book Antiqua" w:cs="Times New Roman"/>
                <w:szCs w:val="24"/>
                <w:lang w:val="ru-RU"/>
              </w:rPr>
              <w:t>0</w:t>
            </w:r>
            <w:r w:rsidRPr="00F40118">
              <w:rPr>
                <w:rFonts w:ascii="Book Antiqua" w:eastAsia="Times New Roman" w:hAnsi="Book Antiqua" w:cs="Times New Roman"/>
                <w:szCs w:val="24"/>
              </w:rPr>
              <w:t xml:space="preserve"> (-</w:t>
            </w:r>
            <w:r w:rsidRPr="00F40118">
              <w:rPr>
                <w:rFonts w:ascii="Book Antiqua" w:eastAsia="Times New Roman" w:hAnsi="Book Antiqua" w:cs="Times New Roman"/>
                <w:szCs w:val="24"/>
                <w:lang w:val="ru-RU"/>
              </w:rPr>
              <w:t>3</w:t>
            </w:r>
            <w:r w:rsidRPr="00F40118">
              <w:rPr>
                <w:rFonts w:ascii="Book Antiqua" w:eastAsia="Times New Roman" w:hAnsi="Book Antiqua" w:cs="Times New Roman"/>
                <w:szCs w:val="24"/>
              </w:rPr>
              <w:t>.</w:t>
            </w:r>
            <w:r w:rsidRPr="00F40118">
              <w:rPr>
                <w:rFonts w:ascii="Book Antiqua" w:eastAsia="Times New Roman" w:hAnsi="Book Antiqua" w:cs="Times New Roman"/>
                <w:szCs w:val="24"/>
                <w:lang w:val="ru-RU"/>
              </w:rPr>
              <w:t>0</w:t>
            </w:r>
            <w:r w:rsidRPr="00F40118">
              <w:rPr>
                <w:rFonts w:ascii="Book Antiqua" w:eastAsia="Times New Roman" w:hAnsi="Book Antiqua" w:cs="Times New Roman"/>
                <w:szCs w:val="24"/>
              </w:rPr>
              <w:t>; 0.0)</w:t>
            </w:r>
          </w:p>
        </w:tc>
        <w:tc>
          <w:tcPr>
            <w:tcW w:w="1191"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lang w:val="ru-RU"/>
              </w:rPr>
              <w:t>0</w:t>
            </w:r>
            <w:r w:rsidRPr="00F40118">
              <w:rPr>
                <w:rFonts w:ascii="Book Antiqua" w:eastAsia="Times New Roman" w:hAnsi="Book Antiqua" w:cs="Times New Roman"/>
                <w:szCs w:val="24"/>
              </w:rPr>
              <w:t>.</w:t>
            </w:r>
            <w:r w:rsidRPr="00F40118">
              <w:rPr>
                <w:rFonts w:ascii="Book Antiqua" w:eastAsia="Times New Roman" w:hAnsi="Book Antiqua" w:cs="Times New Roman"/>
                <w:szCs w:val="24"/>
                <w:lang w:val="ru-RU"/>
              </w:rPr>
              <w:t>0</w:t>
            </w:r>
            <w:r w:rsidRPr="00F40118">
              <w:rPr>
                <w:rFonts w:ascii="Book Antiqua" w:eastAsia="Times New Roman" w:hAnsi="Book Antiqua" w:cs="Times New Roman"/>
                <w:szCs w:val="24"/>
              </w:rPr>
              <w:t xml:space="preserve"> (-</w:t>
            </w:r>
            <w:r w:rsidRPr="00F40118">
              <w:rPr>
                <w:rFonts w:ascii="Book Antiqua" w:eastAsia="Times New Roman" w:hAnsi="Book Antiqua" w:cs="Times New Roman"/>
                <w:szCs w:val="24"/>
                <w:lang w:val="ru-RU"/>
              </w:rPr>
              <w:t>2</w:t>
            </w:r>
            <w:r w:rsidRPr="00F40118">
              <w:rPr>
                <w:rFonts w:ascii="Book Antiqua" w:eastAsia="Times New Roman" w:hAnsi="Book Antiqua" w:cs="Times New Roman"/>
                <w:szCs w:val="24"/>
              </w:rPr>
              <w:t>.</w:t>
            </w:r>
            <w:r w:rsidRPr="00F40118">
              <w:rPr>
                <w:rFonts w:ascii="Book Antiqua" w:eastAsia="Times New Roman" w:hAnsi="Book Antiqua" w:cs="Times New Roman"/>
                <w:szCs w:val="24"/>
                <w:lang w:val="ru-RU"/>
              </w:rPr>
              <w:t>0</w:t>
            </w:r>
            <w:r w:rsidRPr="00F40118">
              <w:rPr>
                <w:rFonts w:ascii="Book Antiqua" w:eastAsia="Times New Roman" w:hAnsi="Book Antiqua" w:cs="Times New Roman"/>
                <w:szCs w:val="24"/>
              </w:rPr>
              <w:t>; 0.0)</w:t>
            </w:r>
            <w:r w:rsidRPr="00F40118">
              <w:rPr>
                <w:rFonts w:ascii="Book Antiqua" w:eastAsia="Times New Roman" w:hAnsi="Book Antiqua" w:cs="Times New Roman"/>
                <w:szCs w:val="24"/>
                <w:vertAlign w:val="superscript"/>
              </w:rPr>
              <w:t>c</w:t>
            </w:r>
          </w:p>
        </w:tc>
      </w:tr>
      <w:tr w:rsidR="008967FA" w:rsidRPr="00F40118" w:rsidTr="00A762C7">
        <w:trPr>
          <w:trHeight w:val="438"/>
        </w:trPr>
        <w:tc>
          <w:tcPr>
            <w:tcW w:w="152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ALT (total sample), U/L</w:t>
            </w:r>
          </w:p>
        </w:tc>
        <w:tc>
          <w:tcPr>
            <w:tcW w:w="110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53.0 (34.0; 78.0)</w:t>
            </w:r>
          </w:p>
        </w:tc>
        <w:tc>
          <w:tcPr>
            <w:tcW w:w="1176"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lang w:val="ru-RU"/>
              </w:rPr>
              <w:t>35</w:t>
            </w:r>
            <w:r w:rsidRPr="00F40118">
              <w:rPr>
                <w:rFonts w:ascii="Book Antiqua" w:eastAsia="Times New Roman" w:hAnsi="Book Antiqua" w:cs="Times New Roman"/>
                <w:szCs w:val="24"/>
              </w:rPr>
              <w:t>.0 (</w:t>
            </w:r>
            <w:r w:rsidRPr="00F40118">
              <w:rPr>
                <w:rFonts w:ascii="Book Antiqua" w:eastAsia="Times New Roman" w:hAnsi="Book Antiqua" w:cs="Times New Roman"/>
                <w:szCs w:val="24"/>
                <w:lang w:val="ru-RU"/>
              </w:rPr>
              <w:t>26</w:t>
            </w:r>
            <w:r w:rsidRPr="00F40118">
              <w:rPr>
                <w:rFonts w:ascii="Book Antiqua" w:eastAsia="Times New Roman" w:hAnsi="Book Antiqua" w:cs="Times New Roman"/>
                <w:szCs w:val="24"/>
              </w:rPr>
              <w:t xml:space="preserve">.0; </w:t>
            </w:r>
            <w:r w:rsidRPr="00F40118">
              <w:rPr>
                <w:rFonts w:ascii="Book Antiqua" w:eastAsia="Times New Roman" w:hAnsi="Book Antiqua" w:cs="Times New Roman"/>
                <w:szCs w:val="24"/>
                <w:lang w:val="ru-RU"/>
              </w:rPr>
              <w:t>45</w:t>
            </w:r>
            <w:r w:rsidRPr="00F40118">
              <w:rPr>
                <w:rFonts w:ascii="Book Antiqua" w:eastAsia="Times New Roman" w:hAnsi="Book Antiqua" w:cs="Times New Roman"/>
                <w:szCs w:val="24"/>
              </w:rPr>
              <w:t>.0)</w:t>
            </w:r>
            <w:r w:rsidRPr="00F40118">
              <w:rPr>
                <w:rFonts w:ascii="Book Antiqua" w:eastAsia="Times New Roman" w:hAnsi="Book Antiqua" w:cs="Times New Roman"/>
                <w:szCs w:val="24"/>
                <w:vertAlign w:val="superscript"/>
              </w:rPr>
              <w:t>c</w:t>
            </w:r>
          </w:p>
        </w:tc>
        <w:tc>
          <w:tcPr>
            <w:tcW w:w="1191"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29.0 (24.0; 38.0)</w:t>
            </w:r>
            <w:r w:rsidRPr="00F40118">
              <w:rPr>
                <w:rFonts w:ascii="Book Antiqua" w:eastAsia="Times New Roman" w:hAnsi="Book Antiqua" w:cs="Times New Roman"/>
                <w:szCs w:val="24"/>
                <w:vertAlign w:val="superscript"/>
              </w:rPr>
              <w:t>c</w:t>
            </w:r>
          </w:p>
        </w:tc>
      </w:tr>
      <w:tr w:rsidR="008967FA" w:rsidRPr="00F40118" w:rsidTr="00A762C7">
        <w:trPr>
          <w:trHeight w:val="463"/>
        </w:trPr>
        <w:tc>
          <w:tcPr>
            <w:tcW w:w="1527" w:type="pct"/>
            <w:shd w:val="clear" w:color="auto" w:fill="auto"/>
            <w:vAlign w:val="center"/>
          </w:tcPr>
          <w:p w:rsidR="008967FA" w:rsidRPr="00F40118" w:rsidRDefault="00105D3F" w:rsidP="00EF6CF8">
            <w:pPr>
              <w:pStyle w:val="a6"/>
              <w:adjustRightInd w:val="0"/>
              <w:snapToGrid w:val="0"/>
              <w:spacing w:line="360" w:lineRule="auto"/>
              <w:ind w:firstLineChars="50" w:firstLine="120"/>
              <w:jc w:val="both"/>
              <w:rPr>
                <w:rFonts w:ascii="Book Antiqua" w:eastAsia="Times New Roman" w:hAnsi="Book Antiqua" w:cs="Times New Roman"/>
                <w:szCs w:val="24"/>
              </w:rPr>
            </w:pPr>
            <w:r w:rsidRPr="00F40118">
              <w:rPr>
                <w:rFonts w:ascii="Book Antiqua" w:eastAsia="Times New Roman" w:hAnsi="Book Antiqua" w:cs="Times New Roman"/>
                <w:szCs w:val="24"/>
              </w:rPr>
              <w:t>Men</w:t>
            </w:r>
          </w:p>
        </w:tc>
        <w:tc>
          <w:tcPr>
            <w:tcW w:w="110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color w:val="auto"/>
                <w:szCs w:val="24"/>
              </w:rPr>
            </w:pPr>
            <w:r w:rsidRPr="00F40118">
              <w:rPr>
                <w:rFonts w:ascii="Book Antiqua" w:eastAsia="Times New Roman" w:hAnsi="Book Antiqua" w:cs="Times New Roman"/>
                <w:color w:val="auto"/>
                <w:szCs w:val="24"/>
              </w:rPr>
              <w:t xml:space="preserve">55.8 </w:t>
            </w:r>
            <w:r w:rsidRPr="00F40118">
              <w:rPr>
                <w:rFonts w:ascii="Book Antiqua" w:eastAsia="Times New Roman" w:hAnsi="Book Antiqua" w:cs="Times New Roman"/>
                <w:szCs w:val="24"/>
              </w:rPr>
              <w:t>(</w:t>
            </w:r>
            <w:r w:rsidRPr="00F40118">
              <w:rPr>
                <w:rFonts w:ascii="Book Antiqua" w:eastAsia="Times New Roman" w:hAnsi="Book Antiqua" w:cs="Times New Roman"/>
                <w:color w:val="auto"/>
                <w:szCs w:val="24"/>
              </w:rPr>
              <w:t>37.0; 78.0</w:t>
            </w:r>
            <w:r w:rsidRPr="00F40118">
              <w:rPr>
                <w:rFonts w:ascii="Book Antiqua" w:eastAsia="Times New Roman" w:hAnsi="Book Antiqua" w:cs="Times New Roman"/>
                <w:szCs w:val="24"/>
              </w:rPr>
              <w:t>)</w:t>
            </w:r>
          </w:p>
        </w:tc>
        <w:tc>
          <w:tcPr>
            <w:tcW w:w="1176"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color w:val="auto"/>
                <w:szCs w:val="24"/>
                <w:lang w:val="ru-RU"/>
              </w:rPr>
            </w:pPr>
            <w:r w:rsidRPr="00F40118">
              <w:rPr>
                <w:rFonts w:ascii="Book Antiqua" w:eastAsia="Times New Roman" w:hAnsi="Book Antiqua" w:cs="Times New Roman"/>
                <w:color w:val="auto"/>
                <w:szCs w:val="24"/>
              </w:rPr>
              <w:t xml:space="preserve">38.0 </w:t>
            </w:r>
            <w:r w:rsidRPr="00F40118">
              <w:rPr>
                <w:rFonts w:ascii="Book Antiqua" w:eastAsia="Times New Roman" w:hAnsi="Book Antiqua" w:cs="Times New Roman"/>
                <w:szCs w:val="24"/>
              </w:rPr>
              <w:t>(</w:t>
            </w:r>
            <w:r w:rsidRPr="00F40118">
              <w:rPr>
                <w:rFonts w:ascii="Book Antiqua" w:eastAsia="Times New Roman" w:hAnsi="Book Antiqua" w:cs="Times New Roman"/>
                <w:color w:val="auto"/>
                <w:szCs w:val="24"/>
              </w:rPr>
              <w:t>29.0; 46.0</w:t>
            </w:r>
            <w:r w:rsidRPr="00F40118">
              <w:rPr>
                <w:rFonts w:ascii="Book Antiqua" w:eastAsia="Times New Roman" w:hAnsi="Book Antiqua" w:cs="Times New Roman"/>
                <w:szCs w:val="24"/>
              </w:rPr>
              <w:t>)</w:t>
            </w:r>
            <w:r w:rsidRPr="00F40118">
              <w:rPr>
                <w:rFonts w:ascii="Book Antiqua" w:eastAsia="Times New Roman" w:hAnsi="Book Antiqua" w:cs="Times New Roman"/>
                <w:color w:val="auto"/>
                <w:szCs w:val="24"/>
                <w:vertAlign w:val="superscript"/>
              </w:rPr>
              <w:t>c</w:t>
            </w:r>
          </w:p>
        </w:tc>
        <w:tc>
          <w:tcPr>
            <w:tcW w:w="1191"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color w:val="auto"/>
                <w:szCs w:val="24"/>
              </w:rPr>
            </w:pPr>
            <w:r w:rsidRPr="00F40118">
              <w:rPr>
                <w:rFonts w:ascii="Book Antiqua" w:eastAsia="Times New Roman" w:hAnsi="Book Antiqua" w:cs="Times New Roman"/>
                <w:color w:val="auto"/>
                <w:szCs w:val="24"/>
              </w:rPr>
              <w:t xml:space="preserve">32.0 </w:t>
            </w:r>
            <w:r w:rsidRPr="00F40118">
              <w:rPr>
                <w:rFonts w:ascii="Book Antiqua" w:eastAsia="Times New Roman" w:hAnsi="Book Antiqua" w:cs="Times New Roman"/>
                <w:szCs w:val="24"/>
              </w:rPr>
              <w:t>(</w:t>
            </w:r>
            <w:r w:rsidRPr="00F40118">
              <w:rPr>
                <w:rFonts w:ascii="Book Antiqua" w:eastAsia="Times New Roman" w:hAnsi="Book Antiqua" w:cs="Times New Roman"/>
                <w:color w:val="auto"/>
                <w:szCs w:val="24"/>
              </w:rPr>
              <w:t>25.9; 41.0</w:t>
            </w:r>
            <w:r w:rsidRPr="00F40118">
              <w:rPr>
                <w:rFonts w:ascii="Book Antiqua" w:eastAsia="Times New Roman" w:hAnsi="Book Antiqua" w:cs="Times New Roman"/>
                <w:szCs w:val="24"/>
              </w:rPr>
              <w:t>)</w:t>
            </w:r>
            <w:r w:rsidRPr="00F40118">
              <w:rPr>
                <w:rFonts w:ascii="Book Antiqua" w:eastAsia="Times New Roman" w:hAnsi="Book Antiqua" w:cs="Times New Roman"/>
                <w:color w:val="auto"/>
                <w:szCs w:val="24"/>
                <w:vertAlign w:val="superscript"/>
              </w:rPr>
              <w:t>c</w:t>
            </w:r>
          </w:p>
        </w:tc>
      </w:tr>
      <w:tr w:rsidR="008967FA" w:rsidRPr="00F40118" w:rsidTr="00A762C7">
        <w:trPr>
          <w:trHeight w:val="451"/>
        </w:trPr>
        <w:tc>
          <w:tcPr>
            <w:tcW w:w="1527" w:type="pct"/>
            <w:shd w:val="clear" w:color="auto" w:fill="auto"/>
            <w:vAlign w:val="center"/>
          </w:tcPr>
          <w:p w:rsidR="008967FA" w:rsidRPr="00F40118" w:rsidRDefault="00105D3F" w:rsidP="00EF6CF8">
            <w:pPr>
              <w:pStyle w:val="a6"/>
              <w:adjustRightInd w:val="0"/>
              <w:snapToGrid w:val="0"/>
              <w:spacing w:line="360" w:lineRule="auto"/>
              <w:ind w:firstLineChars="50" w:firstLine="120"/>
              <w:jc w:val="both"/>
              <w:rPr>
                <w:rFonts w:ascii="Book Antiqua" w:eastAsia="Times New Roman" w:hAnsi="Book Antiqua" w:cs="Times New Roman"/>
                <w:szCs w:val="24"/>
              </w:rPr>
            </w:pPr>
            <w:r w:rsidRPr="00F40118">
              <w:rPr>
                <w:rFonts w:ascii="Book Antiqua" w:eastAsia="Times New Roman" w:hAnsi="Book Antiqua" w:cs="Times New Roman"/>
                <w:szCs w:val="24"/>
              </w:rPr>
              <w:t>Women</w:t>
            </w:r>
          </w:p>
        </w:tc>
        <w:tc>
          <w:tcPr>
            <w:tcW w:w="110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color w:val="auto"/>
                <w:szCs w:val="24"/>
              </w:rPr>
            </w:pPr>
            <w:r w:rsidRPr="00F40118">
              <w:rPr>
                <w:rFonts w:ascii="Book Antiqua" w:eastAsia="Times New Roman" w:hAnsi="Book Antiqua" w:cs="Times New Roman"/>
                <w:color w:val="auto"/>
                <w:szCs w:val="24"/>
                <w:lang w:val="ru-RU" w:eastAsia="ru-RU"/>
              </w:rPr>
              <w:t>44</w:t>
            </w:r>
            <w:r w:rsidRPr="00F40118">
              <w:rPr>
                <w:rFonts w:ascii="Book Antiqua" w:eastAsia="Times New Roman" w:hAnsi="Book Antiqua" w:cs="Times New Roman"/>
                <w:color w:val="auto"/>
                <w:szCs w:val="24"/>
                <w:lang w:eastAsia="ru-RU"/>
              </w:rPr>
              <w:t>.0</w:t>
            </w:r>
            <w:r w:rsidRPr="00F40118">
              <w:rPr>
                <w:rFonts w:ascii="Book Antiqua" w:eastAsia="Times New Roman" w:hAnsi="Book Antiqua" w:cs="Times New Roman"/>
                <w:color w:val="auto"/>
                <w:szCs w:val="24"/>
                <w:lang w:val="ru-RU" w:eastAsia="ru-RU"/>
              </w:rPr>
              <w:t xml:space="preserve"> </w:t>
            </w:r>
            <w:r w:rsidRPr="00F40118">
              <w:rPr>
                <w:rFonts w:ascii="Book Antiqua" w:eastAsia="Times New Roman" w:hAnsi="Book Antiqua" w:cs="Times New Roman"/>
                <w:szCs w:val="24"/>
              </w:rPr>
              <w:t>(</w:t>
            </w:r>
            <w:r w:rsidRPr="00F40118">
              <w:rPr>
                <w:rFonts w:ascii="Book Antiqua" w:eastAsia="Times New Roman" w:hAnsi="Book Antiqua" w:cs="Times New Roman"/>
                <w:color w:val="auto"/>
                <w:szCs w:val="24"/>
                <w:lang w:val="ru-RU" w:eastAsia="ru-RU"/>
              </w:rPr>
              <w:t>3</w:t>
            </w:r>
            <w:r w:rsidRPr="00F40118">
              <w:rPr>
                <w:rFonts w:ascii="Book Antiqua" w:eastAsia="Times New Roman" w:hAnsi="Book Antiqua" w:cs="Times New Roman"/>
                <w:color w:val="auto"/>
                <w:szCs w:val="24"/>
                <w:lang w:eastAsia="ru-RU"/>
              </w:rPr>
              <w:t>0.8</w:t>
            </w:r>
            <w:r w:rsidRPr="00F40118">
              <w:rPr>
                <w:rFonts w:ascii="Book Antiqua" w:eastAsia="Times New Roman" w:hAnsi="Book Antiqua" w:cs="Times New Roman"/>
                <w:color w:val="auto"/>
                <w:szCs w:val="24"/>
                <w:lang w:val="ru-RU" w:eastAsia="ru-RU"/>
              </w:rPr>
              <w:t>; 69</w:t>
            </w:r>
            <w:r w:rsidRPr="00F40118">
              <w:rPr>
                <w:rFonts w:ascii="Book Antiqua" w:eastAsia="Times New Roman" w:hAnsi="Book Antiqua" w:cs="Times New Roman"/>
                <w:color w:val="auto"/>
                <w:szCs w:val="24"/>
                <w:lang w:eastAsia="ru-RU"/>
              </w:rPr>
              <w:t>.0</w:t>
            </w:r>
            <w:r w:rsidRPr="00F40118">
              <w:rPr>
                <w:rFonts w:ascii="Book Antiqua" w:eastAsia="Times New Roman" w:hAnsi="Book Antiqua" w:cs="Times New Roman"/>
                <w:szCs w:val="24"/>
              </w:rPr>
              <w:t>)</w:t>
            </w:r>
          </w:p>
        </w:tc>
        <w:tc>
          <w:tcPr>
            <w:tcW w:w="1176"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color w:val="auto"/>
                <w:szCs w:val="24"/>
                <w:lang w:val="ru-RU"/>
              </w:rPr>
            </w:pPr>
            <w:r w:rsidRPr="00F40118">
              <w:rPr>
                <w:rFonts w:ascii="Book Antiqua" w:eastAsia="Times New Roman" w:hAnsi="Book Antiqua" w:cs="Times New Roman"/>
                <w:color w:val="auto"/>
                <w:szCs w:val="24"/>
                <w:lang w:eastAsia="ru-RU"/>
              </w:rPr>
              <w:t xml:space="preserve">28.5 </w:t>
            </w:r>
            <w:r w:rsidRPr="00F40118">
              <w:rPr>
                <w:rFonts w:ascii="Book Antiqua" w:eastAsia="Times New Roman" w:hAnsi="Book Antiqua" w:cs="Times New Roman"/>
                <w:szCs w:val="24"/>
              </w:rPr>
              <w:t>(</w:t>
            </w:r>
            <w:r w:rsidRPr="00F40118">
              <w:rPr>
                <w:rFonts w:ascii="Book Antiqua" w:eastAsia="Times New Roman" w:hAnsi="Book Antiqua" w:cs="Times New Roman"/>
                <w:color w:val="auto"/>
                <w:szCs w:val="24"/>
                <w:lang w:eastAsia="ru-RU"/>
              </w:rPr>
              <w:t>21.6</w:t>
            </w:r>
            <w:r w:rsidRPr="00F40118">
              <w:rPr>
                <w:rFonts w:ascii="Book Antiqua" w:eastAsia="Times New Roman" w:hAnsi="Book Antiqua" w:cs="Times New Roman"/>
                <w:color w:val="auto"/>
                <w:szCs w:val="24"/>
                <w:lang w:val="ru-RU" w:eastAsia="ru-RU"/>
              </w:rPr>
              <w:t xml:space="preserve">; </w:t>
            </w:r>
            <w:r w:rsidRPr="00F40118">
              <w:rPr>
                <w:rFonts w:ascii="Book Antiqua" w:eastAsia="Times New Roman" w:hAnsi="Book Antiqua" w:cs="Times New Roman"/>
                <w:color w:val="auto"/>
                <w:szCs w:val="24"/>
                <w:lang w:eastAsia="ru-RU"/>
              </w:rPr>
              <w:t>38.0</w:t>
            </w:r>
            <w:r w:rsidRPr="00F40118">
              <w:rPr>
                <w:rFonts w:ascii="Book Antiqua" w:eastAsia="Times New Roman" w:hAnsi="Book Antiqua" w:cs="Times New Roman"/>
                <w:szCs w:val="24"/>
              </w:rPr>
              <w:t>)</w:t>
            </w:r>
            <w:r w:rsidRPr="00F40118">
              <w:rPr>
                <w:rFonts w:ascii="Book Antiqua" w:eastAsia="Times New Roman" w:hAnsi="Book Antiqua" w:cs="Times New Roman"/>
                <w:color w:val="auto"/>
                <w:szCs w:val="24"/>
                <w:vertAlign w:val="superscript"/>
              </w:rPr>
              <w:t>c</w:t>
            </w:r>
          </w:p>
        </w:tc>
        <w:tc>
          <w:tcPr>
            <w:tcW w:w="1191"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color w:val="auto"/>
                <w:szCs w:val="24"/>
              </w:rPr>
            </w:pPr>
            <w:r w:rsidRPr="00F40118">
              <w:rPr>
                <w:rFonts w:ascii="Book Antiqua" w:eastAsia="Times New Roman" w:hAnsi="Book Antiqua" w:cs="Times New Roman"/>
                <w:color w:val="auto"/>
                <w:szCs w:val="24"/>
                <w:lang w:val="ru-RU" w:eastAsia="ru-RU"/>
              </w:rPr>
              <w:t>26</w:t>
            </w:r>
            <w:r w:rsidRPr="00F40118">
              <w:rPr>
                <w:rFonts w:ascii="Book Antiqua" w:eastAsia="Times New Roman" w:hAnsi="Book Antiqua" w:cs="Times New Roman"/>
                <w:color w:val="auto"/>
                <w:szCs w:val="24"/>
                <w:lang w:eastAsia="ru-RU"/>
              </w:rPr>
              <w:t>.0</w:t>
            </w:r>
            <w:r w:rsidRPr="00F40118">
              <w:rPr>
                <w:rFonts w:ascii="Book Antiqua" w:eastAsia="Times New Roman" w:hAnsi="Book Antiqua" w:cs="Times New Roman"/>
                <w:color w:val="auto"/>
                <w:szCs w:val="24"/>
                <w:lang w:val="ru-RU" w:eastAsia="ru-RU"/>
              </w:rPr>
              <w:t xml:space="preserve"> </w:t>
            </w:r>
            <w:r w:rsidRPr="00F40118">
              <w:rPr>
                <w:rFonts w:ascii="Book Antiqua" w:eastAsia="Times New Roman" w:hAnsi="Book Antiqua" w:cs="Times New Roman"/>
                <w:szCs w:val="24"/>
              </w:rPr>
              <w:t>(</w:t>
            </w:r>
            <w:r w:rsidRPr="00F40118">
              <w:rPr>
                <w:rFonts w:ascii="Book Antiqua" w:eastAsia="Times New Roman" w:hAnsi="Book Antiqua" w:cs="Times New Roman"/>
                <w:color w:val="auto"/>
                <w:szCs w:val="24"/>
                <w:lang w:val="ru-RU" w:eastAsia="ru-RU"/>
              </w:rPr>
              <w:t>1</w:t>
            </w:r>
            <w:r w:rsidRPr="00F40118">
              <w:rPr>
                <w:rFonts w:ascii="Book Antiqua" w:eastAsia="Times New Roman" w:hAnsi="Book Antiqua" w:cs="Times New Roman"/>
                <w:color w:val="auto"/>
                <w:szCs w:val="24"/>
                <w:lang w:eastAsia="ru-RU"/>
              </w:rPr>
              <w:t>6.5</w:t>
            </w:r>
            <w:r w:rsidRPr="00F40118">
              <w:rPr>
                <w:rFonts w:ascii="Book Antiqua" w:eastAsia="Times New Roman" w:hAnsi="Book Antiqua" w:cs="Times New Roman"/>
                <w:color w:val="auto"/>
                <w:szCs w:val="24"/>
                <w:lang w:val="ru-RU" w:eastAsia="ru-RU"/>
              </w:rPr>
              <w:t>; 33</w:t>
            </w:r>
            <w:r w:rsidRPr="00F40118">
              <w:rPr>
                <w:rFonts w:ascii="Book Antiqua" w:eastAsia="Times New Roman" w:hAnsi="Book Antiqua" w:cs="Times New Roman"/>
                <w:color w:val="auto"/>
                <w:szCs w:val="24"/>
                <w:lang w:eastAsia="ru-RU"/>
              </w:rPr>
              <w:t>.2</w:t>
            </w:r>
            <w:r w:rsidRPr="00F40118">
              <w:rPr>
                <w:rFonts w:ascii="Book Antiqua" w:eastAsia="Times New Roman" w:hAnsi="Book Antiqua" w:cs="Times New Roman"/>
                <w:szCs w:val="24"/>
              </w:rPr>
              <w:t>)</w:t>
            </w:r>
            <w:r w:rsidRPr="00F40118">
              <w:rPr>
                <w:rFonts w:ascii="Book Antiqua" w:eastAsia="Times New Roman" w:hAnsi="Book Antiqua" w:cs="Times New Roman"/>
                <w:color w:val="auto"/>
                <w:szCs w:val="24"/>
                <w:vertAlign w:val="superscript"/>
              </w:rPr>
              <w:t>c</w:t>
            </w:r>
          </w:p>
        </w:tc>
      </w:tr>
      <w:tr w:rsidR="008967FA" w:rsidRPr="00F40118" w:rsidTr="00A762C7">
        <w:trPr>
          <w:trHeight w:val="438"/>
        </w:trPr>
        <w:tc>
          <w:tcPr>
            <w:tcW w:w="1527" w:type="pct"/>
            <w:shd w:val="clear" w:color="auto" w:fill="auto"/>
            <w:vAlign w:val="center"/>
          </w:tcPr>
          <w:p w:rsidR="008967FA" w:rsidRPr="00F40118" w:rsidRDefault="008967FA" w:rsidP="00EF6CF8">
            <w:pPr>
              <w:pStyle w:val="a6"/>
              <w:adjustRightInd w:val="0"/>
              <w:snapToGrid w:val="0"/>
              <w:spacing w:line="360" w:lineRule="auto"/>
              <w:ind w:firstLineChars="50" w:firstLine="120"/>
              <w:jc w:val="both"/>
              <w:rPr>
                <w:rFonts w:ascii="Book Antiqua" w:eastAsia="Times New Roman" w:hAnsi="Book Antiqua" w:cs="Times New Roman"/>
                <w:szCs w:val="24"/>
              </w:rPr>
            </w:pPr>
            <w:r w:rsidRPr="00F40118">
              <w:rPr>
                <w:rFonts w:ascii="Book Antiqua" w:hAnsi="Book Antiqua" w:cs="Times New Roman"/>
                <w:szCs w:val="24"/>
              </w:rPr>
              <w:t>∆</w:t>
            </w:r>
            <w:r w:rsidRPr="00F40118">
              <w:rPr>
                <w:rFonts w:ascii="Book Antiqua" w:eastAsia="Times New Roman" w:hAnsi="Book Antiqua" w:cs="Times New Roman"/>
                <w:szCs w:val="24"/>
              </w:rPr>
              <w:t xml:space="preserve"> total sample, U/L</w:t>
            </w:r>
          </w:p>
        </w:tc>
        <w:tc>
          <w:tcPr>
            <w:tcW w:w="110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color w:val="auto"/>
                <w:szCs w:val="24"/>
                <w:lang w:val="ru-RU" w:eastAsia="ru-RU"/>
              </w:rPr>
            </w:pPr>
          </w:p>
        </w:tc>
        <w:tc>
          <w:tcPr>
            <w:tcW w:w="1176"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color w:val="auto"/>
                <w:szCs w:val="24"/>
                <w:lang w:eastAsia="ru-RU"/>
              </w:rPr>
            </w:pPr>
            <w:r w:rsidRPr="00F40118">
              <w:rPr>
                <w:rFonts w:ascii="Book Antiqua" w:eastAsia="Times New Roman" w:hAnsi="Book Antiqua" w:cs="Times New Roman"/>
                <w:color w:val="auto"/>
                <w:szCs w:val="24"/>
                <w:lang w:eastAsia="ru-RU"/>
              </w:rPr>
              <w:t>-14.1</w:t>
            </w:r>
            <w:r w:rsidRPr="00F40118">
              <w:rPr>
                <w:rFonts w:ascii="Book Antiqua" w:eastAsia="Times New Roman" w:hAnsi="Book Antiqua" w:cs="Times New Roman"/>
                <w:color w:val="auto"/>
                <w:szCs w:val="24"/>
                <w:lang w:val="ru-RU" w:eastAsia="ru-RU"/>
              </w:rPr>
              <w:t xml:space="preserve"> </w:t>
            </w:r>
            <w:r w:rsidRPr="00F40118">
              <w:rPr>
                <w:rFonts w:ascii="Book Antiqua" w:eastAsia="Times New Roman" w:hAnsi="Book Antiqua" w:cs="Times New Roman"/>
                <w:szCs w:val="24"/>
              </w:rPr>
              <w:t>(</w:t>
            </w:r>
            <w:r w:rsidRPr="00F40118">
              <w:rPr>
                <w:rFonts w:ascii="Book Antiqua" w:eastAsia="Times New Roman" w:hAnsi="Book Antiqua" w:cs="Times New Roman"/>
                <w:color w:val="auto"/>
                <w:szCs w:val="24"/>
                <w:lang w:eastAsia="ru-RU"/>
              </w:rPr>
              <w:t>-31.0</w:t>
            </w:r>
            <w:r w:rsidRPr="00F40118">
              <w:rPr>
                <w:rFonts w:ascii="Book Antiqua" w:eastAsia="Times New Roman" w:hAnsi="Book Antiqua" w:cs="Times New Roman"/>
                <w:color w:val="auto"/>
                <w:szCs w:val="24"/>
                <w:lang w:val="ru-RU" w:eastAsia="ru-RU"/>
              </w:rPr>
              <w:t xml:space="preserve">; </w:t>
            </w:r>
            <w:r w:rsidRPr="00F40118">
              <w:rPr>
                <w:rFonts w:ascii="Book Antiqua" w:eastAsia="Times New Roman" w:hAnsi="Book Antiqua" w:cs="Times New Roman"/>
                <w:color w:val="auto"/>
                <w:szCs w:val="24"/>
                <w:lang w:eastAsia="ru-RU"/>
              </w:rPr>
              <w:t>-5.3</w:t>
            </w:r>
            <w:r w:rsidRPr="00F40118">
              <w:rPr>
                <w:rFonts w:ascii="Book Antiqua" w:eastAsia="Times New Roman" w:hAnsi="Book Antiqua" w:cs="Times New Roman"/>
                <w:szCs w:val="24"/>
              </w:rPr>
              <w:t>)</w:t>
            </w:r>
          </w:p>
        </w:tc>
        <w:tc>
          <w:tcPr>
            <w:tcW w:w="1191"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color w:val="auto"/>
                <w:szCs w:val="24"/>
                <w:lang w:val="ru-RU" w:eastAsia="ru-RU"/>
              </w:rPr>
            </w:pPr>
            <w:r w:rsidRPr="00F40118">
              <w:rPr>
                <w:rFonts w:ascii="Book Antiqua" w:eastAsia="Times New Roman" w:hAnsi="Book Antiqua" w:cs="Times New Roman"/>
                <w:color w:val="auto"/>
                <w:szCs w:val="24"/>
                <w:lang w:eastAsia="ru-RU"/>
              </w:rPr>
              <w:t>-6.5</w:t>
            </w:r>
            <w:r w:rsidRPr="00F40118">
              <w:rPr>
                <w:rFonts w:ascii="Book Antiqua" w:eastAsia="Times New Roman" w:hAnsi="Book Antiqua" w:cs="Times New Roman"/>
                <w:color w:val="auto"/>
                <w:szCs w:val="24"/>
                <w:lang w:val="ru-RU" w:eastAsia="ru-RU"/>
              </w:rPr>
              <w:t xml:space="preserve"> </w:t>
            </w:r>
            <w:r w:rsidRPr="00F40118">
              <w:rPr>
                <w:rFonts w:ascii="Book Antiqua" w:eastAsia="Times New Roman" w:hAnsi="Book Antiqua" w:cs="Times New Roman"/>
                <w:szCs w:val="24"/>
              </w:rPr>
              <w:t>(</w:t>
            </w:r>
            <w:r w:rsidRPr="00F40118">
              <w:rPr>
                <w:rFonts w:ascii="Book Antiqua" w:eastAsia="Times New Roman" w:hAnsi="Book Antiqua" w:cs="Times New Roman"/>
                <w:color w:val="auto"/>
                <w:szCs w:val="24"/>
                <w:lang w:eastAsia="ru-RU"/>
              </w:rPr>
              <w:t>-14.0</w:t>
            </w:r>
            <w:r w:rsidRPr="00F40118">
              <w:rPr>
                <w:rFonts w:ascii="Book Antiqua" w:eastAsia="Times New Roman" w:hAnsi="Book Antiqua" w:cs="Times New Roman"/>
                <w:color w:val="auto"/>
                <w:szCs w:val="24"/>
                <w:lang w:val="ru-RU" w:eastAsia="ru-RU"/>
              </w:rPr>
              <w:t xml:space="preserve">; </w:t>
            </w:r>
            <w:r w:rsidRPr="00F40118">
              <w:rPr>
                <w:rFonts w:ascii="Book Antiqua" w:eastAsia="Times New Roman" w:hAnsi="Book Antiqua" w:cs="Times New Roman"/>
                <w:color w:val="auto"/>
                <w:szCs w:val="24"/>
                <w:lang w:eastAsia="ru-RU"/>
              </w:rPr>
              <w:t>0.1</w:t>
            </w:r>
            <w:r w:rsidRPr="00F40118">
              <w:rPr>
                <w:rFonts w:ascii="Book Antiqua" w:eastAsia="Times New Roman" w:hAnsi="Book Antiqua" w:cs="Times New Roman"/>
                <w:szCs w:val="24"/>
              </w:rPr>
              <w:t>)</w:t>
            </w:r>
            <w:r w:rsidRPr="00F40118">
              <w:rPr>
                <w:rFonts w:ascii="Book Antiqua" w:eastAsia="Times New Roman" w:hAnsi="Book Antiqua" w:cs="Times New Roman"/>
                <w:color w:val="auto"/>
                <w:szCs w:val="24"/>
                <w:vertAlign w:val="superscript"/>
              </w:rPr>
              <w:t>c</w:t>
            </w:r>
          </w:p>
        </w:tc>
      </w:tr>
      <w:tr w:rsidR="008967FA" w:rsidRPr="00F40118" w:rsidTr="00A762C7">
        <w:trPr>
          <w:trHeight w:val="902"/>
        </w:trPr>
        <w:tc>
          <w:tcPr>
            <w:tcW w:w="152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ALT (total sample) 10-19.9/20-39.9/≥ 40 U/L</w:t>
            </w:r>
          </w:p>
        </w:tc>
        <w:tc>
          <w:tcPr>
            <w:tcW w:w="110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5 (2.</w:t>
            </w:r>
            <w:r w:rsidRPr="00F40118">
              <w:rPr>
                <w:rFonts w:ascii="Book Antiqua" w:eastAsia="Times New Roman" w:hAnsi="Book Antiqua" w:cs="Times New Roman"/>
                <w:szCs w:val="24"/>
                <w:lang w:val="ru-RU"/>
              </w:rPr>
              <w:t>8</w:t>
            </w:r>
            <w:r w:rsidR="00A56784" w:rsidRPr="00F40118">
              <w:rPr>
                <w:rFonts w:ascii="Book Antiqua" w:eastAsia="Times New Roman" w:hAnsi="Book Antiqua" w:cs="Times New Roman"/>
                <w:szCs w:val="24"/>
              </w:rPr>
              <w:t>)</w:t>
            </w:r>
            <w:r w:rsidRPr="00F40118">
              <w:rPr>
                <w:rFonts w:ascii="Book Antiqua" w:eastAsia="Times New Roman" w:hAnsi="Book Antiqua" w:cs="Times New Roman"/>
                <w:szCs w:val="24"/>
              </w:rPr>
              <w:t>/53 (30.5)/</w:t>
            </w:r>
            <w:r w:rsidRPr="00F40118">
              <w:rPr>
                <w:rFonts w:ascii="Book Antiqua" w:eastAsia="Times New Roman" w:hAnsi="Book Antiqua" w:cs="Times New Roman"/>
                <w:szCs w:val="24"/>
                <w:lang w:val="ru-RU"/>
              </w:rPr>
              <w:t>116</w:t>
            </w:r>
            <w:r w:rsidRPr="00F40118">
              <w:rPr>
                <w:rFonts w:ascii="Book Antiqua" w:eastAsia="Times New Roman" w:hAnsi="Book Antiqua" w:cs="Times New Roman"/>
                <w:szCs w:val="24"/>
              </w:rPr>
              <w:t xml:space="preserve"> (</w:t>
            </w:r>
            <w:r w:rsidRPr="00F40118">
              <w:rPr>
                <w:rFonts w:ascii="Book Antiqua" w:eastAsia="Times New Roman" w:hAnsi="Book Antiqua" w:cs="Times New Roman"/>
                <w:szCs w:val="24"/>
                <w:lang w:val="ru-RU"/>
              </w:rPr>
              <w:t>66</w:t>
            </w:r>
            <w:r w:rsidRPr="00F40118">
              <w:rPr>
                <w:rFonts w:ascii="Book Antiqua" w:eastAsia="Times New Roman" w:hAnsi="Book Antiqua" w:cs="Times New Roman"/>
                <w:szCs w:val="24"/>
              </w:rPr>
              <w:t>.</w:t>
            </w:r>
            <w:r w:rsidRPr="00F40118">
              <w:rPr>
                <w:rFonts w:ascii="Book Antiqua" w:eastAsia="Times New Roman" w:hAnsi="Book Antiqua" w:cs="Times New Roman"/>
                <w:szCs w:val="24"/>
                <w:lang w:val="ru-RU"/>
              </w:rPr>
              <w:t>7</w:t>
            </w:r>
            <w:r w:rsidR="009A27D6" w:rsidRPr="00F40118">
              <w:rPr>
                <w:rFonts w:ascii="Book Antiqua" w:eastAsia="Times New Roman" w:hAnsi="Book Antiqua" w:cs="Times New Roman"/>
                <w:szCs w:val="24"/>
              </w:rPr>
              <w:t>)</w:t>
            </w:r>
          </w:p>
        </w:tc>
        <w:tc>
          <w:tcPr>
            <w:tcW w:w="1176"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lang w:val="ru-RU"/>
              </w:rPr>
              <w:t xml:space="preserve">15 </w:t>
            </w:r>
            <w:r w:rsidRPr="00F40118">
              <w:rPr>
                <w:rFonts w:ascii="Book Antiqua" w:eastAsia="Times New Roman" w:hAnsi="Book Antiqua" w:cs="Times New Roman"/>
                <w:szCs w:val="24"/>
              </w:rPr>
              <w:t>(</w:t>
            </w:r>
            <w:r w:rsidRPr="00F40118">
              <w:rPr>
                <w:rFonts w:ascii="Book Antiqua" w:eastAsia="Times New Roman" w:hAnsi="Book Antiqua" w:cs="Times New Roman"/>
                <w:szCs w:val="24"/>
                <w:lang w:val="ru-RU"/>
              </w:rPr>
              <w:t>8.6</w:t>
            </w:r>
            <w:r w:rsidRPr="00F40118">
              <w:rPr>
                <w:rFonts w:ascii="Book Antiqua" w:eastAsia="Times New Roman" w:hAnsi="Book Antiqua" w:cs="Times New Roman"/>
                <w:szCs w:val="24"/>
              </w:rPr>
              <w:t>)/</w:t>
            </w:r>
            <w:r w:rsidRPr="00F40118">
              <w:rPr>
                <w:rFonts w:ascii="Book Antiqua" w:eastAsia="Times New Roman" w:hAnsi="Book Antiqua" w:cs="Times New Roman"/>
                <w:szCs w:val="24"/>
                <w:lang w:val="ru-RU"/>
              </w:rPr>
              <w:t xml:space="preserve">95 </w:t>
            </w:r>
            <w:r w:rsidRPr="00F40118">
              <w:rPr>
                <w:rFonts w:ascii="Book Antiqua" w:eastAsia="Times New Roman" w:hAnsi="Book Antiqua" w:cs="Times New Roman"/>
                <w:szCs w:val="24"/>
              </w:rPr>
              <w:t>(</w:t>
            </w:r>
            <w:r w:rsidRPr="00F40118">
              <w:rPr>
                <w:rFonts w:ascii="Book Antiqua" w:eastAsia="Times New Roman" w:hAnsi="Book Antiqua" w:cs="Times New Roman"/>
                <w:szCs w:val="24"/>
                <w:lang w:val="ru-RU"/>
              </w:rPr>
              <w:t>54.6</w:t>
            </w:r>
            <w:r w:rsidRPr="00F40118">
              <w:rPr>
                <w:rFonts w:ascii="Book Antiqua" w:eastAsia="Times New Roman" w:hAnsi="Book Antiqua" w:cs="Times New Roman"/>
                <w:szCs w:val="24"/>
              </w:rPr>
              <w:t>)/</w:t>
            </w:r>
            <w:r w:rsidRPr="00F40118">
              <w:rPr>
                <w:rFonts w:ascii="Book Antiqua" w:eastAsia="Times New Roman" w:hAnsi="Book Antiqua" w:cs="Times New Roman"/>
                <w:szCs w:val="24"/>
                <w:lang w:val="ru-RU"/>
              </w:rPr>
              <w:t>64</w:t>
            </w:r>
            <w:r w:rsidRPr="00F40118">
              <w:rPr>
                <w:rFonts w:ascii="Book Antiqua" w:eastAsia="Times New Roman" w:hAnsi="Book Antiqua" w:cs="Times New Roman"/>
                <w:szCs w:val="24"/>
              </w:rPr>
              <w:t>(</w:t>
            </w:r>
            <w:r w:rsidRPr="00F40118">
              <w:rPr>
                <w:rFonts w:ascii="Book Antiqua" w:eastAsia="Times New Roman" w:hAnsi="Book Antiqua" w:cs="Times New Roman"/>
                <w:szCs w:val="24"/>
                <w:lang w:val="ru-RU"/>
              </w:rPr>
              <w:t>36.8</w:t>
            </w:r>
            <w:r w:rsidRPr="00F40118">
              <w:rPr>
                <w:rFonts w:ascii="Book Antiqua" w:eastAsia="Times New Roman" w:hAnsi="Book Antiqua" w:cs="Times New Roman"/>
                <w:szCs w:val="24"/>
              </w:rPr>
              <w:t>)</w:t>
            </w:r>
            <w:r w:rsidRPr="00F40118">
              <w:rPr>
                <w:rFonts w:ascii="Book Antiqua" w:eastAsia="Times New Roman" w:hAnsi="Book Antiqua" w:cs="Times New Roman"/>
                <w:szCs w:val="24"/>
                <w:vertAlign w:val="superscript"/>
              </w:rPr>
              <w:t>b</w:t>
            </w:r>
          </w:p>
        </w:tc>
        <w:tc>
          <w:tcPr>
            <w:tcW w:w="1191"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26 (14.9)/108 (62.1)/40 (23.0)</w:t>
            </w:r>
            <w:r w:rsidRPr="00F40118">
              <w:rPr>
                <w:rFonts w:ascii="Book Antiqua" w:eastAsia="Times New Roman" w:hAnsi="Book Antiqua" w:cs="Times New Roman"/>
                <w:szCs w:val="24"/>
                <w:vertAlign w:val="superscript"/>
              </w:rPr>
              <w:t>c</w:t>
            </w:r>
          </w:p>
        </w:tc>
      </w:tr>
      <w:tr w:rsidR="008967FA" w:rsidRPr="00F40118" w:rsidTr="00A762C7">
        <w:trPr>
          <w:trHeight w:val="190"/>
        </w:trPr>
        <w:tc>
          <w:tcPr>
            <w:tcW w:w="1527" w:type="pct"/>
            <w:shd w:val="clear" w:color="auto" w:fill="auto"/>
            <w:vAlign w:val="center"/>
          </w:tcPr>
          <w:p w:rsidR="008967FA" w:rsidRPr="00F40118" w:rsidRDefault="00105D3F" w:rsidP="00EF6CF8">
            <w:pPr>
              <w:pStyle w:val="a6"/>
              <w:adjustRightInd w:val="0"/>
              <w:snapToGrid w:val="0"/>
              <w:spacing w:line="360" w:lineRule="auto"/>
              <w:ind w:firstLineChars="50" w:firstLine="120"/>
              <w:jc w:val="both"/>
              <w:rPr>
                <w:rFonts w:ascii="Book Antiqua" w:eastAsia="Times New Roman" w:hAnsi="Book Antiqua" w:cs="Times New Roman"/>
                <w:szCs w:val="24"/>
              </w:rPr>
            </w:pPr>
            <w:r w:rsidRPr="00F40118">
              <w:rPr>
                <w:rFonts w:ascii="Book Antiqua" w:eastAsia="Times New Roman" w:hAnsi="Book Antiqua" w:cs="Times New Roman"/>
                <w:szCs w:val="24"/>
              </w:rPr>
              <w:t>Men</w:t>
            </w:r>
          </w:p>
        </w:tc>
        <w:tc>
          <w:tcPr>
            <w:tcW w:w="110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1 (0.8)/35 (28.9)/85 (70.2)</w:t>
            </w:r>
          </w:p>
        </w:tc>
        <w:tc>
          <w:tcPr>
            <w:tcW w:w="1176" w:type="pct"/>
            <w:shd w:val="clear" w:color="auto" w:fill="auto"/>
            <w:vAlign w:val="center"/>
          </w:tcPr>
          <w:p w:rsidR="008967FA" w:rsidRPr="00F40118" w:rsidRDefault="00A762C7" w:rsidP="00EF6CF8">
            <w:pPr>
              <w:pStyle w:val="a6"/>
              <w:adjustRightInd w:val="0"/>
              <w:snapToGrid w:val="0"/>
              <w:spacing w:line="360" w:lineRule="auto"/>
              <w:jc w:val="both"/>
              <w:rPr>
                <w:rFonts w:ascii="Book Antiqua" w:eastAsia="Times New Roman" w:hAnsi="Book Antiqua" w:cs="Times New Roman"/>
                <w:szCs w:val="24"/>
              </w:rPr>
            </w:pPr>
            <w:r>
              <w:rPr>
                <w:rFonts w:ascii="Book Antiqua" w:eastAsia="Times New Roman" w:hAnsi="Book Antiqua" w:cs="Times New Roman"/>
                <w:szCs w:val="24"/>
              </w:rPr>
              <w:t>5 (4.1)/64 (52.9)/</w:t>
            </w:r>
            <w:r w:rsidR="008967FA" w:rsidRPr="00F40118">
              <w:rPr>
                <w:rFonts w:ascii="Book Antiqua" w:eastAsia="Times New Roman" w:hAnsi="Book Antiqua" w:cs="Times New Roman"/>
                <w:szCs w:val="24"/>
              </w:rPr>
              <w:t>52 (43)</w:t>
            </w:r>
            <w:r w:rsidR="008967FA" w:rsidRPr="00F40118">
              <w:rPr>
                <w:rFonts w:ascii="Book Antiqua" w:eastAsia="Times New Roman" w:hAnsi="Book Antiqua" w:cs="Times New Roman"/>
                <w:szCs w:val="24"/>
                <w:vertAlign w:val="superscript"/>
              </w:rPr>
              <w:t>c</w:t>
            </w:r>
          </w:p>
        </w:tc>
        <w:tc>
          <w:tcPr>
            <w:tcW w:w="1191" w:type="pct"/>
            <w:shd w:val="clear" w:color="auto" w:fill="auto"/>
            <w:vAlign w:val="center"/>
          </w:tcPr>
          <w:p w:rsidR="008967FA" w:rsidRPr="00F40118" w:rsidRDefault="00A76C4F" w:rsidP="00EF6CF8">
            <w:pPr>
              <w:pStyle w:val="a6"/>
              <w:adjustRightInd w:val="0"/>
              <w:snapToGrid w:val="0"/>
              <w:spacing w:line="360" w:lineRule="auto"/>
              <w:jc w:val="both"/>
              <w:rPr>
                <w:rFonts w:ascii="Book Antiqua" w:eastAsia="Times New Roman" w:hAnsi="Book Antiqua" w:cs="Times New Roman"/>
                <w:szCs w:val="24"/>
              </w:rPr>
            </w:pPr>
            <w:r>
              <w:rPr>
                <w:rFonts w:ascii="Book Antiqua" w:eastAsia="Times New Roman" w:hAnsi="Book Antiqua" w:cs="Times New Roman"/>
                <w:szCs w:val="24"/>
              </w:rPr>
              <w:t>10 (8.3)/</w:t>
            </w:r>
            <w:r w:rsidR="008967FA" w:rsidRPr="00F40118">
              <w:rPr>
                <w:rFonts w:ascii="Book Antiqua" w:eastAsia="Times New Roman" w:hAnsi="Book Antiqua" w:cs="Times New Roman"/>
                <w:szCs w:val="24"/>
              </w:rPr>
              <w:t>79 (65.3)/32 (26.4)</w:t>
            </w:r>
            <w:r w:rsidR="008967FA" w:rsidRPr="00F40118">
              <w:rPr>
                <w:rFonts w:ascii="Book Antiqua" w:eastAsia="Times New Roman" w:hAnsi="Book Antiqua" w:cs="Times New Roman"/>
                <w:szCs w:val="24"/>
                <w:vertAlign w:val="superscript"/>
              </w:rPr>
              <w:t>a</w:t>
            </w:r>
          </w:p>
        </w:tc>
      </w:tr>
      <w:tr w:rsidR="008967FA" w:rsidRPr="00F40118" w:rsidTr="00A762C7">
        <w:trPr>
          <w:trHeight w:val="181"/>
        </w:trPr>
        <w:tc>
          <w:tcPr>
            <w:tcW w:w="1527" w:type="pct"/>
            <w:shd w:val="clear" w:color="auto" w:fill="auto"/>
            <w:vAlign w:val="center"/>
          </w:tcPr>
          <w:p w:rsidR="008967FA" w:rsidRPr="00F40118" w:rsidRDefault="00105D3F" w:rsidP="00EF6CF8">
            <w:pPr>
              <w:pStyle w:val="a6"/>
              <w:adjustRightInd w:val="0"/>
              <w:snapToGrid w:val="0"/>
              <w:spacing w:line="360" w:lineRule="auto"/>
              <w:ind w:firstLineChars="50" w:firstLine="120"/>
              <w:jc w:val="both"/>
              <w:rPr>
                <w:rFonts w:ascii="Book Antiqua" w:eastAsia="Times New Roman" w:hAnsi="Book Antiqua" w:cs="Times New Roman"/>
                <w:szCs w:val="24"/>
              </w:rPr>
            </w:pPr>
            <w:r w:rsidRPr="00F40118">
              <w:rPr>
                <w:rFonts w:ascii="Book Antiqua" w:eastAsia="Times New Roman" w:hAnsi="Book Antiqua" w:cs="Times New Roman"/>
                <w:szCs w:val="24"/>
              </w:rPr>
              <w:t>Women</w:t>
            </w:r>
          </w:p>
        </w:tc>
        <w:tc>
          <w:tcPr>
            <w:tcW w:w="110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4 (7.5)/18 (34)/31 (58.5)</w:t>
            </w:r>
          </w:p>
        </w:tc>
        <w:tc>
          <w:tcPr>
            <w:tcW w:w="1176" w:type="pct"/>
            <w:shd w:val="clear" w:color="auto" w:fill="auto"/>
            <w:vAlign w:val="center"/>
          </w:tcPr>
          <w:p w:rsidR="008967FA" w:rsidRPr="00F40118" w:rsidRDefault="009A27D6"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 xml:space="preserve">10 (18.9)/31 </w:t>
            </w:r>
            <w:r w:rsidR="008967FA" w:rsidRPr="00F40118">
              <w:rPr>
                <w:rFonts w:ascii="Book Antiqua" w:eastAsia="Times New Roman" w:hAnsi="Book Antiqua" w:cs="Times New Roman"/>
                <w:szCs w:val="24"/>
              </w:rPr>
              <w:t>(58.5)/12 (22.6)</w:t>
            </w:r>
            <w:r w:rsidR="008967FA" w:rsidRPr="00F40118">
              <w:rPr>
                <w:rFonts w:ascii="Book Antiqua" w:eastAsia="Times New Roman" w:hAnsi="Book Antiqua" w:cs="Times New Roman"/>
                <w:szCs w:val="24"/>
                <w:vertAlign w:val="superscript"/>
              </w:rPr>
              <w:t>c</w:t>
            </w:r>
          </w:p>
        </w:tc>
        <w:tc>
          <w:tcPr>
            <w:tcW w:w="1191" w:type="pct"/>
            <w:shd w:val="clear" w:color="auto" w:fill="auto"/>
            <w:vAlign w:val="center"/>
          </w:tcPr>
          <w:p w:rsidR="008967FA" w:rsidRPr="00F40118" w:rsidRDefault="00A76C4F" w:rsidP="00EF6CF8">
            <w:pPr>
              <w:pStyle w:val="a6"/>
              <w:adjustRightInd w:val="0"/>
              <w:snapToGrid w:val="0"/>
              <w:spacing w:line="360" w:lineRule="auto"/>
              <w:jc w:val="both"/>
              <w:rPr>
                <w:rFonts w:ascii="Book Antiqua" w:eastAsia="Times New Roman" w:hAnsi="Book Antiqua" w:cs="Times New Roman"/>
                <w:szCs w:val="24"/>
              </w:rPr>
            </w:pPr>
            <w:r>
              <w:rPr>
                <w:rFonts w:ascii="Book Antiqua" w:eastAsia="Times New Roman" w:hAnsi="Book Antiqua" w:cs="Times New Roman"/>
                <w:szCs w:val="24"/>
              </w:rPr>
              <w:t>16 (30.2)/</w:t>
            </w:r>
            <w:r w:rsidR="008967FA" w:rsidRPr="00F40118">
              <w:rPr>
                <w:rFonts w:ascii="Book Antiqua" w:eastAsia="Times New Roman" w:hAnsi="Book Antiqua" w:cs="Times New Roman"/>
                <w:szCs w:val="24"/>
              </w:rPr>
              <w:t>29 (54.7)/8 (15.1)</w:t>
            </w:r>
          </w:p>
        </w:tc>
      </w:tr>
      <w:tr w:rsidR="008967FA" w:rsidRPr="00F40118" w:rsidTr="00A762C7">
        <w:trPr>
          <w:trHeight w:val="438"/>
        </w:trPr>
        <w:tc>
          <w:tcPr>
            <w:tcW w:w="152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AST (total sample), U/L</w:t>
            </w:r>
          </w:p>
        </w:tc>
        <w:tc>
          <w:tcPr>
            <w:tcW w:w="110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31.0 (24.0; 42.0)</w:t>
            </w:r>
          </w:p>
        </w:tc>
        <w:tc>
          <w:tcPr>
            <w:tcW w:w="1176"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lang w:val="ru-RU"/>
              </w:rPr>
              <w:t>26.5</w:t>
            </w:r>
            <w:r w:rsidRPr="00F40118">
              <w:rPr>
                <w:rFonts w:ascii="Book Antiqua" w:eastAsia="Times New Roman" w:hAnsi="Book Antiqua" w:cs="Times New Roman"/>
                <w:szCs w:val="24"/>
              </w:rPr>
              <w:t xml:space="preserve"> (2</w:t>
            </w:r>
            <w:r w:rsidRPr="00F40118">
              <w:rPr>
                <w:rFonts w:ascii="Book Antiqua" w:eastAsia="Times New Roman" w:hAnsi="Book Antiqua" w:cs="Times New Roman"/>
                <w:szCs w:val="24"/>
                <w:lang w:val="ru-RU"/>
              </w:rPr>
              <w:t>1</w:t>
            </w:r>
            <w:r w:rsidRPr="00F40118">
              <w:rPr>
                <w:rFonts w:ascii="Book Antiqua" w:eastAsia="Times New Roman" w:hAnsi="Book Antiqua" w:cs="Times New Roman"/>
                <w:szCs w:val="24"/>
              </w:rPr>
              <w:t xml:space="preserve">.0; </w:t>
            </w:r>
            <w:r w:rsidRPr="00F40118">
              <w:rPr>
                <w:rFonts w:ascii="Book Antiqua" w:eastAsia="Times New Roman" w:hAnsi="Book Antiqua" w:cs="Times New Roman"/>
                <w:szCs w:val="24"/>
                <w:lang w:val="ru-RU"/>
              </w:rPr>
              <w:t>34</w:t>
            </w:r>
            <w:r w:rsidRPr="00F40118">
              <w:rPr>
                <w:rFonts w:ascii="Book Antiqua" w:eastAsia="Times New Roman" w:hAnsi="Book Antiqua" w:cs="Times New Roman"/>
                <w:szCs w:val="24"/>
              </w:rPr>
              <w:t>.0)</w:t>
            </w:r>
            <w:r w:rsidRPr="00F40118">
              <w:rPr>
                <w:rFonts w:ascii="Book Antiqua" w:eastAsia="Times New Roman" w:hAnsi="Book Antiqua" w:cs="Times New Roman"/>
                <w:szCs w:val="24"/>
                <w:vertAlign w:val="superscript"/>
              </w:rPr>
              <w:t>c</w:t>
            </w:r>
          </w:p>
        </w:tc>
        <w:tc>
          <w:tcPr>
            <w:tcW w:w="1191"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25.0 (21.0; 29.0)</w:t>
            </w:r>
            <w:r w:rsidRPr="00F40118">
              <w:rPr>
                <w:rFonts w:ascii="Book Antiqua" w:eastAsia="Times New Roman" w:hAnsi="Book Antiqua" w:cs="Times New Roman"/>
                <w:szCs w:val="24"/>
                <w:vertAlign w:val="superscript"/>
              </w:rPr>
              <w:t>c</w:t>
            </w:r>
          </w:p>
        </w:tc>
      </w:tr>
      <w:tr w:rsidR="008967FA" w:rsidRPr="00F40118" w:rsidTr="00A762C7">
        <w:trPr>
          <w:trHeight w:val="451"/>
        </w:trPr>
        <w:tc>
          <w:tcPr>
            <w:tcW w:w="1527" w:type="pct"/>
            <w:shd w:val="clear" w:color="auto" w:fill="auto"/>
            <w:vAlign w:val="center"/>
          </w:tcPr>
          <w:p w:rsidR="008967FA" w:rsidRPr="00F40118" w:rsidRDefault="00105D3F" w:rsidP="00EF6CF8">
            <w:pPr>
              <w:pStyle w:val="a6"/>
              <w:adjustRightInd w:val="0"/>
              <w:snapToGrid w:val="0"/>
              <w:spacing w:line="360" w:lineRule="auto"/>
              <w:ind w:firstLineChars="50" w:firstLine="120"/>
              <w:jc w:val="both"/>
              <w:rPr>
                <w:rFonts w:ascii="Book Antiqua" w:eastAsia="Times New Roman" w:hAnsi="Book Antiqua" w:cs="Times New Roman"/>
                <w:szCs w:val="24"/>
              </w:rPr>
            </w:pPr>
            <w:r w:rsidRPr="00F40118">
              <w:rPr>
                <w:rFonts w:ascii="Book Antiqua" w:eastAsia="Times New Roman" w:hAnsi="Book Antiqua" w:cs="Times New Roman"/>
                <w:szCs w:val="24"/>
              </w:rPr>
              <w:t>Men</w:t>
            </w:r>
          </w:p>
        </w:tc>
        <w:tc>
          <w:tcPr>
            <w:tcW w:w="110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29.1 (23.5; 42.0)</w:t>
            </w:r>
          </w:p>
        </w:tc>
        <w:tc>
          <w:tcPr>
            <w:tcW w:w="1176"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lang w:val="ru-RU"/>
              </w:rPr>
            </w:pPr>
            <w:r w:rsidRPr="00F40118">
              <w:rPr>
                <w:rFonts w:ascii="Book Antiqua" w:eastAsia="Times New Roman" w:hAnsi="Book Antiqua" w:cs="Times New Roman"/>
                <w:szCs w:val="24"/>
              </w:rPr>
              <w:t>26.0 (21.0; 33.0)</w:t>
            </w:r>
            <w:r w:rsidRPr="00F40118">
              <w:rPr>
                <w:rFonts w:ascii="Book Antiqua" w:eastAsia="Times New Roman" w:hAnsi="Book Antiqua" w:cs="Times New Roman"/>
                <w:szCs w:val="24"/>
                <w:vertAlign w:val="superscript"/>
              </w:rPr>
              <w:t>c</w:t>
            </w:r>
          </w:p>
        </w:tc>
        <w:tc>
          <w:tcPr>
            <w:tcW w:w="1191"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25.0 (21.0; 28.0)</w:t>
            </w:r>
            <w:r w:rsidRPr="00F40118">
              <w:rPr>
                <w:rFonts w:ascii="Book Antiqua" w:eastAsia="Times New Roman" w:hAnsi="Book Antiqua" w:cs="Times New Roman"/>
                <w:szCs w:val="24"/>
                <w:vertAlign w:val="superscript"/>
              </w:rPr>
              <w:t>c</w:t>
            </w:r>
          </w:p>
        </w:tc>
      </w:tr>
      <w:tr w:rsidR="008967FA" w:rsidRPr="00F40118" w:rsidTr="00A762C7">
        <w:trPr>
          <w:trHeight w:val="451"/>
        </w:trPr>
        <w:tc>
          <w:tcPr>
            <w:tcW w:w="1527" w:type="pct"/>
            <w:shd w:val="clear" w:color="auto" w:fill="auto"/>
            <w:vAlign w:val="center"/>
          </w:tcPr>
          <w:p w:rsidR="008967FA" w:rsidRPr="00F40118" w:rsidRDefault="00105D3F" w:rsidP="00EF6CF8">
            <w:pPr>
              <w:pStyle w:val="a6"/>
              <w:adjustRightInd w:val="0"/>
              <w:snapToGrid w:val="0"/>
              <w:spacing w:line="360" w:lineRule="auto"/>
              <w:ind w:firstLineChars="50" w:firstLine="120"/>
              <w:jc w:val="both"/>
              <w:rPr>
                <w:rFonts w:ascii="Book Antiqua" w:eastAsia="Times New Roman" w:hAnsi="Book Antiqua" w:cs="Times New Roman"/>
                <w:szCs w:val="24"/>
              </w:rPr>
            </w:pPr>
            <w:r w:rsidRPr="00F40118">
              <w:rPr>
                <w:rFonts w:ascii="Book Antiqua" w:eastAsia="Times New Roman" w:hAnsi="Book Antiqua" w:cs="Times New Roman"/>
                <w:szCs w:val="24"/>
              </w:rPr>
              <w:t>Women</w:t>
            </w:r>
          </w:p>
        </w:tc>
        <w:tc>
          <w:tcPr>
            <w:tcW w:w="110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32.0 (24.0; 42.0)</w:t>
            </w:r>
          </w:p>
        </w:tc>
        <w:tc>
          <w:tcPr>
            <w:tcW w:w="1176"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lang w:val="ru-RU"/>
              </w:rPr>
            </w:pPr>
            <w:r w:rsidRPr="00F40118">
              <w:rPr>
                <w:rFonts w:ascii="Book Antiqua" w:eastAsia="Times New Roman" w:hAnsi="Book Antiqua" w:cs="Times New Roman"/>
                <w:szCs w:val="24"/>
              </w:rPr>
              <w:t>28.0 (22.0; 35.0)</w:t>
            </w:r>
            <w:r w:rsidRPr="00F40118">
              <w:rPr>
                <w:rFonts w:ascii="Book Antiqua" w:eastAsia="Times New Roman" w:hAnsi="Book Antiqua" w:cs="Times New Roman"/>
                <w:szCs w:val="24"/>
                <w:vertAlign w:val="superscript"/>
              </w:rPr>
              <w:t>c</w:t>
            </w:r>
          </w:p>
        </w:tc>
        <w:tc>
          <w:tcPr>
            <w:tcW w:w="1191"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26.0 (23.0; 32.0)</w:t>
            </w:r>
          </w:p>
        </w:tc>
      </w:tr>
      <w:tr w:rsidR="008967FA" w:rsidRPr="00F40118" w:rsidTr="00A762C7">
        <w:trPr>
          <w:trHeight w:val="451"/>
        </w:trPr>
        <w:tc>
          <w:tcPr>
            <w:tcW w:w="152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hAnsi="Book Antiqua" w:cs="Times New Roman"/>
                <w:szCs w:val="24"/>
              </w:rPr>
              <w:t>∆</w:t>
            </w:r>
            <w:r w:rsidRPr="00F40118">
              <w:rPr>
                <w:rFonts w:ascii="Book Antiqua" w:eastAsia="Times New Roman" w:hAnsi="Book Antiqua" w:cs="Times New Roman"/>
                <w:szCs w:val="24"/>
              </w:rPr>
              <w:t xml:space="preserve"> total sample, U/L</w:t>
            </w:r>
          </w:p>
        </w:tc>
        <w:tc>
          <w:tcPr>
            <w:tcW w:w="110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p>
        </w:tc>
        <w:tc>
          <w:tcPr>
            <w:tcW w:w="1176"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color w:val="auto"/>
                <w:szCs w:val="24"/>
                <w:lang w:eastAsia="ru-RU"/>
              </w:rPr>
              <w:t>-4.0</w:t>
            </w:r>
            <w:r w:rsidRPr="00F40118">
              <w:rPr>
                <w:rFonts w:ascii="Book Antiqua" w:eastAsia="Times New Roman" w:hAnsi="Book Antiqua" w:cs="Times New Roman"/>
                <w:color w:val="auto"/>
                <w:szCs w:val="24"/>
                <w:lang w:val="ru-RU" w:eastAsia="ru-RU"/>
              </w:rPr>
              <w:t xml:space="preserve"> </w:t>
            </w:r>
            <w:r w:rsidRPr="00F40118">
              <w:rPr>
                <w:rFonts w:ascii="Book Antiqua" w:eastAsia="Times New Roman" w:hAnsi="Book Antiqua" w:cs="Times New Roman"/>
                <w:szCs w:val="24"/>
              </w:rPr>
              <w:t>(</w:t>
            </w:r>
            <w:r w:rsidRPr="00F40118">
              <w:rPr>
                <w:rFonts w:ascii="Book Antiqua" w:eastAsia="Times New Roman" w:hAnsi="Book Antiqua" w:cs="Times New Roman"/>
                <w:color w:val="auto"/>
                <w:szCs w:val="24"/>
                <w:lang w:eastAsia="ru-RU"/>
              </w:rPr>
              <w:t>-12.0</w:t>
            </w:r>
            <w:r w:rsidRPr="00F40118">
              <w:rPr>
                <w:rFonts w:ascii="Book Antiqua" w:eastAsia="Times New Roman" w:hAnsi="Book Antiqua" w:cs="Times New Roman"/>
                <w:color w:val="auto"/>
                <w:szCs w:val="24"/>
                <w:lang w:val="ru-RU" w:eastAsia="ru-RU"/>
              </w:rPr>
              <w:t xml:space="preserve">; </w:t>
            </w:r>
            <w:r w:rsidRPr="00F40118">
              <w:rPr>
                <w:rFonts w:ascii="Book Antiqua" w:eastAsia="Times New Roman" w:hAnsi="Book Antiqua" w:cs="Times New Roman"/>
                <w:color w:val="auto"/>
                <w:szCs w:val="24"/>
                <w:lang w:eastAsia="ru-RU"/>
              </w:rPr>
              <w:t>1.0</w:t>
            </w:r>
            <w:r w:rsidRPr="00F40118">
              <w:rPr>
                <w:rFonts w:ascii="Book Antiqua" w:eastAsia="Times New Roman" w:hAnsi="Book Antiqua" w:cs="Times New Roman"/>
                <w:szCs w:val="24"/>
              </w:rPr>
              <w:t>)</w:t>
            </w:r>
          </w:p>
        </w:tc>
        <w:tc>
          <w:tcPr>
            <w:tcW w:w="1191"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color w:val="auto"/>
                <w:szCs w:val="24"/>
                <w:lang w:eastAsia="ru-RU"/>
              </w:rPr>
              <w:t>-2.0</w:t>
            </w:r>
            <w:r w:rsidRPr="00F40118">
              <w:rPr>
                <w:rFonts w:ascii="Book Antiqua" w:eastAsia="Times New Roman" w:hAnsi="Book Antiqua" w:cs="Times New Roman"/>
                <w:color w:val="auto"/>
                <w:szCs w:val="24"/>
                <w:lang w:val="ru-RU" w:eastAsia="ru-RU"/>
              </w:rPr>
              <w:t xml:space="preserve"> </w:t>
            </w:r>
            <w:r w:rsidRPr="00F40118">
              <w:rPr>
                <w:rFonts w:ascii="Book Antiqua" w:eastAsia="Times New Roman" w:hAnsi="Book Antiqua" w:cs="Times New Roman"/>
                <w:szCs w:val="24"/>
              </w:rPr>
              <w:t>(</w:t>
            </w:r>
            <w:r w:rsidRPr="00F40118">
              <w:rPr>
                <w:rFonts w:ascii="Book Antiqua" w:eastAsia="Times New Roman" w:hAnsi="Book Antiqua" w:cs="Times New Roman"/>
                <w:color w:val="auto"/>
                <w:szCs w:val="24"/>
                <w:lang w:eastAsia="ru-RU"/>
              </w:rPr>
              <w:t>-7.0</w:t>
            </w:r>
            <w:r w:rsidRPr="00F40118">
              <w:rPr>
                <w:rFonts w:ascii="Book Antiqua" w:eastAsia="Times New Roman" w:hAnsi="Book Antiqua" w:cs="Times New Roman"/>
                <w:color w:val="auto"/>
                <w:szCs w:val="24"/>
                <w:lang w:val="ru-RU" w:eastAsia="ru-RU"/>
              </w:rPr>
              <w:t xml:space="preserve">; </w:t>
            </w:r>
            <w:r w:rsidRPr="00F40118">
              <w:rPr>
                <w:rFonts w:ascii="Book Antiqua" w:eastAsia="Times New Roman" w:hAnsi="Book Antiqua" w:cs="Times New Roman"/>
                <w:color w:val="auto"/>
                <w:szCs w:val="24"/>
                <w:lang w:eastAsia="ru-RU"/>
              </w:rPr>
              <w:t>2.2</w:t>
            </w:r>
            <w:r w:rsidRPr="00F40118">
              <w:rPr>
                <w:rFonts w:ascii="Book Antiqua" w:eastAsia="Times New Roman" w:hAnsi="Book Antiqua" w:cs="Times New Roman"/>
                <w:szCs w:val="24"/>
              </w:rPr>
              <w:t>)</w:t>
            </w:r>
            <w:r w:rsidRPr="00F40118">
              <w:rPr>
                <w:rFonts w:ascii="Book Antiqua" w:eastAsia="Times New Roman" w:hAnsi="Book Antiqua" w:cs="Times New Roman"/>
                <w:szCs w:val="24"/>
                <w:vertAlign w:val="superscript"/>
              </w:rPr>
              <w:t>b</w:t>
            </w:r>
          </w:p>
        </w:tc>
      </w:tr>
      <w:tr w:rsidR="008967FA" w:rsidRPr="00F40118" w:rsidTr="00A762C7">
        <w:trPr>
          <w:trHeight w:val="438"/>
        </w:trPr>
        <w:tc>
          <w:tcPr>
            <w:tcW w:w="152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GGT (total sample), U/L</w:t>
            </w:r>
          </w:p>
        </w:tc>
        <w:tc>
          <w:tcPr>
            <w:tcW w:w="110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36.0 (26.0; 48.0)</w:t>
            </w:r>
          </w:p>
        </w:tc>
        <w:tc>
          <w:tcPr>
            <w:tcW w:w="1176"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lang w:val="ru-RU"/>
              </w:rPr>
              <w:t>2</w:t>
            </w:r>
            <w:r w:rsidRPr="00F40118">
              <w:rPr>
                <w:rFonts w:ascii="Book Antiqua" w:eastAsia="Times New Roman" w:hAnsi="Book Antiqua" w:cs="Times New Roman"/>
                <w:szCs w:val="24"/>
              </w:rPr>
              <w:t>8.0 (21.0; 38.0)</w:t>
            </w:r>
            <w:r w:rsidRPr="00F40118">
              <w:rPr>
                <w:rFonts w:ascii="Book Antiqua" w:eastAsia="Times New Roman" w:hAnsi="Book Antiqua" w:cs="Times New Roman"/>
                <w:szCs w:val="24"/>
                <w:vertAlign w:val="superscript"/>
              </w:rPr>
              <w:t>c</w:t>
            </w:r>
          </w:p>
        </w:tc>
        <w:tc>
          <w:tcPr>
            <w:tcW w:w="1191"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26.0 (19.0; 35.0)</w:t>
            </w:r>
            <w:r w:rsidRPr="00F40118">
              <w:rPr>
                <w:rFonts w:ascii="Book Antiqua" w:eastAsia="Times New Roman" w:hAnsi="Book Antiqua" w:cs="Times New Roman"/>
                <w:szCs w:val="24"/>
                <w:vertAlign w:val="superscript"/>
              </w:rPr>
              <w:t>c</w:t>
            </w:r>
          </w:p>
        </w:tc>
      </w:tr>
      <w:tr w:rsidR="008967FA" w:rsidRPr="00F40118" w:rsidTr="00A762C7">
        <w:trPr>
          <w:trHeight w:val="451"/>
        </w:trPr>
        <w:tc>
          <w:tcPr>
            <w:tcW w:w="1527" w:type="pct"/>
            <w:shd w:val="clear" w:color="auto" w:fill="auto"/>
            <w:vAlign w:val="center"/>
          </w:tcPr>
          <w:p w:rsidR="008967FA" w:rsidRPr="00F40118" w:rsidRDefault="00105D3F" w:rsidP="00EF6CF8">
            <w:pPr>
              <w:pStyle w:val="a6"/>
              <w:adjustRightInd w:val="0"/>
              <w:snapToGrid w:val="0"/>
              <w:spacing w:line="360" w:lineRule="auto"/>
              <w:ind w:firstLineChars="50" w:firstLine="120"/>
              <w:jc w:val="both"/>
              <w:rPr>
                <w:rFonts w:ascii="Book Antiqua" w:eastAsia="Times New Roman" w:hAnsi="Book Antiqua" w:cs="Times New Roman"/>
                <w:szCs w:val="24"/>
              </w:rPr>
            </w:pPr>
            <w:r w:rsidRPr="00F40118">
              <w:rPr>
                <w:rFonts w:ascii="Book Antiqua" w:eastAsia="Times New Roman" w:hAnsi="Book Antiqua" w:cs="Times New Roman"/>
                <w:szCs w:val="24"/>
              </w:rPr>
              <w:t>Men</w:t>
            </w:r>
          </w:p>
        </w:tc>
        <w:tc>
          <w:tcPr>
            <w:tcW w:w="110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36.0 (28.0; 46.0)</w:t>
            </w:r>
          </w:p>
        </w:tc>
        <w:tc>
          <w:tcPr>
            <w:tcW w:w="1176"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lang w:val="ru-RU"/>
              </w:rPr>
            </w:pPr>
            <w:r w:rsidRPr="00F40118">
              <w:rPr>
                <w:rFonts w:ascii="Book Antiqua" w:eastAsia="Times New Roman" w:hAnsi="Book Antiqua" w:cs="Times New Roman"/>
                <w:szCs w:val="24"/>
              </w:rPr>
              <w:t>31.0 (24.0; 41.0)</w:t>
            </w:r>
            <w:r w:rsidRPr="00F40118">
              <w:rPr>
                <w:rFonts w:ascii="Book Antiqua" w:eastAsia="Times New Roman" w:hAnsi="Book Antiqua" w:cs="Times New Roman"/>
                <w:szCs w:val="24"/>
                <w:vertAlign w:val="superscript"/>
              </w:rPr>
              <w:t>c</w:t>
            </w:r>
          </w:p>
        </w:tc>
        <w:tc>
          <w:tcPr>
            <w:tcW w:w="1191"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26.0 (21.0; 35.0)</w:t>
            </w:r>
            <w:r w:rsidRPr="00F40118">
              <w:rPr>
                <w:rFonts w:ascii="Book Antiqua" w:eastAsia="Times New Roman" w:hAnsi="Book Antiqua" w:cs="Times New Roman"/>
                <w:szCs w:val="24"/>
                <w:vertAlign w:val="superscript"/>
              </w:rPr>
              <w:t>c</w:t>
            </w:r>
          </w:p>
        </w:tc>
      </w:tr>
      <w:tr w:rsidR="008967FA" w:rsidRPr="00F40118" w:rsidTr="00A762C7">
        <w:trPr>
          <w:trHeight w:val="451"/>
        </w:trPr>
        <w:tc>
          <w:tcPr>
            <w:tcW w:w="1527" w:type="pct"/>
            <w:shd w:val="clear" w:color="auto" w:fill="auto"/>
            <w:vAlign w:val="center"/>
          </w:tcPr>
          <w:p w:rsidR="008967FA" w:rsidRPr="00F40118" w:rsidRDefault="00105D3F" w:rsidP="00EF6CF8">
            <w:pPr>
              <w:pStyle w:val="a6"/>
              <w:adjustRightInd w:val="0"/>
              <w:snapToGrid w:val="0"/>
              <w:spacing w:line="360" w:lineRule="auto"/>
              <w:ind w:firstLineChars="50" w:firstLine="120"/>
              <w:jc w:val="both"/>
              <w:rPr>
                <w:rFonts w:ascii="Book Antiqua" w:eastAsia="Times New Roman" w:hAnsi="Book Antiqua" w:cs="Times New Roman"/>
                <w:szCs w:val="24"/>
              </w:rPr>
            </w:pPr>
            <w:r w:rsidRPr="00F40118">
              <w:rPr>
                <w:rFonts w:ascii="Book Antiqua" w:eastAsia="Times New Roman" w:hAnsi="Book Antiqua" w:cs="Times New Roman"/>
                <w:szCs w:val="24"/>
              </w:rPr>
              <w:t>Women</w:t>
            </w:r>
          </w:p>
        </w:tc>
        <w:tc>
          <w:tcPr>
            <w:tcW w:w="110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35.0 (23.0; 53.0)</w:t>
            </w:r>
          </w:p>
        </w:tc>
        <w:tc>
          <w:tcPr>
            <w:tcW w:w="1176"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lang w:val="ru-RU"/>
              </w:rPr>
            </w:pPr>
            <w:r w:rsidRPr="00F40118">
              <w:rPr>
                <w:rFonts w:ascii="Book Antiqua" w:eastAsia="Times New Roman" w:hAnsi="Book Antiqua" w:cs="Times New Roman"/>
                <w:szCs w:val="24"/>
              </w:rPr>
              <w:t>23.0 (18.0; 30.0)</w:t>
            </w:r>
            <w:r w:rsidRPr="00F40118">
              <w:rPr>
                <w:rFonts w:ascii="Book Antiqua" w:eastAsia="Times New Roman" w:hAnsi="Book Antiqua" w:cs="Times New Roman"/>
                <w:szCs w:val="24"/>
                <w:vertAlign w:val="superscript"/>
              </w:rPr>
              <w:t>c</w:t>
            </w:r>
          </w:p>
        </w:tc>
        <w:tc>
          <w:tcPr>
            <w:tcW w:w="1191"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szCs w:val="24"/>
              </w:rPr>
              <w:t>21.0 (12.0; 34.0)</w:t>
            </w:r>
          </w:p>
        </w:tc>
      </w:tr>
      <w:tr w:rsidR="008967FA" w:rsidRPr="00F40118" w:rsidTr="00A762C7">
        <w:trPr>
          <w:trHeight w:val="451"/>
        </w:trPr>
        <w:tc>
          <w:tcPr>
            <w:tcW w:w="152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hAnsi="Book Antiqua" w:cs="Times New Roman"/>
                <w:szCs w:val="24"/>
              </w:rPr>
              <w:t>∆</w:t>
            </w:r>
            <w:r w:rsidRPr="00F40118">
              <w:rPr>
                <w:rFonts w:ascii="Book Antiqua" w:eastAsia="Times New Roman" w:hAnsi="Book Antiqua" w:cs="Times New Roman"/>
                <w:szCs w:val="24"/>
              </w:rPr>
              <w:t xml:space="preserve"> total sample, U/L</w:t>
            </w:r>
          </w:p>
        </w:tc>
        <w:tc>
          <w:tcPr>
            <w:tcW w:w="1107"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p>
        </w:tc>
        <w:tc>
          <w:tcPr>
            <w:tcW w:w="1176"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color w:val="auto"/>
                <w:szCs w:val="24"/>
                <w:lang w:eastAsia="ru-RU"/>
              </w:rPr>
              <w:t>-5.0</w:t>
            </w:r>
            <w:r w:rsidRPr="00F40118">
              <w:rPr>
                <w:rFonts w:ascii="Book Antiqua" w:eastAsia="Times New Roman" w:hAnsi="Book Antiqua" w:cs="Times New Roman"/>
                <w:color w:val="auto"/>
                <w:szCs w:val="24"/>
                <w:lang w:val="ru-RU" w:eastAsia="ru-RU"/>
              </w:rPr>
              <w:t xml:space="preserve"> </w:t>
            </w:r>
            <w:r w:rsidRPr="00F40118">
              <w:rPr>
                <w:rFonts w:ascii="Book Antiqua" w:eastAsia="Times New Roman" w:hAnsi="Book Antiqua" w:cs="Times New Roman"/>
                <w:szCs w:val="24"/>
              </w:rPr>
              <w:t>(</w:t>
            </w:r>
            <w:r w:rsidRPr="00F40118">
              <w:rPr>
                <w:rFonts w:ascii="Book Antiqua" w:eastAsia="Times New Roman" w:hAnsi="Book Antiqua" w:cs="Times New Roman"/>
                <w:color w:val="auto"/>
                <w:szCs w:val="24"/>
                <w:lang w:eastAsia="ru-RU"/>
              </w:rPr>
              <w:t>-15.0</w:t>
            </w:r>
            <w:r w:rsidRPr="00F40118">
              <w:rPr>
                <w:rFonts w:ascii="Book Antiqua" w:eastAsia="Times New Roman" w:hAnsi="Book Antiqua" w:cs="Times New Roman"/>
                <w:color w:val="auto"/>
                <w:szCs w:val="24"/>
                <w:lang w:val="ru-RU" w:eastAsia="ru-RU"/>
              </w:rPr>
              <w:t xml:space="preserve">; </w:t>
            </w:r>
            <w:r w:rsidRPr="00F40118">
              <w:rPr>
                <w:rFonts w:ascii="Book Antiqua" w:eastAsia="Times New Roman" w:hAnsi="Book Antiqua" w:cs="Times New Roman"/>
                <w:color w:val="auto"/>
                <w:szCs w:val="24"/>
                <w:lang w:eastAsia="ru-RU"/>
              </w:rPr>
              <w:t>2.0</w:t>
            </w:r>
            <w:r w:rsidRPr="00F40118">
              <w:rPr>
                <w:rFonts w:ascii="Book Antiqua" w:eastAsia="Times New Roman" w:hAnsi="Book Antiqua" w:cs="Times New Roman"/>
                <w:szCs w:val="24"/>
              </w:rPr>
              <w:t>)</w:t>
            </w:r>
          </w:p>
        </w:tc>
        <w:tc>
          <w:tcPr>
            <w:tcW w:w="1191" w:type="pct"/>
            <w:shd w:val="clear" w:color="auto" w:fill="auto"/>
            <w:vAlign w:val="center"/>
          </w:tcPr>
          <w:p w:rsidR="008967FA" w:rsidRPr="00F40118" w:rsidRDefault="008967FA" w:rsidP="00EF6CF8">
            <w:pPr>
              <w:pStyle w:val="a6"/>
              <w:adjustRightInd w:val="0"/>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color w:val="auto"/>
                <w:szCs w:val="24"/>
                <w:lang w:eastAsia="ru-RU"/>
              </w:rPr>
              <w:t>-3.0</w:t>
            </w:r>
            <w:r w:rsidRPr="00F40118">
              <w:rPr>
                <w:rFonts w:ascii="Book Antiqua" w:eastAsia="Times New Roman" w:hAnsi="Book Antiqua" w:cs="Times New Roman"/>
                <w:color w:val="auto"/>
                <w:szCs w:val="24"/>
                <w:lang w:val="ru-RU" w:eastAsia="ru-RU"/>
              </w:rPr>
              <w:t xml:space="preserve"> </w:t>
            </w:r>
            <w:r w:rsidRPr="00F40118">
              <w:rPr>
                <w:rFonts w:ascii="Book Antiqua" w:eastAsia="Times New Roman" w:hAnsi="Book Antiqua" w:cs="Times New Roman"/>
                <w:szCs w:val="24"/>
              </w:rPr>
              <w:t>(</w:t>
            </w:r>
            <w:r w:rsidRPr="00F40118">
              <w:rPr>
                <w:rFonts w:ascii="Book Antiqua" w:eastAsia="Times New Roman" w:hAnsi="Book Antiqua" w:cs="Times New Roman"/>
                <w:color w:val="auto"/>
                <w:szCs w:val="24"/>
                <w:lang w:eastAsia="ru-RU"/>
              </w:rPr>
              <w:t>-8.0</w:t>
            </w:r>
            <w:r w:rsidRPr="00F40118">
              <w:rPr>
                <w:rFonts w:ascii="Book Antiqua" w:eastAsia="Times New Roman" w:hAnsi="Book Antiqua" w:cs="Times New Roman"/>
                <w:color w:val="auto"/>
                <w:szCs w:val="24"/>
                <w:lang w:val="ru-RU" w:eastAsia="ru-RU"/>
              </w:rPr>
              <w:t xml:space="preserve">; </w:t>
            </w:r>
            <w:r w:rsidRPr="00F40118">
              <w:rPr>
                <w:rFonts w:ascii="Book Antiqua" w:eastAsia="Times New Roman" w:hAnsi="Book Antiqua" w:cs="Times New Roman"/>
                <w:color w:val="auto"/>
                <w:szCs w:val="24"/>
                <w:lang w:eastAsia="ru-RU"/>
              </w:rPr>
              <w:t>2.0</w:t>
            </w:r>
            <w:r w:rsidRPr="00F40118">
              <w:rPr>
                <w:rFonts w:ascii="Book Antiqua" w:eastAsia="Times New Roman" w:hAnsi="Book Antiqua" w:cs="Times New Roman"/>
                <w:szCs w:val="24"/>
              </w:rPr>
              <w:t>)</w:t>
            </w:r>
            <w:r w:rsidRPr="00F40118">
              <w:rPr>
                <w:rFonts w:ascii="Book Antiqua" w:eastAsia="Times New Roman" w:hAnsi="Book Antiqua" w:cs="Times New Roman"/>
                <w:szCs w:val="24"/>
                <w:vertAlign w:val="superscript"/>
              </w:rPr>
              <w:t>c</w:t>
            </w:r>
          </w:p>
        </w:tc>
      </w:tr>
    </w:tbl>
    <w:p w:rsidR="0027573C" w:rsidRDefault="000D09BA" w:rsidP="00EF6CF8">
      <w:pPr>
        <w:adjustRightInd w:val="0"/>
        <w:snapToGrid w:val="0"/>
        <w:spacing w:line="360" w:lineRule="auto"/>
        <w:jc w:val="both"/>
        <w:rPr>
          <w:rFonts w:ascii="Book Antiqua" w:eastAsiaTheme="minorEastAsia" w:hAnsi="Book Antiqua"/>
          <w:lang w:eastAsia="zh-CN"/>
        </w:rPr>
      </w:pPr>
      <w:r w:rsidRPr="00F40118">
        <w:rPr>
          <w:rFonts w:ascii="Book Antiqua" w:eastAsia="Times New Roman" w:hAnsi="Book Antiqua"/>
          <w:vertAlign w:val="superscript"/>
        </w:rPr>
        <w:t>a</w:t>
      </w:r>
      <w:r w:rsidRPr="00F40118">
        <w:rPr>
          <w:rFonts w:ascii="Book Antiqua" w:eastAsia="Times New Roman" w:hAnsi="Book Antiqua"/>
          <w:i/>
          <w:iCs/>
        </w:rPr>
        <w:t>P</w:t>
      </w:r>
      <w:r w:rsidRPr="00F40118">
        <w:rPr>
          <w:rFonts w:ascii="Book Antiqua" w:eastAsia="Times New Roman" w:hAnsi="Book Antiqua"/>
        </w:rPr>
        <w:t xml:space="preserve"> &lt; 0.05</w:t>
      </w:r>
      <w:r w:rsidR="0078775C">
        <w:rPr>
          <w:rFonts w:ascii="Book Antiqua" w:eastAsiaTheme="minorEastAsia" w:hAnsi="Book Antiqua" w:hint="eastAsia"/>
          <w:lang w:eastAsia="zh-CN"/>
        </w:rPr>
        <w:t>.</w:t>
      </w:r>
    </w:p>
    <w:p w:rsidR="0027573C" w:rsidRDefault="002D3157" w:rsidP="00EF6CF8">
      <w:pPr>
        <w:adjustRightInd w:val="0"/>
        <w:snapToGrid w:val="0"/>
        <w:spacing w:line="360" w:lineRule="auto"/>
        <w:jc w:val="both"/>
        <w:rPr>
          <w:rFonts w:ascii="Book Antiqua" w:eastAsiaTheme="minorEastAsia" w:hAnsi="Book Antiqua"/>
          <w:lang w:eastAsia="zh-CN"/>
        </w:rPr>
      </w:pPr>
      <w:r w:rsidRPr="00F40118">
        <w:rPr>
          <w:rFonts w:ascii="Book Antiqua" w:eastAsia="Times New Roman" w:hAnsi="Book Antiqua"/>
          <w:vertAlign w:val="superscript"/>
        </w:rPr>
        <w:t xml:space="preserve"> </w:t>
      </w:r>
      <w:r w:rsidR="000D09BA" w:rsidRPr="00F40118">
        <w:rPr>
          <w:rFonts w:ascii="Book Antiqua" w:eastAsia="Times New Roman" w:hAnsi="Book Antiqua"/>
          <w:vertAlign w:val="superscript"/>
        </w:rPr>
        <w:t>b</w:t>
      </w:r>
      <w:r w:rsidR="000D09BA" w:rsidRPr="00F40118">
        <w:rPr>
          <w:rFonts w:ascii="Book Antiqua" w:eastAsia="Times New Roman" w:hAnsi="Book Antiqua"/>
          <w:i/>
          <w:iCs/>
        </w:rPr>
        <w:t>P</w:t>
      </w:r>
      <w:r w:rsidR="000D09BA" w:rsidRPr="00F40118">
        <w:rPr>
          <w:rFonts w:ascii="Book Antiqua" w:eastAsia="Times New Roman" w:hAnsi="Book Antiqua"/>
        </w:rPr>
        <w:t xml:space="preserve"> &lt; 0.01</w:t>
      </w:r>
      <w:r w:rsidR="0078775C">
        <w:rPr>
          <w:rFonts w:ascii="Book Antiqua" w:eastAsiaTheme="minorEastAsia" w:hAnsi="Book Antiqua" w:hint="eastAsia"/>
          <w:lang w:eastAsia="zh-CN"/>
        </w:rPr>
        <w:t>.</w:t>
      </w:r>
    </w:p>
    <w:p w:rsidR="00AB677F" w:rsidRPr="00F40118" w:rsidRDefault="002D3157" w:rsidP="00EF6CF8">
      <w:pPr>
        <w:adjustRightInd w:val="0"/>
        <w:snapToGrid w:val="0"/>
        <w:spacing w:line="360" w:lineRule="auto"/>
        <w:jc w:val="both"/>
        <w:rPr>
          <w:rFonts w:ascii="Book Antiqua" w:eastAsia="Book Antiqua" w:hAnsi="Book Antiqua" w:cs="Book Antiqua"/>
          <w:color w:val="000000"/>
        </w:rPr>
      </w:pPr>
      <w:r w:rsidRPr="00F40118">
        <w:rPr>
          <w:rFonts w:ascii="Book Antiqua" w:eastAsia="Times New Roman" w:hAnsi="Book Antiqua"/>
          <w:vertAlign w:val="superscript"/>
        </w:rPr>
        <w:t xml:space="preserve"> </w:t>
      </w:r>
      <w:r w:rsidR="000D09BA" w:rsidRPr="00F40118">
        <w:rPr>
          <w:rFonts w:ascii="Book Antiqua" w:eastAsia="Times New Roman" w:hAnsi="Book Antiqua"/>
          <w:vertAlign w:val="superscript"/>
        </w:rPr>
        <w:t>c</w:t>
      </w:r>
      <w:r w:rsidR="000D09BA" w:rsidRPr="00F40118">
        <w:rPr>
          <w:rFonts w:ascii="Book Antiqua" w:eastAsia="Times New Roman" w:hAnsi="Book Antiqua"/>
          <w:i/>
          <w:iCs/>
        </w:rPr>
        <w:t>P</w:t>
      </w:r>
      <w:r w:rsidR="000D09BA" w:rsidRPr="00F40118">
        <w:rPr>
          <w:rFonts w:ascii="Book Antiqua" w:eastAsia="Times New Roman" w:hAnsi="Book Antiqua"/>
        </w:rPr>
        <w:t xml:space="preserve"> &lt; 0.001. </w:t>
      </w:r>
      <w:r w:rsidR="008967FA" w:rsidRPr="00F40118">
        <w:rPr>
          <w:rFonts w:ascii="Book Antiqua" w:eastAsia="Times New Roman" w:hAnsi="Book Antiqua"/>
        </w:rPr>
        <w:t xml:space="preserve">Data are presented as </w:t>
      </w:r>
      <w:r w:rsidR="009A27D6" w:rsidRPr="00F40118">
        <w:rPr>
          <w:rFonts w:ascii="Book Antiqua" w:eastAsia="Book Antiqua" w:hAnsi="Book Antiqua" w:cs="Book Antiqua"/>
          <w:color w:val="000000"/>
        </w:rPr>
        <w:t>Median</w:t>
      </w:r>
      <w:r w:rsidR="008967FA" w:rsidRPr="00F40118">
        <w:rPr>
          <w:rFonts w:ascii="Book Antiqua" w:eastAsia="Times New Roman" w:hAnsi="Book Antiqua"/>
        </w:rPr>
        <w:t xml:space="preserve"> (IQR) or </w:t>
      </w:r>
      <w:r w:rsidR="008967FA" w:rsidRPr="00F40118">
        <w:rPr>
          <w:rFonts w:ascii="Book Antiqua" w:hAnsi="Book Antiqua"/>
          <w:i/>
          <w:iCs/>
          <w:color w:val="333333"/>
        </w:rPr>
        <w:t>n</w:t>
      </w:r>
      <w:r w:rsidR="008967FA" w:rsidRPr="00F40118">
        <w:rPr>
          <w:rFonts w:ascii="Book Antiqua" w:hAnsi="Book Antiqua"/>
          <w:color w:val="333333"/>
        </w:rPr>
        <w:t> (%)</w:t>
      </w:r>
      <w:r w:rsidR="00105D3F" w:rsidRPr="00F40118">
        <w:rPr>
          <w:rFonts w:ascii="Book Antiqua" w:hAnsi="Book Antiqua"/>
          <w:color w:val="333333"/>
        </w:rPr>
        <w:t>.</w:t>
      </w:r>
      <w:r w:rsidR="00105D3F" w:rsidRPr="00F40118">
        <w:rPr>
          <w:rFonts w:ascii="Book Antiqua" w:hAnsi="Book Antiqua"/>
          <w:color w:val="333333"/>
          <w:lang w:eastAsia="zh-CN"/>
        </w:rPr>
        <w:t xml:space="preserve"> </w:t>
      </w:r>
      <w:r w:rsidR="006A4BCD" w:rsidRPr="00F40118">
        <w:rPr>
          <w:rFonts w:ascii="Book Antiqua" w:hAnsi="Book Antiqua"/>
          <w:color w:val="333333"/>
          <w:lang w:eastAsia="zh-CN"/>
        </w:rPr>
        <w:t>BMI:</w:t>
      </w:r>
      <w:r w:rsidR="006A4BCD" w:rsidRPr="00F40118">
        <w:rPr>
          <w:rFonts w:ascii="Book Antiqua" w:eastAsia="Book Antiqua" w:hAnsi="Book Antiqua" w:cs="Book Antiqua"/>
          <w:color w:val="000000"/>
        </w:rPr>
        <w:t xml:space="preserve"> Body mass index;</w:t>
      </w:r>
      <w:r w:rsidR="006A4BCD" w:rsidRPr="00F40118">
        <w:rPr>
          <w:rFonts w:ascii="Book Antiqua" w:hAnsi="Book Antiqua"/>
          <w:color w:val="333333"/>
          <w:lang w:eastAsia="zh-CN"/>
        </w:rPr>
        <w:t xml:space="preserve"> ALT:</w:t>
      </w:r>
      <w:r w:rsidR="006A4BCD" w:rsidRPr="00F40118">
        <w:rPr>
          <w:rFonts w:ascii="Book Antiqua" w:eastAsia="Book Antiqua" w:hAnsi="Book Antiqua" w:cs="Book Antiqua"/>
          <w:color w:val="000000"/>
        </w:rPr>
        <w:t xml:space="preserve"> Alanine aminotransferase;</w:t>
      </w:r>
      <w:r w:rsidR="006A4BCD" w:rsidRPr="00F40118">
        <w:rPr>
          <w:rFonts w:ascii="Book Antiqua" w:hAnsi="Book Antiqua"/>
          <w:color w:val="333333"/>
          <w:lang w:eastAsia="zh-CN"/>
        </w:rPr>
        <w:t xml:space="preserve"> AST:</w:t>
      </w:r>
      <w:r w:rsidR="006A4BCD" w:rsidRPr="00F40118">
        <w:rPr>
          <w:rFonts w:ascii="Book Antiqua" w:eastAsia="Book Antiqua" w:hAnsi="Book Antiqua" w:cs="Book Antiqua"/>
          <w:color w:val="000000"/>
        </w:rPr>
        <w:t xml:space="preserve"> Aspartate transaminase;</w:t>
      </w:r>
      <w:r w:rsidR="006A4BCD" w:rsidRPr="00F40118">
        <w:rPr>
          <w:rFonts w:ascii="Book Antiqua" w:hAnsi="Book Antiqua"/>
          <w:color w:val="333333"/>
          <w:lang w:eastAsia="zh-CN"/>
        </w:rPr>
        <w:t xml:space="preserve"> GGT:</w:t>
      </w:r>
      <w:r w:rsidR="006A4BCD" w:rsidRPr="00F40118">
        <w:rPr>
          <w:rFonts w:ascii="Book Antiqua" w:eastAsia="Book Antiqua" w:hAnsi="Book Antiqua" w:cs="Book Antiqua"/>
          <w:color w:val="000000"/>
        </w:rPr>
        <w:t xml:space="preserve"> Glutamyltransferase.</w:t>
      </w:r>
    </w:p>
    <w:p w:rsidR="00397CA1" w:rsidRPr="00F40118" w:rsidRDefault="00AB677F" w:rsidP="00EF6CF8">
      <w:pPr>
        <w:adjustRightInd w:val="0"/>
        <w:snapToGrid w:val="0"/>
        <w:spacing w:line="360" w:lineRule="auto"/>
        <w:jc w:val="both"/>
        <w:rPr>
          <w:rFonts w:ascii="Book Antiqua" w:eastAsia="Book Antiqua" w:hAnsi="Book Antiqua" w:cs="Book Antiqua"/>
          <w:color w:val="000000"/>
        </w:rPr>
      </w:pPr>
      <w:r w:rsidRPr="00F40118">
        <w:rPr>
          <w:rFonts w:ascii="Book Antiqua" w:eastAsia="Book Antiqua" w:hAnsi="Book Antiqua" w:cs="Book Antiqua"/>
          <w:color w:val="000000"/>
        </w:rPr>
        <w:br w:type="page"/>
      </w:r>
      <w:r w:rsidR="00397CA1" w:rsidRPr="00F40118">
        <w:rPr>
          <w:rFonts w:ascii="Book Antiqua" w:hAnsi="Book Antiqua"/>
          <w:b/>
          <w:bCs/>
        </w:rPr>
        <w:t>Table 3 Changes in laboratory and imaging variables from baseline during the trial</w:t>
      </w:r>
    </w:p>
    <w:tbl>
      <w:tblPr>
        <w:tblW w:w="5101" w:type="pct"/>
        <w:tblBorders>
          <w:top w:val="single" w:sz="4" w:space="0" w:color="auto"/>
          <w:bottom w:val="single" w:sz="4" w:space="0" w:color="auto"/>
        </w:tblBorders>
        <w:tblLayout w:type="fixed"/>
        <w:tblLook w:val="04A0" w:firstRow="1" w:lastRow="0" w:firstColumn="1" w:lastColumn="0" w:noHBand="0" w:noVBand="1"/>
      </w:tblPr>
      <w:tblGrid>
        <w:gridCol w:w="4645"/>
        <w:gridCol w:w="2833"/>
        <w:gridCol w:w="4678"/>
        <w:gridCol w:w="1570"/>
      </w:tblGrid>
      <w:tr w:rsidR="00F041E5" w:rsidRPr="00F40118" w:rsidTr="00DE6ECA">
        <w:trPr>
          <w:trHeight w:val="300"/>
        </w:trPr>
        <w:tc>
          <w:tcPr>
            <w:tcW w:w="1692" w:type="pct"/>
            <w:tcBorders>
              <w:top w:val="single" w:sz="4" w:space="0" w:color="auto"/>
              <w:bottom w:val="single" w:sz="4" w:space="0" w:color="auto"/>
            </w:tcBorders>
            <w:shd w:val="clear" w:color="auto" w:fill="auto"/>
            <w:noWrap/>
            <w:vAlign w:val="center"/>
          </w:tcPr>
          <w:p w:rsidR="00F041E5" w:rsidRPr="00F40118" w:rsidRDefault="00F041E5" w:rsidP="00EF6CF8">
            <w:pPr>
              <w:pStyle w:val="a6"/>
              <w:snapToGrid w:val="0"/>
              <w:spacing w:line="360" w:lineRule="auto"/>
              <w:jc w:val="both"/>
              <w:rPr>
                <w:rFonts w:ascii="Book Antiqua" w:hAnsi="Book Antiqua" w:cs="Times New Roman"/>
                <w:b/>
                <w:bCs/>
                <w:szCs w:val="24"/>
              </w:rPr>
            </w:pPr>
            <w:bookmarkStart w:id="51" w:name="_Hlk61447328"/>
            <w:r w:rsidRPr="00F40118">
              <w:rPr>
                <w:rFonts w:ascii="Book Antiqua" w:hAnsi="Book Antiqua" w:cs="Times New Roman"/>
                <w:b/>
                <w:bCs/>
                <w:szCs w:val="24"/>
              </w:rPr>
              <w:t>Parameter</w:t>
            </w:r>
          </w:p>
        </w:tc>
        <w:tc>
          <w:tcPr>
            <w:tcW w:w="1032" w:type="pct"/>
            <w:tcBorders>
              <w:top w:val="single" w:sz="4" w:space="0" w:color="auto"/>
              <w:bottom w:val="single" w:sz="4" w:space="0" w:color="auto"/>
            </w:tcBorders>
            <w:vAlign w:val="center"/>
          </w:tcPr>
          <w:p w:rsidR="00F041E5" w:rsidRPr="00F40118" w:rsidRDefault="00F041E5" w:rsidP="00EF6CF8">
            <w:pPr>
              <w:pStyle w:val="a6"/>
              <w:snapToGrid w:val="0"/>
              <w:spacing w:line="360" w:lineRule="auto"/>
              <w:jc w:val="both"/>
              <w:rPr>
                <w:rFonts w:ascii="Book Antiqua" w:hAnsi="Book Antiqua" w:cs="Times New Roman"/>
                <w:b/>
                <w:bCs/>
                <w:szCs w:val="24"/>
              </w:rPr>
            </w:pPr>
            <w:r w:rsidRPr="00F40118">
              <w:rPr>
                <w:rFonts w:ascii="Book Antiqua" w:hAnsi="Book Antiqua" w:cs="Times New Roman"/>
                <w:b/>
                <w:bCs/>
                <w:color w:val="000003"/>
                <w:szCs w:val="24"/>
              </w:rPr>
              <w:t>Baseline</w:t>
            </w:r>
          </w:p>
        </w:tc>
        <w:tc>
          <w:tcPr>
            <w:tcW w:w="1704" w:type="pct"/>
            <w:tcBorders>
              <w:top w:val="single" w:sz="4" w:space="0" w:color="auto"/>
              <w:bottom w:val="single" w:sz="4" w:space="0" w:color="auto"/>
            </w:tcBorders>
            <w:shd w:val="clear" w:color="auto" w:fill="auto"/>
            <w:noWrap/>
            <w:vAlign w:val="center"/>
          </w:tcPr>
          <w:p w:rsidR="00F041E5" w:rsidRPr="00F40118" w:rsidRDefault="00F041E5" w:rsidP="00EF6CF8">
            <w:pPr>
              <w:pStyle w:val="a6"/>
              <w:snapToGrid w:val="0"/>
              <w:spacing w:line="360" w:lineRule="auto"/>
              <w:jc w:val="both"/>
              <w:rPr>
                <w:rFonts w:ascii="Book Antiqua" w:hAnsi="Book Antiqua" w:cs="Times New Roman"/>
                <w:b/>
                <w:bCs/>
                <w:szCs w:val="24"/>
              </w:rPr>
            </w:pPr>
            <w:r w:rsidRPr="00F40118">
              <w:rPr>
                <w:rFonts w:ascii="Book Antiqua" w:eastAsia="Times New Roman" w:hAnsi="Book Antiqua" w:cs="Times New Roman"/>
                <w:b/>
                <w:szCs w:val="24"/>
              </w:rPr>
              <w:t>6 mo</w:t>
            </w:r>
          </w:p>
        </w:tc>
        <w:tc>
          <w:tcPr>
            <w:tcW w:w="572" w:type="pct"/>
            <w:tcBorders>
              <w:top w:val="single" w:sz="4" w:space="0" w:color="auto"/>
              <w:bottom w:val="single" w:sz="4" w:space="0" w:color="auto"/>
            </w:tcBorders>
            <w:vAlign w:val="center"/>
          </w:tcPr>
          <w:p w:rsidR="00F041E5" w:rsidRPr="00F40118" w:rsidRDefault="00F041E5" w:rsidP="00EF6CF8">
            <w:pPr>
              <w:pStyle w:val="a6"/>
              <w:snapToGrid w:val="0"/>
              <w:spacing w:line="360" w:lineRule="auto"/>
              <w:jc w:val="both"/>
              <w:rPr>
                <w:rFonts w:ascii="Book Antiqua" w:hAnsi="Book Antiqua" w:cs="Times New Roman"/>
                <w:b/>
                <w:bCs/>
                <w:i/>
                <w:szCs w:val="24"/>
              </w:rPr>
            </w:pPr>
            <w:r w:rsidRPr="00F40118">
              <w:rPr>
                <w:rFonts w:ascii="Book Antiqua" w:hAnsi="Book Antiqua" w:cs="Times New Roman"/>
                <w:b/>
                <w:bCs/>
                <w:i/>
                <w:szCs w:val="24"/>
              </w:rPr>
              <w:t xml:space="preserve">P </w:t>
            </w:r>
            <w:r w:rsidRPr="00F40118">
              <w:rPr>
                <w:rFonts w:ascii="Book Antiqua" w:hAnsi="Book Antiqua" w:cs="Times New Roman"/>
                <w:b/>
                <w:bCs/>
                <w:szCs w:val="24"/>
              </w:rPr>
              <w:t>value</w:t>
            </w:r>
          </w:p>
        </w:tc>
      </w:tr>
      <w:tr w:rsidR="00F041E5" w:rsidRPr="00F40118" w:rsidTr="00DE6ECA">
        <w:trPr>
          <w:trHeight w:val="300"/>
        </w:trPr>
        <w:tc>
          <w:tcPr>
            <w:tcW w:w="1692" w:type="pct"/>
            <w:tcBorders>
              <w:top w:val="single" w:sz="4" w:space="0" w:color="auto"/>
            </w:tcBorders>
            <w:shd w:val="clear" w:color="auto" w:fill="auto"/>
            <w:noWrap/>
            <w:vAlign w:val="center"/>
            <w:hideMark/>
          </w:tcPr>
          <w:p w:rsidR="00F041E5" w:rsidRPr="00F40118" w:rsidRDefault="00F041E5"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 xml:space="preserve">ТС </w:t>
            </w:r>
            <w:r w:rsidRPr="00F40118">
              <w:rPr>
                <w:rFonts w:ascii="Book Antiqua" w:eastAsia="Times New Roman" w:hAnsi="Book Antiqua" w:cs="Times New Roman"/>
                <w:szCs w:val="24"/>
              </w:rPr>
              <w:t>(total sample)</w:t>
            </w:r>
            <w:r w:rsidRPr="00F40118">
              <w:rPr>
                <w:rFonts w:ascii="Book Antiqua" w:eastAsia="Times New Roman" w:hAnsi="Book Antiqua" w:cs="Times New Roman"/>
                <w:bCs/>
                <w:szCs w:val="24"/>
              </w:rPr>
              <w:t>, mmol/</w:t>
            </w:r>
            <w:r w:rsidR="00A323A6" w:rsidRPr="00F40118">
              <w:rPr>
                <w:rFonts w:ascii="Book Antiqua" w:eastAsia="Times New Roman" w:hAnsi="Book Antiqua" w:cs="Times New Roman"/>
                <w:bCs/>
                <w:szCs w:val="24"/>
              </w:rPr>
              <w:t>L</w:t>
            </w:r>
          </w:p>
        </w:tc>
        <w:tc>
          <w:tcPr>
            <w:tcW w:w="1032" w:type="pct"/>
            <w:tcBorders>
              <w:top w:val="single" w:sz="4" w:space="0" w:color="auto"/>
            </w:tcBorders>
            <w:vAlign w:val="center"/>
          </w:tcPr>
          <w:p w:rsidR="00F041E5" w:rsidRPr="00F40118" w:rsidRDefault="00F041E5" w:rsidP="00EF6CF8">
            <w:pPr>
              <w:pStyle w:val="a6"/>
              <w:snapToGrid w:val="0"/>
              <w:spacing w:line="360" w:lineRule="auto"/>
              <w:jc w:val="both"/>
              <w:rPr>
                <w:rFonts w:ascii="Book Antiqua" w:hAnsi="Book Antiqua" w:cs="Times New Roman"/>
                <w:color w:val="auto"/>
                <w:szCs w:val="24"/>
              </w:rPr>
            </w:pPr>
            <w:r w:rsidRPr="00F40118">
              <w:rPr>
                <w:rFonts w:ascii="Book Antiqua" w:eastAsia="Times New Roman" w:hAnsi="Book Antiqua" w:cs="Times New Roman"/>
                <w:bCs/>
                <w:szCs w:val="24"/>
              </w:rPr>
              <w:t>6.03</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1.36</w:t>
            </w:r>
          </w:p>
        </w:tc>
        <w:tc>
          <w:tcPr>
            <w:tcW w:w="1704" w:type="pct"/>
            <w:tcBorders>
              <w:top w:val="single" w:sz="4" w:space="0" w:color="auto"/>
            </w:tcBorders>
            <w:shd w:val="clear" w:color="auto" w:fill="auto"/>
            <w:noWrap/>
            <w:vAlign w:val="center"/>
            <w:hideMark/>
          </w:tcPr>
          <w:p w:rsidR="00F041E5" w:rsidRPr="00F40118" w:rsidRDefault="00F041E5" w:rsidP="00EF6CF8">
            <w:pPr>
              <w:pStyle w:val="a6"/>
              <w:snapToGrid w:val="0"/>
              <w:spacing w:line="360" w:lineRule="auto"/>
              <w:jc w:val="both"/>
              <w:rPr>
                <w:rFonts w:ascii="Book Antiqua" w:hAnsi="Book Antiqua" w:cs="Times New Roman"/>
                <w:color w:val="auto"/>
                <w:szCs w:val="24"/>
              </w:rPr>
            </w:pPr>
            <w:r w:rsidRPr="00F40118">
              <w:rPr>
                <w:rFonts w:ascii="Book Antiqua" w:eastAsia="Times New Roman" w:hAnsi="Book Antiqua" w:cs="Times New Roman"/>
                <w:bCs/>
                <w:szCs w:val="24"/>
              </w:rPr>
              <w:t>5.76</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1.21</w:t>
            </w:r>
          </w:p>
        </w:tc>
        <w:tc>
          <w:tcPr>
            <w:tcW w:w="572" w:type="pct"/>
            <w:tcBorders>
              <w:top w:val="single" w:sz="4" w:space="0" w:color="auto"/>
            </w:tcBorders>
            <w:vAlign w:val="center"/>
          </w:tcPr>
          <w:p w:rsidR="00F041E5" w:rsidRPr="00F40118" w:rsidRDefault="00F041E5"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&lt;</w:t>
            </w:r>
            <w:r w:rsidR="00A323A6" w:rsidRPr="00F40118">
              <w:rPr>
                <w:rFonts w:ascii="Book Antiqua" w:eastAsia="Times New Roman" w:hAnsi="Book Antiqua" w:cs="Times New Roman"/>
                <w:bCs/>
                <w:szCs w:val="24"/>
              </w:rPr>
              <w:t xml:space="preserve"> </w:t>
            </w:r>
            <w:r w:rsidRPr="00F40118">
              <w:rPr>
                <w:rFonts w:ascii="Book Antiqua" w:eastAsia="Times New Roman" w:hAnsi="Book Antiqua" w:cs="Times New Roman"/>
                <w:bCs/>
                <w:szCs w:val="24"/>
              </w:rPr>
              <w:t>0.001</w:t>
            </w:r>
          </w:p>
        </w:tc>
      </w:tr>
      <w:tr w:rsidR="00F041E5" w:rsidRPr="00F40118" w:rsidTr="00DE6ECA">
        <w:trPr>
          <w:trHeight w:val="300"/>
        </w:trPr>
        <w:tc>
          <w:tcPr>
            <w:tcW w:w="1692" w:type="pct"/>
            <w:shd w:val="clear" w:color="auto" w:fill="auto"/>
            <w:noWrap/>
            <w:vAlign w:val="center"/>
          </w:tcPr>
          <w:p w:rsidR="00F041E5" w:rsidRPr="00F40118" w:rsidRDefault="00F041E5" w:rsidP="00EF6CF8">
            <w:pPr>
              <w:pStyle w:val="a6"/>
              <w:snapToGrid w:val="0"/>
              <w:spacing w:line="360" w:lineRule="auto"/>
              <w:ind w:firstLine="142"/>
              <w:jc w:val="both"/>
              <w:rPr>
                <w:rFonts w:ascii="Book Antiqua" w:hAnsi="Book Antiqua" w:cs="Times New Roman"/>
                <w:szCs w:val="24"/>
              </w:rPr>
            </w:pPr>
            <w:r w:rsidRPr="00F40118">
              <w:rPr>
                <w:rFonts w:ascii="Book Antiqua" w:eastAsia="Times New Roman" w:hAnsi="Book Antiqua" w:cs="Times New Roman"/>
                <w:szCs w:val="24"/>
              </w:rPr>
              <w:t>Men</w:t>
            </w:r>
          </w:p>
        </w:tc>
        <w:tc>
          <w:tcPr>
            <w:tcW w:w="1032" w:type="pct"/>
            <w:vAlign w:val="center"/>
          </w:tcPr>
          <w:p w:rsidR="00F041E5" w:rsidRPr="00F40118" w:rsidRDefault="00F041E5" w:rsidP="00EF6CF8">
            <w:pPr>
              <w:pStyle w:val="a6"/>
              <w:snapToGrid w:val="0"/>
              <w:spacing w:line="360" w:lineRule="auto"/>
              <w:jc w:val="both"/>
              <w:rPr>
                <w:rFonts w:ascii="Book Antiqua" w:hAnsi="Book Antiqua" w:cs="Times New Roman"/>
                <w:color w:val="auto"/>
                <w:szCs w:val="24"/>
              </w:rPr>
            </w:pPr>
            <w:r w:rsidRPr="00F40118">
              <w:rPr>
                <w:rFonts w:ascii="Book Antiqua" w:eastAsia="Times New Roman" w:hAnsi="Book Antiqua" w:cs="Times New Roman"/>
                <w:bCs/>
                <w:szCs w:val="24"/>
              </w:rPr>
              <w:t>5.99</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1.39</w:t>
            </w:r>
          </w:p>
        </w:tc>
        <w:tc>
          <w:tcPr>
            <w:tcW w:w="1704" w:type="pct"/>
            <w:shd w:val="clear" w:color="auto" w:fill="auto"/>
            <w:noWrap/>
            <w:vAlign w:val="center"/>
          </w:tcPr>
          <w:p w:rsidR="00F041E5" w:rsidRPr="00F40118" w:rsidRDefault="00F041E5" w:rsidP="00EF6CF8">
            <w:pPr>
              <w:pStyle w:val="a6"/>
              <w:snapToGrid w:val="0"/>
              <w:spacing w:line="360" w:lineRule="auto"/>
              <w:jc w:val="both"/>
              <w:rPr>
                <w:rFonts w:ascii="Book Antiqua" w:hAnsi="Book Antiqua" w:cs="Times New Roman"/>
                <w:color w:val="auto"/>
                <w:szCs w:val="24"/>
              </w:rPr>
            </w:pPr>
            <w:r w:rsidRPr="00F40118">
              <w:rPr>
                <w:rFonts w:ascii="Book Antiqua" w:eastAsia="Times New Roman" w:hAnsi="Book Antiqua" w:cs="Times New Roman"/>
                <w:bCs/>
                <w:szCs w:val="24"/>
              </w:rPr>
              <w:t>5.77</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1.24</w:t>
            </w:r>
          </w:p>
        </w:tc>
        <w:tc>
          <w:tcPr>
            <w:tcW w:w="572" w:type="pct"/>
            <w:vAlign w:val="center"/>
          </w:tcPr>
          <w:p w:rsidR="00F041E5" w:rsidRPr="00F40118" w:rsidRDefault="00F041E5"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0.00</w:t>
            </w:r>
            <w:r w:rsidRPr="00F40118">
              <w:rPr>
                <w:rFonts w:ascii="Book Antiqua" w:eastAsia="Times New Roman" w:hAnsi="Book Antiqua" w:cs="Times New Roman"/>
                <w:bCs/>
                <w:szCs w:val="24"/>
                <w:lang w:val="ru-RU"/>
              </w:rPr>
              <w:t>3</w:t>
            </w:r>
          </w:p>
        </w:tc>
      </w:tr>
      <w:tr w:rsidR="00F041E5" w:rsidRPr="00F40118" w:rsidTr="00DE6ECA">
        <w:trPr>
          <w:trHeight w:val="300"/>
        </w:trPr>
        <w:tc>
          <w:tcPr>
            <w:tcW w:w="1692" w:type="pct"/>
            <w:shd w:val="clear" w:color="auto" w:fill="auto"/>
            <w:noWrap/>
            <w:vAlign w:val="center"/>
            <w:hideMark/>
          </w:tcPr>
          <w:p w:rsidR="00F041E5" w:rsidRPr="00F40118" w:rsidRDefault="00F041E5" w:rsidP="00EF6CF8">
            <w:pPr>
              <w:pStyle w:val="a6"/>
              <w:snapToGrid w:val="0"/>
              <w:spacing w:line="360" w:lineRule="auto"/>
              <w:ind w:firstLine="142"/>
              <w:jc w:val="both"/>
              <w:rPr>
                <w:rFonts w:ascii="Book Antiqua" w:hAnsi="Book Antiqua" w:cs="Times New Roman"/>
                <w:szCs w:val="24"/>
              </w:rPr>
            </w:pPr>
            <w:r w:rsidRPr="00F40118">
              <w:rPr>
                <w:rFonts w:ascii="Book Antiqua" w:eastAsia="Times New Roman" w:hAnsi="Book Antiqua" w:cs="Times New Roman"/>
                <w:szCs w:val="24"/>
              </w:rPr>
              <w:t>Women</w:t>
            </w:r>
          </w:p>
        </w:tc>
        <w:tc>
          <w:tcPr>
            <w:tcW w:w="1032" w:type="pct"/>
            <w:vAlign w:val="center"/>
          </w:tcPr>
          <w:p w:rsidR="00F041E5" w:rsidRPr="00F40118" w:rsidRDefault="00F041E5" w:rsidP="00EF6CF8">
            <w:pPr>
              <w:pStyle w:val="a6"/>
              <w:snapToGrid w:val="0"/>
              <w:spacing w:line="360" w:lineRule="auto"/>
              <w:jc w:val="both"/>
              <w:rPr>
                <w:rFonts w:ascii="Book Antiqua" w:hAnsi="Book Antiqua" w:cs="Times New Roman"/>
                <w:color w:val="auto"/>
                <w:szCs w:val="24"/>
              </w:rPr>
            </w:pPr>
            <w:r w:rsidRPr="00F40118">
              <w:rPr>
                <w:rFonts w:ascii="Book Antiqua" w:eastAsia="Times New Roman" w:hAnsi="Book Antiqua" w:cs="Times New Roman"/>
                <w:bCs/>
                <w:szCs w:val="24"/>
              </w:rPr>
              <w:t>6.11</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1.32</w:t>
            </w:r>
          </w:p>
        </w:tc>
        <w:tc>
          <w:tcPr>
            <w:tcW w:w="1704" w:type="pct"/>
            <w:shd w:val="clear" w:color="auto" w:fill="auto"/>
            <w:noWrap/>
            <w:vAlign w:val="center"/>
            <w:hideMark/>
          </w:tcPr>
          <w:p w:rsidR="00F041E5" w:rsidRPr="00F40118" w:rsidRDefault="00F041E5" w:rsidP="00EF6CF8">
            <w:pPr>
              <w:pStyle w:val="a6"/>
              <w:snapToGrid w:val="0"/>
              <w:spacing w:line="360" w:lineRule="auto"/>
              <w:jc w:val="both"/>
              <w:rPr>
                <w:rFonts w:ascii="Book Antiqua" w:hAnsi="Book Antiqua" w:cs="Times New Roman"/>
                <w:color w:val="auto"/>
                <w:szCs w:val="24"/>
              </w:rPr>
            </w:pPr>
            <w:r w:rsidRPr="00F40118">
              <w:rPr>
                <w:rFonts w:ascii="Book Antiqua" w:eastAsia="Times New Roman" w:hAnsi="Book Antiqua" w:cs="Times New Roman"/>
                <w:bCs/>
                <w:szCs w:val="24"/>
              </w:rPr>
              <w:t>5.73</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1.16</w:t>
            </w:r>
          </w:p>
        </w:tc>
        <w:tc>
          <w:tcPr>
            <w:tcW w:w="572" w:type="pct"/>
            <w:vAlign w:val="center"/>
          </w:tcPr>
          <w:p w:rsidR="00F041E5" w:rsidRPr="00F40118" w:rsidRDefault="00F041E5"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0.019</w:t>
            </w:r>
          </w:p>
        </w:tc>
      </w:tr>
      <w:tr w:rsidR="00F041E5" w:rsidRPr="00F40118" w:rsidTr="00DE6ECA">
        <w:trPr>
          <w:trHeight w:val="300"/>
        </w:trPr>
        <w:tc>
          <w:tcPr>
            <w:tcW w:w="1692" w:type="pct"/>
            <w:shd w:val="clear" w:color="auto" w:fill="auto"/>
            <w:noWrap/>
            <w:vAlign w:val="center"/>
          </w:tcPr>
          <w:p w:rsidR="00F041E5" w:rsidRPr="00F40118" w:rsidRDefault="00F041E5"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 xml:space="preserve">LDL </w:t>
            </w:r>
            <w:r w:rsidRPr="00F40118">
              <w:rPr>
                <w:rFonts w:ascii="Book Antiqua" w:eastAsia="Times New Roman" w:hAnsi="Book Antiqua" w:cs="Times New Roman"/>
                <w:szCs w:val="24"/>
              </w:rPr>
              <w:t>(total sample)</w:t>
            </w:r>
            <w:r w:rsidRPr="00F40118">
              <w:rPr>
                <w:rFonts w:ascii="Book Antiqua" w:eastAsia="Times New Roman" w:hAnsi="Book Antiqua" w:cs="Times New Roman"/>
                <w:bCs/>
                <w:szCs w:val="24"/>
              </w:rPr>
              <w:t>, mmol/</w:t>
            </w:r>
            <w:r w:rsidR="00A323A6" w:rsidRPr="00F40118">
              <w:rPr>
                <w:rFonts w:ascii="Book Antiqua" w:eastAsia="Times New Roman" w:hAnsi="Book Antiqua" w:cs="Times New Roman"/>
                <w:bCs/>
                <w:szCs w:val="24"/>
              </w:rPr>
              <w:t>L</w:t>
            </w:r>
          </w:p>
        </w:tc>
        <w:tc>
          <w:tcPr>
            <w:tcW w:w="1032" w:type="pct"/>
            <w:vAlign w:val="center"/>
          </w:tcPr>
          <w:p w:rsidR="00F041E5" w:rsidRPr="00F40118" w:rsidRDefault="00F041E5"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3.86</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1.01</w:t>
            </w:r>
          </w:p>
        </w:tc>
        <w:tc>
          <w:tcPr>
            <w:tcW w:w="1704" w:type="pct"/>
            <w:shd w:val="clear" w:color="auto" w:fill="auto"/>
            <w:noWrap/>
            <w:vAlign w:val="center"/>
          </w:tcPr>
          <w:p w:rsidR="00F041E5" w:rsidRPr="00F40118" w:rsidRDefault="00F041E5"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3.66</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0.91</w:t>
            </w:r>
          </w:p>
        </w:tc>
        <w:tc>
          <w:tcPr>
            <w:tcW w:w="572" w:type="pct"/>
            <w:vAlign w:val="center"/>
          </w:tcPr>
          <w:p w:rsidR="00F041E5" w:rsidRPr="00F40118" w:rsidRDefault="00F041E5"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&lt;</w:t>
            </w:r>
            <w:r w:rsidR="00A323A6" w:rsidRPr="00F40118">
              <w:rPr>
                <w:rFonts w:ascii="Book Antiqua" w:eastAsia="Times New Roman" w:hAnsi="Book Antiqua" w:cs="Times New Roman"/>
                <w:bCs/>
                <w:szCs w:val="24"/>
              </w:rPr>
              <w:t xml:space="preserve"> </w:t>
            </w:r>
            <w:r w:rsidRPr="00F40118">
              <w:rPr>
                <w:rFonts w:ascii="Book Antiqua" w:eastAsia="Times New Roman" w:hAnsi="Book Antiqua" w:cs="Times New Roman"/>
                <w:bCs/>
                <w:szCs w:val="24"/>
              </w:rPr>
              <w:t>0.001</w:t>
            </w:r>
          </w:p>
        </w:tc>
      </w:tr>
      <w:tr w:rsidR="00F041E5" w:rsidRPr="00F40118" w:rsidTr="00DE6ECA">
        <w:trPr>
          <w:trHeight w:val="300"/>
        </w:trPr>
        <w:tc>
          <w:tcPr>
            <w:tcW w:w="1692" w:type="pct"/>
            <w:shd w:val="clear" w:color="auto" w:fill="auto"/>
            <w:noWrap/>
            <w:vAlign w:val="center"/>
            <w:hideMark/>
          </w:tcPr>
          <w:p w:rsidR="00F041E5" w:rsidRPr="00F40118" w:rsidRDefault="00F041E5" w:rsidP="00EF6CF8">
            <w:pPr>
              <w:pStyle w:val="a6"/>
              <w:snapToGrid w:val="0"/>
              <w:spacing w:line="360" w:lineRule="auto"/>
              <w:ind w:firstLine="142"/>
              <w:jc w:val="both"/>
              <w:rPr>
                <w:rFonts w:ascii="Book Antiqua" w:hAnsi="Book Antiqua" w:cs="Times New Roman"/>
                <w:szCs w:val="24"/>
              </w:rPr>
            </w:pPr>
            <w:r w:rsidRPr="00F40118">
              <w:rPr>
                <w:rFonts w:ascii="Book Antiqua" w:eastAsia="Times New Roman" w:hAnsi="Book Antiqua" w:cs="Times New Roman"/>
                <w:szCs w:val="24"/>
              </w:rPr>
              <w:t>Men</w:t>
            </w:r>
          </w:p>
        </w:tc>
        <w:tc>
          <w:tcPr>
            <w:tcW w:w="1032" w:type="pct"/>
            <w:vAlign w:val="center"/>
          </w:tcPr>
          <w:p w:rsidR="00F041E5" w:rsidRPr="00F40118" w:rsidRDefault="00F041E5"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3.81</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1.04</w:t>
            </w:r>
          </w:p>
        </w:tc>
        <w:tc>
          <w:tcPr>
            <w:tcW w:w="1704" w:type="pct"/>
            <w:shd w:val="clear" w:color="auto" w:fill="auto"/>
            <w:noWrap/>
            <w:vAlign w:val="center"/>
            <w:hideMark/>
          </w:tcPr>
          <w:p w:rsidR="00F041E5" w:rsidRPr="00F40118" w:rsidRDefault="00F041E5"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3.67</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0.90</w:t>
            </w:r>
          </w:p>
        </w:tc>
        <w:tc>
          <w:tcPr>
            <w:tcW w:w="572" w:type="pct"/>
            <w:vAlign w:val="center"/>
          </w:tcPr>
          <w:p w:rsidR="00F041E5" w:rsidRPr="00F40118" w:rsidRDefault="00F041E5"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0.033</w:t>
            </w:r>
          </w:p>
        </w:tc>
      </w:tr>
      <w:tr w:rsidR="00F041E5" w:rsidRPr="00F40118" w:rsidTr="00DE6ECA">
        <w:trPr>
          <w:trHeight w:val="300"/>
        </w:trPr>
        <w:tc>
          <w:tcPr>
            <w:tcW w:w="1692" w:type="pct"/>
            <w:shd w:val="clear" w:color="auto" w:fill="auto"/>
            <w:noWrap/>
            <w:vAlign w:val="center"/>
          </w:tcPr>
          <w:p w:rsidR="00F041E5" w:rsidRPr="00F40118" w:rsidRDefault="00F041E5" w:rsidP="00EF6CF8">
            <w:pPr>
              <w:pStyle w:val="a6"/>
              <w:snapToGrid w:val="0"/>
              <w:spacing w:line="360" w:lineRule="auto"/>
              <w:ind w:firstLine="142"/>
              <w:jc w:val="both"/>
              <w:rPr>
                <w:rFonts w:ascii="Book Antiqua" w:hAnsi="Book Antiqua" w:cs="Times New Roman"/>
                <w:szCs w:val="24"/>
              </w:rPr>
            </w:pPr>
            <w:r w:rsidRPr="00F40118">
              <w:rPr>
                <w:rFonts w:ascii="Book Antiqua" w:eastAsia="Times New Roman" w:hAnsi="Book Antiqua" w:cs="Times New Roman"/>
                <w:szCs w:val="24"/>
              </w:rPr>
              <w:t>Women</w:t>
            </w:r>
          </w:p>
        </w:tc>
        <w:tc>
          <w:tcPr>
            <w:tcW w:w="1032" w:type="pct"/>
            <w:vAlign w:val="center"/>
          </w:tcPr>
          <w:p w:rsidR="00F041E5" w:rsidRPr="00F40118" w:rsidRDefault="00F041E5"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4.0</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0.94</w:t>
            </w:r>
          </w:p>
        </w:tc>
        <w:tc>
          <w:tcPr>
            <w:tcW w:w="1704" w:type="pct"/>
            <w:shd w:val="clear" w:color="auto" w:fill="auto"/>
            <w:noWrap/>
            <w:vAlign w:val="center"/>
          </w:tcPr>
          <w:p w:rsidR="00F041E5" w:rsidRPr="00F40118" w:rsidRDefault="00F041E5"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3.65</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0.93</w:t>
            </w:r>
          </w:p>
        </w:tc>
        <w:tc>
          <w:tcPr>
            <w:tcW w:w="572" w:type="pct"/>
            <w:vAlign w:val="center"/>
          </w:tcPr>
          <w:p w:rsidR="00F041E5" w:rsidRPr="00F40118" w:rsidRDefault="00F041E5"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0.00</w:t>
            </w:r>
            <w:r w:rsidRPr="00F40118">
              <w:rPr>
                <w:rFonts w:ascii="Book Antiqua" w:eastAsia="Times New Roman" w:hAnsi="Book Antiqua" w:cs="Times New Roman"/>
                <w:bCs/>
                <w:szCs w:val="24"/>
                <w:lang w:val="ru-RU"/>
              </w:rPr>
              <w:t>6</w:t>
            </w:r>
          </w:p>
        </w:tc>
      </w:tr>
      <w:tr w:rsidR="00F041E5" w:rsidRPr="00F40118" w:rsidTr="00DE6ECA">
        <w:trPr>
          <w:trHeight w:val="300"/>
        </w:trPr>
        <w:tc>
          <w:tcPr>
            <w:tcW w:w="1692" w:type="pct"/>
            <w:shd w:val="clear" w:color="auto" w:fill="auto"/>
            <w:noWrap/>
            <w:vAlign w:val="center"/>
            <w:hideMark/>
          </w:tcPr>
          <w:p w:rsidR="00F041E5" w:rsidRPr="00F40118" w:rsidRDefault="00F041E5"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 xml:space="preserve">HDL </w:t>
            </w:r>
            <w:r w:rsidRPr="00F40118">
              <w:rPr>
                <w:rFonts w:ascii="Book Antiqua" w:eastAsia="Times New Roman" w:hAnsi="Book Antiqua" w:cs="Times New Roman"/>
                <w:szCs w:val="24"/>
              </w:rPr>
              <w:t>(total sample)</w:t>
            </w:r>
            <w:r w:rsidRPr="00F40118">
              <w:rPr>
                <w:rFonts w:ascii="Book Antiqua" w:eastAsia="Times New Roman" w:hAnsi="Book Antiqua" w:cs="Times New Roman"/>
                <w:bCs/>
                <w:szCs w:val="24"/>
              </w:rPr>
              <w:t>, mmol/</w:t>
            </w:r>
            <w:r w:rsidR="00A323A6" w:rsidRPr="00F40118">
              <w:rPr>
                <w:rFonts w:ascii="Book Antiqua" w:eastAsia="Times New Roman" w:hAnsi="Book Antiqua" w:cs="Times New Roman"/>
                <w:bCs/>
                <w:szCs w:val="24"/>
              </w:rPr>
              <w:t>L</w:t>
            </w:r>
          </w:p>
        </w:tc>
        <w:tc>
          <w:tcPr>
            <w:tcW w:w="1032" w:type="pct"/>
            <w:vAlign w:val="center"/>
          </w:tcPr>
          <w:p w:rsidR="00F041E5" w:rsidRPr="00F40118" w:rsidRDefault="00F041E5"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1.24</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0.32</w:t>
            </w:r>
          </w:p>
        </w:tc>
        <w:tc>
          <w:tcPr>
            <w:tcW w:w="1704" w:type="pct"/>
            <w:shd w:val="clear" w:color="auto" w:fill="auto"/>
            <w:noWrap/>
            <w:vAlign w:val="center"/>
            <w:hideMark/>
          </w:tcPr>
          <w:p w:rsidR="00F041E5" w:rsidRPr="00F40118" w:rsidRDefault="00F041E5"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1.24</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0.27</w:t>
            </w:r>
          </w:p>
        </w:tc>
        <w:tc>
          <w:tcPr>
            <w:tcW w:w="572" w:type="pct"/>
            <w:vAlign w:val="center"/>
          </w:tcPr>
          <w:p w:rsidR="00F041E5" w:rsidRPr="00F40118" w:rsidRDefault="00F041E5"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0.91</w:t>
            </w:r>
            <w:r w:rsidRPr="00F40118">
              <w:rPr>
                <w:rFonts w:ascii="Book Antiqua" w:eastAsia="Times New Roman" w:hAnsi="Book Antiqua" w:cs="Times New Roman"/>
                <w:bCs/>
                <w:szCs w:val="24"/>
                <w:lang w:val="ru-RU"/>
              </w:rPr>
              <w:t>0</w:t>
            </w:r>
          </w:p>
        </w:tc>
      </w:tr>
      <w:tr w:rsidR="00F041E5" w:rsidRPr="00F40118" w:rsidTr="00DE6ECA">
        <w:trPr>
          <w:trHeight w:val="300"/>
        </w:trPr>
        <w:tc>
          <w:tcPr>
            <w:tcW w:w="1692" w:type="pct"/>
            <w:shd w:val="clear" w:color="auto" w:fill="auto"/>
            <w:noWrap/>
            <w:vAlign w:val="center"/>
            <w:hideMark/>
          </w:tcPr>
          <w:p w:rsidR="00F041E5" w:rsidRPr="00F40118" w:rsidRDefault="00F041E5" w:rsidP="00EF6CF8">
            <w:pPr>
              <w:pStyle w:val="a6"/>
              <w:snapToGrid w:val="0"/>
              <w:spacing w:line="360" w:lineRule="auto"/>
              <w:ind w:firstLine="142"/>
              <w:jc w:val="both"/>
              <w:rPr>
                <w:rFonts w:ascii="Book Antiqua" w:hAnsi="Book Antiqua" w:cs="Times New Roman"/>
                <w:szCs w:val="24"/>
              </w:rPr>
            </w:pPr>
            <w:r w:rsidRPr="00F40118">
              <w:rPr>
                <w:rFonts w:ascii="Book Antiqua" w:eastAsia="Times New Roman" w:hAnsi="Book Antiqua" w:cs="Times New Roman"/>
                <w:szCs w:val="24"/>
              </w:rPr>
              <w:t>Men</w:t>
            </w:r>
          </w:p>
        </w:tc>
        <w:tc>
          <w:tcPr>
            <w:tcW w:w="1032" w:type="pct"/>
            <w:vAlign w:val="center"/>
          </w:tcPr>
          <w:p w:rsidR="00F041E5" w:rsidRPr="00F40118" w:rsidRDefault="00F041E5"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1.24</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0.33</w:t>
            </w:r>
          </w:p>
        </w:tc>
        <w:tc>
          <w:tcPr>
            <w:tcW w:w="1704" w:type="pct"/>
            <w:shd w:val="clear" w:color="auto" w:fill="auto"/>
            <w:noWrap/>
            <w:vAlign w:val="center"/>
            <w:hideMark/>
          </w:tcPr>
          <w:p w:rsidR="00F041E5" w:rsidRPr="00F40118" w:rsidRDefault="00F041E5"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1.21</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0.22</w:t>
            </w:r>
          </w:p>
        </w:tc>
        <w:tc>
          <w:tcPr>
            <w:tcW w:w="572" w:type="pct"/>
            <w:vAlign w:val="center"/>
          </w:tcPr>
          <w:p w:rsidR="00F041E5" w:rsidRPr="00F40118" w:rsidRDefault="00F041E5"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0.16</w:t>
            </w:r>
            <w:r w:rsidRPr="00F40118">
              <w:rPr>
                <w:rFonts w:ascii="Book Antiqua" w:eastAsia="Times New Roman" w:hAnsi="Book Antiqua" w:cs="Times New Roman"/>
                <w:bCs/>
                <w:szCs w:val="24"/>
                <w:lang w:val="ru-RU"/>
              </w:rPr>
              <w:t>0</w:t>
            </w:r>
          </w:p>
        </w:tc>
      </w:tr>
      <w:tr w:rsidR="00F041E5" w:rsidRPr="00F40118" w:rsidTr="00DE6ECA">
        <w:trPr>
          <w:trHeight w:val="300"/>
        </w:trPr>
        <w:tc>
          <w:tcPr>
            <w:tcW w:w="1692" w:type="pct"/>
            <w:shd w:val="clear" w:color="auto" w:fill="auto"/>
            <w:noWrap/>
            <w:vAlign w:val="center"/>
            <w:hideMark/>
          </w:tcPr>
          <w:p w:rsidR="00F041E5" w:rsidRPr="00F40118" w:rsidRDefault="00F041E5" w:rsidP="00EF6CF8">
            <w:pPr>
              <w:pStyle w:val="a6"/>
              <w:snapToGrid w:val="0"/>
              <w:spacing w:line="360" w:lineRule="auto"/>
              <w:ind w:firstLine="142"/>
              <w:jc w:val="both"/>
              <w:rPr>
                <w:rFonts w:ascii="Book Antiqua" w:hAnsi="Book Antiqua" w:cs="Times New Roman"/>
                <w:szCs w:val="24"/>
              </w:rPr>
            </w:pPr>
            <w:r w:rsidRPr="00F40118">
              <w:rPr>
                <w:rFonts w:ascii="Book Antiqua" w:eastAsia="Times New Roman" w:hAnsi="Book Antiqua" w:cs="Times New Roman"/>
                <w:szCs w:val="24"/>
              </w:rPr>
              <w:t>Women</w:t>
            </w:r>
          </w:p>
        </w:tc>
        <w:tc>
          <w:tcPr>
            <w:tcW w:w="1032" w:type="pct"/>
            <w:vAlign w:val="center"/>
          </w:tcPr>
          <w:p w:rsidR="00F041E5" w:rsidRPr="00F40118" w:rsidRDefault="00F041E5"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1.23</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0.29</w:t>
            </w:r>
          </w:p>
        </w:tc>
        <w:tc>
          <w:tcPr>
            <w:tcW w:w="1704" w:type="pct"/>
            <w:shd w:val="clear" w:color="auto" w:fill="auto"/>
            <w:noWrap/>
            <w:vAlign w:val="center"/>
            <w:hideMark/>
          </w:tcPr>
          <w:p w:rsidR="00F041E5" w:rsidRPr="00F40118" w:rsidRDefault="00F041E5"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1.31</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0.34</w:t>
            </w:r>
          </w:p>
        </w:tc>
        <w:tc>
          <w:tcPr>
            <w:tcW w:w="572" w:type="pct"/>
            <w:vAlign w:val="center"/>
          </w:tcPr>
          <w:p w:rsidR="00F041E5" w:rsidRPr="00F40118" w:rsidRDefault="00F041E5"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0.036</w:t>
            </w:r>
          </w:p>
        </w:tc>
      </w:tr>
      <w:tr w:rsidR="00F041E5" w:rsidRPr="00F40118" w:rsidTr="00DE6ECA">
        <w:trPr>
          <w:trHeight w:val="300"/>
        </w:trPr>
        <w:tc>
          <w:tcPr>
            <w:tcW w:w="1692" w:type="pct"/>
            <w:shd w:val="clear" w:color="auto" w:fill="auto"/>
            <w:noWrap/>
            <w:vAlign w:val="center"/>
          </w:tcPr>
          <w:p w:rsidR="00F041E5" w:rsidRPr="00F40118" w:rsidRDefault="00F041E5"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 xml:space="preserve">TG </w:t>
            </w:r>
            <w:r w:rsidRPr="00F40118">
              <w:rPr>
                <w:rFonts w:ascii="Book Antiqua" w:eastAsia="Times New Roman" w:hAnsi="Book Antiqua" w:cs="Times New Roman"/>
                <w:szCs w:val="24"/>
              </w:rPr>
              <w:t>(total sample)</w:t>
            </w:r>
            <w:r w:rsidRPr="00F40118">
              <w:rPr>
                <w:rFonts w:ascii="Book Antiqua" w:eastAsia="Times New Roman" w:hAnsi="Book Antiqua" w:cs="Times New Roman"/>
                <w:bCs/>
                <w:szCs w:val="24"/>
              </w:rPr>
              <w:t>, mmol/</w:t>
            </w:r>
            <w:r w:rsidR="00A323A6" w:rsidRPr="00F40118">
              <w:rPr>
                <w:rFonts w:ascii="Book Antiqua" w:eastAsia="Times New Roman" w:hAnsi="Book Antiqua" w:cs="Times New Roman"/>
                <w:bCs/>
                <w:szCs w:val="24"/>
              </w:rPr>
              <w:t>L</w:t>
            </w:r>
          </w:p>
        </w:tc>
        <w:tc>
          <w:tcPr>
            <w:tcW w:w="1032" w:type="pct"/>
            <w:vAlign w:val="center"/>
          </w:tcPr>
          <w:p w:rsidR="00F041E5" w:rsidRPr="00F40118" w:rsidRDefault="00F041E5"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3.18 (2.00;</w:t>
            </w:r>
            <w:r w:rsidR="00D735F9" w:rsidRPr="00F40118">
              <w:rPr>
                <w:rFonts w:ascii="Book Antiqua" w:eastAsia="Times New Roman" w:hAnsi="Book Antiqua" w:cs="Times New Roman"/>
                <w:bCs/>
                <w:szCs w:val="24"/>
              </w:rPr>
              <w:t xml:space="preserve"> </w:t>
            </w:r>
            <w:r w:rsidRPr="00F40118">
              <w:rPr>
                <w:rFonts w:ascii="Book Antiqua" w:eastAsia="Times New Roman" w:hAnsi="Book Antiqua" w:cs="Times New Roman"/>
                <w:bCs/>
                <w:szCs w:val="24"/>
              </w:rPr>
              <w:t>4.29)</w:t>
            </w:r>
          </w:p>
        </w:tc>
        <w:tc>
          <w:tcPr>
            <w:tcW w:w="1704" w:type="pct"/>
            <w:shd w:val="clear" w:color="auto" w:fill="auto"/>
            <w:noWrap/>
            <w:vAlign w:val="center"/>
          </w:tcPr>
          <w:p w:rsidR="00F041E5" w:rsidRPr="00F40118" w:rsidRDefault="00F041E5"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2.04 (1.40;</w:t>
            </w:r>
            <w:r w:rsidR="00D735F9" w:rsidRPr="00F40118">
              <w:rPr>
                <w:rFonts w:ascii="Book Antiqua" w:eastAsia="Times New Roman" w:hAnsi="Book Antiqua" w:cs="Times New Roman"/>
                <w:bCs/>
                <w:szCs w:val="24"/>
              </w:rPr>
              <w:t xml:space="preserve"> </w:t>
            </w:r>
            <w:r w:rsidRPr="00F40118">
              <w:rPr>
                <w:rFonts w:ascii="Book Antiqua" w:eastAsia="Times New Roman" w:hAnsi="Book Antiqua" w:cs="Times New Roman"/>
                <w:bCs/>
                <w:szCs w:val="24"/>
              </w:rPr>
              <w:t>3.16)</w:t>
            </w:r>
          </w:p>
        </w:tc>
        <w:tc>
          <w:tcPr>
            <w:tcW w:w="572" w:type="pct"/>
            <w:vAlign w:val="center"/>
          </w:tcPr>
          <w:p w:rsidR="00F041E5" w:rsidRPr="00F40118" w:rsidRDefault="00F041E5"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&lt;</w:t>
            </w:r>
            <w:r w:rsidR="00A323A6" w:rsidRPr="00F40118">
              <w:rPr>
                <w:rFonts w:ascii="Book Antiqua" w:eastAsia="Times New Roman" w:hAnsi="Book Antiqua" w:cs="Times New Roman"/>
                <w:bCs/>
                <w:szCs w:val="24"/>
              </w:rPr>
              <w:t xml:space="preserve"> </w:t>
            </w:r>
            <w:r w:rsidRPr="00F40118">
              <w:rPr>
                <w:rFonts w:ascii="Book Antiqua" w:eastAsia="Times New Roman" w:hAnsi="Book Antiqua" w:cs="Times New Roman"/>
                <w:bCs/>
                <w:szCs w:val="24"/>
              </w:rPr>
              <w:t>0.001</w:t>
            </w:r>
          </w:p>
        </w:tc>
      </w:tr>
      <w:tr w:rsidR="00F041E5" w:rsidRPr="00F40118" w:rsidTr="00DE6ECA">
        <w:trPr>
          <w:trHeight w:val="300"/>
        </w:trPr>
        <w:tc>
          <w:tcPr>
            <w:tcW w:w="1692" w:type="pct"/>
            <w:shd w:val="clear" w:color="auto" w:fill="auto"/>
            <w:noWrap/>
            <w:vAlign w:val="center"/>
          </w:tcPr>
          <w:p w:rsidR="00F041E5" w:rsidRPr="00F40118" w:rsidRDefault="00F041E5" w:rsidP="00EF6CF8">
            <w:pPr>
              <w:pStyle w:val="a6"/>
              <w:snapToGrid w:val="0"/>
              <w:spacing w:line="360" w:lineRule="auto"/>
              <w:ind w:firstLineChars="50" w:firstLine="120"/>
              <w:jc w:val="both"/>
              <w:rPr>
                <w:rFonts w:ascii="Book Antiqua" w:hAnsi="Book Antiqua" w:cs="Times New Roman"/>
                <w:szCs w:val="24"/>
              </w:rPr>
            </w:pPr>
            <w:r w:rsidRPr="00F40118">
              <w:rPr>
                <w:rFonts w:ascii="Book Antiqua" w:eastAsia="Times New Roman" w:hAnsi="Book Antiqua" w:cs="Times New Roman"/>
                <w:szCs w:val="24"/>
              </w:rPr>
              <w:t>Men</w:t>
            </w:r>
          </w:p>
        </w:tc>
        <w:tc>
          <w:tcPr>
            <w:tcW w:w="1032" w:type="pct"/>
            <w:vAlign w:val="center"/>
          </w:tcPr>
          <w:p w:rsidR="00F041E5" w:rsidRPr="00F40118" w:rsidRDefault="00F041E5"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3.13 (2.10;</w:t>
            </w:r>
            <w:r w:rsidR="00D735F9" w:rsidRPr="00F40118">
              <w:rPr>
                <w:rFonts w:ascii="Book Antiqua" w:eastAsia="Times New Roman" w:hAnsi="Book Antiqua" w:cs="Times New Roman"/>
                <w:bCs/>
                <w:szCs w:val="24"/>
              </w:rPr>
              <w:t xml:space="preserve"> </w:t>
            </w:r>
            <w:r w:rsidRPr="00F40118">
              <w:rPr>
                <w:rFonts w:ascii="Book Antiqua" w:eastAsia="Times New Roman" w:hAnsi="Book Antiqua" w:cs="Times New Roman"/>
                <w:bCs/>
                <w:szCs w:val="24"/>
              </w:rPr>
              <w:t>4.29)</w:t>
            </w:r>
          </w:p>
        </w:tc>
        <w:tc>
          <w:tcPr>
            <w:tcW w:w="1704" w:type="pct"/>
            <w:shd w:val="clear" w:color="auto" w:fill="auto"/>
            <w:noWrap/>
            <w:vAlign w:val="center"/>
          </w:tcPr>
          <w:p w:rsidR="00F041E5" w:rsidRPr="00F40118" w:rsidRDefault="00F041E5"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2.04</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(1.4; 2.79)</w:t>
            </w:r>
          </w:p>
        </w:tc>
        <w:tc>
          <w:tcPr>
            <w:tcW w:w="572" w:type="pct"/>
            <w:vAlign w:val="center"/>
          </w:tcPr>
          <w:p w:rsidR="00F041E5" w:rsidRPr="00F40118" w:rsidRDefault="00F041E5"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&lt;</w:t>
            </w:r>
            <w:r w:rsidR="00A323A6" w:rsidRPr="00F40118">
              <w:rPr>
                <w:rFonts w:ascii="Book Antiqua" w:eastAsia="Times New Roman" w:hAnsi="Book Antiqua" w:cs="Times New Roman"/>
                <w:bCs/>
                <w:szCs w:val="24"/>
              </w:rPr>
              <w:t xml:space="preserve"> </w:t>
            </w:r>
            <w:r w:rsidRPr="00F40118">
              <w:rPr>
                <w:rFonts w:ascii="Book Antiqua" w:eastAsia="Times New Roman" w:hAnsi="Book Antiqua" w:cs="Times New Roman"/>
                <w:bCs/>
                <w:szCs w:val="24"/>
              </w:rPr>
              <w:t>0.001</w:t>
            </w:r>
          </w:p>
        </w:tc>
      </w:tr>
      <w:tr w:rsidR="00F041E5" w:rsidRPr="00F40118" w:rsidTr="00DE6ECA">
        <w:trPr>
          <w:trHeight w:val="300"/>
        </w:trPr>
        <w:tc>
          <w:tcPr>
            <w:tcW w:w="1692" w:type="pct"/>
            <w:shd w:val="clear" w:color="auto" w:fill="auto"/>
            <w:noWrap/>
            <w:vAlign w:val="center"/>
          </w:tcPr>
          <w:p w:rsidR="00F041E5" w:rsidRPr="00F40118" w:rsidRDefault="00F041E5" w:rsidP="00EF6CF8">
            <w:pPr>
              <w:pStyle w:val="a6"/>
              <w:snapToGrid w:val="0"/>
              <w:spacing w:line="360" w:lineRule="auto"/>
              <w:ind w:firstLineChars="50" w:firstLine="120"/>
              <w:jc w:val="both"/>
              <w:rPr>
                <w:rFonts w:ascii="Book Antiqua" w:hAnsi="Book Antiqua" w:cs="Times New Roman"/>
                <w:szCs w:val="24"/>
              </w:rPr>
            </w:pPr>
            <w:r w:rsidRPr="00F40118">
              <w:rPr>
                <w:rFonts w:ascii="Book Antiqua" w:eastAsia="Times New Roman" w:hAnsi="Book Antiqua" w:cs="Times New Roman"/>
                <w:szCs w:val="24"/>
              </w:rPr>
              <w:t>Women</w:t>
            </w:r>
          </w:p>
        </w:tc>
        <w:tc>
          <w:tcPr>
            <w:tcW w:w="1032" w:type="pct"/>
            <w:vAlign w:val="center"/>
          </w:tcPr>
          <w:p w:rsidR="00F041E5" w:rsidRPr="00F40118" w:rsidRDefault="00F041E5"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3.45</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(1.80;</w:t>
            </w:r>
            <w:r w:rsidR="00D735F9" w:rsidRPr="00F40118">
              <w:rPr>
                <w:rFonts w:ascii="Book Antiqua" w:eastAsia="Times New Roman" w:hAnsi="Book Antiqua" w:cs="Times New Roman"/>
                <w:bCs/>
                <w:szCs w:val="24"/>
              </w:rPr>
              <w:t xml:space="preserve"> </w:t>
            </w:r>
            <w:r w:rsidRPr="00F40118">
              <w:rPr>
                <w:rFonts w:ascii="Book Antiqua" w:eastAsia="Times New Roman" w:hAnsi="Book Antiqua" w:cs="Times New Roman"/>
                <w:bCs/>
                <w:szCs w:val="24"/>
              </w:rPr>
              <w:t>4.36)</w:t>
            </w:r>
          </w:p>
        </w:tc>
        <w:tc>
          <w:tcPr>
            <w:tcW w:w="1704" w:type="pct"/>
            <w:shd w:val="clear" w:color="auto" w:fill="auto"/>
            <w:noWrap/>
            <w:vAlign w:val="center"/>
          </w:tcPr>
          <w:p w:rsidR="00F041E5" w:rsidRPr="00F40118" w:rsidRDefault="00F041E5"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2.26</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(1.35;</w:t>
            </w:r>
            <w:r w:rsidR="00D735F9" w:rsidRPr="00F40118">
              <w:rPr>
                <w:rFonts w:ascii="Book Antiqua" w:eastAsia="Times New Roman" w:hAnsi="Book Antiqua" w:cs="Times New Roman"/>
                <w:bCs/>
                <w:szCs w:val="24"/>
              </w:rPr>
              <w:t xml:space="preserve"> </w:t>
            </w:r>
            <w:r w:rsidRPr="00F40118">
              <w:rPr>
                <w:rFonts w:ascii="Book Antiqua" w:eastAsia="Times New Roman" w:hAnsi="Book Antiqua" w:cs="Times New Roman"/>
                <w:bCs/>
                <w:szCs w:val="24"/>
              </w:rPr>
              <w:t>3.62)</w:t>
            </w:r>
          </w:p>
        </w:tc>
        <w:tc>
          <w:tcPr>
            <w:tcW w:w="572" w:type="pct"/>
            <w:vAlign w:val="center"/>
          </w:tcPr>
          <w:p w:rsidR="00F041E5" w:rsidRPr="00F40118" w:rsidRDefault="00F041E5"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&lt;</w:t>
            </w:r>
            <w:r w:rsidR="00A323A6" w:rsidRPr="00F40118">
              <w:rPr>
                <w:rFonts w:ascii="Book Antiqua" w:eastAsia="Times New Roman" w:hAnsi="Book Antiqua" w:cs="Times New Roman"/>
                <w:bCs/>
                <w:szCs w:val="24"/>
              </w:rPr>
              <w:t xml:space="preserve"> </w:t>
            </w:r>
            <w:r w:rsidRPr="00F40118">
              <w:rPr>
                <w:rFonts w:ascii="Book Antiqua" w:eastAsia="Times New Roman" w:hAnsi="Book Antiqua" w:cs="Times New Roman"/>
                <w:bCs/>
                <w:szCs w:val="24"/>
              </w:rPr>
              <w:t>0.001</w:t>
            </w:r>
          </w:p>
        </w:tc>
      </w:tr>
      <w:tr w:rsidR="003D2C22" w:rsidRPr="00F40118" w:rsidTr="00DE6ECA">
        <w:trPr>
          <w:trHeight w:val="300"/>
        </w:trPr>
        <w:tc>
          <w:tcPr>
            <w:tcW w:w="1692" w:type="pct"/>
            <w:shd w:val="clear" w:color="auto" w:fill="auto"/>
            <w:noWrap/>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FLI</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szCs w:val="24"/>
              </w:rPr>
              <w:t>(total sample)</w:t>
            </w:r>
          </w:p>
        </w:tc>
        <w:tc>
          <w:tcPr>
            <w:tcW w:w="1032" w:type="pct"/>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84.9</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10.4</w:t>
            </w:r>
          </w:p>
        </w:tc>
        <w:tc>
          <w:tcPr>
            <w:tcW w:w="1704" w:type="pct"/>
            <w:shd w:val="clear" w:color="auto" w:fill="auto"/>
            <w:noWrap/>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72.3</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17.6</w:t>
            </w:r>
          </w:p>
        </w:tc>
        <w:tc>
          <w:tcPr>
            <w:tcW w:w="572" w:type="pct"/>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&lt;</w:t>
            </w:r>
            <w:r w:rsidR="00A323A6" w:rsidRPr="00F40118">
              <w:rPr>
                <w:rFonts w:ascii="Book Antiqua" w:eastAsia="Times New Roman" w:hAnsi="Book Antiqua" w:cs="Times New Roman"/>
                <w:bCs/>
                <w:szCs w:val="24"/>
              </w:rPr>
              <w:t xml:space="preserve"> </w:t>
            </w:r>
            <w:r w:rsidRPr="00F40118">
              <w:rPr>
                <w:rFonts w:ascii="Book Antiqua" w:eastAsia="Times New Roman" w:hAnsi="Book Antiqua" w:cs="Times New Roman"/>
                <w:bCs/>
                <w:szCs w:val="24"/>
              </w:rPr>
              <w:t>0.001</w:t>
            </w:r>
          </w:p>
        </w:tc>
      </w:tr>
      <w:tr w:rsidR="003D2C22" w:rsidRPr="00F40118" w:rsidTr="00DE6ECA">
        <w:trPr>
          <w:trHeight w:val="300"/>
        </w:trPr>
        <w:tc>
          <w:tcPr>
            <w:tcW w:w="1692" w:type="pct"/>
            <w:shd w:val="clear" w:color="auto" w:fill="auto"/>
            <w:noWrap/>
            <w:vAlign w:val="center"/>
          </w:tcPr>
          <w:p w:rsidR="003D2C22" w:rsidRPr="00F40118" w:rsidRDefault="003D2C22" w:rsidP="00EF6CF8">
            <w:pPr>
              <w:pStyle w:val="a6"/>
              <w:snapToGrid w:val="0"/>
              <w:spacing w:line="360" w:lineRule="auto"/>
              <w:ind w:firstLineChars="59" w:firstLine="142"/>
              <w:jc w:val="both"/>
              <w:rPr>
                <w:rFonts w:ascii="Book Antiqua" w:hAnsi="Book Antiqua" w:cs="Times New Roman"/>
                <w:szCs w:val="24"/>
              </w:rPr>
            </w:pPr>
            <w:r w:rsidRPr="00F40118">
              <w:rPr>
                <w:rFonts w:ascii="Book Antiqua" w:eastAsia="Times New Roman" w:hAnsi="Book Antiqua" w:cs="Times New Roman"/>
                <w:szCs w:val="24"/>
              </w:rPr>
              <w:t>Men</w:t>
            </w:r>
          </w:p>
        </w:tc>
        <w:tc>
          <w:tcPr>
            <w:tcW w:w="1032" w:type="pct"/>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86.3</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9.0</w:t>
            </w:r>
          </w:p>
        </w:tc>
        <w:tc>
          <w:tcPr>
            <w:tcW w:w="1704" w:type="pct"/>
            <w:shd w:val="clear" w:color="auto" w:fill="auto"/>
            <w:noWrap/>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73.6</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17.2</w:t>
            </w:r>
          </w:p>
        </w:tc>
        <w:tc>
          <w:tcPr>
            <w:tcW w:w="572" w:type="pct"/>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&lt;</w:t>
            </w:r>
            <w:r w:rsidR="00A323A6" w:rsidRPr="00F40118">
              <w:rPr>
                <w:rFonts w:ascii="Book Antiqua" w:eastAsia="Times New Roman" w:hAnsi="Book Antiqua" w:cs="Times New Roman"/>
                <w:bCs/>
                <w:szCs w:val="24"/>
              </w:rPr>
              <w:t xml:space="preserve"> </w:t>
            </w:r>
            <w:r w:rsidRPr="00F40118">
              <w:rPr>
                <w:rFonts w:ascii="Book Antiqua" w:eastAsia="Times New Roman" w:hAnsi="Book Antiqua" w:cs="Times New Roman"/>
                <w:bCs/>
                <w:szCs w:val="24"/>
              </w:rPr>
              <w:t>0.001</w:t>
            </w:r>
          </w:p>
        </w:tc>
      </w:tr>
      <w:tr w:rsidR="003D2C22" w:rsidRPr="00F40118" w:rsidTr="00DE6ECA">
        <w:trPr>
          <w:trHeight w:val="300"/>
        </w:trPr>
        <w:tc>
          <w:tcPr>
            <w:tcW w:w="1692" w:type="pct"/>
            <w:shd w:val="clear" w:color="auto" w:fill="auto"/>
            <w:noWrap/>
            <w:vAlign w:val="center"/>
          </w:tcPr>
          <w:p w:rsidR="003D2C22" w:rsidRPr="00F40118" w:rsidRDefault="003D2C22" w:rsidP="00EF6CF8">
            <w:pPr>
              <w:pStyle w:val="a6"/>
              <w:snapToGrid w:val="0"/>
              <w:spacing w:line="360" w:lineRule="auto"/>
              <w:ind w:firstLineChars="50" w:firstLine="120"/>
              <w:jc w:val="both"/>
              <w:rPr>
                <w:rFonts w:ascii="Book Antiqua" w:hAnsi="Book Antiqua" w:cs="Times New Roman"/>
                <w:szCs w:val="24"/>
              </w:rPr>
            </w:pPr>
            <w:r w:rsidRPr="00F40118">
              <w:rPr>
                <w:rFonts w:ascii="Book Antiqua" w:eastAsia="Times New Roman" w:hAnsi="Book Antiqua" w:cs="Times New Roman"/>
                <w:szCs w:val="24"/>
              </w:rPr>
              <w:t>Women</w:t>
            </w:r>
          </w:p>
        </w:tc>
        <w:tc>
          <w:tcPr>
            <w:tcW w:w="1032" w:type="pct"/>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81.9</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12.7</w:t>
            </w:r>
          </w:p>
        </w:tc>
        <w:tc>
          <w:tcPr>
            <w:tcW w:w="1704" w:type="pct"/>
            <w:shd w:val="clear" w:color="auto" w:fill="auto"/>
            <w:noWrap/>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69.4</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18.4</w:t>
            </w:r>
          </w:p>
        </w:tc>
        <w:tc>
          <w:tcPr>
            <w:tcW w:w="572" w:type="pct"/>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&lt;</w:t>
            </w:r>
            <w:r w:rsidR="00A323A6" w:rsidRPr="00F40118">
              <w:rPr>
                <w:rFonts w:ascii="Book Antiqua" w:eastAsia="Times New Roman" w:hAnsi="Book Antiqua" w:cs="Times New Roman"/>
                <w:bCs/>
                <w:szCs w:val="24"/>
              </w:rPr>
              <w:t xml:space="preserve"> </w:t>
            </w:r>
            <w:r w:rsidRPr="00F40118">
              <w:rPr>
                <w:rFonts w:ascii="Book Antiqua" w:eastAsia="Times New Roman" w:hAnsi="Book Antiqua" w:cs="Times New Roman"/>
                <w:bCs/>
                <w:szCs w:val="24"/>
              </w:rPr>
              <w:t>0.001</w:t>
            </w:r>
          </w:p>
        </w:tc>
      </w:tr>
      <w:tr w:rsidR="003D2C22" w:rsidRPr="00F40118" w:rsidTr="00DE6ECA">
        <w:trPr>
          <w:trHeight w:val="300"/>
        </w:trPr>
        <w:tc>
          <w:tcPr>
            <w:tcW w:w="1692" w:type="pct"/>
            <w:shd w:val="clear" w:color="auto" w:fill="auto"/>
            <w:noWrap/>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 xml:space="preserve">FLI </w:t>
            </w:r>
            <w:r w:rsidR="00D735F9" w:rsidRPr="00F40118">
              <w:rPr>
                <w:rFonts w:ascii="Book Antiqua" w:eastAsia="Times New Roman" w:hAnsi="Book Antiqua" w:cs="Times New Roman"/>
                <w:szCs w:val="24"/>
              </w:rPr>
              <w:t xml:space="preserve">(total sample) </w:t>
            </w:r>
            <w:r w:rsidRPr="00F40118">
              <w:rPr>
                <w:rFonts w:ascii="Book Antiqua" w:eastAsia="Times New Roman" w:hAnsi="Book Antiqua" w:cs="Times New Roman"/>
                <w:bCs/>
                <w:szCs w:val="24"/>
              </w:rPr>
              <w:t>≥ 60</w:t>
            </w:r>
            <w:r w:rsidR="00A323A6" w:rsidRPr="00F40118">
              <w:rPr>
                <w:rFonts w:ascii="Book Antiqua" w:eastAsia="Times New Roman" w:hAnsi="Book Antiqua" w:cs="Times New Roman"/>
                <w:bCs/>
                <w:szCs w:val="24"/>
              </w:rPr>
              <w:t>/</w:t>
            </w:r>
            <w:r w:rsidR="00A76C4F">
              <w:rPr>
                <w:rFonts w:ascii="Book Antiqua" w:eastAsia="Times New Roman" w:hAnsi="Book Antiqua" w:cs="Times New Roman"/>
                <w:bCs/>
                <w:szCs w:val="24"/>
              </w:rPr>
              <w:t>30-59/</w:t>
            </w:r>
            <w:r w:rsidRPr="00F40118">
              <w:rPr>
                <w:rFonts w:ascii="Book Antiqua" w:eastAsia="Times New Roman" w:hAnsi="Book Antiqua" w:cs="Times New Roman"/>
                <w:bCs/>
                <w:szCs w:val="24"/>
              </w:rPr>
              <w:t>&lt;</w:t>
            </w:r>
            <w:r w:rsidR="00A323A6" w:rsidRPr="00F40118">
              <w:rPr>
                <w:rFonts w:ascii="Book Antiqua" w:eastAsia="Times New Roman" w:hAnsi="Book Antiqua" w:cs="Times New Roman"/>
                <w:bCs/>
                <w:szCs w:val="24"/>
              </w:rPr>
              <w:t xml:space="preserve"> </w:t>
            </w:r>
            <w:r w:rsidRPr="00F40118">
              <w:rPr>
                <w:rFonts w:ascii="Book Antiqua" w:eastAsia="Times New Roman" w:hAnsi="Book Antiqua" w:cs="Times New Roman"/>
                <w:bCs/>
                <w:szCs w:val="24"/>
              </w:rPr>
              <w:t>30</w:t>
            </w:r>
          </w:p>
        </w:tc>
        <w:tc>
          <w:tcPr>
            <w:tcW w:w="1032" w:type="pct"/>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174 (100</w:t>
            </w:r>
            <w:r w:rsidR="00A76C4F">
              <w:rPr>
                <w:rFonts w:ascii="Book Antiqua" w:eastAsia="Times New Roman" w:hAnsi="Book Antiqua" w:cs="Times New Roman"/>
                <w:bCs/>
                <w:szCs w:val="24"/>
              </w:rPr>
              <w:t>)/-/</w:t>
            </w:r>
            <w:r w:rsidRPr="00F40118">
              <w:rPr>
                <w:rFonts w:ascii="Book Antiqua" w:eastAsia="Times New Roman" w:hAnsi="Book Antiqua" w:cs="Times New Roman"/>
                <w:bCs/>
                <w:szCs w:val="24"/>
              </w:rPr>
              <w:t xml:space="preserve">- </w:t>
            </w:r>
          </w:p>
        </w:tc>
        <w:tc>
          <w:tcPr>
            <w:tcW w:w="1704" w:type="pct"/>
            <w:shd w:val="clear" w:color="auto" w:fill="auto"/>
            <w:noWrap/>
            <w:vAlign w:val="center"/>
          </w:tcPr>
          <w:p w:rsidR="003D2C22" w:rsidRPr="00F40118" w:rsidRDefault="00A76C4F" w:rsidP="00EF6CF8">
            <w:pPr>
              <w:pStyle w:val="a6"/>
              <w:snapToGrid w:val="0"/>
              <w:spacing w:line="360" w:lineRule="auto"/>
              <w:jc w:val="both"/>
              <w:rPr>
                <w:rFonts w:ascii="Book Antiqua" w:hAnsi="Book Antiqua" w:cs="Times New Roman"/>
                <w:szCs w:val="24"/>
              </w:rPr>
            </w:pPr>
            <w:r>
              <w:rPr>
                <w:rFonts w:ascii="Book Antiqua" w:hAnsi="Book Antiqua" w:cs="Times New Roman"/>
                <w:bCs/>
                <w:color w:val="auto"/>
                <w:szCs w:val="24"/>
              </w:rPr>
              <w:t>133 (76.4)/40 (23.0)/</w:t>
            </w:r>
            <w:r w:rsidR="003D2C22" w:rsidRPr="00F40118">
              <w:rPr>
                <w:rFonts w:ascii="Book Antiqua" w:hAnsi="Book Antiqua" w:cs="Times New Roman"/>
                <w:bCs/>
                <w:color w:val="auto"/>
                <w:szCs w:val="24"/>
              </w:rPr>
              <w:t>1 (0.6</w:t>
            </w:r>
            <w:r>
              <w:rPr>
                <w:rFonts w:ascii="Book Antiqua" w:hAnsi="Book Antiqua" w:cs="Times New Roman"/>
                <w:bCs/>
                <w:color w:val="auto"/>
                <w:szCs w:val="24"/>
              </w:rPr>
              <w:t>)</w:t>
            </w:r>
          </w:p>
        </w:tc>
        <w:tc>
          <w:tcPr>
            <w:tcW w:w="572" w:type="pct"/>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&lt;</w:t>
            </w:r>
            <w:r w:rsidR="00A323A6" w:rsidRPr="00F40118">
              <w:rPr>
                <w:rFonts w:ascii="Book Antiqua" w:eastAsia="Times New Roman" w:hAnsi="Book Antiqua" w:cs="Times New Roman"/>
                <w:bCs/>
                <w:szCs w:val="24"/>
              </w:rPr>
              <w:t xml:space="preserve"> </w:t>
            </w:r>
            <w:r w:rsidRPr="00F40118">
              <w:rPr>
                <w:rFonts w:ascii="Book Antiqua" w:eastAsia="Times New Roman" w:hAnsi="Book Antiqua" w:cs="Times New Roman"/>
                <w:bCs/>
                <w:szCs w:val="24"/>
              </w:rPr>
              <w:t>0.001</w:t>
            </w:r>
          </w:p>
        </w:tc>
      </w:tr>
      <w:tr w:rsidR="003D2C22" w:rsidRPr="00F40118" w:rsidTr="00DE6ECA">
        <w:trPr>
          <w:trHeight w:val="300"/>
        </w:trPr>
        <w:tc>
          <w:tcPr>
            <w:tcW w:w="1692" w:type="pct"/>
            <w:shd w:val="clear" w:color="auto" w:fill="auto"/>
            <w:noWrap/>
            <w:vAlign w:val="center"/>
          </w:tcPr>
          <w:p w:rsidR="003D2C22" w:rsidRPr="00F40118" w:rsidRDefault="003D2C22" w:rsidP="00EF6CF8">
            <w:pPr>
              <w:pStyle w:val="a6"/>
              <w:snapToGrid w:val="0"/>
              <w:spacing w:line="360" w:lineRule="auto"/>
              <w:ind w:firstLine="142"/>
              <w:jc w:val="both"/>
              <w:rPr>
                <w:rFonts w:ascii="Book Antiqua" w:hAnsi="Book Antiqua" w:cs="Times New Roman"/>
                <w:szCs w:val="24"/>
              </w:rPr>
            </w:pPr>
            <w:r w:rsidRPr="00F40118">
              <w:rPr>
                <w:rFonts w:ascii="Book Antiqua" w:eastAsia="Times New Roman" w:hAnsi="Book Antiqua" w:cs="Times New Roman"/>
                <w:szCs w:val="24"/>
              </w:rPr>
              <w:t>Men</w:t>
            </w:r>
          </w:p>
        </w:tc>
        <w:tc>
          <w:tcPr>
            <w:tcW w:w="1032" w:type="pct"/>
            <w:vAlign w:val="center"/>
          </w:tcPr>
          <w:p w:rsidR="003D2C22" w:rsidRPr="00F40118" w:rsidRDefault="00A76C4F" w:rsidP="00EF6CF8">
            <w:pPr>
              <w:pStyle w:val="a6"/>
              <w:snapToGrid w:val="0"/>
              <w:spacing w:line="360" w:lineRule="auto"/>
              <w:jc w:val="both"/>
              <w:rPr>
                <w:rFonts w:ascii="Book Antiqua" w:hAnsi="Book Antiqua" w:cs="Times New Roman"/>
                <w:szCs w:val="24"/>
              </w:rPr>
            </w:pPr>
            <w:r>
              <w:rPr>
                <w:rFonts w:ascii="Book Antiqua" w:eastAsia="Times New Roman" w:hAnsi="Book Antiqua" w:cs="Times New Roman"/>
                <w:bCs/>
                <w:szCs w:val="24"/>
              </w:rPr>
              <w:t>121 (100)/-/</w:t>
            </w:r>
            <w:r w:rsidR="003D2C22" w:rsidRPr="00F40118">
              <w:rPr>
                <w:rFonts w:ascii="Book Antiqua" w:eastAsia="Times New Roman" w:hAnsi="Book Antiqua" w:cs="Times New Roman"/>
                <w:bCs/>
                <w:szCs w:val="24"/>
              </w:rPr>
              <w:t>-</w:t>
            </w:r>
          </w:p>
        </w:tc>
        <w:tc>
          <w:tcPr>
            <w:tcW w:w="1704" w:type="pct"/>
            <w:shd w:val="clear" w:color="auto" w:fill="auto"/>
            <w:noWrap/>
            <w:vAlign w:val="center"/>
          </w:tcPr>
          <w:p w:rsidR="003D2C22" w:rsidRPr="00F40118" w:rsidRDefault="00A76C4F" w:rsidP="00EF6CF8">
            <w:pPr>
              <w:pStyle w:val="a6"/>
              <w:snapToGrid w:val="0"/>
              <w:spacing w:line="360" w:lineRule="auto"/>
              <w:jc w:val="both"/>
              <w:rPr>
                <w:rFonts w:ascii="Book Antiqua" w:hAnsi="Book Antiqua" w:cs="Times New Roman"/>
                <w:szCs w:val="24"/>
              </w:rPr>
            </w:pPr>
            <w:r>
              <w:rPr>
                <w:rFonts w:ascii="Book Antiqua" w:eastAsia="Times New Roman" w:hAnsi="Book Antiqua" w:cs="Times New Roman"/>
                <w:bCs/>
                <w:szCs w:val="24"/>
              </w:rPr>
              <w:t>96 (79)/24 (20)/</w:t>
            </w:r>
            <w:r w:rsidR="003D2C22" w:rsidRPr="00F40118">
              <w:rPr>
                <w:rFonts w:ascii="Book Antiqua" w:eastAsia="Times New Roman" w:hAnsi="Book Antiqua" w:cs="Times New Roman"/>
                <w:bCs/>
                <w:szCs w:val="24"/>
              </w:rPr>
              <w:t>1 (1</w:t>
            </w:r>
            <w:r>
              <w:rPr>
                <w:rFonts w:ascii="Book Antiqua" w:eastAsia="Times New Roman" w:hAnsi="Book Antiqua" w:cs="Times New Roman"/>
                <w:bCs/>
                <w:szCs w:val="24"/>
              </w:rPr>
              <w:t>)</w:t>
            </w:r>
          </w:p>
        </w:tc>
        <w:tc>
          <w:tcPr>
            <w:tcW w:w="572" w:type="pct"/>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&lt;</w:t>
            </w:r>
            <w:r w:rsidR="00A323A6" w:rsidRPr="00F40118">
              <w:rPr>
                <w:rFonts w:ascii="Book Antiqua" w:eastAsia="Times New Roman" w:hAnsi="Book Antiqua" w:cs="Times New Roman"/>
                <w:bCs/>
                <w:szCs w:val="24"/>
              </w:rPr>
              <w:t xml:space="preserve"> </w:t>
            </w:r>
            <w:r w:rsidRPr="00F40118">
              <w:rPr>
                <w:rFonts w:ascii="Book Antiqua" w:eastAsia="Times New Roman" w:hAnsi="Book Antiqua" w:cs="Times New Roman"/>
                <w:bCs/>
                <w:szCs w:val="24"/>
              </w:rPr>
              <w:t>0.001</w:t>
            </w:r>
          </w:p>
        </w:tc>
      </w:tr>
      <w:tr w:rsidR="003D2C22" w:rsidRPr="00F40118" w:rsidTr="00DE6ECA">
        <w:trPr>
          <w:trHeight w:val="300"/>
        </w:trPr>
        <w:tc>
          <w:tcPr>
            <w:tcW w:w="1692" w:type="pct"/>
            <w:shd w:val="clear" w:color="auto" w:fill="auto"/>
            <w:noWrap/>
            <w:vAlign w:val="center"/>
          </w:tcPr>
          <w:p w:rsidR="003D2C22" w:rsidRPr="00F40118" w:rsidRDefault="003D2C22" w:rsidP="00EF6CF8">
            <w:pPr>
              <w:pStyle w:val="a6"/>
              <w:snapToGrid w:val="0"/>
              <w:spacing w:line="360" w:lineRule="auto"/>
              <w:ind w:firstLine="142"/>
              <w:jc w:val="both"/>
              <w:rPr>
                <w:rFonts w:ascii="Book Antiqua" w:eastAsia="Times New Roman" w:hAnsi="Book Antiqua" w:cs="Times New Roman"/>
                <w:szCs w:val="24"/>
              </w:rPr>
            </w:pPr>
            <w:r w:rsidRPr="00F40118">
              <w:rPr>
                <w:rFonts w:ascii="Book Antiqua" w:eastAsia="Times New Roman" w:hAnsi="Book Antiqua" w:cs="Times New Roman"/>
                <w:szCs w:val="24"/>
              </w:rPr>
              <w:t>Women</w:t>
            </w:r>
          </w:p>
        </w:tc>
        <w:tc>
          <w:tcPr>
            <w:tcW w:w="1032" w:type="pct"/>
            <w:vAlign w:val="center"/>
          </w:tcPr>
          <w:p w:rsidR="003D2C22" w:rsidRPr="00F40118" w:rsidRDefault="00A76C4F" w:rsidP="00EF6CF8">
            <w:pPr>
              <w:pStyle w:val="a6"/>
              <w:snapToGrid w:val="0"/>
              <w:spacing w:line="360" w:lineRule="auto"/>
              <w:jc w:val="both"/>
              <w:rPr>
                <w:rFonts w:ascii="Book Antiqua" w:eastAsia="Times New Roman" w:hAnsi="Book Antiqua" w:cs="Times New Roman"/>
                <w:bCs/>
                <w:szCs w:val="24"/>
              </w:rPr>
            </w:pPr>
            <w:r>
              <w:rPr>
                <w:rFonts w:ascii="Book Antiqua" w:eastAsia="Times New Roman" w:hAnsi="Book Antiqua" w:cs="Times New Roman"/>
                <w:bCs/>
                <w:szCs w:val="24"/>
              </w:rPr>
              <w:t>53 (100)/-/</w:t>
            </w:r>
            <w:r w:rsidR="003D2C22" w:rsidRPr="00F40118">
              <w:rPr>
                <w:rFonts w:ascii="Book Antiqua" w:eastAsia="Times New Roman" w:hAnsi="Book Antiqua" w:cs="Times New Roman"/>
                <w:bCs/>
                <w:szCs w:val="24"/>
              </w:rPr>
              <w:t>-</w:t>
            </w:r>
          </w:p>
        </w:tc>
        <w:tc>
          <w:tcPr>
            <w:tcW w:w="1704" w:type="pct"/>
            <w:shd w:val="clear" w:color="auto" w:fill="auto"/>
            <w:noWrap/>
            <w:vAlign w:val="center"/>
          </w:tcPr>
          <w:p w:rsidR="003D2C22" w:rsidRPr="00F40118" w:rsidRDefault="00A76C4F" w:rsidP="00EF6CF8">
            <w:pPr>
              <w:pStyle w:val="a6"/>
              <w:snapToGrid w:val="0"/>
              <w:spacing w:line="360" w:lineRule="auto"/>
              <w:jc w:val="both"/>
              <w:rPr>
                <w:rFonts w:ascii="Book Antiqua" w:eastAsia="Times New Roman" w:hAnsi="Book Antiqua" w:cs="Times New Roman"/>
                <w:bCs/>
                <w:szCs w:val="24"/>
              </w:rPr>
            </w:pPr>
            <w:r>
              <w:rPr>
                <w:rFonts w:ascii="Book Antiqua" w:eastAsia="Times New Roman" w:hAnsi="Book Antiqua" w:cs="Times New Roman"/>
                <w:bCs/>
                <w:szCs w:val="24"/>
              </w:rPr>
              <w:t>37 (70)/16 (30)/</w:t>
            </w:r>
            <w:r w:rsidR="003D2C22" w:rsidRPr="00F40118">
              <w:rPr>
                <w:rFonts w:ascii="Book Antiqua" w:eastAsia="Times New Roman" w:hAnsi="Book Antiqua" w:cs="Times New Roman"/>
                <w:bCs/>
                <w:szCs w:val="24"/>
              </w:rPr>
              <w:t>-</w:t>
            </w:r>
          </w:p>
        </w:tc>
        <w:tc>
          <w:tcPr>
            <w:tcW w:w="572" w:type="pct"/>
            <w:vAlign w:val="center"/>
          </w:tcPr>
          <w:p w:rsidR="003D2C22" w:rsidRPr="00F40118" w:rsidRDefault="003D2C22" w:rsidP="00EF6CF8">
            <w:pPr>
              <w:pStyle w:val="a6"/>
              <w:snapToGrid w:val="0"/>
              <w:spacing w:line="360" w:lineRule="auto"/>
              <w:jc w:val="both"/>
              <w:rPr>
                <w:rFonts w:ascii="Book Antiqua" w:eastAsia="Times New Roman" w:hAnsi="Book Antiqua" w:cs="Times New Roman"/>
                <w:bCs/>
                <w:szCs w:val="24"/>
              </w:rPr>
            </w:pPr>
            <w:r w:rsidRPr="00F40118">
              <w:rPr>
                <w:rFonts w:ascii="Book Antiqua" w:eastAsia="Times New Roman" w:hAnsi="Book Antiqua" w:cs="Times New Roman"/>
                <w:bCs/>
                <w:szCs w:val="24"/>
              </w:rPr>
              <w:t>&lt;</w:t>
            </w:r>
            <w:r w:rsidR="00A323A6" w:rsidRPr="00F40118">
              <w:rPr>
                <w:rFonts w:ascii="Book Antiqua" w:eastAsia="Times New Roman" w:hAnsi="Book Antiqua" w:cs="Times New Roman"/>
                <w:bCs/>
                <w:szCs w:val="24"/>
              </w:rPr>
              <w:t xml:space="preserve"> </w:t>
            </w:r>
            <w:r w:rsidRPr="00F40118">
              <w:rPr>
                <w:rFonts w:ascii="Book Antiqua" w:eastAsia="Times New Roman" w:hAnsi="Book Antiqua" w:cs="Times New Roman"/>
                <w:bCs/>
                <w:szCs w:val="24"/>
              </w:rPr>
              <w:t>0.001</w:t>
            </w:r>
          </w:p>
        </w:tc>
      </w:tr>
      <w:tr w:rsidR="003D2C22" w:rsidRPr="00F40118" w:rsidTr="00DE6ECA">
        <w:trPr>
          <w:trHeight w:val="300"/>
        </w:trPr>
        <w:tc>
          <w:tcPr>
            <w:tcW w:w="1692" w:type="pct"/>
            <w:shd w:val="clear" w:color="auto" w:fill="auto"/>
            <w:noWrap/>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 xml:space="preserve">NFS </w:t>
            </w:r>
            <w:r w:rsidRPr="00F40118">
              <w:rPr>
                <w:rFonts w:ascii="Book Antiqua" w:eastAsia="Times New Roman" w:hAnsi="Book Antiqua" w:cs="Times New Roman"/>
                <w:szCs w:val="24"/>
              </w:rPr>
              <w:t>(total sample)</w:t>
            </w:r>
            <w:r w:rsidR="00A323A6" w:rsidRPr="00F40118">
              <w:rPr>
                <w:rFonts w:ascii="Book Antiqua" w:eastAsia="Times New Roman" w:hAnsi="Book Antiqua" w:cs="Times New Roman"/>
                <w:bCs/>
                <w:szCs w:val="24"/>
              </w:rPr>
              <w:t xml:space="preserve"> &lt; -1.</w:t>
            </w:r>
            <w:r w:rsidRPr="00F40118">
              <w:rPr>
                <w:rFonts w:ascii="Book Antiqua" w:eastAsia="Times New Roman" w:hAnsi="Book Antiqua" w:cs="Times New Roman"/>
                <w:bCs/>
                <w:szCs w:val="24"/>
              </w:rPr>
              <w:t xml:space="preserve">455 (F0-F2), </w:t>
            </w:r>
            <w:r w:rsidRPr="00F40118">
              <w:rPr>
                <w:rFonts w:ascii="Book Antiqua" w:eastAsia="Times New Roman" w:hAnsi="Book Antiqua" w:cs="Times New Roman"/>
                <w:bCs/>
                <w:i/>
                <w:szCs w:val="24"/>
              </w:rPr>
              <w:t>n</w:t>
            </w:r>
            <w:r w:rsidRPr="00F40118">
              <w:rPr>
                <w:rFonts w:ascii="Book Antiqua" w:eastAsia="Times New Roman" w:hAnsi="Book Antiqua" w:cs="Times New Roman"/>
                <w:bCs/>
                <w:szCs w:val="24"/>
              </w:rPr>
              <w:t xml:space="preserve"> (%)</w:t>
            </w:r>
          </w:p>
        </w:tc>
        <w:tc>
          <w:tcPr>
            <w:tcW w:w="1032" w:type="pct"/>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141 (81.0</w:t>
            </w:r>
            <w:r w:rsidR="00A76C4F">
              <w:rPr>
                <w:rFonts w:ascii="Book Antiqua" w:eastAsia="Times New Roman" w:hAnsi="Book Antiqua" w:cs="Times New Roman"/>
                <w:bCs/>
                <w:szCs w:val="24"/>
              </w:rPr>
              <w:t>)</w:t>
            </w:r>
          </w:p>
        </w:tc>
        <w:tc>
          <w:tcPr>
            <w:tcW w:w="1704" w:type="pct"/>
            <w:shd w:val="clear" w:color="auto" w:fill="auto"/>
            <w:noWrap/>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148 (85.0</w:t>
            </w:r>
            <w:r w:rsidR="00A76C4F">
              <w:rPr>
                <w:rFonts w:ascii="Book Antiqua" w:eastAsia="Times New Roman" w:hAnsi="Book Antiqua" w:cs="Times New Roman"/>
                <w:bCs/>
                <w:szCs w:val="24"/>
              </w:rPr>
              <w:t>)</w:t>
            </w:r>
          </w:p>
        </w:tc>
        <w:tc>
          <w:tcPr>
            <w:tcW w:w="572" w:type="pct"/>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0.353</w:t>
            </w:r>
          </w:p>
        </w:tc>
      </w:tr>
      <w:tr w:rsidR="003D2C22" w:rsidRPr="00F40118" w:rsidTr="00DE6ECA">
        <w:trPr>
          <w:trHeight w:val="300"/>
        </w:trPr>
        <w:tc>
          <w:tcPr>
            <w:tcW w:w="1692" w:type="pct"/>
            <w:shd w:val="clear" w:color="auto" w:fill="auto"/>
            <w:noWrap/>
            <w:vAlign w:val="center"/>
          </w:tcPr>
          <w:p w:rsidR="003D2C22" w:rsidRPr="00F40118" w:rsidRDefault="003D2C22" w:rsidP="00EF6CF8">
            <w:pPr>
              <w:pStyle w:val="a6"/>
              <w:snapToGrid w:val="0"/>
              <w:spacing w:line="360" w:lineRule="auto"/>
              <w:ind w:firstLineChars="50" w:firstLine="120"/>
              <w:jc w:val="both"/>
              <w:rPr>
                <w:rFonts w:ascii="Book Antiqua" w:hAnsi="Book Antiqua" w:cs="Times New Roman"/>
                <w:szCs w:val="24"/>
              </w:rPr>
            </w:pPr>
            <w:r w:rsidRPr="00F40118">
              <w:rPr>
                <w:rFonts w:ascii="Book Antiqua" w:eastAsia="Times New Roman" w:hAnsi="Book Antiqua" w:cs="Times New Roman"/>
                <w:szCs w:val="24"/>
              </w:rPr>
              <w:t>Men</w:t>
            </w:r>
          </w:p>
        </w:tc>
        <w:tc>
          <w:tcPr>
            <w:tcW w:w="1032" w:type="pct"/>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lang w:val="ru-RU"/>
              </w:rPr>
              <w:t>102 (84.3</w:t>
            </w:r>
            <w:r w:rsidR="00A76C4F">
              <w:rPr>
                <w:rFonts w:ascii="Book Antiqua" w:eastAsia="Times New Roman" w:hAnsi="Book Antiqua" w:cs="Times New Roman"/>
                <w:bCs/>
                <w:szCs w:val="24"/>
                <w:lang w:val="ru-RU"/>
              </w:rPr>
              <w:t>)</w:t>
            </w:r>
          </w:p>
        </w:tc>
        <w:tc>
          <w:tcPr>
            <w:tcW w:w="1704" w:type="pct"/>
            <w:shd w:val="clear" w:color="auto" w:fill="auto"/>
            <w:noWrap/>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lang w:val="ru-RU"/>
              </w:rPr>
              <w:t>112 (92.6</w:t>
            </w:r>
            <w:r w:rsidR="00A76C4F">
              <w:rPr>
                <w:rFonts w:ascii="Book Antiqua" w:eastAsia="Times New Roman" w:hAnsi="Book Antiqua" w:cs="Times New Roman"/>
                <w:bCs/>
                <w:szCs w:val="24"/>
                <w:lang w:val="ru-RU"/>
              </w:rPr>
              <w:t>)</w:t>
            </w:r>
          </w:p>
        </w:tc>
        <w:tc>
          <w:tcPr>
            <w:tcW w:w="572" w:type="pct"/>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0.071</w:t>
            </w:r>
          </w:p>
        </w:tc>
      </w:tr>
      <w:tr w:rsidR="003D2C22" w:rsidRPr="00F40118" w:rsidTr="00DE6ECA">
        <w:trPr>
          <w:trHeight w:val="300"/>
        </w:trPr>
        <w:tc>
          <w:tcPr>
            <w:tcW w:w="1692" w:type="pct"/>
            <w:shd w:val="clear" w:color="auto" w:fill="auto"/>
            <w:noWrap/>
            <w:vAlign w:val="center"/>
          </w:tcPr>
          <w:p w:rsidR="003D2C22" w:rsidRPr="00F40118" w:rsidRDefault="003D2C22" w:rsidP="00EF6CF8">
            <w:pPr>
              <w:pStyle w:val="a6"/>
              <w:snapToGrid w:val="0"/>
              <w:spacing w:line="360" w:lineRule="auto"/>
              <w:ind w:firstLineChars="50" w:firstLine="120"/>
              <w:jc w:val="both"/>
              <w:rPr>
                <w:rFonts w:ascii="Book Antiqua" w:hAnsi="Book Antiqua" w:cs="Times New Roman"/>
                <w:szCs w:val="24"/>
              </w:rPr>
            </w:pPr>
            <w:r w:rsidRPr="00F40118">
              <w:rPr>
                <w:rFonts w:ascii="Book Antiqua" w:eastAsia="Times New Roman" w:hAnsi="Book Antiqua" w:cs="Times New Roman"/>
                <w:szCs w:val="24"/>
              </w:rPr>
              <w:t>Women</w:t>
            </w:r>
          </w:p>
        </w:tc>
        <w:tc>
          <w:tcPr>
            <w:tcW w:w="1032" w:type="pct"/>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lang w:val="ru-RU"/>
              </w:rPr>
              <w:t>39 (76.6</w:t>
            </w:r>
            <w:r w:rsidR="00A76C4F">
              <w:rPr>
                <w:rFonts w:ascii="Book Antiqua" w:eastAsia="Times New Roman" w:hAnsi="Book Antiqua" w:cs="Times New Roman"/>
                <w:bCs/>
                <w:szCs w:val="24"/>
                <w:lang w:val="ru-RU"/>
              </w:rPr>
              <w:t>)</w:t>
            </w:r>
          </w:p>
        </w:tc>
        <w:tc>
          <w:tcPr>
            <w:tcW w:w="1704" w:type="pct"/>
            <w:shd w:val="clear" w:color="auto" w:fill="auto"/>
            <w:noWrap/>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lang w:val="ru-RU"/>
              </w:rPr>
              <w:t>34 (64.2</w:t>
            </w:r>
            <w:r w:rsidR="00A76C4F">
              <w:rPr>
                <w:rFonts w:ascii="Book Antiqua" w:eastAsia="Times New Roman" w:hAnsi="Book Antiqua" w:cs="Times New Roman"/>
                <w:bCs/>
                <w:szCs w:val="24"/>
                <w:lang w:val="ru-RU"/>
              </w:rPr>
              <w:t>)</w:t>
            </w:r>
          </w:p>
        </w:tc>
        <w:tc>
          <w:tcPr>
            <w:tcW w:w="572" w:type="pct"/>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0.402</w:t>
            </w:r>
          </w:p>
        </w:tc>
      </w:tr>
      <w:tr w:rsidR="003D2C22" w:rsidRPr="00F40118" w:rsidTr="00DE6ECA">
        <w:trPr>
          <w:trHeight w:val="300"/>
        </w:trPr>
        <w:tc>
          <w:tcPr>
            <w:tcW w:w="1692" w:type="pct"/>
            <w:shd w:val="clear" w:color="auto" w:fill="auto"/>
            <w:noWrap/>
            <w:vAlign w:val="center"/>
          </w:tcPr>
          <w:p w:rsidR="003D2C22" w:rsidRPr="00F40118" w:rsidRDefault="003D2C22" w:rsidP="00EF6CF8">
            <w:pPr>
              <w:pStyle w:val="a6"/>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bCs/>
                <w:color w:val="auto"/>
                <w:szCs w:val="24"/>
                <w:lang w:eastAsia="ru-RU"/>
              </w:rPr>
              <w:t xml:space="preserve">FIB 4 </w:t>
            </w:r>
            <w:r w:rsidR="00D735F9" w:rsidRPr="00F40118">
              <w:rPr>
                <w:rFonts w:ascii="Book Antiqua" w:eastAsia="Times New Roman" w:hAnsi="Book Antiqua" w:cs="Times New Roman"/>
                <w:szCs w:val="24"/>
              </w:rPr>
              <w:t>(total sample)</w:t>
            </w:r>
            <w:r w:rsidR="00D735F9" w:rsidRPr="00F40118">
              <w:rPr>
                <w:rFonts w:ascii="Book Antiqua" w:eastAsia="Times New Roman" w:hAnsi="Book Antiqua" w:cs="Times New Roman"/>
                <w:bCs/>
                <w:szCs w:val="24"/>
              </w:rPr>
              <w:t xml:space="preserve"> </w:t>
            </w:r>
            <w:r w:rsidRPr="00F40118">
              <w:rPr>
                <w:rFonts w:ascii="Book Antiqua" w:eastAsia="Times New Roman" w:hAnsi="Book Antiqua" w:cs="Times New Roman"/>
                <w:bCs/>
                <w:color w:val="auto"/>
                <w:szCs w:val="24"/>
                <w:lang w:eastAsia="ru-RU"/>
              </w:rPr>
              <w:t>&lt;</w:t>
            </w:r>
            <w:r w:rsidR="00A323A6" w:rsidRPr="00F40118">
              <w:rPr>
                <w:rFonts w:ascii="Book Antiqua" w:eastAsia="Times New Roman" w:hAnsi="Book Antiqua" w:cs="Times New Roman"/>
                <w:bCs/>
                <w:color w:val="auto"/>
                <w:szCs w:val="24"/>
                <w:lang w:eastAsia="ru-RU"/>
              </w:rPr>
              <w:t xml:space="preserve"> </w:t>
            </w:r>
            <w:r w:rsidRPr="00F40118">
              <w:rPr>
                <w:rFonts w:ascii="Book Antiqua" w:eastAsia="Times New Roman" w:hAnsi="Book Antiqua" w:cs="Times New Roman"/>
                <w:bCs/>
                <w:color w:val="auto"/>
                <w:szCs w:val="24"/>
                <w:lang w:eastAsia="ru-RU"/>
              </w:rPr>
              <w:t>1.45</w:t>
            </w:r>
            <w:r w:rsidRPr="00F40118">
              <w:rPr>
                <w:rFonts w:ascii="Book Antiqua" w:eastAsia="Times New Roman" w:hAnsi="Book Antiqua" w:cs="Times New Roman"/>
                <w:bCs/>
                <w:szCs w:val="24"/>
              </w:rPr>
              <w:t xml:space="preserve"> (F0-F1), </w:t>
            </w:r>
            <w:r w:rsidRPr="00F40118">
              <w:rPr>
                <w:rFonts w:ascii="Book Antiqua" w:eastAsia="Times New Roman" w:hAnsi="Book Antiqua" w:cs="Times New Roman"/>
                <w:bCs/>
                <w:i/>
                <w:szCs w:val="24"/>
              </w:rPr>
              <w:t>n</w:t>
            </w:r>
            <w:r w:rsidRPr="00F40118">
              <w:rPr>
                <w:rFonts w:ascii="Book Antiqua" w:eastAsia="Times New Roman" w:hAnsi="Book Antiqua" w:cs="Times New Roman"/>
                <w:bCs/>
                <w:szCs w:val="24"/>
              </w:rPr>
              <w:t xml:space="preserve"> (%)</w:t>
            </w:r>
          </w:p>
        </w:tc>
        <w:tc>
          <w:tcPr>
            <w:tcW w:w="1032" w:type="pct"/>
            <w:vAlign w:val="center"/>
          </w:tcPr>
          <w:p w:rsidR="003D2C22" w:rsidRPr="00F40118" w:rsidRDefault="003D2C22" w:rsidP="00EF6CF8">
            <w:pPr>
              <w:pStyle w:val="a6"/>
              <w:snapToGrid w:val="0"/>
              <w:spacing w:line="360" w:lineRule="auto"/>
              <w:jc w:val="both"/>
              <w:rPr>
                <w:rFonts w:ascii="Book Antiqua" w:eastAsia="Times New Roman" w:hAnsi="Book Antiqua" w:cs="Times New Roman"/>
                <w:bCs/>
                <w:szCs w:val="24"/>
              </w:rPr>
            </w:pPr>
            <w:r w:rsidRPr="00F40118">
              <w:rPr>
                <w:rFonts w:ascii="Book Antiqua" w:eastAsia="Times New Roman" w:hAnsi="Book Antiqua" w:cs="Times New Roman"/>
                <w:bCs/>
                <w:szCs w:val="24"/>
              </w:rPr>
              <w:t>157 (90.2</w:t>
            </w:r>
            <w:r w:rsidR="00A76C4F">
              <w:rPr>
                <w:rFonts w:ascii="Book Antiqua" w:eastAsia="Times New Roman" w:hAnsi="Book Antiqua" w:cs="Times New Roman"/>
                <w:bCs/>
                <w:szCs w:val="24"/>
              </w:rPr>
              <w:t>)</w:t>
            </w:r>
          </w:p>
        </w:tc>
        <w:tc>
          <w:tcPr>
            <w:tcW w:w="1704" w:type="pct"/>
            <w:shd w:val="clear" w:color="auto" w:fill="auto"/>
            <w:noWrap/>
            <w:vAlign w:val="center"/>
          </w:tcPr>
          <w:p w:rsidR="003D2C22" w:rsidRPr="00F40118" w:rsidRDefault="003D2C22" w:rsidP="00EF6CF8">
            <w:pPr>
              <w:pStyle w:val="a6"/>
              <w:snapToGrid w:val="0"/>
              <w:spacing w:line="360" w:lineRule="auto"/>
              <w:jc w:val="both"/>
              <w:rPr>
                <w:rFonts w:ascii="Book Antiqua" w:eastAsia="Times New Roman" w:hAnsi="Book Antiqua" w:cs="Times New Roman"/>
                <w:bCs/>
                <w:szCs w:val="24"/>
              </w:rPr>
            </w:pPr>
            <w:r w:rsidRPr="00F40118">
              <w:rPr>
                <w:rFonts w:ascii="Book Antiqua" w:eastAsia="Times New Roman" w:hAnsi="Book Antiqua" w:cs="Times New Roman"/>
                <w:bCs/>
                <w:szCs w:val="24"/>
              </w:rPr>
              <w:t>163 (93.7</w:t>
            </w:r>
            <w:r w:rsidR="00A76C4F">
              <w:rPr>
                <w:rFonts w:ascii="Book Antiqua" w:eastAsia="Times New Roman" w:hAnsi="Book Antiqua" w:cs="Times New Roman"/>
                <w:bCs/>
                <w:szCs w:val="24"/>
              </w:rPr>
              <w:t>)</w:t>
            </w:r>
          </w:p>
        </w:tc>
        <w:tc>
          <w:tcPr>
            <w:tcW w:w="572" w:type="pct"/>
            <w:vAlign w:val="center"/>
          </w:tcPr>
          <w:p w:rsidR="003D2C22" w:rsidRPr="00F40118" w:rsidRDefault="003D2C22" w:rsidP="00EF6CF8">
            <w:pPr>
              <w:pStyle w:val="a6"/>
              <w:snapToGrid w:val="0"/>
              <w:spacing w:line="360" w:lineRule="auto"/>
              <w:jc w:val="both"/>
              <w:rPr>
                <w:rFonts w:ascii="Book Antiqua" w:eastAsia="Times New Roman" w:hAnsi="Book Antiqua" w:cs="Times New Roman"/>
                <w:bCs/>
                <w:szCs w:val="24"/>
              </w:rPr>
            </w:pPr>
            <w:r w:rsidRPr="00F40118">
              <w:rPr>
                <w:rFonts w:ascii="Book Antiqua" w:eastAsia="Times New Roman" w:hAnsi="Book Antiqua" w:cs="Times New Roman"/>
                <w:bCs/>
                <w:szCs w:val="24"/>
              </w:rPr>
              <w:t>0.256</w:t>
            </w:r>
          </w:p>
        </w:tc>
      </w:tr>
      <w:tr w:rsidR="003D2C22" w:rsidRPr="00F40118" w:rsidTr="00DE6ECA">
        <w:trPr>
          <w:trHeight w:val="300"/>
        </w:trPr>
        <w:tc>
          <w:tcPr>
            <w:tcW w:w="1692" w:type="pct"/>
            <w:shd w:val="clear" w:color="auto" w:fill="auto"/>
            <w:noWrap/>
            <w:vAlign w:val="center"/>
          </w:tcPr>
          <w:p w:rsidR="003D2C22" w:rsidRPr="00F40118" w:rsidRDefault="003D2C22" w:rsidP="00EF6CF8">
            <w:pPr>
              <w:pStyle w:val="a6"/>
              <w:snapToGrid w:val="0"/>
              <w:spacing w:line="360" w:lineRule="auto"/>
              <w:ind w:firstLine="142"/>
              <w:jc w:val="both"/>
              <w:rPr>
                <w:rFonts w:ascii="Book Antiqua" w:eastAsia="Times New Roman" w:hAnsi="Book Antiqua" w:cs="Times New Roman"/>
                <w:szCs w:val="24"/>
              </w:rPr>
            </w:pPr>
            <w:r w:rsidRPr="00F40118">
              <w:rPr>
                <w:rFonts w:ascii="Book Antiqua" w:eastAsia="Times New Roman" w:hAnsi="Book Antiqua" w:cs="Times New Roman"/>
                <w:szCs w:val="24"/>
              </w:rPr>
              <w:t>Men</w:t>
            </w:r>
          </w:p>
        </w:tc>
        <w:tc>
          <w:tcPr>
            <w:tcW w:w="1032" w:type="pct"/>
            <w:vAlign w:val="center"/>
          </w:tcPr>
          <w:p w:rsidR="003D2C22" w:rsidRPr="00F40118" w:rsidRDefault="003D2C22" w:rsidP="00EF6CF8">
            <w:pPr>
              <w:pStyle w:val="a6"/>
              <w:snapToGrid w:val="0"/>
              <w:spacing w:line="360" w:lineRule="auto"/>
              <w:jc w:val="both"/>
              <w:rPr>
                <w:rFonts w:ascii="Book Antiqua" w:eastAsia="Times New Roman" w:hAnsi="Book Antiqua" w:cs="Times New Roman"/>
                <w:bCs/>
                <w:szCs w:val="24"/>
              </w:rPr>
            </w:pPr>
            <w:r w:rsidRPr="00F40118">
              <w:rPr>
                <w:rFonts w:ascii="Book Antiqua" w:eastAsia="Times New Roman" w:hAnsi="Book Antiqua" w:cs="Times New Roman"/>
                <w:bCs/>
                <w:szCs w:val="24"/>
                <w:lang w:val="ru-RU"/>
              </w:rPr>
              <w:t>111 (91.7</w:t>
            </w:r>
            <w:r w:rsidR="00A76C4F">
              <w:rPr>
                <w:rFonts w:ascii="Book Antiqua" w:eastAsia="Times New Roman" w:hAnsi="Book Antiqua" w:cs="Times New Roman"/>
                <w:bCs/>
                <w:szCs w:val="24"/>
                <w:lang w:val="ru-RU"/>
              </w:rPr>
              <w:t>)</w:t>
            </w:r>
          </w:p>
        </w:tc>
        <w:tc>
          <w:tcPr>
            <w:tcW w:w="1704" w:type="pct"/>
            <w:shd w:val="clear" w:color="auto" w:fill="auto"/>
            <w:noWrap/>
            <w:vAlign w:val="center"/>
          </w:tcPr>
          <w:p w:rsidR="003D2C22" w:rsidRPr="00F40118" w:rsidRDefault="003D2C22" w:rsidP="00EF6CF8">
            <w:pPr>
              <w:pStyle w:val="a6"/>
              <w:snapToGrid w:val="0"/>
              <w:spacing w:line="360" w:lineRule="auto"/>
              <w:jc w:val="both"/>
              <w:rPr>
                <w:rFonts w:ascii="Book Antiqua" w:eastAsia="Times New Roman" w:hAnsi="Book Antiqua" w:cs="Times New Roman"/>
                <w:bCs/>
                <w:szCs w:val="24"/>
              </w:rPr>
            </w:pPr>
            <w:r w:rsidRPr="00F40118">
              <w:rPr>
                <w:rFonts w:ascii="Book Antiqua" w:eastAsia="Times New Roman" w:hAnsi="Book Antiqua" w:cs="Times New Roman"/>
                <w:bCs/>
                <w:szCs w:val="24"/>
                <w:lang w:val="ru-RU"/>
              </w:rPr>
              <w:t>114 (94.2</w:t>
            </w:r>
            <w:r w:rsidR="00A76C4F">
              <w:rPr>
                <w:rFonts w:ascii="Book Antiqua" w:eastAsia="Times New Roman" w:hAnsi="Book Antiqua" w:cs="Times New Roman"/>
                <w:bCs/>
                <w:szCs w:val="24"/>
                <w:lang w:val="ru-RU"/>
              </w:rPr>
              <w:t>)</w:t>
            </w:r>
          </w:p>
        </w:tc>
        <w:tc>
          <w:tcPr>
            <w:tcW w:w="572" w:type="pct"/>
            <w:vAlign w:val="center"/>
          </w:tcPr>
          <w:p w:rsidR="003D2C22" w:rsidRPr="00F40118" w:rsidRDefault="003D2C22" w:rsidP="00EF6CF8">
            <w:pPr>
              <w:pStyle w:val="a6"/>
              <w:snapToGrid w:val="0"/>
              <w:spacing w:line="360" w:lineRule="auto"/>
              <w:jc w:val="both"/>
              <w:rPr>
                <w:rFonts w:ascii="Book Antiqua" w:eastAsia="Times New Roman" w:hAnsi="Book Antiqua" w:cs="Times New Roman"/>
                <w:bCs/>
                <w:szCs w:val="24"/>
              </w:rPr>
            </w:pPr>
            <w:r w:rsidRPr="00F40118">
              <w:rPr>
                <w:rFonts w:ascii="Book Antiqua" w:eastAsia="Times New Roman" w:hAnsi="Book Antiqua" w:cs="Times New Roman"/>
                <w:bCs/>
                <w:szCs w:val="24"/>
              </w:rPr>
              <w:t>0.615</w:t>
            </w:r>
          </w:p>
        </w:tc>
      </w:tr>
      <w:tr w:rsidR="003D2C22" w:rsidRPr="00F40118" w:rsidTr="00DE6ECA">
        <w:trPr>
          <w:trHeight w:val="300"/>
        </w:trPr>
        <w:tc>
          <w:tcPr>
            <w:tcW w:w="1692" w:type="pct"/>
            <w:shd w:val="clear" w:color="auto" w:fill="auto"/>
            <w:noWrap/>
            <w:vAlign w:val="center"/>
          </w:tcPr>
          <w:p w:rsidR="003D2C22" w:rsidRPr="00F40118" w:rsidRDefault="003D2C22" w:rsidP="00EF6CF8">
            <w:pPr>
              <w:pStyle w:val="a6"/>
              <w:snapToGrid w:val="0"/>
              <w:spacing w:line="360" w:lineRule="auto"/>
              <w:ind w:firstLine="142"/>
              <w:jc w:val="both"/>
              <w:rPr>
                <w:rFonts w:ascii="Book Antiqua" w:eastAsia="Times New Roman" w:hAnsi="Book Antiqua" w:cs="Times New Roman"/>
                <w:szCs w:val="24"/>
              </w:rPr>
            </w:pPr>
            <w:r w:rsidRPr="00F40118">
              <w:rPr>
                <w:rFonts w:ascii="Book Antiqua" w:eastAsia="Times New Roman" w:hAnsi="Book Antiqua" w:cs="Times New Roman"/>
                <w:szCs w:val="24"/>
              </w:rPr>
              <w:t>Women</w:t>
            </w:r>
          </w:p>
        </w:tc>
        <w:tc>
          <w:tcPr>
            <w:tcW w:w="1032" w:type="pct"/>
            <w:vAlign w:val="center"/>
          </w:tcPr>
          <w:p w:rsidR="003D2C22" w:rsidRPr="00F40118" w:rsidRDefault="003D2C22" w:rsidP="00EF6CF8">
            <w:pPr>
              <w:pStyle w:val="a6"/>
              <w:snapToGrid w:val="0"/>
              <w:spacing w:line="360" w:lineRule="auto"/>
              <w:jc w:val="both"/>
              <w:rPr>
                <w:rFonts w:ascii="Book Antiqua" w:eastAsia="Times New Roman" w:hAnsi="Book Antiqua" w:cs="Times New Roman"/>
                <w:bCs/>
                <w:szCs w:val="24"/>
              </w:rPr>
            </w:pPr>
            <w:r w:rsidRPr="00F40118">
              <w:rPr>
                <w:rFonts w:ascii="Book Antiqua" w:eastAsia="Times New Roman" w:hAnsi="Book Antiqua" w:cs="Times New Roman"/>
                <w:bCs/>
                <w:szCs w:val="24"/>
                <w:lang w:val="ru-RU"/>
              </w:rPr>
              <w:t>46 (86.8</w:t>
            </w:r>
            <w:r w:rsidR="00A76C4F">
              <w:rPr>
                <w:rFonts w:ascii="Book Antiqua" w:eastAsia="Times New Roman" w:hAnsi="Book Antiqua" w:cs="Times New Roman"/>
                <w:bCs/>
                <w:szCs w:val="24"/>
                <w:lang w:val="ru-RU"/>
              </w:rPr>
              <w:t>)</w:t>
            </w:r>
          </w:p>
        </w:tc>
        <w:tc>
          <w:tcPr>
            <w:tcW w:w="1704" w:type="pct"/>
            <w:shd w:val="clear" w:color="auto" w:fill="auto"/>
            <w:noWrap/>
            <w:vAlign w:val="center"/>
          </w:tcPr>
          <w:p w:rsidR="003D2C22" w:rsidRPr="00F40118" w:rsidRDefault="003D2C22" w:rsidP="00EF6CF8">
            <w:pPr>
              <w:pStyle w:val="a6"/>
              <w:snapToGrid w:val="0"/>
              <w:spacing w:line="360" w:lineRule="auto"/>
              <w:jc w:val="both"/>
              <w:rPr>
                <w:rFonts w:ascii="Book Antiqua" w:eastAsia="Times New Roman" w:hAnsi="Book Antiqua" w:cs="Times New Roman"/>
                <w:bCs/>
                <w:szCs w:val="24"/>
              </w:rPr>
            </w:pPr>
            <w:r w:rsidRPr="00F40118">
              <w:rPr>
                <w:rFonts w:ascii="Book Antiqua" w:eastAsia="Times New Roman" w:hAnsi="Book Antiqua" w:cs="Times New Roman"/>
                <w:bCs/>
                <w:szCs w:val="24"/>
                <w:lang w:val="ru-RU"/>
              </w:rPr>
              <w:t>49 (92.5</w:t>
            </w:r>
            <w:r w:rsidR="00A76C4F">
              <w:rPr>
                <w:rFonts w:ascii="Book Antiqua" w:eastAsia="Times New Roman" w:hAnsi="Book Antiqua" w:cs="Times New Roman"/>
                <w:bCs/>
                <w:szCs w:val="24"/>
                <w:lang w:val="ru-RU"/>
              </w:rPr>
              <w:t>)</w:t>
            </w:r>
          </w:p>
        </w:tc>
        <w:tc>
          <w:tcPr>
            <w:tcW w:w="572" w:type="pct"/>
            <w:vAlign w:val="center"/>
          </w:tcPr>
          <w:p w:rsidR="003D2C22" w:rsidRPr="00F40118" w:rsidRDefault="003D2C22" w:rsidP="00EF6CF8">
            <w:pPr>
              <w:pStyle w:val="a6"/>
              <w:snapToGrid w:val="0"/>
              <w:spacing w:line="360" w:lineRule="auto"/>
              <w:jc w:val="both"/>
              <w:rPr>
                <w:rFonts w:ascii="Book Antiqua" w:eastAsia="Times New Roman" w:hAnsi="Book Antiqua" w:cs="Times New Roman"/>
                <w:bCs/>
                <w:szCs w:val="24"/>
              </w:rPr>
            </w:pPr>
            <w:r w:rsidRPr="00F40118">
              <w:rPr>
                <w:rFonts w:ascii="Book Antiqua" w:eastAsia="Times New Roman" w:hAnsi="Book Antiqua" w:cs="Times New Roman"/>
                <w:bCs/>
                <w:szCs w:val="24"/>
              </w:rPr>
              <w:t>0.402</w:t>
            </w:r>
          </w:p>
        </w:tc>
      </w:tr>
      <w:tr w:rsidR="003D2C22" w:rsidRPr="00F40118" w:rsidTr="00DE6ECA">
        <w:trPr>
          <w:trHeight w:val="300"/>
        </w:trPr>
        <w:tc>
          <w:tcPr>
            <w:tcW w:w="1692" w:type="pct"/>
            <w:shd w:val="clear" w:color="auto" w:fill="auto"/>
            <w:noWrap/>
            <w:vAlign w:val="center"/>
          </w:tcPr>
          <w:p w:rsidR="003D2C22" w:rsidRPr="00F40118" w:rsidRDefault="003D2C22" w:rsidP="00EF6CF8">
            <w:pPr>
              <w:pStyle w:val="a6"/>
              <w:snapToGrid w:val="0"/>
              <w:spacing w:line="360" w:lineRule="auto"/>
              <w:jc w:val="both"/>
              <w:rPr>
                <w:rFonts w:ascii="Book Antiqua" w:eastAsia="Times New Roman" w:hAnsi="Book Antiqua" w:cs="Times New Roman"/>
                <w:szCs w:val="24"/>
              </w:rPr>
            </w:pPr>
            <w:r w:rsidRPr="00F40118">
              <w:rPr>
                <w:rFonts w:ascii="Book Antiqua" w:eastAsia="Times New Roman" w:hAnsi="Book Antiqua" w:cs="Times New Roman"/>
                <w:bCs/>
                <w:color w:val="auto"/>
                <w:szCs w:val="24"/>
              </w:rPr>
              <w:t>CIMT</w:t>
            </w:r>
            <w:r w:rsidRPr="00F40118">
              <w:rPr>
                <w:rFonts w:ascii="Book Antiqua" w:eastAsia="Times New Roman" w:hAnsi="Book Antiqua" w:cs="Times New Roman"/>
                <w:bCs/>
                <w:color w:val="auto"/>
                <w:szCs w:val="24"/>
                <w:lang w:val="ru-RU"/>
              </w:rPr>
              <w:t xml:space="preserve"> </w:t>
            </w:r>
            <w:r w:rsidRPr="00F40118">
              <w:rPr>
                <w:rFonts w:ascii="Book Antiqua" w:eastAsia="Times New Roman" w:hAnsi="Book Antiqua" w:cs="Times New Roman"/>
                <w:szCs w:val="24"/>
              </w:rPr>
              <w:t>(total sample)</w:t>
            </w:r>
            <w:r w:rsidRPr="00F40118">
              <w:rPr>
                <w:rFonts w:ascii="Book Antiqua" w:eastAsia="Times New Roman" w:hAnsi="Book Antiqua" w:cs="Times New Roman"/>
                <w:bCs/>
                <w:color w:val="auto"/>
                <w:szCs w:val="24"/>
              </w:rPr>
              <w:t>, mm</w:t>
            </w:r>
          </w:p>
        </w:tc>
        <w:tc>
          <w:tcPr>
            <w:tcW w:w="1032" w:type="pct"/>
            <w:vAlign w:val="center"/>
          </w:tcPr>
          <w:p w:rsidR="003D2C22" w:rsidRPr="00F40118" w:rsidRDefault="003D2C22" w:rsidP="00EF6CF8">
            <w:pPr>
              <w:pStyle w:val="a6"/>
              <w:snapToGrid w:val="0"/>
              <w:spacing w:line="360" w:lineRule="auto"/>
              <w:jc w:val="both"/>
              <w:rPr>
                <w:rFonts w:ascii="Book Antiqua" w:eastAsia="Times New Roman" w:hAnsi="Book Antiqua" w:cs="Times New Roman"/>
                <w:bCs/>
                <w:szCs w:val="24"/>
              </w:rPr>
            </w:pPr>
            <w:r w:rsidRPr="00F40118">
              <w:rPr>
                <w:rFonts w:ascii="Book Antiqua" w:eastAsia="Times New Roman" w:hAnsi="Book Antiqua" w:cs="Times New Roman"/>
                <w:bCs/>
                <w:szCs w:val="24"/>
              </w:rPr>
              <w:t>0.985</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 0.243</w:t>
            </w:r>
          </w:p>
        </w:tc>
        <w:tc>
          <w:tcPr>
            <w:tcW w:w="1704" w:type="pct"/>
            <w:shd w:val="clear" w:color="auto" w:fill="auto"/>
            <w:noWrap/>
            <w:vAlign w:val="center"/>
          </w:tcPr>
          <w:p w:rsidR="003D2C22" w:rsidRPr="00F40118" w:rsidRDefault="003D2C22" w:rsidP="00EF6CF8">
            <w:pPr>
              <w:pStyle w:val="a6"/>
              <w:snapToGrid w:val="0"/>
              <w:spacing w:line="360" w:lineRule="auto"/>
              <w:jc w:val="both"/>
              <w:rPr>
                <w:rFonts w:ascii="Book Antiqua" w:eastAsia="Times New Roman" w:hAnsi="Book Antiqua" w:cs="Times New Roman"/>
                <w:bCs/>
                <w:szCs w:val="24"/>
              </w:rPr>
            </w:pPr>
            <w:r w:rsidRPr="00F40118">
              <w:rPr>
                <w:rFonts w:ascii="Book Antiqua" w:eastAsia="Times New Roman" w:hAnsi="Book Antiqua" w:cs="Times New Roman"/>
                <w:bCs/>
                <w:szCs w:val="24"/>
              </w:rPr>
              <w:t>0.968</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0.237</w:t>
            </w:r>
          </w:p>
        </w:tc>
        <w:tc>
          <w:tcPr>
            <w:tcW w:w="572" w:type="pct"/>
            <w:vAlign w:val="center"/>
          </w:tcPr>
          <w:p w:rsidR="003D2C22" w:rsidRPr="00F40118" w:rsidRDefault="003D2C22" w:rsidP="00EF6CF8">
            <w:pPr>
              <w:pStyle w:val="a6"/>
              <w:snapToGrid w:val="0"/>
              <w:spacing w:line="360" w:lineRule="auto"/>
              <w:jc w:val="both"/>
              <w:rPr>
                <w:rFonts w:ascii="Book Antiqua" w:eastAsia="Times New Roman" w:hAnsi="Book Antiqua" w:cs="Times New Roman"/>
                <w:bCs/>
                <w:szCs w:val="24"/>
              </w:rPr>
            </w:pPr>
            <w:r w:rsidRPr="00F40118">
              <w:rPr>
                <w:rFonts w:ascii="Book Antiqua" w:eastAsia="Times New Roman" w:hAnsi="Book Antiqua" w:cs="Times New Roman"/>
                <w:bCs/>
                <w:szCs w:val="24"/>
              </w:rPr>
              <w:t>0.013</w:t>
            </w:r>
          </w:p>
        </w:tc>
      </w:tr>
      <w:tr w:rsidR="003D2C22" w:rsidRPr="00F40118" w:rsidTr="00DE6ECA">
        <w:trPr>
          <w:trHeight w:val="300"/>
        </w:trPr>
        <w:tc>
          <w:tcPr>
            <w:tcW w:w="1692" w:type="pct"/>
            <w:shd w:val="clear" w:color="auto" w:fill="auto"/>
            <w:noWrap/>
            <w:vAlign w:val="center"/>
          </w:tcPr>
          <w:p w:rsidR="003D2C22" w:rsidRPr="00F40118" w:rsidRDefault="003D2C22" w:rsidP="00EF6CF8">
            <w:pPr>
              <w:pStyle w:val="a6"/>
              <w:snapToGrid w:val="0"/>
              <w:spacing w:line="360" w:lineRule="auto"/>
              <w:ind w:firstLine="142"/>
              <w:jc w:val="both"/>
              <w:rPr>
                <w:rFonts w:ascii="Book Antiqua" w:eastAsia="Times New Roman" w:hAnsi="Book Antiqua" w:cs="Times New Roman"/>
                <w:szCs w:val="24"/>
              </w:rPr>
            </w:pPr>
            <w:r w:rsidRPr="00F40118">
              <w:rPr>
                <w:rFonts w:ascii="Book Antiqua" w:eastAsia="Times New Roman" w:hAnsi="Book Antiqua" w:cs="Times New Roman"/>
                <w:szCs w:val="24"/>
              </w:rPr>
              <w:t>Men</w:t>
            </w:r>
          </w:p>
        </w:tc>
        <w:tc>
          <w:tcPr>
            <w:tcW w:w="1032" w:type="pct"/>
            <w:vAlign w:val="center"/>
          </w:tcPr>
          <w:p w:rsidR="003D2C22" w:rsidRPr="00F40118" w:rsidRDefault="003D2C22" w:rsidP="00EF6CF8">
            <w:pPr>
              <w:pStyle w:val="a6"/>
              <w:snapToGrid w:val="0"/>
              <w:spacing w:line="360" w:lineRule="auto"/>
              <w:jc w:val="both"/>
              <w:rPr>
                <w:rFonts w:ascii="Book Antiqua" w:eastAsia="Times New Roman" w:hAnsi="Book Antiqua" w:cs="Times New Roman"/>
                <w:bCs/>
                <w:szCs w:val="24"/>
              </w:rPr>
            </w:pPr>
            <w:r w:rsidRPr="00F40118">
              <w:rPr>
                <w:rFonts w:ascii="Book Antiqua" w:eastAsia="Times New Roman" w:hAnsi="Book Antiqua" w:cs="Times New Roman"/>
                <w:bCs/>
                <w:szCs w:val="24"/>
              </w:rPr>
              <w:t>0.993</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 0.224</w:t>
            </w:r>
          </w:p>
        </w:tc>
        <w:tc>
          <w:tcPr>
            <w:tcW w:w="1704" w:type="pct"/>
            <w:shd w:val="clear" w:color="auto" w:fill="auto"/>
            <w:noWrap/>
            <w:vAlign w:val="center"/>
          </w:tcPr>
          <w:p w:rsidR="003D2C22" w:rsidRPr="00F40118" w:rsidRDefault="003D2C22" w:rsidP="00EF6CF8">
            <w:pPr>
              <w:pStyle w:val="a6"/>
              <w:snapToGrid w:val="0"/>
              <w:spacing w:line="360" w:lineRule="auto"/>
              <w:jc w:val="both"/>
              <w:rPr>
                <w:rFonts w:ascii="Book Antiqua" w:eastAsia="Times New Roman" w:hAnsi="Book Antiqua" w:cs="Times New Roman"/>
                <w:bCs/>
                <w:szCs w:val="24"/>
              </w:rPr>
            </w:pPr>
            <w:r w:rsidRPr="00F40118">
              <w:rPr>
                <w:rFonts w:ascii="Book Antiqua" w:eastAsia="Times New Roman" w:hAnsi="Book Antiqua" w:cs="Times New Roman"/>
                <w:bCs/>
                <w:szCs w:val="24"/>
              </w:rPr>
              <w:t>0.977</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0.217</w:t>
            </w:r>
          </w:p>
        </w:tc>
        <w:tc>
          <w:tcPr>
            <w:tcW w:w="572" w:type="pct"/>
            <w:vAlign w:val="center"/>
          </w:tcPr>
          <w:p w:rsidR="003D2C22" w:rsidRPr="00F40118" w:rsidRDefault="003D2C22" w:rsidP="00EF6CF8">
            <w:pPr>
              <w:pStyle w:val="a6"/>
              <w:snapToGrid w:val="0"/>
              <w:spacing w:line="360" w:lineRule="auto"/>
              <w:jc w:val="both"/>
              <w:rPr>
                <w:rFonts w:ascii="Book Antiqua" w:eastAsia="Times New Roman" w:hAnsi="Book Antiqua" w:cs="Times New Roman"/>
                <w:bCs/>
                <w:szCs w:val="24"/>
              </w:rPr>
            </w:pPr>
            <w:r w:rsidRPr="00F40118">
              <w:rPr>
                <w:rFonts w:ascii="Book Antiqua" w:eastAsia="Times New Roman" w:hAnsi="Book Antiqua" w:cs="Times New Roman"/>
                <w:bCs/>
                <w:szCs w:val="24"/>
              </w:rPr>
              <w:t>0.073</w:t>
            </w:r>
          </w:p>
        </w:tc>
      </w:tr>
      <w:tr w:rsidR="003D2C22" w:rsidRPr="00F40118" w:rsidTr="00DE6ECA">
        <w:trPr>
          <w:trHeight w:val="300"/>
        </w:trPr>
        <w:tc>
          <w:tcPr>
            <w:tcW w:w="1692" w:type="pct"/>
            <w:shd w:val="clear" w:color="auto" w:fill="auto"/>
            <w:noWrap/>
            <w:vAlign w:val="center"/>
          </w:tcPr>
          <w:p w:rsidR="003D2C22" w:rsidRPr="00F40118" w:rsidRDefault="003D2C22" w:rsidP="00EF6CF8">
            <w:pPr>
              <w:pStyle w:val="a6"/>
              <w:snapToGrid w:val="0"/>
              <w:spacing w:line="360" w:lineRule="auto"/>
              <w:ind w:firstLine="142"/>
              <w:jc w:val="both"/>
              <w:rPr>
                <w:rFonts w:ascii="Book Antiqua" w:eastAsia="Times New Roman" w:hAnsi="Book Antiqua" w:cs="Times New Roman"/>
                <w:szCs w:val="24"/>
              </w:rPr>
            </w:pPr>
            <w:r w:rsidRPr="00F40118">
              <w:rPr>
                <w:rFonts w:ascii="Book Antiqua" w:eastAsia="Times New Roman" w:hAnsi="Book Antiqua" w:cs="Times New Roman"/>
                <w:szCs w:val="24"/>
              </w:rPr>
              <w:t>Women</w:t>
            </w:r>
          </w:p>
        </w:tc>
        <w:tc>
          <w:tcPr>
            <w:tcW w:w="1032" w:type="pct"/>
            <w:vAlign w:val="center"/>
          </w:tcPr>
          <w:p w:rsidR="003D2C22" w:rsidRPr="00F40118" w:rsidRDefault="003D2C22" w:rsidP="00EF6CF8">
            <w:pPr>
              <w:pStyle w:val="a6"/>
              <w:snapToGrid w:val="0"/>
              <w:spacing w:line="360" w:lineRule="auto"/>
              <w:jc w:val="both"/>
              <w:rPr>
                <w:rFonts w:ascii="Book Antiqua" w:eastAsia="Times New Roman" w:hAnsi="Book Antiqua" w:cs="Times New Roman"/>
                <w:bCs/>
                <w:szCs w:val="24"/>
              </w:rPr>
            </w:pPr>
            <w:r w:rsidRPr="00F40118">
              <w:rPr>
                <w:rFonts w:ascii="Book Antiqua" w:eastAsia="Times New Roman" w:hAnsi="Book Antiqua" w:cs="Times New Roman"/>
                <w:bCs/>
                <w:szCs w:val="24"/>
              </w:rPr>
              <w:t>0.967</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 0.284</w:t>
            </w:r>
          </w:p>
        </w:tc>
        <w:tc>
          <w:tcPr>
            <w:tcW w:w="1704" w:type="pct"/>
            <w:shd w:val="clear" w:color="auto" w:fill="auto"/>
            <w:noWrap/>
            <w:vAlign w:val="center"/>
          </w:tcPr>
          <w:p w:rsidR="003D2C22" w:rsidRPr="00F40118" w:rsidRDefault="003D2C22" w:rsidP="00EF6CF8">
            <w:pPr>
              <w:pStyle w:val="a6"/>
              <w:snapToGrid w:val="0"/>
              <w:spacing w:line="360" w:lineRule="auto"/>
              <w:jc w:val="both"/>
              <w:rPr>
                <w:rFonts w:ascii="Book Antiqua" w:eastAsia="Times New Roman" w:hAnsi="Book Antiqua" w:cs="Times New Roman"/>
                <w:bCs/>
                <w:szCs w:val="24"/>
              </w:rPr>
            </w:pPr>
            <w:r w:rsidRPr="00F40118">
              <w:rPr>
                <w:rFonts w:ascii="Book Antiqua" w:eastAsia="Times New Roman" w:hAnsi="Book Antiqua" w:cs="Times New Roman"/>
                <w:bCs/>
                <w:szCs w:val="24"/>
              </w:rPr>
              <w:t>0.947</w:t>
            </w:r>
            <w:r w:rsidRPr="00F40118">
              <w:rPr>
                <w:rFonts w:ascii="Book Antiqua" w:eastAsia="Times New Roman" w:hAnsi="Book Antiqua" w:cs="Times New Roman"/>
                <w:bCs/>
                <w:szCs w:val="24"/>
                <w:lang w:val="ru-RU"/>
              </w:rPr>
              <w:t xml:space="preserve"> </w:t>
            </w:r>
            <w:r w:rsidRPr="00F40118">
              <w:rPr>
                <w:rFonts w:ascii="Book Antiqua" w:eastAsia="Times New Roman" w:hAnsi="Book Antiqua" w:cs="Times New Roman"/>
                <w:bCs/>
                <w:szCs w:val="24"/>
              </w:rPr>
              <w:t>± 0.276</w:t>
            </w:r>
          </w:p>
        </w:tc>
        <w:tc>
          <w:tcPr>
            <w:tcW w:w="572" w:type="pct"/>
            <w:vAlign w:val="center"/>
          </w:tcPr>
          <w:p w:rsidR="003D2C22" w:rsidRPr="00F40118" w:rsidRDefault="003D2C22" w:rsidP="00EF6CF8">
            <w:pPr>
              <w:pStyle w:val="a6"/>
              <w:snapToGrid w:val="0"/>
              <w:spacing w:line="360" w:lineRule="auto"/>
              <w:jc w:val="both"/>
              <w:rPr>
                <w:rFonts w:ascii="Book Antiqua" w:eastAsia="Times New Roman" w:hAnsi="Book Antiqua" w:cs="Times New Roman"/>
                <w:bCs/>
                <w:szCs w:val="24"/>
              </w:rPr>
            </w:pPr>
            <w:r w:rsidRPr="00F40118">
              <w:rPr>
                <w:rFonts w:ascii="Book Antiqua" w:eastAsia="Times New Roman" w:hAnsi="Book Antiqua" w:cs="Times New Roman"/>
                <w:bCs/>
                <w:szCs w:val="24"/>
              </w:rPr>
              <w:t>0.052</w:t>
            </w:r>
          </w:p>
        </w:tc>
      </w:tr>
      <w:tr w:rsidR="003D2C22" w:rsidRPr="00F40118" w:rsidTr="00DE6ECA">
        <w:trPr>
          <w:trHeight w:val="300"/>
        </w:trPr>
        <w:tc>
          <w:tcPr>
            <w:tcW w:w="1692" w:type="pct"/>
            <w:shd w:val="clear" w:color="auto" w:fill="auto"/>
            <w:noWrap/>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CIMT</w:t>
            </w:r>
            <w:r w:rsidR="00D735F9" w:rsidRPr="00F40118">
              <w:rPr>
                <w:rFonts w:ascii="Book Antiqua" w:eastAsia="Times New Roman" w:hAnsi="Book Antiqua" w:cs="Times New Roman"/>
                <w:bCs/>
                <w:szCs w:val="24"/>
              </w:rPr>
              <w:t xml:space="preserve"> </w:t>
            </w:r>
            <w:r w:rsidR="00D735F9" w:rsidRPr="00F40118">
              <w:rPr>
                <w:rFonts w:ascii="Book Antiqua" w:eastAsia="Times New Roman" w:hAnsi="Book Antiqua" w:cs="Times New Roman"/>
                <w:szCs w:val="24"/>
              </w:rPr>
              <w:t>(total sample)</w:t>
            </w:r>
            <w:r w:rsidRPr="00F40118">
              <w:rPr>
                <w:rFonts w:ascii="Book Antiqua" w:eastAsia="Times New Roman" w:hAnsi="Book Antiqua" w:cs="Times New Roman"/>
                <w:bCs/>
                <w:szCs w:val="24"/>
              </w:rPr>
              <w:t xml:space="preserve"> exceeding ULN for the corresponding age and sex</w:t>
            </w:r>
          </w:p>
        </w:tc>
        <w:tc>
          <w:tcPr>
            <w:tcW w:w="1032" w:type="pct"/>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143 (84</w:t>
            </w:r>
            <w:r w:rsidR="00A76C4F">
              <w:rPr>
                <w:rFonts w:ascii="Book Antiqua" w:eastAsia="Times New Roman" w:hAnsi="Book Antiqua" w:cs="Times New Roman"/>
                <w:bCs/>
                <w:szCs w:val="24"/>
              </w:rPr>
              <w:t>)</w:t>
            </w:r>
          </w:p>
        </w:tc>
        <w:tc>
          <w:tcPr>
            <w:tcW w:w="1704" w:type="pct"/>
            <w:shd w:val="clear" w:color="auto" w:fill="auto"/>
            <w:noWrap/>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139 (82</w:t>
            </w:r>
            <w:r w:rsidR="00A76C4F">
              <w:rPr>
                <w:rFonts w:ascii="Book Antiqua" w:eastAsia="Times New Roman" w:hAnsi="Book Antiqua" w:cs="Times New Roman"/>
                <w:bCs/>
                <w:szCs w:val="24"/>
              </w:rPr>
              <w:t>)</w:t>
            </w:r>
          </w:p>
        </w:tc>
        <w:tc>
          <w:tcPr>
            <w:tcW w:w="572" w:type="pct"/>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Fonts w:ascii="Book Antiqua" w:eastAsia="Times New Roman" w:hAnsi="Book Antiqua" w:cs="Times New Roman"/>
                <w:bCs/>
                <w:szCs w:val="24"/>
              </w:rPr>
              <w:t>0.549</w:t>
            </w:r>
          </w:p>
        </w:tc>
      </w:tr>
      <w:tr w:rsidR="003D2C22" w:rsidRPr="00F40118" w:rsidTr="00DE6ECA">
        <w:trPr>
          <w:trHeight w:val="300"/>
        </w:trPr>
        <w:tc>
          <w:tcPr>
            <w:tcW w:w="1692" w:type="pct"/>
            <w:shd w:val="clear" w:color="auto" w:fill="auto"/>
            <w:noWrap/>
            <w:vAlign w:val="center"/>
          </w:tcPr>
          <w:p w:rsidR="003D2C22" w:rsidRPr="00F40118" w:rsidRDefault="003D2C22" w:rsidP="00EF6CF8">
            <w:pPr>
              <w:pStyle w:val="a6"/>
              <w:snapToGrid w:val="0"/>
              <w:spacing w:line="360" w:lineRule="auto"/>
              <w:ind w:firstLine="142"/>
              <w:jc w:val="both"/>
              <w:rPr>
                <w:rFonts w:ascii="Book Antiqua" w:eastAsia="Times New Roman" w:hAnsi="Book Antiqua" w:cs="Times New Roman"/>
                <w:bCs/>
                <w:color w:val="auto"/>
                <w:szCs w:val="24"/>
                <w:lang w:eastAsia="ru-RU"/>
              </w:rPr>
            </w:pPr>
            <w:r w:rsidRPr="00F40118">
              <w:rPr>
                <w:rFonts w:ascii="Book Antiqua" w:eastAsia="Times New Roman" w:hAnsi="Book Antiqua" w:cs="Times New Roman"/>
                <w:szCs w:val="24"/>
              </w:rPr>
              <w:t>Men</w:t>
            </w:r>
          </w:p>
        </w:tc>
        <w:tc>
          <w:tcPr>
            <w:tcW w:w="1032" w:type="pct"/>
            <w:vAlign w:val="center"/>
          </w:tcPr>
          <w:p w:rsidR="003D2C22" w:rsidRPr="00F40118" w:rsidRDefault="003D2C22" w:rsidP="00EF6CF8">
            <w:pPr>
              <w:pStyle w:val="a6"/>
              <w:snapToGrid w:val="0"/>
              <w:spacing w:line="360" w:lineRule="auto"/>
              <w:jc w:val="both"/>
              <w:rPr>
                <w:rFonts w:ascii="Book Antiqua" w:eastAsia="Times New Roman" w:hAnsi="Book Antiqua" w:cs="Times New Roman"/>
                <w:bCs/>
                <w:szCs w:val="24"/>
              </w:rPr>
            </w:pPr>
            <w:r w:rsidRPr="00F40118">
              <w:rPr>
                <w:rFonts w:ascii="Book Antiqua" w:eastAsia="Times New Roman" w:hAnsi="Book Antiqua" w:cs="Times New Roman"/>
                <w:bCs/>
                <w:szCs w:val="24"/>
              </w:rPr>
              <w:t>103 (8</w:t>
            </w:r>
            <w:r w:rsidRPr="00F40118">
              <w:rPr>
                <w:rFonts w:ascii="Book Antiqua" w:eastAsia="Times New Roman" w:hAnsi="Book Antiqua" w:cs="Times New Roman"/>
                <w:bCs/>
                <w:szCs w:val="24"/>
                <w:lang w:val="ru-RU"/>
              </w:rPr>
              <w:t>5.1</w:t>
            </w:r>
            <w:r w:rsidR="00A76C4F">
              <w:rPr>
                <w:rFonts w:ascii="Book Antiqua" w:eastAsia="Times New Roman" w:hAnsi="Book Antiqua" w:cs="Times New Roman"/>
                <w:bCs/>
                <w:szCs w:val="24"/>
              </w:rPr>
              <w:t>)</w:t>
            </w:r>
          </w:p>
        </w:tc>
        <w:tc>
          <w:tcPr>
            <w:tcW w:w="1704" w:type="pct"/>
            <w:shd w:val="clear" w:color="auto" w:fill="auto"/>
            <w:noWrap/>
            <w:vAlign w:val="center"/>
          </w:tcPr>
          <w:p w:rsidR="003D2C22" w:rsidRPr="00F40118" w:rsidRDefault="003D2C22" w:rsidP="00EF6CF8">
            <w:pPr>
              <w:pStyle w:val="a6"/>
              <w:snapToGrid w:val="0"/>
              <w:spacing w:line="360" w:lineRule="auto"/>
              <w:jc w:val="both"/>
              <w:rPr>
                <w:rFonts w:ascii="Book Antiqua" w:eastAsia="Times New Roman" w:hAnsi="Book Antiqua" w:cs="Times New Roman"/>
                <w:bCs/>
                <w:szCs w:val="24"/>
              </w:rPr>
            </w:pPr>
            <w:r w:rsidRPr="00F40118">
              <w:rPr>
                <w:rFonts w:ascii="Book Antiqua" w:eastAsia="Times New Roman" w:hAnsi="Book Antiqua" w:cs="Times New Roman"/>
                <w:bCs/>
                <w:szCs w:val="24"/>
              </w:rPr>
              <w:t>101 (8</w:t>
            </w:r>
            <w:r w:rsidRPr="00F40118">
              <w:rPr>
                <w:rFonts w:ascii="Book Antiqua" w:eastAsia="Times New Roman" w:hAnsi="Book Antiqua" w:cs="Times New Roman"/>
                <w:bCs/>
                <w:szCs w:val="24"/>
                <w:lang w:val="ru-RU"/>
              </w:rPr>
              <w:t>3.5</w:t>
            </w:r>
            <w:r w:rsidR="00A76C4F">
              <w:rPr>
                <w:rFonts w:ascii="Book Antiqua" w:eastAsia="Times New Roman" w:hAnsi="Book Antiqua" w:cs="Times New Roman"/>
                <w:bCs/>
                <w:szCs w:val="24"/>
              </w:rPr>
              <w:t>)</w:t>
            </w:r>
          </w:p>
        </w:tc>
        <w:tc>
          <w:tcPr>
            <w:tcW w:w="572" w:type="pct"/>
            <w:vAlign w:val="center"/>
          </w:tcPr>
          <w:p w:rsidR="003D2C22" w:rsidRPr="00F40118" w:rsidRDefault="003D2C22" w:rsidP="00EF6CF8">
            <w:pPr>
              <w:pStyle w:val="a6"/>
              <w:snapToGrid w:val="0"/>
              <w:spacing w:line="360" w:lineRule="auto"/>
              <w:jc w:val="both"/>
              <w:rPr>
                <w:rFonts w:ascii="Book Antiqua" w:eastAsia="Times New Roman" w:hAnsi="Book Antiqua" w:cs="Times New Roman"/>
                <w:bCs/>
                <w:szCs w:val="24"/>
              </w:rPr>
            </w:pPr>
            <w:r w:rsidRPr="00F40118">
              <w:rPr>
                <w:rFonts w:ascii="Book Antiqua" w:eastAsia="Times New Roman" w:hAnsi="Book Antiqua" w:cs="Times New Roman"/>
                <w:bCs/>
                <w:szCs w:val="24"/>
              </w:rPr>
              <w:t>0.860</w:t>
            </w:r>
          </w:p>
        </w:tc>
      </w:tr>
      <w:tr w:rsidR="003D2C22" w:rsidRPr="00F40118" w:rsidTr="00DE6ECA">
        <w:trPr>
          <w:trHeight w:val="300"/>
        </w:trPr>
        <w:tc>
          <w:tcPr>
            <w:tcW w:w="1692" w:type="pct"/>
            <w:shd w:val="clear" w:color="auto" w:fill="auto"/>
            <w:noWrap/>
            <w:vAlign w:val="center"/>
          </w:tcPr>
          <w:p w:rsidR="003D2C22" w:rsidRPr="00F40118" w:rsidRDefault="003D2C22" w:rsidP="00EF6CF8">
            <w:pPr>
              <w:pStyle w:val="a6"/>
              <w:snapToGrid w:val="0"/>
              <w:spacing w:line="360" w:lineRule="auto"/>
              <w:ind w:firstLine="142"/>
              <w:jc w:val="both"/>
              <w:rPr>
                <w:rFonts w:ascii="Book Antiqua" w:eastAsia="Times New Roman" w:hAnsi="Book Antiqua" w:cs="Times New Roman"/>
                <w:bCs/>
                <w:color w:val="auto"/>
                <w:szCs w:val="24"/>
                <w:lang w:eastAsia="ru-RU"/>
              </w:rPr>
            </w:pPr>
            <w:r w:rsidRPr="00F40118">
              <w:rPr>
                <w:rFonts w:ascii="Book Antiqua" w:eastAsia="Times New Roman" w:hAnsi="Book Antiqua" w:cs="Times New Roman"/>
                <w:szCs w:val="24"/>
              </w:rPr>
              <w:t>Women</w:t>
            </w:r>
          </w:p>
        </w:tc>
        <w:tc>
          <w:tcPr>
            <w:tcW w:w="1032" w:type="pct"/>
            <w:vAlign w:val="center"/>
          </w:tcPr>
          <w:p w:rsidR="003D2C22" w:rsidRPr="00F40118" w:rsidRDefault="003D2C22" w:rsidP="00EF6CF8">
            <w:pPr>
              <w:pStyle w:val="a6"/>
              <w:snapToGrid w:val="0"/>
              <w:spacing w:line="360" w:lineRule="auto"/>
              <w:jc w:val="both"/>
              <w:rPr>
                <w:rFonts w:ascii="Book Antiqua" w:eastAsia="Times New Roman" w:hAnsi="Book Antiqua" w:cs="Times New Roman"/>
                <w:bCs/>
                <w:szCs w:val="24"/>
              </w:rPr>
            </w:pPr>
            <w:r w:rsidRPr="00F40118">
              <w:rPr>
                <w:rFonts w:ascii="Book Antiqua" w:eastAsia="Times New Roman" w:hAnsi="Book Antiqua" w:cs="Times New Roman"/>
                <w:bCs/>
                <w:szCs w:val="24"/>
              </w:rPr>
              <w:t>40 (75.5</w:t>
            </w:r>
            <w:r w:rsidR="00A76C4F">
              <w:rPr>
                <w:rFonts w:ascii="Book Antiqua" w:eastAsia="Times New Roman" w:hAnsi="Book Antiqua" w:cs="Times New Roman"/>
                <w:bCs/>
                <w:szCs w:val="24"/>
              </w:rPr>
              <w:t>)</w:t>
            </w:r>
          </w:p>
        </w:tc>
        <w:tc>
          <w:tcPr>
            <w:tcW w:w="1704" w:type="pct"/>
            <w:shd w:val="clear" w:color="auto" w:fill="auto"/>
            <w:noWrap/>
            <w:vAlign w:val="center"/>
          </w:tcPr>
          <w:p w:rsidR="003D2C22" w:rsidRPr="00F40118" w:rsidRDefault="003D2C22" w:rsidP="00EF6CF8">
            <w:pPr>
              <w:pStyle w:val="a6"/>
              <w:snapToGrid w:val="0"/>
              <w:spacing w:line="360" w:lineRule="auto"/>
              <w:jc w:val="both"/>
              <w:rPr>
                <w:rFonts w:ascii="Book Antiqua" w:eastAsia="Times New Roman" w:hAnsi="Book Antiqua" w:cs="Times New Roman"/>
                <w:bCs/>
                <w:szCs w:val="24"/>
              </w:rPr>
            </w:pPr>
            <w:r w:rsidRPr="00F40118">
              <w:rPr>
                <w:rFonts w:ascii="Book Antiqua" w:eastAsia="Times New Roman" w:hAnsi="Book Antiqua" w:cs="Times New Roman"/>
                <w:bCs/>
                <w:szCs w:val="24"/>
              </w:rPr>
              <w:t>38 (72</w:t>
            </w:r>
            <w:r w:rsidR="00A76C4F">
              <w:rPr>
                <w:rFonts w:ascii="Book Antiqua" w:eastAsia="Times New Roman" w:hAnsi="Book Antiqua" w:cs="Times New Roman"/>
                <w:bCs/>
                <w:szCs w:val="24"/>
              </w:rPr>
              <w:t>)</w:t>
            </w:r>
          </w:p>
        </w:tc>
        <w:tc>
          <w:tcPr>
            <w:tcW w:w="572" w:type="pct"/>
            <w:vAlign w:val="center"/>
          </w:tcPr>
          <w:p w:rsidR="003D2C22" w:rsidRPr="00F40118" w:rsidRDefault="003D2C22" w:rsidP="00EF6CF8">
            <w:pPr>
              <w:pStyle w:val="a6"/>
              <w:snapToGrid w:val="0"/>
              <w:spacing w:line="360" w:lineRule="auto"/>
              <w:jc w:val="both"/>
              <w:rPr>
                <w:rFonts w:ascii="Book Antiqua" w:eastAsia="Times New Roman" w:hAnsi="Book Antiqua" w:cs="Times New Roman"/>
                <w:bCs/>
                <w:szCs w:val="24"/>
              </w:rPr>
            </w:pPr>
            <w:r w:rsidRPr="00F40118">
              <w:rPr>
                <w:rFonts w:ascii="Book Antiqua" w:eastAsia="Times New Roman" w:hAnsi="Book Antiqua" w:cs="Times New Roman"/>
                <w:bCs/>
                <w:szCs w:val="24"/>
              </w:rPr>
              <w:t>0.826</w:t>
            </w:r>
          </w:p>
        </w:tc>
      </w:tr>
      <w:tr w:rsidR="003D2C22" w:rsidRPr="00F40118" w:rsidTr="00DE6ECA">
        <w:trPr>
          <w:trHeight w:val="300"/>
        </w:trPr>
        <w:tc>
          <w:tcPr>
            <w:tcW w:w="1692" w:type="pct"/>
            <w:shd w:val="clear" w:color="auto" w:fill="auto"/>
            <w:noWrap/>
            <w:vAlign w:val="center"/>
          </w:tcPr>
          <w:p w:rsidR="003D2C22" w:rsidRPr="00F40118" w:rsidRDefault="003D2C22" w:rsidP="00EF6CF8">
            <w:pPr>
              <w:pStyle w:val="a6"/>
              <w:snapToGrid w:val="0"/>
              <w:spacing w:line="360" w:lineRule="auto"/>
              <w:jc w:val="both"/>
              <w:rPr>
                <w:rFonts w:ascii="Book Antiqua" w:eastAsia="Times New Roman" w:hAnsi="Book Antiqua" w:cs="Times New Roman"/>
                <w:szCs w:val="24"/>
              </w:rPr>
            </w:pPr>
            <w:r w:rsidRPr="00F40118">
              <w:rPr>
                <w:rFonts w:ascii="Book Antiqua" w:hAnsi="Book Antiqua" w:cs="Times New Roman"/>
                <w:bCs/>
                <w:szCs w:val="24"/>
              </w:rPr>
              <w:t>ASCVD</w:t>
            </w:r>
            <w:r w:rsidR="00D735F9" w:rsidRPr="00F40118">
              <w:rPr>
                <w:rFonts w:ascii="Book Antiqua" w:hAnsi="Book Antiqua" w:cs="Times New Roman"/>
                <w:bCs/>
                <w:szCs w:val="24"/>
              </w:rPr>
              <w:t xml:space="preserve"> (</w:t>
            </w:r>
            <w:r w:rsidR="00D735F9" w:rsidRPr="00F40118">
              <w:rPr>
                <w:rFonts w:ascii="Book Antiqua" w:eastAsia="Times New Roman" w:hAnsi="Book Antiqua" w:cs="Times New Roman"/>
                <w:szCs w:val="24"/>
              </w:rPr>
              <w:t>total sample</w:t>
            </w:r>
            <w:r w:rsidR="00D735F9" w:rsidRPr="00F40118">
              <w:rPr>
                <w:rFonts w:ascii="Book Antiqua" w:hAnsi="Book Antiqua" w:cs="Times New Roman"/>
                <w:bCs/>
                <w:szCs w:val="24"/>
              </w:rPr>
              <w:t xml:space="preserve">, </w:t>
            </w:r>
            <w:r w:rsidR="00D735F9" w:rsidRPr="00F40118">
              <w:rPr>
                <w:rStyle w:val="font16"/>
                <w:rFonts w:ascii="Book Antiqua" w:hAnsi="Book Antiqua" w:cs="Times New Roman"/>
                <w:bCs/>
                <w:i/>
                <w:iCs/>
                <w:szCs w:val="24"/>
              </w:rPr>
              <w:t xml:space="preserve">n </w:t>
            </w:r>
            <w:r w:rsidR="00D735F9" w:rsidRPr="00F40118">
              <w:rPr>
                <w:rStyle w:val="font16"/>
                <w:rFonts w:ascii="Book Antiqua" w:hAnsi="Book Antiqua" w:cs="Times New Roman"/>
                <w:bCs/>
                <w:szCs w:val="24"/>
              </w:rPr>
              <w:t>= 112)</w:t>
            </w:r>
            <w:r w:rsidRPr="00F40118">
              <w:rPr>
                <w:rFonts w:ascii="Book Antiqua" w:hAnsi="Book Antiqua" w:cs="Times New Roman"/>
                <w:bCs/>
                <w:szCs w:val="24"/>
              </w:rPr>
              <w:t xml:space="preserve"> 10-year risk</w:t>
            </w:r>
          </w:p>
        </w:tc>
        <w:tc>
          <w:tcPr>
            <w:tcW w:w="1032" w:type="pct"/>
            <w:vAlign w:val="center"/>
          </w:tcPr>
          <w:p w:rsidR="003D2C22" w:rsidRPr="00F40118" w:rsidRDefault="003D2C22" w:rsidP="00EF6CF8">
            <w:pPr>
              <w:pStyle w:val="a6"/>
              <w:snapToGrid w:val="0"/>
              <w:spacing w:line="360" w:lineRule="auto"/>
              <w:jc w:val="both"/>
              <w:rPr>
                <w:rFonts w:ascii="Book Antiqua" w:eastAsia="Times New Roman" w:hAnsi="Book Antiqua" w:cs="Times New Roman"/>
                <w:bCs/>
                <w:szCs w:val="24"/>
              </w:rPr>
            </w:pPr>
            <w:r w:rsidRPr="00F40118">
              <w:rPr>
                <w:rStyle w:val="font16"/>
                <w:rFonts w:ascii="Book Antiqua" w:hAnsi="Book Antiqua" w:cs="Times New Roman"/>
                <w:bCs/>
                <w:szCs w:val="24"/>
              </w:rPr>
              <w:t xml:space="preserve">5.1 </w:t>
            </w:r>
            <w:r w:rsidR="00627FCE" w:rsidRPr="00F40118">
              <w:rPr>
                <w:rStyle w:val="font16"/>
                <w:rFonts w:ascii="Book Antiqua" w:hAnsi="Book Antiqua" w:cs="Times New Roman"/>
                <w:bCs/>
                <w:szCs w:val="24"/>
              </w:rPr>
              <w:t>(</w:t>
            </w:r>
            <w:r w:rsidRPr="00F40118">
              <w:rPr>
                <w:rStyle w:val="font16"/>
                <w:rFonts w:ascii="Book Antiqua" w:hAnsi="Book Antiqua" w:cs="Times New Roman"/>
                <w:bCs/>
                <w:szCs w:val="24"/>
              </w:rPr>
              <w:t>2.9;</w:t>
            </w:r>
            <w:r w:rsidR="002C0C28" w:rsidRPr="00F40118">
              <w:rPr>
                <w:rStyle w:val="font16"/>
                <w:rFonts w:ascii="Book Antiqua" w:hAnsi="Book Antiqua" w:cs="Times New Roman"/>
                <w:bCs/>
                <w:szCs w:val="24"/>
              </w:rPr>
              <w:t xml:space="preserve"> </w:t>
            </w:r>
            <w:r w:rsidRPr="00F40118">
              <w:rPr>
                <w:rStyle w:val="font16"/>
                <w:rFonts w:ascii="Book Antiqua" w:hAnsi="Book Antiqua" w:cs="Times New Roman"/>
                <w:bCs/>
                <w:szCs w:val="24"/>
              </w:rPr>
              <w:t>9.1</w:t>
            </w:r>
            <w:r w:rsidR="00627FCE" w:rsidRPr="00F40118">
              <w:rPr>
                <w:rStyle w:val="font16"/>
                <w:rFonts w:ascii="Book Antiqua" w:hAnsi="Book Antiqua" w:cs="Times New Roman"/>
                <w:bCs/>
                <w:szCs w:val="24"/>
              </w:rPr>
              <w:t>)</w:t>
            </w:r>
          </w:p>
        </w:tc>
        <w:tc>
          <w:tcPr>
            <w:tcW w:w="1704" w:type="pct"/>
            <w:shd w:val="clear" w:color="auto" w:fill="auto"/>
            <w:noWrap/>
            <w:vAlign w:val="center"/>
          </w:tcPr>
          <w:p w:rsidR="003D2C22" w:rsidRPr="00F40118" w:rsidRDefault="003D2C22" w:rsidP="00EF6CF8">
            <w:pPr>
              <w:pStyle w:val="a6"/>
              <w:snapToGrid w:val="0"/>
              <w:spacing w:line="360" w:lineRule="auto"/>
              <w:jc w:val="both"/>
              <w:rPr>
                <w:rFonts w:ascii="Book Antiqua" w:eastAsia="Times New Roman" w:hAnsi="Book Antiqua" w:cs="Times New Roman"/>
                <w:bCs/>
                <w:szCs w:val="24"/>
              </w:rPr>
            </w:pPr>
            <w:r w:rsidRPr="00F40118">
              <w:rPr>
                <w:rStyle w:val="font16"/>
                <w:rFonts w:ascii="Book Antiqua" w:hAnsi="Book Antiqua" w:cs="Times New Roman"/>
                <w:bCs/>
                <w:szCs w:val="24"/>
              </w:rPr>
              <w:t xml:space="preserve">4.8 </w:t>
            </w:r>
            <w:r w:rsidR="00627FCE" w:rsidRPr="00F40118">
              <w:rPr>
                <w:rStyle w:val="font16"/>
                <w:rFonts w:ascii="Book Antiqua" w:hAnsi="Book Antiqua" w:cs="Times New Roman"/>
                <w:bCs/>
                <w:szCs w:val="24"/>
              </w:rPr>
              <w:t>(</w:t>
            </w:r>
            <w:r w:rsidRPr="00F40118">
              <w:rPr>
                <w:rStyle w:val="font16"/>
                <w:rFonts w:ascii="Book Antiqua" w:hAnsi="Book Antiqua" w:cs="Times New Roman"/>
                <w:bCs/>
                <w:szCs w:val="24"/>
              </w:rPr>
              <w:t>2.6; 8.0</w:t>
            </w:r>
            <w:r w:rsidR="00627FCE" w:rsidRPr="00F40118">
              <w:rPr>
                <w:rStyle w:val="font16"/>
                <w:rFonts w:ascii="Book Antiqua" w:hAnsi="Book Antiqua" w:cs="Times New Roman"/>
                <w:bCs/>
                <w:szCs w:val="24"/>
              </w:rPr>
              <w:t>)</w:t>
            </w:r>
          </w:p>
        </w:tc>
        <w:tc>
          <w:tcPr>
            <w:tcW w:w="572" w:type="pct"/>
            <w:vAlign w:val="center"/>
          </w:tcPr>
          <w:p w:rsidR="003D2C22" w:rsidRPr="00F40118" w:rsidRDefault="003D2C22" w:rsidP="00EF6CF8">
            <w:pPr>
              <w:pStyle w:val="a6"/>
              <w:snapToGrid w:val="0"/>
              <w:spacing w:line="360" w:lineRule="auto"/>
              <w:jc w:val="both"/>
              <w:rPr>
                <w:rFonts w:ascii="Book Antiqua" w:eastAsia="Times New Roman" w:hAnsi="Book Antiqua" w:cs="Times New Roman"/>
                <w:bCs/>
                <w:szCs w:val="24"/>
              </w:rPr>
            </w:pPr>
            <w:r w:rsidRPr="00F40118">
              <w:rPr>
                <w:rStyle w:val="font16"/>
                <w:rFonts w:ascii="Book Antiqua" w:hAnsi="Book Antiqua" w:cs="Times New Roman"/>
                <w:bCs/>
                <w:szCs w:val="24"/>
              </w:rPr>
              <w:t>0.053</w:t>
            </w:r>
          </w:p>
        </w:tc>
      </w:tr>
      <w:tr w:rsidR="003D2C22" w:rsidRPr="00F40118" w:rsidTr="00DE6ECA">
        <w:trPr>
          <w:trHeight w:val="300"/>
        </w:trPr>
        <w:tc>
          <w:tcPr>
            <w:tcW w:w="1692" w:type="pct"/>
            <w:shd w:val="clear" w:color="auto" w:fill="auto"/>
            <w:noWrap/>
            <w:vAlign w:val="center"/>
          </w:tcPr>
          <w:p w:rsidR="003D2C22" w:rsidRPr="00F40118" w:rsidRDefault="003D2C22" w:rsidP="00EF6CF8">
            <w:pPr>
              <w:pStyle w:val="a6"/>
              <w:snapToGrid w:val="0"/>
              <w:spacing w:line="360" w:lineRule="auto"/>
              <w:ind w:firstLine="142"/>
              <w:jc w:val="both"/>
              <w:rPr>
                <w:rFonts w:ascii="Book Antiqua" w:eastAsia="Times New Roman" w:hAnsi="Book Antiqua" w:cs="Times New Roman"/>
                <w:bCs/>
                <w:color w:val="auto"/>
                <w:szCs w:val="24"/>
                <w:lang w:eastAsia="ru-RU"/>
              </w:rPr>
            </w:pPr>
            <w:r w:rsidRPr="00F40118">
              <w:rPr>
                <w:rFonts w:ascii="Book Antiqua" w:eastAsia="Times New Roman" w:hAnsi="Book Antiqua" w:cs="Times New Roman"/>
                <w:szCs w:val="24"/>
              </w:rPr>
              <w:t>Men</w:t>
            </w:r>
            <w:r w:rsidRPr="00F40118">
              <w:rPr>
                <w:rFonts w:ascii="Book Antiqua" w:hAnsi="Book Antiqua" w:cs="Times New Roman"/>
                <w:szCs w:val="24"/>
              </w:rPr>
              <w:t xml:space="preserve"> (</w:t>
            </w:r>
            <w:r w:rsidRPr="00F40118">
              <w:rPr>
                <w:rFonts w:ascii="Book Antiqua" w:hAnsi="Book Antiqua" w:cs="Times New Roman"/>
                <w:i/>
                <w:iCs/>
                <w:szCs w:val="24"/>
              </w:rPr>
              <w:t xml:space="preserve">n </w:t>
            </w:r>
            <w:r w:rsidRPr="00F40118">
              <w:rPr>
                <w:rFonts w:ascii="Book Antiqua" w:hAnsi="Book Antiqua" w:cs="Times New Roman"/>
                <w:szCs w:val="24"/>
              </w:rPr>
              <w:t>= 71)</w:t>
            </w:r>
          </w:p>
        </w:tc>
        <w:tc>
          <w:tcPr>
            <w:tcW w:w="1032" w:type="pct"/>
            <w:vAlign w:val="center"/>
          </w:tcPr>
          <w:p w:rsidR="003D2C22" w:rsidRPr="00F40118" w:rsidRDefault="003D2C22" w:rsidP="00EF6CF8">
            <w:pPr>
              <w:pStyle w:val="a6"/>
              <w:snapToGrid w:val="0"/>
              <w:spacing w:line="360" w:lineRule="auto"/>
              <w:jc w:val="both"/>
              <w:rPr>
                <w:rFonts w:ascii="Book Antiqua" w:eastAsia="Times New Roman" w:hAnsi="Book Antiqua" w:cs="Times New Roman"/>
                <w:bCs/>
                <w:szCs w:val="24"/>
              </w:rPr>
            </w:pPr>
            <w:r w:rsidRPr="00F40118">
              <w:rPr>
                <w:rStyle w:val="font16"/>
                <w:rFonts w:ascii="Book Antiqua" w:hAnsi="Book Antiqua" w:cs="Times New Roman"/>
                <w:bCs/>
                <w:szCs w:val="24"/>
              </w:rPr>
              <w:t xml:space="preserve">6.0 </w:t>
            </w:r>
            <w:r w:rsidR="00627FCE" w:rsidRPr="00F40118">
              <w:rPr>
                <w:rStyle w:val="font16"/>
                <w:rFonts w:ascii="Book Antiqua" w:hAnsi="Book Antiqua" w:cs="Times New Roman"/>
                <w:bCs/>
                <w:szCs w:val="24"/>
              </w:rPr>
              <w:t>(</w:t>
            </w:r>
            <w:r w:rsidRPr="00F40118">
              <w:rPr>
                <w:rStyle w:val="font16"/>
                <w:rFonts w:ascii="Book Antiqua" w:hAnsi="Book Antiqua" w:cs="Times New Roman"/>
                <w:bCs/>
                <w:szCs w:val="24"/>
              </w:rPr>
              <w:t>3.6;</w:t>
            </w:r>
            <w:r w:rsidR="002C0C28" w:rsidRPr="00F40118">
              <w:rPr>
                <w:rStyle w:val="font16"/>
                <w:rFonts w:ascii="Book Antiqua" w:hAnsi="Book Antiqua" w:cs="Times New Roman"/>
                <w:bCs/>
                <w:szCs w:val="24"/>
              </w:rPr>
              <w:t xml:space="preserve"> </w:t>
            </w:r>
            <w:r w:rsidRPr="00F40118">
              <w:rPr>
                <w:rStyle w:val="font16"/>
                <w:rFonts w:ascii="Book Antiqua" w:hAnsi="Book Antiqua" w:cs="Times New Roman"/>
                <w:bCs/>
                <w:szCs w:val="24"/>
              </w:rPr>
              <w:t>11.1</w:t>
            </w:r>
            <w:r w:rsidR="00627FCE" w:rsidRPr="00F40118">
              <w:rPr>
                <w:rStyle w:val="font16"/>
                <w:rFonts w:ascii="Book Antiqua" w:hAnsi="Book Antiqua" w:cs="Times New Roman"/>
                <w:bCs/>
                <w:szCs w:val="24"/>
              </w:rPr>
              <w:t>)</w:t>
            </w:r>
          </w:p>
        </w:tc>
        <w:tc>
          <w:tcPr>
            <w:tcW w:w="1704" w:type="pct"/>
            <w:shd w:val="clear" w:color="auto" w:fill="auto"/>
            <w:noWrap/>
            <w:vAlign w:val="center"/>
          </w:tcPr>
          <w:p w:rsidR="003D2C22" w:rsidRPr="00F40118" w:rsidRDefault="003D2C22" w:rsidP="00EF6CF8">
            <w:pPr>
              <w:pStyle w:val="a6"/>
              <w:snapToGrid w:val="0"/>
              <w:spacing w:line="360" w:lineRule="auto"/>
              <w:jc w:val="both"/>
              <w:rPr>
                <w:rFonts w:ascii="Book Antiqua" w:eastAsia="Times New Roman" w:hAnsi="Book Antiqua" w:cs="Times New Roman"/>
                <w:bCs/>
                <w:szCs w:val="24"/>
              </w:rPr>
            </w:pPr>
            <w:r w:rsidRPr="00F40118">
              <w:rPr>
                <w:rStyle w:val="font16"/>
                <w:rFonts w:ascii="Book Antiqua" w:hAnsi="Book Antiqua" w:cs="Times New Roman"/>
                <w:bCs/>
                <w:szCs w:val="24"/>
              </w:rPr>
              <w:t xml:space="preserve">5.8 </w:t>
            </w:r>
            <w:r w:rsidR="00627FCE" w:rsidRPr="00F40118">
              <w:rPr>
                <w:rStyle w:val="font16"/>
                <w:rFonts w:ascii="Book Antiqua" w:hAnsi="Book Antiqua" w:cs="Times New Roman"/>
                <w:bCs/>
                <w:szCs w:val="24"/>
              </w:rPr>
              <w:t>(</w:t>
            </w:r>
            <w:r w:rsidRPr="00F40118">
              <w:rPr>
                <w:rStyle w:val="font16"/>
                <w:rFonts w:ascii="Book Antiqua" w:hAnsi="Book Antiqua" w:cs="Times New Roman"/>
                <w:bCs/>
                <w:szCs w:val="24"/>
              </w:rPr>
              <w:t>3.4; 8.8</w:t>
            </w:r>
            <w:r w:rsidR="00627FCE" w:rsidRPr="00F40118">
              <w:rPr>
                <w:rStyle w:val="font16"/>
                <w:rFonts w:ascii="Book Antiqua" w:hAnsi="Book Antiqua" w:cs="Times New Roman"/>
                <w:bCs/>
                <w:szCs w:val="24"/>
              </w:rPr>
              <w:t>)</w:t>
            </w:r>
          </w:p>
        </w:tc>
        <w:tc>
          <w:tcPr>
            <w:tcW w:w="572" w:type="pct"/>
            <w:vAlign w:val="center"/>
          </w:tcPr>
          <w:p w:rsidR="003D2C22" w:rsidRPr="00F40118" w:rsidRDefault="003D2C22" w:rsidP="00EF6CF8">
            <w:pPr>
              <w:pStyle w:val="a6"/>
              <w:snapToGrid w:val="0"/>
              <w:spacing w:line="360" w:lineRule="auto"/>
              <w:jc w:val="both"/>
              <w:rPr>
                <w:rFonts w:ascii="Book Antiqua" w:eastAsia="Times New Roman" w:hAnsi="Book Antiqua" w:cs="Times New Roman"/>
                <w:bCs/>
                <w:szCs w:val="24"/>
              </w:rPr>
            </w:pPr>
            <w:r w:rsidRPr="00F40118">
              <w:rPr>
                <w:rStyle w:val="font16"/>
                <w:rFonts w:ascii="Book Antiqua" w:hAnsi="Book Antiqua" w:cs="Times New Roman"/>
                <w:bCs/>
                <w:szCs w:val="24"/>
              </w:rPr>
              <w:t>0.720</w:t>
            </w:r>
          </w:p>
        </w:tc>
      </w:tr>
      <w:tr w:rsidR="003D2C22" w:rsidRPr="00F40118" w:rsidTr="00DE6ECA">
        <w:trPr>
          <w:trHeight w:val="300"/>
        </w:trPr>
        <w:tc>
          <w:tcPr>
            <w:tcW w:w="1692" w:type="pct"/>
            <w:shd w:val="clear" w:color="auto" w:fill="auto"/>
            <w:noWrap/>
            <w:vAlign w:val="center"/>
          </w:tcPr>
          <w:p w:rsidR="003D2C22" w:rsidRPr="00F40118" w:rsidRDefault="003D2C22" w:rsidP="00EF6CF8">
            <w:pPr>
              <w:pStyle w:val="a6"/>
              <w:snapToGrid w:val="0"/>
              <w:spacing w:line="360" w:lineRule="auto"/>
              <w:ind w:firstLine="142"/>
              <w:jc w:val="both"/>
              <w:rPr>
                <w:rFonts w:ascii="Book Antiqua" w:hAnsi="Book Antiqua" w:cs="Times New Roman"/>
                <w:szCs w:val="24"/>
              </w:rPr>
            </w:pPr>
            <w:r w:rsidRPr="00F40118">
              <w:rPr>
                <w:rFonts w:ascii="Book Antiqua" w:eastAsia="Times New Roman" w:hAnsi="Book Antiqua" w:cs="Times New Roman"/>
                <w:szCs w:val="24"/>
              </w:rPr>
              <w:t>Women</w:t>
            </w:r>
            <w:r w:rsidRPr="00F40118">
              <w:rPr>
                <w:rFonts w:ascii="Book Antiqua" w:hAnsi="Book Antiqua" w:cs="Times New Roman"/>
                <w:szCs w:val="24"/>
              </w:rPr>
              <w:t xml:space="preserve"> (</w:t>
            </w:r>
            <w:r w:rsidRPr="00F40118">
              <w:rPr>
                <w:rFonts w:ascii="Book Antiqua" w:hAnsi="Book Antiqua" w:cs="Times New Roman"/>
                <w:i/>
                <w:iCs/>
                <w:szCs w:val="24"/>
              </w:rPr>
              <w:t>n</w:t>
            </w:r>
            <w:r w:rsidRPr="00F40118">
              <w:rPr>
                <w:rFonts w:ascii="Book Antiqua" w:hAnsi="Book Antiqua" w:cs="Times New Roman"/>
                <w:szCs w:val="24"/>
              </w:rPr>
              <w:t xml:space="preserve"> = 41)</w:t>
            </w:r>
          </w:p>
        </w:tc>
        <w:tc>
          <w:tcPr>
            <w:tcW w:w="1032" w:type="pct"/>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Style w:val="font16"/>
                <w:rFonts w:ascii="Book Antiqua" w:hAnsi="Book Antiqua" w:cs="Times New Roman"/>
                <w:bCs/>
                <w:szCs w:val="24"/>
              </w:rPr>
              <w:t xml:space="preserve">3.5 </w:t>
            </w:r>
            <w:r w:rsidR="00627FCE" w:rsidRPr="00F40118">
              <w:rPr>
                <w:rStyle w:val="font16"/>
                <w:rFonts w:ascii="Book Antiqua" w:hAnsi="Book Antiqua" w:cs="Times New Roman"/>
                <w:bCs/>
                <w:szCs w:val="24"/>
              </w:rPr>
              <w:t>(</w:t>
            </w:r>
            <w:r w:rsidRPr="00F40118">
              <w:rPr>
                <w:rStyle w:val="font16"/>
                <w:rFonts w:ascii="Book Antiqua" w:hAnsi="Book Antiqua" w:cs="Times New Roman"/>
                <w:bCs/>
                <w:szCs w:val="24"/>
              </w:rPr>
              <w:t>2.3;</w:t>
            </w:r>
            <w:r w:rsidR="002C0C28" w:rsidRPr="00F40118">
              <w:rPr>
                <w:rStyle w:val="font16"/>
                <w:rFonts w:ascii="Book Antiqua" w:hAnsi="Book Antiqua" w:cs="Times New Roman"/>
                <w:bCs/>
                <w:szCs w:val="24"/>
              </w:rPr>
              <w:t xml:space="preserve"> </w:t>
            </w:r>
            <w:r w:rsidRPr="00F40118">
              <w:rPr>
                <w:rStyle w:val="font16"/>
                <w:rFonts w:ascii="Book Antiqua" w:hAnsi="Book Antiqua" w:cs="Times New Roman"/>
                <w:bCs/>
                <w:szCs w:val="24"/>
              </w:rPr>
              <w:t>7.8</w:t>
            </w:r>
            <w:r w:rsidR="00627FCE" w:rsidRPr="00F40118">
              <w:rPr>
                <w:rStyle w:val="font16"/>
                <w:rFonts w:ascii="Book Antiqua" w:hAnsi="Book Antiqua" w:cs="Times New Roman"/>
                <w:bCs/>
                <w:szCs w:val="24"/>
              </w:rPr>
              <w:t>)</w:t>
            </w:r>
          </w:p>
        </w:tc>
        <w:tc>
          <w:tcPr>
            <w:tcW w:w="1704" w:type="pct"/>
            <w:shd w:val="clear" w:color="auto" w:fill="auto"/>
            <w:noWrap/>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Style w:val="font16"/>
                <w:rFonts w:ascii="Book Antiqua" w:hAnsi="Book Antiqua" w:cs="Times New Roman"/>
                <w:bCs/>
                <w:szCs w:val="24"/>
              </w:rPr>
              <w:t xml:space="preserve">3.2 </w:t>
            </w:r>
            <w:r w:rsidR="00627FCE" w:rsidRPr="00F40118">
              <w:rPr>
                <w:rStyle w:val="font16"/>
                <w:rFonts w:ascii="Book Antiqua" w:hAnsi="Book Antiqua" w:cs="Times New Roman"/>
                <w:bCs/>
                <w:szCs w:val="24"/>
              </w:rPr>
              <w:t>(</w:t>
            </w:r>
            <w:r w:rsidRPr="00F40118">
              <w:rPr>
                <w:rStyle w:val="font16"/>
                <w:rFonts w:ascii="Book Antiqua" w:hAnsi="Book Antiqua" w:cs="Times New Roman"/>
                <w:bCs/>
                <w:szCs w:val="24"/>
              </w:rPr>
              <w:t>2</w:t>
            </w:r>
            <w:r w:rsidRPr="00F40118">
              <w:rPr>
                <w:rStyle w:val="font16"/>
                <w:rFonts w:ascii="Book Antiqua" w:hAnsi="Book Antiqua" w:cs="Times New Roman"/>
                <w:bCs/>
                <w:szCs w:val="24"/>
                <w:lang w:val="ru-RU"/>
              </w:rPr>
              <w:t>.0</w:t>
            </w:r>
            <w:r w:rsidRPr="00F40118">
              <w:rPr>
                <w:rStyle w:val="font16"/>
                <w:rFonts w:ascii="Book Antiqua" w:hAnsi="Book Antiqua" w:cs="Times New Roman"/>
                <w:bCs/>
                <w:szCs w:val="24"/>
              </w:rPr>
              <w:t>;</w:t>
            </w:r>
            <w:r w:rsidR="002C0C28" w:rsidRPr="00F40118">
              <w:rPr>
                <w:rStyle w:val="font16"/>
                <w:rFonts w:ascii="Book Antiqua" w:hAnsi="Book Antiqua" w:cs="Times New Roman"/>
                <w:bCs/>
                <w:szCs w:val="24"/>
              </w:rPr>
              <w:t xml:space="preserve"> </w:t>
            </w:r>
            <w:r w:rsidRPr="00F40118">
              <w:rPr>
                <w:rStyle w:val="font16"/>
                <w:rFonts w:ascii="Book Antiqua" w:hAnsi="Book Antiqua" w:cs="Times New Roman"/>
                <w:bCs/>
                <w:szCs w:val="24"/>
              </w:rPr>
              <w:t>6</w:t>
            </w:r>
            <w:r w:rsidRPr="00F40118">
              <w:rPr>
                <w:rStyle w:val="font16"/>
                <w:rFonts w:ascii="Book Antiqua" w:hAnsi="Book Antiqua" w:cs="Times New Roman"/>
                <w:bCs/>
                <w:szCs w:val="24"/>
                <w:lang w:val="ru-RU"/>
              </w:rPr>
              <w:t>.0</w:t>
            </w:r>
            <w:r w:rsidR="00627FCE" w:rsidRPr="00F40118">
              <w:rPr>
                <w:rStyle w:val="font16"/>
                <w:rFonts w:ascii="Book Antiqua" w:hAnsi="Book Antiqua" w:cs="Times New Roman"/>
                <w:bCs/>
                <w:szCs w:val="24"/>
              </w:rPr>
              <w:t>)</w:t>
            </w:r>
          </w:p>
        </w:tc>
        <w:tc>
          <w:tcPr>
            <w:tcW w:w="572" w:type="pct"/>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Style w:val="font16"/>
                <w:rFonts w:ascii="Book Antiqua" w:hAnsi="Book Antiqua" w:cs="Times New Roman"/>
                <w:bCs/>
                <w:szCs w:val="24"/>
              </w:rPr>
              <w:t>0.003</w:t>
            </w:r>
          </w:p>
        </w:tc>
      </w:tr>
      <w:tr w:rsidR="003D2C22" w:rsidRPr="00F40118" w:rsidTr="00DE6ECA">
        <w:trPr>
          <w:trHeight w:val="300"/>
        </w:trPr>
        <w:tc>
          <w:tcPr>
            <w:tcW w:w="1692" w:type="pct"/>
            <w:shd w:val="clear" w:color="auto" w:fill="auto"/>
            <w:noWrap/>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ASCVD</w:t>
            </w:r>
            <w:r w:rsidR="00D735F9" w:rsidRPr="00F40118">
              <w:rPr>
                <w:rFonts w:ascii="Book Antiqua" w:hAnsi="Book Antiqua" w:cs="Times New Roman"/>
                <w:szCs w:val="24"/>
              </w:rPr>
              <w:t xml:space="preserve"> (total sample, </w:t>
            </w:r>
            <w:r w:rsidR="00D735F9" w:rsidRPr="00F40118">
              <w:rPr>
                <w:rFonts w:ascii="Book Antiqua" w:hAnsi="Book Antiqua" w:cs="Times New Roman"/>
                <w:i/>
                <w:iCs/>
                <w:szCs w:val="24"/>
              </w:rPr>
              <w:t xml:space="preserve">n </w:t>
            </w:r>
            <w:r w:rsidR="00D735F9" w:rsidRPr="00F40118">
              <w:rPr>
                <w:rFonts w:ascii="Book Antiqua" w:hAnsi="Book Antiqua" w:cs="Times New Roman"/>
                <w:szCs w:val="24"/>
              </w:rPr>
              <w:t xml:space="preserve">= 152) </w:t>
            </w:r>
            <w:r w:rsidRPr="00F40118">
              <w:rPr>
                <w:rFonts w:ascii="Book Antiqua" w:hAnsi="Book Antiqua" w:cs="Times New Roman"/>
                <w:szCs w:val="24"/>
              </w:rPr>
              <w:t>lifetime risk</w:t>
            </w:r>
          </w:p>
        </w:tc>
        <w:tc>
          <w:tcPr>
            <w:tcW w:w="1032" w:type="pct"/>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Style w:val="font16"/>
                <w:rFonts w:ascii="Book Antiqua" w:hAnsi="Book Antiqua" w:cs="Times New Roman"/>
                <w:bCs/>
                <w:szCs w:val="24"/>
              </w:rPr>
              <w:t xml:space="preserve">50 </w:t>
            </w:r>
            <w:r w:rsidR="00627FCE" w:rsidRPr="00F40118">
              <w:rPr>
                <w:rStyle w:val="font16"/>
                <w:rFonts w:ascii="Book Antiqua" w:hAnsi="Book Antiqua" w:cs="Times New Roman"/>
                <w:bCs/>
                <w:szCs w:val="24"/>
              </w:rPr>
              <w:t>(</w:t>
            </w:r>
            <w:r w:rsidRPr="00F40118">
              <w:rPr>
                <w:rStyle w:val="font16"/>
                <w:rFonts w:ascii="Book Antiqua" w:hAnsi="Book Antiqua" w:cs="Times New Roman"/>
                <w:bCs/>
                <w:szCs w:val="24"/>
              </w:rPr>
              <w:t>39;</w:t>
            </w:r>
            <w:r w:rsidR="002C0C28" w:rsidRPr="00F40118">
              <w:rPr>
                <w:rStyle w:val="font16"/>
                <w:rFonts w:ascii="Book Antiqua" w:hAnsi="Book Antiqua" w:cs="Times New Roman"/>
                <w:bCs/>
                <w:szCs w:val="24"/>
              </w:rPr>
              <w:t xml:space="preserve"> </w:t>
            </w:r>
            <w:r w:rsidRPr="00F40118">
              <w:rPr>
                <w:rStyle w:val="font16"/>
                <w:rFonts w:ascii="Book Antiqua" w:hAnsi="Book Antiqua" w:cs="Times New Roman"/>
                <w:bCs/>
                <w:szCs w:val="24"/>
              </w:rPr>
              <w:t>60</w:t>
            </w:r>
            <w:r w:rsidR="00627FCE" w:rsidRPr="00F40118">
              <w:rPr>
                <w:rStyle w:val="font16"/>
                <w:rFonts w:ascii="Book Antiqua" w:hAnsi="Book Antiqua" w:cs="Times New Roman"/>
                <w:bCs/>
                <w:szCs w:val="24"/>
              </w:rPr>
              <w:t>)</w:t>
            </w:r>
          </w:p>
        </w:tc>
        <w:tc>
          <w:tcPr>
            <w:tcW w:w="1704" w:type="pct"/>
            <w:shd w:val="clear" w:color="auto" w:fill="auto"/>
            <w:noWrap/>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Style w:val="font16"/>
                <w:rFonts w:ascii="Book Antiqua" w:hAnsi="Book Antiqua" w:cs="Times New Roman"/>
                <w:bCs/>
                <w:szCs w:val="24"/>
              </w:rPr>
              <w:t xml:space="preserve">50 </w:t>
            </w:r>
            <w:r w:rsidR="00627FCE" w:rsidRPr="00F40118">
              <w:rPr>
                <w:rStyle w:val="font16"/>
                <w:rFonts w:ascii="Book Antiqua" w:hAnsi="Book Antiqua" w:cs="Times New Roman"/>
                <w:bCs/>
                <w:szCs w:val="24"/>
              </w:rPr>
              <w:t>(</w:t>
            </w:r>
            <w:r w:rsidRPr="00F40118">
              <w:rPr>
                <w:rStyle w:val="font16"/>
                <w:rFonts w:ascii="Book Antiqua" w:hAnsi="Book Antiqua" w:cs="Times New Roman"/>
                <w:bCs/>
                <w:szCs w:val="24"/>
              </w:rPr>
              <w:t>39;</w:t>
            </w:r>
            <w:r w:rsidR="002C0C28" w:rsidRPr="00F40118">
              <w:rPr>
                <w:rStyle w:val="font16"/>
                <w:rFonts w:ascii="Book Antiqua" w:hAnsi="Book Antiqua" w:cs="Times New Roman"/>
                <w:bCs/>
                <w:szCs w:val="24"/>
              </w:rPr>
              <w:t xml:space="preserve"> </w:t>
            </w:r>
            <w:r w:rsidRPr="00F40118">
              <w:rPr>
                <w:rStyle w:val="font16"/>
                <w:rFonts w:ascii="Book Antiqua" w:hAnsi="Book Antiqua" w:cs="Times New Roman"/>
                <w:bCs/>
                <w:szCs w:val="24"/>
              </w:rPr>
              <w:t>64</w:t>
            </w:r>
            <w:r w:rsidR="00627FCE" w:rsidRPr="00F40118">
              <w:rPr>
                <w:rStyle w:val="font16"/>
                <w:rFonts w:ascii="Book Antiqua" w:hAnsi="Book Antiqua" w:cs="Times New Roman"/>
                <w:bCs/>
                <w:szCs w:val="24"/>
              </w:rPr>
              <w:t>)</w:t>
            </w:r>
          </w:p>
        </w:tc>
        <w:tc>
          <w:tcPr>
            <w:tcW w:w="572" w:type="pct"/>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Style w:val="font16"/>
                <w:rFonts w:ascii="Book Antiqua" w:hAnsi="Book Antiqua" w:cs="Times New Roman"/>
                <w:bCs/>
                <w:szCs w:val="24"/>
              </w:rPr>
              <w:t>0.370</w:t>
            </w:r>
          </w:p>
        </w:tc>
      </w:tr>
      <w:tr w:rsidR="003D2C22" w:rsidRPr="00F40118" w:rsidTr="00DE6ECA">
        <w:trPr>
          <w:trHeight w:val="300"/>
        </w:trPr>
        <w:tc>
          <w:tcPr>
            <w:tcW w:w="1692" w:type="pct"/>
            <w:shd w:val="clear" w:color="auto" w:fill="auto"/>
            <w:noWrap/>
            <w:vAlign w:val="center"/>
          </w:tcPr>
          <w:p w:rsidR="003D2C22" w:rsidRPr="00F40118" w:rsidRDefault="003D2C22" w:rsidP="00EF6CF8">
            <w:pPr>
              <w:pStyle w:val="a6"/>
              <w:snapToGrid w:val="0"/>
              <w:spacing w:line="360" w:lineRule="auto"/>
              <w:ind w:firstLineChars="50" w:firstLine="120"/>
              <w:jc w:val="both"/>
              <w:rPr>
                <w:rFonts w:ascii="Book Antiqua" w:hAnsi="Book Antiqua" w:cs="Times New Roman"/>
                <w:szCs w:val="24"/>
              </w:rPr>
            </w:pPr>
            <w:r w:rsidRPr="00F40118">
              <w:rPr>
                <w:rFonts w:ascii="Book Antiqua" w:eastAsia="Times New Roman" w:hAnsi="Book Antiqua" w:cs="Times New Roman"/>
                <w:szCs w:val="24"/>
              </w:rPr>
              <w:t>Men</w:t>
            </w:r>
            <w:r w:rsidRPr="00F40118">
              <w:rPr>
                <w:rFonts w:ascii="Book Antiqua" w:hAnsi="Book Antiqua" w:cs="Times New Roman"/>
                <w:szCs w:val="24"/>
              </w:rPr>
              <w:t xml:space="preserve"> (</w:t>
            </w:r>
            <w:r w:rsidRPr="00F40118">
              <w:rPr>
                <w:rFonts w:ascii="Book Antiqua" w:hAnsi="Book Antiqua" w:cs="Times New Roman"/>
                <w:i/>
                <w:iCs/>
                <w:szCs w:val="24"/>
              </w:rPr>
              <w:t>n</w:t>
            </w:r>
            <w:r w:rsidRPr="00F40118">
              <w:rPr>
                <w:rFonts w:ascii="Book Antiqua" w:hAnsi="Book Antiqua" w:cs="Times New Roman"/>
                <w:szCs w:val="24"/>
              </w:rPr>
              <w:t xml:space="preserve"> = 112)</w:t>
            </w:r>
          </w:p>
        </w:tc>
        <w:tc>
          <w:tcPr>
            <w:tcW w:w="1032" w:type="pct"/>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Style w:val="font16"/>
                <w:rFonts w:ascii="Book Antiqua" w:hAnsi="Book Antiqua" w:cs="Times New Roman"/>
                <w:bCs/>
                <w:szCs w:val="24"/>
              </w:rPr>
              <w:t xml:space="preserve">50 </w:t>
            </w:r>
            <w:r w:rsidR="00627FCE" w:rsidRPr="00F40118">
              <w:rPr>
                <w:rStyle w:val="font16"/>
                <w:rFonts w:ascii="Book Antiqua" w:hAnsi="Book Antiqua" w:cs="Times New Roman"/>
                <w:bCs/>
                <w:szCs w:val="24"/>
              </w:rPr>
              <w:t>(</w:t>
            </w:r>
            <w:r w:rsidRPr="00F40118">
              <w:rPr>
                <w:rStyle w:val="font16"/>
                <w:rFonts w:ascii="Book Antiqua" w:hAnsi="Book Antiqua" w:cs="Times New Roman"/>
                <w:bCs/>
                <w:szCs w:val="24"/>
              </w:rPr>
              <w:t>46;</w:t>
            </w:r>
            <w:r w:rsidR="002C0C28" w:rsidRPr="00F40118">
              <w:rPr>
                <w:rStyle w:val="font16"/>
                <w:rFonts w:ascii="Book Antiqua" w:hAnsi="Book Antiqua" w:cs="Times New Roman"/>
                <w:bCs/>
                <w:szCs w:val="24"/>
              </w:rPr>
              <w:t xml:space="preserve"> </w:t>
            </w:r>
            <w:r w:rsidRPr="00F40118">
              <w:rPr>
                <w:rStyle w:val="font16"/>
                <w:rFonts w:ascii="Book Antiqua" w:hAnsi="Book Antiqua" w:cs="Times New Roman"/>
                <w:bCs/>
                <w:szCs w:val="24"/>
              </w:rPr>
              <w:t>69</w:t>
            </w:r>
            <w:r w:rsidR="00627FCE" w:rsidRPr="00F40118">
              <w:rPr>
                <w:rStyle w:val="font16"/>
                <w:rFonts w:ascii="Book Antiqua" w:hAnsi="Book Antiqua" w:cs="Times New Roman"/>
                <w:bCs/>
                <w:szCs w:val="24"/>
              </w:rPr>
              <w:t>)</w:t>
            </w:r>
          </w:p>
        </w:tc>
        <w:tc>
          <w:tcPr>
            <w:tcW w:w="1704" w:type="pct"/>
            <w:shd w:val="clear" w:color="auto" w:fill="auto"/>
            <w:noWrap/>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Style w:val="font16"/>
                <w:rFonts w:ascii="Book Antiqua" w:hAnsi="Book Antiqua" w:cs="Times New Roman"/>
                <w:bCs/>
                <w:szCs w:val="24"/>
              </w:rPr>
              <w:t xml:space="preserve">50 </w:t>
            </w:r>
            <w:r w:rsidR="00627FCE" w:rsidRPr="00F40118">
              <w:rPr>
                <w:rStyle w:val="font16"/>
                <w:rFonts w:ascii="Book Antiqua" w:hAnsi="Book Antiqua" w:cs="Times New Roman"/>
                <w:bCs/>
                <w:szCs w:val="24"/>
              </w:rPr>
              <w:t>(</w:t>
            </w:r>
            <w:r w:rsidRPr="00F40118">
              <w:rPr>
                <w:rStyle w:val="font16"/>
                <w:rFonts w:ascii="Book Antiqua" w:hAnsi="Book Antiqua" w:cs="Times New Roman"/>
                <w:bCs/>
                <w:szCs w:val="24"/>
              </w:rPr>
              <w:t>46;</w:t>
            </w:r>
            <w:r w:rsidR="002C0C28" w:rsidRPr="00F40118">
              <w:rPr>
                <w:rStyle w:val="font16"/>
                <w:rFonts w:ascii="Book Antiqua" w:hAnsi="Book Antiqua" w:cs="Times New Roman"/>
                <w:bCs/>
                <w:szCs w:val="24"/>
              </w:rPr>
              <w:t xml:space="preserve"> </w:t>
            </w:r>
            <w:r w:rsidRPr="00F40118">
              <w:rPr>
                <w:rStyle w:val="font16"/>
                <w:rFonts w:ascii="Book Antiqua" w:hAnsi="Book Antiqua" w:cs="Times New Roman"/>
                <w:bCs/>
                <w:szCs w:val="24"/>
              </w:rPr>
              <w:t>69</w:t>
            </w:r>
            <w:r w:rsidR="00627FCE" w:rsidRPr="00F40118">
              <w:rPr>
                <w:rStyle w:val="font16"/>
                <w:rFonts w:ascii="Book Antiqua" w:hAnsi="Book Antiqua" w:cs="Times New Roman"/>
                <w:bCs/>
                <w:szCs w:val="24"/>
              </w:rPr>
              <w:t>)</w:t>
            </w:r>
          </w:p>
        </w:tc>
        <w:tc>
          <w:tcPr>
            <w:tcW w:w="572" w:type="pct"/>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Style w:val="font16"/>
                <w:rFonts w:ascii="Book Antiqua" w:hAnsi="Book Antiqua" w:cs="Times New Roman"/>
                <w:bCs/>
                <w:szCs w:val="24"/>
              </w:rPr>
              <w:t>0.870</w:t>
            </w:r>
          </w:p>
        </w:tc>
      </w:tr>
      <w:tr w:rsidR="003D2C22" w:rsidRPr="00F40118" w:rsidTr="00DE6ECA">
        <w:trPr>
          <w:trHeight w:val="300"/>
        </w:trPr>
        <w:tc>
          <w:tcPr>
            <w:tcW w:w="1692" w:type="pct"/>
            <w:shd w:val="clear" w:color="auto" w:fill="auto"/>
            <w:noWrap/>
            <w:vAlign w:val="center"/>
            <w:hideMark/>
          </w:tcPr>
          <w:p w:rsidR="003D2C22" w:rsidRPr="00F40118" w:rsidRDefault="003D2C22" w:rsidP="00EF6CF8">
            <w:pPr>
              <w:pStyle w:val="a6"/>
              <w:snapToGrid w:val="0"/>
              <w:spacing w:line="360" w:lineRule="auto"/>
              <w:ind w:firstLine="142"/>
              <w:jc w:val="both"/>
              <w:rPr>
                <w:rFonts w:ascii="Book Antiqua" w:hAnsi="Book Antiqua" w:cs="Times New Roman"/>
                <w:szCs w:val="24"/>
              </w:rPr>
            </w:pPr>
            <w:r w:rsidRPr="00F40118">
              <w:rPr>
                <w:rFonts w:ascii="Book Antiqua" w:eastAsia="Times New Roman" w:hAnsi="Book Antiqua" w:cs="Times New Roman"/>
                <w:szCs w:val="24"/>
              </w:rPr>
              <w:t>Women</w:t>
            </w:r>
            <w:r w:rsidRPr="00F40118">
              <w:rPr>
                <w:rFonts w:ascii="Book Antiqua" w:hAnsi="Book Antiqua" w:cs="Times New Roman"/>
                <w:szCs w:val="24"/>
              </w:rPr>
              <w:t xml:space="preserve"> (</w:t>
            </w:r>
            <w:r w:rsidRPr="00F40118">
              <w:rPr>
                <w:rFonts w:ascii="Book Antiqua" w:hAnsi="Book Antiqua" w:cs="Times New Roman"/>
                <w:i/>
                <w:iCs/>
                <w:szCs w:val="24"/>
              </w:rPr>
              <w:t>n</w:t>
            </w:r>
            <w:r w:rsidRPr="00F40118">
              <w:rPr>
                <w:rFonts w:ascii="Book Antiqua" w:hAnsi="Book Antiqua" w:cs="Times New Roman"/>
                <w:szCs w:val="24"/>
              </w:rPr>
              <w:t xml:space="preserve"> = 40)</w:t>
            </w:r>
          </w:p>
        </w:tc>
        <w:tc>
          <w:tcPr>
            <w:tcW w:w="1032" w:type="pct"/>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Style w:val="font16"/>
                <w:rFonts w:ascii="Book Antiqua" w:hAnsi="Book Antiqua" w:cs="Times New Roman"/>
                <w:bCs/>
                <w:szCs w:val="24"/>
              </w:rPr>
              <w:t xml:space="preserve">39 </w:t>
            </w:r>
            <w:r w:rsidR="00627FCE" w:rsidRPr="00F40118">
              <w:rPr>
                <w:rStyle w:val="font16"/>
                <w:rFonts w:ascii="Book Antiqua" w:hAnsi="Book Antiqua" w:cs="Times New Roman"/>
                <w:bCs/>
                <w:szCs w:val="24"/>
              </w:rPr>
              <w:t>(</w:t>
            </w:r>
            <w:r w:rsidRPr="00F40118">
              <w:rPr>
                <w:rStyle w:val="font16"/>
                <w:rFonts w:ascii="Book Antiqua" w:hAnsi="Book Antiqua" w:cs="Times New Roman"/>
                <w:bCs/>
                <w:szCs w:val="24"/>
              </w:rPr>
              <w:t>39;</w:t>
            </w:r>
            <w:r w:rsidR="002C0C28" w:rsidRPr="00F40118">
              <w:rPr>
                <w:rStyle w:val="font16"/>
                <w:rFonts w:ascii="Book Antiqua" w:hAnsi="Book Antiqua" w:cs="Times New Roman"/>
                <w:bCs/>
                <w:szCs w:val="24"/>
              </w:rPr>
              <w:t xml:space="preserve"> </w:t>
            </w:r>
            <w:r w:rsidRPr="00F40118">
              <w:rPr>
                <w:rStyle w:val="font16"/>
                <w:rFonts w:ascii="Book Antiqua" w:hAnsi="Book Antiqua" w:cs="Times New Roman"/>
                <w:bCs/>
                <w:szCs w:val="24"/>
              </w:rPr>
              <w:t>50</w:t>
            </w:r>
            <w:r w:rsidR="00627FCE" w:rsidRPr="00F40118">
              <w:rPr>
                <w:rStyle w:val="font16"/>
                <w:rFonts w:ascii="Book Antiqua" w:hAnsi="Book Antiqua" w:cs="Times New Roman"/>
                <w:bCs/>
                <w:szCs w:val="24"/>
              </w:rPr>
              <w:t>)</w:t>
            </w:r>
          </w:p>
        </w:tc>
        <w:tc>
          <w:tcPr>
            <w:tcW w:w="1704" w:type="pct"/>
            <w:shd w:val="clear" w:color="auto" w:fill="auto"/>
            <w:noWrap/>
            <w:vAlign w:val="center"/>
            <w:hideMark/>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Style w:val="font16"/>
                <w:rFonts w:ascii="Book Antiqua" w:hAnsi="Book Antiqua" w:cs="Times New Roman"/>
                <w:bCs/>
                <w:szCs w:val="24"/>
              </w:rPr>
              <w:t xml:space="preserve">39 </w:t>
            </w:r>
            <w:r w:rsidR="00627FCE" w:rsidRPr="00F40118">
              <w:rPr>
                <w:rStyle w:val="font16"/>
                <w:rFonts w:ascii="Book Antiqua" w:hAnsi="Book Antiqua" w:cs="Times New Roman"/>
                <w:bCs/>
                <w:szCs w:val="24"/>
              </w:rPr>
              <w:t>(</w:t>
            </w:r>
            <w:r w:rsidRPr="00F40118">
              <w:rPr>
                <w:rStyle w:val="font16"/>
                <w:rFonts w:ascii="Book Antiqua" w:hAnsi="Book Antiqua" w:cs="Times New Roman"/>
                <w:bCs/>
                <w:szCs w:val="24"/>
              </w:rPr>
              <w:t>39;</w:t>
            </w:r>
            <w:r w:rsidR="002C0C28" w:rsidRPr="00F40118">
              <w:rPr>
                <w:rStyle w:val="font16"/>
                <w:rFonts w:ascii="Book Antiqua" w:hAnsi="Book Antiqua" w:cs="Times New Roman"/>
                <w:bCs/>
                <w:szCs w:val="24"/>
              </w:rPr>
              <w:t xml:space="preserve"> </w:t>
            </w:r>
            <w:r w:rsidRPr="00F40118">
              <w:rPr>
                <w:rStyle w:val="font16"/>
                <w:rFonts w:ascii="Book Antiqua" w:hAnsi="Book Antiqua" w:cs="Times New Roman"/>
                <w:bCs/>
                <w:szCs w:val="24"/>
              </w:rPr>
              <w:t>50</w:t>
            </w:r>
            <w:r w:rsidR="00627FCE" w:rsidRPr="00F40118">
              <w:rPr>
                <w:rStyle w:val="font16"/>
                <w:rFonts w:ascii="Book Antiqua" w:hAnsi="Book Antiqua" w:cs="Times New Roman"/>
                <w:bCs/>
                <w:szCs w:val="24"/>
              </w:rPr>
              <w:t>)</w:t>
            </w:r>
          </w:p>
        </w:tc>
        <w:tc>
          <w:tcPr>
            <w:tcW w:w="572" w:type="pct"/>
            <w:vAlign w:val="center"/>
          </w:tcPr>
          <w:p w:rsidR="003D2C22" w:rsidRPr="00F40118" w:rsidRDefault="003D2C22" w:rsidP="00EF6CF8">
            <w:pPr>
              <w:pStyle w:val="a6"/>
              <w:snapToGrid w:val="0"/>
              <w:spacing w:line="360" w:lineRule="auto"/>
              <w:jc w:val="both"/>
              <w:rPr>
                <w:rFonts w:ascii="Book Antiqua" w:hAnsi="Book Antiqua" w:cs="Times New Roman"/>
                <w:szCs w:val="24"/>
              </w:rPr>
            </w:pPr>
            <w:r w:rsidRPr="00F40118">
              <w:rPr>
                <w:rStyle w:val="font16"/>
                <w:rFonts w:ascii="Book Antiqua" w:hAnsi="Book Antiqua" w:cs="Times New Roman"/>
                <w:bCs/>
                <w:szCs w:val="24"/>
              </w:rPr>
              <w:t>0.160</w:t>
            </w:r>
          </w:p>
        </w:tc>
      </w:tr>
    </w:tbl>
    <w:bookmarkEnd w:id="51"/>
    <w:p w:rsidR="00397CA1" w:rsidRPr="00F40118" w:rsidRDefault="003D2C22" w:rsidP="00EF6CF8">
      <w:pPr>
        <w:adjustRightInd w:val="0"/>
        <w:snapToGrid w:val="0"/>
        <w:spacing w:line="360" w:lineRule="auto"/>
        <w:jc w:val="both"/>
        <w:rPr>
          <w:rFonts w:ascii="Book Antiqua" w:hAnsi="Book Antiqua"/>
          <w:color w:val="333333"/>
        </w:rPr>
      </w:pPr>
      <w:r w:rsidRPr="00F40118">
        <w:rPr>
          <w:rFonts w:ascii="Book Antiqua" w:eastAsia="Times New Roman" w:hAnsi="Book Antiqua"/>
        </w:rPr>
        <w:t xml:space="preserve">Data are presented as </w:t>
      </w:r>
      <w:r w:rsidR="00A76C4F" w:rsidRPr="00F40118">
        <w:rPr>
          <w:rFonts w:ascii="Book Antiqua" w:eastAsia="Book Antiqua" w:hAnsi="Book Antiqua" w:cs="Book Antiqua"/>
          <w:color w:val="000000"/>
        </w:rPr>
        <w:t>m</w:t>
      </w:r>
      <w:r w:rsidRPr="00F40118">
        <w:rPr>
          <w:rFonts w:ascii="Book Antiqua" w:eastAsia="Book Antiqua" w:hAnsi="Book Antiqua" w:cs="Book Antiqua"/>
          <w:color w:val="000000"/>
        </w:rPr>
        <w:t>edian</w:t>
      </w:r>
      <w:r w:rsidRPr="00F40118">
        <w:rPr>
          <w:rFonts w:ascii="Book Antiqua" w:eastAsia="Times New Roman" w:hAnsi="Book Antiqua"/>
        </w:rPr>
        <w:t xml:space="preserve"> (IQR) or </w:t>
      </w:r>
      <w:r w:rsidRPr="00F40118">
        <w:rPr>
          <w:rFonts w:ascii="Book Antiqua" w:hAnsi="Book Antiqua"/>
          <w:i/>
          <w:iCs/>
          <w:color w:val="333333"/>
        </w:rPr>
        <w:t>n</w:t>
      </w:r>
      <w:r w:rsidRPr="00F40118">
        <w:rPr>
          <w:rFonts w:ascii="Book Antiqua" w:hAnsi="Book Antiqua"/>
          <w:color w:val="333333"/>
        </w:rPr>
        <w:t> (%).</w:t>
      </w:r>
      <w:r w:rsidRPr="00F40118">
        <w:rPr>
          <w:rFonts w:ascii="Book Antiqua" w:hAnsi="Book Antiqua"/>
          <w:color w:val="333333"/>
          <w:lang w:eastAsia="zh-CN"/>
        </w:rPr>
        <w:t xml:space="preserve"> </w:t>
      </w:r>
      <w:r w:rsidR="00F22587" w:rsidRPr="00F40118">
        <w:rPr>
          <w:rFonts w:ascii="Book Antiqua" w:eastAsia="Times New Roman" w:hAnsi="Book Antiqua"/>
          <w:bCs/>
        </w:rPr>
        <w:t>ТС</w:t>
      </w:r>
      <w:r w:rsidR="00627FCE" w:rsidRPr="00F40118">
        <w:rPr>
          <w:rFonts w:ascii="Book Antiqua" w:eastAsia="Times New Roman" w:hAnsi="Book Antiqua"/>
          <w:bCs/>
        </w:rPr>
        <w:t xml:space="preserve">: Total cholesterol; </w:t>
      </w:r>
      <w:r w:rsidR="00F22587" w:rsidRPr="00F40118">
        <w:rPr>
          <w:rFonts w:ascii="Book Antiqua" w:eastAsia="Times New Roman" w:hAnsi="Book Antiqua"/>
          <w:bCs/>
        </w:rPr>
        <w:t>LDL</w:t>
      </w:r>
      <w:r w:rsidR="00627FCE" w:rsidRPr="00F40118">
        <w:rPr>
          <w:rFonts w:ascii="Book Antiqua" w:eastAsia="Times New Roman" w:hAnsi="Book Antiqua"/>
          <w:bCs/>
        </w:rPr>
        <w:t>:</w:t>
      </w:r>
      <w:r w:rsidR="00F22587" w:rsidRPr="00F40118">
        <w:rPr>
          <w:rFonts w:ascii="Book Antiqua" w:eastAsia="Times New Roman" w:hAnsi="Book Antiqua"/>
          <w:bCs/>
        </w:rPr>
        <w:t xml:space="preserve"> </w:t>
      </w:r>
      <w:r w:rsidR="00627FCE" w:rsidRPr="00F40118">
        <w:rPr>
          <w:rFonts w:ascii="Book Antiqua" w:eastAsia="Book Antiqua" w:hAnsi="Book Antiqua" w:cs="Book Antiqua"/>
          <w:color w:val="000000"/>
        </w:rPr>
        <w:t xml:space="preserve">Low-density lipoprotein; </w:t>
      </w:r>
      <w:r w:rsidR="00F22587" w:rsidRPr="00F40118">
        <w:rPr>
          <w:rFonts w:ascii="Book Antiqua" w:eastAsia="Times New Roman" w:hAnsi="Book Antiqua"/>
          <w:bCs/>
        </w:rPr>
        <w:t>HDL</w:t>
      </w:r>
      <w:r w:rsidR="00627FCE" w:rsidRPr="00F40118">
        <w:rPr>
          <w:rFonts w:ascii="Book Antiqua" w:eastAsia="Times New Roman" w:hAnsi="Book Antiqua"/>
          <w:bCs/>
        </w:rPr>
        <w:t>:</w:t>
      </w:r>
      <w:r w:rsidR="00F22587" w:rsidRPr="00F40118">
        <w:rPr>
          <w:rFonts w:ascii="Book Antiqua" w:eastAsia="Times New Roman" w:hAnsi="Book Antiqua"/>
          <w:bCs/>
        </w:rPr>
        <w:t xml:space="preserve"> </w:t>
      </w:r>
      <w:r w:rsidR="00627FCE" w:rsidRPr="00F40118">
        <w:rPr>
          <w:rFonts w:ascii="Book Antiqua" w:eastAsia="Times New Roman" w:hAnsi="Book Antiqua"/>
          <w:bCs/>
        </w:rPr>
        <w:t>H</w:t>
      </w:r>
      <w:r w:rsidR="00627FCE" w:rsidRPr="00F40118">
        <w:rPr>
          <w:rFonts w:ascii="Book Antiqua" w:eastAsia="Book Antiqua" w:hAnsi="Book Antiqua" w:cs="Book Antiqua"/>
          <w:color w:val="000000"/>
        </w:rPr>
        <w:t xml:space="preserve">igh-density lipoprotein; </w:t>
      </w:r>
      <w:r w:rsidR="00F22587" w:rsidRPr="00F40118">
        <w:rPr>
          <w:rFonts w:ascii="Book Antiqua" w:eastAsia="Times New Roman" w:hAnsi="Book Antiqua"/>
          <w:bCs/>
        </w:rPr>
        <w:t>TG</w:t>
      </w:r>
      <w:r w:rsidR="00627FCE" w:rsidRPr="00F40118">
        <w:rPr>
          <w:rFonts w:ascii="Book Antiqua" w:eastAsia="Times New Roman" w:hAnsi="Book Antiqua"/>
          <w:bCs/>
        </w:rPr>
        <w:t>:</w:t>
      </w:r>
      <w:r w:rsidR="00F22587" w:rsidRPr="00F40118">
        <w:rPr>
          <w:rFonts w:ascii="Book Antiqua" w:eastAsia="Times New Roman" w:hAnsi="Book Antiqua"/>
          <w:bCs/>
        </w:rPr>
        <w:t xml:space="preserve"> </w:t>
      </w:r>
      <w:r w:rsidR="00627FCE" w:rsidRPr="00F40118">
        <w:rPr>
          <w:rFonts w:ascii="Book Antiqua" w:eastAsia="Book Antiqua" w:hAnsi="Book Antiqua" w:cs="Book Antiqua"/>
          <w:color w:val="000000"/>
        </w:rPr>
        <w:t>Triglyceride;</w:t>
      </w:r>
      <w:r w:rsidR="00627FCE" w:rsidRPr="00F40118">
        <w:rPr>
          <w:rFonts w:ascii="Book Antiqua" w:eastAsia="Times New Roman" w:hAnsi="Book Antiqua"/>
          <w:bCs/>
        </w:rPr>
        <w:t xml:space="preserve"> </w:t>
      </w:r>
      <w:r w:rsidR="00627FCE" w:rsidRPr="00F40118">
        <w:rPr>
          <w:rFonts w:ascii="Book Antiqua" w:eastAsia="Book Antiqua" w:hAnsi="Book Antiqua" w:cs="Book Antiqua"/>
          <w:color w:val="000000"/>
        </w:rPr>
        <w:t xml:space="preserve">FLI: Fatty liver index; NFS: Nonalcoholic fatty liver disease fibrosis score; FIB-4: Liver fibrosis index; </w:t>
      </w:r>
      <w:r w:rsidR="00627FCE" w:rsidRPr="00F40118">
        <w:rPr>
          <w:rFonts w:ascii="Book Antiqua" w:eastAsia="Times New Roman" w:hAnsi="Book Antiqua"/>
          <w:bCs/>
        </w:rPr>
        <w:t>ULN:</w:t>
      </w:r>
      <w:r w:rsidR="00627FCE" w:rsidRPr="00F40118">
        <w:rPr>
          <w:rFonts w:ascii="Book Antiqua" w:eastAsia="Book Antiqua" w:hAnsi="Book Antiqua" w:cs="Book Antiqua"/>
          <w:color w:val="000000"/>
        </w:rPr>
        <w:t xml:space="preserve"> Upper limit of normal;</w:t>
      </w:r>
      <w:r w:rsidR="00627FCE" w:rsidRPr="00F40118">
        <w:rPr>
          <w:rFonts w:ascii="Book Antiqua" w:hAnsi="Book Antiqua"/>
          <w:bCs/>
        </w:rPr>
        <w:t xml:space="preserve"> </w:t>
      </w:r>
      <w:r w:rsidR="00627FCE" w:rsidRPr="00F40118">
        <w:rPr>
          <w:rFonts w:ascii="Book Antiqua" w:eastAsia="Book Antiqua" w:hAnsi="Book Antiqua" w:cs="Book Antiqua"/>
          <w:color w:val="000000"/>
        </w:rPr>
        <w:t>ASCVD: Atherosclerotic Cardiovascular Disease</w:t>
      </w:r>
      <w:r w:rsidR="00D735F9" w:rsidRPr="00F40118">
        <w:rPr>
          <w:rFonts w:ascii="Book Antiqua" w:eastAsia="Book Antiqua" w:hAnsi="Book Antiqua" w:cs="Book Antiqua"/>
          <w:color w:val="000000"/>
        </w:rPr>
        <w:t>.</w:t>
      </w:r>
    </w:p>
    <w:p w:rsidR="001D4742" w:rsidRPr="00F40118" w:rsidRDefault="001D4742" w:rsidP="00EF6CF8">
      <w:pPr>
        <w:tabs>
          <w:tab w:val="left" w:pos="3686"/>
        </w:tabs>
        <w:snapToGrid w:val="0"/>
        <w:spacing w:line="360" w:lineRule="auto"/>
        <w:jc w:val="both"/>
        <w:rPr>
          <w:rFonts w:ascii="Book Antiqua" w:hAnsi="Book Antiqua"/>
          <w:b/>
          <w:bCs/>
        </w:rPr>
      </w:pPr>
      <w:r w:rsidRPr="00F40118">
        <w:rPr>
          <w:rFonts w:ascii="Book Antiqua" w:eastAsia="Book Antiqua" w:hAnsi="Book Antiqua" w:cs="Book Antiqua"/>
          <w:color w:val="000000"/>
        </w:rPr>
        <w:br w:type="page"/>
      </w:r>
      <w:bookmarkStart w:id="52" w:name="_Hlk61445556"/>
      <w:r w:rsidR="009A27D6" w:rsidRPr="00F40118">
        <w:rPr>
          <w:rFonts w:ascii="Book Antiqua" w:hAnsi="Book Antiqua"/>
          <w:b/>
          <w:bCs/>
        </w:rPr>
        <w:t xml:space="preserve">Table </w:t>
      </w:r>
      <w:r w:rsidR="00816E61" w:rsidRPr="00F40118">
        <w:rPr>
          <w:rFonts w:ascii="Book Antiqua" w:hAnsi="Book Antiqua"/>
          <w:b/>
          <w:bCs/>
        </w:rPr>
        <w:t>4</w:t>
      </w:r>
      <w:r w:rsidRPr="00F40118">
        <w:rPr>
          <w:rFonts w:ascii="Book Antiqua" w:hAnsi="Book Antiqua"/>
          <w:b/>
          <w:bCs/>
        </w:rPr>
        <w:t xml:space="preserve"> </w:t>
      </w:r>
      <w:bookmarkStart w:id="53" w:name="OLE_LINK23"/>
      <w:bookmarkStart w:id="54" w:name="OLE_LINK24"/>
      <w:bookmarkStart w:id="55" w:name="OLE_LINK20"/>
      <w:bookmarkStart w:id="56" w:name="OLE_LINK21"/>
      <w:r w:rsidRPr="00F40118">
        <w:rPr>
          <w:rFonts w:ascii="Book Antiqua" w:hAnsi="Book Antiqua"/>
          <w:b/>
          <w:bCs/>
        </w:rPr>
        <w:t xml:space="preserve">Comparison of the parameter decrease </w:t>
      </w:r>
      <w:bookmarkEnd w:id="53"/>
      <w:bookmarkEnd w:id="54"/>
      <w:r w:rsidRPr="00F40118">
        <w:rPr>
          <w:rFonts w:ascii="Book Antiqua" w:hAnsi="Book Antiqua"/>
          <w:b/>
          <w:bCs/>
        </w:rPr>
        <w:t>degree in subgroups with weig</w:t>
      </w:r>
      <w:r w:rsidR="009A27D6" w:rsidRPr="00F40118">
        <w:rPr>
          <w:rFonts w:ascii="Book Antiqua" w:hAnsi="Book Antiqua"/>
          <w:b/>
          <w:bCs/>
        </w:rPr>
        <w:t>ht loss of more and less than 5%</w:t>
      </w:r>
      <w:r w:rsidRPr="00F40118">
        <w:rPr>
          <w:rFonts w:ascii="Book Antiqua" w:hAnsi="Book Antiqua"/>
          <w:b/>
          <w:bCs/>
        </w:rPr>
        <w:t xml:space="preserve"> </w:t>
      </w:r>
      <w:bookmarkStart w:id="57" w:name="OLE_LINK22"/>
      <w:bookmarkEnd w:id="55"/>
      <w:bookmarkEnd w:id="56"/>
      <w:r w:rsidRPr="00F40118">
        <w:rPr>
          <w:rFonts w:ascii="Book Antiqua" w:hAnsi="Book Antiqua"/>
          <w:b/>
          <w:bCs/>
        </w:rPr>
        <w:t>from baseline to the end of treatment</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3162"/>
        <w:gridCol w:w="4359"/>
        <w:gridCol w:w="4273"/>
        <w:gridCol w:w="1660"/>
      </w:tblGrid>
      <w:tr w:rsidR="001D4742" w:rsidRPr="00F40118" w:rsidTr="0048758E">
        <w:trPr>
          <w:trHeight w:val="300"/>
        </w:trPr>
        <w:tc>
          <w:tcPr>
            <w:tcW w:w="1175" w:type="pct"/>
            <w:tcBorders>
              <w:top w:val="single" w:sz="4" w:space="0" w:color="auto"/>
              <w:bottom w:val="single" w:sz="4" w:space="0" w:color="auto"/>
            </w:tcBorders>
            <w:shd w:val="clear" w:color="auto" w:fill="auto"/>
            <w:noWrap/>
            <w:vAlign w:val="center"/>
          </w:tcPr>
          <w:bookmarkEnd w:id="57"/>
          <w:p w:rsidR="001D4742" w:rsidRPr="00F40118" w:rsidRDefault="001D4742" w:rsidP="00EF6CF8">
            <w:pPr>
              <w:pStyle w:val="a6"/>
              <w:snapToGrid w:val="0"/>
              <w:spacing w:line="360" w:lineRule="auto"/>
              <w:jc w:val="both"/>
              <w:rPr>
                <w:rFonts w:ascii="Book Antiqua" w:hAnsi="Book Antiqua" w:cs="Times New Roman"/>
                <w:b/>
                <w:bCs/>
                <w:szCs w:val="24"/>
              </w:rPr>
            </w:pPr>
            <w:r w:rsidRPr="00F40118">
              <w:rPr>
                <w:rFonts w:ascii="Book Antiqua" w:hAnsi="Book Antiqua" w:cs="Times New Roman"/>
                <w:b/>
                <w:bCs/>
                <w:szCs w:val="24"/>
              </w:rPr>
              <w:t>Parameter</w:t>
            </w:r>
          </w:p>
        </w:tc>
        <w:tc>
          <w:tcPr>
            <w:tcW w:w="1620" w:type="pct"/>
            <w:tcBorders>
              <w:top w:val="single" w:sz="4" w:space="0" w:color="auto"/>
              <w:bottom w:val="single" w:sz="4" w:space="0" w:color="auto"/>
            </w:tcBorders>
            <w:vAlign w:val="center"/>
          </w:tcPr>
          <w:p w:rsidR="001D4742" w:rsidRPr="00F40118" w:rsidRDefault="001D4742" w:rsidP="00EF6CF8">
            <w:pPr>
              <w:pStyle w:val="a6"/>
              <w:snapToGrid w:val="0"/>
              <w:spacing w:line="360" w:lineRule="auto"/>
              <w:jc w:val="both"/>
              <w:rPr>
                <w:rFonts w:ascii="Book Antiqua" w:hAnsi="Book Antiqua" w:cs="Times New Roman"/>
                <w:b/>
                <w:bCs/>
                <w:szCs w:val="24"/>
              </w:rPr>
            </w:pPr>
            <w:r w:rsidRPr="00F40118">
              <w:rPr>
                <w:rFonts w:ascii="Book Antiqua" w:hAnsi="Book Antiqua" w:cs="Times New Roman"/>
                <w:b/>
                <w:bCs/>
                <w:szCs w:val="24"/>
              </w:rPr>
              <w:t>Weight loss &gt;</w:t>
            </w:r>
            <w:r w:rsidR="009A27D6" w:rsidRPr="00F40118">
              <w:rPr>
                <w:rFonts w:ascii="Book Antiqua" w:hAnsi="Book Antiqua" w:cs="Times New Roman"/>
                <w:b/>
                <w:bCs/>
                <w:szCs w:val="24"/>
              </w:rPr>
              <w:t xml:space="preserve"> </w:t>
            </w:r>
            <w:r w:rsidRPr="00F40118">
              <w:rPr>
                <w:rFonts w:ascii="Book Antiqua" w:hAnsi="Book Antiqua" w:cs="Times New Roman"/>
                <w:b/>
                <w:bCs/>
                <w:szCs w:val="24"/>
              </w:rPr>
              <w:t>5%</w:t>
            </w:r>
            <w:r w:rsidR="009A27D6" w:rsidRPr="00F40118">
              <w:rPr>
                <w:rFonts w:ascii="Book Antiqua" w:eastAsia="宋体" w:hAnsi="Book Antiqua" w:cs="Times New Roman"/>
                <w:b/>
                <w:bCs/>
                <w:szCs w:val="24"/>
                <w:lang w:eastAsia="zh-CN"/>
              </w:rPr>
              <w:t xml:space="preserve"> </w:t>
            </w:r>
            <w:r w:rsidRPr="00F40118">
              <w:rPr>
                <w:rFonts w:ascii="Book Antiqua" w:hAnsi="Book Antiqua" w:cs="Times New Roman"/>
                <w:b/>
                <w:bCs/>
                <w:szCs w:val="24"/>
              </w:rPr>
              <w:t>(</w:t>
            </w:r>
            <w:r w:rsidRPr="00F40118">
              <w:rPr>
                <w:rFonts w:ascii="Book Antiqua" w:hAnsi="Book Antiqua" w:cs="Times New Roman"/>
                <w:b/>
                <w:bCs/>
                <w:i/>
                <w:szCs w:val="24"/>
              </w:rPr>
              <w:t>n</w:t>
            </w:r>
            <w:r w:rsidR="009A27D6" w:rsidRPr="00F40118">
              <w:rPr>
                <w:rFonts w:ascii="Book Antiqua" w:hAnsi="Book Antiqua" w:cs="Times New Roman"/>
                <w:b/>
                <w:bCs/>
                <w:i/>
                <w:szCs w:val="24"/>
              </w:rPr>
              <w:t xml:space="preserve"> </w:t>
            </w:r>
            <w:r w:rsidRPr="00F40118">
              <w:rPr>
                <w:rFonts w:ascii="Book Antiqua" w:hAnsi="Book Antiqua" w:cs="Times New Roman"/>
                <w:b/>
                <w:bCs/>
                <w:szCs w:val="24"/>
              </w:rPr>
              <w:t>=</w:t>
            </w:r>
            <w:r w:rsidR="009A27D6" w:rsidRPr="00F40118">
              <w:rPr>
                <w:rFonts w:ascii="Book Antiqua" w:hAnsi="Book Antiqua" w:cs="Times New Roman"/>
                <w:b/>
                <w:bCs/>
                <w:szCs w:val="24"/>
              </w:rPr>
              <w:t xml:space="preserve"> </w:t>
            </w:r>
            <w:r w:rsidRPr="00F40118">
              <w:rPr>
                <w:rFonts w:ascii="Book Antiqua" w:hAnsi="Book Antiqua" w:cs="Times New Roman"/>
                <w:b/>
                <w:bCs/>
                <w:szCs w:val="24"/>
              </w:rPr>
              <w:t>54)</w:t>
            </w:r>
          </w:p>
        </w:tc>
        <w:tc>
          <w:tcPr>
            <w:tcW w:w="1588" w:type="pct"/>
            <w:tcBorders>
              <w:top w:val="single" w:sz="4" w:space="0" w:color="auto"/>
              <w:bottom w:val="single" w:sz="4" w:space="0" w:color="auto"/>
            </w:tcBorders>
            <w:shd w:val="clear" w:color="auto" w:fill="auto"/>
            <w:noWrap/>
            <w:vAlign w:val="center"/>
          </w:tcPr>
          <w:p w:rsidR="001D4742" w:rsidRPr="00F40118" w:rsidRDefault="001D4742" w:rsidP="00EF6CF8">
            <w:pPr>
              <w:pStyle w:val="a6"/>
              <w:snapToGrid w:val="0"/>
              <w:spacing w:line="360" w:lineRule="auto"/>
              <w:jc w:val="both"/>
              <w:rPr>
                <w:rFonts w:ascii="Book Antiqua" w:hAnsi="Book Antiqua" w:cs="Times New Roman"/>
                <w:b/>
                <w:bCs/>
                <w:szCs w:val="24"/>
              </w:rPr>
            </w:pPr>
            <w:r w:rsidRPr="00F40118">
              <w:rPr>
                <w:rFonts w:ascii="Book Antiqua" w:hAnsi="Book Antiqua" w:cs="Times New Roman"/>
                <w:b/>
                <w:bCs/>
                <w:szCs w:val="24"/>
              </w:rPr>
              <w:t>Weight loss</w:t>
            </w:r>
            <w:r w:rsidR="009A27D6" w:rsidRPr="00F40118">
              <w:rPr>
                <w:rFonts w:ascii="Book Antiqua" w:eastAsia="宋体" w:hAnsi="Book Antiqua" w:cs="Times New Roman"/>
                <w:b/>
                <w:bCs/>
                <w:szCs w:val="24"/>
                <w:lang w:eastAsia="zh-CN"/>
              </w:rPr>
              <w:t xml:space="preserve"> </w:t>
            </w:r>
            <w:r w:rsidRPr="00F40118">
              <w:rPr>
                <w:rFonts w:ascii="Book Antiqua" w:hAnsi="Book Antiqua" w:cs="Times New Roman"/>
                <w:b/>
                <w:bCs/>
                <w:szCs w:val="24"/>
              </w:rPr>
              <w:t>≤ 5% (</w:t>
            </w:r>
            <w:r w:rsidRPr="00F40118">
              <w:rPr>
                <w:rFonts w:ascii="Book Antiqua" w:hAnsi="Book Antiqua" w:cs="Times New Roman"/>
                <w:b/>
                <w:bCs/>
                <w:i/>
                <w:szCs w:val="24"/>
              </w:rPr>
              <w:t>n</w:t>
            </w:r>
            <w:r w:rsidR="009A27D6" w:rsidRPr="00F40118">
              <w:rPr>
                <w:rFonts w:ascii="Book Antiqua" w:hAnsi="Book Antiqua" w:cs="Times New Roman"/>
                <w:b/>
                <w:bCs/>
                <w:i/>
                <w:szCs w:val="24"/>
              </w:rPr>
              <w:t xml:space="preserve"> </w:t>
            </w:r>
            <w:r w:rsidRPr="00F40118">
              <w:rPr>
                <w:rFonts w:ascii="Book Antiqua" w:hAnsi="Book Antiqua" w:cs="Times New Roman"/>
                <w:b/>
                <w:bCs/>
                <w:szCs w:val="24"/>
              </w:rPr>
              <w:t>=</w:t>
            </w:r>
            <w:r w:rsidR="009A27D6" w:rsidRPr="00F40118">
              <w:rPr>
                <w:rFonts w:ascii="Book Antiqua" w:hAnsi="Book Antiqua" w:cs="Times New Roman"/>
                <w:b/>
                <w:bCs/>
                <w:szCs w:val="24"/>
              </w:rPr>
              <w:t xml:space="preserve"> </w:t>
            </w:r>
            <w:r w:rsidRPr="00F40118">
              <w:rPr>
                <w:rFonts w:ascii="Book Antiqua" w:hAnsi="Book Antiqua" w:cs="Times New Roman"/>
                <w:b/>
                <w:bCs/>
                <w:szCs w:val="24"/>
              </w:rPr>
              <w:t>120)</w:t>
            </w:r>
          </w:p>
        </w:tc>
        <w:tc>
          <w:tcPr>
            <w:tcW w:w="617" w:type="pct"/>
            <w:tcBorders>
              <w:top w:val="single" w:sz="4" w:space="0" w:color="auto"/>
              <w:bottom w:val="single" w:sz="4" w:space="0" w:color="auto"/>
            </w:tcBorders>
            <w:vAlign w:val="center"/>
          </w:tcPr>
          <w:p w:rsidR="001D4742" w:rsidRPr="00F40118" w:rsidRDefault="009A27D6" w:rsidP="00EF6CF8">
            <w:pPr>
              <w:pStyle w:val="a6"/>
              <w:snapToGrid w:val="0"/>
              <w:spacing w:line="360" w:lineRule="auto"/>
              <w:jc w:val="both"/>
              <w:rPr>
                <w:rFonts w:ascii="Book Antiqua" w:hAnsi="Book Antiqua" w:cs="Times New Roman"/>
                <w:b/>
                <w:bCs/>
                <w:i/>
                <w:szCs w:val="24"/>
              </w:rPr>
            </w:pPr>
            <w:r w:rsidRPr="00F40118">
              <w:rPr>
                <w:rFonts w:ascii="Book Antiqua" w:hAnsi="Book Antiqua" w:cs="Times New Roman"/>
                <w:b/>
                <w:bCs/>
                <w:i/>
                <w:szCs w:val="24"/>
              </w:rPr>
              <w:t xml:space="preserve">P </w:t>
            </w:r>
            <w:r w:rsidRPr="00F40118">
              <w:rPr>
                <w:rFonts w:ascii="Book Antiqua" w:hAnsi="Book Antiqua" w:cs="Times New Roman"/>
                <w:b/>
                <w:bCs/>
                <w:szCs w:val="24"/>
              </w:rPr>
              <w:t>value</w:t>
            </w:r>
          </w:p>
        </w:tc>
      </w:tr>
      <w:tr w:rsidR="001D4742" w:rsidRPr="00F40118" w:rsidTr="0048758E">
        <w:trPr>
          <w:trHeight w:val="300"/>
        </w:trPr>
        <w:tc>
          <w:tcPr>
            <w:tcW w:w="1175" w:type="pct"/>
            <w:tcBorders>
              <w:top w:val="single" w:sz="4" w:space="0" w:color="auto"/>
            </w:tcBorders>
            <w:shd w:val="clear" w:color="auto" w:fill="auto"/>
            <w:noWrap/>
            <w:vAlign w:val="center"/>
            <w:hideMark/>
          </w:tcPr>
          <w:p w:rsidR="001D4742" w:rsidRPr="00F40118" w:rsidRDefault="001D4742"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∆ALT, U/</w:t>
            </w:r>
            <w:r w:rsidR="009A27D6" w:rsidRPr="00F40118">
              <w:rPr>
                <w:rFonts w:ascii="Book Antiqua" w:hAnsi="Book Antiqua" w:cs="Times New Roman"/>
                <w:szCs w:val="24"/>
              </w:rPr>
              <w:t>L</w:t>
            </w:r>
          </w:p>
        </w:tc>
        <w:tc>
          <w:tcPr>
            <w:tcW w:w="1620" w:type="pct"/>
            <w:tcBorders>
              <w:top w:val="single" w:sz="4" w:space="0" w:color="auto"/>
            </w:tcBorders>
            <w:vAlign w:val="center"/>
          </w:tcPr>
          <w:p w:rsidR="001D4742" w:rsidRPr="00F40118" w:rsidRDefault="009A27D6" w:rsidP="00EF6CF8">
            <w:pPr>
              <w:pStyle w:val="a6"/>
              <w:snapToGrid w:val="0"/>
              <w:spacing w:line="360" w:lineRule="auto"/>
              <w:jc w:val="both"/>
              <w:rPr>
                <w:rFonts w:ascii="Book Antiqua" w:hAnsi="Book Antiqua" w:cs="Times New Roman"/>
                <w:color w:val="auto"/>
                <w:szCs w:val="24"/>
              </w:rPr>
            </w:pPr>
            <w:r w:rsidRPr="00F40118">
              <w:rPr>
                <w:rFonts w:ascii="Book Antiqua" w:hAnsi="Book Antiqua" w:cs="Times New Roman"/>
                <w:color w:val="auto"/>
                <w:szCs w:val="24"/>
              </w:rPr>
              <w:t>-21.1 (</w:t>
            </w:r>
            <w:r w:rsidR="001D4742" w:rsidRPr="00F40118">
              <w:rPr>
                <w:rFonts w:ascii="Book Antiqua" w:hAnsi="Book Antiqua" w:cs="Times New Roman"/>
                <w:color w:val="auto"/>
                <w:szCs w:val="24"/>
              </w:rPr>
              <w:t>-45.0; -6.0</w:t>
            </w:r>
            <w:r w:rsidRPr="00F40118">
              <w:rPr>
                <w:rFonts w:ascii="Book Antiqua" w:hAnsi="Book Antiqua" w:cs="Times New Roman"/>
                <w:color w:val="auto"/>
                <w:szCs w:val="24"/>
              </w:rPr>
              <w:t>)</w:t>
            </w:r>
          </w:p>
        </w:tc>
        <w:tc>
          <w:tcPr>
            <w:tcW w:w="1588" w:type="pct"/>
            <w:tcBorders>
              <w:top w:val="single" w:sz="4" w:space="0" w:color="auto"/>
            </w:tcBorders>
            <w:shd w:val="clear" w:color="auto" w:fill="auto"/>
            <w:noWrap/>
            <w:vAlign w:val="center"/>
            <w:hideMark/>
          </w:tcPr>
          <w:p w:rsidR="001D4742" w:rsidRPr="00F40118" w:rsidRDefault="0048758E" w:rsidP="00EF6CF8">
            <w:pPr>
              <w:pStyle w:val="a6"/>
              <w:snapToGrid w:val="0"/>
              <w:spacing w:line="360" w:lineRule="auto"/>
              <w:jc w:val="both"/>
              <w:rPr>
                <w:rFonts w:ascii="Book Antiqua" w:hAnsi="Book Antiqua" w:cs="Times New Roman"/>
                <w:color w:val="auto"/>
                <w:szCs w:val="24"/>
              </w:rPr>
            </w:pPr>
            <w:r w:rsidRPr="00F40118">
              <w:rPr>
                <w:rFonts w:ascii="Book Antiqua" w:hAnsi="Book Antiqua" w:cs="Times New Roman"/>
                <w:color w:val="auto"/>
                <w:szCs w:val="24"/>
              </w:rPr>
              <w:t>-25.0 (</w:t>
            </w:r>
            <w:r w:rsidR="001D4742" w:rsidRPr="00F40118">
              <w:rPr>
                <w:rFonts w:ascii="Book Antiqua" w:hAnsi="Book Antiqua" w:cs="Times New Roman"/>
                <w:color w:val="auto"/>
                <w:szCs w:val="24"/>
              </w:rPr>
              <w:t>-42.5; -6.0</w:t>
            </w:r>
            <w:r w:rsidRPr="00F40118">
              <w:rPr>
                <w:rFonts w:ascii="Book Antiqua" w:hAnsi="Book Antiqua" w:cs="Times New Roman"/>
                <w:color w:val="auto"/>
                <w:szCs w:val="24"/>
              </w:rPr>
              <w:t>)</w:t>
            </w:r>
          </w:p>
        </w:tc>
        <w:tc>
          <w:tcPr>
            <w:tcW w:w="617" w:type="pct"/>
            <w:tcBorders>
              <w:top w:val="single" w:sz="4" w:space="0" w:color="auto"/>
            </w:tcBorders>
            <w:vAlign w:val="center"/>
          </w:tcPr>
          <w:p w:rsidR="001D4742" w:rsidRPr="00F40118" w:rsidRDefault="001D4742"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0.683</w:t>
            </w:r>
          </w:p>
        </w:tc>
      </w:tr>
      <w:tr w:rsidR="001D4742" w:rsidRPr="00F40118" w:rsidTr="0048758E">
        <w:trPr>
          <w:trHeight w:val="300"/>
        </w:trPr>
        <w:tc>
          <w:tcPr>
            <w:tcW w:w="1175" w:type="pct"/>
            <w:shd w:val="clear" w:color="auto" w:fill="auto"/>
            <w:noWrap/>
            <w:vAlign w:val="center"/>
          </w:tcPr>
          <w:p w:rsidR="001D4742" w:rsidRPr="00F40118" w:rsidRDefault="001D4742"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∆ALT, %</w:t>
            </w:r>
          </w:p>
        </w:tc>
        <w:tc>
          <w:tcPr>
            <w:tcW w:w="1620" w:type="pct"/>
            <w:vAlign w:val="center"/>
          </w:tcPr>
          <w:p w:rsidR="001D4742" w:rsidRPr="00F40118" w:rsidRDefault="001D4742" w:rsidP="00EF6CF8">
            <w:pPr>
              <w:pStyle w:val="a6"/>
              <w:snapToGrid w:val="0"/>
              <w:spacing w:line="360" w:lineRule="auto"/>
              <w:jc w:val="both"/>
              <w:rPr>
                <w:rFonts w:ascii="Book Antiqua" w:hAnsi="Book Antiqua" w:cs="Times New Roman"/>
                <w:color w:val="auto"/>
                <w:szCs w:val="24"/>
              </w:rPr>
            </w:pPr>
            <w:r w:rsidRPr="00F40118">
              <w:rPr>
                <w:rFonts w:ascii="Book Antiqua" w:hAnsi="Book Antiqua" w:cs="Times New Roman"/>
                <w:color w:val="auto"/>
                <w:szCs w:val="24"/>
              </w:rPr>
              <w:t xml:space="preserve">-46 </w:t>
            </w:r>
            <w:r w:rsidR="009A27D6" w:rsidRPr="00F40118">
              <w:rPr>
                <w:rFonts w:ascii="Book Antiqua" w:hAnsi="Book Antiqua" w:cs="Times New Roman"/>
                <w:color w:val="auto"/>
                <w:szCs w:val="24"/>
              </w:rPr>
              <w:t>(</w:t>
            </w:r>
            <w:r w:rsidRPr="00F40118">
              <w:rPr>
                <w:rFonts w:ascii="Book Antiqua" w:hAnsi="Book Antiqua" w:cs="Times New Roman"/>
                <w:color w:val="auto"/>
                <w:szCs w:val="24"/>
              </w:rPr>
              <w:t>-63; -18</w:t>
            </w:r>
            <w:r w:rsidR="009A27D6" w:rsidRPr="00F40118">
              <w:rPr>
                <w:rFonts w:ascii="Book Antiqua" w:hAnsi="Book Antiqua" w:cs="Times New Roman"/>
                <w:color w:val="auto"/>
                <w:szCs w:val="24"/>
              </w:rPr>
              <w:t>)</w:t>
            </w:r>
          </w:p>
        </w:tc>
        <w:tc>
          <w:tcPr>
            <w:tcW w:w="1588" w:type="pct"/>
            <w:shd w:val="clear" w:color="auto" w:fill="auto"/>
            <w:noWrap/>
            <w:vAlign w:val="center"/>
          </w:tcPr>
          <w:p w:rsidR="001D4742" w:rsidRPr="00F40118" w:rsidRDefault="0048758E" w:rsidP="00EF6CF8">
            <w:pPr>
              <w:pStyle w:val="a6"/>
              <w:snapToGrid w:val="0"/>
              <w:spacing w:line="360" w:lineRule="auto"/>
              <w:jc w:val="both"/>
              <w:rPr>
                <w:rFonts w:ascii="Book Antiqua" w:hAnsi="Book Antiqua" w:cs="Times New Roman"/>
                <w:color w:val="auto"/>
                <w:szCs w:val="24"/>
              </w:rPr>
            </w:pPr>
            <w:r w:rsidRPr="00F40118">
              <w:rPr>
                <w:rFonts w:ascii="Book Antiqua" w:hAnsi="Book Antiqua" w:cs="Times New Roman"/>
                <w:color w:val="auto"/>
                <w:szCs w:val="24"/>
              </w:rPr>
              <w:t>-43 (</w:t>
            </w:r>
            <w:r w:rsidR="001D4742" w:rsidRPr="00F40118">
              <w:rPr>
                <w:rFonts w:ascii="Book Antiqua" w:hAnsi="Book Antiqua" w:cs="Times New Roman"/>
                <w:color w:val="auto"/>
                <w:szCs w:val="24"/>
              </w:rPr>
              <w:t>-54; -23</w:t>
            </w:r>
            <w:r w:rsidRPr="00F40118">
              <w:rPr>
                <w:rFonts w:ascii="Book Antiqua" w:hAnsi="Book Antiqua" w:cs="Times New Roman"/>
                <w:color w:val="auto"/>
                <w:szCs w:val="24"/>
              </w:rPr>
              <w:t>)</w:t>
            </w:r>
          </w:p>
        </w:tc>
        <w:tc>
          <w:tcPr>
            <w:tcW w:w="617" w:type="pct"/>
            <w:vAlign w:val="center"/>
          </w:tcPr>
          <w:p w:rsidR="001D4742" w:rsidRPr="00F40118" w:rsidRDefault="001D4742"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0.281</w:t>
            </w:r>
          </w:p>
        </w:tc>
      </w:tr>
      <w:tr w:rsidR="001D4742" w:rsidRPr="00F40118" w:rsidTr="0048758E">
        <w:trPr>
          <w:trHeight w:val="300"/>
        </w:trPr>
        <w:tc>
          <w:tcPr>
            <w:tcW w:w="1175" w:type="pct"/>
            <w:shd w:val="clear" w:color="auto" w:fill="auto"/>
            <w:noWrap/>
            <w:vAlign w:val="center"/>
            <w:hideMark/>
          </w:tcPr>
          <w:p w:rsidR="001D4742" w:rsidRPr="00F40118" w:rsidRDefault="001D4742"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∆AST, U/</w:t>
            </w:r>
            <w:r w:rsidR="009A27D6" w:rsidRPr="00F40118">
              <w:rPr>
                <w:rFonts w:ascii="Book Antiqua" w:hAnsi="Book Antiqua" w:cs="Times New Roman"/>
                <w:szCs w:val="24"/>
              </w:rPr>
              <w:t>L</w:t>
            </w:r>
          </w:p>
        </w:tc>
        <w:tc>
          <w:tcPr>
            <w:tcW w:w="1620" w:type="pct"/>
            <w:vAlign w:val="center"/>
          </w:tcPr>
          <w:p w:rsidR="001D4742" w:rsidRPr="00F40118" w:rsidRDefault="001D4742" w:rsidP="00EF6CF8">
            <w:pPr>
              <w:pStyle w:val="a6"/>
              <w:snapToGrid w:val="0"/>
              <w:spacing w:line="360" w:lineRule="auto"/>
              <w:jc w:val="both"/>
              <w:rPr>
                <w:rFonts w:ascii="Book Antiqua" w:hAnsi="Book Antiqua" w:cs="Times New Roman"/>
                <w:color w:val="auto"/>
                <w:szCs w:val="24"/>
              </w:rPr>
            </w:pPr>
            <w:r w:rsidRPr="00F40118">
              <w:rPr>
                <w:rFonts w:ascii="Book Antiqua" w:hAnsi="Book Antiqua" w:cs="Times New Roman"/>
                <w:color w:val="auto"/>
                <w:szCs w:val="24"/>
              </w:rPr>
              <w:t>-6.0</w:t>
            </w:r>
            <w:r w:rsidR="009A27D6" w:rsidRPr="00F40118">
              <w:rPr>
                <w:rFonts w:ascii="Book Antiqua" w:hAnsi="Book Antiqua" w:cs="Times New Roman"/>
                <w:color w:val="auto"/>
                <w:szCs w:val="24"/>
              </w:rPr>
              <w:t xml:space="preserve"> (</w:t>
            </w:r>
            <w:r w:rsidRPr="00F40118">
              <w:rPr>
                <w:rFonts w:ascii="Book Antiqua" w:hAnsi="Book Antiqua" w:cs="Times New Roman"/>
                <w:color w:val="auto"/>
                <w:szCs w:val="24"/>
              </w:rPr>
              <w:t>-15.0; 1.6</w:t>
            </w:r>
            <w:r w:rsidR="009A27D6" w:rsidRPr="00F40118">
              <w:rPr>
                <w:rFonts w:ascii="Book Antiqua" w:hAnsi="Book Antiqua" w:cs="Times New Roman"/>
                <w:color w:val="auto"/>
                <w:szCs w:val="24"/>
              </w:rPr>
              <w:t>)</w:t>
            </w:r>
          </w:p>
        </w:tc>
        <w:tc>
          <w:tcPr>
            <w:tcW w:w="1588" w:type="pct"/>
            <w:shd w:val="clear" w:color="auto" w:fill="auto"/>
            <w:noWrap/>
            <w:vAlign w:val="center"/>
            <w:hideMark/>
          </w:tcPr>
          <w:p w:rsidR="001D4742" w:rsidRPr="00F40118" w:rsidRDefault="0048758E" w:rsidP="00EF6CF8">
            <w:pPr>
              <w:pStyle w:val="a6"/>
              <w:snapToGrid w:val="0"/>
              <w:spacing w:line="360" w:lineRule="auto"/>
              <w:jc w:val="both"/>
              <w:rPr>
                <w:rFonts w:ascii="Book Antiqua" w:hAnsi="Book Antiqua" w:cs="Times New Roman"/>
                <w:color w:val="auto"/>
                <w:szCs w:val="24"/>
              </w:rPr>
            </w:pPr>
            <w:r w:rsidRPr="00F40118">
              <w:rPr>
                <w:rFonts w:ascii="Book Antiqua" w:hAnsi="Book Antiqua" w:cs="Times New Roman"/>
                <w:color w:val="auto"/>
                <w:szCs w:val="24"/>
              </w:rPr>
              <w:t>-5.0 (-18.0; 1.0)</w:t>
            </w:r>
          </w:p>
        </w:tc>
        <w:tc>
          <w:tcPr>
            <w:tcW w:w="617" w:type="pct"/>
            <w:vAlign w:val="center"/>
          </w:tcPr>
          <w:p w:rsidR="001D4742" w:rsidRPr="00F40118" w:rsidRDefault="001D4742"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0.673</w:t>
            </w:r>
          </w:p>
        </w:tc>
      </w:tr>
      <w:tr w:rsidR="001D4742" w:rsidRPr="00F40118" w:rsidTr="0048758E">
        <w:trPr>
          <w:trHeight w:val="300"/>
        </w:trPr>
        <w:tc>
          <w:tcPr>
            <w:tcW w:w="1175" w:type="pct"/>
            <w:shd w:val="clear" w:color="auto" w:fill="auto"/>
            <w:noWrap/>
            <w:vAlign w:val="center"/>
          </w:tcPr>
          <w:p w:rsidR="001D4742" w:rsidRPr="00F40118" w:rsidRDefault="001D4742"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∆AST, %</w:t>
            </w:r>
          </w:p>
        </w:tc>
        <w:tc>
          <w:tcPr>
            <w:tcW w:w="1620" w:type="pct"/>
            <w:vAlign w:val="center"/>
          </w:tcPr>
          <w:p w:rsidR="001D4742" w:rsidRPr="00F40118" w:rsidRDefault="001D4742"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 xml:space="preserve">22 </w:t>
            </w:r>
            <w:r w:rsidR="009A27D6" w:rsidRPr="00F40118">
              <w:rPr>
                <w:rFonts w:ascii="Book Antiqua" w:hAnsi="Book Antiqua" w:cs="Times New Roman"/>
                <w:szCs w:val="24"/>
              </w:rPr>
              <w:t>(</w:t>
            </w:r>
            <w:r w:rsidRPr="00F40118">
              <w:rPr>
                <w:rFonts w:ascii="Book Antiqua" w:hAnsi="Book Antiqua" w:cs="Times New Roman"/>
                <w:szCs w:val="24"/>
              </w:rPr>
              <w:t>-41; 0</w:t>
            </w:r>
            <w:r w:rsidR="009A27D6" w:rsidRPr="00F40118">
              <w:rPr>
                <w:rFonts w:ascii="Book Antiqua" w:hAnsi="Book Antiqua" w:cs="Times New Roman"/>
                <w:szCs w:val="24"/>
              </w:rPr>
              <w:t>)</w:t>
            </w:r>
          </w:p>
        </w:tc>
        <w:tc>
          <w:tcPr>
            <w:tcW w:w="1588" w:type="pct"/>
            <w:shd w:val="clear" w:color="auto" w:fill="auto"/>
            <w:noWrap/>
            <w:vAlign w:val="center"/>
          </w:tcPr>
          <w:p w:rsidR="001D4742" w:rsidRPr="00F40118" w:rsidRDefault="0048758E"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-17 (-42; 0</w:t>
            </w:r>
            <w:r w:rsidRPr="00F40118">
              <w:rPr>
                <w:rFonts w:ascii="Book Antiqua" w:hAnsi="Book Antiqua" w:cs="Times New Roman"/>
                <w:color w:val="auto"/>
                <w:szCs w:val="24"/>
              </w:rPr>
              <w:t>)</w:t>
            </w:r>
          </w:p>
        </w:tc>
        <w:tc>
          <w:tcPr>
            <w:tcW w:w="617" w:type="pct"/>
            <w:vAlign w:val="center"/>
          </w:tcPr>
          <w:p w:rsidR="001D4742" w:rsidRPr="00F40118" w:rsidRDefault="001D4742"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0.446</w:t>
            </w:r>
          </w:p>
        </w:tc>
      </w:tr>
      <w:tr w:rsidR="001D4742" w:rsidRPr="00F40118" w:rsidTr="0048758E">
        <w:trPr>
          <w:trHeight w:val="300"/>
        </w:trPr>
        <w:tc>
          <w:tcPr>
            <w:tcW w:w="1175" w:type="pct"/>
            <w:shd w:val="clear" w:color="auto" w:fill="auto"/>
            <w:noWrap/>
            <w:vAlign w:val="center"/>
            <w:hideMark/>
          </w:tcPr>
          <w:p w:rsidR="001D4742" w:rsidRPr="00F40118" w:rsidRDefault="001D4742"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∆GGTP, U/</w:t>
            </w:r>
            <w:r w:rsidR="009A27D6" w:rsidRPr="00F40118">
              <w:rPr>
                <w:rFonts w:ascii="Book Antiqua" w:hAnsi="Book Antiqua" w:cs="Times New Roman"/>
                <w:szCs w:val="24"/>
              </w:rPr>
              <w:t>L</w:t>
            </w:r>
          </w:p>
        </w:tc>
        <w:tc>
          <w:tcPr>
            <w:tcW w:w="1620" w:type="pct"/>
            <w:vAlign w:val="center"/>
          </w:tcPr>
          <w:p w:rsidR="001D4742" w:rsidRPr="00F40118" w:rsidRDefault="001D4742"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 xml:space="preserve">-5.0 </w:t>
            </w:r>
            <w:r w:rsidR="009A27D6" w:rsidRPr="00F40118">
              <w:rPr>
                <w:rFonts w:ascii="Book Antiqua" w:hAnsi="Book Antiqua" w:cs="Times New Roman"/>
                <w:szCs w:val="24"/>
              </w:rPr>
              <w:t>(</w:t>
            </w:r>
            <w:r w:rsidRPr="00F40118">
              <w:rPr>
                <w:rFonts w:ascii="Book Antiqua" w:hAnsi="Book Antiqua" w:cs="Times New Roman"/>
                <w:szCs w:val="24"/>
              </w:rPr>
              <w:t>-17.0; 0</w:t>
            </w:r>
            <w:r w:rsidR="009A27D6" w:rsidRPr="00F40118">
              <w:rPr>
                <w:rFonts w:ascii="Book Antiqua" w:hAnsi="Book Antiqua" w:cs="Times New Roman"/>
                <w:szCs w:val="24"/>
              </w:rPr>
              <w:t>)</w:t>
            </w:r>
          </w:p>
        </w:tc>
        <w:tc>
          <w:tcPr>
            <w:tcW w:w="1588" w:type="pct"/>
            <w:shd w:val="clear" w:color="auto" w:fill="auto"/>
            <w:noWrap/>
            <w:vAlign w:val="center"/>
            <w:hideMark/>
          </w:tcPr>
          <w:p w:rsidR="001D4742" w:rsidRPr="00F40118" w:rsidRDefault="0048758E"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-8.0 (-22.5; 0</w:t>
            </w:r>
            <w:r w:rsidRPr="00F40118">
              <w:rPr>
                <w:rFonts w:ascii="Book Antiqua" w:hAnsi="Book Antiqua" w:cs="Times New Roman"/>
                <w:color w:val="auto"/>
                <w:szCs w:val="24"/>
              </w:rPr>
              <w:t>)</w:t>
            </w:r>
          </w:p>
        </w:tc>
        <w:tc>
          <w:tcPr>
            <w:tcW w:w="617" w:type="pct"/>
            <w:vAlign w:val="center"/>
          </w:tcPr>
          <w:p w:rsidR="001D4742" w:rsidRPr="00F40118" w:rsidRDefault="001D4742"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0.492</w:t>
            </w:r>
          </w:p>
        </w:tc>
      </w:tr>
      <w:tr w:rsidR="001D4742" w:rsidRPr="00F40118" w:rsidTr="0048758E">
        <w:trPr>
          <w:trHeight w:val="300"/>
        </w:trPr>
        <w:tc>
          <w:tcPr>
            <w:tcW w:w="1175" w:type="pct"/>
            <w:shd w:val="clear" w:color="auto" w:fill="auto"/>
            <w:noWrap/>
            <w:vAlign w:val="center"/>
          </w:tcPr>
          <w:p w:rsidR="001D4742" w:rsidRPr="00F40118" w:rsidRDefault="001D4742"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∆GGTP, %</w:t>
            </w:r>
          </w:p>
        </w:tc>
        <w:tc>
          <w:tcPr>
            <w:tcW w:w="1620" w:type="pct"/>
            <w:vAlign w:val="center"/>
          </w:tcPr>
          <w:p w:rsidR="001D4742" w:rsidRPr="00F40118" w:rsidRDefault="001D4742"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 xml:space="preserve">-19 </w:t>
            </w:r>
            <w:r w:rsidR="009A27D6" w:rsidRPr="00F40118">
              <w:rPr>
                <w:rFonts w:ascii="Book Antiqua" w:hAnsi="Book Antiqua" w:cs="Times New Roman"/>
                <w:szCs w:val="24"/>
              </w:rPr>
              <w:t>(</w:t>
            </w:r>
            <w:r w:rsidRPr="00F40118">
              <w:rPr>
                <w:rFonts w:ascii="Book Antiqua" w:hAnsi="Book Antiqua" w:cs="Times New Roman"/>
                <w:szCs w:val="24"/>
              </w:rPr>
              <w:t>-41; 0</w:t>
            </w:r>
            <w:r w:rsidR="009A27D6" w:rsidRPr="00F40118">
              <w:rPr>
                <w:rFonts w:ascii="Book Antiqua" w:hAnsi="Book Antiqua" w:cs="Times New Roman"/>
                <w:szCs w:val="24"/>
              </w:rPr>
              <w:t>)</w:t>
            </w:r>
          </w:p>
        </w:tc>
        <w:tc>
          <w:tcPr>
            <w:tcW w:w="1588" w:type="pct"/>
            <w:shd w:val="clear" w:color="auto" w:fill="auto"/>
            <w:noWrap/>
            <w:vAlign w:val="center"/>
          </w:tcPr>
          <w:p w:rsidR="001D4742" w:rsidRPr="00F40118" w:rsidRDefault="0048758E"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-32 (-50; 0</w:t>
            </w:r>
            <w:r w:rsidRPr="00F40118">
              <w:rPr>
                <w:rFonts w:ascii="Book Antiqua" w:hAnsi="Book Antiqua" w:cs="Times New Roman"/>
                <w:color w:val="auto"/>
                <w:szCs w:val="24"/>
              </w:rPr>
              <w:t>)</w:t>
            </w:r>
          </w:p>
        </w:tc>
        <w:tc>
          <w:tcPr>
            <w:tcW w:w="617" w:type="pct"/>
            <w:vAlign w:val="center"/>
          </w:tcPr>
          <w:p w:rsidR="001D4742" w:rsidRPr="00F40118" w:rsidRDefault="001D4742"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0.354</w:t>
            </w:r>
          </w:p>
        </w:tc>
      </w:tr>
      <w:tr w:rsidR="001D4742" w:rsidRPr="00F40118" w:rsidTr="0048758E">
        <w:trPr>
          <w:trHeight w:val="300"/>
        </w:trPr>
        <w:tc>
          <w:tcPr>
            <w:tcW w:w="1175" w:type="pct"/>
            <w:shd w:val="clear" w:color="auto" w:fill="auto"/>
            <w:noWrap/>
            <w:vAlign w:val="center"/>
            <w:hideMark/>
          </w:tcPr>
          <w:p w:rsidR="001D4742" w:rsidRPr="00F40118" w:rsidRDefault="001D4742"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∆TC, mmol/</w:t>
            </w:r>
            <w:r w:rsidR="009A27D6" w:rsidRPr="00F40118">
              <w:rPr>
                <w:rFonts w:ascii="Book Antiqua" w:hAnsi="Book Antiqua" w:cs="Times New Roman"/>
                <w:szCs w:val="24"/>
              </w:rPr>
              <w:t>L</w:t>
            </w:r>
          </w:p>
        </w:tc>
        <w:tc>
          <w:tcPr>
            <w:tcW w:w="1620" w:type="pct"/>
            <w:vAlign w:val="center"/>
          </w:tcPr>
          <w:p w:rsidR="001D4742" w:rsidRPr="00F40118" w:rsidRDefault="001D4742"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 xml:space="preserve">-0.10 </w:t>
            </w:r>
            <w:r w:rsidR="009A27D6" w:rsidRPr="00F40118">
              <w:rPr>
                <w:rFonts w:ascii="Book Antiqua" w:hAnsi="Book Antiqua" w:cs="Times New Roman"/>
                <w:szCs w:val="24"/>
              </w:rPr>
              <w:t>(</w:t>
            </w:r>
            <w:r w:rsidRPr="00F40118">
              <w:rPr>
                <w:rFonts w:ascii="Book Antiqua" w:hAnsi="Book Antiqua" w:cs="Times New Roman"/>
                <w:szCs w:val="24"/>
              </w:rPr>
              <w:t>-0.66; 0.30</w:t>
            </w:r>
            <w:r w:rsidR="009A27D6" w:rsidRPr="00F40118">
              <w:rPr>
                <w:rFonts w:ascii="Book Antiqua" w:hAnsi="Book Antiqua" w:cs="Times New Roman"/>
                <w:szCs w:val="24"/>
              </w:rPr>
              <w:t>)</w:t>
            </w:r>
          </w:p>
        </w:tc>
        <w:tc>
          <w:tcPr>
            <w:tcW w:w="1588" w:type="pct"/>
            <w:shd w:val="clear" w:color="auto" w:fill="auto"/>
            <w:noWrap/>
            <w:vAlign w:val="center"/>
            <w:hideMark/>
          </w:tcPr>
          <w:p w:rsidR="001D4742" w:rsidRPr="00F40118" w:rsidRDefault="0048758E"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-0.10 (-0.57; 0.2</w:t>
            </w:r>
            <w:r w:rsidRPr="00F40118">
              <w:rPr>
                <w:rFonts w:ascii="Book Antiqua" w:hAnsi="Book Antiqua" w:cs="Times New Roman"/>
                <w:color w:val="auto"/>
                <w:szCs w:val="24"/>
              </w:rPr>
              <w:t>)</w:t>
            </w:r>
          </w:p>
        </w:tc>
        <w:tc>
          <w:tcPr>
            <w:tcW w:w="617" w:type="pct"/>
            <w:vAlign w:val="center"/>
          </w:tcPr>
          <w:p w:rsidR="001D4742" w:rsidRPr="00F40118" w:rsidRDefault="001D4742"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0.666</w:t>
            </w:r>
          </w:p>
        </w:tc>
      </w:tr>
      <w:tr w:rsidR="001D4742" w:rsidRPr="00F40118" w:rsidTr="0048758E">
        <w:trPr>
          <w:trHeight w:val="300"/>
        </w:trPr>
        <w:tc>
          <w:tcPr>
            <w:tcW w:w="1175" w:type="pct"/>
            <w:shd w:val="clear" w:color="auto" w:fill="auto"/>
            <w:noWrap/>
            <w:vAlign w:val="center"/>
            <w:hideMark/>
          </w:tcPr>
          <w:p w:rsidR="001D4742" w:rsidRPr="00F40118" w:rsidRDefault="001D4742"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∆TG, mmol/</w:t>
            </w:r>
            <w:r w:rsidR="009A27D6" w:rsidRPr="00F40118">
              <w:rPr>
                <w:rFonts w:ascii="Book Antiqua" w:hAnsi="Book Antiqua" w:cs="Times New Roman"/>
                <w:szCs w:val="24"/>
              </w:rPr>
              <w:t>L</w:t>
            </w:r>
          </w:p>
        </w:tc>
        <w:tc>
          <w:tcPr>
            <w:tcW w:w="1620" w:type="pct"/>
            <w:vAlign w:val="center"/>
          </w:tcPr>
          <w:p w:rsidR="001D4742" w:rsidRPr="00F40118" w:rsidRDefault="001D4742"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 xml:space="preserve">-1.04 </w:t>
            </w:r>
            <w:r w:rsidR="009A27D6" w:rsidRPr="00F40118">
              <w:rPr>
                <w:rFonts w:ascii="Book Antiqua" w:hAnsi="Book Antiqua" w:cs="Times New Roman"/>
                <w:szCs w:val="24"/>
              </w:rPr>
              <w:t>(</w:t>
            </w:r>
            <w:r w:rsidRPr="00F40118">
              <w:rPr>
                <w:rFonts w:ascii="Book Antiqua" w:hAnsi="Book Antiqua" w:cs="Times New Roman"/>
                <w:szCs w:val="24"/>
              </w:rPr>
              <w:t>-1.80; -0.23</w:t>
            </w:r>
            <w:r w:rsidR="009A27D6" w:rsidRPr="00F40118">
              <w:rPr>
                <w:rFonts w:ascii="Book Antiqua" w:hAnsi="Book Antiqua" w:cs="Times New Roman"/>
                <w:szCs w:val="24"/>
              </w:rPr>
              <w:t>)</w:t>
            </w:r>
          </w:p>
        </w:tc>
        <w:tc>
          <w:tcPr>
            <w:tcW w:w="1588" w:type="pct"/>
            <w:shd w:val="clear" w:color="auto" w:fill="auto"/>
            <w:noWrap/>
            <w:vAlign w:val="center"/>
            <w:hideMark/>
          </w:tcPr>
          <w:p w:rsidR="001D4742" w:rsidRPr="00F40118" w:rsidRDefault="0048758E"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-0.70 (-1.33; -0.11</w:t>
            </w:r>
            <w:r w:rsidRPr="00F40118">
              <w:rPr>
                <w:rFonts w:ascii="Book Antiqua" w:hAnsi="Book Antiqua" w:cs="Times New Roman"/>
                <w:color w:val="auto"/>
                <w:szCs w:val="24"/>
              </w:rPr>
              <w:t>)</w:t>
            </w:r>
          </w:p>
        </w:tc>
        <w:tc>
          <w:tcPr>
            <w:tcW w:w="617" w:type="pct"/>
            <w:vAlign w:val="center"/>
          </w:tcPr>
          <w:p w:rsidR="001D4742" w:rsidRPr="00F40118" w:rsidRDefault="001D4742"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0.079</w:t>
            </w:r>
          </w:p>
        </w:tc>
      </w:tr>
      <w:tr w:rsidR="001D4742" w:rsidRPr="00F40118" w:rsidTr="0048758E">
        <w:trPr>
          <w:trHeight w:val="300"/>
        </w:trPr>
        <w:tc>
          <w:tcPr>
            <w:tcW w:w="1175" w:type="pct"/>
            <w:shd w:val="clear" w:color="auto" w:fill="auto"/>
            <w:noWrap/>
            <w:vAlign w:val="center"/>
            <w:hideMark/>
          </w:tcPr>
          <w:p w:rsidR="001D4742" w:rsidRPr="00F40118" w:rsidRDefault="001D4742"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∆LDL, mmol/</w:t>
            </w:r>
            <w:r w:rsidR="009A27D6" w:rsidRPr="00F40118">
              <w:rPr>
                <w:rFonts w:ascii="Book Antiqua" w:hAnsi="Book Antiqua" w:cs="Times New Roman"/>
                <w:szCs w:val="24"/>
              </w:rPr>
              <w:t>L</w:t>
            </w:r>
          </w:p>
        </w:tc>
        <w:tc>
          <w:tcPr>
            <w:tcW w:w="1620" w:type="pct"/>
            <w:vAlign w:val="center"/>
          </w:tcPr>
          <w:p w:rsidR="001D4742" w:rsidRPr="00F40118" w:rsidRDefault="001D4742"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 xml:space="preserve">-0.20 </w:t>
            </w:r>
            <w:r w:rsidR="009A27D6" w:rsidRPr="00F40118">
              <w:rPr>
                <w:rFonts w:ascii="Book Antiqua" w:hAnsi="Book Antiqua" w:cs="Times New Roman"/>
                <w:szCs w:val="24"/>
              </w:rPr>
              <w:t>(</w:t>
            </w:r>
            <w:r w:rsidRPr="00F40118">
              <w:rPr>
                <w:rFonts w:ascii="Book Antiqua" w:hAnsi="Book Antiqua" w:cs="Times New Roman"/>
                <w:szCs w:val="24"/>
              </w:rPr>
              <w:t>-0.7;</w:t>
            </w:r>
            <w:r w:rsidR="009A27D6" w:rsidRPr="00F40118">
              <w:rPr>
                <w:rFonts w:ascii="Book Antiqua" w:hAnsi="Book Antiqua" w:cs="Times New Roman"/>
                <w:szCs w:val="24"/>
              </w:rPr>
              <w:t xml:space="preserve"> </w:t>
            </w:r>
            <w:r w:rsidRPr="00F40118">
              <w:rPr>
                <w:rFonts w:ascii="Book Antiqua" w:hAnsi="Book Antiqua" w:cs="Times New Roman"/>
                <w:szCs w:val="24"/>
              </w:rPr>
              <w:t>0.2</w:t>
            </w:r>
            <w:r w:rsidR="009A27D6" w:rsidRPr="00F40118">
              <w:rPr>
                <w:rFonts w:ascii="Book Antiqua" w:hAnsi="Book Antiqua" w:cs="Times New Roman"/>
                <w:szCs w:val="24"/>
              </w:rPr>
              <w:t>)</w:t>
            </w:r>
          </w:p>
        </w:tc>
        <w:tc>
          <w:tcPr>
            <w:tcW w:w="1588" w:type="pct"/>
            <w:shd w:val="clear" w:color="auto" w:fill="auto"/>
            <w:noWrap/>
            <w:vAlign w:val="center"/>
            <w:hideMark/>
          </w:tcPr>
          <w:p w:rsidR="001D4742" w:rsidRPr="00F40118" w:rsidRDefault="0048758E"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-0.14 (-0.58; 0.3</w:t>
            </w:r>
            <w:r w:rsidRPr="00F40118">
              <w:rPr>
                <w:rFonts w:ascii="Book Antiqua" w:hAnsi="Book Antiqua" w:cs="Times New Roman"/>
                <w:color w:val="auto"/>
                <w:szCs w:val="24"/>
              </w:rPr>
              <w:t>)</w:t>
            </w:r>
          </w:p>
        </w:tc>
        <w:tc>
          <w:tcPr>
            <w:tcW w:w="617" w:type="pct"/>
            <w:vAlign w:val="center"/>
          </w:tcPr>
          <w:p w:rsidR="001D4742" w:rsidRPr="00F40118" w:rsidRDefault="001D4742"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0.401</w:t>
            </w:r>
          </w:p>
        </w:tc>
      </w:tr>
      <w:tr w:rsidR="001D4742" w:rsidRPr="00F40118" w:rsidTr="0048758E">
        <w:trPr>
          <w:trHeight w:val="300"/>
        </w:trPr>
        <w:tc>
          <w:tcPr>
            <w:tcW w:w="1175" w:type="pct"/>
            <w:shd w:val="clear" w:color="auto" w:fill="auto"/>
            <w:noWrap/>
            <w:vAlign w:val="center"/>
          </w:tcPr>
          <w:p w:rsidR="001D4742" w:rsidRPr="00F40118" w:rsidRDefault="009A27D6"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FLI</w:t>
            </w:r>
          </w:p>
        </w:tc>
        <w:tc>
          <w:tcPr>
            <w:tcW w:w="1620" w:type="pct"/>
            <w:vAlign w:val="center"/>
          </w:tcPr>
          <w:p w:rsidR="001D4742" w:rsidRPr="00F40118" w:rsidRDefault="001D4742" w:rsidP="00EF6CF8">
            <w:pPr>
              <w:pStyle w:val="a6"/>
              <w:snapToGrid w:val="0"/>
              <w:spacing w:line="360" w:lineRule="auto"/>
              <w:jc w:val="both"/>
              <w:rPr>
                <w:rFonts w:ascii="Book Antiqua" w:hAnsi="Book Antiqua" w:cs="Times New Roman"/>
                <w:szCs w:val="24"/>
              </w:rPr>
            </w:pPr>
          </w:p>
        </w:tc>
        <w:tc>
          <w:tcPr>
            <w:tcW w:w="1588" w:type="pct"/>
            <w:shd w:val="clear" w:color="auto" w:fill="auto"/>
            <w:noWrap/>
            <w:vAlign w:val="center"/>
          </w:tcPr>
          <w:p w:rsidR="001D4742" w:rsidRPr="00F40118" w:rsidRDefault="001D4742" w:rsidP="00EF6CF8">
            <w:pPr>
              <w:pStyle w:val="a6"/>
              <w:snapToGrid w:val="0"/>
              <w:spacing w:line="360" w:lineRule="auto"/>
              <w:jc w:val="both"/>
              <w:rPr>
                <w:rFonts w:ascii="Book Antiqua" w:hAnsi="Book Antiqua" w:cs="Times New Roman"/>
                <w:szCs w:val="24"/>
              </w:rPr>
            </w:pPr>
          </w:p>
        </w:tc>
        <w:tc>
          <w:tcPr>
            <w:tcW w:w="617" w:type="pct"/>
            <w:vAlign w:val="center"/>
          </w:tcPr>
          <w:p w:rsidR="001D4742" w:rsidRPr="00F40118" w:rsidRDefault="001D4742" w:rsidP="00EF6CF8">
            <w:pPr>
              <w:pStyle w:val="a6"/>
              <w:snapToGrid w:val="0"/>
              <w:spacing w:line="360" w:lineRule="auto"/>
              <w:jc w:val="both"/>
              <w:rPr>
                <w:rFonts w:ascii="Book Antiqua" w:hAnsi="Book Antiqua" w:cs="Times New Roman"/>
                <w:szCs w:val="24"/>
              </w:rPr>
            </w:pPr>
          </w:p>
        </w:tc>
      </w:tr>
      <w:tr w:rsidR="001D4742" w:rsidRPr="00F40118" w:rsidTr="0048758E">
        <w:trPr>
          <w:trHeight w:val="300"/>
        </w:trPr>
        <w:tc>
          <w:tcPr>
            <w:tcW w:w="1175" w:type="pct"/>
            <w:shd w:val="clear" w:color="auto" w:fill="auto"/>
            <w:noWrap/>
            <w:vAlign w:val="center"/>
          </w:tcPr>
          <w:p w:rsidR="001D4742" w:rsidRPr="00F40118" w:rsidRDefault="009A27D6" w:rsidP="00EF6CF8">
            <w:pPr>
              <w:pStyle w:val="a6"/>
              <w:snapToGrid w:val="0"/>
              <w:spacing w:line="360" w:lineRule="auto"/>
              <w:ind w:firstLineChars="50" w:firstLine="120"/>
              <w:jc w:val="both"/>
              <w:rPr>
                <w:rFonts w:ascii="Book Antiqua" w:hAnsi="Book Antiqua" w:cs="Times New Roman"/>
                <w:szCs w:val="24"/>
              </w:rPr>
            </w:pPr>
            <w:bookmarkStart w:id="58" w:name="OLE_LINK25"/>
            <w:bookmarkStart w:id="59" w:name="OLE_LINK26"/>
            <w:bookmarkStart w:id="60" w:name="_Hlk45730993"/>
            <w:r w:rsidRPr="00F40118">
              <w:rPr>
                <w:rFonts w:ascii="Book Antiqua" w:hAnsi="Book Antiqua" w:cs="Times New Roman"/>
                <w:szCs w:val="24"/>
              </w:rPr>
              <w:t>Initially</w:t>
            </w:r>
            <w:bookmarkEnd w:id="58"/>
            <w:bookmarkEnd w:id="59"/>
          </w:p>
        </w:tc>
        <w:tc>
          <w:tcPr>
            <w:tcW w:w="1620" w:type="pct"/>
            <w:vAlign w:val="center"/>
          </w:tcPr>
          <w:p w:rsidR="001D4742" w:rsidRPr="00F40118" w:rsidRDefault="001D4742"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88.3</w:t>
            </w:r>
            <w:r w:rsidR="0048758E" w:rsidRPr="00F40118">
              <w:rPr>
                <w:rFonts w:ascii="Book Antiqua" w:hAnsi="Book Antiqua" w:cs="Times New Roman"/>
                <w:szCs w:val="24"/>
              </w:rPr>
              <w:t xml:space="preserve"> </w:t>
            </w:r>
            <w:r w:rsidRPr="00F40118">
              <w:rPr>
                <w:rFonts w:ascii="Book Antiqua" w:hAnsi="Book Antiqua" w:cs="Times New Roman"/>
                <w:szCs w:val="24"/>
              </w:rPr>
              <w:t>±</w:t>
            </w:r>
            <w:r w:rsidR="0048758E" w:rsidRPr="00F40118">
              <w:rPr>
                <w:rFonts w:ascii="Book Antiqua" w:hAnsi="Book Antiqua" w:cs="Times New Roman"/>
                <w:szCs w:val="24"/>
              </w:rPr>
              <w:t xml:space="preserve"> </w:t>
            </w:r>
            <w:r w:rsidRPr="00F40118">
              <w:rPr>
                <w:rFonts w:ascii="Book Antiqua" w:hAnsi="Book Antiqua" w:cs="Times New Roman"/>
                <w:szCs w:val="24"/>
              </w:rPr>
              <w:t>10.2</w:t>
            </w:r>
          </w:p>
        </w:tc>
        <w:tc>
          <w:tcPr>
            <w:tcW w:w="1588" w:type="pct"/>
            <w:shd w:val="clear" w:color="auto" w:fill="auto"/>
            <w:noWrap/>
            <w:vAlign w:val="center"/>
          </w:tcPr>
          <w:p w:rsidR="001D4742" w:rsidRPr="00F40118" w:rsidRDefault="001D4742"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83.5</w:t>
            </w:r>
            <w:r w:rsidR="0048758E" w:rsidRPr="00F40118">
              <w:rPr>
                <w:rFonts w:ascii="Book Antiqua" w:hAnsi="Book Antiqua" w:cs="Times New Roman"/>
                <w:szCs w:val="24"/>
              </w:rPr>
              <w:t xml:space="preserve"> </w:t>
            </w:r>
            <w:r w:rsidRPr="00F40118">
              <w:rPr>
                <w:rFonts w:ascii="Book Antiqua" w:hAnsi="Book Antiqua" w:cs="Times New Roman"/>
                <w:szCs w:val="24"/>
              </w:rPr>
              <w:t>±</w:t>
            </w:r>
            <w:r w:rsidR="0048758E" w:rsidRPr="00F40118">
              <w:rPr>
                <w:rFonts w:ascii="Book Antiqua" w:hAnsi="Book Antiqua" w:cs="Times New Roman"/>
                <w:szCs w:val="24"/>
              </w:rPr>
              <w:t xml:space="preserve"> </w:t>
            </w:r>
            <w:r w:rsidRPr="00F40118">
              <w:rPr>
                <w:rFonts w:ascii="Book Antiqua" w:hAnsi="Book Antiqua" w:cs="Times New Roman"/>
                <w:szCs w:val="24"/>
              </w:rPr>
              <w:t>10.3</w:t>
            </w:r>
          </w:p>
        </w:tc>
        <w:tc>
          <w:tcPr>
            <w:tcW w:w="617" w:type="pct"/>
            <w:vAlign w:val="center"/>
          </w:tcPr>
          <w:p w:rsidR="001D4742" w:rsidRPr="00F40118" w:rsidRDefault="001D4742"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0.002</w:t>
            </w:r>
          </w:p>
        </w:tc>
      </w:tr>
      <w:tr w:rsidR="001D4742" w:rsidRPr="00F40118" w:rsidTr="0048758E">
        <w:trPr>
          <w:trHeight w:val="300"/>
        </w:trPr>
        <w:tc>
          <w:tcPr>
            <w:tcW w:w="1175" w:type="pct"/>
            <w:shd w:val="clear" w:color="auto" w:fill="auto"/>
            <w:noWrap/>
            <w:vAlign w:val="center"/>
          </w:tcPr>
          <w:p w:rsidR="001D4742" w:rsidRPr="00F40118" w:rsidRDefault="009A27D6" w:rsidP="00EF6CF8">
            <w:pPr>
              <w:pStyle w:val="a6"/>
              <w:snapToGrid w:val="0"/>
              <w:spacing w:line="360" w:lineRule="auto"/>
              <w:ind w:firstLineChars="50" w:firstLine="120"/>
              <w:jc w:val="both"/>
              <w:rPr>
                <w:rFonts w:ascii="Book Antiqua" w:hAnsi="Book Antiqua" w:cs="Times New Roman"/>
                <w:szCs w:val="24"/>
              </w:rPr>
            </w:pPr>
            <w:r w:rsidRPr="00F40118">
              <w:rPr>
                <w:rFonts w:ascii="Book Antiqua" w:hAnsi="Book Antiqua" w:cs="Times New Roman"/>
                <w:szCs w:val="24"/>
              </w:rPr>
              <w:t xml:space="preserve">After </w:t>
            </w:r>
            <w:r w:rsidR="001D4742" w:rsidRPr="00F40118">
              <w:rPr>
                <w:rFonts w:ascii="Book Antiqua" w:hAnsi="Book Antiqua" w:cs="Times New Roman"/>
                <w:szCs w:val="24"/>
              </w:rPr>
              <w:t xml:space="preserve">6 mo </w:t>
            </w:r>
          </w:p>
        </w:tc>
        <w:tc>
          <w:tcPr>
            <w:tcW w:w="1620" w:type="pct"/>
            <w:vAlign w:val="center"/>
          </w:tcPr>
          <w:p w:rsidR="001D4742" w:rsidRPr="00F40118" w:rsidRDefault="001D4742"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71.4</w:t>
            </w:r>
            <w:r w:rsidR="0048758E" w:rsidRPr="00F40118">
              <w:rPr>
                <w:rFonts w:ascii="Book Antiqua" w:hAnsi="Book Antiqua" w:cs="Times New Roman"/>
                <w:szCs w:val="24"/>
              </w:rPr>
              <w:t xml:space="preserve"> </w:t>
            </w:r>
            <w:r w:rsidRPr="00F40118">
              <w:rPr>
                <w:rFonts w:ascii="Book Antiqua" w:hAnsi="Book Antiqua" w:cs="Times New Roman"/>
                <w:szCs w:val="24"/>
              </w:rPr>
              <w:t>±</w:t>
            </w:r>
            <w:r w:rsidR="0048758E" w:rsidRPr="00F40118">
              <w:rPr>
                <w:rFonts w:ascii="Book Antiqua" w:hAnsi="Book Antiqua" w:cs="Times New Roman"/>
                <w:szCs w:val="24"/>
              </w:rPr>
              <w:t xml:space="preserve"> </w:t>
            </w:r>
            <w:r w:rsidRPr="00F40118">
              <w:rPr>
                <w:rFonts w:ascii="Book Antiqua" w:hAnsi="Book Antiqua" w:cs="Times New Roman"/>
                <w:szCs w:val="24"/>
              </w:rPr>
              <w:t>19.6</w:t>
            </w:r>
            <w:r w:rsidR="00816E61" w:rsidRPr="00F40118">
              <w:rPr>
                <w:rFonts w:ascii="Book Antiqua" w:hAnsi="Book Antiqua" w:cs="Times New Roman"/>
                <w:szCs w:val="24"/>
                <w:vertAlign w:val="superscript"/>
              </w:rPr>
              <w:t>c</w:t>
            </w:r>
          </w:p>
        </w:tc>
        <w:tc>
          <w:tcPr>
            <w:tcW w:w="1588" w:type="pct"/>
            <w:shd w:val="clear" w:color="auto" w:fill="auto"/>
            <w:noWrap/>
            <w:vAlign w:val="center"/>
          </w:tcPr>
          <w:p w:rsidR="001D4742" w:rsidRPr="00F40118" w:rsidRDefault="001D4742"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72.8</w:t>
            </w:r>
            <w:r w:rsidR="0048758E" w:rsidRPr="00F40118">
              <w:rPr>
                <w:rFonts w:ascii="Book Antiqua" w:hAnsi="Book Antiqua" w:cs="Times New Roman"/>
                <w:szCs w:val="24"/>
              </w:rPr>
              <w:t xml:space="preserve"> </w:t>
            </w:r>
            <w:r w:rsidRPr="00F40118">
              <w:rPr>
                <w:rFonts w:ascii="Book Antiqua" w:hAnsi="Book Antiqua" w:cs="Times New Roman"/>
                <w:szCs w:val="24"/>
              </w:rPr>
              <w:t>±</w:t>
            </w:r>
            <w:r w:rsidR="0048758E" w:rsidRPr="00F40118">
              <w:rPr>
                <w:rFonts w:ascii="Book Antiqua" w:hAnsi="Book Antiqua" w:cs="Times New Roman"/>
                <w:szCs w:val="24"/>
              </w:rPr>
              <w:t xml:space="preserve"> </w:t>
            </w:r>
            <w:r w:rsidRPr="00F40118">
              <w:rPr>
                <w:rFonts w:ascii="Book Antiqua" w:hAnsi="Book Antiqua" w:cs="Times New Roman"/>
                <w:szCs w:val="24"/>
              </w:rPr>
              <w:t>16.7</w:t>
            </w:r>
            <w:r w:rsidR="00816E61" w:rsidRPr="00F40118">
              <w:rPr>
                <w:rFonts w:ascii="Book Antiqua" w:hAnsi="Book Antiqua" w:cs="Times New Roman"/>
                <w:szCs w:val="24"/>
                <w:vertAlign w:val="superscript"/>
              </w:rPr>
              <w:t>c</w:t>
            </w:r>
          </w:p>
        </w:tc>
        <w:tc>
          <w:tcPr>
            <w:tcW w:w="617" w:type="pct"/>
            <w:vAlign w:val="center"/>
          </w:tcPr>
          <w:p w:rsidR="001D4742" w:rsidRPr="00F40118" w:rsidRDefault="001D4742"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0.916</w:t>
            </w:r>
          </w:p>
        </w:tc>
      </w:tr>
      <w:bookmarkEnd w:id="60"/>
      <w:tr w:rsidR="001D4742" w:rsidRPr="00F40118" w:rsidTr="0048758E">
        <w:trPr>
          <w:trHeight w:val="300"/>
        </w:trPr>
        <w:tc>
          <w:tcPr>
            <w:tcW w:w="1175" w:type="pct"/>
            <w:shd w:val="clear" w:color="auto" w:fill="auto"/>
            <w:noWrap/>
            <w:vAlign w:val="center"/>
            <w:hideMark/>
          </w:tcPr>
          <w:p w:rsidR="001D4742" w:rsidRPr="00F40118" w:rsidRDefault="001D4742"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∆FLI</w:t>
            </w:r>
          </w:p>
        </w:tc>
        <w:tc>
          <w:tcPr>
            <w:tcW w:w="1620" w:type="pct"/>
            <w:vAlign w:val="center"/>
          </w:tcPr>
          <w:p w:rsidR="001D4742" w:rsidRPr="00F40118" w:rsidRDefault="0048758E"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-14.6 (</w:t>
            </w:r>
            <w:r w:rsidR="001D4742" w:rsidRPr="00F40118">
              <w:rPr>
                <w:rFonts w:ascii="Book Antiqua" w:hAnsi="Book Antiqua" w:cs="Times New Roman"/>
                <w:szCs w:val="24"/>
              </w:rPr>
              <w:t>-21.8; -6.3</w:t>
            </w:r>
            <w:r w:rsidRPr="00F40118">
              <w:rPr>
                <w:rFonts w:ascii="Book Antiqua" w:hAnsi="Book Antiqua" w:cs="Times New Roman"/>
                <w:szCs w:val="24"/>
              </w:rPr>
              <w:t>)</w:t>
            </w:r>
          </w:p>
        </w:tc>
        <w:tc>
          <w:tcPr>
            <w:tcW w:w="1588" w:type="pct"/>
            <w:shd w:val="clear" w:color="auto" w:fill="auto"/>
            <w:noWrap/>
            <w:vAlign w:val="center"/>
            <w:hideMark/>
          </w:tcPr>
          <w:p w:rsidR="001D4742" w:rsidRPr="00F40118" w:rsidRDefault="001D4742"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-8.4</w:t>
            </w:r>
            <w:r w:rsidR="0048758E" w:rsidRPr="00F40118">
              <w:rPr>
                <w:rFonts w:ascii="Book Antiqua" w:hAnsi="Book Antiqua" w:cs="Times New Roman"/>
                <w:szCs w:val="24"/>
              </w:rPr>
              <w:t>5 (-17.9; -2)</w:t>
            </w:r>
          </w:p>
        </w:tc>
        <w:tc>
          <w:tcPr>
            <w:tcW w:w="617" w:type="pct"/>
            <w:vAlign w:val="center"/>
          </w:tcPr>
          <w:p w:rsidR="001D4742" w:rsidRPr="00F40118" w:rsidRDefault="001D4742" w:rsidP="00EF6CF8">
            <w:pPr>
              <w:pStyle w:val="a6"/>
              <w:snapToGrid w:val="0"/>
              <w:spacing w:line="360" w:lineRule="auto"/>
              <w:jc w:val="both"/>
              <w:rPr>
                <w:rFonts w:ascii="Book Antiqua" w:hAnsi="Book Antiqua" w:cs="Times New Roman"/>
                <w:szCs w:val="24"/>
              </w:rPr>
            </w:pPr>
            <w:r w:rsidRPr="00F40118">
              <w:rPr>
                <w:rFonts w:ascii="Book Antiqua" w:hAnsi="Book Antiqua" w:cs="Times New Roman"/>
                <w:szCs w:val="24"/>
              </w:rPr>
              <w:t>0.003</w:t>
            </w:r>
          </w:p>
        </w:tc>
      </w:tr>
    </w:tbl>
    <w:p w:rsidR="00C81D6C" w:rsidRDefault="000D09BA" w:rsidP="00EF6CF8">
      <w:pPr>
        <w:snapToGrid w:val="0"/>
        <w:spacing w:line="360" w:lineRule="auto"/>
        <w:jc w:val="both"/>
        <w:rPr>
          <w:rFonts w:ascii="Book Antiqua" w:hAnsi="Book Antiqua"/>
        </w:rPr>
        <w:sectPr w:rsidR="00C81D6C" w:rsidSect="005B3E00">
          <w:type w:val="continuous"/>
          <w:pgSz w:w="16838" w:h="11906" w:orient="landscape"/>
          <w:pgMar w:top="1440" w:right="1800" w:bottom="1440" w:left="1800" w:header="708" w:footer="708" w:gutter="0"/>
          <w:cols w:space="708"/>
          <w:docGrid w:linePitch="360"/>
        </w:sectPr>
      </w:pPr>
      <w:bookmarkStart w:id="61" w:name="_Hlk54811490"/>
      <w:r w:rsidRPr="00F40118">
        <w:rPr>
          <w:rFonts w:ascii="Book Antiqua" w:eastAsia="Times New Roman" w:hAnsi="Book Antiqua"/>
          <w:vertAlign w:val="superscript"/>
        </w:rPr>
        <w:t>c</w:t>
      </w:r>
      <w:r w:rsidRPr="00F40118">
        <w:rPr>
          <w:rFonts w:ascii="Book Antiqua" w:eastAsia="Times New Roman" w:hAnsi="Book Antiqua"/>
          <w:i/>
          <w:iCs/>
        </w:rPr>
        <w:t>P</w:t>
      </w:r>
      <w:r w:rsidRPr="00F40118">
        <w:rPr>
          <w:rFonts w:ascii="Book Antiqua" w:eastAsia="Times New Roman" w:hAnsi="Book Antiqua"/>
        </w:rPr>
        <w:t xml:space="preserve"> &lt; 0.001. </w:t>
      </w:r>
      <w:r w:rsidR="001D4742" w:rsidRPr="00F40118">
        <w:rPr>
          <w:rFonts w:ascii="Book Antiqua" w:hAnsi="Book Antiqua"/>
        </w:rPr>
        <w:t>∆ is the difference in indicators after 6 mo</w:t>
      </w:r>
      <w:r w:rsidR="009A27D6" w:rsidRPr="00F40118">
        <w:rPr>
          <w:rFonts w:ascii="Book Antiqua" w:hAnsi="Book Antiqua"/>
        </w:rPr>
        <w:t xml:space="preserve"> </w:t>
      </w:r>
      <w:r w:rsidR="001D4742" w:rsidRPr="00F40118">
        <w:rPr>
          <w:rFonts w:ascii="Book Antiqua" w:hAnsi="Book Antiqua"/>
        </w:rPr>
        <w:t>and at baseline. The minus sign indicates a decrease in the parameter by the end of the study.</w:t>
      </w:r>
      <w:bookmarkEnd w:id="52"/>
      <w:bookmarkEnd w:id="61"/>
    </w:p>
    <w:p w:rsidR="00C81D6C" w:rsidRDefault="00C81D6C" w:rsidP="00C81D6C">
      <w:pPr>
        <w:jc w:val="center"/>
        <w:rPr>
          <w:rFonts w:ascii="Book Antiqua" w:hAnsi="Book Antiqua"/>
          <w:lang w:eastAsia="zh-CN"/>
        </w:rPr>
      </w:pPr>
    </w:p>
    <w:p w:rsidR="00C81D6C" w:rsidRDefault="00C81D6C" w:rsidP="00C81D6C">
      <w:pPr>
        <w:jc w:val="center"/>
        <w:rPr>
          <w:rFonts w:ascii="Book Antiqua" w:hAnsi="Book Antiqua"/>
          <w:lang w:eastAsia="zh-CN"/>
        </w:rPr>
      </w:pPr>
    </w:p>
    <w:p w:rsidR="00C81D6C" w:rsidRDefault="00C81D6C" w:rsidP="00C81D6C">
      <w:pPr>
        <w:jc w:val="center"/>
        <w:rPr>
          <w:rFonts w:ascii="Book Antiqua" w:hAnsi="Book Antiqua"/>
          <w:lang w:eastAsia="zh-CN"/>
        </w:rPr>
      </w:pPr>
    </w:p>
    <w:p w:rsidR="00C81D6C" w:rsidRDefault="00C81D6C" w:rsidP="00C81D6C">
      <w:pPr>
        <w:jc w:val="center"/>
        <w:rPr>
          <w:rFonts w:ascii="Book Antiqua" w:hAnsi="Book Antiqua"/>
          <w:lang w:eastAsia="zh-CN"/>
        </w:rPr>
      </w:pPr>
    </w:p>
    <w:p w:rsidR="00C81D6C" w:rsidRDefault="00C81D6C" w:rsidP="00C81D6C">
      <w:pPr>
        <w:jc w:val="center"/>
        <w:rPr>
          <w:rFonts w:ascii="Book Antiqua" w:hAnsi="Book Antiqua"/>
          <w:lang w:eastAsia="zh-CN"/>
        </w:rPr>
      </w:pPr>
    </w:p>
    <w:p w:rsidR="00C81D6C" w:rsidRDefault="00C81D6C" w:rsidP="00C81D6C">
      <w:pPr>
        <w:jc w:val="center"/>
        <w:rPr>
          <w:rFonts w:ascii="Book Antiqua" w:hAnsi="Book Antiqua"/>
          <w:lang w:eastAsia="zh-CN"/>
        </w:rPr>
      </w:pPr>
      <w:r>
        <w:rPr>
          <w:rFonts w:ascii="Book Antiqua" w:hAnsi="Book Antiqua"/>
          <w:noProof/>
          <w:lang w:eastAsia="zh-CN"/>
        </w:rPr>
        <w:drawing>
          <wp:inline distT="0" distB="0" distL="0" distR="0" wp14:anchorId="47CA96D8" wp14:editId="4209A54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C81D6C" w:rsidRDefault="00C81D6C" w:rsidP="00C81D6C">
      <w:pPr>
        <w:jc w:val="center"/>
        <w:rPr>
          <w:rFonts w:ascii="Book Antiqua" w:hAnsi="Book Antiqua"/>
          <w:lang w:eastAsia="zh-CN"/>
        </w:rPr>
      </w:pPr>
    </w:p>
    <w:p w:rsidR="00C81D6C" w:rsidRPr="00763D22" w:rsidRDefault="00C81D6C" w:rsidP="00C81D6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rsidR="00C81D6C" w:rsidRPr="00763D22" w:rsidRDefault="00C81D6C" w:rsidP="00C81D6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C81D6C" w:rsidRPr="00763D22" w:rsidRDefault="00C81D6C" w:rsidP="00C81D6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C81D6C" w:rsidRPr="00763D22" w:rsidRDefault="00C81D6C" w:rsidP="00C81D6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C81D6C" w:rsidRPr="00763D22" w:rsidRDefault="00C81D6C" w:rsidP="00C81D6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C81D6C" w:rsidRPr="00763D22" w:rsidRDefault="00C81D6C" w:rsidP="00C81D6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rsidR="00C81D6C" w:rsidRDefault="00C81D6C" w:rsidP="00C81D6C">
      <w:pPr>
        <w:jc w:val="center"/>
        <w:rPr>
          <w:rFonts w:ascii="Book Antiqua" w:hAnsi="Book Antiqua"/>
          <w:lang w:eastAsia="zh-CN"/>
        </w:rPr>
      </w:pPr>
    </w:p>
    <w:p w:rsidR="00C81D6C" w:rsidRDefault="00C81D6C" w:rsidP="00C81D6C">
      <w:pPr>
        <w:jc w:val="center"/>
        <w:rPr>
          <w:rFonts w:ascii="Book Antiqua" w:hAnsi="Book Antiqua"/>
          <w:lang w:eastAsia="zh-CN"/>
        </w:rPr>
      </w:pPr>
    </w:p>
    <w:p w:rsidR="00C81D6C" w:rsidRDefault="00C81D6C" w:rsidP="00C81D6C">
      <w:pPr>
        <w:jc w:val="center"/>
        <w:rPr>
          <w:rFonts w:ascii="Book Antiqua" w:hAnsi="Book Antiqua"/>
          <w:lang w:eastAsia="zh-CN"/>
        </w:rPr>
      </w:pPr>
    </w:p>
    <w:p w:rsidR="00C81D6C" w:rsidRDefault="00C81D6C" w:rsidP="00C81D6C">
      <w:pPr>
        <w:jc w:val="center"/>
        <w:rPr>
          <w:rFonts w:ascii="Book Antiqua" w:hAnsi="Book Antiqua"/>
          <w:lang w:eastAsia="zh-CN"/>
        </w:rPr>
      </w:pPr>
      <w:r>
        <w:rPr>
          <w:rFonts w:ascii="Book Antiqua" w:hAnsi="Book Antiqua"/>
          <w:noProof/>
          <w:lang w:eastAsia="zh-CN"/>
        </w:rPr>
        <w:drawing>
          <wp:inline distT="0" distB="0" distL="0" distR="0" wp14:anchorId="071743BB" wp14:editId="228E1EB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C81D6C" w:rsidRDefault="00C81D6C" w:rsidP="00C81D6C">
      <w:pPr>
        <w:jc w:val="center"/>
        <w:rPr>
          <w:rFonts w:ascii="Book Antiqua" w:hAnsi="Book Antiqua"/>
          <w:lang w:eastAsia="zh-CN"/>
        </w:rPr>
      </w:pPr>
    </w:p>
    <w:p w:rsidR="00C81D6C" w:rsidRDefault="00C81D6C" w:rsidP="00C81D6C">
      <w:pPr>
        <w:jc w:val="center"/>
        <w:rPr>
          <w:rFonts w:ascii="Book Antiqua" w:hAnsi="Book Antiqua"/>
          <w:lang w:eastAsia="zh-CN"/>
        </w:rPr>
      </w:pPr>
    </w:p>
    <w:p w:rsidR="00C81D6C" w:rsidRDefault="00C81D6C" w:rsidP="00C81D6C">
      <w:pPr>
        <w:jc w:val="center"/>
        <w:rPr>
          <w:rFonts w:ascii="Book Antiqua" w:hAnsi="Book Antiqua"/>
          <w:lang w:eastAsia="zh-CN"/>
        </w:rPr>
      </w:pPr>
    </w:p>
    <w:p w:rsidR="00C81D6C" w:rsidRDefault="00C81D6C" w:rsidP="00C81D6C">
      <w:pPr>
        <w:jc w:val="center"/>
        <w:rPr>
          <w:rFonts w:ascii="Book Antiqua" w:hAnsi="Book Antiqua"/>
          <w:lang w:eastAsia="zh-CN"/>
        </w:rPr>
      </w:pPr>
    </w:p>
    <w:p w:rsidR="00C81D6C" w:rsidRDefault="00C81D6C" w:rsidP="00C81D6C">
      <w:pPr>
        <w:jc w:val="center"/>
        <w:rPr>
          <w:rFonts w:ascii="Book Antiqua" w:hAnsi="Book Antiqua"/>
          <w:lang w:eastAsia="zh-CN"/>
        </w:rPr>
      </w:pPr>
    </w:p>
    <w:p w:rsidR="00C81D6C" w:rsidRDefault="00C81D6C" w:rsidP="00C81D6C">
      <w:pPr>
        <w:jc w:val="center"/>
        <w:rPr>
          <w:rFonts w:ascii="Book Antiqua" w:hAnsi="Book Antiqua"/>
          <w:lang w:eastAsia="zh-CN"/>
        </w:rPr>
      </w:pPr>
    </w:p>
    <w:p w:rsidR="00C81D6C" w:rsidRDefault="00C81D6C" w:rsidP="00C81D6C">
      <w:pPr>
        <w:jc w:val="center"/>
        <w:rPr>
          <w:rFonts w:ascii="Book Antiqua" w:hAnsi="Book Antiqua"/>
          <w:lang w:eastAsia="zh-CN"/>
        </w:rPr>
      </w:pPr>
    </w:p>
    <w:p w:rsidR="00C81D6C" w:rsidRDefault="00C81D6C" w:rsidP="00C81D6C">
      <w:pPr>
        <w:jc w:val="center"/>
        <w:rPr>
          <w:rFonts w:ascii="Book Antiqua" w:hAnsi="Book Antiqua"/>
          <w:lang w:eastAsia="zh-CN"/>
        </w:rPr>
      </w:pPr>
    </w:p>
    <w:p w:rsidR="00C81D6C" w:rsidRDefault="00C81D6C" w:rsidP="00C81D6C">
      <w:pPr>
        <w:jc w:val="center"/>
        <w:rPr>
          <w:rFonts w:ascii="Book Antiqua" w:hAnsi="Book Antiqua"/>
          <w:lang w:eastAsia="zh-CN"/>
        </w:rPr>
      </w:pPr>
    </w:p>
    <w:p w:rsidR="00C81D6C" w:rsidRPr="00763D22" w:rsidRDefault="00C81D6C" w:rsidP="00C81D6C">
      <w:pPr>
        <w:jc w:val="right"/>
        <w:rPr>
          <w:rFonts w:ascii="Book Antiqua" w:hAnsi="Book Antiqua"/>
          <w:color w:val="000000" w:themeColor="text1"/>
          <w:lang w:eastAsia="zh-CN"/>
        </w:rPr>
      </w:pPr>
    </w:p>
    <w:p w:rsidR="00C81D6C" w:rsidRPr="00763D22" w:rsidRDefault="00C81D6C" w:rsidP="00C81D6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rsidR="006A4BCD" w:rsidRPr="00F40118" w:rsidRDefault="006A4BCD" w:rsidP="00EF6CF8">
      <w:pPr>
        <w:snapToGrid w:val="0"/>
        <w:spacing w:line="360" w:lineRule="auto"/>
        <w:jc w:val="both"/>
        <w:rPr>
          <w:rFonts w:ascii="Book Antiqua" w:hAnsi="Book Antiqua"/>
        </w:rPr>
      </w:pPr>
      <w:bookmarkStart w:id="62" w:name="_GoBack"/>
      <w:bookmarkEnd w:id="62"/>
    </w:p>
    <w:sectPr w:rsidR="006A4BCD" w:rsidRPr="00F40118"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B5C" w:rsidRDefault="003C6B5C" w:rsidP="006146C9">
      <w:r>
        <w:separator/>
      </w:r>
    </w:p>
  </w:endnote>
  <w:endnote w:type="continuationSeparator" w:id="0">
    <w:p w:rsidR="003C6B5C" w:rsidRDefault="003C6B5C" w:rsidP="0061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22" w:rsidRDefault="003D2C22">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C6B5C">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C6B5C">
      <w:rPr>
        <w:b/>
        <w:bCs/>
        <w:noProof/>
      </w:rPr>
      <w:t>1</w:t>
    </w:r>
    <w:r>
      <w:rPr>
        <w:b/>
        <w:bCs/>
        <w:sz w:val="24"/>
        <w:szCs w:val="24"/>
      </w:rPr>
      <w:fldChar w:fldCharType="end"/>
    </w:r>
  </w:p>
  <w:p w:rsidR="003D2C22" w:rsidRDefault="003D2C22" w:rsidP="00F63C19">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B5C" w:rsidRDefault="003C6B5C" w:rsidP="006146C9">
      <w:r>
        <w:separator/>
      </w:r>
    </w:p>
  </w:footnote>
  <w:footnote w:type="continuationSeparator" w:id="0">
    <w:p w:rsidR="003C6B5C" w:rsidRDefault="003C6B5C" w:rsidP="006146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10C"/>
    <w:rsid w:val="00006BDF"/>
    <w:rsid w:val="000111D9"/>
    <w:rsid w:val="000253CD"/>
    <w:rsid w:val="000330AC"/>
    <w:rsid w:val="000357D8"/>
    <w:rsid w:val="00046E2A"/>
    <w:rsid w:val="00055C4D"/>
    <w:rsid w:val="000641FF"/>
    <w:rsid w:val="00066782"/>
    <w:rsid w:val="00092BFF"/>
    <w:rsid w:val="00095A83"/>
    <w:rsid w:val="000B69EA"/>
    <w:rsid w:val="000D09BA"/>
    <w:rsid w:val="00105D3F"/>
    <w:rsid w:val="00134FF3"/>
    <w:rsid w:val="00140718"/>
    <w:rsid w:val="00166FBF"/>
    <w:rsid w:val="00171BCD"/>
    <w:rsid w:val="001A7EA4"/>
    <w:rsid w:val="001C1451"/>
    <w:rsid w:val="001D4742"/>
    <w:rsid w:val="001F14CF"/>
    <w:rsid w:val="00225FB8"/>
    <w:rsid w:val="00261AA1"/>
    <w:rsid w:val="002739D7"/>
    <w:rsid w:val="0027573C"/>
    <w:rsid w:val="0028117E"/>
    <w:rsid w:val="00283293"/>
    <w:rsid w:val="002913FE"/>
    <w:rsid w:val="002A15A4"/>
    <w:rsid w:val="002A421B"/>
    <w:rsid w:val="002B46FA"/>
    <w:rsid w:val="002C0C28"/>
    <w:rsid w:val="002C6ED9"/>
    <w:rsid w:val="002D305F"/>
    <w:rsid w:val="002D3157"/>
    <w:rsid w:val="003034AB"/>
    <w:rsid w:val="00311838"/>
    <w:rsid w:val="00312C84"/>
    <w:rsid w:val="0033261B"/>
    <w:rsid w:val="00333C23"/>
    <w:rsid w:val="00381783"/>
    <w:rsid w:val="00381C34"/>
    <w:rsid w:val="00393D7E"/>
    <w:rsid w:val="00397CA1"/>
    <w:rsid w:val="003B4468"/>
    <w:rsid w:val="003B5D64"/>
    <w:rsid w:val="003C02FF"/>
    <w:rsid w:val="003C6B5C"/>
    <w:rsid w:val="003D2C22"/>
    <w:rsid w:val="003E2BBA"/>
    <w:rsid w:val="004324B1"/>
    <w:rsid w:val="00461F7F"/>
    <w:rsid w:val="004628EA"/>
    <w:rsid w:val="00464B7F"/>
    <w:rsid w:val="00467D81"/>
    <w:rsid w:val="0048758E"/>
    <w:rsid w:val="00494572"/>
    <w:rsid w:val="004958CC"/>
    <w:rsid w:val="004C3555"/>
    <w:rsid w:val="004D16B4"/>
    <w:rsid w:val="004D4A86"/>
    <w:rsid w:val="004D74AE"/>
    <w:rsid w:val="004F1652"/>
    <w:rsid w:val="004F572C"/>
    <w:rsid w:val="00506087"/>
    <w:rsid w:val="00513F3B"/>
    <w:rsid w:val="00524D05"/>
    <w:rsid w:val="00530029"/>
    <w:rsid w:val="005324BB"/>
    <w:rsid w:val="00534B7E"/>
    <w:rsid w:val="00536774"/>
    <w:rsid w:val="0056151A"/>
    <w:rsid w:val="0058601F"/>
    <w:rsid w:val="0059660D"/>
    <w:rsid w:val="005A4E8F"/>
    <w:rsid w:val="005B36DE"/>
    <w:rsid w:val="005B3E00"/>
    <w:rsid w:val="005B56FC"/>
    <w:rsid w:val="00602EB3"/>
    <w:rsid w:val="006146C9"/>
    <w:rsid w:val="006155CD"/>
    <w:rsid w:val="0062596C"/>
    <w:rsid w:val="006261FE"/>
    <w:rsid w:val="00627FCE"/>
    <w:rsid w:val="00632670"/>
    <w:rsid w:val="00670B44"/>
    <w:rsid w:val="006720BF"/>
    <w:rsid w:val="006A4BCD"/>
    <w:rsid w:val="006B2EE3"/>
    <w:rsid w:val="006B343E"/>
    <w:rsid w:val="006C14AF"/>
    <w:rsid w:val="006E65BB"/>
    <w:rsid w:val="00711EF1"/>
    <w:rsid w:val="0071495B"/>
    <w:rsid w:val="00714B56"/>
    <w:rsid w:val="00731EC7"/>
    <w:rsid w:val="00742A1C"/>
    <w:rsid w:val="00750582"/>
    <w:rsid w:val="007621F5"/>
    <w:rsid w:val="00773AE6"/>
    <w:rsid w:val="00773D5C"/>
    <w:rsid w:val="0078775C"/>
    <w:rsid w:val="007A154D"/>
    <w:rsid w:val="007A29C4"/>
    <w:rsid w:val="007B43F0"/>
    <w:rsid w:val="007E5991"/>
    <w:rsid w:val="007E59D1"/>
    <w:rsid w:val="007E7D8E"/>
    <w:rsid w:val="00802847"/>
    <w:rsid w:val="00816E61"/>
    <w:rsid w:val="0083729B"/>
    <w:rsid w:val="0084049C"/>
    <w:rsid w:val="00867994"/>
    <w:rsid w:val="00872BED"/>
    <w:rsid w:val="00882CC1"/>
    <w:rsid w:val="00884041"/>
    <w:rsid w:val="008967FA"/>
    <w:rsid w:val="008A619F"/>
    <w:rsid w:val="00927FDC"/>
    <w:rsid w:val="0093086B"/>
    <w:rsid w:val="00977DC3"/>
    <w:rsid w:val="00982B31"/>
    <w:rsid w:val="009A27D6"/>
    <w:rsid w:val="009C4840"/>
    <w:rsid w:val="009E3842"/>
    <w:rsid w:val="009E529C"/>
    <w:rsid w:val="009F69C6"/>
    <w:rsid w:val="00A00CB2"/>
    <w:rsid w:val="00A07459"/>
    <w:rsid w:val="00A17F0E"/>
    <w:rsid w:val="00A32299"/>
    <w:rsid w:val="00A323A6"/>
    <w:rsid w:val="00A4514D"/>
    <w:rsid w:val="00A56784"/>
    <w:rsid w:val="00A70391"/>
    <w:rsid w:val="00A762C7"/>
    <w:rsid w:val="00A76C4F"/>
    <w:rsid w:val="00A77B3E"/>
    <w:rsid w:val="00A95CCC"/>
    <w:rsid w:val="00A96E85"/>
    <w:rsid w:val="00AB677F"/>
    <w:rsid w:val="00AD23F6"/>
    <w:rsid w:val="00AD6260"/>
    <w:rsid w:val="00AF37FE"/>
    <w:rsid w:val="00B019CD"/>
    <w:rsid w:val="00B10B55"/>
    <w:rsid w:val="00B1174E"/>
    <w:rsid w:val="00B15E1B"/>
    <w:rsid w:val="00B175BB"/>
    <w:rsid w:val="00B27729"/>
    <w:rsid w:val="00B27DEB"/>
    <w:rsid w:val="00B43122"/>
    <w:rsid w:val="00B45B33"/>
    <w:rsid w:val="00B74B0B"/>
    <w:rsid w:val="00B90AC3"/>
    <w:rsid w:val="00B9165C"/>
    <w:rsid w:val="00BB13D4"/>
    <w:rsid w:val="00BC7612"/>
    <w:rsid w:val="00BE4144"/>
    <w:rsid w:val="00C01C97"/>
    <w:rsid w:val="00C077A2"/>
    <w:rsid w:val="00C25113"/>
    <w:rsid w:val="00C5228A"/>
    <w:rsid w:val="00C81D6C"/>
    <w:rsid w:val="00CA02E1"/>
    <w:rsid w:val="00CA2A55"/>
    <w:rsid w:val="00D04765"/>
    <w:rsid w:val="00D24EA9"/>
    <w:rsid w:val="00D35667"/>
    <w:rsid w:val="00D372AD"/>
    <w:rsid w:val="00D4221C"/>
    <w:rsid w:val="00D47D50"/>
    <w:rsid w:val="00D64640"/>
    <w:rsid w:val="00D67429"/>
    <w:rsid w:val="00D72287"/>
    <w:rsid w:val="00D72692"/>
    <w:rsid w:val="00D735F9"/>
    <w:rsid w:val="00D8119D"/>
    <w:rsid w:val="00D91363"/>
    <w:rsid w:val="00D92794"/>
    <w:rsid w:val="00DA671C"/>
    <w:rsid w:val="00DA7F9F"/>
    <w:rsid w:val="00DB3B41"/>
    <w:rsid w:val="00DB3BAA"/>
    <w:rsid w:val="00DB4295"/>
    <w:rsid w:val="00DC07DC"/>
    <w:rsid w:val="00DD745E"/>
    <w:rsid w:val="00DE1135"/>
    <w:rsid w:val="00DE18E0"/>
    <w:rsid w:val="00DE6ECA"/>
    <w:rsid w:val="00E13EB4"/>
    <w:rsid w:val="00E145EC"/>
    <w:rsid w:val="00E15A8B"/>
    <w:rsid w:val="00E34C17"/>
    <w:rsid w:val="00E35DA7"/>
    <w:rsid w:val="00E47022"/>
    <w:rsid w:val="00E47A13"/>
    <w:rsid w:val="00E5114D"/>
    <w:rsid w:val="00E6194B"/>
    <w:rsid w:val="00E773A0"/>
    <w:rsid w:val="00EA6A8F"/>
    <w:rsid w:val="00EE1E76"/>
    <w:rsid w:val="00EF0664"/>
    <w:rsid w:val="00EF6CF8"/>
    <w:rsid w:val="00EF7136"/>
    <w:rsid w:val="00EF7CFE"/>
    <w:rsid w:val="00F02D0C"/>
    <w:rsid w:val="00F041E5"/>
    <w:rsid w:val="00F14E27"/>
    <w:rsid w:val="00F22587"/>
    <w:rsid w:val="00F3425E"/>
    <w:rsid w:val="00F40118"/>
    <w:rsid w:val="00F475DD"/>
    <w:rsid w:val="00F53771"/>
    <w:rsid w:val="00F63C19"/>
    <w:rsid w:val="00F7101F"/>
    <w:rsid w:val="00F82A97"/>
    <w:rsid w:val="00F97A4C"/>
    <w:rsid w:val="00FA1DC7"/>
    <w:rsid w:val="00FA721F"/>
    <w:rsid w:val="00FC7870"/>
    <w:rsid w:val="00FD56B1"/>
    <w:rsid w:val="00FE57CC"/>
    <w:rsid w:val="00FF3FA9"/>
    <w:rsid w:val="00FF627F"/>
    <w:rsid w:val="00FF7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6">
    <w:name w:val="font16"/>
    <w:basedOn w:val="a0"/>
    <w:qFormat/>
  </w:style>
  <w:style w:type="character" w:customStyle="1" w:styleId="MsoHyperlink0">
    <w:name w:val="MsoHyperlink"/>
    <w:basedOn w:val="a0"/>
  </w:style>
  <w:style w:type="character" w:customStyle="1" w:styleId="-">
    <w:name w:val="-"/>
    <w:basedOn w:val="a0"/>
  </w:style>
  <w:style w:type="character" w:customStyle="1" w:styleId="highlight">
    <w:name w:val="highlight"/>
    <w:basedOn w:val="a0"/>
  </w:style>
  <w:style w:type="paragraph" w:styleId="a3">
    <w:name w:val="header"/>
    <w:basedOn w:val="a"/>
    <w:link w:val="Char"/>
    <w:unhideWhenUsed/>
    <w:rsid w:val="006146C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6146C9"/>
    <w:rPr>
      <w:sz w:val="18"/>
      <w:szCs w:val="18"/>
    </w:rPr>
  </w:style>
  <w:style w:type="paragraph" w:styleId="a4">
    <w:name w:val="footer"/>
    <w:basedOn w:val="a"/>
    <w:link w:val="Char0"/>
    <w:uiPriority w:val="99"/>
    <w:unhideWhenUsed/>
    <w:rsid w:val="006146C9"/>
    <w:pPr>
      <w:tabs>
        <w:tab w:val="center" w:pos="4153"/>
        <w:tab w:val="right" w:pos="8306"/>
      </w:tabs>
      <w:snapToGrid w:val="0"/>
    </w:pPr>
    <w:rPr>
      <w:sz w:val="18"/>
      <w:szCs w:val="18"/>
    </w:rPr>
  </w:style>
  <w:style w:type="character" w:customStyle="1" w:styleId="Char0">
    <w:name w:val="页脚 Char"/>
    <w:link w:val="a4"/>
    <w:uiPriority w:val="99"/>
    <w:rsid w:val="006146C9"/>
    <w:rPr>
      <w:sz w:val="18"/>
      <w:szCs w:val="18"/>
    </w:rPr>
  </w:style>
  <w:style w:type="character" w:styleId="a5">
    <w:name w:val="Hyperlink"/>
    <w:unhideWhenUsed/>
    <w:rsid w:val="00DC07DC"/>
    <w:rPr>
      <w:color w:val="0000FF"/>
      <w:u w:val="single"/>
    </w:rPr>
  </w:style>
  <w:style w:type="character" w:customStyle="1" w:styleId="1">
    <w:name w:val="Неразрешенное упоминание1"/>
    <w:uiPriority w:val="99"/>
    <w:semiHidden/>
    <w:unhideWhenUsed/>
    <w:rsid w:val="00DC07DC"/>
    <w:rPr>
      <w:color w:val="605E5C"/>
      <w:shd w:val="clear" w:color="auto" w:fill="E1DFDD"/>
    </w:rPr>
  </w:style>
  <w:style w:type="character" w:customStyle="1" w:styleId="dxebaseoffice2010blue">
    <w:name w:val="dxebase_office2010blue"/>
    <w:basedOn w:val="a0"/>
    <w:rsid w:val="006B343E"/>
  </w:style>
  <w:style w:type="character" w:customStyle="1" w:styleId="apple-converted-space">
    <w:name w:val="apple-converted-space"/>
    <w:basedOn w:val="a0"/>
    <w:rsid w:val="0056151A"/>
  </w:style>
  <w:style w:type="paragraph" w:styleId="a6">
    <w:name w:val="No Spacing"/>
    <w:qFormat/>
    <w:rsid w:val="008967FA"/>
    <w:rPr>
      <w:rFonts w:ascii="Calibri" w:eastAsia="Calibri" w:hAnsi="Calibri" w:cs="Tahoma"/>
      <w:color w:val="00000A"/>
      <w:sz w:val="24"/>
      <w:szCs w:val="22"/>
      <w:lang w:eastAsia="en-US"/>
    </w:rPr>
  </w:style>
  <w:style w:type="table" w:styleId="a7">
    <w:name w:val="Table Grid"/>
    <w:basedOn w:val="a1"/>
    <w:uiPriority w:val="39"/>
    <w:rsid w:val="008967FA"/>
    <w:rPr>
      <w:rFonts w:ascii="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unhideWhenUsed/>
    <w:rsid w:val="00FE57CC"/>
    <w:rPr>
      <w:sz w:val="21"/>
      <w:szCs w:val="21"/>
    </w:rPr>
  </w:style>
  <w:style w:type="paragraph" w:styleId="a9">
    <w:name w:val="annotation text"/>
    <w:basedOn w:val="a"/>
    <w:link w:val="Char1"/>
    <w:unhideWhenUsed/>
    <w:rsid w:val="00FE57CC"/>
  </w:style>
  <w:style w:type="character" w:customStyle="1" w:styleId="Char1">
    <w:name w:val="批注文字 Char"/>
    <w:link w:val="a9"/>
    <w:rsid w:val="00FE57CC"/>
    <w:rPr>
      <w:sz w:val="24"/>
      <w:szCs w:val="24"/>
    </w:rPr>
  </w:style>
  <w:style w:type="paragraph" w:styleId="aa">
    <w:name w:val="annotation subject"/>
    <w:basedOn w:val="a9"/>
    <w:next w:val="a9"/>
    <w:link w:val="Char2"/>
    <w:semiHidden/>
    <w:unhideWhenUsed/>
    <w:rsid w:val="00FE57CC"/>
    <w:rPr>
      <w:b/>
      <w:bCs/>
    </w:rPr>
  </w:style>
  <w:style w:type="character" w:customStyle="1" w:styleId="Char2">
    <w:name w:val="批注主题 Char"/>
    <w:link w:val="aa"/>
    <w:semiHidden/>
    <w:rsid w:val="00FE57CC"/>
    <w:rPr>
      <w:b/>
      <w:bCs/>
      <w:sz w:val="24"/>
      <w:szCs w:val="24"/>
    </w:rPr>
  </w:style>
  <w:style w:type="paragraph" w:styleId="ab">
    <w:name w:val="Balloon Text"/>
    <w:basedOn w:val="a"/>
    <w:link w:val="Char3"/>
    <w:semiHidden/>
    <w:unhideWhenUsed/>
    <w:rsid w:val="00FE57CC"/>
    <w:rPr>
      <w:sz w:val="18"/>
      <w:szCs w:val="18"/>
    </w:rPr>
  </w:style>
  <w:style w:type="character" w:customStyle="1" w:styleId="Char3">
    <w:name w:val="批注框文本 Char"/>
    <w:link w:val="ab"/>
    <w:semiHidden/>
    <w:rsid w:val="00FE57CC"/>
    <w:rPr>
      <w:sz w:val="18"/>
      <w:szCs w:val="18"/>
    </w:rPr>
  </w:style>
  <w:style w:type="paragraph" w:styleId="HTML">
    <w:name w:val="HTML Preformatted"/>
    <w:basedOn w:val="a"/>
    <w:link w:val="HTMLChar"/>
    <w:uiPriority w:val="99"/>
    <w:unhideWhenUsed/>
    <w:rsid w:val="00EA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Char">
    <w:name w:val="HTML 预设格式 Char"/>
    <w:link w:val="HTML"/>
    <w:uiPriority w:val="99"/>
    <w:rsid w:val="00EA6A8F"/>
    <w:rPr>
      <w:rFonts w:ascii="Courier New" w:eastAsia="Times New Roman" w:hAnsi="Courier New" w:cs="Courier New"/>
    </w:rPr>
  </w:style>
  <w:style w:type="paragraph" w:styleId="ac">
    <w:name w:val="Revision"/>
    <w:hidden/>
    <w:uiPriority w:val="99"/>
    <w:semiHidden/>
    <w:rsid w:val="00095A8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6">
    <w:name w:val="font16"/>
    <w:basedOn w:val="a0"/>
    <w:qFormat/>
  </w:style>
  <w:style w:type="character" w:customStyle="1" w:styleId="MsoHyperlink0">
    <w:name w:val="MsoHyperlink"/>
    <w:basedOn w:val="a0"/>
  </w:style>
  <w:style w:type="character" w:customStyle="1" w:styleId="-">
    <w:name w:val="-"/>
    <w:basedOn w:val="a0"/>
  </w:style>
  <w:style w:type="character" w:customStyle="1" w:styleId="highlight">
    <w:name w:val="highlight"/>
    <w:basedOn w:val="a0"/>
  </w:style>
  <w:style w:type="paragraph" w:styleId="a3">
    <w:name w:val="header"/>
    <w:basedOn w:val="a"/>
    <w:link w:val="Char"/>
    <w:unhideWhenUsed/>
    <w:rsid w:val="006146C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6146C9"/>
    <w:rPr>
      <w:sz w:val="18"/>
      <w:szCs w:val="18"/>
    </w:rPr>
  </w:style>
  <w:style w:type="paragraph" w:styleId="a4">
    <w:name w:val="footer"/>
    <w:basedOn w:val="a"/>
    <w:link w:val="Char0"/>
    <w:uiPriority w:val="99"/>
    <w:unhideWhenUsed/>
    <w:rsid w:val="006146C9"/>
    <w:pPr>
      <w:tabs>
        <w:tab w:val="center" w:pos="4153"/>
        <w:tab w:val="right" w:pos="8306"/>
      </w:tabs>
      <w:snapToGrid w:val="0"/>
    </w:pPr>
    <w:rPr>
      <w:sz w:val="18"/>
      <w:szCs w:val="18"/>
    </w:rPr>
  </w:style>
  <w:style w:type="character" w:customStyle="1" w:styleId="Char0">
    <w:name w:val="页脚 Char"/>
    <w:link w:val="a4"/>
    <w:uiPriority w:val="99"/>
    <w:rsid w:val="006146C9"/>
    <w:rPr>
      <w:sz w:val="18"/>
      <w:szCs w:val="18"/>
    </w:rPr>
  </w:style>
  <w:style w:type="character" w:styleId="a5">
    <w:name w:val="Hyperlink"/>
    <w:unhideWhenUsed/>
    <w:rsid w:val="00DC07DC"/>
    <w:rPr>
      <w:color w:val="0000FF"/>
      <w:u w:val="single"/>
    </w:rPr>
  </w:style>
  <w:style w:type="character" w:customStyle="1" w:styleId="1">
    <w:name w:val="Неразрешенное упоминание1"/>
    <w:uiPriority w:val="99"/>
    <w:semiHidden/>
    <w:unhideWhenUsed/>
    <w:rsid w:val="00DC07DC"/>
    <w:rPr>
      <w:color w:val="605E5C"/>
      <w:shd w:val="clear" w:color="auto" w:fill="E1DFDD"/>
    </w:rPr>
  </w:style>
  <w:style w:type="character" w:customStyle="1" w:styleId="dxebaseoffice2010blue">
    <w:name w:val="dxebase_office2010blue"/>
    <w:basedOn w:val="a0"/>
    <w:rsid w:val="006B343E"/>
  </w:style>
  <w:style w:type="character" w:customStyle="1" w:styleId="apple-converted-space">
    <w:name w:val="apple-converted-space"/>
    <w:basedOn w:val="a0"/>
    <w:rsid w:val="0056151A"/>
  </w:style>
  <w:style w:type="paragraph" w:styleId="a6">
    <w:name w:val="No Spacing"/>
    <w:qFormat/>
    <w:rsid w:val="008967FA"/>
    <w:rPr>
      <w:rFonts w:ascii="Calibri" w:eastAsia="Calibri" w:hAnsi="Calibri" w:cs="Tahoma"/>
      <w:color w:val="00000A"/>
      <w:sz w:val="24"/>
      <w:szCs w:val="22"/>
      <w:lang w:eastAsia="en-US"/>
    </w:rPr>
  </w:style>
  <w:style w:type="table" w:styleId="a7">
    <w:name w:val="Table Grid"/>
    <w:basedOn w:val="a1"/>
    <w:uiPriority w:val="39"/>
    <w:rsid w:val="008967FA"/>
    <w:rPr>
      <w:rFonts w:ascii="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unhideWhenUsed/>
    <w:rsid w:val="00FE57CC"/>
    <w:rPr>
      <w:sz w:val="21"/>
      <w:szCs w:val="21"/>
    </w:rPr>
  </w:style>
  <w:style w:type="paragraph" w:styleId="a9">
    <w:name w:val="annotation text"/>
    <w:basedOn w:val="a"/>
    <w:link w:val="Char1"/>
    <w:unhideWhenUsed/>
    <w:rsid w:val="00FE57CC"/>
  </w:style>
  <w:style w:type="character" w:customStyle="1" w:styleId="Char1">
    <w:name w:val="批注文字 Char"/>
    <w:link w:val="a9"/>
    <w:rsid w:val="00FE57CC"/>
    <w:rPr>
      <w:sz w:val="24"/>
      <w:szCs w:val="24"/>
    </w:rPr>
  </w:style>
  <w:style w:type="paragraph" w:styleId="aa">
    <w:name w:val="annotation subject"/>
    <w:basedOn w:val="a9"/>
    <w:next w:val="a9"/>
    <w:link w:val="Char2"/>
    <w:semiHidden/>
    <w:unhideWhenUsed/>
    <w:rsid w:val="00FE57CC"/>
    <w:rPr>
      <w:b/>
      <w:bCs/>
    </w:rPr>
  </w:style>
  <w:style w:type="character" w:customStyle="1" w:styleId="Char2">
    <w:name w:val="批注主题 Char"/>
    <w:link w:val="aa"/>
    <w:semiHidden/>
    <w:rsid w:val="00FE57CC"/>
    <w:rPr>
      <w:b/>
      <w:bCs/>
      <w:sz w:val="24"/>
      <w:szCs w:val="24"/>
    </w:rPr>
  </w:style>
  <w:style w:type="paragraph" w:styleId="ab">
    <w:name w:val="Balloon Text"/>
    <w:basedOn w:val="a"/>
    <w:link w:val="Char3"/>
    <w:semiHidden/>
    <w:unhideWhenUsed/>
    <w:rsid w:val="00FE57CC"/>
    <w:rPr>
      <w:sz w:val="18"/>
      <w:szCs w:val="18"/>
    </w:rPr>
  </w:style>
  <w:style w:type="character" w:customStyle="1" w:styleId="Char3">
    <w:name w:val="批注框文本 Char"/>
    <w:link w:val="ab"/>
    <w:semiHidden/>
    <w:rsid w:val="00FE57CC"/>
    <w:rPr>
      <w:sz w:val="18"/>
      <w:szCs w:val="18"/>
    </w:rPr>
  </w:style>
  <w:style w:type="paragraph" w:styleId="HTML">
    <w:name w:val="HTML Preformatted"/>
    <w:basedOn w:val="a"/>
    <w:link w:val="HTMLChar"/>
    <w:uiPriority w:val="99"/>
    <w:unhideWhenUsed/>
    <w:rsid w:val="00EA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Char">
    <w:name w:val="HTML 预设格式 Char"/>
    <w:link w:val="HTML"/>
    <w:uiPriority w:val="99"/>
    <w:rsid w:val="00EA6A8F"/>
    <w:rPr>
      <w:rFonts w:ascii="Courier New" w:eastAsia="Times New Roman" w:hAnsi="Courier New" w:cs="Courier New"/>
    </w:rPr>
  </w:style>
  <w:style w:type="paragraph" w:styleId="ac">
    <w:name w:val="Revision"/>
    <w:hidden/>
    <w:uiPriority w:val="99"/>
    <w:semiHidden/>
    <w:rsid w:val="00095A8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70651">
      <w:bodyDiv w:val="1"/>
      <w:marLeft w:val="0"/>
      <w:marRight w:val="0"/>
      <w:marTop w:val="0"/>
      <w:marBottom w:val="0"/>
      <w:divBdr>
        <w:top w:val="none" w:sz="0" w:space="0" w:color="auto"/>
        <w:left w:val="none" w:sz="0" w:space="0" w:color="auto"/>
        <w:bottom w:val="none" w:sz="0" w:space="0" w:color="auto"/>
        <w:right w:val="none" w:sz="0" w:space="0" w:color="auto"/>
      </w:divBdr>
    </w:div>
    <w:div w:id="385884515">
      <w:bodyDiv w:val="1"/>
      <w:marLeft w:val="0"/>
      <w:marRight w:val="0"/>
      <w:marTop w:val="0"/>
      <w:marBottom w:val="0"/>
      <w:divBdr>
        <w:top w:val="none" w:sz="0" w:space="0" w:color="auto"/>
        <w:left w:val="none" w:sz="0" w:space="0" w:color="auto"/>
        <w:bottom w:val="none" w:sz="0" w:space="0" w:color="auto"/>
        <w:right w:val="none" w:sz="0" w:space="0" w:color="auto"/>
      </w:divBdr>
    </w:div>
    <w:div w:id="983004991">
      <w:bodyDiv w:val="1"/>
      <w:marLeft w:val="0"/>
      <w:marRight w:val="0"/>
      <w:marTop w:val="0"/>
      <w:marBottom w:val="0"/>
      <w:divBdr>
        <w:top w:val="none" w:sz="0" w:space="0" w:color="auto"/>
        <w:left w:val="none" w:sz="0" w:space="0" w:color="auto"/>
        <w:bottom w:val="none" w:sz="0" w:space="0" w:color="auto"/>
        <w:right w:val="none" w:sz="0" w:space="0" w:color="auto"/>
      </w:divBdr>
    </w:div>
    <w:div w:id="1002858175">
      <w:bodyDiv w:val="1"/>
      <w:marLeft w:val="0"/>
      <w:marRight w:val="0"/>
      <w:marTop w:val="0"/>
      <w:marBottom w:val="0"/>
      <w:divBdr>
        <w:top w:val="none" w:sz="0" w:space="0" w:color="auto"/>
        <w:left w:val="none" w:sz="0" w:space="0" w:color="auto"/>
        <w:bottom w:val="none" w:sz="0" w:space="0" w:color="auto"/>
        <w:right w:val="none" w:sz="0" w:space="0" w:color="auto"/>
      </w:divBdr>
    </w:div>
    <w:div w:id="1236669081">
      <w:bodyDiv w:val="1"/>
      <w:marLeft w:val="0"/>
      <w:marRight w:val="0"/>
      <w:marTop w:val="0"/>
      <w:marBottom w:val="0"/>
      <w:divBdr>
        <w:top w:val="none" w:sz="0" w:space="0" w:color="auto"/>
        <w:left w:val="none" w:sz="0" w:space="0" w:color="auto"/>
        <w:bottom w:val="none" w:sz="0" w:space="0" w:color="auto"/>
        <w:right w:val="none" w:sz="0" w:space="0" w:color="auto"/>
      </w:divBdr>
    </w:div>
    <w:div w:id="1392800956">
      <w:bodyDiv w:val="1"/>
      <w:marLeft w:val="0"/>
      <w:marRight w:val="0"/>
      <w:marTop w:val="0"/>
      <w:marBottom w:val="0"/>
      <w:divBdr>
        <w:top w:val="none" w:sz="0" w:space="0" w:color="auto"/>
        <w:left w:val="none" w:sz="0" w:space="0" w:color="auto"/>
        <w:bottom w:val="none" w:sz="0" w:space="0" w:color="auto"/>
        <w:right w:val="none" w:sz="0" w:space="0" w:color="auto"/>
      </w:divBdr>
    </w:div>
    <w:div w:id="1602176703">
      <w:bodyDiv w:val="1"/>
      <w:marLeft w:val="0"/>
      <w:marRight w:val="0"/>
      <w:marTop w:val="0"/>
      <w:marBottom w:val="0"/>
      <w:divBdr>
        <w:top w:val="none" w:sz="0" w:space="0" w:color="auto"/>
        <w:left w:val="none" w:sz="0" w:space="0" w:color="auto"/>
        <w:bottom w:val="none" w:sz="0" w:space="0" w:color="auto"/>
        <w:right w:val="none" w:sz="0" w:space="0" w:color="auto"/>
      </w:divBdr>
    </w:div>
    <w:div w:id="1687713346">
      <w:bodyDiv w:val="1"/>
      <w:marLeft w:val="0"/>
      <w:marRight w:val="0"/>
      <w:marTop w:val="0"/>
      <w:marBottom w:val="0"/>
      <w:divBdr>
        <w:top w:val="none" w:sz="0" w:space="0" w:color="auto"/>
        <w:left w:val="none" w:sz="0" w:space="0" w:color="auto"/>
        <w:bottom w:val="none" w:sz="0" w:space="0" w:color="auto"/>
        <w:right w:val="none" w:sz="0" w:space="0" w:color="auto"/>
      </w:divBdr>
    </w:div>
    <w:div w:id="184243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mdcalc.com/nafld-non-alcoholic-fatty-liver-disease-fibrosis-score"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83885-8B24-42BF-8CC5-036D0BB7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46</Pages>
  <Words>10390</Words>
  <Characters>59226</Characters>
  <Application>Microsoft Office Word</Application>
  <DocSecurity>0</DocSecurity>
  <Lines>493</Lines>
  <Paragraphs>138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69478</CharactersWithSpaces>
  <SharedDoc>false</SharedDoc>
  <HLinks>
    <vt:vector size="6" baseType="variant">
      <vt:variant>
        <vt:i4>458826</vt:i4>
      </vt:variant>
      <vt:variant>
        <vt:i4>0</vt:i4>
      </vt:variant>
      <vt:variant>
        <vt:i4>0</vt:i4>
      </vt:variant>
      <vt:variant>
        <vt:i4>5</vt:i4>
      </vt:variant>
      <vt:variant>
        <vt:lpwstr>https://www.mdcalc.com/nafld-non-alcoholic-fatty-liver-disease-fibrosis-score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liujihong2008@qq.con</cp:lastModifiedBy>
  <cp:revision>17</cp:revision>
  <cp:lastPrinted>2021-01-13T08:40:00Z</cp:lastPrinted>
  <dcterms:created xsi:type="dcterms:W3CDTF">2021-03-01T07:51:00Z</dcterms:created>
  <dcterms:modified xsi:type="dcterms:W3CDTF">2021-03-10T11:12:00Z</dcterms:modified>
</cp:coreProperties>
</file>