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EB43E" w14:textId="77777777" w:rsidR="00A77B3E" w:rsidRDefault="00BB686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D959D6A" w14:textId="77777777" w:rsidR="00A77B3E" w:rsidRDefault="00BB686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61317</w:t>
      </w:r>
    </w:p>
    <w:p w14:paraId="1FC4E51E" w14:textId="77777777" w:rsidR="00A77B3E" w:rsidRDefault="00BB6868">
      <w:pPr>
        <w:spacing w:line="360" w:lineRule="auto"/>
        <w:jc w:val="both"/>
      </w:pPr>
      <w:r>
        <w:rPr>
          <w:rFonts w:ascii="Book Antiqua" w:eastAsia="Book Antiqua" w:hAnsi="Book Antiqua" w:cs="Book Antiqua"/>
          <w:b/>
          <w:color w:val="000000"/>
        </w:rPr>
        <w:t xml:space="preserve">Manuscript Type: </w:t>
      </w:r>
      <w:bookmarkStart w:id="0" w:name="OLE_LINK411"/>
      <w:r>
        <w:rPr>
          <w:rFonts w:ascii="Book Antiqua" w:eastAsia="Book Antiqua" w:hAnsi="Book Antiqua" w:cs="Book Antiqua"/>
          <w:color w:val="000000"/>
        </w:rPr>
        <w:t>CASE REPORT</w:t>
      </w:r>
    </w:p>
    <w:bookmarkEnd w:id="0"/>
    <w:p w14:paraId="5F96823E" w14:textId="77777777" w:rsidR="00A77B3E" w:rsidRDefault="00A77B3E">
      <w:pPr>
        <w:spacing w:line="360" w:lineRule="auto"/>
        <w:jc w:val="both"/>
      </w:pPr>
    </w:p>
    <w:p w14:paraId="2C0F7644" w14:textId="77777777" w:rsidR="00A77B3E" w:rsidRPr="00ED3049" w:rsidRDefault="00BB6868">
      <w:pPr>
        <w:spacing w:line="360" w:lineRule="auto"/>
        <w:jc w:val="both"/>
        <w:rPr>
          <w:lang w:eastAsia="zh-CN"/>
        </w:rPr>
      </w:pPr>
      <w:bookmarkStart w:id="1" w:name="OLE_LINK400"/>
      <w:bookmarkStart w:id="2" w:name="OLE_LINK401"/>
      <w:bookmarkStart w:id="3" w:name="OLE_LINK402"/>
      <w:bookmarkStart w:id="4" w:name="OLE_LINK418"/>
      <w:r>
        <w:rPr>
          <w:rFonts w:ascii="Book Antiqua" w:eastAsia="Book Antiqua" w:hAnsi="Book Antiqua" w:cs="Book Antiqua"/>
          <w:b/>
          <w:bCs/>
          <w:color w:val="000000"/>
        </w:rPr>
        <w:t>Eltrombopag-related renal vein thromboembolism in a patient with immune thrombocytopenia</w:t>
      </w:r>
      <w:bookmarkStart w:id="5" w:name="OLE_LINK5"/>
      <w:bookmarkStart w:id="6" w:name="OLE_LINK6"/>
      <w:r w:rsidR="00ED3049">
        <w:rPr>
          <w:rFonts w:ascii="Book Antiqua" w:hAnsi="Book Antiqua" w:cs="Book Antiqua" w:hint="eastAsia"/>
          <w:b/>
          <w:bCs/>
          <w:color w:val="000000"/>
          <w:lang w:eastAsia="zh-CN"/>
        </w:rPr>
        <w:t>: A case report</w:t>
      </w:r>
      <w:bookmarkEnd w:id="5"/>
      <w:bookmarkEnd w:id="6"/>
    </w:p>
    <w:bookmarkEnd w:id="1"/>
    <w:bookmarkEnd w:id="2"/>
    <w:bookmarkEnd w:id="3"/>
    <w:bookmarkEnd w:id="4"/>
    <w:p w14:paraId="6838DE33" w14:textId="77777777" w:rsidR="00A77B3E" w:rsidRDefault="00A77B3E">
      <w:pPr>
        <w:spacing w:line="360" w:lineRule="auto"/>
        <w:jc w:val="both"/>
      </w:pPr>
    </w:p>
    <w:p w14:paraId="68B14003" w14:textId="77777777" w:rsidR="00A77B3E" w:rsidRDefault="00EA0517">
      <w:pPr>
        <w:spacing w:line="360" w:lineRule="auto"/>
        <w:jc w:val="both"/>
      </w:pPr>
      <w:r>
        <w:rPr>
          <w:rFonts w:ascii="Book Antiqua" w:eastAsia="Book Antiqua" w:hAnsi="Book Antiqua" w:cs="Book Antiqua"/>
          <w:color w:val="000000"/>
        </w:rPr>
        <w:t xml:space="preserve">Wu </w:t>
      </w:r>
      <w:r>
        <w:rPr>
          <w:rFonts w:ascii="Book Antiqua" w:hAnsi="Book Antiqua" w:cs="Book Antiqua" w:hint="eastAsia"/>
          <w:color w:val="000000"/>
          <w:lang w:eastAsia="zh-CN"/>
        </w:rPr>
        <w:t xml:space="preserve">C </w:t>
      </w:r>
      <w:r w:rsidRPr="00EA051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403"/>
      <w:bookmarkStart w:id="8" w:name="OLE_LINK404"/>
      <w:bookmarkStart w:id="9" w:name="OLE_LINK419"/>
      <w:bookmarkStart w:id="10" w:name="OLE_LINK420"/>
      <w:r w:rsidR="00BB6868">
        <w:rPr>
          <w:rFonts w:ascii="Book Antiqua" w:eastAsia="Book Antiqua" w:hAnsi="Book Antiqua" w:cs="Book Antiqua"/>
          <w:color w:val="000000"/>
        </w:rPr>
        <w:t>Eltrombopag-related renal vein thromboembolism</w:t>
      </w:r>
      <w:bookmarkEnd w:id="7"/>
      <w:bookmarkEnd w:id="8"/>
      <w:bookmarkEnd w:id="9"/>
      <w:bookmarkEnd w:id="10"/>
    </w:p>
    <w:p w14:paraId="72F1AC19" w14:textId="77777777" w:rsidR="00A77B3E" w:rsidRDefault="00A77B3E">
      <w:pPr>
        <w:spacing w:line="360" w:lineRule="auto"/>
        <w:jc w:val="both"/>
      </w:pPr>
    </w:p>
    <w:p w14:paraId="3C642255" w14:textId="77777777" w:rsidR="00A77B3E" w:rsidRDefault="00BB6868">
      <w:pPr>
        <w:spacing w:line="360" w:lineRule="auto"/>
        <w:jc w:val="both"/>
      </w:pPr>
      <w:r>
        <w:rPr>
          <w:rFonts w:ascii="Book Antiqua" w:eastAsia="Book Antiqua" w:hAnsi="Book Antiqua" w:cs="Book Antiqua"/>
          <w:color w:val="000000"/>
        </w:rPr>
        <w:t>Cen Wu, Xiao-Ming</w:t>
      </w:r>
      <w:r w:rsidR="00DD2610">
        <w:rPr>
          <w:rFonts w:ascii="Book Antiqua" w:eastAsia="Book Antiqua" w:hAnsi="Book Antiqua" w:cs="Book Antiqua"/>
          <w:color w:val="000000"/>
        </w:rPr>
        <w:t xml:space="preserve"> Zhou, Xiao</w:t>
      </w:r>
      <w:r w:rsidR="00DD2610">
        <w:rPr>
          <w:rFonts w:ascii="Book Antiqua" w:hAnsi="Book Antiqua" w:cs="Book Antiqua" w:hint="eastAsia"/>
          <w:color w:val="000000"/>
          <w:lang w:eastAsia="zh-CN"/>
        </w:rPr>
        <w:t>-D</w:t>
      </w:r>
      <w:r>
        <w:rPr>
          <w:rFonts w:ascii="Book Antiqua" w:eastAsia="Book Antiqua" w:hAnsi="Book Antiqua" w:cs="Book Antiqua"/>
          <w:color w:val="000000"/>
        </w:rPr>
        <w:t>ong Liu</w:t>
      </w:r>
    </w:p>
    <w:p w14:paraId="6885FC68" w14:textId="77777777" w:rsidR="00A77B3E" w:rsidRDefault="00A77B3E">
      <w:pPr>
        <w:spacing w:line="360" w:lineRule="auto"/>
        <w:jc w:val="both"/>
      </w:pPr>
    </w:p>
    <w:p w14:paraId="77310056" w14:textId="77777777" w:rsidR="00A77B3E" w:rsidRDefault="00BB6868">
      <w:pPr>
        <w:spacing w:line="360" w:lineRule="auto"/>
        <w:jc w:val="both"/>
      </w:pPr>
      <w:r>
        <w:rPr>
          <w:rFonts w:ascii="Book Antiqua" w:eastAsia="Book Antiqua" w:hAnsi="Book Antiqua" w:cs="Book Antiqua"/>
          <w:b/>
          <w:bCs/>
          <w:color w:val="000000"/>
        </w:rPr>
        <w:t xml:space="preserve">Cen Wu, Xiao-Ming Zhou, </w:t>
      </w:r>
      <w:r>
        <w:rPr>
          <w:rFonts w:ascii="Book Antiqua" w:eastAsia="Book Antiqua" w:hAnsi="Book Antiqua" w:cs="Book Antiqua"/>
          <w:color w:val="000000"/>
        </w:rPr>
        <w:t xml:space="preserve">Department of Respiratory and Critical Care Medicine, Shengjing Hospital of China Medical University, Shenyang 110004, </w:t>
      </w:r>
      <w:bookmarkStart w:id="11" w:name="OLE_LINK1"/>
      <w:bookmarkStart w:id="12" w:name="OLE_LINK2"/>
      <w:r>
        <w:rPr>
          <w:rFonts w:ascii="Book Antiqua" w:eastAsia="Book Antiqua" w:hAnsi="Book Antiqua" w:cs="Book Antiqua"/>
          <w:color w:val="000000"/>
        </w:rPr>
        <w:t>Liaoning</w:t>
      </w:r>
      <w:r w:rsidR="00C939C7">
        <w:rPr>
          <w:rFonts w:ascii="Book Antiqua" w:hAnsi="Book Antiqua" w:cs="Book Antiqua" w:hint="eastAsia"/>
          <w:color w:val="000000"/>
          <w:lang w:eastAsia="zh-CN"/>
        </w:rPr>
        <w:t xml:space="preserve"> Province</w:t>
      </w:r>
      <w:r>
        <w:rPr>
          <w:rFonts w:ascii="Book Antiqua" w:eastAsia="Book Antiqua" w:hAnsi="Book Antiqua" w:cs="Book Antiqua"/>
          <w:color w:val="000000"/>
        </w:rPr>
        <w:t xml:space="preserve">, </w:t>
      </w:r>
      <w:bookmarkStart w:id="13" w:name="OLE_LINK405"/>
      <w:bookmarkStart w:id="14" w:name="OLE_LINK406"/>
      <w:bookmarkStart w:id="15" w:name="OLE_LINK407"/>
      <w:bookmarkEnd w:id="11"/>
      <w:bookmarkEnd w:id="12"/>
      <w:r>
        <w:rPr>
          <w:rFonts w:ascii="Book Antiqua" w:eastAsia="Book Antiqua" w:hAnsi="Book Antiqua" w:cs="Book Antiqua"/>
          <w:color w:val="000000"/>
        </w:rPr>
        <w:t>China</w:t>
      </w:r>
      <w:bookmarkEnd w:id="13"/>
      <w:bookmarkEnd w:id="14"/>
      <w:bookmarkEnd w:id="15"/>
    </w:p>
    <w:p w14:paraId="2DE6EC4A" w14:textId="77777777" w:rsidR="00A77B3E" w:rsidRDefault="00A77B3E">
      <w:pPr>
        <w:spacing w:line="360" w:lineRule="auto"/>
        <w:jc w:val="both"/>
      </w:pPr>
    </w:p>
    <w:p w14:paraId="0F038EE7" w14:textId="77777777" w:rsidR="00A77B3E" w:rsidRDefault="00FC756B">
      <w:pPr>
        <w:spacing w:line="360" w:lineRule="auto"/>
        <w:jc w:val="both"/>
      </w:pPr>
      <w:r>
        <w:rPr>
          <w:rFonts w:ascii="Book Antiqua" w:eastAsia="Book Antiqua" w:hAnsi="Book Antiqua" w:cs="Book Antiqua"/>
          <w:b/>
          <w:bCs/>
          <w:color w:val="000000"/>
        </w:rPr>
        <w:t>Xiao</w:t>
      </w:r>
      <w:r>
        <w:rPr>
          <w:rFonts w:ascii="Book Antiqua" w:hAnsi="Book Antiqua" w:cs="Book Antiqua" w:hint="eastAsia"/>
          <w:b/>
          <w:bCs/>
          <w:color w:val="000000"/>
          <w:lang w:eastAsia="zh-CN"/>
        </w:rPr>
        <w:t>-D</w:t>
      </w:r>
      <w:r w:rsidR="00BB6868">
        <w:rPr>
          <w:rFonts w:ascii="Book Antiqua" w:eastAsia="Book Antiqua" w:hAnsi="Book Antiqua" w:cs="Book Antiqua"/>
          <w:b/>
          <w:bCs/>
          <w:color w:val="000000"/>
        </w:rPr>
        <w:t xml:space="preserve">ong Liu, </w:t>
      </w:r>
      <w:r w:rsidR="00BB6868">
        <w:rPr>
          <w:rFonts w:ascii="Book Antiqua" w:eastAsia="Book Antiqua" w:hAnsi="Book Antiqua" w:cs="Book Antiqua"/>
          <w:color w:val="000000"/>
        </w:rPr>
        <w:t xml:space="preserve">Department of Pharmacy, Shengjing Hospital of China Medical University, Shenyang 110004, </w:t>
      </w:r>
      <w:bookmarkStart w:id="16" w:name="OLE_LINK408"/>
      <w:bookmarkStart w:id="17" w:name="OLE_LINK409"/>
      <w:bookmarkStart w:id="18" w:name="OLE_LINK410"/>
      <w:bookmarkStart w:id="19" w:name="OLE_LINK3"/>
      <w:bookmarkStart w:id="20" w:name="OLE_LINK4"/>
      <w:r w:rsidR="00C939C7">
        <w:rPr>
          <w:rFonts w:ascii="Book Antiqua" w:eastAsia="Book Antiqua" w:hAnsi="Book Antiqua" w:cs="Book Antiqua"/>
          <w:color w:val="000000"/>
        </w:rPr>
        <w:t>Liaoning</w:t>
      </w:r>
      <w:r w:rsidR="00C939C7">
        <w:rPr>
          <w:rFonts w:ascii="Book Antiqua" w:hAnsi="Book Antiqua" w:cs="Book Antiqua" w:hint="eastAsia"/>
          <w:color w:val="000000"/>
          <w:lang w:eastAsia="zh-CN"/>
        </w:rPr>
        <w:t xml:space="preserve"> </w:t>
      </w:r>
      <w:bookmarkEnd w:id="16"/>
      <w:bookmarkEnd w:id="17"/>
      <w:bookmarkEnd w:id="18"/>
      <w:r w:rsidR="00C939C7">
        <w:rPr>
          <w:rFonts w:ascii="Book Antiqua" w:hAnsi="Book Antiqua" w:cs="Book Antiqua" w:hint="eastAsia"/>
          <w:color w:val="000000"/>
          <w:lang w:eastAsia="zh-CN"/>
        </w:rPr>
        <w:t>Province</w:t>
      </w:r>
      <w:r w:rsidR="00C939C7">
        <w:rPr>
          <w:rFonts w:ascii="Book Antiqua" w:eastAsia="Book Antiqua" w:hAnsi="Book Antiqua" w:cs="Book Antiqua"/>
          <w:color w:val="000000"/>
        </w:rPr>
        <w:t>,</w:t>
      </w:r>
      <w:bookmarkEnd w:id="19"/>
      <w:bookmarkEnd w:id="20"/>
      <w:r w:rsidR="00C939C7">
        <w:rPr>
          <w:rFonts w:ascii="Book Antiqua" w:eastAsia="Book Antiqua" w:hAnsi="Book Antiqua" w:cs="Book Antiqua"/>
          <w:color w:val="000000"/>
        </w:rPr>
        <w:t xml:space="preserve"> </w:t>
      </w:r>
      <w:r w:rsidR="00BB6868">
        <w:rPr>
          <w:rFonts w:ascii="Book Antiqua" w:eastAsia="Book Antiqua" w:hAnsi="Book Antiqua" w:cs="Book Antiqua"/>
          <w:color w:val="000000"/>
        </w:rPr>
        <w:t>China</w:t>
      </w:r>
    </w:p>
    <w:p w14:paraId="168DFA5A" w14:textId="77777777" w:rsidR="00A77B3E" w:rsidRDefault="00A77B3E">
      <w:pPr>
        <w:spacing w:line="360" w:lineRule="auto"/>
        <w:jc w:val="both"/>
      </w:pPr>
    </w:p>
    <w:p w14:paraId="5FCA1EA4" w14:textId="174A6A3F" w:rsidR="00A77B3E" w:rsidRDefault="00BB6868">
      <w:pPr>
        <w:spacing w:line="360" w:lineRule="auto"/>
        <w:jc w:val="both"/>
      </w:pPr>
      <w:r>
        <w:rPr>
          <w:rFonts w:ascii="Book Antiqua" w:eastAsia="Book Antiqua" w:hAnsi="Book Antiqua" w:cs="Book Antiqua"/>
          <w:b/>
          <w:bCs/>
          <w:color w:val="000000"/>
        </w:rPr>
        <w:t xml:space="preserve">Author contributions: </w:t>
      </w:r>
      <w:bookmarkStart w:id="21" w:name="OLE_LINK421"/>
      <w:bookmarkStart w:id="22" w:name="OLE_LINK422"/>
      <w:bookmarkStart w:id="23" w:name="OLE_LINK423"/>
      <w:r w:rsidR="00903BFA">
        <w:rPr>
          <w:rFonts w:ascii="Book Antiqua" w:eastAsia="Book Antiqua" w:hAnsi="Book Antiqua" w:cs="Book Antiqua"/>
          <w:color w:val="000000"/>
        </w:rPr>
        <w:t>Wu C</w:t>
      </w:r>
      <w:r w:rsidR="00903BFA">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Zhou XM were responsible for the diagnosis and treatment of the patient; Wu C contributed to the data collection and patient follow-up and wrote the manuscript; all authors have read and approved the final manuscript.</w:t>
      </w:r>
    </w:p>
    <w:bookmarkEnd w:id="21"/>
    <w:bookmarkEnd w:id="22"/>
    <w:bookmarkEnd w:id="23"/>
    <w:p w14:paraId="68067283" w14:textId="77777777" w:rsidR="00A77B3E" w:rsidRDefault="00A77B3E">
      <w:pPr>
        <w:spacing w:line="360" w:lineRule="auto"/>
        <w:jc w:val="both"/>
      </w:pPr>
    </w:p>
    <w:p w14:paraId="5A63EBDF" w14:textId="1F26AD74" w:rsidR="00A77B3E" w:rsidRPr="00513B0E" w:rsidRDefault="00BB6868">
      <w:pPr>
        <w:spacing w:line="360" w:lineRule="auto"/>
        <w:jc w:val="both"/>
        <w:rPr>
          <w:lang w:eastAsia="zh-CN"/>
        </w:rPr>
      </w:pPr>
      <w:r>
        <w:rPr>
          <w:rFonts w:ascii="Book Antiqua" w:eastAsia="Book Antiqua" w:hAnsi="Book Antiqua" w:cs="Book Antiqua"/>
          <w:b/>
          <w:bCs/>
          <w:color w:val="000000"/>
          <w:szCs w:val="21"/>
        </w:rPr>
        <w:t xml:space="preserve">Supported by </w:t>
      </w:r>
      <w:bookmarkStart w:id="24" w:name="OLE_LINK7"/>
      <w:bookmarkStart w:id="25" w:name="OLE_LINK8"/>
      <w:bookmarkStart w:id="26" w:name="OLE_LINK9"/>
      <w:bookmarkStart w:id="27" w:name="OLE_LINK424"/>
      <w:bookmarkStart w:id="28" w:name="OLE_LINK425"/>
      <w:r w:rsidR="00A1280C" w:rsidRPr="00A1280C">
        <w:rPr>
          <w:rFonts w:ascii="Book Antiqua" w:hAnsi="Book Antiqua" w:cs="Book Antiqua" w:hint="eastAsia"/>
          <w:bCs/>
          <w:color w:val="000000"/>
          <w:szCs w:val="21"/>
          <w:lang w:eastAsia="zh-CN"/>
        </w:rPr>
        <w:t>the</w:t>
      </w:r>
      <w:r w:rsidR="00A1280C">
        <w:rPr>
          <w:rFonts w:ascii="Book Antiqua" w:hAnsi="Book Antiqua" w:cs="Book Antiqua" w:hint="eastAsia"/>
          <w:b/>
          <w:bCs/>
          <w:color w:val="000000"/>
          <w:szCs w:val="21"/>
          <w:lang w:eastAsia="zh-CN"/>
        </w:rPr>
        <w:t xml:space="preserve"> </w:t>
      </w:r>
      <w:r>
        <w:rPr>
          <w:rFonts w:ascii="Book Antiqua" w:eastAsia="Book Antiqua" w:hAnsi="Book Antiqua" w:cs="Book Antiqua"/>
          <w:color w:val="000000"/>
        </w:rPr>
        <w:t>Natural Science Funding Guidanc</w:t>
      </w:r>
      <w:r w:rsidR="00513B0E">
        <w:rPr>
          <w:rFonts w:ascii="Book Antiqua" w:eastAsia="Book Antiqua" w:hAnsi="Book Antiqua" w:cs="Book Antiqua"/>
          <w:color w:val="000000"/>
        </w:rPr>
        <w:t>e Project of Liaoning Province</w:t>
      </w:r>
      <w:bookmarkEnd w:id="24"/>
      <w:bookmarkEnd w:id="25"/>
      <w:bookmarkEnd w:id="26"/>
      <w:r w:rsidR="00513B0E">
        <w:rPr>
          <w:rFonts w:ascii="Book Antiqua" w:hAnsi="Book Antiqua" w:cs="Book Antiqua" w:hint="eastAsia"/>
          <w:color w:val="000000"/>
          <w:lang w:eastAsia="zh-CN"/>
        </w:rPr>
        <w:t>,</w:t>
      </w:r>
      <w:r w:rsidR="00513B0E">
        <w:rPr>
          <w:rFonts w:ascii="Book Antiqua" w:eastAsia="Book Antiqua" w:hAnsi="Book Antiqua" w:cs="Book Antiqua"/>
          <w:color w:val="000000"/>
        </w:rPr>
        <w:t xml:space="preserve"> </w:t>
      </w:r>
      <w:r w:rsidR="00513B0E">
        <w:rPr>
          <w:rFonts w:ascii="Book Antiqua" w:hAnsi="Book Antiqua" w:cs="Book Antiqua" w:hint="eastAsia"/>
          <w:color w:val="000000"/>
          <w:lang w:eastAsia="zh-CN"/>
        </w:rPr>
        <w:t xml:space="preserve">No. </w:t>
      </w:r>
      <w:r w:rsidR="00513B0E">
        <w:rPr>
          <w:rFonts w:ascii="Book Antiqua" w:eastAsia="Book Antiqua" w:hAnsi="Book Antiqua" w:cs="Book Antiqua"/>
          <w:color w:val="000000"/>
        </w:rPr>
        <w:t>2018011494-301</w:t>
      </w:r>
      <w:r w:rsidR="00513B0E">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29" w:name="OLE_LINK412"/>
      <w:bookmarkStart w:id="30" w:name="OLE_LINK413"/>
      <w:r w:rsidR="000F38A2">
        <w:rPr>
          <w:rFonts w:ascii="Book Antiqua" w:eastAsia="Book Antiqua" w:hAnsi="Book Antiqua" w:cs="Book Antiqua"/>
          <w:color w:val="000000"/>
        </w:rPr>
        <w:t xml:space="preserve">and </w:t>
      </w:r>
      <w:r>
        <w:rPr>
          <w:rFonts w:ascii="Book Antiqua" w:eastAsia="Book Antiqua" w:hAnsi="Book Antiqua" w:cs="Book Antiqua"/>
          <w:color w:val="000000"/>
        </w:rPr>
        <w:t xml:space="preserve">345 </w:t>
      </w:r>
      <w:r w:rsidR="000F38A2">
        <w:rPr>
          <w:rFonts w:ascii="Book Antiqua" w:eastAsia="Book Antiqua" w:hAnsi="Book Antiqua" w:cs="Book Antiqua"/>
          <w:color w:val="000000"/>
        </w:rPr>
        <w:t>Talent Program</w:t>
      </w:r>
      <w:r>
        <w:rPr>
          <w:rFonts w:ascii="Book Antiqua" w:eastAsia="Book Antiqua" w:hAnsi="Book Antiqua" w:cs="Book Antiqua"/>
          <w:color w:val="000000"/>
        </w:rPr>
        <w:t xml:space="preserve"> of Shengjing Hospital, China Medical Uni</w:t>
      </w:r>
      <w:r w:rsidR="000F38A2">
        <w:rPr>
          <w:rFonts w:ascii="Book Antiqua" w:eastAsia="Book Antiqua" w:hAnsi="Book Antiqua" w:cs="Book Antiqua"/>
          <w:color w:val="000000"/>
        </w:rPr>
        <w:t>v</w:t>
      </w:r>
      <w:r>
        <w:rPr>
          <w:rFonts w:ascii="Book Antiqua" w:eastAsia="Book Antiqua" w:hAnsi="Book Antiqua" w:cs="Book Antiqua"/>
          <w:color w:val="000000"/>
        </w:rPr>
        <w:t>ersity</w:t>
      </w:r>
      <w:bookmarkEnd w:id="29"/>
      <w:bookmarkEnd w:id="30"/>
      <w:r w:rsidR="00513B0E">
        <w:rPr>
          <w:rFonts w:ascii="Book Antiqua" w:hAnsi="Book Antiqua" w:cs="Book Antiqua" w:hint="eastAsia"/>
          <w:color w:val="000000"/>
          <w:lang w:eastAsia="zh-CN"/>
        </w:rPr>
        <w:t>.</w:t>
      </w:r>
      <w:bookmarkEnd w:id="27"/>
      <w:bookmarkEnd w:id="28"/>
    </w:p>
    <w:p w14:paraId="465CB383" w14:textId="77777777" w:rsidR="00A77B3E" w:rsidRDefault="00A77B3E">
      <w:pPr>
        <w:spacing w:line="360" w:lineRule="auto"/>
        <w:jc w:val="both"/>
      </w:pPr>
    </w:p>
    <w:p w14:paraId="6D5F78D6" w14:textId="4B63606D" w:rsidR="00A77B3E" w:rsidRDefault="00F9116D">
      <w:pPr>
        <w:spacing w:line="360" w:lineRule="auto"/>
        <w:jc w:val="both"/>
      </w:pPr>
      <w:r>
        <w:rPr>
          <w:rFonts w:ascii="Book Antiqua" w:eastAsia="Book Antiqua" w:hAnsi="Book Antiqua" w:cs="Book Antiqua"/>
          <w:b/>
          <w:bCs/>
          <w:color w:val="000000"/>
        </w:rPr>
        <w:t>Corresponding author: Xiao</w:t>
      </w:r>
      <w:r>
        <w:rPr>
          <w:rFonts w:ascii="Book Antiqua" w:hAnsi="Book Antiqua" w:cs="Book Antiqua" w:hint="eastAsia"/>
          <w:b/>
          <w:bCs/>
          <w:color w:val="000000"/>
          <w:lang w:eastAsia="zh-CN"/>
        </w:rPr>
        <w:t>-D</w:t>
      </w:r>
      <w:r w:rsidR="00BB6868">
        <w:rPr>
          <w:rFonts w:ascii="Book Antiqua" w:eastAsia="Book Antiqua" w:hAnsi="Book Antiqua" w:cs="Book Antiqua"/>
          <w:b/>
          <w:bCs/>
          <w:color w:val="000000"/>
        </w:rPr>
        <w:t xml:space="preserve">ong Liu, MD, </w:t>
      </w:r>
      <w:r w:rsidR="003168BF" w:rsidRPr="00C203D2">
        <w:rPr>
          <w:rFonts w:ascii="Book Antiqua" w:eastAsia="Book Antiqua" w:hAnsi="Book Antiqua" w:cs="Book Antiqua"/>
          <w:b/>
          <w:bCs/>
          <w:color w:val="000000"/>
        </w:rPr>
        <w:t>C</w:t>
      </w:r>
      <w:r w:rsidR="003168BF" w:rsidRPr="00C203D2">
        <w:rPr>
          <w:rFonts w:ascii="Book Antiqua" w:hAnsi="Book Antiqua" w:cs="Book Antiqua"/>
          <w:b/>
          <w:bCs/>
          <w:color w:val="000000"/>
          <w:lang w:eastAsia="zh-CN"/>
        </w:rPr>
        <w:t>linical</w:t>
      </w:r>
      <w:r w:rsidR="003168BF" w:rsidRPr="00C203D2">
        <w:rPr>
          <w:rFonts w:ascii="Book Antiqua" w:eastAsia="Book Antiqua" w:hAnsi="Book Antiqua" w:cs="Book Antiqua"/>
          <w:b/>
          <w:bCs/>
          <w:color w:val="000000"/>
        </w:rPr>
        <w:t xml:space="preserve"> </w:t>
      </w:r>
      <w:r w:rsidR="00BB6868">
        <w:rPr>
          <w:rFonts w:ascii="Book Antiqua" w:eastAsia="Book Antiqua" w:hAnsi="Book Antiqua" w:cs="Book Antiqua"/>
          <w:b/>
          <w:bCs/>
          <w:color w:val="000000"/>
        </w:rPr>
        <w:t xml:space="preserve">Pharmacist, </w:t>
      </w:r>
      <w:r w:rsidR="00BB6868">
        <w:rPr>
          <w:rFonts w:ascii="Book Antiqua" w:eastAsia="Book Antiqua" w:hAnsi="Book Antiqua" w:cs="Book Antiqua"/>
          <w:color w:val="000000"/>
        </w:rPr>
        <w:t>Department of Pharmacy, Shengjing Hospital of C</w:t>
      </w:r>
      <w:r>
        <w:rPr>
          <w:rFonts w:ascii="Book Antiqua" w:eastAsia="Book Antiqua" w:hAnsi="Book Antiqua" w:cs="Book Antiqua"/>
          <w:color w:val="000000"/>
        </w:rPr>
        <w:t>hina Medical University, No. 36</w:t>
      </w:r>
      <w:r w:rsidR="00BB6868">
        <w:rPr>
          <w:rFonts w:ascii="Book Antiqua" w:eastAsia="Book Antiqua" w:hAnsi="Book Antiqua" w:cs="Book Antiqua"/>
          <w:color w:val="000000"/>
        </w:rPr>
        <w:t xml:space="preserve"> San Hao Street, Shenyang 110004, </w:t>
      </w:r>
      <w:r>
        <w:rPr>
          <w:rFonts w:ascii="Book Antiqua" w:eastAsia="Book Antiqua" w:hAnsi="Book Antiqua" w:cs="Book Antiqua"/>
          <w:color w:val="000000"/>
        </w:rPr>
        <w:t>Liaoning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BB6868">
        <w:rPr>
          <w:rFonts w:ascii="Book Antiqua" w:eastAsia="Book Antiqua" w:hAnsi="Book Antiqua" w:cs="Book Antiqua"/>
          <w:color w:val="000000"/>
        </w:rPr>
        <w:t>China. liuxdcmu@163.com</w:t>
      </w:r>
    </w:p>
    <w:p w14:paraId="02AB9831" w14:textId="77777777" w:rsidR="00A77B3E" w:rsidRDefault="00A77B3E">
      <w:pPr>
        <w:spacing w:line="360" w:lineRule="auto"/>
        <w:jc w:val="both"/>
      </w:pPr>
    </w:p>
    <w:p w14:paraId="0BFA3964" w14:textId="77777777" w:rsidR="00A77B3E" w:rsidRDefault="00BB6868">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December 9, 2020</w:t>
      </w:r>
    </w:p>
    <w:p w14:paraId="19785D8A" w14:textId="77777777" w:rsidR="00A77B3E" w:rsidRDefault="00BB686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9, 2021</w:t>
      </w:r>
    </w:p>
    <w:p w14:paraId="39A9480C" w14:textId="43DE34BC" w:rsidR="00A77B3E" w:rsidRDefault="00BB6868">
      <w:pPr>
        <w:spacing w:line="360" w:lineRule="auto"/>
        <w:jc w:val="both"/>
      </w:pPr>
      <w:r>
        <w:rPr>
          <w:rFonts w:ascii="Book Antiqua" w:eastAsia="Book Antiqua" w:hAnsi="Book Antiqua" w:cs="Book Antiqua"/>
          <w:b/>
          <w:bCs/>
          <w:color w:val="000000"/>
        </w:rPr>
        <w:t xml:space="preserve">Accepted: </w:t>
      </w:r>
      <w:r w:rsidR="00032B29" w:rsidRPr="00032B29">
        <w:rPr>
          <w:rFonts w:ascii="Book Antiqua" w:eastAsia="Book Antiqua" w:hAnsi="Book Antiqua" w:cs="Book Antiqua"/>
          <w:color w:val="000000"/>
        </w:rPr>
        <w:t>February 22, 2021</w:t>
      </w:r>
    </w:p>
    <w:p w14:paraId="25757E5B" w14:textId="476B4768" w:rsidR="004F5887" w:rsidRDefault="00BB6868">
      <w:pPr>
        <w:spacing w:line="360" w:lineRule="auto"/>
        <w:jc w:val="both"/>
        <w:rPr>
          <w:lang w:eastAsia="zh-CN"/>
        </w:rPr>
      </w:pPr>
      <w:r>
        <w:rPr>
          <w:rFonts w:ascii="Book Antiqua" w:eastAsia="Book Antiqua" w:hAnsi="Book Antiqua" w:cs="Book Antiqua"/>
          <w:b/>
          <w:bCs/>
          <w:color w:val="000000"/>
        </w:rPr>
        <w:t xml:space="preserve">Published online: </w:t>
      </w:r>
      <w:r w:rsidR="004F5887" w:rsidRPr="004F5887">
        <w:rPr>
          <w:rFonts w:ascii="Book Antiqua" w:eastAsia="Book Antiqua" w:hAnsi="Book Antiqua" w:cs="Book Antiqua" w:hint="eastAsia"/>
          <w:color w:val="000000"/>
        </w:rPr>
        <w:t>A</w:t>
      </w:r>
      <w:r w:rsidR="004F5887" w:rsidRPr="004F5887">
        <w:rPr>
          <w:rFonts w:ascii="Book Antiqua" w:eastAsia="Book Antiqua" w:hAnsi="Book Antiqua" w:cs="Book Antiqua"/>
          <w:color w:val="000000"/>
        </w:rPr>
        <w:t xml:space="preserve">pril </w:t>
      </w:r>
      <w:r w:rsidR="00616F66">
        <w:rPr>
          <w:rFonts w:ascii="Book Antiqua" w:eastAsia="Book Antiqua" w:hAnsi="Book Antiqua" w:cs="Book Antiqua"/>
          <w:color w:val="000000"/>
        </w:rPr>
        <w:t>1</w:t>
      </w:r>
      <w:r w:rsidR="004F5887" w:rsidRPr="004F5887">
        <w:rPr>
          <w:rFonts w:ascii="Book Antiqua" w:eastAsia="Book Antiqua" w:hAnsi="Book Antiqua" w:cs="Book Antiqua"/>
          <w:color w:val="000000"/>
        </w:rPr>
        <w:t>6, 2021</w:t>
      </w:r>
    </w:p>
    <w:p w14:paraId="06B97A11" w14:textId="77777777" w:rsidR="004F5887" w:rsidRDefault="004F5887">
      <w:pPr>
        <w:spacing w:line="360" w:lineRule="auto"/>
        <w:jc w:val="both"/>
        <w:rPr>
          <w:lang w:eastAsia="zh-CN"/>
        </w:rPr>
      </w:pPr>
    </w:p>
    <w:p w14:paraId="5BDDE39C" w14:textId="277D2321" w:rsidR="00A77B3E" w:rsidRDefault="00BB6868">
      <w:pPr>
        <w:spacing w:line="360" w:lineRule="auto"/>
        <w:jc w:val="both"/>
      </w:pPr>
      <w:r>
        <w:rPr>
          <w:rFonts w:ascii="Book Antiqua" w:eastAsia="Book Antiqua" w:hAnsi="Book Antiqua" w:cs="Book Antiqua"/>
          <w:b/>
          <w:color w:val="000000"/>
        </w:rPr>
        <w:t>Abstract</w:t>
      </w:r>
    </w:p>
    <w:p w14:paraId="6A71B63B" w14:textId="77777777" w:rsidR="00A77B3E" w:rsidRDefault="00BB6868">
      <w:pPr>
        <w:spacing w:line="360" w:lineRule="auto"/>
        <w:jc w:val="both"/>
      </w:pPr>
      <w:r>
        <w:rPr>
          <w:rFonts w:ascii="Book Antiqua" w:eastAsia="Book Antiqua" w:hAnsi="Book Antiqua" w:cs="Book Antiqua"/>
          <w:color w:val="000000"/>
        </w:rPr>
        <w:t>BACKGROUND</w:t>
      </w:r>
    </w:p>
    <w:p w14:paraId="2768D81E" w14:textId="77777777" w:rsidR="00A77B3E" w:rsidRDefault="00BB6868">
      <w:pPr>
        <w:spacing w:line="360" w:lineRule="auto"/>
        <w:jc w:val="both"/>
      </w:pPr>
      <w:bookmarkStart w:id="31" w:name="OLE_LINK432"/>
      <w:bookmarkStart w:id="32" w:name="OLE_LINK433"/>
      <w:r>
        <w:rPr>
          <w:rFonts w:ascii="Book Antiqua" w:eastAsia="Book Antiqua" w:hAnsi="Book Antiqua" w:cs="Book Antiqua"/>
          <w:color w:val="000000"/>
        </w:rPr>
        <w:t xml:space="preserve">Eltrombopag is an orally administered </w:t>
      </w:r>
      <w:bookmarkStart w:id="33" w:name="OLE_LINK10"/>
      <w:bookmarkStart w:id="34" w:name="OLE_LINK11"/>
      <w:r>
        <w:rPr>
          <w:rFonts w:ascii="Book Antiqua" w:eastAsia="Book Antiqua" w:hAnsi="Book Antiqua" w:cs="Book Antiqua"/>
          <w:color w:val="000000"/>
        </w:rPr>
        <w:t>thrombo</w:t>
      </w:r>
      <w:r w:rsidR="00F52488">
        <w:rPr>
          <w:rFonts w:ascii="Book Antiqua" w:eastAsia="Book Antiqua" w:hAnsi="Book Antiqua" w:cs="Book Antiqua"/>
          <w:color w:val="000000"/>
        </w:rPr>
        <w:t>poietin</w:t>
      </w:r>
      <w:r>
        <w:rPr>
          <w:rFonts w:ascii="Book Antiqua" w:eastAsia="Book Antiqua" w:hAnsi="Book Antiqua" w:cs="Book Antiqua"/>
          <w:color w:val="000000"/>
        </w:rPr>
        <w:t xml:space="preserve"> </w:t>
      </w:r>
      <w:bookmarkEnd w:id="33"/>
      <w:bookmarkEnd w:id="34"/>
      <w:r>
        <w:rPr>
          <w:rFonts w:ascii="Book Antiqua" w:eastAsia="Book Antiqua" w:hAnsi="Book Antiqua" w:cs="Book Antiqua"/>
          <w:color w:val="000000"/>
        </w:rPr>
        <w:t>receptor agonist linked to a heightened risk of treatment-related thromboembolism. Both venous and arterial thromboses have been documented in the medical literature.</w:t>
      </w:r>
    </w:p>
    <w:bookmarkEnd w:id="31"/>
    <w:bookmarkEnd w:id="32"/>
    <w:p w14:paraId="7C37B2D6" w14:textId="77777777" w:rsidR="00A77B3E" w:rsidRDefault="00A77B3E">
      <w:pPr>
        <w:spacing w:line="360" w:lineRule="auto"/>
        <w:jc w:val="both"/>
      </w:pPr>
    </w:p>
    <w:p w14:paraId="7FD4C7EE" w14:textId="77777777" w:rsidR="00A77B3E" w:rsidRDefault="00BB6868">
      <w:pPr>
        <w:spacing w:line="360" w:lineRule="auto"/>
        <w:jc w:val="both"/>
      </w:pPr>
      <w:r>
        <w:rPr>
          <w:rFonts w:ascii="Book Antiqua" w:eastAsia="Book Antiqua" w:hAnsi="Book Antiqua" w:cs="Book Antiqua"/>
          <w:color w:val="000000"/>
        </w:rPr>
        <w:t>CASE SUMMARY</w:t>
      </w:r>
    </w:p>
    <w:p w14:paraId="2106EFF9" w14:textId="77777777" w:rsidR="00A77B3E" w:rsidRDefault="00BB6868">
      <w:pPr>
        <w:spacing w:line="360" w:lineRule="auto"/>
        <w:jc w:val="both"/>
      </w:pPr>
      <w:bookmarkStart w:id="35" w:name="OLE_LINK434"/>
      <w:bookmarkStart w:id="36" w:name="OLE_LINK435"/>
      <w:bookmarkStart w:id="37" w:name="OLE_LINK436"/>
      <w:r>
        <w:rPr>
          <w:rFonts w:ascii="Book Antiqua" w:eastAsia="Book Antiqua" w:hAnsi="Book Antiqua" w:cs="Book Antiqua"/>
          <w:color w:val="000000"/>
        </w:rPr>
        <w:t xml:space="preserve">In the absence of nephropathy, a 48-year-old patient receiving eltrombopag for </w:t>
      </w:r>
      <w:bookmarkStart w:id="38" w:name="OLE_LINK12"/>
      <w:bookmarkStart w:id="39" w:name="OLE_LINK13"/>
      <w:r>
        <w:rPr>
          <w:rFonts w:ascii="Book Antiqua" w:eastAsia="Book Antiqua" w:hAnsi="Book Antiqua" w:cs="Book Antiqua"/>
          <w:color w:val="000000"/>
        </w:rPr>
        <w:t>immune thrombocytopenia</w:t>
      </w:r>
      <w:bookmarkEnd w:id="38"/>
      <w:bookmarkEnd w:id="39"/>
      <w:r>
        <w:rPr>
          <w:rFonts w:ascii="Book Antiqua" w:eastAsia="Book Antiqua" w:hAnsi="Book Antiqua" w:cs="Book Antiqua"/>
          <w:color w:val="000000"/>
        </w:rPr>
        <w:t xml:space="preserve"> (ITP) developed renal vein thrombosis and pulmonary embolism. The renal vein thrombus spontaneously resolved during subsequent anticoagulant treatment, restoring venous circulation.</w:t>
      </w:r>
    </w:p>
    <w:bookmarkEnd w:id="35"/>
    <w:bookmarkEnd w:id="36"/>
    <w:bookmarkEnd w:id="37"/>
    <w:p w14:paraId="2230D656" w14:textId="77777777" w:rsidR="00A77B3E" w:rsidRDefault="00A77B3E">
      <w:pPr>
        <w:spacing w:line="360" w:lineRule="auto"/>
        <w:jc w:val="both"/>
      </w:pPr>
    </w:p>
    <w:p w14:paraId="469B6188" w14:textId="77777777" w:rsidR="00A77B3E" w:rsidRDefault="00BB6868">
      <w:pPr>
        <w:spacing w:line="360" w:lineRule="auto"/>
        <w:jc w:val="both"/>
      </w:pPr>
      <w:r>
        <w:rPr>
          <w:rFonts w:ascii="Book Antiqua" w:eastAsia="Book Antiqua" w:hAnsi="Book Antiqua" w:cs="Book Antiqua"/>
          <w:color w:val="000000"/>
        </w:rPr>
        <w:t>CONCLUSION</w:t>
      </w:r>
    </w:p>
    <w:p w14:paraId="51F97266" w14:textId="77777777" w:rsidR="00A77B3E" w:rsidRDefault="00BB6868">
      <w:pPr>
        <w:spacing w:line="360" w:lineRule="auto"/>
        <w:jc w:val="both"/>
      </w:pPr>
      <w:bookmarkStart w:id="40" w:name="OLE_LINK437"/>
      <w:bookmarkStart w:id="41" w:name="OLE_LINK438"/>
      <w:r>
        <w:rPr>
          <w:rFonts w:ascii="Book Antiqua" w:eastAsia="Book Antiqua" w:hAnsi="Book Antiqua" w:cs="Book Antiqua"/>
          <w:color w:val="000000"/>
        </w:rPr>
        <w:t>A rapid upsurge in platelets, rather than their absolute number, may trigger thrombotic events in this setting. For patients at high thrombotic risk, individualized eltrombopag dosing and vigilance in platelet monitoring are perhaps needed during treatment of ITP.</w:t>
      </w:r>
    </w:p>
    <w:bookmarkEnd w:id="40"/>
    <w:bookmarkEnd w:id="41"/>
    <w:p w14:paraId="69A6A4A5" w14:textId="77777777" w:rsidR="00A77B3E" w:rsidRDefault="00A77B3E">
      <w:pPr>
        <w:spacing w:line="360" w:lineRule="auto"/>
        <w:jc w:val="both"/>
      </w:pPr>
    </w:p>
    <w:p w14:paraId="390735DE" w14:textId="24D6F697" w:rsidR="00A77B3E" w:rsidRDefault="00BB6868">
      <w:pPr>
        <w:spacing w:line="360" w:lineRule="auto"/>
        <w:jc w:val="both"/>
      </w:pPr>
      <w:r>
        <w:rPr>
          <w:rFonts w:ascii="Book Antiqua" w:eastAsia="Book Antiqua" w:hAnsi="Book Antiqua" w:cs="Book Antiqua"/>
          <w:b/>
          <w:bCs/>
          <w:color w:val="000000"/>
        </w:rPr>
        <w:t xml:space="preserve">Key Words: </w:t>
      </w:r>
      <w:bookmarkStart w:id="42" w:name="OLE_LINK426"/>
      <w:bookmarkStart w:id="43" w:name="OLE_LINK427"/>
      <w:bookmarkStart w:id="44" w:name="OLE_LINK428"/>
      <w:bookmarkStart w:id="45" w:name="OLE_LINK414"/>
      <w:bookmarkStart w:id="46" w:name="OLE_LINK415"/>
      <w:r w:rsidR="003970C9">
        <w:rPr>
          <w:rFonts w:ascii="Book Antiqua" w:hAnsi="Book Antiqua" w:cs="Book Antiqua" w:hint="eastAsia"/>
          <w:color w:val="000000"/>
          <w:lang w:eastAsia="zh-CN"/>
        </w:rPr>
        <w:t>E</w:t>
      </w:r>
      <w:r w:rsidR="003970C9">
        <w:rPr>
          <w:rFonts w:ascii="Book Antiqua" w:eastAsia="Book Antiqua" w:hAnsi="Book Antiqua" w:cs="Book Antiqua"/>
          <w:color w:val="000000"/>
        </w:rPr>
        <w:t>ltrombopag</w:t>
      </w:r>
      <w:r w:rsidR="003970C9">
        <w:rPr>
          <w:rFonts w:ascii="Book Antiqua" w:hAnsi="Book Antiqua" w:cs="Book Antiqua" w:hint="eastAsia"/>
          <w:color w:val="000000"/>
          <w:lang w:eastAsia="zh-CN"/>
        </w:rPr>
        <w:t>;</w:t>
      </w:r>
      <w:r w:rsidR="003970C9">
        <w:rPr>
          <w:rFonts w:ascii="Book Antiqua" w:eastAsia="Book Antiqua" w:hAnsi="Book Antiqua" w:cs="Book Antiqua"/>
          <w:color w:val="000000"/>
        </w:rPr>
        <w:t xml:space="preserve"> </w:t>
      </w:r>
      <w:r w:rsidR="003970C9">
        <w:rPr>
          <w:rFonts w:ascii="Book Antiqua" w:hAnsi="Book Antiqua" w:cs="Book Antiqua" w:hint="eastAsia"/>
          <w:color w:val="000000"/>
          <w:lang w:eastAsia="zh-CN"/>
        </w:rPr>
        <w:t>I</w:t>
      </w:r>
      <w:r w:rsidR="003970C9">
        <w:rPr>
          <w:rFonts w:ascii="Book Antiqua" w:eastAsia="Book Antiqua" w:hAnsi="Book Antiqua" w:cs="Book Antiqua"/>
          <w:color w:val="000000"/>
        </w:rPr>
        <w:t>mmune thrombocytopenic purpura</w:t>
      </w:r>
      <w:r w:rsidR="003970C9">
        <w:rPr>
          <w:rFonts w:ascii="Book Antiqua" w:hAnsi="Book Antiqua" w:cs="Book Antiqua" w:hint="eastAsia"/>
          <w:color w:val="000000"/>
          <w:lang w:eastAsia="zh-CN"/>
        </w:rPr>
        <w:t>;</w:t>
      </w:r>
      <w:r w:rsidR="003970C9">
        <w:rPr>
          <w:rFonts w:ascii="Book Antiqua" w:eastAsia="Book Antiqua" w:hAnsi="Book Antiqua" w:cs="Book Antiqua"/>
          <w:color w:val="000000"/>
        </w:rPr>
        <w:t xml:space="preserve"> </w:t>
      </w:r>
      <w:r w:rsidR="003970C9">
        <w:rPr>
          <w:rFonts w:ascii="Book Antiqua" w:hAnsi="Book Antiqua" w:cs="Book Antiqua" w:hint="eastAsia"/>
          <w:color w:val="000000"/>
          <w:lang w:eastAsia="zh-CN"/>
        </w:rPr>
        <w:t>T</w:t>
      </w:r>
      <w:r w:rsidR="003970C9">
        <w:rPr>
          <w:rFonts w:ascii="Book Antiqua" w:eastAsia="Book Antiqua" w:hAnsi="Book Antiqua" w:cs="Book Antiqua"/>
          <w:color w:val="000000"/>
        </w:rPr>
        <w:t>hrombopoietin receptor agonist</w:t>
      </w:r>
      <w:r w:rsidR="003970C9">
        <w:rPr>
          <w:rFonts w:ascii="Book Antiqua" w:hAnsi="Book Antiqua" w:cs="Book Antiqua" w:hint="eastAsia"/>
          <w:color w:val="000000"/>
          <w:lang w:eastAsia="zh-CN"/>
        </w:rPr>
        <w:t>;</w:t>
      </w:r>
      <w:r w:rsidR="003970C9">
        <w:rPr>
          <w:rFonts w:ascii="Book Antiqua" w:eastAsia="Book Antiqua" w:hAnsi="Book Antiqua" w:cs="Book Antiqua"/>
          <w:color w:val="000000"/>
        </w:rPr>
        <w:t xml:space="preserve"> </w:t>
      </w:r>
      <w:r w:rsidR="003970C9">
        <w:rPr>
          <w:rFonts w:ascii="Book Antiqua" w:hAnsi="Book Antiqua" w:cs="Book Antiqua" w:hint="eastAsia"/>
          <w:color w:val="000000"/>
          <w:lang w:eastAsia="zh-CN"/>
        </w:rPr>
        <w:t>R</w:t>
      </w:r>
      <w:r>
        <w:rPr>
          <w:rFonts w:ascii="Book Antiqua" w:eastAsia="Book Antiqua" w:hAnsi="Book Antiqua" w:cs="Book Antiqua"/>
          <w:color w:val="000000"/>
        </w:rPr>
        <w:t>enal vein thrombosis</w:t>
      </w:r>
      <w:r w:rsidR="00FE2A88">
        <w:rPr>
          <w:rFonts w:ascii="Book Antiqua" w:hAnsi="Book Antiqua" w:cs="Book Antiqua" w:hint="eastAsia"/>
          <w:color w:val="000000"/>
          <w:lang w:eastAsia="zh-CN"/>
        </w:rPr>
        <w:t>; Case report</w:t>
      </w:r>
      <w:bookmarkEnd w:id="42"/>
      <w:bookmarkEnd w:id="43"/>
      <w:bookmarkEnd w:id="44"/>
      <w:r>
        <w:rPr>
          <w:rFonts w:ascii="Book Antiqua" w:eastAsia="Book Antiqua" w:hAnsi="Book Antiqua" w:cs="Book Antiqua"/>
          <w:color w:val="000000"/>
        </w:rPr>
        <w:t xml:space="preserve"> </w:t>
      </w:r>
    </w:p>
    <w:p w14:paraId="1D10E60C" w14:textId="77777777" w:rsidR="00711C48" w:rsidRDefault="00711C48" w:rsidP="00711C48">
      <w:pPr>
        <w:spacing w:line="360" w:lineRule="auto"/>
        <w:jc w:val="both"/>
        <w:rPr>
          <w:lang w:eastAsia="zh-CN"/>
        </w:rPr>
      </w:pPr>
      <w:bookmarkStart w:id="47" w:name="OLE_LINK416"/>
      <w:bookmarkStart w:id="48" w:name="OLE_LINK417"/>
      <w:bookmarkEnd w:id="45"/>
      <w:bookmarkEnd w:id="46"/>
    </w:p>
    <w:p w14:paraId="2C562A29" w14:textId="77777777" w:rsidR="00711C48" w:rsidRPr="00026CB8" w:rsidRDefault="00711C48" w:rsidP="00711C48">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09C2B88" w14:textId="77777777" w:rsidR="00711C48" w:rsidRPr="009C101B" w:rsidRDefault="00711C48" w:rsidP="00711C48">
      <w:pPr>
        <w:spacing w:line="360" w:lineRule="auto"/>
        <w:jc w:val="both"/>
        <w:rPr>
          <w:lang w:eastAsia="zh-CN"/>
        </w:rPr>
      </w:pPr>
    </w:p>
    <w:p w14:paraId="7297D351" w14:textId="082213D5" w:rsidR="00936373" w:rsidRDefault="00711C48" w:rsidP="00711C48">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BB6868">
        <w:rPr>
          <w:rFonts w:ascii="Book Antiqua" w:eastAsia="Book Antiqua" w:hAnsi="Book Antiqua" w:cs="Book Antiqua"/>
          <w:color w:val="000000"/>
        </w:rPr>
        <w:t>Wu C, Zhou XM, Liu X</w:t>
      </w:r>
      <w:r w:rsidR="000F38A2">
        <w:rPr>
          <w:rFonts w:ascii="Book Antiqua" w:eastAsia="Book Antiqua" w:hAnsi="Book Antiqua" w:cs="Book Antiqua"/>
          <w:color w:val="000000"/>
        </w:rPr>
        <w:t>D</w:t>
      </w:r>
      <w:r w:rsidR="00BB6868">
        <w:rPr>
          <w:rFonts w:ascii="Book Antiqua" w:eastAsia="Book Antiqua" w:hAnsi="Book Antiqua" w:cs="Book Antiqua"/>
          <w:color w:val="000000"/>
        </w:rPr>
        <w:t>. Eltrombopag-related renal vein thromboembolism in a patient with immune thrombocytopenia</w:t>
      </w:r>
      <w:r w:rsidR="00ED3049" w:rsidRPr="00ED3049">
        <w:rPr>
          <w:rFonts w:ascii="Book Antiqua" w:eastAsia="Book Antiqua" w:hAnsi="Book Antiqua" w:cs="Book Antiqua"/>
          <w:color w:val="000000"/>
        </w:rPr>
        <w:t>: A case report</w:t>
      </w:r>
      <w:r w:rsidR="00ED3049">
        <w:rPr>
          <w:rFonts w:ascii="Book Antiqua" w:hAnsi="Book Antiqua" w:cs="Book Antiqua" w:hint="eastAsia"/>
          <w:color w:val="000000"/>
          <w:lang w:eastAsia="zh-CN"/>
        </w:rPr>
        <w:t>.</w:t>
      </w:r>
      <w:r w:rsidR="00ED3049">
        <w:rPr>
          <w:rFonts w:ascii="Book Antiqua" w:eastAsia="Book Antiqua" w:hAnsi="Book Antiqua" w:cs="Book Antiqua"/>
          <w:color w:val="000000"/>
        </w:rPr>
        <w:t xml:space="preserve"> </w:t>
      </w:r>
      <w:r w:rsidR="00BB6868">
        <w:rPr>
          <w:rFonts w:ascii="Book Antiqua" w:eastAsia="Book Antiqua" w:hAnsi="Book Antiqua" w:cs="Book Antiqua"/>
          <w:i/>
          <w:iCs/>
          <w:color w:val="000000"/>
        </w:rPr>
        <w:t>World J Clin Cases</w:t>
      </w:r>
      <w:r w:rsidR="00BB6868">
        <w:rPr>
          <w:rFonts w:ascii="Book Antiqua" w:eastAsia="Book Antiqua" w:hAnsi="Book Antiqua" w:cs="Book Antiqua"/>
          <w:color w:val="000000"/>
        </w:rPr>
        <w:t xml:space="preserve"> </w:t>
      </w:r>
      <w:r w:rsidR="00A93D8B">
        <w:rPr>
          <w:rFonts w:ascii="Book Antiqua" w:eastAsia="Book Antiqua" w:hAnsi="Book Antiqua" w:cs="Book Antiqua"/>
          <w:i/>
          <w:iCs/>
          <w:color w:val="000000"/>
        </w:rPr>
        <w:t>World J Clin Cases</w:t>
      </w:r>
      <w:r w:rsidR="00A93D8B">
        <w:rPr>
          <w:rFonts w:ascii="Book Antiqua" w:eastAsia="Book Antiqua" w:hAnsi="Book Antiqua" w:cs="Book Antiqua"/>
          <w:color w:val="000000"/>
        </w:rPr>
        <w:t xml:space="preserve"> </w:t>
      </w:r>
      <w:r w:rsidR="00A93D8B" w:rsidRPr="0060389F">
        <w:rPr>
          <w:rFonts w:ascii="Book Antiqua" w:eastAsia="Book Antiqua" w:hAnsi="Book Antiqua" w:cs="Book Antiqua"/>
          <w:color w:val="000000"/>
        </w:rPr>
        <w:t>2021;</w:t>
      </w:r>
      <w:r w:rsidR="00A93D8B">
        <w:rPr>
          <w:rFonts w:ascii="Book Antiqua" w:eastAsia="Book Antiqua" w:hAnsi="Book Antiqua" w:cs="Book Antiqua"/>
          <w:color w:val="000000"/>
        </w:rPr>
        <w:t xml:space="preserve"> </w:t>
      </w:r>
      <w:r w:rsidR="00A93D8B" w:rsidRPr="00D46C6C">
        <w:rPr>
          <w:rFonts w:ascii="Book Antiqua" w:eastAsia="Book Antiqua" w:hAnsi="Book Antiqua" w:cs="Book Antiqua"/>
          <w:color w:val="000000"/>
        </w:rPr>
        <w:t>9(</w:t>
      </w:r>
      <w:r w:rsidR="00A93D8B">
        <w:rPr>
          <w:rFonts w:ascii="Book Antiqua" w:eastAsia="Book Antiqua" w:hAnsi="Book Antiqua" w:cs="Book Antiqua"/>
          <w:color w:val="000000"/>
        </w:rPr>
        <w:t>1</w:t>
      </w:r>
      <w:r w:rsidR="00616F66">
        <w:rPr>
          <w:rFonts w:ascii="Book Antiqua" w:eastAsia="Book Antiqua" w:hAnsi="Book Antiqua" w:cs="Book Antiqua"/>
          <w:color w:val="000000"/>
        </w:rPr>
        <w:t>1</w:t>
      </w:r>
      <w:r w:rsidR="00A93D8B" w:rsidRPr="00D46C6C">
        <w:rPr>
          <w:rFonts w:ascii="Book Antiqua" w:eastAsia="Book Antiqua" w:hAnsi="Book Antiqua" w:cs="Book Antiqua"/>
          <w:color w:val="000000"/>
        </w:rPr>
        <w:t>):</w:t>
      </w:r>
      <w:r w:rsidR="00A93D8B">
        <w:rPr>
          <w:rFonts w:ascii="Book Antiqua" w:eastAsia="Book Antiqua" w:hAnsi="Book Antiqua" w:cs="Book Antiqua"/>
          <w:color w:val="000000"/>
        </w:rPr>
        <w:t xml:space="preserve"> </w:t>
      </w:r>
      <w:r w:rsidR="00936373" w:rsidRPr="00936373">
        <w:rPr>
          <w:rFonts w:ascii="Book Antiqua" w:eastAsia="Book Antiqua" w:hAnsi="Book Antiqua" w:cs="Book Antiqua"/>
          <w:color w:val="000000"/>
        </w:rPr>
        <w:t>2611-2618</w:t>
      </w:r>
    </w:p>
    <w:p w14:paraId="2B09F919" w14:textId="5A43BC36" w:rsidR="00936373" w:rsidRDefault="00A93D8B" w:rsidP="00711C48">
      <w:pPr>
        <w:spacing w:line="360" w:lineRule="auto"/>
        <w:jc w:val="both"/>
        <w:rPr>
          <w:rFonts w:ascii="Book Antiqua" w:eastAsia="Book Antiqua" w:hAnsi="Book Antiqua" w:cs="Book Antiqua"/>
          <w:color w:val="000000"/>
        </w:rPr>
      </w:pPr>
      <w:r w:rsidRPr="00D46C6C">
        <w:rPr>
          <w:rFonts w:ascii="Book Antiqua" w:eastAsia="Book Antiqua" w:hAnsi="Book Antiqua" w:cs="Book Antiqua"/>
          <w:color w:val="000000"/>
        </w:rPr>
        <w:t>URL:</w:t>
      </w:r>
      <w:r>
        <w:rPr>
          <w:rFonts w:ascii="Book Antiqua" w:eastAsia="Book Antiqua" w:hAnsi="Book Antiqua" w:cs="Book Antiqua"/>
          <w:color w:val="000000"/>
        </w:rPr>
        <w:t xml:space="preserve"> </w:t>
      </w:r>
      <w:r w:rsidRPr="00D46C6C">
        <w:rPr>
          <w:rFonts w:ascii="Book Antiqua" w:eastAsia="Book Antiqua" w:hAnsi="Book Antiqua" w:cs="Book Antiqua"/>
          <w:color w:val="000000"/>
        </w:rPr>
        <w:t>https://www.wjgnet.com/2307-8960/full/v9/i</w:t>
      </w:r>
      <w:r>
        <w:rPr>
          <w:rFonts w:ascii="Book Antiqua" w:eastAsia="Book Antiqua" w:hAnsi="Book Antiqua" w:cs="Book Antiqua"/>
          <w:color w:val="000000"/>
        </w:rPr>
        <w:t>1</w:t>
      </w:r>
      <w:r w:rsidR="00616F66">
        <w:rPr>
          <w:rFonts w:ascii="Book Antiqua" w:eastAsia="Book Antiqua" w:hAnsi="Book Antiqua" w:cs="Book Antiqua"/>
          <w:color w:val="000000"/>
        </w:rPr>
        <w:t>1</w:t>
      </w:r>
      <w:r w:rsidRPr="00D46C6C">
        <w:rPr>
          <w:rFonts w:ascii="Book Antiqua" w:eastAsia="Book Antiqua" w:hAnsi="Book Antiqua" w:cs="Book Antiqua"/>
          <w:color w:val="000000"/>
        </w:rPr>
        <w:t>/</w:t>
      </w:r>
      <w:r w:rsidR="00936373" w:rsidRPr="00936373">
        <w:rPr>
          <w:rFonts w:ascii="Book Antiqua" w:eastAsia="Book Antiqua" w:hAnsi="Book Antiqua" w:cs="Book Antiqua"/>
          <w:color w:val="000000"/>
        </w:rPr>
        <w:t>2611</w:t>
      </w:r>
      <w:r w:rsidRPr="00D46C6C">
        <w:rPr>
          <w:rFonts w:ascii="Book Antiqua" w:eastAsia="Book Antiqua" w:hAnsi="Book Antiqua" w:cs="Book Antiqua"/>
          <w:color w:val="000000"/>
        </w:rPr>
        <w:t>.htm</w:t>
      </w:r>
      <w:r>
        <w:rPr>
          <w:rFonts w:ascii="Book Antiqua" w:eastAsia="Book Antiqua" w:hAnsi="Book Antiqua" w:cs="Book Antiqua"/>
          <w:color w:val="000000"/>
        </w:rPr>
        <w:t xml:space="preserve">  </w:t>
      </w:r>
    </w:p>
    <w:p w14:paraId="238D0BBD" w14:textId="17788458" w:rsidR="00A93D8B" w:rsidRDefault="00A93D8B" w:rsidP="00711C48">
      <w:pPr>
        <w:spacing w:line="360" w:lineRule="auto"/>
        <w:jc w:val="both"/>
      </w:pPr>
      <w:r w:rsidRPr="00D46C6C">
        <w:rPr>
          <w:rFonts w:ascii="Book Antiqua" w:eastAsia="Book Antiqua" w:hAnsi="Book Antiqua" w:cs="Book Antiqua"/>
          <w:color w:val="000000"/>
        </w:rPr>
        <w:t>DOI:</w:t>
      </w:r>
      <w:r>
        <w:rPr>
          <w:rFonts w:ascii="Book Antiqua" w:eastAsia="Book Antiqua" w:hAnsi="Book Antiqua" w:cs="Book Antiqua"/>
          <w:color w:val="000000"/>
        </w:rPr>
        <w:t xml:space="preserve"> </w:t>
      </w:r>
      <w:r w:rsidRPr="00D46C6C">
        <w:rPr>
          <w:rFonts w:ascii="Book Antiqua" w:eastAsia="Book Antiqua" w:hAnsi="Book Antiqua" w:cs="Book Antiqua"/>
          <w:color w:val="000000"/>
        </w:rPr>
        <w:t>https://dx.doi.org/10.12998/wjcc.v9.i</w:t>
      </w:r>
      <w:r>
        <w:rPr>
          <w:rFonts w:ascii="Book Antiqua" w:eastAsia="Book Antiqua" w:hAnsi="Book Antiqua" w:cs="Book Antiqua"/>
          <w:color w:val="000000"/>
        </w:rPr>
        <w:t>1</w:t>
      </w:r>
      <w:r w:rsidR="00616F66">
        <w:rPr>
          <w:rFonts w:ascii="Book Antiqua" w:eastAsia="Book Antiqua" w:hAnsi="Book Antiqua" w:cs="Book Antiqua"/>
          <w:color w:val="000000"/>
        </w:rPr>
        <w:t>1</w:t>
      </w:r>
      <w:r w:rsidRPr="00D46C6C">
        <w:rPr>
          <w:rFonts w:ascii="Book Antiqua" w:eastAsia="Book Antiqua" w:hAnsi="Book Antiqua" w:cs="Book Antiqua"/>
          <w:color w:val="000000"/>
        </w:rPr>
        <w:t>.</w:t>
      </w:r>
      <w:r w:rsidR="00936373" w:rsidRPr="00936373">
        <w:rPr>
          <w:rFonts w:ascii="Book Antiqua" w:eastAsia="Book Antiqua" w:hAnsi="Book Antiqua" w:cs="Book Antiqua"/>
          <w:color w:val="000000"/>
        </w:rPr>
        <w:t>2611</w:t>
      </w:r>
    </w:p>
    <w:p w14:paraId="76BF3459" w14:textId="750821FB" w:rsidR="00A77B3E" w:rsidRDefault="00A77B3E">
      <w:pPr>
        <w:spacing w:line="360" w:lineRule="auto"/>
        <w:jc w:val="both"/>
      </w:pPr>
    </w:p>
    <w:bookmarkEnd w:id="47"/>
    <w:bookmarkEnd w:id="48"/>
    <w:p w14:paraId="204828A1" w14:textId="77777777" w:rsidR="00A77B3E" w:rsidRDefault="00A77B3E">
      <w:pPr>
        <w:spacing w:line="360" w:lineRule="auto"/>
        <w:jc w:val="both"/>
      </w:pPr>
    </w:p>
    <w:p w14:paraId="0B4B6A5B" w14:textId="10338564" w:rsidR="00A77B3E" w:rsidRDefault="00BB6868">
      <w:pPr>
        <w:spacing w:line="360" w:lineRule="auto"/>
        <w:jc w:val="both"/>
      </w:pPr>
      <w:r>
        <w:rPr>
          <w:rFonts w:ascii="Book Antiqua" w:eastAsia="Book Antiqua" w:hAnsi="Book Antiqua" w:cs="Book Antiqua"/>
          <w:b/>
          <w:bCs/>
          <w:color w:val="000000"/>
          <w:szCs w:val="21"/>
        </w:rPr>
        <w:t xml:space="preserve">Core Tip: </w:t>
      </w:r>
      <w:bookmarkStart w:id="49" w:name="OLE_LINK429"/>
      <w:bookmarkStart w:id="50" w:name="OLE_LINK430"/>
      <w:bookmarkStart w:id="51" w:name="OLE_LINK431"/>
      <w:r>
        <w:rPr>
          <w:rFonts w:ascii="Book Antiqua" w:eastAsia="Book Antiqua" w:hAnsi="Book Antiqua" w:cs="Book Antiqua"/>
          <w:color w:val="000000"/>
        </w:rPr>
        <w:t xml:space="preserve">Eltrombopag is a </w:t>
      </w:r>
      <w:r w:rsidR="00646248">
        <w:rPr>
          <w:rFonts w:ascii="Book Antiqua" w:eastAsia="Book Antiqua" w:hAnsi="Book Antiqua" w:cs="Book Antiqua"/>
          <w:color w:val="000000"/>
        </w:rPr>
        <w:t xml:space="preserve">thrombopoietin </w:t>
      </w:r>
      <w:r>
        <w:rPr>
          <w:rFonts w:ascii="Book Antiqua" w:eastAsia="Book Antiqua" w:hAnsi="Book Antiqua" w:cs="Book Antiqua"/>
          <w:color w:val="000000"/>
        </w:rPr>
        <w:t xml:space="preserve">receptor agonist carrying an increased risk of treatment-related thromboembolism. Reports implicating both venous and arterial thromboses have appeared in the medical literature. Herein, we describe a patient with </w:t>
      </w:r>
      <w:r w:rsidR="00646248">
        <w:rPr>
          <w:rFonts w:ascii="Book Antiqua" w:eastAsia="Book Antiqua" w:hAnsi="Book Antiqua" w:cs="Book Antiqua"/>
          <w:color w:val="000000"/>
        </w:rPr>
        <w:t xml:space="preserve">immune thrombocytopenia </w:t>
      </w:r>
      <w:r>
        <w:rPr>
          <w:rFonts w:ascii="Book Antiqua" w:eastAsia="Book Antiqua" w:hAnsi="Book Antiqua" w:cs="Book Antiqua"/>
          <w:color w:val="000000"/>
        </w:rPr>
        <w:t xml:space="preserve">but no signs of nephropathy </w:t>
      </w:r>
      <w:r w:rsidR="0053610E">
        <w:rPr>
          <w:rFonts w:ascii="Book Antiqua" w:eastAsia="Book Antiqua" w:hAnsi="Book Antiqua" w:cs="Book Antiqua"/>
          <w:color w:val="000000"/>
        </w:rPr>
        <w:t xml:space="preserve">who </w:t>
      </w:r>
      <w:r>
        <w:rPr>
          <w:rFonts w:ascii="Book Antiqua" w:eastAsia="Book Antiqua" w:hAnsi="Book Antiqua" w:cs="Book Antiqua"/>
          <w:color w:val="000000"/>
        </w:rPr>
        <w:t>developed renal vein thrombosis and pulmonary embolism while receiving eltrombopag. During subsequent anticoagulant treatment, the renal vein thrombus spontaneously resolved, restoring venous circulation. A rapid upsurge in platelets (as opposed to their absolute count) may be the chief determinant of such thrombotic events during cytopenic downturns.</w:t>
      </w:r>
      <w:bookmarkEnd w:id="49"/>
      <w:bookmarkEnd w:id="50"/>
      <w:bookmarkEnd w:id="51"/>
    </w:p>
    <w:p w14:paraId="673BCB92" w14:textId="77777777" w:rsidR="00A77B3E" w:rsidRDefault="00A77B3E">
      <w:pPr>
        <w:spacing w:line="360" w:lineRule="auto"/>
        <w:jc w:val="both"/>
      </w:pPr>
    </w:p>
    <w:p w14:paraId="7BFD87D0" w14:textId="77777777" w:rsidR="00A77B3E" w:rsidRDefault="00646248">
      <w:pPr>
        <w:spacing w:line="360" w:lineRule="auto"/>
        <w:jc w:val="both"/>
      </w:pPr>
      <w:r>
        <w:rPr>
          <w:rFonts w:ascii="Book Antiqua" w:eastAsia="Book Antiqua" w:hAnsi="Book Antiqua" w:cs="Book Antiqua"/>
          <w:b/>
          <w:caps/>
          <w:color w:val="000000"/>
          <w:u w:val="single"/>
        </w:rPr>
        <w:br w:type="page"/>
      </w:r>
      <w:r w:rsidR="00BB6868">
        <w:rPr>
          <w:rFonts w:ascii="Book Antiqua" w:eastAsia="Book Antiqua" w:hAnsi="Book Antiqua" w:cs="Book Antiqua"/>
          <w:b/>
          <w:caps/>
          <w:color w:val="000000"/>
          <w:u w:val="single"/>
        </w:rPr>
        <w:lastRenderedPageBreak/>
        <w:t>INTRODUCTION</w:t>
      </w:r>
    </w:p>
    <w:p w14:paraId="4850265B" w14:textId="77777777" w:rsidR="00A77B3E" w:rsidRDefault="00BB6868">
      <w:pPr>
        <w:spacing w:line="360" w:lineRule="auto"/>
        <w:jc w:val="both"/>
      </w:pPr>
      <w:bookmarkStart w:id="52" w:name="OLE_LINK439"/>
      <w:bookmarkStart w:id="53" w:name="OLE_LINK440"/>
      <w:r>
        <w:rPr>
          <w:rFonts w:ascii="Book Antiqua" w:eastAsia="Book Antiqua" w:hAnsi="Book Antiqua" w:cs="Book Antiqua"/>
          <w:color w:val="000000"/>
        </w:rPr>
        <w:t>Eltrombopag is an orally administered thrombopoietin receptor agonist (TPO-RA)</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Its indications include immune thrombocytopenia (ITP) refractory to standard treatments (steroids, immunosuppressants, and splenectomy) where there is risk of bleeding</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However, various studies and sporadic case reports have shown an increased risk of treatment-related thromboembolism</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documenting both venous and arterial thromboses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Superior sagittal sinus and portal vein thromboses are even known to occur</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w:t>
      </w:r>
    </w:p>
    <w:p w14:paraId="45DC4B33" w14:textId="77777777" w:rsidR="00A77B3E" w:rsidRDefault="00BB6868" w:rsidP="004F5692">
      <w:pPr>
        <w:spacing w:line="360" w:lineRule="auto"/>
        <w:ind w:firstLineChars="100" w:firstLine="240"/>
        <w:jc w:val="both"/>
      </w:pPr>
      <w:r>
        <w:rPr>
          <w:rFonts w:ascii="Book Antiqua" w:eastAsia="Book Antiqua" w:hAnsi="Book Antiqua" w:cs="Book Antiqua"/>
          <w:color w:val="000000"/>
        </w:rPr>
        <w:t xml:space="preserve">Herein, we describe the development of renal vein thrombosis and pulmonary embolism in a patient given eltrombopag for ITP. This occurred in the absence of nephropathy. During subsequent anticoagulant treatment, the renal vein thrombus spontaneously resolved, restoring venous circulation. </w:t>
      </w:r>
    </w:p>
    <w:bookmarkEnd w:id="52"/>
    <w:bookmarkEnd w:id="53"/>
    <w:p w14:paraId="2F3DAAB6" w14:textId="77777777" w:rsidR="00A77B3E" w:rsidRDefault="00A77B3E">
      <w:pPr>
        <w:spacing w:line="360" w:lineRule="auto"/>
        <w:jc w:val="both"/>
      </w:pPr>
    </w:p>
    <w:p w14:paraId="6BCAD105" w14:textId="77777777" w:rsidR="00A77B3E" w:rsidRDefault="00BB6868">
      <w:pPr>
        <w:spacing w:line="360" w:lineRule="auto"/>
        <w:jc w:val="both"/>
      </w:pPr>
      <w:r>
        <w:rPr>
          <w:rFonts w:ascii="Book Antiqua" w:eastAsia="Book Antiqua" w:hAnsi="Book Antiqua" w:cs="Book Antiqua"/>
          <w:b/>
          <w:caps/>
          <w:color w:val="000000"/>
          <w:u w:val="single"/>
        </w:rPr>
        <w:t>CASE PRESENTATION</w:t>
      </w:r>
    </w:p>
    <w:p w14:paraId="5EC1A2E7" w14:textId="77777777" w:rsidR="00A77B3E" w:rsidRDefault="00BB6868">
      <w:pPr>
        <w:spacing w:line="360" w:lineRule="auto"/>
        <w:jc w:val="both"/>
      </w:pPr>
      <w:r>
        <w:rPr>
          <w:rFonts w:ascii="Book Antiqua" w:eastAsia="Book Antiqua" w:hAnsi="Book Antiqua" w:cs="Book Antiqua"/>
          <w:b/>
          <w:i/>
          <w:color w:val="000000"/>
        </w:rPr>
        <w:t>Chief complaints</w:t>
      </w:r>
    </w:p>
    <w:p w14:paraId="45935BF2" w14:textId="77777777" w:rsidR="00A77B3E" w:rsidRDefault="00BB6868">
      <w:pPr>
        <w:spacing w:line="360" w:lineRule="auto"/>
        <w:jc w:val="both"/>
      </w:pPr>
      <w:bookmarkStart w:id="54" w:name="OLE_LINK441"/>
      <w:bookmarkStart w:id="55" w:name="OLE_LINK442"/>
      <w:bookmarkStart w:id="56" w:name="OLE_LINK443"/>
      <w:r>
        <w:rPr>
          <w:rFonts w:ascii="Book Antiqua" w:eastAsia="Book Antiqua" w:hAnsi="Book Antiqua" w:cs="Book Antiqua"/>
          <w:color w:val="000000"/>
        </w:rPr>
        <w:t>Chief patient complaints were acute abdominal pain around the navel and d</w:t>
      </w:r>
      <w:r w:rsidR="003D3D23">
        <w:rPr>
          <w:rFonts w:ascii="Book Antiqua" w:eastAsia="Book Antiqua" w:hAnsi="Book Antiqua" w:cs="Book Antiqua"/>
          <w:color w:val="000000"/>
        </w:rPr>
        <w:t>istension for 1 wk, with a 5-</w:t>
      </w:r>
      <w:r w:rsidR="003D3D23">
        <w:rPr>
          <w:rFonts w:ascii="Book Antiqua" w:hAnsi="Book Antiqua" w:cs="Book Antiqua" w:hint="eastAsia"/>
          <w:color w:val="000000"/>
          <w:lang w:eastAsia="zh-CN"/>
        </w:rPr>
        <w:t>d</w:t>
      </w:r>
      <w:r>
        <w:rPr>
          <w:rFonts w:ascii="Book Antiqua" w:eastAsia="Book Antiqua" w:hAnsi="Book Antiqua" w:cs="Book Antiqua"/>
          <w:color w:val="000000"/>
        </w:rPr>
        <w:t xml:space="preserve"> bout of constipation.</w:t>
      </w:r>
    </w:p>
    <w:bookmarkEnd w:id="54"/>
    <w:bookmarkEnd w:id="55"/>
    <w:bookmarkEnd w:id="56"/>
    <w:p w14:paraId="413B3F8F" w14:textId="77777777" w:rsidR="00A77B3E" w:rsidRDefault="00A77B3E">
      <w:pPr>
        <w:spacing w:line="360" w:lineRule="auto"/>
        <w:jc w:val="both"/>
      </w:pPr>
    </w:p>
    <w:p w14:paraId="19023954" w14:textId="77777777" w:rsidR="00A77B3E" w:rsidRDefault="00BB6868">
      <w:pPr>
        <w:spacing w:line="360" w:lineRule="auto"/>
        <w:jc w:val="both"/>
      </w:pPr>
      <w:r>
        <w:rPr>
          <w:rFonts w:ascii="Book Antiqua" w:eastAsia="Book Antiqua" w:hAnsi="Book Antiqua" w:cs="Book Antiqua"/>
          <w:b/>
          <w:i/>
          <w:color w:val="000000"/>
        </w:rPr>
        <w:t>History of present illness</w:t>
      </w:r>
    </w:p>
    <w:p w14:paraId="055DFFF8" w14:textId="69839417" w:rsidR="00A77B3E" w:rsidRDefault="00BB6868">
      <w:pPr>
        <w:spacing w:line="360" w:lineRule="auto"/>
        <w:jc w:val="both"/>
      </w:pPr>
      <w:bookmarkStart w:id="57" w:name="OLE_LINK444"/>
      <w:bookmarkStart w:id="58" w:name="OLE_LINK445"/>
      <w:r>
        <w:rPr>
          <w:rFonts w:ascii="Book Antiqua" w:eastAsia="Book Antiqua" w:hAnsi="Book Antiqua" w:cs="Book Antiqua"/>
          <w:color w:val="000000"/>
        </w:rPr>
        <w:t>Abdominal pain and distention started a week ago and worsened. There were no other symptoms (</w:t>
      </w:r>
      <w:r w:rsidRPr="003D3D23">
        <w:rPr>
          <w:rFonts w:ascii="Book Antiqua" w:eastAsia="Book Antiqua" w:hAnsi="Book Antiqua" w:cs="Book Antiqua"/>
          <w:i/>
          <w:color w:val="000000"/>
        </w:rPr>
        <w:t>i</w:t>
      </w:r>
      <w:r w:rsidR="003D3D23" w:rsidRPr="003D3D23">
        <w:rPr>
          <w:rFonts w:ascii="Book Antiqua" w:hAnsi="Book Antiqua" w:cs="Book Antiqua" w:hint="eastAsia"/>
          <w:i/>
          <w:color w:val="000000"/>
          <w:lang w:eastAsia="zh-CN"/>
        </w:rPr>
        <w:t>.</w:t>
      </w:r>
      <w:r w:rsidRPr="003D3D23">
        <w:rPr>
          <w:rFonts w:ascii="Book Antiqua" w:eastAsia="Book Antiqua" w:hAnsi="Book Antiqua" w:cs="Book Antiqua"/>
          <w:i/>
          <w:color w:val="000000"/>
        </w:rPr>
        <w:t>e</w:t>
      </w:r>
      <w:r w:rsidR="000F38A2">
        <w:rPr>
          <w:rFonts w:ascii="Book Antiqua" w:eastAsia="Book Antiqua" w:hAnsi="Book Antiqua" w:cs="Book Antiqua"/>
          <w:i/>
          <w:color w:val="000000"/>
        </w:rPr>
        <w:t>.</w:t>
      </w:r>
      <w:r>
        <w:rPr>
          <w:rFonts w:ascii="Book Antiqua" w:eastAsia="Book Antiqua" w:hAnsi="Book Antiqua" w:cs="Book Antiqua"/>
          <w:color w:val="000000"/>
        </w:rPr>
        <w:t xml:space="preserve">, breathlessness, chest pain, hemoptysis, or syncope). </w:t>
      </w:r>
    </w:p>
    <w:bookmarkEnd w:id="57"/>
    <w:bookmarkEnd w:id="58"/>
    <w:p w14:paraId="02318645" w14:textId="77777777" w:rsidR="00A77B3E" w:rsidRDefault="00A77B3E">
      <w:pPr>
        <w:spacing w:line="360" w:lineRule="auto"/>
        <w:jc w:val="both"/>
      </w:pPr>
    </w:p>
    <w:p w14:paraId="40F8A8E2" w14:textId="77777777" w:rsidR="00A77B3E" w:rsidRDefault="00BB6868">
      <w:pPr>
        <w:spacing w:line="360" w:lineRule="auto"/>
        <w:jc w:val="both"/>
      </w:pPr>
      <w:r>
        <w:rPr>
          <w:rFonts w:ascii="Book Antiqua" w:eastAsia="Book Antiqua" w:hAnsi="Book Antiqua" w:cs="Book Antiqua"/>
          <w:b/>
          <w:i/>
          <w:color w:val="000000"/>
        </w:rPr>
        <w:t>History of past illness</w:t>
      </w:r>
    </w:p>
    <w:p w14:paraId="1E73B934" w14:textId="5AB913A8" w:rsidR="00A77B3E" w:rsidRDefault="00BB6868">
      <w:pPr>
        <w:spacing w:line="360" w:lineRule="auto"/>
        <w:jc w:val="both"/>
      </w:pPr>
      <w:bookmarkStart w:id="59" w:name="OLE_LINK446"/>
      <w:bookmarkStart w:id="60" w:name="OLE_LINK447"/>
      <w:bookmarkStart w:id="61" w:name="OLE_LINK448"/>
      <w:r>
        <w:rPr>
          <w:rFonts w:ascii="Book Antiqua" w:eastAsia="Book Antiqua" w:hAnsi="Book Antiqua" w:cs="Book Antiqua"/>
          <w:color w:val="000000"/>
        </w:rPr>
        <w:t>The patient had a 3-year history of ITP responding poorly to daily oral prednisone (60 mg initially, gradually tapered to 5 mg and taken for months), with platelet counts hovering at 10-30</w:t>
      </w:r>
      <w:r w:rsidR="003D3D2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D3D23">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 xml:space="preserve">9 </w:t>
      </w:r>
      <w:r>
        <w:rPr>
          <w:rFonts w:ascii="Book Antiqua" w:eastAsia="Book Antiqua" w:hAnsi="Book Antiqua" w:cs="Book Antiqua"/>
          <w:color w:val="000000"/>
        </w:rPr>
        <w:t>/L. One and one-half months earlier, the platelet count further declined, prompting a boost in prednisone dosage (to 60 mg daily) and addition of oral danazol (0.1 g bid) until 2 wk before admission. At that time, she developed epistaxis, and the platelet count plummeted (6</w:t>
      </w:r>
      <w:r w:rsidR="003D3D2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D3D23">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Given the poor response to treatment, her </w:t>
      </w:r>
      <w:r>
        <w:rPr>
          <w:rFonts w:ascii="Book Antiqua" w:eastAsia="Book Antiqua" w:hAnsi="Book Antiqua" w:cs="Book Antiqua"/>
          <w:color w:val="000000"/>
        </w:rPr>
        <w:lastRenderedPageBreak/>
        <w:t>hematologist withdrew the prednisone/danazol regimen in favor of oral eltrombopag (25 mg daily), which she received for nearly 2 wk before seeking our care. One week before admission, her platelet count was 60</w:t>
      </w:r>
      <w:r w:rsidR="003D3D2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D3D23">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w:t>
      </w:r>
    </w:p>
    <w:bookmarkEnd w:id="59"/>
    <w:bookmarkEnd w:id="60"/>
    <w:bookmarkEnd w:id="61"/>
    <w:p w14:paraId="5894B4DD" w14:textId="77777777" w:rsidR="00A77B3E" w:rsidRPr="006D0F8A" w:rsidRDefault="00A77B3E">
      <w:pPr>
        <w:spacing w:line="360" w:lineRule="auto"/>
        <w:jc w:val="both"/>
        <w:rPr>
          <w:lang w:eastAsia="zh-CN"/>
        </w:rPr>
      </w:pPr>
    </w:p>
    <w:p w14:paraId="5BEB6C3B" w14:textId="77777777" w:rsidR="00A77B3E" w:rsidRDefault="00BB6868">
      <w:pPr>
        <w:spacing w:line="360" w:lineRule="auto"/>
        <w:jc w:val="both"/>
      </w:pPr>
      <w:r>
        <w:rPr>
          <w:rFonts w:ascii="Book Antiqua" w:eastAsia="Book Antiqua" w:hAnsi="Book Antiqua" w:cs="Book Antiqua"/>
          <w:b/>
          <w:i/>
          <w:color w:val="000000"/>
        </w:rPr>
        <w:t>Physical examination</w:t>
      </w:r>
    </w:p>
    <w:p w14:paraId="71A40D7D" w14:textId="77777777" w:rsidR="00A77B3E" w:rsidRDefault="00BB6868">
      <w:pPr>
        <w:spacing w:line="360" w:lineRule="auto"/>
        <w:jc w:val="both"/>
      </w:pPr>
      <w:bookmarkStart w:id="62" w:name="OLE_LINK449"/>
      <w:bookmarkStart w:id="63" w:name="OLE_LINK450"/>
      <w:r>
        <w:rPr>
          <w:rFonts w:ascii="Book Antiqua" w:eastAsia="Book Antiqua" w:hAnsi="Book Antiqua" w:cs="Book Antiqua"/>
          <w:color w:val="000000"/>
        </w:rPr>
        <w:t>Upon admission, the physical examination revealed abdominal tenderness, with guarding and rebound pain around the navel; and there was pain on percussion in the right renal area. No lower limb swelling or edema was detected.</w:t>
      </w:r>
    </w:p>
    <w:bookmarkEnd w:id="62"/>
    <w:bookmarkEnd w:id="63"/>
    <w:p w14:paraId="3DA6707E" w14:textId="77777777" w:rsidR="00A77B3E" w:rsidRDefault="00A77B3E">
      <w:pPr>
        <w:spacing w:line="360" w:lineRule="auto"/>
        <w:jc w:val="both"/>
      </w:pPr>
    </w:p>
    <w:p w14:paraId="353663D2" w14:textId="77777777" w:rsidR="00A77B3E" w:rsidRDefault="00BB6868">
      <w:pPr>
        <w:spacing w:line="360" w:lineRule="auto"/>
        <w:jc w:val="both"/>
      </w:pPr>
      <w:r>
        <w:rPr>
          <w:rFonts w:ascii="Book Antiqua" w:eastAsia="Book Antiqua" w:hAnsi="Book Antiqua" w:cs="Book Antiqua"/>
          <w:b/>
          <w:i/>
          <w:color w:val="000000"/>
        </w:rPr>
        <w:t>Laboratory examinations</w:t>
      </w:r>
    </w:p>
    <w:p w14:paraId="02A04529" w14:textId="77777777" w:rsidR="00A77B3E" w:rsidRPr="006D0F8A" w:rsidRDefault="006D0F8A" w:rsidP="006D0F8A">
      <w:pPr>
        <w:spacing w:line="360" w:lineRule="auto"/>
        <w:jc w:val="both"/>
        <w:rPr>
          <w:lang w:eastAsia="zh-CN"/>
        </w:rPr>
      </w:pPr>
      <w:bookmarkStart w:id="64" w:name="OLE_LINK451"/>
      <w:bookmarkStart w:id="65" w:name="OLE_LINK452"/>
      <w:r w:rsidRPr="006D0F8A">
        <w:rPr>
          <w:rFonts w:ascii="Book Antiqua" w:eastAsia="Book Antiqua" w:hAnsi="Book Antiqua" w:cs="Book Antiqua"/>
          <w:bCs/>
          <w:color w:val="000000"/>
        </w:rPr>
        <w:t xml:space="preserve">Results of </w:t>
      </w:r>
      <w:bookmarkStart w:id="66" w:name="OLE_LINK14"/>
      <w:bookmarkStart w:id="67" w:name="OLE_LINK15"/>
      <w:r w:rsidRPr="006D0F8A">
        <w:rPr>
          <w:rFonts w:ascii="Book Antiqua" w:eastAsia="Book Antiqua" w:hAnsi="Book Antiqua" w:cs="Book Antiqua"/>
          <w:bCs/>
          <w:color w:val="000000"/>
        </w:rPr>
        <w:t xml:space="preserve">blood </w:t>
      </w:r>
      <w:bookmarkEnd w:id="66"/>
      <w:bookmarkEnd w:id="67"/>
      <w:r w:rsidRPr="006D0F8A">
        <w:rPr>
          <w:rFonts w:ascii="Book Antiqua" w:eastAsia="Book Antiqua" w:hAnsi="Book Antiqua" w:cs="Book Antiqua"/>
          <w:bCs/>
          <w:color w:val="000000"/>
        </w:rPr>
        <w:t>analyses and urinalysis</w:t>
      </w:r>
      <w:r>
        <w:rPr>
          <w:rFonts w:ascii="Book Antiqua" w:eastAsia="Book Antiqua" w:hAnsi="Book Antiqua" w:cs="Book Antiqua"/>
          <w:bCs/>
          <w:color w:val="000000"/>
        </w:rPr>
        <w:t xml:space="preserve"> are shown in </w:t>
      </w:r>
      <w:r>
        <w:rPr>
          <w:rFonts w:ascii="Book Antiqua" w:hAnsi="Book Antiqua" w:cs="Book Antiqua" w:hint="eastAsia"/>
          <w:bCs/>
          <w:color w:val="000000"/>
          <w:lang w:eastAsia="zh-CN"/>
        </w:rPr>
        <w:t>T</w:t>
      </w:r>
      <w:r w:rsidRPr="006D0F8A">
        <w:rPr>
          <w:rFonts w:ascii="Book Antiqua" w:eastAsia="Book Antiqua" w:hAnsi="Book Antiqua" w:cs="Book Antiqua"/>
          <w:bCs/>
          <w:color w:val="000000"/>
        </w:rPr>
        <w:t>ables 1 and 2</w:t>
      </w:r>
      <w:r>
        <w:rPr>
          <w:rFonts w:ascii="Book Antiqua" w:hAnsi="Book Antiqua" w:cs="Book Antiqua" w:hint="eastAsia"/>
          <w:bCs/>
          <w:color w:val="000000"/>
          <w:lang w:eastAsia="zh-CN"/>
        </w:rPr>
        <w:t>.</w:t>
      </w:r>
    </w:p>
    <w:bookmarkEnd w:id="64"/>
    <w:bookmarkEnd w:id="65"/>
    <w:p w14:paraId="5989EF83" w14:textId="77777777" w:rsidR="00A77B3E" w:rsidRDefault="00A77B3E">
      <w:pPr>
        <w:spacing w:line="360" w:lineRule="auto"/>
        <w:ind w:hanging="241"/>
        <w:jc w:val="both"/>
      </w:pPr>
    </w:p>
    <w:p w14:paraId="1BB66895" w14:textId="77777777" w:rsidR="00A77B3E" w:rsidRDefault="00BB6868">
      <w:pPr>
        <w:spacing w:line="360" w:lineRule="auto"/>
        <w:jc w:val="both"/>
      </w:pPr>
      <w:r>
        <w:rPr>
          <w:rFonts w:ascii="Book Antiqua" w:eastAsia="Book Antiqua" w:hAnsi="Book Antiqua" w:cs="Book Antiqua"/>
          <w:b/>
          <w:i/>
          <w:color w:val="000000"/>
        </w:rPr>
        <w:t>Imaging examinations</w:t>
      </w:r>
    </w:p>
    <w:p w14:paraId="3FD6ED80" w14:textId="2390FF75" w:rsidR="00A77B3E" w:rsidRPr="00E76955" w:rsidRDefault="00BB6868">
      <w:pPr>
        <w:spacing w:line="360" w:lineRule="auto"/>
        <w:jc w:val="both"/>
      </w:pPr>
      <w:bookmarkStart w:id="68" w:name="OLE_LINK453"/>
      <w:bookmarkStart w:id="69" w:name="OLE_LINK454"/>
      <w:r>
        <w:rPr>
          <w:rFonts w:ascii="Book Antiqua" w:eastAsia="Book Antiqua" w:hAnsi="Book Antiqua" w:cs="Book Antiqua"/>
          <w:color w:val="000000"/>
        </w:rPr>
        <w:t>Computed tomography</w:t>
      </w:r>
      <w:r w:rsidR="00E76955">
        <w:rPr>
          <w:rFonts w:ascii="Book Antiqua" w:hAnsi="Book Antiqua" w:cs="Book Antiqua" w:hint="eastAsia"/>
          <w:color w:val="000000"/>
          <w:lang w:eastAsia="zh-CN"/>
        </w:rPr>
        <w:t xml:space="preserve"> (CT)</w:t>
      </w:r>
      <w:r>
        <w:rPr>
          <w:rFonts w:ascii="Book Antiqua" w:eastAsia="Book Antiqua" w:hAnsi="Book Antiqua" w:cs="Book Antiqua"/>
          <w:color w:val="000000"/>
        </w:rPr>
        <w:t xml:space="preserve"> of the abdomen (with intravenous contrast) demonstrated near-occlusive thrombosis of right renal vein </w:t>
      </w:r>
      <w:r w:rsidRPr="00E76955">
        <w:rPr>
          <w:rFonts w:ascii="Book Antiqua" w:eastAsia="Book Antiqua" w:hAnsi="Book Antiqua" w:cs="Book Antiqua"/>
          <w:color w:val="000000"/>
        </w:rPr>
        <w:t>(</w:t>
      </w:r>
      <w:r w:rsidRPr="00E76955">
        <w:rPr>
          <w:rFonts w:ascii="Book Antiqua" w:eastAsia="Book Antiqua" w:hAnsi="Book Antiqua" w:cs="Book Antiqua"/>
          <w:bCs/>
          <w:color w:val="000000"/>
        </w:rPr>
        <w:t>Figure 1A</w:t>
      </w:r>
      <w:r w:rsidR="00E76955" w:rsidRPr="00E76955">
        <w:rPr>
          <w:rFonts w:ascii="Book Antiqua" w:hAnsi="Book Antiqua" w:cs="Book Antiqua" w:hint="eastAsia"/>
          <w:bCs/>
          <w:color w:val="000000"/>
          <w:lang w:eastAsia="zh-CN"/>
        </w:rPr>
        <w:t xml:space="preserve"> and </w:t>
      </w:r>
      <w:r w:rsidRPr="00E76955">
        <w:rPr>
          <w:rFonts w:ascii="Book Antiqua" w:eastAsia="Book Antiqua" w:hAnsi="Book Antiqua" w:cs="Book Antiqua"/>
          <w:bCs/>
          <w:color w:val="000000"/>
        </w:rPr>
        <w:t>B</w:t>
      </w:r>
      <w:r w:rsidRPr="00E76955">
        <w:rPr>
          <w:rFonts w:ascii="Book Antiqua" w:eastAsia="Book Antiqua" w:hAnsi="Book Antiqua" w:cs="Book Antiqua"/>
          <w:color w:val="000000"/>
        </w:rPr>
        <w:t xml:space="preserve">), </w:t>
      </w:r>
      <w:r>
        <w:rPr>
          <w:rFonts w:ascii="Book Antiqua" w:eastAsia="Book Antiqua" w:hAnsi="Book Antiqua" w:cs="Book Antiqua"/>
          <w:color w:val="000000"/>
        </w:rPr>
        <w:t xml:space="preserve">extending to </w:t>
      </w:r>
      <w:r w:rsidR="0053610E">
        <w:rPr>
          <w:rFonts w:ascii="Book Antiqua" w:eastAsia="Book Antiqua" w:hAnsi="Book Antiqua" w:cs="Book Antiqua"/>
          <w:color w:val="000000"/>
        </w:rPr>
        <w:t xml:space="preserve">the </w:t>
      </w:r>
      <w:r>
        <w:rPr>
          <w:rFonts w:ascii="Book Antiqua" w:eastAsia="Book Antiqua" w:hAnsi="Book Antiqua" w:cs="Book Antiqua"/>
          <w:color w:val="000000"/>
        </w:rPr>
        <w:t>inferior vena cava, and there were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right pulmonary artery pulmonary emboli (PE) on the enhanced chest </w:t>
      </w:r>
      <w:r w:rsidRPr="00E76955">
        <w:rPr>
          <w:rFonts w:ascii="Book Antiqua" w:eastAsia="Book Antiqua" w:hAnsi="Book Antiqua" w:cs="Book Antiqua"/>
          <w:color w:val="000000"/>
        </w:rPr>
        <w:t>CT (</w:t>
      </w:r>
      <w:r w:rsidRPr="00E76955">
        <w:rPr>
          <w:rFonts w:ascii="Book Antiqua" w:eastAsia="Book Antiqua" w:hAnsi="Book Antiqua" w:cs="Book Antiqua"/>
          <w:bCs/>
          <w:color w:val="000000"/>
        </w:rPr>
        <w:t>Figure 1F</w:t>
      </w:r>
      <w:r w:rsidRPr="00E76955">
        <w:rPr>
          <w:rFonts w:ascii="Book Antiqua" w:eastAsia="Book Antiqua" w:hAnsi="Book Antiqua" w:cs="Book Antiqua"/>
          <w:color w:val="000000"/>
        </w:rPr>
        <w:t xml:space="preserve">). </w:t>
      </w:r>
      <w:r w:rsidR="0053610E">
        <w:rPr>
          <w:rFonts w:ascii="Book Antiqua" w:eastAsia="Book Antiqua" w:hAnsi="Book Antiqua" w:cs="Book Antiqua"/>
          <w:color w:val="000000"/>
        </w:rPr>
        <w:t>The r</w:t>
      </w:r>
      <w:r w:rsidR="0053610E" w:rsidRPr="00E76955">
        <w:rPr>
          <w:rFonts w:ascii="Book Antiqua" w:eastAsia="Book Antiqua" w:hAnsi="Book Antiqua" w:cs="Book Antiqua"/>
          <w:color w:val="000000"/>
        </w:rPr>
        <w:t xml:space="preserve">ight </w:t>
      </w:r>
      <w:r w:rsidRPr="00E76955">
        <w:rPr>
          <w:rFonts w:ascii="Book Antiqua" w:eastAsia="Book Antiqua" w:hAnsi="Book Antiqua" w:cs="Book Antiqua"/>
          <w:color w:val="000000"/>
        </w:rPr>
        <w:t>kidney was also enlarged, displaying poor perfusion at upper and lower poles (</w:t>
      </w:r>
      <w:r w:rsidRPr="00E76955">
        <w:rPr>
          <w:rFonts w:ascii="Book Antiqua" w:eastAsia="Book Antiqua" w:hAnsi="Book Antiqua" w:cs="Book Antiqua"/>
          <w:bCs/>
          <w:color w:val="000000"/>
        </w:rPr>
        <w:t>Figure 1C</w:t>
      </w:r>
      <w:r w:rsidRPr="00E76955">
        <w:rPr>
          <w:rFonts w:ascii="Book Antiqua" w:eastAsia="Book Antiqua" w:hAnsi="Book Antiqua" w:cs="Book Antiqua"/>
          <w:color w:val="000000"/>
        </w:rPr>
        <w:t>), and adjacent intestine was distended by gas (</w:t>
      </w:r>
      <w:r w:rsidRPr="00E76955">
        <w:rPr>
          <w:rFonts w:ascii="Book Antiqua" w:eastAsia="Book Antiqua" w:hAnsi="Book Antiqua" w:cs="Book Antiqua"/>
          <w:bCs/>
          <w:color w:val="000000"/>
        </w:rPr>
        <w:t>Figure 1D</w:t>
      </w:r>
      <w:r w:rsidRPr="00E76955">
        <w:rPr>
          <w:rFonts w:ascii="Book Antiqua" w:eastAsia="Book Antiqua" w:hAnsi="Book Antiqua" w:cs="Book Antiqua"/>
          <w:color w:val="000000"/>
        </w:rPr>
        <w:t>). When evaluating effects of PE as sequelae of renal vein thrombosis, no right ventricular dysfunction or hemodynamic compromise was evident by echocardiography. All cardiac chambers were normal in size, with no sig</w:t>
      </w:r>
      <w:r w:rsidR="002548FB">
        <w:rPr>
          <w:rFonts w:ascii="Book Antiqua" w:eastAsia="Book Antiqua" w:hAnsi="Book Antiqua" w:cs="Book Antiqua"/>
          <w:color w:val="000000"/>
        </w:rPr>
        <w:t xml:space="preserve">ns of pulmonary hypertension </w:t>
      </w:r>
      <w:r w:rsidR="002548FB">
        <w:rPr>
          <w:rFonts w:ascii="Book Antiqua" w:hAnsi="Book Antiqua" w:cs="Book Antiqua" w:hint="eastAsia"/>
          <w:color w:val="000000"/>
          <w:lang w:eastAsia="zh-CN"/>
        </w:rPr>
        <w:t>[</w:t>
      </w:r>
      <w:r w:rsidR="002548FB">
        <w:rPr>
          <w:rFonts w:ascii="Book Antiqua" w:eastAsia="Book Antiqua" w:hAnsi="Book Antiqua" w:cs="Book Antiqua"/>
          <w:color w:val="000000"/>
        </w:rPr>
        <w:t xml:space="preserve">ejection fraction, 60% </w:t>
      </w:r>
      <w:r w:rsidR="002548FB">
        <w:rPr>
          <w:rFonts w:ascii="Book Antiqua" w:hAnsi="Book Antiqua" w:cs="Book Antiqua" w:hint="eastAsia"/>
          <w:color w:val="000000"/>
          <w:lang w:eastAsia="zh-CN"/>
        </w:rPr>
        <w:t>(</w:t>
      </w:r>
      <w:r w:rsidRPr="00E76955">
        <w:rPr>
          <w:rFonts w:ascii="Book Antiqua" w:eastAsia="Book Antiqua" w:hAnsi="Book Antiqua" w:cs="Book Antiqua"/>
          <w:color w:val="000000"/>
        </w:rPr>
        <w:t>normally &gt;</w:t>
      </w:r>
      <w:r w:rsidR="002548FB">
        <w:rPr>
          <w:rFonts w:ascii="Book Antiqua" w:hAnsi="Book Antiqua" w:cs="Book Antiqua" w:hint="eastAsia"/>
          <w:color w:val="000000"/>
          <w:lang w:eastAsia="zh-CN"/>
        </w:rPr>
        <w:t xml:space="preserve"> </w:t>
      </w:r>
      <w:r w:rsidR="002548FB">
        <w:rPr>
          <w:rFonts w:ascii="Book Antiqua" w:eastAsia="Book Antiqua" w:hAnsi="Book Antiqua" w:cs="Book Antiqua"/>
          <w:color w:val="000000"/>
        </w:rPr>
        <w:t>55%</w:t>
      </w:r>
      <w:r w:rsidRPr="00E76955">
        <w:rPr>
          <w:rFonts w:ascii="Book Antiqua" w:eastAsia="Book Antiqua" w:hAnsi="Book Antiqua" w:cs="Book Antiqua"/>
          <w:color w:val="000000"/>
        </w:rPr>
        <w:t>); left ventricular</w:t>
      </w:r>
      <w:r w:rsidR="002548FB">
        <w:rPr>
          <w:rFonts w:ascii="Book Antiqua" w:eastAsia="Book Antiqua" w:hAnsi="Book Antiqua" w:cs="Book Antiqua"/>
          <w:color w:val="000000"/>
        </w:rPr>
        <w:t xml:space="preserve"> end-diastolic diameter, 48 mm </w:t>
      </w:r>
      <w:r w:rsidR="002548FB">
        <w:rPr>
          <w:rFonts w:ascii="Book Antiqua" w:hAnsi="Book Antiqua" w:cs="Book Antiqua" w:hint="eastAsia"/>
          <w:color w:val="000000"/>
          <w:lang w:eastAsia="zh-CN"/>
        </w:rPr>
        <w:t>(</w:t>
      </w:r>
      <w:r w:rsidR="002548FB">
        <w:rPr>
          <w:rFonts w:ascii="Book Antiqua" w:eastAsia="Book Antiqua" w:hAnsi="Book Antiqua" w:cs="Book Antiqua"/>
          <w:color w:val="000000"/>
        </w:rPr>
        <w:t>normally &lt;</w:t>
      </w:r>
      <w:r w:rsidR="002548FB">
        <w:rPr>
          <w:rFonts w:ascii="Book Antiqua" w:hAnsi="Book Antiqua" w:cs="Book Antiqua" w:hint="eastAsia"/>
          <w:color w:val="000000"/>
          <w:lang w:eastAsia="zh-CN"/>
        </w:rPr>
        <w:t xml:space="preserve"> </w:t>
      </w:r>
      <w:r w:rsidR="002548FB">
        <w:rPr>
          <w:rFonts w:ascii="Book Antiqua" w:eastAsia="Book Antiqua" w:hAnsi="Book Antiqua" w:cs="Book Antiqua"/>
          <w:color w:val="000000"/>
        </w:rPr>
        <w:t>52 mm</w:t>
      </w:r>
      <w:r w:rsidRPr="00E76955">
        <w:rPr>
          <w:rFonts w:ascii="Book Antiqua" w:eastAsia="Book Antiqua" w:hAnsi="Book Antiqua" w:cs="Book Antiqua"/>
          <w:color w:val="000000"/>
        </w:rPr>
        <w:t>)</w:t>
      </w:r>
      <w:r w:rsidR="002548FB">
        <w:rPr>
          <w:rFonts w:ascii="Book Antiqua" w:hAnsi="Book Antiqua" w:cs="Book Antiqua" w:hint="eastAsia"/>
          <w:color w:val="000000"/>
          <w:lang w:eastAsia="zh-CN"/>
        </w:rPr>
        <w:t>]</w:t>
      </w:r>
      <w:r w:rsidR="000F38A2">
        <w:rPr>
          <w:rFonts w:ascii="Book Antiqua" w:hAnsi="Book Antiqua" w:cs="Book Antiqua"/>
          <w:color w:val="000000"/>
          <w:lang w:eastAsia="zh-CN"/>
        </w:rPr>
        <w:t xml:space="preserve"> (Figure 1)</w:t>
      </w:r>
      <w:r w:rsidRPr="00E76955">
        <w:rPr>
          <w:rFonts w:ascii="Book Antiqua" w:eastAsia="Book Antiqua" w:hAnsi="Book Antiqua" w:cs="Book Antiqua"/>
          <w:color w:val="000000"/>
        </w:rPr>
        <w:t xml:space="preserve">. </w:t>
      </w:r>
    </w:p>
    <w:bookmarkEnd w:id="68"/>
    <w:bookmarkEnd w:id="69"/>
    <w:p w14:paraId="33622B61" w14:textId="77777777" w:rsidR="00A77B3E" w:rsidRDefault="00A77B3E">
      <w:pPr>
        <w:spacing w:line="360" w:lineRule="auto"/>
        <w:jc w:val="both"/>
      </w:pPr>
    </w:p>
    <w:p w14:paraId="582706F2" w14:textId="77777777" w:rsidR="00A77B3E" w:rsidRDefault="00BB6868">
      <w:pPr>
        <w:spacing w:line="360" w:lineRule="auto"/>
        <w:jc w:val="both"/>
      </w:pPr>
      <w:r>
        <w:rPr>
          <w:rFonts w:ascii="Book Antiqua" w:eastAsia="Book Antiqua" w:hAnsi="Book Antiqua" w:cs="Book Antiqua"/>
          <w:b/>
          <w:caps/>
          <w:color w:val="000000"/>
          <w:u w:val="single"/>
        </w:rPr>
        <w:t>FINAL DIAGNOSIS</w:t>
      </w:r>
    </w:p>
    <w:p w14:paraId="6C426287" w14:textId="77777777" w:rsidR="00A77B3E" w:rsidRDefault="00BB6868">
      <w:pPr>
        <w:spacing w:line="360" w:lineRule="auto"/>
        <w:jc w:val="both"/>
      </w:pPr>
      <w:bookmarkStart w:id="70" w:name="OLE_LINK455"/>
      <w:bookmarkStart w:id="71" w:name="OLE_LINK456"/>
      <w:r>
        <w:rPr>
          <w:rFonts w:ascii="Book Antiqua" w:eastAsia="Book Antiqua" w:hAnsi="Book Antiqua" w:cs="Book Antiqua"/>
          <w:color w:val="000000"/>
        </w:rPr>
        <w:t>Renal vein thrombosis and pulmonary embolism were both diagnosed, well documented by imaging studies.</w:t>
      </w:r>
    </w:p>
    <w:bookmarkEnd w:id="70"/>
    <w:bookmarkEnd w:id="71"/>
    <w:p w14:paraId="49CAD578" w14:textId="77777777" w:rsidR="00A77B3E" w:rsidRDefault="00A77B3E">
      <w:pPr>
        <w:spacing w:line="360" w:lineRule="auto"/>
        <w:jc w:val="both"/>
      </w:pPr>
    </w:p>
    <w:p w14:paraId="056C4353" w14:textId="77777777" w:rsidR="00A77B3E" w:rsidRDefault="00BB6868">
      <w:pPr>
        <w:spacing w:line="360" w:lineRule="auto"/>
        <w:jc w:val="both"/>
      </w:pPr>
      <w:r>
        <w:rPr>
          <w:rFonts w:ascii="Book Antiqua" w:eastAsia="Book Antiqua" w:hAnsi="Book Antiqua" w:cs="Book Antiqua"/>
          <w:b/>
          <w:caps/>
          <w:color w:val="000000"/>
          <w:u w:val="single"/>
        </w:rPr>
        <w:t>TREATMENT</w:t>
      </w:r>
    </w:p>
    <w:p w14:paraId="255F7BC1" w14:textId="7EFD7A93" w:rsidR="00A77B3E" w:rsidRDefault="00BB6868">
      <w:pPr>
        <w:spacing w:line="360" w:lineRule="auto"/>
        <w:jc w:val="both"/>
      </w:pPr>
      <w:bookmarkStart w:id="72" w:name="OLE_LINK457"/>
      <w:bookmarkStart w:id="73" w:name="OLE_LINK458"/>
      <w:r>
        <w:rPr>
          <w:rFonts w:ascii="Book Antiqua" w:eastAsia="Book Antiqua" w:hAnsi="Book Antiqua" w:cs="Book Antiqua"/>
          <w:color w:val="000000"/>
        </w:rPr>
        <w:lastRenderedPageBreak/>
        <w:t xml:space="preserve">We chose to start oral rivaroxaban (15 mg bid) as anticoagulant therapy. Eltrombopag was then discontinued, having fostered a rapid platelet upswing and thrombotic proclivity. After 1 wk of rivaroxaban, the patient’s abdominal pain remained unabated, and near-complete occlusion of </w:t>
      </w:r>
      <w:r w:rsidR="0053610E">
        <w:rPr>
          <w:rFonts w:ascii="Book Antiqua" w:eastAsia="Book Antiqua" w:hAnsi="Book Antiqua" w:cs="Book Antiqua"/>
          <w:color w:val="000000"/>
        </w:rPr>
        <w:t xml:space="preserve">the </w:t>
      </w:r>
      <w:r>
        <w:rPr>
          <w:rFonts w:ascii="Book Antiqua" w:eastAsia="Book Antiqua" w:hAnsi="Book Antiqua" w:cs="Book Antiqua"/>
          <w:color w:val="000000"/>
        </w:rPr>
        <w:t>right renal vein persisted on renovascular ultrasound. Thrombolytic infusion of recombinant tissue plasminogen activator (rt-PA, 50 mg intravenously) was intended, once the platelet count stabilized (141</w:t>
      </w:r>
      <w:r w:rsidR="004449B9">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449B9">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w:t>
      </w:r>
      <w:bookmarkStart w:id="74" w:name="OLE_LINK28"/>
      <w:bookmarkStart w:id="75" w:name="OLE_LINK29"/>
      <w:r>
        <w:rPr>
          <w:rFonts w:ascii="Book Antiqua" w:eastAsia="Book Antiqua" w:hAnsi="Book Antiqua" w:cs="Book Antiqua"/>
          <w:color w:val="000000"/>
        </w:rPr>
        <w:t>As a protective measure, a retrievable permanent filter was implanted within</w:t>
      </w:r>
      <w:r w:rsidR="0053610E">
        <w:rPr>
          <w:rFonts w:ascii="Book Antiqua" w:eastAsia="Book Antiqua" w:hAnsi="Book Antiqua" w:cs="Book Antiqua"/>
          <w:color w:val="000000"/>
        </w:rPr>
        <w:t xml:space="preserve"> the</w:t>
      </w:r>
      <w:r>
        <w:rPr>
          <w:rFonts w:ascii="Book Antiqua" w:eastAsia="Book Antiqua" w:hAnsi="Book Antiqua" w:cs="Book Antiqua"/>
          <w:color w:val="000000"/>
        </w:rPr>
        <w:t xml:space="preserve"> inferior vena cava, cephalad to renal vein</w:t>
      </w:r>
      <w:bookmarkEnd w:id="74"/>
      <w:bookmarkEnd w:id="75"/>
      <w:r>
        <w:rPr>
          <w:rFonts w:ascii="Book Antiqua" w:eastAsia="Book Antiqua" w:hAnsi="Book Antiqua" w:cs="Book Antiqua"/>
          <w:color w:val="000000"/>
        </w:rPr>
        <w:t xml:space="preserve"> </w:t>
      </w:r>
      <w:r w:rsidRPr="004449B9">
        <w:rPr>
          <w:rFonts w:ascii="Book Antiqua" w:eastAsia="Book Antiqua" w:hAnsi="Book Antiqua" w:cs="Book Antiqua"/>
          <w:color w:val="000000"/>
        </w:rPr>
        <w:t>(</w:t>
      </w:r>
      <w:r w:rsidRPr="004449B9">
        <w:rPr>
          <w:rFonts w:ascii="Book Antiqua" w:eastAsia="Book Antiqua" w:hAnsi="Book Antiqua" w:cs="Book Antiqua"/>
          <w:bCs/>
          <w:color w:val="000000"/>
        </w:rPr>
        <w:t>Figure 2A</w:t>
      </w:r>
      <w:r w:rsidRPr="004449B9">
        <w:rPr>
          <w:rFonts w:ascii="Book Antiqua" w:eastAsia="Book Antiqua" w:hAnsi="Book Antiqua" w:cs="Book Antiqua"/>
          <w:color w:val="000000"/>
        </w:rPr>
        <w:t>). N</w:t>
      </w:r>
      <w:r>
        <w:rPr>
          <w:rFonts w:ascii="Book Antiqua" w:eastAsia="Book Antiqua" w:hAnsi="Book Antiqua" w:cs="Book Antiqua"/>
          <w:color w:val="000000"/>
        </w:rPr>
        <w:t xml:space="preserve">onetheless, a widespread pruritic allergic rash (contrast-induced) of </w:t>
      </w:r>
      <w:r w:rsidR="0053610E">
        <w:rPr>
          <w:rFonts w:ascii="Book Antiqua" w:eastAsia="Book Antiqua" w:hAnsi="Book Antiqua" w:cs="Book Antiqua"/>
          <w:color w:val="000000"/>
        </w:rPr>
        <w:t xml:space="preserve">the </w:t>
      </w:r>
      <w:r>
        <w:rPr>
          <w:rFonts w:ascii="Book Antiqua" w:eastAsia="Book Antiqua" w:hAnsi="Book Antiqua" w:cs="Book Antiqua"/>
          <w:color w:val="000000"/>
        </w:rPr>
        <w:t>trunk and limbs appeared several hours thereafter, and the platelet count dropped to 24</w:t>
      </w:r>
      <w:r w:rsidR="004449B9">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449B9">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Thrombolysis was abandoned as a result, instead administering intravenous methylprednisolone (40 mg bid) to treat both cutaneous and hematologic manifestations.</w:t>
      </w:r>
    </w:p>
    <w:p w14:paraId="5B1B6238" w14:textId="204BA8B5" w:rsidR="00A77B3E" w:rsidRDefault="004449B9" w:rsidP="004449B9">
      <w:pPr>
        <w:spacing w:line="360" w:lineRule="auto"/>
        <w:ind w:firstLineChars="100" w:firstLine="240"/>
        <w:jc w:val="both"/>
      </w:pPr>
      <w:r>
        <w:rPr>
          <w:rFonts w:ascii="Book Antiqua" w:eastAsia="Book Antiqua" w:hAnsi="Book Antiqua" w:cs="Book Antiqua"/>
          <w:color w:val="000000"/>
        </w:rPr>
        <w:t>Within 3 d</w:t>
      </w:r>
      <w:r w:rsidR="00BB6868">
        <w:rPr>
          <w:rFonts w:ascii="Book Antiqua" w:eastAsia="Book Antiqua" w:hAnsi="Book Antiqua" w:cs="Book Antiqua"/>
          <w:color w:val="000000"/>
        </w:rPr>
        <w:t>, the platelet count had climbed to 67</w:t>
      </w:r>
      <w:r>
        <w:rPr>
          <w:rFonts w:ascii="Book Antiqua" w:hAnsi="Book Antiqua" w:cs="Book Antiqua" w:hint="eastAsia"/>
          <w:color w:val="000000"/>
          <w:lang w:eastAsia="zh-CN"/>
        </w:rPr>
        <w:t xml:space="preserve"> </w:t>
      </w:r>
      <w:r w:rsidR="00BB6868">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BB6868">
        <w:rPr>
          <w:rFonts w:ascii="Book Antiqua" w:eastAsia="Book Antiqua" w:hAnsi="Book Antiqua" w:cs="Book Antiqua"/>
          <w:color w:val="000000"/>
        </w:rPr>
        <w:t>10</w:t>
      </w:r>
      <w:r w:rsidR="00BB6868">
        <w:rPr>
          <w:rFonts w:ascii="Book Antiqua" w:eastAsia="Book Antiqua" w:hAnsi="Book Antiqua" w:cs="Book Antiqua"/>
          <w:color w:val="000000"/>
          <w:szCs w:val="30"/>
          <w:vertAlign w:val="superscript"/>
        </w:rPr>
        <w:t>9</w:t>
      </w:r>
      <w:r w:rsidR="00BB6868">
        <w:rPr>
          <w:rFonts w:ascii="Book Antiqua" w:eastAsia="Book Antiqua" w:hAnsi="Book Antiqua" w:cs="Book Antiqua"/>
          <w:color w:val="000000"/>
        </w:rPr>
        <w:t>/L</w:t>
      </w:r>
      <w:r>
        <w:rPr>
          <w:rFonts w:ascii="Book Antiqua" w:eastAsia="Book Antiqua" w:hAnsi="Book Antiqua" w:cs="Book Antiqua"/>
          <w:color w:val="000000"/>
        </w:rPr>
        <w:t xml:space="preserve"> (</w:t>
      </w:r>
      <w:bookmarkStart w:id="76" w:name="OLE_LINK16"/>
      <w:bookmarkStart w:id="77" w:name="OLE_LINK17"/>
      <w:r w:rsidR="00013B96" w:rsidRPr="00013B96">
        <w:rPr>
          <w:rFonts w:ascii="Book Antiqua" w:eastAsia="Book Antiqua" w:hAnsi="Book Antiqua" w:cs="Book Antiqua"/>
          <w:color w:val="000000"/>
        </w:rPr>
        <w:t>prothrombin time</w:t>
      </w:r>
      <w:r>
        <w:rPr>
          <w:rFonts w:ascii="Book Antiqua" w:eastAsia="Book Antiqua" w:hAnsi="Book Antiqua" w:cs="Book Antiqua"/>
          <w:color w:val="000000"/>
        </w:rPr>
        <w:t xml:space="preserve">, 18.7 s; </w:t>
      </w:r>
      <w:r w:rsidR="00013B96" w:rsidRPr="00013B96">
        <w:rPr>
          <w:rFonts w:ascii="Book Antiqua" w:eastAsia="Book Antiqua" w:hAnsi="Book Antiqua" w:cs="Book Antiqua"/>
          <w:color w:val="000000"/>
        </w:rPr>
        <w:t>activated partial thromboplastin time</w:t>
      </w:r>
      <w:r>
        <w:rPr>
          <w:rFonts w:ascii="Book Antiqua" w:eastAsia="Book Antiqua" w:hAnsi="Book Antiqua" w:cs="Book Antiqua"/>
          <w:color w:val="000000"/>
        </w:rPr>
        <w:t>, 29 s</w:t>
      </w:r>
      <w:r w:rsidR="00BB6868">
        <w:rPr>
          <w:rFonts w:ascii="Book Antiqua" w:eastAsia="Book Antiqua" w:hAnsi="Book Antiqua" w:cs="Book Antiqua"/>
          <w:color w:val="000000"/>
        </w:rPr>
        <w:t xml:space="preserve">; </w:t>
      </w:r>
      <w:r w:rsidR="00013B96" w:rsidRPr="00013B96">
        <w:rPr>
          <w:rFonts w:ascii="Book Antiqua" w:eastAsia="Book Antiqua" w:hAnsi="Book Antiqua" w:cs="Book Antiqua"/>
          <w:color w:val="000000"/>
        </w:rPr>
        <w:t>prothrombin activity</w:t>
      </w:r>
      <w:r w:rsidR="00BB6868">
        <w:rPr>
          <w:rFonts w:ascii="Book Antiqua" w:eastAsia="Book Antiqua" w:hAnsi="Book Antiqua" w:cs="Book Antiqua"/>
          <w:color w:val="000000"/>
        </w:rPr>
        <w:t xml:space="preserve">, 47%; </w:t>
      </w:r>
      <w:r w:rsidR="00013B96" w:rsidRPr="00013B96">
        <w:rPr>
          <w:rFonts w:ascii="Book Antiqua" w:eastAsia="Book Antiqua" w:hAnsi="Book Antiqua" w:cs="Book Antiqua"/>
          <w:color w:val="000000"/>
        </w:rPr>
        <w:t>international normalized ratio</w:t>
      </w:r>
      <w:r w:rsidR="00BB6868">
        <w:rPr>
          <w:rFonts w:ascii="Book Antiqua" w:eastAsia="Book Antiqua" w:hAnsi="Book Antiqua" w:cs="Book Antiqua"/>
          <w:color w:val="000000"/>
        </w:rPr>
        <w:t xml:space="preserve">, 1.7; </w:t>
      </w:r>
      <w:r w:rsidR="00013B96" w:rsidRPr="00013B96">
        <w:rPr>
          <w:rFonts w:ascii="Book Antiqua" w:eastAsia="Book Antiqua" w:hAnsi="Book Antiqua" w:cs="Book Antiqua"/>
          <w:color w:val="000000"/>
        </w:rPr>
        <w:t>D-dimer</w:t>
      </w:r>
      <w:r w:rsidR="00BB6868">
        <w:rPr>
          <w:rFonts w:ascii="Book Antiqua" w:eastAsia="Book Antiqua" w:hAnsi="Book Antiqua" w:cs="Book Antiqua"/>
          <w:color w:val="000000"/>
        </w:rPr>
        <w:t>,</w:t>
      </w:r>
      <w:bookmarkEnd w:id="76"/>
      <w:bookmarkEnd w:id="77"/>
      <w:r w:rsidR="00BB6868">
        <w:rPr>
          <w:rFonts w:ascii="Book Antiqua" w:eastAsia="Book Antiqua" w:hAnsi="Book Antiqua" w:cs="Book Antiqua"/>
          <w:color w:val="000000"/>
        </w:rPr>
        <w:t xml:space="preserve"> 201</w:t>
      </w:r>
      <w:r>
        <w:rPr>
          <w:rFonts w:ascii="Book Antiqua" w:hAnsi="Book Antiqua" w:cs="Book Antiqua" w:hint="eastAsia"/>
          <w:color w:val="000000"/>
          <w:lang w:eastAsia="zh-CN"/>
        </w:rPr>
        <w:t xml:space="preserve"> </w:t>
      </w:r>
      <w:r w:rsidR="00BB6868">
        <w:rPr>
          <w:rFonts w:ascii="Book Antiqua" w:eastAsia="Book Antiqua" w:hAnsi="Book Antiqua" w:cs="Book Antiqua"/>
          <w:color w:val="000000"/>
        </w:rPr>
        <w:t xml:space="preserve">μg/L), so we lowered the methylprednisolone </w:t>
      </w:r>
      <w:r w:rsidR="0053610E">
        <w:rPr>
          <w:rFonts w:ascii="Book Antiqua" w:eastAsia="Book Antiqua" w:hAnsi="Book Antiqua" w:cs="Book Antiqua"/>
          <w:color w:val="000000"/>
        </w:rPr>
        <w:t xml:space="preserve">dose </w:t>
      </w:r>
      <w:r w:rsidR="00BB6868">
        <w:rPr>
          <w:rFonts w:ascii="Book Antiqua" w:eastAsia="Book Antiqua" w:hAnsi="Book Antiqua" w:cs="Book Antiqua"/>
          <w:color w:val="000000"/>
        </w:rPr>
        <w:t xml:space="preserve">to 40 mg daily. </w:t>
      </w:r>
      <w:bookmarkStart w:id="78" w:name="OLE_LINK30"/>
      <w:bookmarkStart w:id="79" w:name="OLE_LINK33"/>
      <w:r w:rsidR="00BB6868">
        <w:rPr>
          <w:rFonts w:ascii="Book Antiqua" w:eastAsia="Book Antiqua" w:hAnsi="Book Antiqua" w:cs="Book Antiqua"/>
          <w:color w:val="000000"/>
        </w:rPr>
        <w:t xml:space="preserve">Renovascular ultrasound obtained 1 wk later (after filter implantation) confirmed that the thrombus of </w:t>
      </w:r>
      <w:r w:rsidR="0053610E">
        <w:rPr>
          <w:rFonts w:ascii="Book Antiqua" w:eastAsia="Book Antiqua" w:hAnsi="Book Antiqua" w:cs="Book Antiqua"/>
          <w:color w:val="000000"/>
        </w:rPr>
        <w:t xml:space="preserve">the </w:t>
      </w:r>
      <w:r w:rsidR="00BB6868">
        <w:rPr>
          <w:rFonts w:ascii="Book Antiqua" w:eastAsia="Book Antiqua" w:hAnsi="Book Antiqua" w:cs="Book Antiqua"/>
          <w:color w:val="000000"/>
        </w:rPr>
        <w:t>right renal vein had resolved</w:t>
      </w:r>
      <w:bookmarkEnd w:id="78"/>
      <w:bookmarkEnd w:id="79"/>
      <w:r w:rsidR="00BB6868" w:rsidRPr="007671FD">
        <w:rPr>
          <w:rFonts w:ascii="Book Antiqua" w:eastAsia="Book Antiqua" w:hAnsi="Book Antiqua" w:cs="Book Antiqua"/>
          <w:color w:val="000000"/>
        </w:rPr>
        <w:t xml:space="preserve"> (</w:t>
      </w:r>
      <w:r w:rsidR="00BB6868" w:rsidRPr="007671FD">
        <w:rPr>
          <w:rFonts w:ascii="Book Antiqua" w:eastAsia="Book Antiqua" w:hAnsi="Book Antiqua" w:cs="Book Antiqua"/>
          <w:bCs/>
          <w:color w:val="000000"/>
        </w:rPr>
        <w:t>Figur</w:t>
      </w:r>
      <w:r w:rsidR="001A3EEF">
        <w:rPr>
          <w:rFonts w:ascii="Book Antiqua" w:eastAsia="Book Antiqua" w:hAnsi="Book Antiqua" w:cs="Book Antiqua"/>
          <w:bCs/>
          <w:color w:val="000000"/>
        </w:rPr>
        <w:t>es 2B</w:t>
      </w:r>
      <w:r w:rsidR="001A3EEF">
        <w:rPr>
          <w:rFonts w:ascii="Book Antiqua" w:hAnsi="Book Antiqua" w:cs="Book Antiqua" w:hint="eastAsia"/>
          <w:bCs/>
          <w:color w:val="000000"/>
          <w:lang w:eastAsia="zh-CN"/>
        </w:rPr>
        <w:t xml:space="preserve"> and</w:t>
      </w:r>
      <w:r w:rsidR="00BB6868" w:rsidRPr="007671FD">
        <w:rPr>
          <w:rFonts w:ascii="Book Antiqua" w:eastAsia="Book Antiqua" w:hAnsi="Book Antiqua" w:cs="Book Antiqua"/>
          <w:bCs/>
          <w:color w:val="000000"/>
        </w:rPr>
        <w:t xml:space="preserve"> C</w:t>
      </w:r>
      <w:r w:rsidR="00BB6868" w:rsidRPr="007671FD">
        <w:rPr>
          <w:rFonts w:ascii="Book Antiqua" w:eastAsia="Book Antiqua" w:hAnsi="Book Antiqua" w:cs="Book Antiqua"/>
          <w:color w:val="000000"/>
        </w:rPr>
        <w:t>), returning the kidney to more normal size. On the other hand, the platelet count was still at 60-70</w:t>
      </w:r>
      <w:r w:rsidR="001A3EEF">
        <w:rPr>
          <w:rFonts w:ascii="Book Antiqua" w:hAnsi="Book Antiqua" w:cs="Book Antiqua" w:hint="eastAsia"/>
          <w:color w:val="000000"/>
          <w:lang w:eastAsia="zh-CN"/>
        </w:rPr>
        <w:t xml:space="preserve"> </w:t>
      </w:r>
      <w:r w:rsidR="00BB6868" w:rsidRPr="007671FD">
        <w:rPr>
          <w:rFonts w:ascii="Book Antiqua" w:eastAsia="Book Antiqua" w:hAnsi="Book Antiqua" w:cs="Book Antiqua"/>
          <w:color w:val="000000"/>
        </w:rPr>
        <w:t>×</w:t>
      </w:r>
      <w:r w:rsidR="001A3EEF">
        <w:rPr>
          <w:rFonts w:ascii="Book Antiqua" w:hAnsi="Book Antiqua" w:cs="Book Antiqua" w:hint="eastAsia"/>
          <w:color w:val="000000"/>
          <w:lang w:eastAsia="zh-CN"/>
        </w:rPr>
        <w:t xml:space="preserve"> </w:t>
      </w:r>
      <w:r w:rsidR="00BB6868" w:rsidRPr="007671FD">
        <w:rPr>
          <w:rFonts w:ascii="Book Antiqua" w:eastAsia="Book Antiqua" w:hAnsi="Book Antiqua" w:cs="Book Antiqua"/>
          <w:color w:val="000000"/>
        </w:rPr>
        <w:t>10</w:t>
      </w:r>
      <w:r w:rsidR="00BB6868" w:rsidRPr="007671FD">
        <w:rPr>
          <w:rFonts w:ascii="Book Antiqua" w:eastAsia="Book Antiqua" w:hAnsi="Book Antiqua" w:cs="Book Antiqua"/>
          <w:color w:val="000000"/>
          <w:szCs w:val="30"/>
          <w:vertAlign w:val="superscript"/>
        </w:rPr>
        <w:t>9</w:t>
      </w:r>
      <w:r w:rsidR="00BB6868" w:rsidRPr="007671FD">
        <w:rPr>
          <w:rFonts w:ascii="Book Antiqua" w:eastAsia="Book Antiqua" w:hAnsi="Book Antiqua" w:cs="Book Antiqua"/>
          <w:color w:val="000000"/>
        </w:rPr>
        <w:t xml:space="preserve">/L, creating substantial bleeding risk in </w:t>
      </w:r>
      <w:r w:rsidR="00BB6868" w:rsidRPr="00032B29">
        <w:rPr>
          <w:rFonts w:ascii="Book Antiqua" w:eastAsia="Book Antiqua" w:hAnsi="Book Antiqua" w:cs="Book Antiqua"/>
          <w:color w:val="000000"/>
        </w:rPr>
        <w:t xml:space="preserve">an anticoagulated state (see </w:t>
      </w:r>
      <w:r w:rsidR="00BB6868" w:rsidRPr="00032B29">
        <w:rPr>
          <w:rFonts w:ascii="Book Antiqua" w:eastAsia="Book Antiqua" w:hAnsi="Book Antiqua" w:cs="Book Antiqua"/>
          <w:bCs/>
          <w:color w:val="000000"/>
        </w:rPr>
        <w:t>Figure</w:t>
      </w:r>
      <w:r w:rsidR="00BB6868" w:rsidRPr="007671FD">
        <w:rPr>
          <w:rFonts w:ascii="Book Antiqua" w:eastAsia="Book Antiqua" w:hAnsi="Book Antiqua" w:cs="Book Antiqua"/>
          <w:bCs/>
          <w:color w:val="000000"/>
        </w:rPr>
        <w:t xml:space="preserve"> 3 </w:t>
      </w:r>
      <w:r w:rsidR="00BB6868" w:rsidRPr="007671FD">
        <w:rPr>
          <w:rFonts w:ascii="Book Antiqua" w:eastAsia="Book Antiqua" w:hAnsi="Book Antiqua" w:cs="Book Antiqua"/>
          <w:color w:val="000000"/>
        </w:rPr>
        <w:t>for medication timeline and related events). We therefore substituted oral prednisone (40</w:t>
      </w:r>
      <w:r w:rsidR="00BB6868">
        <w:rPr>
          <w:rFonts w:ascii="Book Antiqua" w:eastAsia="Book Antiqua" w:hAnsi="Book Antiqua" w:cs="Book Antiqua"/>
          <w:color w:val="000000"/>
        </w:rPr>
        <w:t xml:space="preserve"> mg daily, gradually tapered) for methylprednisolone and resumed </w:t>
      </w:r>
      <w:bookmarkStart w:id="80" w:name="OLE_LINK18"/>
      <w:bookmarkStart w:id="81" w:name="OLE_LINK19"/>
      <w:r w:rsidR="00BB6868">
        <w:rPr>
          <w:rFonts w:ascii="Book Antiqua" w:eastAsia="Book Antiqua" w:hAnsi="Book Antiqua" w:cs="Book Antiqua"/>
          <w:color w:val="000000"/>
        </w:rPr>
        <w:t xml:space="preserve">eltrombopag </w:t>
      </w:r>
      <w:bookmarkEnd w:id="80"/>
      <w:bookmarkEnd w:id="81"/>
      <w:r w:rsidR="00BB6868">
        <w:rPr>
          <w:rFonts w:ascii="Book Antiqua" w:eastAsia="Book Antiqua" w:hAnsi="Book Antiqua" w:cs="Book Antiqua"/>
          <w:color w:val="000000"/>
        </w:rPr>
        <w:t>dosing to spur platelet production</w:t>
      </w:r>
      <w:r w:rsidR="0053610E">
        <w:rPr>
          <w:rFonts w:ascii="Book Antiqua" w:eastAsia="Book Antiqua" w:hAnsi="Book Antiqua" w:cs="Book Antiqua"/>
          <w:color w:val="000000"/>
        </w:rPr>
        <w:t xml:space="preserve"> </w:t>
      </w:r>
      <w:r w:rsidR="00BB6868">
        <w:rPr>
          <w:rFonts w:ascii="Book Antiqua" w:eastAsia="Book Antiqua" w:hAnsi="Book Antiqua" w:cs="Book Antiqua"/>
          <w:color w:val="000000"/>
        </w:rPr>
        <w:t>while continuing an adequate rivaroxaban regimen (15 mg bid for 3 wk, 20 mg daily for total of 6 mo).</w:t>
      </w:r>
    </w:p>
    <w:bookmarkEnd w:id="72"/>
    <w:bookmarkEnd w:id="73"/>
    <w:p w14:paraId="4493E6A5" w14:textId="77777777" w:rsidR="00A77B3E" w:rsidRDefault="00A77B3E">
      <w:pPr>
        <w:spacing w:line="360" w:lineRule="auto"/>
        <w:jc w:val="both"/>
      </w:pPr>
    </w:p>
    <w:p w14:paraId="79041BC8" w14:textId="77777777" w:rsidR="00A77B3E" w:rsidRDefault="00BB6868">
      <w:pPr>
        <w:spacing w:line="360" w:lineRule="auto"/>
        <w:jc w:val="both"/>
      </w:pPr>
      <w:r>
        <w:rPr>
          <w:rFonts w:ascii="Book Antiqua" w:eastAsia="Book Antiqua" w:hAnsi="Book Antiqua" w:cs="Book Antiqua"/>
          <w:b/>
          <w:caps/>
          <w:color w:val="000000"/>
          <w:u w:val="single"/>
        </w:rPr>
        <w:t>OUTCOME AND FOLLOW-UP</w:t>
      </w:r>
    </w:p>
    <w:p w14:paraId="2DAAD1AD" w14:textId="77777777" w:rsidR="00A77B3E" w:rsidRDefault="00BB6868">
      <w:pPr>
        <w:spacing w:line="360" w:lineRule="auto"/>
        <w:jc w:val="both"/>
      </w:pPr>
      <w:bookmarkStart w:id="82" w:name="OLE_LINK459"/>
      <w:bookmarkStart w:id="83" w:name="OLE_LINK460"/>
      <w:r>
        <w:rPr>
          <w:rFonts w:ascii="Book Antiqua" w:eastAsia="Book Antiqua" w:hAnsi="Book Antiqua" w:cs="Book Antiqua"/>
          <w:color w:val="000000"/>
        </w:rPr>
        <w:t>At discharge, the patient was relatively stable in terms of platelet count, having shown resolution of both renal thrombus and pulmonary emboli.</w:t>
      </w:r>
    </w:p>
    <w:bookmarkEnd w:id="82"/>
    <w:bookmarkEnd w:id="83"/>
    <w:p w14:paraId="0D3AA3CE" w14:textId="77777777" w:rsidR="00A77B3E" w:rsidRDefault="00A77B3E">
      <w:pPr>
        <w:spacing w:line="360" w:lineRule="auto"/>
        <w:jc w:val="both"/>
      </w:pPr>
    </w:p>
    <w:p w14:paraId="1DAAD407" w14:textId="77777777" w:rsidR="00A77B3E" w:rsidRDefault="00BB6868">
      <w:pPr>
        <w:spacing w:line="360" w:lineRule="auto"/>
        <w:jc w:val="both"/>
      </w:pPr>
      <w:r>
        <w:rPr>
          <w:rFonts w:ascii="Book Antiqua" w:eastAsia="Book Antiqua" w:hAnsi="Book Antiqua" w:cs="Book Antiqua"/>
          <w:b/>
          <w:caps/>
          <w:color w:val="000000"/>
          <w:u w:val="single"/>
        </w:rPr>
        <w:t>DISCUSSION</w:t>
      </w:r>
    </w:p>
    <w:p w14:paraId="3D94E13E" w14:textId="77777777" w:rsidR="00A77B3E" w:rsidRDefault="00BB6868">
      <w:pPr>
        <w:spacing w:line="360" w:lineRule="auto"/>
        <w:jc w:val="both"/>
      </w:pPr>
      <w:bookmarkStart w:id="84" w:name="OLE_LINK461"/>
      <w:bookmarkStart w:id="85" w:name="OLE_LINK462"/>
      <w:r>
        <w:rPr>
          <w:rFonts w:ascii="Book Antiqua" w:eastAsia="Book Antiqua" w:hAnsi="Book Antiqua" w:cs="Book Antiqua"/>
          <w:color w:val="000000"/>
        </w:rPr>
        <w:lastRenderedPageBreak/>
        <w:t>Since earning approval by the European Medicines Agency in 2009, the new pharmacologic class of TPO-RAs has been pivotal in treating ITP</w:t>
      </w:r>
      <w:r w:rsidR="001A3EE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5</w:t>
      </w:r>
      <w:r w:rsidR="001A3EE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serving to stimulate megakaryopoiesis and increase platelet counts</w:t>
      </w:r>
      <w:r w:rsidR="001A3EE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10</w:t>
      </w:r>
      <w:r w:rsidR="001A3EE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Eltrombopag is indicated as a second-line agent for patients refractory to other treatments and is the only daily oral TPO-RA available</w:t>
      </w:r>
      <w:r w:rsidR="001A3EEF" w:rsidRPr="001A3EEF">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11</w:t>
      </w:r>
      <w:r w:rsidR="001A3EE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It is a safe and effective therapeutic option in instances of resistant or relapsed ITP</w:t>
      </w:r>
      <w:r w:rsidR="009D4FCD" w:rsidRPr="009D4FCD">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5</w:t>
      </w:r>
      <w:r w:rsidR="009D4FCD">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However, there is a heightened risk of thrombosis (venous and arterial) associated with the use of either eltrombopag or romiplostim (another TPO-RA given in weekly subcutaneous injections)</w:t>
      </w:r>
      <w:r w:rsidR="00DB67D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8</w:t>
      </w:r>
      <w:r w:rsidR="00DB67D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Various reports have documented deep vein thrombosis, pulmonary embolism, portal vein thrombosis (PVT), and extensive cerebral venous sinus thrombosis, as well as ischemic strokes and myocardial infarctions</w:t>
      </w:r>
      <w:r w:rsidR="00DB67D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3,6,12,13</w:t>
      </w:r>
      <w:r w:rsidR="00DB67D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14:paraId="1391D30E" w14:textId="6FCD6BB4" w:rsidR="00A77B3E" w:rsidRDefault="00BB6868" w:rsidP="000F38A2">
      <w:pPr>
        <w:spacing w:line="360" w:lineRule="auto"/>
        <w:ind w:firstLineChars="100" w:firstLine="240"/>
        <w:jc w:val="both"/>
      </w:pPr>
      <w:r>
        <w:rPr>
          <w:rFonts w:ascii="Book Antiqua" w:eastAsia="Book Antiqua" w:hAnsi="Book Antiqua" w:cs="Book Antiqua"/>
          <w:color w:val="000000"/>
        </w:rPr>
        <w:t xml:space="preserve">Deep renal vein thrombosis as a consequence of TPO-RAs and in the absence of proteinuria has yet to be described in the literature. This case highlights the potential for uncharacteristic eltrombopag-related thrombotic events in the course of ITP treatment. Until now, the relation between TPO-RAs and thrombosis has been somewhat tenuous. Thromboembolic events recorded during </w:t>
      </w:r>
      <w:r w:rsidR="00B2183F">
        <w:rPr>
          <w:rFonts w:ascii="Book Antiqua" w:eastAsia="Book Antiqua" w:hAnsi="Book Antiqua" w:cs="Book Antiqua"/>
          <w:color w:val="000000"/>
        </w:rPr>
        <w:t xml:space="preserve">the </w:t>
      </w:r>
      <w:r>
        <w:rPr>
          <w:rFonts w:ascii="Book Antiqua" w:eastAsia="Book Antiqua" w:hAnsi="Book Antiqua" w:cs="Book Antiqua"/>
          <w:color w:val="000000"/>
        </w:rPr>
        <w:t xml:space="preserve">3-year follow-up in </w:t>
      </w:r>
      <w:r w:rsidR="00B2183F">
        <w:rPr>
          <w:rFonts w:ascii="Book Antiqua" w:eastAsia="Book Antiqua" w:hAnsi="Book Antiqua" w:cs="Book Antiqua"/>
          <w:color w:val="000000"/>
        </w:rPr>
        <w:t xml:space="preserve">an </w:t>
      </w:r>
      <w:r w:rsidR="00EF5B33">
        <w:rPr>
          <w:rFonts w:ascii="Book Antiqua" w:eastAsia="Book Antiqua" w:hAnsi="Book Antiqua" w:cs="Book Antiqua"/>
          <w:color w:val="000000"/>
        </w:rPr>
        <w:t>extend</w:t>
      </w:r>
      <w:r w:rsidR="00B2183F">
        <w:rPr>
          <w:rFonts w:ascii="Book Antiqua" w:eastAsia="Book Antiqua" w:hAnsi="Book Antiqua" w:cs="Book Antiqua"/>
          <w:color w:val="000000"/>
        </w:rPr>
        <w:t>ed</w:t>
      </w:r>
      <w:r w:rsidR="00EF5B33">
        <w:rPr>
          <w:rFonts w:ascii="Book Antiqua" w:eastAsia="Book Antiqua" w:hAnsi="Book Antiqua" w:cs="Book Antiqua"/>
          <w:color w:val="000000"/>
        </w:rPr>
        <w:t xml:space="preserve"> </w:t>
      </w:r>
      <w:r>
        <w:rPr>
          <w:rFonts w:ascii="Book Antiqua" w:eastAsia="Book Antiqua" w:hAnsi="Book Antiqua" w:cs="Book Antiqua"/>
          <w:color w:val="000000"/>
        </w:rPr>
        <w:t>study exceeded those experienced by the general population</w:t>
      </w:r>
      <w:r w:rsidR="00EF5B33">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14</w:t>
      </w:r>
      <w:r w:rsidR="00EF5B33">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affecting 5% of patients</w:t>
      </w:r>
      <w:r w:rsidR="00EF5B33">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3</w:t>
      </w:r>
      <w:r w:rsidR="00EF5B33">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In one disproportionality analysis, the median time from first TPO-RA expo</w:t>
      </w:r>
      <w:r w:rsidR="0027458C">
        <w:rPr>
          <w:rFonts w:ascii="Book Antiqua" w:eastAsia="Book Antiqua" w:hAnsi="Book Antiqua" w:cs="Book Antiqua"/>
          <w:color w:val="000000"/>
        </w:rPr>
        <w:t>sure to thrombosis was 76.6 d (range, 3-597 d</w:t>
      </w:r>
      <w:r>
        <w:rPr>
          <w:rFonts w:ascii="Book Antiqua" w:eastAsia="Book Antiqua" w:hAnsi="Book Antiqua" w:cs="Book Antiqua"/>
          <w:color w:val="000000"/>
        </w:rPr>
        <w:t xml:space="preserve">), with median times for venous </w:t>
      </w:r>
      <w:r w:rsidR="0027458C">
        <w:rPr>
          <w:rFonts w:ascii="Book Antiqua" w:eastAsia="Book Antiqua" w:hAnsi="Book Antiqua" w:cs="Book Antiqua"/>
          <w:color w:val="000000"/>
        </w:rPr>
        <w:t>and arterial events of 77.6 d (range, 3-597 d) and 76.2 d (range, 3-478 d</w:t>
      </w:r>
      <w:r>
        <w:rPr>
          <w:rFonts w:ascii="Book Antiqua" w:eastAsia="Book Antiqua" w:hAnsi="Book Antiqua" w:cs="Book Antiqua"/>
          <w:color w:val="000000"/>
        </w:rPr>
        <w:t>), respectively</w:t>
      </w:r>
      <w:r w:rsidR="0027458C">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15</w:t>
      </w:r>
      <w:r w:rsidR="0027458C">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Thrombocytosis was found in 44.7% and 50.0% of subjects, respectively, with mortality rates of 31.1% after arterial thrombosis and 11.7% after venous thrombosis</w:t>
      </w:r>
      <w:r w:rsidR="0055779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15</w:t>
      </w:r>
      <w:r w:rsidR="0055779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In the French Pharmacovigilance assessment (2009-2013)</w:t>
      </w:r>
      <w:r w:rsidR="0055779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5</w:t>
      </w:r>
      <w:r w:rsidR="0055779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at least one other risk factor was demonstrated by 15</w:t>
      </w:r>
      <w:r w:rsidR="00B2183F">
        <w:rPr>
          <w:rFonts w:ascii="Book Antiqua" w:eastAsia="Book Antiqua" w:hAnsi="Book Antiqua" w:cs="Book Antiqua"/>
          <w:color w:val="000000"/>
        </w:rPr>
        <w:t xml:space="preserve"> </w:t>
      </w:r>
      <w:r>
        <w:rPr>
          <w:rFonts w:ascii="Book Antiqua" w:eastAsia="Book Antiqua" w:hAnsi="Book Antiqua" w:cs="Book Antiqua"/>
          <w:color w:val="000000"/>
        </w:rPr>
        <w:t xml:space="preserve">(83.3%) </w:t>
      </w:r>
      <w:r w:rsidR="00B2183F">
        <w:rPr>
          <w:rFonts w:ascii="Book Antiqua" w:eastAsia="Book Antiqua" w:hAnsi="Book Antiqua" w:cs="Book Antiqua"/>
          <w:color w:val="000000"/>
        </w:rPr>
        <w:t xml:space="preserve">patients </w:t>
      </w:r>
      <w:r>
        <w:rPr>
          <w:rFonts w:ascii="Book Antiqua" w:eastAsia="Book Antiqua" w:hAnsi="Book Antiqua" w:cs="Book Antiqua"/>
          <w:color w:val="000000"/>
        </w:rPr>
        <w:t>with venous thromboses after TPO-RA exposures. Thrombocytosis was observed in 4 (22.2%)</w:t>
      </w:r>
      <w:r w:rsidR="00B2183F" w:rsidRPr="00B2183F">
        <w:rPr>
          <w:rFonts w:ascii="Book Antiqua" w:eastAsia="Book Antiqua" w:hAnsi="Book Antiqua" w:cs="Book Antiqua"/>
          <w:color w:val="000000"/>
        </w:rPr>
        <w:t xml:space="preserve"> </w:t>
      </w:r>
      <w:r w:rsidR="00B2183F">
        <w:rPr>
          <w:rFonts w:ascii="Book Antiqua" w:eastAsia="Book Antiqua" w:hAnsi="Book Antiqua" w:cs="Book Antiqua"/>
          <w:color w:val="000000"/>
        </w:rPr>
        <w:t>patients</w:t>
      </w:r>
      <w:r>
        <w:rPr>
          <w:rFonts w:ascii="Book Antiqua" w:eastAsia="Book Antiqua" w:hAnsi="Book Antiqua" w:cs="Book Antiqua"/>
          <w:color w:val="000000"/>
        </w:rPr>
        <w:t>, and 10</w:t>
      </w:r>
      <w:r w:rsidR="00B2183F">
        <w:rPr>
          <w:rFonts w:ascii="Book Antiqua" w:eastAsia="Book Antiqua" w:hAnsi="Book Antiqua" w:cs="Book Antiqua"/>
          <w:color w:val="000000"/>
        </w:rPr>
        <w:t xml:space="preserve"> </w:t>
      </w:r>
      <w:r>
        <w:rPr>
          <w:rFonts w:ascii="Book Antiqua" w:eastAsia="Book Antiqua" w:hAnsi="Book Antiqua" w:cs="Book Antiqua"/>
          <w:color w:val="000000"/>
        </w:rPr>
        <w:t xml:space="preserve">(55.6%) </w:t>
      </w:r>
      <w:r w:rsidR="00B2183F">
        <w:rPr>
          <w:rFonts w:ascii="Book Antiqua" w:eastAsia="Book Antiqua" w:hAnsi="Book Antiqua" w:cs="Book Antiqua"/>
          <w:color w:val="000000"/>
        </w:rPr>
        <w:t xml:space="preserve">were </w:t>
      </w:r>
      <w:r>
        <w:rPr>
          <w:rFonts w:ascii="Book Antiqua" w:eastAsia="Book Antiqua" w:hAnsi="Book Antiqua" w:cs="Book Antiqua"/>
          <w:color w:val="000000"/>
        </w:rPr>
        <w:t>subjected to prior splenectomies</w:t>
      </w:r>
      <w:r w:rsidR="0055779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5</w:t>
      </w:r>
      <w:r w:rsidR="0055779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At no times were platelet counts elevated during arterial thrombotic events, although myocardial infarction was associated with intravenous immunoglobulin use in another study</w:t>
      </w:r>
      <w:r w:rsidR="0055779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11</w:t>
      </w:r>
      <w:r w:rsidR="0055779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p>
    <w:p w14:paraId="5C5A7728" w14:textId="77777777" w:rsidR="00A77B3E" w:rsidRDefault="00BB6868" w:rsidP="0055779E">
      <w:pPr>
        <w:spacing w:line="360" w:lineRule="auto"/>
        <w:ind w:firstLineChars="100" w:firstLine="240"/>
        <w:jc w:val="both"/>
      </w:pPr>
      <w:r>
        <w:rPr>
          <w:rFonts w:ascii="Book Antiqua" w:eastAsia="Book Antiqua" w:hAnsi="Book Antiqua" w:cs="Book Antiqua"/>
          <w:color w:val="000000"/>
        </w:rPr>
        <w:t xml:space="preserve">Unfortunately, underreporting of adverse drug reactions is likely, and the data that is reported may be incomplete. Despite good responses and the therapeutic potential of </w:t>
      </w:r>
      <w:r>
        <w:rPr>
          <w:rFonts w:ascii="Book Antiqua" w:eastAsia="Book Antiqua" w:hAnsi="Book Antiqua" w:cs="Book Antiqua"/>
          <w:color w:val="000000"/>
        </w:rPr>
        <w:lastRenderedPageBreak/>
        <w:t>eltrombopag in an array of disorders, such as aplastic anemia</w:t>
      </w:r>
      <w:r w:rsidR="00C76F7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16</w:t>
      </w:r>
      <w:r w:rsidR="00C76F7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and post-transplant cytopenias</w:t>
      </w:r>
      <w:r w:rsidR="00C76F7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11,17</w:t>
      </w:r>
      <w:r w:rsidR="00C76F7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its thrombotic ramifications are worthy of closer scrutiny. Other researchers have determined that in patients with chronic liver disease given TPO-RAs for thrombocytopenia, eltrombopag use seems to carry some risk of PVT, even though the incidence of PVT is not increased</w:t>
      </w:r>
      <w:r w:rsidR="00C76F7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18</w:t>
      </w:r>
      <w:r w:rsidR="00C76F7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In addition, an increase in eltrombopag dosage (from 25 mg to 50 mg) has culminated in extensive cerebral venous sinus thrombosis for one patient with ITP</w:t>
      </w:r>
      <w:r w:rsidR="00C76F7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9</w:t>
      </w:r>
      <w:r w:rsidR="00C76F7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p>
    <w:p w14:paraId="159A26C8" w14:textId="5653E58C" w:rsidR="00A77B3E" w:rsidRDefault="00BB6868" w:rsidP="00C76F78">
      <w:pPr>
        <w:spacing w:line="360" w:lineRule="auto"/>
        <w:ind w:firstLineChars="100" w:firstLine="240"/>
        <w:jc w:val="both"/>
      </w:pPr>
      <w:r>
        <w:rPr>
          <w:rFonts w:ascii="Book Antiqua" w:eastAsia="Book Antiqua" w:hAnsi="Book Antiqua" w:cs="Book Antiqua"/>
          <w:color w:val="000000"/>
        </w:rPr>
        <w:t xml:space="preserve">Herein, we have reported eltrombopag-related venous thrombosis at an unusual </w:t>
      </w:r>
      <w:r w:rsidR="006233DB">
        <w:rPr>
          <w:rFonts w:ascii="Book Antiqua" w:eastAsia="Book Antiqua" w:hAnsi="Book Antiqua" w:cs="Book Antiqua"/>
          <w:color w:val="000000"/>
        </w:rPr>
        <w:t>site (renal vein) during a 1</w:t>
      </w:r>
      <w:r w:rsidR="00032B29">
        <w:rPr>
          <w:rFonts w:ascii="Book Antiqua" w:eastAsia="Book Antiqua" w:hAnsi="Book Antiqua" w:cs="Book Antiqua"/>
          <w:color w:val="000000"/>
        </w:rPr>
        <w:t xml:space="preserve"> </w:t>
      </w:r>
      <w:r w:rsidR="006233DB">
        <w:rPr>
          <w:rFonts w:ascii="Book Antiqua" w:eastAsia="Book Antiqua" w:hAnsi="Book Antiqua" w:cs="Book Antiqua"/>
          <w:color w:val="000000"/>
        </w:rPr>
        <w:t>w</w:t>
      </w:r>
      <w:r>
        <w:rPr>
          <w:rFonts w:ascii="Book Antiqua" w:eastAsia="Book Antiqua" w:hAnsi="Book Antiqua" w:cs="Book Antiqua"/>
          <w:color w:val="000000"/>
        </w:rPr>
        <w:t xml:space="preserve">k exposure, marked by onset of abdominal pain. To our knowledge, this is the first reported occurrence of renal vein thrombosis in association with a TPO-RA. Routine diagnostics provided no evidence of nephropathy or proteinuria, and lower-limb deep vein thrombosis was excluded. Phlebography conducted later disclosed only a thrombus of </w:t>
      </w:r>
      <w:r w:rsidR="00B2183F">
        <w:rPr>
          <w:rFonts w:ascii="Book Antiqua" w:eastAsia="Book Antiqua" w:hAnsi="Book Antiqua" w:cs="Book Antiqua"/>
          <w:color w:val="000000"/>
        </w:rPr>
        <w:t xml:space="preserve">the </w:t>
      </w:r>
      <w:r>
        <w:rPr>
          <w:rFonts w:ascii="Book Antiqua" w:eastAsia="Book Antiqua" w:hAnsi="Book Antiqua" w:cs="Book Antiqua"/>
          <w:color w:val="000000"/>
        </w:rPr>
        <w:t xml:space="preserve">renal vein extending to </w:t>
      </w:r>
      <w:r w:rsidR="00B2183F">
        <w:rPr>
          <w:rFonts w:ascii="Book Antiqua" w:eastAsia="Book Antiqua" w:hAnsi="Book Antiqua" w:cs="Book Antiqua"/>
          <w:color w:val="000000"/>
        </w:rPr>
        <w:t xml:space="preserve">the </w:t>
      </w:r>
      <w:r>
        <w:rPr>
          <w:rFonts w:ascii="Book Antiqua" w:eastAsia="Book Antiqua" w:hAnsi="Book Antiqua" w:cs="Book Antiqua"/>
          <w:color w:val="000000"/>
        </w:rPr>
        <w:t>inferior vena cava. Although acute-phase absolute platelet counts were not indicative of thrombocytosis (60</w:t>
      </w:r>
      <w:r w:rsidR="006233D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233DB">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this patient experienced a rapid rise in platelets relative to baseline level (from 6</w:t>
      </w:r>
      <w:r w:rsidR="006233D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233DB">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to 60</w:t>
      </w:r>
      <w:r w:rsidR="006233D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233DB">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in 1 wk). The corticosteroids previously instituted may have conferred prothrombotic effects as well, serving as a second independent risk factor.</w:t>
      </w:r>
    </w:p>
    <w:p w14:paraId="55CE73B0" w14:textId="77777777" w:rsidR="00A77B3E" w:rsidRDefault="00BB6868" w:rsidP="006233DB">
      <w:pPr>
        <w:spacing w:line="360" w:lineRule="auto"/>
        <w:ind w:firstLineChars="100" w:firstLine="240"/>
        <w:jc w:val="both"/>
      </w:pPr>
      <w:r>
        <w:rPr>
          <w:rFonts w:ascii="Book Antiqua" w:eastAsia="Book Antiqua" w:hAnsi="Book Antiqua" w:cs="Book Antiqua"/>
          <w:color w:val="000000"/>
        </w:rPr>
        <w:t xml:space="preserve">Close and frequent monitoring of platelet counts would thus be prudent when initiating TPO-RA therapy, especially if other known thrombotic risk factors are present. The dramatic platelet fluctuations engendered by eltrombopag may perhaps require individualized dosing to temper this effect and reduce chances of subsequent thrombosis. Despite our canceling of intended rt-PA therapy (due to low platelets), thrombolysis occurred spontaneously in conjunction with rivaroxaban treatment, restoring renal vein circulation. This underscores the importance of adequate anticoagulation in patients with newly formed or fresh deep vein thromboemboli, encouraging spontaneous resolution. </w:t>
      </w:r>
      <w:bookmarkEnd w:id="84"/>
      <w:bookmarkEnd w:id="85"/>
    </w:p>
    <w:p w14:paraId="6C390725" w14:textId="77777777" w:rsidR="00A77B3E" w:rsidRDefault="00A77B3E">
      <w:pPr>
        <w:spacing w:line="360" w:lineRule="auto"/>
        <w:jc w:val="both"/>
      </w:pPr>
    </w:p>
    <w:p w14:paraId="62D3F8F8" w14:textId="77777777" w:rsidR="00A77B3E" w:rsidRDefault="00BB6868">
      <w:pPr>
        <w:spacing w:line="360" w:lineRule="auto"/>
        <w:jc w:val="both"/>
      </w:pPr>
      <w:r>
        <w:rPr>
          <w:rFonts w:ascii="Book Antiqua" w:eastAsia="Book Antiqua" w:hAnsi="Book Antiqua" w:cs="Book Antiqua"/>
          <w:b/>
          <w:caps/>
          <w:color w:val="000000"/>
          <w:u w:val="single"/>
        </w:rPr>
        <w:t>CONCLUSION</w:t>
      </w:r>
    </w:p>
    <w:p w14:paraId="79033CE6" w14:textId="77777777" w:rsidR="00A77B3E" w:rsidRDefault="00BB6868">
      <w:pPr>
        <w:spacing w:line="360" w:lineRule="auto"/>
        <w:jc w:val="both"/>
      </w:pPr>
      <w:bookmarkStart w:id="86" w:name="OLE_LINK463"/>
      <w:bookmarkStart w:id="87" w:name="OLE_LINK464"/>
      <w:r>
        <w:rPr>
          <w:rFonts w:ascii="Book Antiqua" w:eastAsia="Book Antiqua" w:hAnsi="Book Antiqua" w:cs="Book Antiqua"/>
          <w:color w:val="000000"/>
        </w:rPr>
        <w:t xml:space="preserve">The present case illustrates that eltrombopag treatment of ITP in the absence of nephropathy may predispose to renal vein thromboembolism. Rapid recovery from </w:t>
      </w:r>
      <w:r>
        <w:rPr>
          <w:rFonts w:ascii="Book Antiqua" w:eastAsia="Book Antiqua" w:hAnsi="Book Antiqua" w:cs="Book Antiqua"/>
          <w:color w:val="000000"/>
        </w:rPr>
        <w:lastRenderedPageBreak/>
        <w:t xml:space="preserve">thrombocytopenia may be culpable, even if platelet counts remain depressed. In patients at high risk of thrombosis, individualized eltrombopag dosing and vigilance in platelet monitoring may be needed during treatment of ITP. </w:t>
      </w:r>
    </w:p>
    <w:bookmarkEnd w:id="86"/>
    <w:bookmarkEnd w:id="87"/>
    <w:p w14:paraId="0C443899" w14:textId="77777777" w:rsidR="00A77B3E" w:rsidRDefault="00A77B3E">
      <w:pPr>
        <w:spacing w:line="360" w:lineRule="auto"/>
        <w:jc w:val="both"/>
      </w:pPr>
    </w:p>
    <w:p w14:paraId="303BEE92" w14:textId="77777777" w:rsidR="00A77B3E" w:rsidRDefault="00BB6868">
      <w:pPr>
        <w:spacing w:line="360" w:lineRule="auto"/>
        <w:jc w:val="both"/>
      </w:pPr>
      <w:r>
        <w:rPr>
          <w:rFonts w:ascii="Book Antiqua" w:eastAsia="Book Antiqua" w:hAnsi="Book Antiqua" w:cs="Book Antiqua"/>
          <w:b/>
          <w:caps/>
          <w:color w:val="000000"/>
          <w:u w:val="single"/>
        </w:rPr>
        <w:t>ACKNOWLEDGEMENTS</w:t>
      </w:r>
    </w:p>
    <w:p w14:paraId="063C183B" w14:textId="77777777" w:rsidR="00A77B3E" w:rsidRDefault="00BB6868">
      <w:pPr>
        <w:spacing w:line="360" w:lineRule="auto"/>
        <w:jc w:val="both"/>
      </w:pPr>
      <w:bookmarkStart w:id="88" w:name="OLE_LINK465"/>
      <w:bookmarkStart w:id="89" w:name="OLE_LINK466"/>
      <w:r>
        <w:rPr>
          <w:rFonts w:ascii="Book Antiqua" w:eastAsia="Book Antiqua" w:hAnsi="Book Antiqua" w:cs="Book Antiqua"/>
          <w:color w:val="000000"/>
        </w:rPr>
        <w:t>We wish to thank the patient, her family members, and our co-workers for their contributions to this study.</w:t>
      </w:r>
    </w:p>
    <w:bookmarkEnd w:id="88"/>
    <w:bookmarkEnd w:id="89"/>
    <w:p w14:paraId="4A7A43F5" w14:textId="77777777" w:rsidR="00A77B3E" w:rsidRDefault="00A77B3E">
      <w:pPr>
        <w:spacing w:line="360" w:lineRule="auto"/>
        <w:jc w:val="both"/>
      </w:pPr>
    </w:p>
    <w:p w14:paraId="4F8DF481" w14:textId="77777777" w:rsidR="00A77B3E" w:rsidRDefault="00BB6868">
      <w:pPr>
        <w:spacing w:line="360" w:lineRule="auto"/>
        <w:jc w:val="both"/>
      </w:pPr>
      <w:r>
        <w:rPr>
          <w:rFonts w:ascii="Book Antiqua" w:eastAsia="Book Antiqua" w:hAnsi="Book Antiqua" w:cs="Book Antiqua"/>
          <w:b/>
          <w:color w:val="000000"/>
        </w:rPr>
        <w:t>REFERENCES</w:t>
      </w:r>
    </w:p>
    <w:p w14:paraId="13E9E54A" w14:textId="77777777" w:rsidR="00A77B3E" w:rsidRDefault="00BB6868">
      <w:pPr>
        <w:spacing w:line="360" w:lineRule="auto"/>
        <w:jc w:val="both"/>
      </w:pPr>
      <w:bookmarkStart w:id="90" w:name="OLE_LINK20"/>
      <w:bookmarkStart w:id="91" w:name="OLE_LINK21"/>
      <w:bookmarkStart w:id="92" w:name="OLE_LINK22"/>
      <w:bookmarkStart w:id="93" w:name="OLE_LINK23"/>
      <w:bookmarkStart w:id="94" w:name="OLE_LINK467"/>
      <w:bookmarkStart w:id="95" w:name="OLE_LINK468"/>
      <w:r>
        <w:rPr>
          <w:rFonts w:ascii="Book Antiqua" w:eastAsia="Book Antiqua" w:hAnsi="Book Antiqua" w:cs="Book Antiqua"/>
          <w:color w:val="000000"/>
        </w:rPr>
        <w:t xml:space="preserve">1 </w:t>
      </w:r>
      <w:r>
        <w:rPr>
          <w:rFonts w:ascii="Book Antiqua" w:eastAsia="Book Antiqua" w:hAnsi="Book Antiqua" w:cs="Book Antiqua"/>
          <w:b/>
          <w:bCs/>
          <w:color w:val="000000"/>
        </w:rPr>
        <w:t>Eser A</w:t>
      </w:r>
      <w:r>
        <w:rPr>
          <w:rFonts w:ascii="Book Antiqua" w:eastAsia="Book Antiqua" w:hAnsi="Book Antiqua" w:cs="Book Antiqua"/>
          <w:color w:val="000000"/>
        </w:rPr>
        <w:t xml:space="preserve">, Toptas T, Kara O, Sezgin A, Noyan-Atalay F, Yilmaz G, Ozgumus T, Pepedil-Tanrikulu F, Kaygusuz-Atagunduz I, Firatli-Tuglular T. Efficacy and safety of eltrombopag in treatment-refractory primary immune thrombocytopenia: a retrospective study. </w:t>
      </w:r>
      <w:r>
        <w:rPr>
          <w:rFonts w:ascii="Book Antiqua" w:eastAsia="Book Antiqua" w:hAnsi="Book Antiqua" w:cs="Book Antiqua"/>
          <w:i/>
          <w:iCs/>
          <w:color w:val="000000"/>
        </w:rPr>
        <w:t>Blood Coagul Fibrinolysis</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47-52 [PMID: 26258668 DOI: 10.1097/MBC.0000000000000380]</w:t>
      </w:r>
    </w:p>
    <w:p w14:paraId="0F0DF4FE" w14:textId="77777777" w:rsidR="00A77B3E" w:rsidRDefault="00BB686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Arai Y</w:t>
      </w:r>
      <w:r>
        <w:rPr>
          <w:rFonts w:ascii="Book Antiqua" w:eastAsia="Book Antiqua" w:hAnsi="Book Antiqua" w:cs="Book Antiqua"/>
          <w:color w:val="000000"/>
        </w:rPr>
        <w:t xml:space="preserve">, Matsui H, Jo T, Kondo T, Takaori-Kondo A. Comparison of treatments for persistent/chronic immune thrombocytopenia: a systematic review and network meta-analysis. </w:t>
      </w:r>
      <w:r>
        <w:rPr>
          <w:rFonts w:ascii="Book Antiqua" w:eastAsia="Book Antiqua" w:hAnsi="Book Antiqua" w:cs="Book Antiqua"/>
          <w:i/>
          <w:iCs/>
          <w:color w:val="000000"/>
        </w:rPr>
        <w:t>Platelets</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946-956 [PMID: 30507320 DOI: 10.1080/09537104.2018.1543864]</w:t>
      </w:r>
    </w:p>
    <w:p w14:paraId="257C7517" w14:textId="77777777" w:rsidR="00A77B3E" w:rsidRDefault="00BB686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Saleh MN</w:t>
      </w:r>
      <w:r>
        <w:rPr>
          <w:rFonts w:ascii="Book Antiqua" w:eastAsia="Book Antiqua" w:hAnsi="Book Antiqua" w:cs="Book Antiqua"/>
          <w:color w:val="000000"/>
        </w:rPr>
        <w:t xml:space="preserve">, Bussel JB, Cheng G, Meyer O, Bailey CK, Arning M, Brainsky A; EXTEND Study Group. Safety and efficacy of eltrombopag for treatment of chronic immune thrombocytopenia: results of the long-term, open-label EXTEND study.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2013; </w:t>
      </w:r>
      <w:r>
        <w:rPr>
          <w:rFonts w:ascii="Book Antiqua" w:eastAsia="Book Antiqua" w:hAnsi="Book Antiqua" w:cs="Book Antiqua"/>
          <w:b/>
          <w:bCs/>
          <w:color w:val="000000"/>
        </w:rPr>
        <w:t>121</w:t>
      </w:r>
      <w:r>
        <w:rPr>
          <w:rFonts w:ascii="Book Antiqua" w:eastAsia="Book Antiqua" w:hAnsi="Book Antiqua" w:cs="Book Antiqua"/>
          <w:color w:val="000000"/>
        </w:rPr>
        <w:t>: 537-545 [PMID: 23169778 DOI: 10.1182/blood-2012-04-425512]</w:t>
      </w:r>
    </w:p>
    <w:p w14:paraId="32A4AB67" w14:textId="77777777" w:rsidR="00A77B3E" w:rsidRDefault="00BB686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Wong RSM</w:t>
      </w:r>
      <w:r>
        <w:rPr>
          <w:rFonts w:ascii="Book Antiqua" w:eastAsia="Book Antiqua" w:hAnsi="Book Antiqua" w:cs="Book Antiqua"/>
          <w:color w:val="000000"/>
        </w:rPr>
        <w:t xml:space="preserve">, Saleh MN, Khelif A, Salama A, Portella MSO, Burgess P, Bussel JB. Safety and efficacy of long-term treatment of chronic/persistent ITP with eltrombopag: final results of the EXTEND study.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2017; </w:t>
      </w:r>
      <w:r>
        <w:rPr>
          <w:rFonts w:ascii="Book Antiqua" w:eastAsia="Book Antiqua" w:hAnsi="Book Antiqua" w:cs="Book Antiqua"/>
          <w:b/>
          <w:bCs/>
          <w:color w:val="000000"/>
        </w:rPr>
        <w:t>130</w:t>
      </w:r>
      <w:r>
        <w:rPr>
          <w:rFonts w:ascii="Book Antiqua" w:eastAsia="Book Antiqua" w:hAnsi="Book Antiqua" w:cs="Book Antiqua"/>
          <w:color w:val="000000"/>
        </w:rPr>
        <w:t>: 2527-2536 [PMID: 29042367 DOI: 10.1182/blood-2017-04-748707]</w:t>
      </w:r>
    </w:p>
    <w:p w14:paraId="72506329" w14:textId="77777777" w:rsidR="00A77B3E" w:rsidRDefault="00BB686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Moulis G</w:t>
      </w:r>
      <w:r>
        <w:rPr>
          <w:rFonts w:ascii="Book Antiqua" w:eastAsia="Book Antiqua" w:hAnsi="Book Antiqua" w:cs="Book Antiqua"/>
          <w:color w:val="000000"/>
        </w:rPr>
        <w:t xml:space="preserve">, Bagheri H, Sailler L, Jonville-Bera AP, Weber E, Guy C, Petitpain N, Laroche ML, Favrelière S, Béné J, Baldin B, Villeval-Federici L, Tebacher-Alt M, Bres V, Veyrac G, Grandvuillemin A, Mauprivez C, Lapeyre-Mestre M, Montastruc JL; French Association of PharmacoVigilance Centers. Are adverse drug reaction patterns different between </w:t>
      </w:r>
      <w:r>
        <w:rPr>
          <w:rFonts w:ascii="Book Antiqua" w:eastAsia="Book Antiqua" w:hAnsi="Book Antiqua" w:cs="Book Antiqua"/>
          <w:color w:val="000000"/>
        </w:rPr>
        <w:lastRenderedPageBreak/>
        <w:t xml:space="preserve">romiplostim and eltrombopag? 2009-2013 French PharmacoVigilance assessment. </w:t>
      </w:r>
      <w:r>
        <w:rPr>
          <w:rFonts w:ascii="Book Antiqua" w:eastAsia="Book Antiqua" w:hAnsi="Book Antiqua" w:cs="Book Antiqua"/>
          <w:i/>
          <w:iCs/>
          <w:color w:val="000000"/>
        </w:rPr>
        <w:t>Eur J Intern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777-780 [PMID: 25242516 DOI: 10.1016/j.ejim.2014.09.006]</w:t>
      </w:r>
    </w:p>
    <w:p w14:paraId="10F90672" w14:textId="77777777" w:rsidR="00A77B3E" w:rsidRDefault="00BB686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Andic N</w:t>
      </w:r>
      <w:r>
        <w:rPr>
          <w:rFonts w:ascii="Book Antiqua" w:eastAsia="Book Antiqua" w:hAnsi="Book Antiqua" w:cs="Book Antiqua"/>
          <w:color w:val="000000"/>
        </w:rPr>
        <w:t xml:space="preserve">, Gunduz E, Akay OM, Şahin D, Teke HÜ. Cardiac and pulmonary thrombosis during multidrug treatment in an idiopathic thrombocytopenic purpura patient. </w:t>
      </w:r>
      <w:r>
        <w:rPr>
          <w:rFonts w:ascii="Book Antiqua" w:eastAsia="Book Antiqua" w:hAnsi="Book Antiqua" w:cs="Book Antiqua"/>
          <w:i/>
          <w:iCs/>
          <w:color w:val="000000"/>
        </w:rPr>
        <w:t>Platelets</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69-70 [PMID: 23320868 DOI: 10.3109/09537104.2012.758360]</w:t>
      </w:r>
    </w:p>
    <w:p w14:paraId="3C790248" w14:textId="77777777" w:rsidR="00A77B3E" w:rsidRDefault="00BB686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Kawano N</w:t>
      </w:r>
      <w:r>
        <w:rPr>
          <w:rFonts w:ascii="Book Antiqua" w:eastAsia="Book Antiqua" w:hAnsi="Book Antiqua" w:cs="Book Antiqua"/>
          <w:color w:val="000000"/>
        </w:rPr>
        <w:t xml:space="preserve">, Hasuike S, Iwakiri H, Nakamura K, Ozono Y, Kusumoto H, Nagata K, Kikuchi I, Yoshida S, Kuriyama T, Yamashita K, Muranaka T, Kawaguchi T, Sata M, Okamura T, Ueda A, Shimoda K. Portal vein thrombosis during eltrombopag treatment for immune thrombocytopenic purpura in a patient with liver cirrhosis due to hepatitis C viral infection. </w:t>
      </w:r>
      <w:r>
        <w:rPr>
          <w:rFonts w:ascii="Book Antiqua" w:eastAsia="Book Antiqua" w:hAnsi="Book Antiqua" w:cs="Book Antiqua"/>
          <w:i/>
          <w:iCs/>
          <w:color w:val="000000"/>
        </w:rPr>
        <w:t>J Clin Exp Hematop</w:t>
      </w:r>
      <w:r>
        <w:rPr>
          <w:rFonts w:ascii="Book Antiqua" w:eastAsia="Book Antiqua" w:hAnsi="Book Antiqua" w:cs="Book Antiqua"/>
          <w:color w:val="000000"/>
        </w:rPr>
        <w:t xml:space="preserve"> 2013; </w:t>
      </w:r>
      <w:r>
        <w:rPr>
          <w:rFonts w:ascii="Book Antiqua" w:eastAsia="Book Antiqua" w:hAnsi="Book Antiqua" w:cs="Book Antiqua"/>
          <w:b/>
          <w:bCs/>
          <w:color w:val="000000"/>
        </w:rPr>
        <w:t>53</w:t>
      </w:r>
      <w:r>
        <w:rPr>
          <w:rFonts w:ascii="Book Antiqua" w:eastAsia="Book Antiqua" w:hAnsi="Book Antiqua" w:cs="Book Antiqua"/>
          <w:color w:val="000000"/>
        </w:rPr>
        <w:t>: 151-155 [PMID: 23995112 DOI: 10.3960/jslrt.53.151]</w:t>
      </w:r>
    </w:p>
    <w:p w14:paraId="095946D9" w14:textId="77777777" w:rsidR="00A77B3E" w:rsidRDefault="00BB686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Catalá-López F</w:t>
      </w:r>
      <w:r>
        <w:rPr>
          <w:rFonts w:ascii="Book Antiqua" w:eastAsia="Book Antiqua" w:hAnsi="Book Antiqua" w:cs="Book Antiqua"/>
          <w:color w:val="000000"/>
        </w:rPr>
        <w:t xml:space="preserve">, Corrales I, de la Fuente-Honrubia C, González-Bermejo D, Martín-Serrano G, Montero D, Saint-Gerons DM. Risk of thromboembolism with thrombopoietin receptor agonists in adult patients with thrombocytopenia: Systematic review and meta-analysis of randomized controlled trials. </w:t>
      </w:r>
      <w:r>
        <w:rPr>
          <w:rFonts w:ascii="Book Antiqua" w:eastAsia="Book Antiqua" w:hAnsi="Book Antiqua" w:cs="Book Antiqua"/>
          <w:i/>
          <w:iCs/>
          <w:color w:val="000000"/>
        </w:rPr>
        <w:t>Med Clin (Barc)</w:t>
      </w:r>
      <w:r>
        <w:rPr>
          <w:rFonts w:ascii="Book Antiqua" w:eastAsia="Book Antiqua" w:hAnsi="Book Antiqua" w:cs="Book Antiqua"/>
          <w:color w:val="000000"/>
        </w:rPr>
        <w:t xml:space="preserve"> 2015; </w:t>
      </w:r>
      <w:r>
        <w:rPr>
          <w:rFonts w:ascii="Book Antiqua" w:eastAsia="Book Antiqua" w:hAnsi="Book Antiqua" w:cs="Book Antiqua"/>
          <w:b/>
          <w:bCs/>
          <w:color w:val="000000"/>
        </w:rPr>
        <w:t>145</w:t>
      </w:r>
      <w:r>
        <w:rPr>
          <w:rFonts w:ascii="Book Antiqua" w:eastAsia="Book Antiqua" w:hAnsi="Book Antiqua" w:cs="Book Antiqua"/>
          <w:color w:val="000000"/>
        </w:rPr>
        <w:t>: 511-519 [PMID: 26051432 DOI: 10.1016/j.medcli.2015.03.014]</w:t>
      </w:r>
    </w:p>
    <w:p w14:paraId="40FF9945" w14:textId="77777777" w:rsidR="00A77B3E" w:rsidRDefault="00BB686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Mulla CM</w:t>
      </w:r>
      <w:r>
        <w:rPr>
          <w:rFonts w:ascii="Book Antiqua" w:eastAsia="Book Antiqua" w:hAnsi="Book Antiqua" w:cs="Book Antiqua"/>
          <w:color w:val="000000"/>
        </w:rPr>
        <w:t xml:space="preserve">, Rashidi A, Levitov AB. Extensive cerebral venous sinus thrombosis following a dose increase in eltrombopag in a patient with idiopathic thrombocytopenic purpura. </w:t>
      </w:r>
      <w:r>
        <w:rPr>
          <w:rFonts w:ascii="Book Antiqua" w:eastAsia="Book Antiqua" w:hAnsi="Book Antiqua" w:cs="Book Antiqua"/>
          <w:i/>
          <w:iCs/>
          <w:color w:val="000000"/>
        </w:rPr>
        <w:t>Platelets</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144-146 [PMID: 23320857 DOI: 10.3109/09537104.2012.758359]</w:t>
      </w:r>
    </w:p>
    <w:p w14:paraId="28A7CCE0" w14:textId="77777777" w:rsidR="00A77B3E" w:rsidRDefault="00BB686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Imbach P</w:t>
      </w:r>
      <w:r>
        <w:rPr>
          <w:rFonts w:ascii="Book Antiqua" w:eastAsia="Book Antiqua" w:hAnsi="Book Antiqua" w:cs="Book Antiqua"/>
          <w:color w:val="000000"/>
        </w:rPr>
        <w:t xml:space="preserve">, Crowther M. Thrombopoietin-receptor agonists for primary immune thrombocytopenia.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365</w:t>
      </w:r>
      <w:r>
        <w:rPr>
          <w:rFonts w:ascii="Book Antiqua" w:eastAsia="Book Antiqua" w:hAnsi="Book Antiqua" w:cs="Book Antiqua"/>
          <w:color w:val="000000"/>
        </w:rPr>
        <w:t>: 734-741 [PMID: 21864167 DOI: 10.1056/NEJMct1014202]</w:t>
      </w:r>
    </w:p>
    <w:p w14:paraId="486B7AED" w14:textId="77777777" w:rsidR="00A77B3E" w:rsidRDefault="00BB686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Fu H</w:t>
      </w:r>
      <w:r>
        <w:rPr>
          <w:rFonts w:ascii="Book Antiqua" w:eastAsia="Book Antiqua" w:hAnsi="Book Antiqua" w:cs="Book Antiqua"/>
          <w:color w:val="000000"/>
        </w:rPr>
        <w:t xml:space="preserve">, Zhang X, Han T, Mo X, Wang Y, Chen H, Han W, Wang J, Wang F, Yan C, Zhang Y, Sun Y, Liu K, Huang X, Xu L. Eltrombopag is an effective and safe therapy for refractory thrombocytopenia after haploidentical hematopoietic stem cell transplantation. </w:t>
      </w:r>
      <w:r>
        <w:rPr>
          <w:rFonts w:ascii="Book Antiqua" w:eastAsia="Book Antiqua" w:hAnsi="Book Antiqua" w:cs="Book Antiqua"/>
          <w:i/>
          <w:iCs/>
          <w:color w:val="000000"/>
        </w:rPr>
        <w:t>Bone Marrow Transplant</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1310-1318 [PMID: 30664724 DOI: 10.1038/s41409-019-0435-2]</w:t>
      </w:r>
    </w:p>
    <w:p w14:paraId="5E57AFDC" w14:textId="77777777" w:rsidR="00A77B3E" w:rsidRDefault="00BB6868">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Gunes H</w:t>
      </w:r>
      <w:r>
        <w:rPr>
          <w:rFonts w:ascii="Book Antiqua" w:eastAsia="Book Antiqua" w:hAnsi="Book Antiqua" w:cs="Book Antiqua"/>
          <w:color w:val="000000"/>
        </w:rPr>
        <w:t xml:space="preserve">, Kivrak T. Eltrombopag Induced Thrombosis: A Case with Acute Myocardial Infarction. </w:t>
      </w:r>
      <w:r>
        <w:rPr>
          <w:rFonts w:ascii="Book Antiqua" w:eastAsia="Book Antiqua" w:hAnsi="Book Antiqua" w:cs="Book Antiqua"/>
          <w:i/>
          <w:iCs/>
          <w:color w:val="000000"/>
        </w:rPr>
        <w:t>Curr Drug Saf</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174-176 [PMID: 26560493 DOI: 10.2174/1574886311207040255]</w:t>
      </w:r>
    </w:p>
    <w:p w14:paraId="65027BFD" w14:textId="77777777" w:rsidR="00A77B3E" w:rsidRDefault="00BB686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LaMoreaux B</w:t>
      </w:r>
      <w:r>
        <w:rPr>
          <w:rFonts w:ascii="Book Antiqua" w:eastAsia="Book Antiqua" w:hAnsi="Book Antiqua" w:cs="Book Antiqua"/>
          <w:color w:val="000000"/>
        </w:rPr>
        <w:t xml:space="preserve">, Barbar-Smiley F, Ardoin S, Madhoun H. Two cases of thrombosis in patients with antiphospholipid antibodies during treatment of immune thrombocytopenia with romiplostim, a thrombopoietin receptor agonist. </w:t>
      </w:r>
      <w:r>
        <w:rPr>
          <w:rFonts w:ascii="Book Antiqua" w:eastAsia="Book Antiqua" w:hAnsi="Book Antiqua" w:cs="Book Antiqua"/>
          <w:i/>
          <w:iCs/>
          <w:color w:val="000000"/>
        </w:rPr>
        <w:t>Semin Arthritis Rheum</w:t>
      </w:r>
      <w:r>
        <w:rPr>
          <w:rFonts w:ascii="Book Antiqua" w:eastAsia="Book Antiqua" w:hAnsi="Book Antiqua" w:cs="Book Antiqua"/>
          <w:color w:val="000000"/>
        </w:rPr>
        <w:t xml:space="preserve"> 2016; </w:t>
      </w:r>
      <w:r>
        <w:rPr>
          <w:rFonts w:ascii="Book Antiqua" w:eastAsia="Book Antiqua" w:hAnsi="Book Antiqua" w:cs="Book Antiqua"/>
          <w:b/>
          <w:bCs/>
          <w:color w:val="000000"/>
        </w:rPr>
        <w:t>45</w:t>
      </w:r>
      <w:r>
        <w:rPr>
          <w:rFonts w:ascii="Book Antiqua" w:eastAsia="Book Antiqua" w:hAnsi="Book Antiqua" w:cs="Book Antiqua"/>
          <w:color w:val="000000"/>
        </w:rPr>
        <w:t>: e10-e12 [PMID: 26329147 DOI: 10.1016/j.semarthrit.2015.07.008]</w:t>
      </w:r>
    </w:p>
    <w:p w14:paraId="2B5B766C" w14:textId="77777777" w:rsidR="00A77B3E" w:rsidRDefault="00BB686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Naess IA</w:t>
      </w:r>
      <w:r>
        <w:rPr>
          <w:rFonts w:ascii="Book Antiqua" w:eastAsia="Book Antiqua" w:hAnsi="Book Antiqua" w:cs="Book Antiqua"/>
          <w:color w:val="000000"/>
        </w:rPr>
        <w:t xml:space="preserve">, Christiansen SC, Romundstad P, Cannegieter SC, Rosendaal FR, Hammerstrøm J. Incidence and mortality of venous thrombosis: a population-based study. </w:t>
      </w:r>
      <w:r>
        <w:rPr>
          <w:rFonts w:ascii="Book Antiqua" w:eastAsia="Book Antiqua" w:hAnsi="Book Antiqua" w:cs="Book Antiqua"/>
          <w:i/>
          <w:iCs/>
          <w:color w:val="000000"/>
        </w:rPr>
        <w:t>J Thromb Haemost</w:t>
      </w:r>
      <w:r>
        <w:rPr>
          <w:rFonts w:ascii="Book Antiqua" w:eastAsia="Book Antiqua" w:hAnsi="Book Antiqua" w:cs="Book Antiqua"/>
          <w:color w:val="000000"/>
        </w:rPr>
        <w:t xml:space="preserve"> 2007; </w:t>
      </w:r>
      <w:r>
        <w:rPr>
          <w:rFonts w:ascii="Book Antiqua" w:eastAsia="Book Antiqua" w:hAnsi="Book Antiqua" w:cs="Book Antiqua"/>
          <w:b/>
          <w:bCs/>
          <w:color w:val="000000"/>
        </w:rPr>
        <w:t>5</w:t>
      </w:r>
      <w:r>
        <w:rPr>
          <w:rFonts w:ascii="Book Antiqua" w:eastAsia="Book Antiqua" w:hAnsi="Book Antiqua" w:cs="Book Antiqua"/>
          <w:color w:val="000000"/>
        </w:rPr>
        <w:t>: 692-699 [PMID: 17367492 DOI: 10.1111/j.1538-7836.2007.02450.x]</w:t>
      </w:r>
    </w:p>
    <w:p w14:paraId="6EDADB15" w14:textId="77777777" w:rsidR="00A77B3E" w:rsidRDefault="00BB686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Nguyen TT</w:t>
      </w:r>
      <w:r>
        <w:rPr>
          <w:rFonts w:ascii="Book Antiqua" w:eastAsia="Book Antiqua" w:hAnsi="Book Antiqua" w:cs="Book Antiqua"/>
          <w:color w:val="000000"/>
        </w:rPr>
        <w:t xml:space="preserve">, Palmaro A, Montastruc F, Lapeyre-Mestre M, Moulis G. Signal for Thrombosis with Eltrombopag and Romiplostim: A Disproportionality Analysis of Spontaneous Reports Within VigiBase®. </w:t>
      </w:r>
      <w:r>
        <w:rPr>
          <w:rFonts w:ascii="Book Antiqua" w:eastAsia="Book Antiqua" w:hAnsi="Book Antiqua" w:cs="Book Antiqua"/>
          <w:i/>
          <w:iCs/>
          <w:color w:val="000000"/>
        </w:rPr>
        <w:t>Drug Saf</w:t>
      </w:r>
      <w:r>
        <w:rPr>
          <w:rFonts w:ascii="Book Antiqua" w:eastAsia="Book Antiqua" w:hAnsi="Book Antiqua" w:cs="Book Antiqua"/>
          <w:color w:val="000000"/>
        </w:rPr>
        <w:t xml:space="preserve"> 2015; </w:t>
      </w:r>
      <w:r>
        <w:rPr>
          <w:rFonts w:ascii="Book Antiqua" w:eastAsia="Book Antiqua" w:hAnsi="Book Antiqua" w:cs="Book Antiqua"/>
          <w:b/>
          <w:bCs/>
          <w:color w:val="000000"/>
        </w:rPr>
        <w:t>38</w:t>
      </w:r>
      <w:r>
        <w:rPr>
          <w:rFonts w:ascii="Book Antiqua" w:eastAsia="Book Antiqua" w:hAnsi="Book Antiqua" w:cs="Book Antiqua"/>
          <w:color w:val="000000"/>
        </w:rPr>
        <w:t>: 1179-1186 [PMID: 26338346 DOI: 10.1007/s40264-015-0337-1]</w:t>
      </w:r>
    </w:p>
    <w:p w14:paraId="5D13AA44" w14:textId="77777777" w:rsidR="00A77B3E" w:rsidRDefault="00BB686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Townsley DM</w:t>
      </w:r>
      <w:r>
        <w:rPr>
          <w:rFonts w:ascii="Book Antiqua" w:eastAsia="Book Antiqua" w:hAnsi="Book Antiqua" w:cs="Book Antiqua"/>
          <w:color w:val="000000"/>
        </w:rPr>
        <w:t xml:space="preserve">, Scheinberg P, Winkler T, Desmond R, Dumitriu B, Rios O, Weinstein B, Valdez J, Lotter J, Feng X, Desierto M, Leuva H, Bevans M, Wu C, Larochelle A, Calvo KR, Dunbar CE, Young NS. Eltrombopag Added to Standard Immunosuppression for Aplastic Anemia.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376</w:t>
      </w:r>
      <w:r>
        <w:rPr>
          <w:rFonts w:ascii="Book Antiqua" w:eastAsia="Book Antiqua" w:hAnsi="Book Antiqua" w:cs="Book Antiqua"/>
          <w:color w:val="000000"/>
        </w:rPr>
        <w:t>: 1540-1550 [PMID: 28423296 DOI: 10.1056/NEJMoa1613878]</w:t>
      </w:r>
    </w:p>
    <w:p w14:paraId="5677D36F" w14:textId="77777777" w:rsidR="00A77B3E" w:rsidRDefault="00BB686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Marotta S</w:t>
      </w:r>
      <w:r>
        <w:rPr>
          <w:rFonts w:ascii="Book Antiqua" w:eastAsia="Book Antiqua" w:hAnsi="Book Antiqua" w:cs="Book Antiqua"/>
          <w:color w:val="000000"/>
        </w:rPr>
        <w:t xml:space="preserve">, Marano L, Ricci P, Cacace F, Frieri C, Simeone L, Trastulli F, Vitiello S, Cardano F, Pane F, Risitano AM. Eltrombopag for post-transplant cytopenias due to poor graft function. </w:t>
      </w:r>
      <w:r>
        <w:rPr>
          <w:rFonts w:ascii="Book Antiqua" w:eastAsia="Book Antiqua" w:hAnsi="Book Antiqua" w:cs="Book Antiqua"/>
          <w:i/>
          <w:iCs/>
          <w:color w:val="000000"/>
        </w:rPr>
        <w:t>Bone Marrow Transplant</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1346-1353 [PMID: 30679824 DOI: 10.1038/s41409-019-0442-3]</w:t>
      </w:r>
    </w:p>
    <w:p w14:paraId="4DF73645" w14:textId="77777777" w:rsidR="00A77B3E" w:rsidRDefault="00BB6868">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Loffredo L</w:t>
      </w:r>
      <w:r>
        <w:rPr>
          <w:rFonts w:ascii="Book Antiqua" w:eastAsia="Book Antiqua" w:hAnsi="Book Antiqua" w:cs="Book Antiqua"/>
          <w:color w:val="000000"/>
        </w:rPr>
        <w:t xml:space="preserve">, Violi F. Thrombopoietin receptor agonists and risk of portal vein thrombosis in patients with liver disease and thrombocytopenia: A meta-analysis.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24-27 [PMID: 29958825 DOI: 10.1016/j.dld.2018.06.005]</w:t>
      </w:r>
    </w:p>
    <w:bookmarkEnd w:id="90"/>
    <w:bookmarkEnd w:id="91"/>
    <w:bookmarkEnd w:id="92"/>
    <w:bookmarkEnd w:id="93"/>
    <w:bookmarkEnd w:id="94"/>
    <w:bookmarkEnd w:id="95"/>
    <w:p w14:paraId="1FE9D2F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84EA4F8" w14:textId="77777777" w:rsidR="00A77B3E" w:rsidRDefault="00BB6868">
      <w:pPr>
        <w:spacing w:line="360" w:lineRule="auto"/>
        <w:jc w:val="both"/>
      </w:pPr>
      <w:r>
        <w:rPr>
          <w:rFonts w:ascii="Book Antiqua" w:eastAsia="Book Antiqua" w:hAnsi="Book Antiqua" w:cs="Book Antiqua"/>
          <w:b/>
          <w:color w:val="000000"/>
        </w:rPr>
        <w:lastRenderedPageBreak/>
        <w:t>Footnotes</w:t>
      </w:r>
    </w:p>
    <w:p w14:paraId="2C1B9F21" w14:textId="28A881DA" w:rsidR="00A77B3E" w:rsidRDefault="00BB6868">
      <w:pPr>
        <w:spacing w:line="360" w:lineRule="auto"/>
        <w:jc w:val="both"/>
      </w:pPr>
      <w:r>
        <w:rPr>
          <w:rFonts w:ascii="Book Antiqua" w:eastAsia="Book Antiqua" w:hAnsi="Book Antiqua" w:cs="Book Antiqua"/>
          <w:b/>
          <w:bCs/>
          <w:color w:val="000000"/>
        </w:rPr>
        <w:t xml:space="preserve">Informed consent statement: </w:t>
      </w:r>
      <w:r w:rsidR="00B2183F" w:rsidRPr="00EC4C93">
        <w:rPr>
          <w:rFonts w:ascii="Book Antiqua" w:eastAsia="Book Antiqua" w:hAnsi="Book Antiqua" w:cs="Book Antiqua"/>
          <w:bCs/>
          <w:color w:val="000000"/>
        </w:rPr>
        <w:t>Written informed consent was obtained from the patient for publication of this report and any accompanying images.</w:t>
      </w:r>
    </w:p>
    <w:p w14:paraId="3AB47115" w14:textId="77777777" w:rsidR="00A77B3E" w:rsidRDefault="00A77B3E">
      <w:pPr>
        <w:spacing w:line="360" w:lineRule="auto"/>
        <w:jc w:val="both"/>
      </w:pPr>
    </w:p>
    <w:p w14:paraId="37630008" w14:textId="77777777" w:rsidR="00A77B3E" w:rsidRDefault="00BB686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of this paper have no conflicts of interest to declare. </w:t>
      </w:r>
    </w:p>
    <w:p w14:paraId="6C04FEBB" w14:textId="77777777" w:rsidR="00A77B3E" w:rsidRDefault="00A77B3E">
      <w:pPr>
        <w:spacing w:line="360" w:lineRule="auto"/>
        <w:jc w:val="both"/>
      </w:pPr>
    </w:p>
    <w:p w14:paraId="16AD453F" w14:textId="77777777" w:rsidR="00A77B3E" w:rsidRDefault="00BB6868">
      <w:pPr>
        <w:spacing w:line="360" w:lineRule="auto"/>
        <w:jc w:val="both"/>
      </w:pPr>
      <w:r>
        <w:rPr>
          <w:rFonts w:ascii="Book Antiqua" w:eastAsia="Book Antiqua" w:hAnsi="Book Antiqua" w:cs="Book Antiqua"/>
          <w:b/>
          <w:bCs/>
          <w:color w:val="000000"/>
        </w:rPr>
        <w:t xml:space="preserve">CARE Checklist (2016) statement: </w:t>
      </w:r>
      <w:bookmarkStart w:id="96" w:name="OLE_LINK469"/>
      <w:bookmarkStart w:id="97" w:name="OLE_LINK470"/>
      <w:r w:rsidR="00D16224" w:rsidRPr="00D16224">
        <w:rPr>
          <w:rFonts w:ascii="Book Antiqua" w:eastAsia="Book Antiqua" w:hAnsi="Book Antiqua" w:cs="Book Antiqua"/>
          <w:color w:val="000000"/>
        </w:rPr>
        <w:t>The authors have read the CARE Checklist (2016), and the manuscript was prepared and revised according to the CARE Checklist (2016).</w:t>
      </w:r>
      <w:bookmarkEnd w:id="96"/>
      <w:bookmarkEnd w:id="97"/>
    </w:p>
    <w:p w14:paraId="1046385D" w14:textId="77777777" w:rsidR="00A77B3E" w:rsidRDefault="00A77B3E">
      <w:pPr>
        <w:spacing w:line="360" w:lineRule="auto"/>
        <w:jc w:val="both"/>
      </w:pPr>
    </w:p>
    <w:p w14:paraId="70ECFD48" w14:textId="77777777" w:rsidR="00A77B3E" w:rsidRDefault="00BB686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EBDA785" w14:textId="77777777" w:rsidR="00A77B3E" w:rsidRDefault="00A77B3E">
      <w:pPr>
        <w:spacing w:line="360" w:lineRule="auto"/>
        <w:jc w:val="both"/>
      </w:pPr>
    </w:p>
    <w:p w14:paraId="5CD0769A" w14:textId="77777777" w:rsidR="00A77B3E" w:rsidRDefault="00BB686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16224">
        <w:rPr>
          <w:rFonts w:ascii="Book Antiqua" w:eastAsia="Book Antiqua" w:hAnsi="Book Antiqua" w:cs="Book Antiqua"/>
          <w:color w:val="000000"/>
        </w:rPr>
        <w:t>manuscript</w:t>
      </w:r>
    </w:p>
    <w:p w14:paraId="4462D141" w14:textId="77777777" w:rsidR="00A77B3E" w:rsidRDefault="00A77B3E">
      <w:pPr>
        <w:spacing w:line="360" w:lineRule="auto"/>
        <w:jc w:val="both"/>
      </w:pPr>
    </w:p>
    <w:p w14:paraId="1E028641" w14:textId="77777777" w:rsidR="00A77B3E" w:rsidRDefault="00BB686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9, 2020</w:t>
      </w:r>
    </w:p>
    <w:p w14:paraId="61E524B5" w14:textId="77777777" w:rsidR="00A77B3E" w:rsidRDefault="00BB686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24, 2020</w:t>
      </w:r>
    </w:p>
    <w:p w14:paraId="2EBE1D54" w14:textId="62AA49F1" w:rsidR="00A77B3E" w:rsidRDefault="00BB6868">
      <w:pPr>
        <w:spacing w:line="360" w:lineRule="auto"/>
        <w:jc w:val="both"/>
      </w:pPr>
      <w:r>
        <w:rPr>
          <w:rFonts w:ascii="Book Antiqua" w:eastAsia="Book Antiqua" w:hAnsi="Book Antiqua" w:cs="Book Antiqua"/>
          <w:b/>
          <w:color w:val="000000"/>
        </w:rPr>
        <w:t xml:space="preserve">Article in press: </w:t>
      </w:r>
      <w:r w:rsidR="0027464E" w:rsidRPr="00032B29">
        <w:rPr>
          <w:rFonts w:ascii="Book Antiqua" w:eastAsia="Book Antiqua" w:hAnsi="Book Antiqua" w:cs="Book Antiqua"/>
          <w:color w:val="000000"/>
        </w:rPr>
        <w:t>February 22, 2021</w:t>
      </w:r>
    </w:p>
    <w:p w14:paraId="4E77F6BB" w14:textId="77777777" w:rsidR="00A77B3E" w:rsidRDefault="00A77B3E">
      <w:pPr>
        <w:spacing w:line="360" w:lineRule="auto"/>
        <w:jc w:val="both"/>
      </w:pPr>
    </w:p>
    <w:p w14:paraId="6B414E41" w14:textId="77777777" w:rsidR="00A77B3E" w:rsidRDefault="00BB686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Respiratory </w:t>
      </w:r>
      <w:r w:rsidR="004E5E88">
        <w:rPr>
          <w:rFonts w:ascii="Book Antiqua" w:eastAsia="Book Antiqua" w:hAnsi="Book Antiqua" w:cs="Book Antiqua"/>
          <w:color w:val="000000"/>
        </w:rPr>
        <w:t>system</w:t>
      </w:r>
    </w:p>
    <w:p w14:paraId="43640A26" w14:textId="77777777" w:rsidR="00A77B3E" w:rsidRDefault="00BB686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FE63B6E" w14:textId="77777777" w:rsidR="00A77B3E" w:rsidRDefault="00BB6868">
      <w:pPr>
        <w:spacing w:line="360" w:lineRule="auto"/>
        <w:jc w:val="both"/>
      </w:pPr>
      <w:r>
        <w:rPr>
          <w:rFonts w:ascii="Book Antiqua" w:eastAsia="Book Antiqua" w:hAnsi="Book Antiqua" w:cs="Book Antiqua"/>
          <w:b/>
          <w:color w:val="000000"/>
        </w:rPr>
        <w:t>Peer-review report’s scientific quality classification</w:t>
      </w:r>
    </w:p>
    <w:p w14:paraId="6E82CCD1" w14:textId="77777777" w:rsidR="00A77B3E" w:rsidRDefault="00BB6868">
      <w:pPr>
        <w:spacing w:line="360" w:lineRule="auto"/>
        <w:jc w:val="both"/>
      </w:pPr>
      <w:r>
        <w:rPr>
          <w:rFonts w:ascii="Book Antiqua" w:eastAsia="Book Antiqua" w:hAnsi="Book Antiqua" w:cs="Book Antiqua"/>
          <w:color w:val="000000"/>
        </w:rPr>
        <w:t>Grade A (Excellent): 0</w:t>
      </w:r>
    </w:p>
    <w:p w14:paraId="2AF85075" w14:textId="77777777" w:rsidR="00A77B3E" w:rsidRDefault="00BB6868">
      <w:pPr>
        <w:spacing w:line="360" w:lineRule="auto"/>
        <w:jc w:val="both"/>
      </w:pPr>
      <w:r>
        <w:rPr>
          <w:rFonts w:ascii="Book Antiqua" w:eastAsia="Book Antiqua" w:hAnsi="Book Antiqua" w:cs="Book Antiqua"/>
          <w:color w:val="000000"/>
        </w:rPr>
        <w:t>Grade B (Very good): B</w:t>
      </w:r>
    </w:p>
    <w:p w14:paraId="13336CF3" w14:textId="77777777" w:rsidR="00A77B3E" w:rsidRDefault="00BB6868">
      <w:pPr>
        <w:spacing w:line="360" w:lineRule="auto"/>
        <w:jc w:val="both"/>
      </w:pPr>
      <w:r>
        <w:rPr>
          <w:rFonts w:ascii="Book Antiqua" w:eastAsia="Book Antiqua" w:hAnsi="Book Antiqua" w:cs="Book Antiqua"/>
          <w:color w:val="000000"/>
        </w:rPr>
        <w:t>Grade C (Good): C, C</w:t>
      </w:r>
    </w:p>
    <w:p w14:paraId="36E774F4" w14:textId="77777777" w:rsidR="00A77B3E" w:rsidRDefault="00BB6868">
      <w:pPr>
        <w:spacing w:line="360" w:lineRule="auto"/>
        <w:jc w:val="both"/>
      </w:pPr>
      <w:r>
        <w:rPr>
          <w:rFonts w:ascii="Book Antiqua" w:eastAsia="Book Antiqua" w:hAnsi="Book Antiqua" w:cs="Book Antiqua"/>
          <w:color w:val="000000"/>
        </w:rPr>
        <w:lastRenderedPageBreak/>
        <w:t>Grade D (Fair): 0</w:t>
      </w:r>
    </w:p>
    <w:p w14:paraId="687E83D6" w14:textId="77777777" w:rsidR="00A77B3E" w:rsidRDefault="00BB6868">
      <w:pPr>
        <w:spacing w:line="360" w:lineRule="auto"/>
        <w:jc w:val="both"/>
      </w:pPr>
      <w:r>
        <w:rPr>
          <w:rFonts w:ascii="Book Antiqua" w:eastAsia="Book Antiqua" w:hAnsi="Book Antiqua" w:cs="Book Antiqua"/>
          <w:color w:val="000000"/>
        </w:rPr>
        <w:t>Grade E (Poor): 0</w:t>
      </w:r>
    </w:p>
    <w:p w14:paraId="5894A8B8" w14:textId="77777777" w:rsidR="00A77B3E" w:rsidRDefault="00A77B3E">
      <w:pPr>
        <w:spacing w:line="360" w:lineRule="auto"/>
        <w:jc w:val="both"/>
      </w:pPr>
    </w:p>
    <w:p w14:paraId="17828668" w14:textId="77777777" w:rsidR="00991825" w:rsidRDefault="00BB6868">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Manenti A, Strainiene S</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4E5E88">
        <w:rPr>
          <w:rFonts w:ascii="Book Antiqua" w:eastAsia="Book Antiqua" w:hAnsi="Book Antiqua" w:cs="Book Antiqua"/>
          <w:b/>
          <w:color w:val="000000"/>
        </w:rPr>
        <w:t xml:space="preserve"> L-Editor: </w:t>
      </w:r>
      <w:r w:rsidR="00B2183F" w:rsidRPr="00EC4C93">
        <w:rPr>
          <w:rFonts w:ascii="Book Antiqua" w:eastAsia="Book Antiqua" w:hAnsi="Book Antiqua" w:cs="Book Antiqua"/>
          <w:color w:val="000000"/>
        </w:rPr>
        <w:t>Wang TQ</w:t>
      </w:r>
      <w:r w:rsidR="00B2183F">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991825">
        <w:rPr>
          <w:rFonts w:ascii="Book Antiqua" w:eastAsia="Book Antiqua" w:hAnsi="Book Antiqua" w:cs="Book Antiqua"/>
          <w:b/>
          <w:color w:val="000000"/>
        </w:rPr>
        <w:t xml:space="preserve"> </w:t>
      </w:r>
      <w:r w:rsidR="00991825" w:rsidRPr="00991825">
        <w:rPr>
          <w:rFonts w:ascii="Book Antiqua" w:eastAsia="Book Antiqua" w:hAnsi="Book Antiqua" w:cs="Book Antiqua"/>
          <w:bCs/>
          <w:color w:val="000000"/>
        </w:rPr>
        <w:t>L</w:t>
      </w:r>
      <w:r w:rsidR="00991825" w:rsidRPr="00991825">
        <w:rPr>
          <w:rFonts w:asciiTheme="minorEastAsia" w:hAnsiTheme="minorEastAsia" w:cs="Book Antiqua" w:hint="eastAsia"/>
          <w:bCs/>
          <w:color w:val="000000"/>
          <w:lang w:eastAsia="zh-CN"/>
        </w:rPr>
        <w:t>i</w:t>
      </w:r>
      <w:r w:rsidR="00991825" w:rsidRPr="00991825">
        <w:rPr>
          <w:rFonts w:ascii="Book Antiqua" w:eastAsia="Book Antiqua" w:hAnsi="Book Antiqua" w:cs="Book Antiqua"/>
          <w:bCs/>
          <w:color w:val="000000"/>
        </w:rPr>
        <w:t xml:space="preserve"> X</w:t>
      </w:r>
    </w:p>
    <w:p w14:paraId="76990E3F" w14:textId="77777777" w:rsidR="00991825" w:rsidRDefault="00991825">
      <w:pPr>
        <w:spacing w:line="360" w:lineRule="auto"/>
        <w:jc w:val="both"/>
        <w:rPr>
          <w:rFonts w:ascii="Book Antiqua" w:eastAsia="Book Antiqua" w:hAnsi="Book Antiqua" w:cs="Book Antiqua"/>
          <w:bCs/>
          <w:color w:val="000000"/>
        </w:rPr>
      </w:pPr>
    </w:p>
    <w:p w14:paraId="1F029F36" w14:textId="056B0B31" w:rsidR="00A77B3E" w:rsidRDefault="00BB6868">
      <w:pPr>
        <w:spacing w:line="360" w:lineRule="auto"/>
        <w:jc w:val="both"/>
      </w:pPr>
      <w:r>
        <w:rPr>
          <w:rFonts w:ascii="Book Antiqua" w:eastAsia="Book Antiqua" w:hAnsi="Book Antiqua" w:cs="Book Antiqua"/>
          <w:b/>
          <w:color w:val="000000"/>
        </w:rPr>
        <w:t>Figure Legends</w:t>
      </w:r>
    </w:p>
    <w:p w14:paraId="42A2A7B8" w14:textId="77777777" w:rsidR="007468D1" w:rsidRDefault="007468D1">
      <w:pPr>
        <w:spacing w:line="360" w:lineRule="auto"/>
        <w:jc w:val="both"/>
        <w:rPr>
          <w:rFonts w:ascii="Book Antiqua" w:hAnsi="Book Antiqua" w:cs="Book Antiqua"/>
          <w:b/>
          <w:bCs/>
          <w:color w:val="000000"/>
          <w:szCs w:val="21"/>
          <w:lang w:eastAsia="zh-CN"/>
        </w:rPr>
      </w:pPr>
      <w:r>
        <w:rPr>
          <w:rFonts w:ascii="Book Antiqua" w:hAnsi="Book Antiqua" w:cs="Book Antiqua"/>
          <w:b/>
          <w:bCs/>
          <w:noProof/>
          <w:color w:val="000000"/>
          <w:szCs w:val="21"/>
          <w:lang w:eastAsia="zh-CN"/>
        </w:rPr>
        <w:lastRenderedPageBreak/>
        <w:drawing>
          <wp:inline distT="0" distB="0" distL="0" distR="0" wp14:anchorId="1213213E" wp14:editId="02EF014C">
            <wp:extent cx="5273675" cy="6334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6334125"/>
                    </a:xfrm>
                    <a:prstGeom prst="rect">
                      <a:avLst/>
                    </a:prstGeom>
                    <a:noFill/>
                  </pic:spPr>
                </pic:pic>
              </a:graphicData>
            </a:graphic>
          </wp:inline>
        </w:drawing>
      </w:r>
    </w:p>
    <w:p w14:paraId="75091429" w14:textId="08B0A6D4" w:rsidR="00A77B3E" w:rsidRDefault="00BB6868">
      <w:pPr>
        <w:spacing w:line="360" w:lineRule="auto"/>
        <w:jc w:val="both"/>
      </w:pPr>
      <w:bookmarkStart w:id="98" w:name="OLE_LINK471"/>
      <w:bookmarkStart w:id="99" w:name="OLE_LINK472"/>
      <w:r>
        <w:rPr>
          <w:rFonts w:ascii="Book Antiqua" w:eastAsia="Book Antiqua" w:hAnsi="Book Antiqua" w:cs="Book Antiqua"/>
          <w:b/>
          <w:bCs/>
          <w:color w:val="000000"/>
          <w:szCs w:val="21"/>
        </w:rPr>
        <w:t>Figure 1</w:t>
      </w:r>
      <w:r>
        <w:rPr>
          <w:rFonts w:ascii="Book Antiqua" w:eastAsia="Book Antiqua" w:hAnsi="Book Antiqua" w:cs="Book Antiqua"/>
          <w:color w:val="000000"/>
          <w:szCs w:val="21"/>
        </w:rPr>
        <w:t xml:space="preserve"> </w:t>
      </w:r>
      <w:bookmarkStart w:id="100" w:name="OLE_LINK26"/>
      <w:bookmarkStart w:id="101" w:name="OLE_LINK27"/>
      <w:r w:rsidRPr="00AA3C4A">
        <w:rPr>
          <w:rFonts w:ascii="Book Antiqua" w:eastAsia="Book Antiqua" w:hAnsi="Book Antiqua" w:cs="Book Antiqua"/>
          <w:b/>
          <w:color w:val="000000"/>
          <w:szCs w:val="21"/>
        </w:rPr>
        <w:t>Computed tomography</w:t>
      </w:r>
      <w:bookmarkEnd w:id="100"/>
      <w:bookmarkEnd w:id="101"/>
      <w:r w:rsidRPr="00AA3C4A">
        <w:rPr>
          <w:rFonts w:ascii="Book Antiqua" w:eastAsia="Book Antiqua" w:hAnsi="Book Antiqua" w:cs="Book Antiqua"/>
          <w:b/>
          <w:color w:val="000000"/>
          <w:szCs w:val="21"/>
        </w:rPr>
        <w:t xml:space="preserve"> studies of </w:t>
      </w:r>
      <w:r w:rsidR="00B2183F">
        <w:rPr>
          <w:rFonts w:ascii="Book Antiqua" w:eastAsia="Book Antiqua" w:hAnsi="Book Antiqua" w:cs="Book Antiqua"/>
          <w:b/>
          <w:color w:val="000000"/>
          <w:szCs w:val="21"/>
        </w:rPr>
        <w:t xml:space="preserve">the </w:t>
      </w:r>
      <w:r w:rsidRPr="00AA3C4A">
        <w:rPr>
          <w:rFonts w:ascii="Book Antiqua" w:eastAsia="Book Antiqua" w:hAnsi="Book Antiqua" w:cs="Book Antiqua"/>
          <w:b/>
          <w:color w:val="000000"/>
          <w:szCs w:val="21"/>
        </w:rPr>
        <w:t>abdomen and chest on admission, with enh</w:t>
      </w:r>
      <w:r w:rsidR="00AA3C4A" w:rsidRPr="00AA3C4A">
        <w:rPr>
          <w:rFonts w:ascii="Book Antiqua" w:eastAsia="Book Antiqua" w:hAnsi="Book Antiqua" w:cs="Book Antiqua"/>
          <w:b/>
          <w:color w:val="000000"/>
          <w:szCs w:val="21"/>
        </w:rPr>
        <w:t>ancement (intravenous contrast)</w:t>
      </w:r>
      <w:r w:rsidR="00AA3C4A" w:rsidRPr="00AA3C4A">
        <w:rPr>
          <w:rFonts w:ascii="Book Antiqua" w:hAnsi="Book Antiqua" w:cs="Book Antiqua" w:hint="eastAsia"/>
          <w:b/>
          <w:color w:val="000000"/>
          <w:szCs w:val="21"/>
          <w:lang w:eastAsia="zh-CN"/>
        </w:rPr>
        <w:t>.</w:t>
      </w:r>
      <w:r w:rsidR="00AA3C4A">
        <w:rPr>
          <w:rFonts w:ascii="Book Antiqua" w:eastAsia="Book Antiqua" w:hAnsi="Book Antiqua" w:cs="Book Antiqua"/>
          <w:color w:val="000000"/>
          <w:szCs w:val="21"/>
        </w:rPr>
        <w:t xml:space="preserve"> A</w:t>
      </w:r>
      <w:r w:rsidR="00AA3C4A">
        <w:rPr>
          <w:rFonts w:ascii="Book Antiqua" w:hAnsi="Book Antiqua" w:cs="Book Antiqua" w:hint="eastAsia"/>
          <w:color w:val="000000"/>
          <w:szCs w:val="21"/>
          <w:lang w:eastAsia="zh-CN"/>
        </w:rPr>
        <w:t xml:space="preserve"> and</w:t>
      </w:r>
      <w:r w:rsidR="00AA3C4A">
        <w:rPr>
          <w:rFonts w:ascii="Book Antiqua" w:eastAsia="Book Antiqua" w:hAnsi="Book Antiqua" w:cs="Book Antiqua"/>
          <w:color w:val="000000"/>
          <w:szCs w:val="21"/>
        </w:rPr>
        <w:t xml:space="preserve"> B</w:t>
      </w:r>
      <w:r w:rsidR="00AA3C4A">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Abdominal </w:t>
      </w:r>
      <w:r w:rsidR="00AA3C4A">
        <w:rPr>
          <w:rFonts w:ascii="Book Antiqua" w:hAnsi="Book Antiqua" w:cs="Book Antiqua" w:hint="eastAsia"/>
          <w:color w:val="000000"/>
          <w:szCs w:val="21"/>
          <w:lang w:eastAsia="zh-CN"/>
        </w:rPr>
        <w:t>c</w:t>
      </w:r>
      <w:r w:rsidR="00AA3C4A">
        <w:rPr>
          <w:rFonts w:ascii="Book Antiqua" w:eastAsia="Book Antiqua" w:hAnsi="Book Antiqua" w:cs="Book Antiqua"/>
          <w:color w:val="000000"/>
          <w:szCs w:val="21"/>
        </w:rPr>
        <w:t xml:space="preserve">omputed tomography (CT) </w:t>
      </w:r>
      <w:r>
        <w:rPr>
          <w:rFonts w:ascii="Book Antiqua" w:eastAsia="Book Antiqua" w:hAnsi="Book Antiqua" w:cs="Book Antiqua"/>
          <w:color w:val="000000"/>
          <w:szCs w:val="21"/>
        </w:rPr>
        <w:t xml:space="preserve">demonstrating </w:t>
      </w:r>
      <w:r w:rsidR="00B2183F">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near-occlusive thrombus of</w:t>
      </w:r>
      <w:r w:rsidR="00B2183F">
        <w:rPr>
          <w:rFonts w:ascii="Book Antiqua" w:eastAsia="Book Antiqua" w:hAnsi="Book Antiqua" w:cs="Book Antiqua"/>
          <w:color w:val="000000"/>
          <w:szCs w:val="21"/>
        </w:rPr>
        <w:t xml:space="preserve"> the</w:t>
      </w:r>
      <w:r>
        <w:rPr>
          <w:rFonts w:ascii="Book Antiqua" w:eastAsia="Book Antiqua" w:hAnsi="Book Antiqua" w:cs="Book Antiqua"/>
          <w:color w:val="000000"/>
          <w:szCs w:val="21"/>
        </w:rPr>
        <w:t xml:space="preserve"> right renal vein (arrow) ex</w:t>
      </w:r>
      <w:r w:rsidR="00AA3C4A">
        <w:rPr>
          <w:rFonts w:ascii="Book Antiqua" w:eastAsia="Book Antiqua" w:hAnsi="Book Antiqua" w:cs="Book Antiqua"/>
          <w:color w:val="000000"/>
          <w:szCs w:val="21"/>
        </w:rPr>
        <w:t xml:space="preserve">tending to </w:t>
      </w:r>
      <w:r w:rsidR="00B2183F">
        <w:rPr>
          <w:rFonts w:ascii="Book Antiqua" w:eastAsia="Book Antiqua" w:hAnsi="Book Antiqua" w:cs="Book Antiqua"/>
          <w:color w:val="000000"/>
          <w:szCs w:val="21"/>
        </w:rPr>
        <w:t xml:space="preserve">the </w:t>
      </w:r>
      <w:r w:rsidR="00AA3C4A">
        <w:rPr>
          <w:rFonts w:ascii="Book Antiqua" w:eastAsia="Book Antiqua" w:hAnsi="Book Antiqua" w:cs="Book Antiqua"/>
          <w:color w:val="000000"/>
          <w:szCs w:val="21"/>
        </w:rPr>
        <w:t>inferior vena cava; C</w:t>
      </w:r>
      <w:r w:rsidR="00AA3C4A">
        <w:rPr>
          <w:rFonts w:ascii="Book Antiqua" w:hAnsi="Book Antiqua" w:cs="Book Antiqua" w:hint="eastAsia"/>
          <w:color w:val="000000"/>
          <w:szCs w:val="21"/>
          <w:lang w:eastAsia="zh-CN"/>
        </w:rPr>
        <w:t xml:space="preserve"> and</w:t>
      </w:r>
      <w:r w:rsidR="00AA3C4A">
        <w:rPr>
          <w:rFonts w:ascii="Book Antiqua" w:eastAsia="Book Antiqua" w:hAnsi="Book Antiqua" w:cs="Book Antiqua"/>
          <w:color w:val="000000"/>
          <w:szCs w:val="21"/>
        </w:rPr>
        <w:t xml:space="preserve"> D</w:t>
      </w:r>
      <w:r>
        <w:rPr>
          <w:rFonts w:ascii="Book Antiqua" w:eastAsia="Book Antiqua" w:hAnsi="Book Antiqua" w:cs="Book Antiqua"/>
          <w:color w:val="000000"/>
          <w:szCs w:val="21"/>
        </w:rPr>
        <w:t xml:space="preserve">: Enlargement of </w:t>
      </w:r>
      <w:r w:rsidR="00B2183F">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right kidney on abdominal CT, </w:t>
      </w:r>
      <w:r w:rsidR="00B2183F">
        <w:rPr>
          <w:rFonts w:ascii="Book Antiqua" w:eastAsia="Book Antiqua" w:hAnsi="Book Antiqua" w:cs="Book Antiqua"/>
          <w:color w:val="000000"/>
          <w:szCs w:val="21"/>
        </w:rPr>
        <w:t xml:space="preserve">with </w:t>
      </w:r>
      <w:r>
        <w:rPr>
          <w:rFonts w:ascii="Book Antiqua" w:eastAsia="Book Antiqua" w:hAnsi="Book Antiqua" w:cs="Book Antiqua"/>
          <w:color w:val="000000"/>
          <w:szCs w:val="21"/>
        </w:rPr>
        <w:t>upper and lower</w:t>
      </w:r>
      <w:r w:rsidR="00AA3C4A">
        <w:rPr>
          <w:rFonts w:ascii="Book Antiqua" w:eastAsia="Book Antiqua" w:hAnsi="Book Antiqua" w:cs="Book Antiqua"/>
          <w:color w:val="000000"/>
          <w:szCs w:val="21"/>
        </w:rPr>
        <w:t xml:space="preserve"> poles showing poor perfusion; E</w:t>
      </w:r>
      <w:r w:rsidR="00AA3C4A">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Chest CT with patchy infiltrates in </w:t>
      </w:r>
      <w:r>
        <w:rPr>
          <w:rFonts w:ascii="Book Antiqua" w:eastAsia="Book Antiqua" w:hAnsi="Book Antiqua" w:cs="Book Antiqua"/>
          <w:color w:val="000000"/>
          <w:szCs w:val="21"/>
        </w:rPr>
        <w:lastRenderedPageBreak/>
        <w:t xml:space="preserve">lung window and right pleural effusion; </w:t>
      </w:r>
      <w:r w:rsidR="00AA3C4A">
        <w:rPr>
          <w:rFonts w:ascii="Book Antiqua" w:eastAsia="Book Antiqua" w:hAnsi="Book Antiqua" w:cs="Book Antiqua"/>
          <w:color w:val="000000"/>
          <w:szCs w:val="21"/>
        </w:rPr>
        <w:t>F</w:t>
      </w:r>
      <w:r w:rsidR="00AA3C4A">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Emboli of </w:t>
      </w:r>
      <w:r w:rsidR="00B2183F">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right pulmonary artery (</w:t>
      </w:r>
      <w:r w:rsidR="00B343DD" w:rsidRPr="00B343DD">
        <w:rPr>
          <w:rFonts w:ascii="Book Antiqua" w:eastAsia="Book Antiqua" w:hAnsi="Book Antiqua" w:cs="Book Antiqua" w:hint="eastAsia"/>
          <w:color w:val="000000"/>
          <w:szCs w:val="21"/>
        </w:rPr>
        <w:t>orange</w:t>
      </w:r>
      <w:r w:rsidR="00B343D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arrow) on chest CT.</w:t>
      </w:r>
    </w:p>
    <w:bookmarkEnd w:id="98"/>
    <w:bookmarkEnd w:id="99"/>
    <w:p w14:paraId="78574C52" w14:textId="77777777" w:rsidR="007468D1" w:rsidRDefault="00AA3C4A">
      <w:pPr>
        <w:spacing w:line="360" w:lineRule="auto"/>
        <w:jc w:val="both"/>
        <w:rPr>
          <w:rFonts w:ascii="Book Antiqua" w:hAnsi="Book Antiqua" w:cs="Book Antiqua"/>
          <w:b/>
          <w:bCs/>
          <w:color w:val="000000"/>
          <w:szCs w:val="21"/>
          <w:lang w:eastAsia="zh-CN"/>
        </w:rPr>
      </w:pPr>
      <w:r>
        <w:rPr>
          <w:rFonts w:ascii="Book Antiqua" w:eastAsia="Book Antiqua" w:hAnsi="Book Antiqua" w:cs="Book Antiqua"/>
          <w:b/>
          <w:bCs/>
          <w:color w:val="000000"/>
          <w:szCs w:val="21"/>
        </w:rPr>
        <w:br w:type="page"/>
      </w:r>
      <w:r w:rsidR="007468D1">
        <w:rPr>
          <w:rFonts w:ascii="Book Antiqua" w:eastAsia="Book Antiqua" w:hAnsi="Book Antiqua" w:cs="Book Antiqua"/>
          <w:b/>
          <w:bCs/>
          <w:noProof/>
          <w:color w:val="000000"/>
          <w:szCs w:val="21"/>
          <w:lang w:eastAsia="zh-CN"/>
        </w:rPr>
        <w:lastRenderedPageBreak/>
        <w:drawing>
          <wp:inline distT="0" distB="0" distL="0" distR="0" wp14:anchorId="261175CF" wp14:editId="06E15EB2">
            <wp:extent cx="5273675" cy="28168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2816860"/>
                    </a:xfrm>
                    <a:prstGeom prst="rect">
                      <a:avLst/>
                    </a:prstGeom>
                    <a:noFill/>
                  </pic:spPr>
                </pic:pic>
              </a:graphicData>
            </a:graphic>
          </wp:inline>
        </w:drawing>
      </w:r>
    </w:p>
    <w:p w14:paraId="4817E77D" w14:textId="07379842" w:rsidR="00A77B3E" w:rsidRDefault="00BB6868">
      <w:pPr>
        <w:spacing w:line="360" w:lineRule="auto"/>
        <w:jc w:val="both"/>
      </w:pPr>
      <w:r>
        <w:rPr>
          <w:rFonts w:ascii="Book Antiqua" w:eastAsia="Book Antiqua" w:hAnsi="Book Antiqua" w:cs="Book Antiqua"/>
          <w:b/>
          <w:bCs/>
          <w:color w:val="000000"/>
          <w:szCs w:val="21"/>
        </w:rPr>
        <w:t>Figure 2</w:t>
      </w:r>
      <w:r w:rsidR="00AA3C4A">
        <w:rPr>
          <w:rFonts w:ascii="Book Antiqua" w:eastAsia="Book Antiqua" w:hAnsi="Book Antiqua" w:cs="Book Antiqua"/>
          <w:color w:val="000000"/>
          <w:szCs w:val="21"/>
        </w:rPr>
        <w:t xml:space="preserve"> </w:t>
      </w:r>
      <w:r w:rsidR="00095A45" w:rsidRPr="00095A45">
        <w:rPr>
          <w:rFonts w:ascii="Book Antiqua" w:eastAsia="Book Antiqua" w:hAnsi="Book Antiqua" w:cs="Book Antiqua"/>
          <w:b/>
          <w:color w:val="000000"/>
          <w:szCs w:val="21"/>
        </w:rPr>
        <w:t>Renovascular ultrasound obtained 1 wk later (after filter implantation) confirmed that the thrombus of</w:t>
      </w:r>
      <w:r w:rsidR="008975A9">
        <w:rPr>
          <w:rFonts w:ascii="Book Antiqua" w:eastAsia="Book Antiqua" w:hAnsi="Book Antiqua" w:cs="Book Antiqua"/>
          <w:b/>
          <w:color w:val="000000"/>
          <w:szCs w:val="21"/>
        </w:rPr>
        <w:t xml:space="preserve"> the</w:t>
      </w:r>
      <w:r w:rsidR="00095A45" w:rsidRPr="00095A45">
        <w:rPr>
          <w:rFonts w:ascii="Book Antiqua" w:eastAsia="Book Antiqua" w:hAnsi="Book Antiqua" w:cs="Book Antiqua"/>
          <w:b/>
          <w:color w:val="000000"/>
          <w:szCs w:val="21"/>
        </w:rPr>
        <w:t xml:space="preserve"> right renal vein had resolved</w:t>
      </w:r>
      <w:r w:rsidR="00095A45" w:rsidRPr="00095A45">
        <w:rPr>
          <w:rFonts w:ascii="Book Antiqua" w:hAnsi="Book Antiqua" w:cs="Book Antiqua" w:hint="eastAsia"/>
          <w:b/>
          <w:color w:val="000000"/>
          <w:szCs w:val="21"/>
          <w:lang w:eastAsia="zh-CN"/>
        </w:rPr>
        <w:t>.</w:t>
      </w:r>
      <w:r w:rsidR="00095A45" w:rsidRPr="00095A45">
        <w:rPr>
          <w:rFonts w:ascii="Book Antiqua" w:eastAsia="Book Antiqua" w:hAnsi="Book Antiqua" w:cs="Book Antiqua"/>
          <w:b/>
          <w:color w:val="000000"/>
          <w:szCs w:val="21"/>
        </w:rPr>
        <w:t xml:space="preserve"> </w:t>
      </w:r>
      <w:r w:rsidR="00AA3C4A">
        <w:rPr>
          <w:rFonts w:ascii="Book Antiqua" w:eastAsia="Book Antiqua" w:hAnsi="Book Antiqua" w:cs="Book Antiqua"/>
          <w:color w:val="000000"/>
          <w:szCs w:val="21"/>
        </w:rPr>
        <w:t>A</w:t>
      </w:r>
      <w:r w:rsidR="00AA3C4A">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Retrievable permanent filter implanted within </w:t>
      </w:r>
      <w:r w:rsidR="008975A9">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inferior vena cava, cephalad to </w:t>
      </w:r>
      <w:r w:rsidR="008975A9">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renal vein; </w:t>
      </w:r>
      <w:r w:rsidR="00AA3C4A">
        <w:rPr>
          <w:rFonts w:ascii="Book Antiqua" w:eastAsia="Book Antiqua" w:hAnsi="Book Antiqua" w:cs="Book Antiqua"/>
          <w:color w:val="000000"/>
          <w:szCs w:val="21"/>
        </w:rPr>
        <w:t>B</w:t>
      </w:r>
      <w:r w:rsidR="00AA3C4A">
        <w:rPr>
          <w:rFonts w:ascii="Book Antiqua" w:hAnsi="Book Antiqua" w:cs="Book Antiqua" w:hint="eastAsia"/>
          <w:color w:val="000000"/>
          <w:szCs w:val="21"/>
          <w:lang w:eastAsia="zh-CN"/>
        </w:rPr>
        <w:t xml:space="preserve"> and </w:t>
      </w:r>
      <w:r w:rsidR="00AA3C4A">
        <w:rPr>
          <w:rFonts w:ascii="Book Antiqua" w:eastAsia="Book Antiqua" w:hAnsi="Book Antiqua" w:cs="Book Antiqua"/>
          <w:color w:val="000000"/>
          <w:szCs w:val="21"/>
        </w:rPr>
        <w:t>C</w:t>
      </w:r>
      <w:r w:rsidR="00AA3C4A">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Renovascular ultrasound (1 wk post-implantation) confirming resolution of </w:t>
      </w:r>
      <w:r w:rsidR="008975A9">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right renal vein thrombus and normalization of kidney size.</w:t>
      </w:r>
    </w:p>
    <w:p w14:paraId="5818906F" w14:textId="77777777" w:rsidR="007468D1" w:rsidRDefault="00732413">
      <w:pPr>
        <w:spacing w:line="360" w:lineRule="auto"/>
        <w:jc w:val="both"/>
        <w:rPr>
          <w:rFonts w:ascii="Book Antiqua" w:hAnsi="Book Antiqua" w:cs="Book Antiqua"/>
          <w:b/>
          <w:bCs/>
          <w:color w:val="000000"/>
          <w:szCs w:val="21"/>
          <w:lang w:eastAsia="zh-CN"/>
        </w:rPr>
      </w:pPr>
      <w:r>
        <w:rPr>
          <w:rFonts w:ascii="Book Antiqua" w:eastAsia="Book Antiqua" w:hAnsi="Book Antiqua" w:cs="Book Antiqua"/>
          <w:b/>
          <w:bCs/>
          <w:color w:val="000000"/>
          <w:szCs w:val="21"/>
        </w:rPr>
        <w:br w:type="page"/>
      </w:r>
      <w:r w:rsidR="00BE192B">
        <w:rPr>
          <w:rFonts w:ascii="Book Antiqua" w:eastAsia="Book Antiqua" w:hAnsi="Book Antiqua" w:cs="Book Antiqua"/>
          <w:b/>
          <w:bCs/>
          <w:noProof/>
          <w:color w:val="000000"/>
          <w:szCs w:val="21"/>
          <w:lang w:eastAsia="zh-CN"/>
        </w:rPr>
        <w:lastRenderedPageBreak/>
        <w:drawing>
          <wp:inline distT="0" distB="0" distL="0" distR="0" wp14:anchorId="0EFA8AA4" wp14:editId="3CA55CFE">
            <wp:extent cx="5905500" cy="359586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6341" cy="3596375"/>
                    </a:xfrm>
                    <a:prstGeom prst="rect">
                      <a:avLst/>
                    </a:prstGeom>
                    <a:noFill/>
                  </pic:spPr>
                </pic:pic>
              </a:graphicData>
            </a:graphic>
          </wp:inline>
        </w:drawing>
      </w:r>
    </w:p>
    <w:p w14:paraId="4169CCFD" w14:textId="77777777" w:rsidR="00E12DB8" w:rsidRPr="00AA3C4A" w:rsidRDefault="00BB6868">
      <w:pPr>
        <w:spacing w:line="360" w:lineRule="auto"/>
        <w:jc w:val="both"/>
        <w:rPr>
          <w:rFonts w:ascii="Book Antiqua" w:hAnsi="Book Antiqua" w:cs="Book Antiqua"/>
          <w:b/>
          <w:color w:val="000000"/>
          <w:szCs w:val="21"/>
          <w:lang w:eastAsia="zh-CN"/>
        </w:rPr>
      </w:pPr>
      <w:bookmarkStart w:id="102" w:name="OLE_LINK473"/>
      <w:bookmarkStart w:id="103" w:name="OLE_LINK474"/>
      <w:r w:rsidRPr="00AA3C4A">
        <w:rPr>
          <w:rFonts w:ascii="Book Antiqua" w:eastAsia="Book Antiqua" w:hAnsi="Book Antiqua" w:cs="Book Antiqua"/>
          <w:b/>
          <w:bCs/>
          <w:color w:val="000000"/>
          <w:szCs w:val="21"/>
        </w:rPr>
        <w:t>Figure 3</w:t>
      </w:r>
      <w:r w:rsidRPr="00AA3C4A">
        <w:rPr>
          <w:rFonts w:ascii="Book Antiqua" w:eastAsia="Book Antiqua" w:hAnsi="Book Antiqua" w:cs="Book Antiqua"/>
          <w:b/>
          <w:color w:val="000000"/>
          <w:szCs w:val="21"/>
        </w:rPr>
        <w:t xml:space="preserve"> Timeline of treatment protocol and platelet counts</w:t>
      </w:r>
      <w:r w:rsidR="00AA3C4A" w:rsidRPr="00AA3C4A">
        <w:rPr>
          <w:rFonts w:ascii="Book Antiqua" w:hAnsi="Book Antiqua" w:cs="Book Antiqua" w:hint="eastAsia"/>
          <w:b/>
          <w:color w:val="000000"/>
          <w:szCs w:val="21"/>
          <w:lang w:eastAsia="zh-CN"/>
        </w:rPr>
        <w:t>.</w:t>
      </w:r>
    </w:p>
    <w:bookmarkEnd w:id="102"/>
    <w:bookmarkEnd w:id="103"/>
    <w:p w14:paraId="12E9D783" w14:textId="77777777" w:rsidR="00E12DB8" w:rsidRPr="00291772" w:rsidRDefault="00E12DB8" w:rsidP="00E12DB8">
      <w:pPr>
        <w:adjustRightInd w:val="0"/>
        <w:snapToGrid w:val="0"/>
        <w:spacing w:line="360" w:lineRule="auto"/>
        <w:jc w:val="both"/>
        <w:rPr>
          <w:rFonts w:ascii="Book Antiqua" w:eastAsia="宋体" w:hAnsi="Book Antiqua"/>
          <w:b/>
          <w:bCs/>
          <w:color w:val="000000"/>
          <w:lang w:eastAsia="zh-CN" w:bidi="ar"/>
        </w:rPr>
      </w:pPr>
      <w:r>
        <w:rPr>
          <w:rFonts w:ascii="Book Antiqua" w:eastAsia="Book Antiqua" w:hAnsi="Book Antiqua" w:cs="Book Antiqua"/>
          <w:color w:val="000000"/>
          <w:szCs w:val="21"/>
        </w:rPr>
        <w:br w:type="page"/>
      </w:r>
      <w:r w:rsidR="00291772" w:rsidRPr="00291772">
        <w:rPr>
          <w:rFonts w:ascii="Book Antiqua" w:hAnsi="Book Antiqua" w:cs="Book Antiqua" w:hint="eastAsia"/>
          <w:b/>
          <w:color w:val="000000"/>
          <w:szCs w:val="21"/>
          <w:lang w:eastAsia="zh-CN"/>
        </w:rPr>
        <w:lastRenderedPageBreak/>
        <w:t xml:space="preserve">Table 1 </w:t>
      </w:r>
      <w:r w:rsidRPr="00291772">
        <w:rPr>
          <w:rFonts w:ascii="Book Antiqua" w:eastAsia="宋体" w:hAnsi="Book Antiqua"/>
          <w:b/>
          <w:bCs/>
          <w:color w:val="000000"/>
          <w:lang w:eastAsia="zh-CN" w:bidi="ar"/>
        </w:rPr>
        <w:t xml:space="preserve">Blood </w:t>
      </w:r>
      <w:r w:rsidR="00291772" w:rsidRPr="00291772">
        <w:rPr>
          <w:rFonts w:ascii="Book Antiqua" w:eastAsia="宋体" w:hAnsi="Book Antiqua"/>
          <w:b/>
          <w:bCs/>
          <w:color w:val="000000"/>
          <w:lang w:eastAsia="zh-CN" w:bidi="ar"/>
        </w:rPr>
        <w:t>analy</w:t>
      </w:r>
      <w:r w:rsidR="00291772" w:rsidRPr="00291772">
        <w:rPr>
          <w:rFonts w:ascii="Book Antiqua" w:eastAsia="宋体" w:hAnsi="Book Antiqua" w:hint="eastAsia"/>
          <w:b/>
          <w:bCs/>
          <w:color w:val="000000"/>
          <w:lang w:eastAsia="zh-CN" w:bidi="ar"/>
        </w:rPr>
        <w:t>s</w:t>
      </w:r>
      <w:r w:rsidR="00291772" w:rsidRPr="00291772">
        <w:rPr>
          <w:rFonts w:ascii="Book Antiqua" w:eastAsia="宋体" w:hAnsi="Book Antiqua"/>
          <w:b/>
          <w:bCs/>
          <w:color w:val="000000"/>
          <w:lang w:eastAsia="zh-CN" w:bidi="ar"/>
        </w:rPr>
        <w:t>es</w:t>
      </w: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2690"/>
        <w:gridCol w:w="2674"/>
      </w:tblGrid>
      <w:tr w:rsidR="00E12DB8" w:rsidRPr="00E12DB8" w14:paraId="292DAFDC" w14:textId="77777777" w:rsidTr="00E12DB8">
        <w:tc>
          <w:tcPr>
            <w:tcW w:w="2702" w:type="dxa"/>
            <w:tcBorders>
              <w:top w:val="single" w:sz="4" w:space="0" w:color="auto"/>
              <w:left w:val="nil"/>
              <w:bottom w:val="single" w:sz="4" w:space="0" w:color="auto"/>
              <w:right w:val="nil"/>
            </w:tcBorders>
            <w:hideMark/>
          </w:tcPr>
          <w:p w14:paraId="2FFD68A6" w14:textId="77777777" w:rsidR="00E12DB8" w:rsidRPr="00E12DB8" w:rsidRDefault="00E12DB8" w:rsidP="00E12DB8">
            <w:pPr>
              <w:adjustRightInd w:val="0"/>
              <w:snapToGrid w:val="0"/>
              <w:spacing w:after="0" w:line="360" w:lineRule="auto"/>
              <w:jc w:val="both"/>
              <w:rPr>
                <w:rFonts w:ascii="Book Antiqua" w:hAnsi="Book Antiqua"/>
                <w:b/>
                <w:color w:val="000000"/>
                <w:lang w:bidi="ar"/>
              </w:rPr>
            </w:pPr>
            <w:r w:rsidRPr="00E12DB8">
              <w:rPr>
                <w:rFonts w:ascii="Book Antiqua" w:hAnsi="Book Antiqua"/>
                <w:b/>
                <w:color w:val="000000"/>
                <w:lang w:bidi="ar"/>
              </w:rPr>
              <w:t>Parameter</w:t>
            </w:r>
          </w:p>
        </w:tc>
        <w:tc>
          <w:tcPr>
            <w:tcW w:w="2690" w:type="dxa"/>
            <w:tcBorders>
              <w:top w:val="single" w:sz="4" w:space="0" w:color="auto"/>
              <w:left w:val="nil"/>
              <w:bottom w:val="single" w:sz="4" w:space="0" w:color="auto"/>
              <w:right w:val="nil"/>
            </w:tcBorders>
            <w:hideMark/>
          </w:tcPr>
          <w:p w14:paraId="27A47AA7" w14:textId="77777777" w:rsidR="00E12DB8" w:rsidRPr="00E12DB8" w:rsidRDefault="00E12DB8" w:rsidP="00E12DB8">
            <w:pPr>
              <w:adjustRightInd w:val="0"/>
              <w:snapToGrid w:val="0"/>
              <w:spacing w:after="0" w:line="360" w:lineRule="auto"/>
              <w:jc w:val="both"/>
              <w:rPr>
                <w:rFonts w:ascii="Book Antiqua" w:hAnsi="Book Antiqua"/>
                <w:b/>
                <w:color w:val="000000"/>
                <w:lang w:bidi="ar"/>
              </w:rPr>
            </w:pPr>
            <w:r w:rsidRPr="00E12DB8">
              <w:rPr>
                <w:rFonts w:ascii="Book Antiqua" w:hAnsi="Book Antiqua"/>
                <w:b/>
                <w:color w:val="000000"/>
                <w:lang w:bidi="ar"/>
              </w:rPr>
              <w:t>Value</w:t>
            </w:r>
          </w:p>
        </w:tc>
        <w:tc>
          <w:tcPr>
            <w:tcW w:w="2674" w:type="dxa"/>
            <w:tcBorders>
              <w:top w:val="single" w:sz="4" w:space="0" w:color="auto"/>
              <w:left w:val="nil"/>
              <w:bottom w:val="single" w:sz="4" w:space="0" w:color="auto"/>
              <w:right w:val="nil"/>
            </w:tcBorders>
            <w:hideMark/>
          </w:tcPr>
          <w:p w14:paraId="6C02240B" w14:textId="77777777" w:rsidR="00E12DB8" w:rsidRPr="00E12DB8" w:rsidRDefault="00E12DB8" w:rsidP="00E12DB8">
            <w:pPr>
              <w:adjustRightInd w:val="0"/>
              <w:snapToGrid w:val="0"/>
              <w:spacing w:after="0" w:line="360" w:lineRule="auto"/>
              <w:jc w:val="both"/>
              <w:rPr>
                <w:rFonts w:ascii="Book Antiqua" w:hAnsi="Book Antiqua"/>
                <w:b/>
                <w:color w:val="000000"/>
                <w:lang w:bidi="ar"/>
              </w:rPr>
            </w:pPr>
            <w:r w:rsidRPr="00E12DB8">
              <w:rPr>
                <w:rFonts w:ascii="Book Antiqua" w:hAnsi="Book Antiqua"/>
                <w:b/>
                <w:color w:val="000000"/>
                <w:lang w:bidi="ar"/>
              </w:rPr>
              <w:t>Normal range</w:t>
            </w:r>
          </w:p>
        </w:tc>
      </w:tr>
      <w:tr w:rsidR="00E12DB8" w:rsidRPr="00E12DB8" w14:paraId="3D0C0E9E" w14:textId="77777777" w:rsidTr="00E12DB8">
        <w:tc>
          <w:tcPr>
            <w:tcW w:w="2702" w:type="dxa"/>
            <w:tcBorders>
              <w:top w:val="single" w:sz="4" w:space="0" w:color="auto"/>
              <w:left w:val="nil"/>
              <w:bottom w:val="nil"/>
              <w:right w:val="nil"/>
            </w:tcBorders>
            <w:hideMark/>
          </w:tcPr>
          <w:p w14:paraId="58C05A1F"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White blood cells</w:t>
            </w:r>
          </w:p>
        </w:tc>
        <w:tc>
          <w:tcPr>
            <w:tcW w:w="2690" w:type="dxa"/>
            <w:tcBorders>
              <w:top w:val="single" w:sz="4" w:space="0" w:color="auto"/>
              <w:left w:val="nil"/>
              <w:bottom w:val="nil"/>
              <w:right w:val="nil"/>
            </w:tcBorders>
            <w:hideMark/>
          </w:tcPr>
          <w:p w14:paraId="664E30E0"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11.3</w:t>
            </w:r>
            <w:r w:rsidR="001911EC">
              <w:rPr>
                <w:rFonts w:ascii="Book Antiqua" w:hAnsi="Book Antiqua" w:hint="eastAsia"/>
                <w:color w:val="000000"/>
                <w:lang w:bidi="ar"/>
              </w:rPr>
              <w:t xml:space="preserve"> </w:t>
            </w:r>
            <w:r w:rsidRPr="00E12DB8">
              <w:rPr>
                <w:rFonts w:ascii="Book Antiqua" w:hAnsi="Book Antiqua"/>
                <w:color w:val="000000"/>
                <w:lang w:bidi="ar"/>
              </w:rPr>
              <w:t>×</w:t>
            </w:r>
            <w:r w:rsidR="001911EC">
              <w:rPr>
                <w:rFonts w:ascii="Book Antiqua" w:hAnsi="Book Antiqua" w:hint="eastAsia"/>
                <w:color w:val="000000"/>
                <w:lang w:bidi="ar"/>
              </w:rPr>
              <w:t xml:space="preserve"> </w:t>
            </w:r>
            <w:r w:rsidRPr="00E12DB8">
              <w:rPr>
                <w:rFonts w:ascii="Book Antiqua" w:hAnsi="Book Antiqua"/>
                <w:color w:val="000000"/>
                <w:lang w:bidi="ar"/>
              </w:rPr>
              <w:t>10</w:t>
            </w:r>
            <w:r w:rsidRPr="00E12DB8">
              <w:rPr>
                <w:rFonts w:ascii="Book Antiqua" w:hAnsi="Book Antiqua"/>
                <w:color w:val="000000"/>
                <w:vertAlign w:val="superscript"/>
                <w:lang w:bidi="ar"/>
              </w:rPr>
              <w:t>9</w:t>
            </w:r>
            <w:r w:rsidRPr="00E12DB8">
              <w:rPr>
                <w:rFonts w:ascii="Book Antiqua" w:hAnsi="Book Antiqua"/>
                <w:color w:val="000000"/>
                <w:lang w:bidi="ar"/>
              </w:rPr>
              <w:t>/L</w:t>
            </w:r>
          </w:p>
        </w:tc>
        <w:tc>
          <w:tcPr>
            <w:tcW w:w="2674" w:type="dxa"/>
            <w:tcBorders>
              <w:top w:val="single" w:sz="4" w:space="0" w:color="auto"/>
              <w:left w:val="nil"/>
              <w:bottom w:val="nil"/>
              <w:right w:val="nil"/>
            </w:tcBorders>
            <w:hideMark/>
          </w:tcPr>
          <w:p w14:paraId="60B5E481"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3.5-9.7</w:t>
            </w:r>
            <w:r w:rsidR="001911EC">
              <w:rPr>
                <w:rFonts w:ascii="Book Antiqua" w:hAnsi="Book Antiqua" w:hint="eastAsia"/>
                <w:color w:val="000000"/>
                <w:lang w:bidi="ar"/>
              </w:rPr>
              <w:t xml:space="preserve"> </w:t>
            </w:r>
            <w:r w:rsidRPr="00E12DB8">
              <w:rPr>
                <w:rFonts w:ascii="Book Antiqua" w:hAnsi="Book Antiqua"/>
                <w:color w:val="000000"/>
                <w:lang w:bidi="ar"/>
              </w:rPr>
              <w:t>×</w:t>
            </w:r>
            <w:r w:rsidR="001911EC">
              <w:rPr>
                <w:rFonts w:ascii="Book Antiqua" w:hAnsi="Book Antiqua" w:hint="eastAsia"/>
                <w:color w:val="000000"/>
                <w:lang w:bidi="ar"/>
              </w:rPr>
              <w:t xml:space="preserve"> </w:t>
            </w:r>
            <w:r w:rsidRPr="00E12DB8">
              <w:rPr>
                <w:rFonts w:ascii="Book Antiqua" w:hAnsi="Book Antiqua"/>
                <w:color w:val="000000"/>
                <w:lang w:bidi="ar"/>
              </w:rPr>
              <w:t>10</w:t>
            </w:r>
            <w:r w:rsidRPr="00E12DB8">
              <w:rPr>
                <w:rFonts w:ascii="Book Antiqua" w:hAnsi="Book Antiqua"/>
                <w:color w:val="000000"/>
                <w:vertAlign w:val="superscript"/>
                <w:lang w:bidi="ar"/>
              </w:rPr>
              <w:t>9</w:t>
            </w:r>
            <w:r w:rsidRPr="00E12DB8">
              <w:rPr>
                <w:rFonts w:ascii="Book Antiqua" w:hAnsi="Book Antiqua"/>
                <w:color w:val="000000"/>
                <w:lang w:bidi="ar"/>
              </w:rPr>
              <w:t>/L</w:t>
            </w:r>
          </w:p>
        </w:tc>
      </w:tr>
      <w:tr w:rsidR="00E12DB8" w:rsidRPr="00E12DB8" w14:paraId="7A9EB351" w14:textId="77777777" w:rsidTr="00E12DB8">
        <w:tc>
          <w:tcPr>
            <w:tcW w:w="2702" w:type="dxa"/>
            <w:hideMark/>
          </w:tcPr>
          <w:p w14:paraId="12999081"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Neutrophils</w:t>
            </w:r>
          </w:p>
        </w:tc>
        <w:tc>
          <w:tcPr>
            <w:tcW w:w="2690" w:type="dxa"/>
            <w:hideMark/>
          </w:tcPr>
          <w:p w14:paraId="284954D2"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9.8</w:t>
            </w:r>
            <w:r w:rsidR="001911EC">
              <w:rPr>
                <w:rFonts w:ascii="Book Antiqua" w:hAnsi="Book Antiqua" w:hint="eastAsia"/>
                <w:color w:val="000000"/>
                <w:lang w:bidi="ar"/>
              </w:rPr>
              <w:t xml:space="preserve"> </w:t>
            </w:r>
            <w:r w:rsidRPr="00E12DB8">
              <w:rPr>
                <w:rFonts w:ascii="Book Antiqua" w:hAnsi="Book Antiqua"/>
                <w:color w:val="000000"/>
                <w:lang w:bidi="ar"/>
              </w:rPr>
              <w:t>×</w:t>
            </w:r>
            <w:r w:rsidR="001911EC">
              <w:rPr>
                <w:rFonts w:ascii="Book Antiqua" w:hAnsi="Book Antiqua" w:hint="eastAsia"/>
                <w:color w:val="000000"/>
                <w:lang w:bidi="ar"/>
              </w:rPr>
              <w:t xml:space="preserve"> </w:t>
            </w:r>
            <w:r w:rsidRPr="00E12DB8">
              <w:rPr>
                <w:rFonts w:ascii="Book Antiqua" w:hAnsi="Book Antiqua"/>
                <w:color w:val="000000"/>
                <w:lang w:bidi="ar"/>
              </w:rPr>
              <w:t>10</w:t>
            </w:r>
            <w:r w:rsidRPr="00E12DB8">
              <w:rPr>
                <w:rFonts w:ascii="Book Antiqua" w:hAnsi="Book Antiqua"/>
                <w:color w:val="000000"/>
                <w:vertAlign w:val="superscript"/>
                <w:lang w:bidi="ar"/>
              </w:rPr>
              <w:t>9</w:t>
            </w:r>
            <w:r w:rsidRPr="00E12DB8">
              <w:rPr>
                <w:rFonts w:ascii="Book Antiqua" w:hAnsi="Book Antiqua"/>
                <w:color w:val="000000"/>
                <w:lang w:bidi="ar"/>
              </w:rPr>
              <w:t>/L</w:t>
            </w:r>
          </w:p>
        </w:tc>
        <w:tc>
          <w:tcPr>
            <w:tcW w:w="2674" w:type="dxa"/>
            <w:hideMark/>
          </w:tcPr>
          <w:p w14:paraId="2047B95C"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1.9-7.2</w:t>
            </w:r>
            <w:r w:rsidR="001911EC">
              <w:rPr>
                <w:rFonts w:ascii="Book Antiqua" w:hAnsi="Book Antiqua" w:hint="eastAsia"/>
                <w:color w:val="000000"/>
                <w:lang w:bidi="ar"/>
              </w:rPr>
              <w:t xml:space="preserve"> </w:t>
            </w:r>
            <w:r w:rsidRPr="00E12DB8">
              <w:rPr>
                <w:rFonts w:ascii="Book Antiqua" w:hAnsi="Book Antiqua"/>
                <w:color w:val="000000"/>
                <w:lang w:bidi="ar"/>
              </w:rPr>
              <w:t>×</w:t>
            </w:r>
            <w:r w:rsidR="001911EC">
              <w:rPr>
                <w:rFonts w:ascii="Book Antiqua" w:hAnsi="Book Antiqua" w:hint="eastAsia"/>
                <w:color w:val="000000"/>
                <w:lang w:bidi="ar"/>
              </w:rPr>
              <w:t xml:space="preserve"> </w:t>
            </w:r>
            <w:r w:rsidRPr="00E12DB8">
              <w:rPr>
                <w:rFonts w:ascii="Book Antiqua" w:hAnsi="Book Antiqua"/>
                <w:color w:val="000000"/>
                <w:lang w:bidi="ar"/>
              </w:rPr>
              <w:t>10</w:t>
            </w:r>
            <w:r w:rsidRPr="00E12DB8">
              <w:rPr>
                <w:rFonts w:ascii="Book Antiqua" w:hAnsi="Book Antiqua"/>
                <w:color w:val="000000"/>
                <w:vertAlign w:val="superscript"/>
                <w:lang w:bidi="ar"/>
              </w:rPr>
              <w:t>9</w:t>
            </w:r>
            <w:r w:rsidRPr="00E12DB8">
              <w:rPr>
                <w:rFonts w:ascii="Book Antiqua" w:hAnsi="Book Antiqua"/>
                <w:color w:val="000000"/>
                <w:lang w:bidi="ar"/>
              </w:rPr>
              <w:t>/L</w:t>
            </w:r>
          </w:p>
        </w:tc>
      </w:tr>
      <w:tr w:rsidR="00E12DB8" w:rsidRPr="00E12DB8" w14:paraId="416D7B60" w14:textId="77777777" w:rsidTr="00E12DB8">
        <w:tc>
          <w:tcPr>
            <w:tcW w:w="2702" w:type="dxa"/>
            <w:hideMark/>
          </w:tcPr>
          <w:p w14:paraId="355233C5"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Red blood cells</w:t>
            </w:r>
          </w:p>
        </w:tc>
        <w:tc>
          <w:tcPr>
            <w:tcW w:w="2690" w:type="dxa"/>
            <w:hideMark/>
          </w:tcPr>
          <w:p w14:paraId="2D98E475"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4.5</w:t>
            </w:r>
            <w:r w:rsidR="001911EC">
              <w:rPr>
                <w:rFonts w:ascii="Book Antiqua" w:hAnsi="Book Antiqua" w:hint="eastAsia"/>
                <w:color w:val="000000"/>
                <w:lang w:bidi="ar"/>
              </w:rPr>
              <w:t xml:space="preserve"> </w:t>
            </w:r>
            <w:bookmarkStart w:id="104" w:name="OLE_LINK36"/>
            <w:bookmarkStart w:id="105" w:name="OLE_LINK37"/>
            <w:r w:rsidRPr="00E12DB8">
              <w:rPr>
                <w:rFonts w:ascii="Book Antiqua" w:hAnsi="Book Antiqua"/>
                <w:color w:val="000000"/>
                <w:lang w:bidi="ar"/>
              </w:rPr>
              <w:t>×</w:t>
            </w:r>
            <w:r w:rsidR="001911EC">
              <w:rPr>
                <w:rFonts w:ascii="Book Antiqua" w:hAnsi="Book Antiqua" w:hint="eastAsia"/>
                <w:color w:val="000000"/>
                <w:lang w:bidi="ar"/>
              </w:rPr>
              <w:t xml:space="preserve"> </w:t>
            </w:r>
            <w:r w:rsidRPr="00E12DB8">
              <w:rPr>
                <w:rFonts w:ascii="Book Antiqua" w:hAnsi="Book Antiqua"/>
                <w:color w:val="000000"/>
                <w:lang w:bidi="ar"/>
              </w:rPr>
              <w:t>10</w:t>
            </w:r>
            <w:r w:rsidRPr="00E12DB8">
              <w:rPr>
                <w:rFonts w:ascii="Book Antiqua" w:hAnsi="Book Antiqua"/>
                <w:color w:val="000000"/>
                <w:vertAlign w:val="superscript"/>
                <w:lang w:bidi="ar"/>
              </w:rPr>
              <w:t>9</w:t>
            </w:r>
            <w:r w:rsidRPr="00E12DB8">
              <w:rPr>
                <w:rFonts w:ascii="Book Antiqua" w:hAnsi="Book Antiqua"/>
                <w:color w:val="000000"/>
                <w:lang w:bidi="ar"/>
              </w:rPr>
              <w:t>/L</w:t>
            </w:r>
            <w:bookmarkEnd w:id="104"/>
            <w:bookmarkEnd w:id="105"/>
          </w:p>
        </w:tc>
        <w:tc>
          <w:tcPr>
            <w:tcW w:w="2674" w:type="dxa"/>
            <w:hideMark/>
          </w:tcPr>
          <w:p w14:paraId="5D8138D0"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3.7-5</w:t>
            </w:r>
            <w:r w:rsidR="001911EC">
              <w:rPr>
                <w:rFonts w:ascii="Book Antiqua" w:hAnsi="Book Antiqua" w:hint="eastAsia"/>
                <w:color w:val="000000"/>
                <w:lang w:bidi="ar"/>
              </w:rPr>
              <w:t xml:space="preserve"> </w:t>
            </w:r>
            <w:r w:rsidRPr="00E12DB8">
              <w:rPr>
                <w:rFonts w:ascii="Book Antiqua" w:hAnsi="Book Antiqua"/>
                <w:color w:val="000000"/>
                <w:lang w:bidi="ar"/>
              </w:rPr>
              <w:t>×</w:t>
            </w:r>
            <w:r w:rsidR="001911EC">
              <w:rPr>
                <w:rFonts w:ascii="Book Antiqua" w:hAnsi="Book Antiqua" w:hint="eastAsia"/>
                <w:color w:val="000000"/>
                <w:lang w:bidi="ar"/>
              </w:rPr>
              <w:t xml:space="preserve"> </w:t>
            </w:r>
            <w:r w:rsidRPr="00E12DB8">
              <w:rPr>
                <w:rFonts w:ascii="Book Antiqua" w:hAnsi="Book Antiqua"/>
                <w:color w:val="000000"/>
                <w:lang w:bidi="ar"/>
              </w:rPr>
              <w:t>10</w:t>
            </w:r>
            <w:r w:rsidRPr="00E12DB8">
              <w:rPr>
                <w:rFonts w:ascii="Book Antiqua" w:hAnsi="Book Antiqua"/>
                <w:color w:val="000000"/>
                <w:vertAlign w:val="superscript"/>
                <w:lang w:bidi="ar"/>
              </w:rPr>
              <w:t>9</w:t>
            </w:r>
            <w:r w:rsidRPr="00E12DB8">
              <w:rPr>
                <w:rFonts w:ascii="Book Antiqua" w:hAnsi="Book Antiqua"/>
                <w:color w:val="000000"/>
                <w:lang w:bidi="ar"/>
              </w:rPr>
              <w:t>/L</w:t>
            </w:r>
          </w:p>
        </w:tc>
      </w:tr>
      <w:tr w:rsidR="00E12DB8" w:rsidRPr="00E12DB8" w14:paraId="6EE28462" w14:textId="77777777" w:rsidTr="00E12DB8">
        <w:tc>
          <w:tcPr>
            <w:tcW w:w="2702" w:type="dxa"/>
            <w:hideMark/>
          </w:tcPr>
          <w:p w14:paraId="2022D65D"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Hemoglobin</w:t>
            </w:r>
          </w:p>
        </w:tc>
        <w:tc>
          <w:tcPr>
            <w:tcW w:w="2690" w:type="dxa"/>
            <w:hideMark/>
          </w:tcPr>
          <w:p w14:paraId="73866202"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136 g/L</w:t>
            </w:r>
          </w:p>
        </w:tc>
        <w:tc>
          <w:tcPr>
            <w:tcW w:w="2674" w:type="dxa"/>
            <w:hideMark/>
          </w:tcPr>
          <w:p w14:paraId="056AD7B9"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110-150 g/L</w:t>
            </w:r>
          </w:p>
        </w:tc>
      </w:tr>
      <w:tr w:rsidR="00E12DB8" w:rsidRPr="00E12DB8" w14:paraId="3A24641E" w14:textId="77777777" w:rsidTr="00E12DB8">
        <w:tc>
          <w:tcPr>
            <w:tcW w:w="2702" w:type="dxa"/>
            <w:hideMark/>
          </w:tcPr>
          <w:p w14:paraId="02FD9BF1"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bookmarkStart w:id="106" w:name="OLE_LINK34"/>
            <w:bookmarkStart w:id="107" w:name="OLE_LINK35"/>
            <w:r w:rsidRPr="00E12DB8">
              <w:rPr>
                <w:rFonts w:ascii="Book Antiqua" w:hAnsi="Book Antiqua"/>
                <w:color w:val="000000"/>
                <w:lang w:bidi="ar"/>
              </w:rPr>
              <w:t>Platelet count</w:t>
            </w:r>
            <w:bookmarkEnd w:id="106"/>
            <w:bookmarkEnd w:id="107"/>
          </w:p>
        </w:tc>
        <w:tc>
          <w:tcPr>
            <w:tcW w:w="2690" w:type="dxa"/>
            <w:hideMark/>
          </w:tcPr>
          <w:p w14:paraId="5654153C"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187</w:t>
            </w:r>
            <w:r w:rsidR="001911EC">
              <w:rPr>
                <w:rFonts w:ascii="Book Antiqua" w:hAnsi="Book Antiqua" w:hint="eastAsia"/>
                <w:color w:val="000000"/>
                <w:lang w:bidi="ar"/>
              </w:rPr>
              <w:t xml:space="preserve"> </w:t>
            </w:r>
            <w:r w:rsidRPr="00E12DB8">
              <w:rPr>
                <w:rFonts w:ascii="Book Antiqua" w:hAnsi="Book Antiqua"/>
                <w:color w:val="000000"/>
                <w:lang w:bidi="ar"/>
              </w:rPr>
              <w:t>×</w:t>
            </w:r>
            <w:r w:rsidR="001911EC">
              <w:rPr>
                <w:rFonts w:ascii="Book Antiqua" w:hAnsi="Book Antiqua" w:hint="eastAsia"/>
                <w:color w:val="000000"/>
                <w:lang w:bidi="ar"/>
              </w:rPr>
              <w:t xml:space="preserve"> </w:t>
            </w:r>
            <w:r w:rsidRPr="00E12DB8">
              <w:rPr>
                <w:rFonts w:ascii="Book Antiqua" w:hAnsi="Book Antiqua"/>
                <w:color w:val="000000"/>
                <w:lang w:bidi="ar"/>
              </w:rPr>
              <w:t>10</w:t>
            </w:r>
            <w:r w:rsidRPr="00E12DB8">
              <w:rPr>
                <w:rFonts w:ascii="Book Antiqua" w:hAnsi="Book Antiqua"/>
                <w:color w:val="000000"/>
                <w:vertAlign w:val="superscript"/>
                <w:lang w:bidi="ar"/>
              </w:rPr>
              <w:t>9</w:t>
            </w:r>
            <w:r w:rsidRPr="00E12DB8">
              <w:rPr>
                <w:rFonts w:ascii="Book Antiqua" w:hAnsi="Book Antiqua"/>
                <w:color w:val="000000"/>
                <w:lang w:bidi="ar"/>
              </w:rPr>
              <w:t>/L</w:t>
            </w:r>
          </w:p>
        </w:tc>
        <w:tc>
          <w:tcPr>
            <w:tcW w:w="2674" w:type="dxa"/>
            <w:hideMark/>
          </w:tcPr>
          <w:p w14:paraId="72BF90D6"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135-350</w:t>
            </w:r>
            <w:r w:rsidR="001911EC">
              <w:rPr>
                <w:rFonts w:ascii="Book Antiqua" w:hAnsi="Book Antiqua" w:hint="eastAsia"/>
                <w:color w:val="000000"/>
                <w:lang w:bidi="ar"/>
              </w:rPr>
              <w:t xml:space="preserve"> </w:t>
            </w:r>
            <w:r w:rsidRPr="00E12DB8">
              <w:rPr>
                <w:rFonts w:ascii="Book Antiqua" w:hAnsi="Book Antiqua"/>
                <w:color w:val="000000"/>
                <w:lang w:bidi="ar"/>
              </w:rPr>
              <w:t>×</w:t>
            </w:r>
            <w:r w:rsidR="001911EC">
              <w:rPr>
                <w:rFonts w:ascii="Book Antiqua" w:hAnsi="Book Antiqua" w:hint="eastAsia"/>
                <w:color w:val="000000"/>
                <w:lang w:bidi="ar"/>
              </w:rPr>
              <w:t xml:space="preserve"> </w:t>
            </w:r>
            <w:r w:rsidRPr="00E12DB8">
              <w:rPr>
                <w:rFonts w:ascii="Book Antiqua" w:hAnsi="Book Antiqua"/>
                <w:color w:val="000000"/>
                <w:lang w:bidi="ar"/>
              </w:rPr>
              <w:t>10</w:t>
            </w:r>
            <w:r w:rsidRPr="00E12DB8">
              <w:rPr>
                <w:rFonts w:ascii="Book Antiqua" w:hAnsi="Book Antiqua"/>
                <w:color w:val="000000"/>
                <w:vertAlign w:val="superscript"/>
                <w:lang w:bidi="ar"/>
              </w:rPr>
              <w:t>9</w:t>
            </w:r>
            <w:r w:rsidRPr="00E12DB8">
              <w:rPr>
                <w:rFonts w:ascii="Book Antiqua" w:hAnsi="Book Antiqua"/>
                <w:color w:val="000000"/>
                <w:lang w:bidi="ar"/>
              </w:rPr>
              <w:t>/L</w:t>
            </w:r>
          </w:p>
        </w:tc>
      </w:tr>
      <w:tr w:rsidR="00E12DB8" w:rsidRPr="00E12DB8" w14:paraId="62E908F8" w14:textId="77777777" w:rsidTr="00E12DB8">
        <w:tc>
          <w:tcPr>
            <w:tcW w:w="2702" w:type="dxa"/>
            <w:hideMark/>
          </w:tcPr>
          <w:p w14:paraId="2121AED6"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Brain natriuretic peptide</w:t>
            </w:r>
          </w:p>
        </w:tc>
        <w:tc>
          <w:tcPr>
            <w:tcW w:w="2690" w:type="dxa"/>
            <w:hideMark/>
          </w:tcPr>
          <w:p w14:paraId="243D1CB7"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&lt;</w:t>
            </w:r>
            <w:r w:rsidR="001911EC">
              <w:rPr>
                <w:rFonts w:ascii="Book Antiqua" w:hAnsi="Book Antiqua" w:hint="eastAsia"/>
                <w:color w:val="000000"/>
                <w:lang w:bidi="ar"/>
              </w:rPr>
              <w:t xml:space="preserve"> </w:t>
            </w:r>
            <w:r w:rsidRPr="00E12DB8">
              <w:rPr>
                <w:rFonts w:ascii="Book Antiqua" w:hAnsi="Book Antiqua"/>
                <w:color w:val="000000"/>
                <w:lang w:bidi="ar"/>
              </w:rPr>
              <w:t>10 pg/m</w:t>
            </w:r>
            <w:r w:rsidR="001911EC">
              <w:rPr>
                <w:rFonts w:ascii="Book Antiqua" w:hAnsi="Book Antiqua" w:hint="eastAsia"/>
                <w:color w:val="000000"/>
                <w:lang w:bidi="ar"/>
              </w:rPr>
              <w:t>L</w:t>
            </w:r>
          </w:p>
        </w:tc>
        <w:tc>
          <w:tcPr>
            <w:tcW w:w="2674" w:type="dxa"/>
            <w:hideMark/>
          </w:tcPr>
          <w:p w14:paraId="57834B35" w14:textId="77777777" w:rsidR="00E12DB8" w:rsidRPr="00E12DB8" w:rsidRDefault="00FD385F" w:rsidP="00E12DB8">
            <w:pPr>
              <w:adjustRightInd w:val="0"/>
              <w:snapToGrid w:val="0"/>
              <w:spacing w:after="0" w:line="360" w:lineRule="auto"/>
              <w:jc w:val="both"/>
              <w:rPr>
                <w:rFonts w:ascii="Book Antiqua" w:hAnsi="Book Antiqua"/>
                <w:color w:val="000000"/>
                <w:lang w:bidi="ar"/>
              </w:rPr>
            </w:pPr>
            <w:r>
              <w:rPr>
                <w:rFonts w:ascii="Book Antiqua" w:hAnsi="Book Antiqua"/>
                <w:color w:val="000000"/>
                <w:lang w:bidi="ar"/>
              </w:rPr>
              <w:t>0-</w:t>
            </w:r>
            <w:r w:rsidR="00E12DB8" w:rsidRPr="00E12DB8">
              <w:rPr>
                <w:rFonts w:ascii="Book Antiqua" w:hAnsi="Book Antiqua"/>
                <w:color w:val="000000"/>
                <w:lang w:bidi="ar"/>
              </w:rPr>
              <w:t>80 pg/m</w:t>
            </w:r>
            <w:r w:rsidR="001911EC">
              <w:rPr>
                <w:rFonts w:ascii="Book Antiqua" w:hAnsi="Book Antiqua" w:hint="eastAsia"/>
                <w:color w:val="000000"/>
                <w:lang w:bidi="ar"/>
              </w:rPr>
              <w:t>L</w:t>
            </w:r>
          </w:p>
        </w:tc>
      </w:tr>
      <w:tr w:rsidR="00E12DB8" w:rsidRPr="00E12DB8" w14:paraId="4F3895C2" w14:textId="77777777" w:rsidTr="00E12DB8">
        <w:tc>
          <w:tcPr>
            <w:tcW w:w="2702" w:type="dxa"/>
            <w:hideMark/>
          </w:tcPr>
          <w:p w14:paraId="2109EE55"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 xml:space="preserve">Cardiac troponin I </w:t>
            </w:r>
          </w:p>
        </w:tc>
        <w:tc>
          <w:tcPr>
            <w:tcW w:w="2690" w:type="dxa"/>
            <w:hideMark/>
          </w:tcPr>
          <w:p w14:paraId="1508FD5C"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&lt;</w:t>
            </w:r>
            <w:r w:rsidR="00FD385F">
              <w:rPr>
                <w:rFonts w:ascii="Book Antiqua" w:hAnsi="Book Antiqua" w:hint="eastAsia"/>
                <w:color w:val="000000"/>
                <w:lang w:bidi="ar"/>
              </w:rPr>
              <w:t xml:space="preserve"> </w:t>
            </w:r>
            <w:r w:rsidRPr="00E12DB8">
              <w:rPr>
                <w:rFonts w:ascii="Book Antiqua" w:hAnsi="Book Antiqua"/>
                <w:color w:val="000000"/>
                <w:lang w:bidi="ar"/>
              </w:rPr>
              <w:t>0.01μg/L</w:t>
            </w:r>
          </w:p>
        </w:tc>
        <w:tc>
          <w:tcPr>
            <w:tcW w:w="2674" w:type="dxa"/>
            <w:hideMark/>
          </w:tcPr>
          <w:p w14:paraId="14EC7B08"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0-0.04 μg/L</w:t>
            </w:r>
          </w:p>
        </w:tc>
      </w:tr>
      <w:tr w:rsidR="00E12DB8" w:rsidRPr="00E12DB8" w14:paraId="4004E68D" w14:textId="77777777" w:rsidTr="00E12DB8">
        <w:tc>
          <w:tcPr>
            <w:tcW w:w="2702" w:type="dxa"/>
            <w:hideMark/>
          </w:tcPr>
          <w:p w14:paraId="48D601A0"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 xml:space="preserve">Creatinine kinase </w:t>
            </w:r>
          </w:p>
        </w:tc>
        <w:tc>
          <w:tcPr>
            <w:tcW w:w="2690" w:type="dxa"/>
            <w:hideMark/>
          </w:tcPr>
          <w:p w14:paraId="55094246"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23 U/L</w:t>
            </w:r>
          </w:p>
        </w:tc>
        <w:tc>
          <w:tcPr>
            <w:tcW w:w="2674" w:type="dxa"/>
            <w:hideMark/>
          </w:tcPr>
          <w:p w14:paraId="5F404787"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&lt;</w:t>
            </w:r>
            <w:r w:rsidR="00FD385F">
              <w:rPr>
                <w:rFonts w:ascii="Book Antiqua" w:hAnsi="Book Antiqua" w:hint="eastAsia"/>
                <w:color w:val="000000"/>
                <w:lang w:bidi="ar"/>
              </w:rPr>
              <w:t xml:space="preserve"> </w:t>
            </w:r>
            <w:r w:rsidRPr="00E12DB8">
              <w:rPr>
                <w:rFonts w:ascii="Book Antiqua" w:hAnsi="Book Antiqua"/>
                <w:color w:val="000000"/>
                <w:lang w:bidi="ar"/>
              </w:rPr>
              <w:t>145 U/L</w:t>
            </w:r>
          </w:p>
        </w:tc>
      </w:tr>
      <w:tr w:rsidR="00E12DB8" w:rsidRPr="00E12DB8" w14:paraId="458DE41F" w14:textId="77777777" w:rsidTr="00E12DB8">
        <w:tc>
          <w:tcPr>
            <w:tcW w:w="2702" w:type="dxa"/>
            <w:hideMark/>
          </w:tcPr>
          <w:p w14:paraId="170D8744"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CK-MB</w:t>
            </w:r>
          </w:p>
        </w:tc>
        <w:tc>
          <w:tcPr>
            <w:tcW w:w="2690" w:type="dxa"/>
            <w:hideMark/>
          </w:tcPr>
          <w:p w14:paraId="7D0AFF96"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7 U/L</w:t>
            </w:r>
          </w:p>
        </w:tc>
        <w:tc>
          <w:tcPr>
            <w:tcW w:w="2674" w:type="dxa"/>
            <w:hideMark/>
          </w:tcPr>
          <w:p w14:paraId="29FC0D10"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&lt;</w:t>
            </w:r>
            <w:r w:rsidR="00FD385F">
              <w:rPr>
                <w:rFonts w:ascii="Book Antiqua" w:hAnsi="Book Antiqua" w:hint="eastAsia"/>
                <w:color w:val="000000"/>
                <w:lang w:bidi="ar"/>
              </w:rPr>
              <w:t xml:space="preserve"> </w:t>
            </w:r>
            <w:r w:rsidRPr="00E12DB8">
              <w:rPr>
                <w:rFonts w:ascii="Book Antiqua" w:hAnsi="Book Antiqua"/>
                <w:color w:val="000000"/>
                <w:lang w:bidi="ar"/>
              </w:rPr>
              <w:t>24 U/L</w:t>
            </w:r>
          </w:p>
        </w:tc>
      </w:tr>
      <w:tr w:rsidR="00E12DB8" w:rsidRPr="00E12DB8" w14:paraId="0083DCCF" w14:textId="77777777" w:rsidTr="00E12DB8">
        <w:tc>
          <w:tcPr>
            <w:tcW w:w="2702" w:type="dxa"/>
            <w:hideMark/>
          </w:tcPr>
          <w:p w14:paraId="6F7553C6"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pH</w:t>
            </w:r>
          </w:p>
        </w:tc>
        <w:tc>
          <w:tcPr>
            <w:tcW w:w="2690" w:type="dxa"/>
            <w:hideMark/>
          </w:tcPr>
          <w:p w14:paraId="031BBCF5"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7.393</w:t>
            </w:r>
          </w:p>
        </w:tc>
        <w:tc>
          <w:tcPr>
            <w:tcW w:w="2674" w:type="dxa"/>
            <w:hideMark/>
          </w:tcPr>
          <w:p w14:paraId="5A2CB761"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7.35-7.45</w:t>
            </w:r>
          </w:p>
        </w:tc>
      </w:tr>
      <w:tr w:rsidR="00E12DB8" w:rsidRPr="00E12DB8" w14:paraId="4C645637" w14:textId="77777777" w:rsidTr="00E12DB8">
        <w:tc>
          <w:tcPr>
            <w:tcW w:w="2702" w:type="dxa"/>
            <w:hideMark/>
          </w:tcPr>
          <w:p w14:paraId="5DBAB023" w14:textId="77777777" w:rsidR="00E12DB8" w:rsidRPr="00E12DB8" w:rsidRDefault="00FD385F" w:rsidP="00E12DB8">
            <w:pPr>
              <w:adjustRightInd w:val="0"/>
              <w:snapToGrid w:val="0"/>
              <w:spacing w:after="0" w:line="360" w:lineRule="auto"/>
              <w:jc w:val="both"/>
              <w:rPr>
                <w:rFonts w:ascii="Book Antiqua" w:hAnsi="Book Antiqua"/>
                <w:color w:val="000000"/>
                <w:lang w:bidi="ar"/>
              </w:rPr>
            </w:pPr>
            <w:r>
              <w:rPr>
                <w:rFonts w:ascii="Book Antiqua" w:hAnsi="Book Antiqua" w:hint="eastAsia"/>
                <w:color w:val="000000"/>
                <w:lang w:bidi="ar"/>
              </w:rPr>
              <w:t>P</w:t>
            </w:r>
            <w:r w:rsidR="00E12DB8" w:rsidRPr="00E12DB8">
              <w:rPr>
                <w:rFonts w:ascii="Book Antiqua" w:hAnsi="Book Antiqua"/>
                <w:color w:val="000000"/>
                <w:lang w:bidi="ar"/>
              </w:rPr>
              <w:t>CO</w:t>
            </w:r>
            <w:r w:rsidR="00E12DB8" w:rsidRPr="00E12DB8">
              <w:rPr>
                <w:rFonts w:ascii="Book Antiqua" w:hAnsi="Book Antiqua"/>
                <w:color w:val="000000"/>
                <w:vertAlign w:val="subscript"/>
                <w:lang w:bidi="ar"/>
              </w:rPr>
              <w:t>2</w:t>
            </w:r>
          </w:p>
        </w:tc>
        <w:tc>
          <w:tcPr>
            <w:tcW w:w="2690" w:type="dxa"/>
            <w:hideMark/>
          </w:tcPr>
          <w:p w14:paraId="5E041EBB"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43.8 mmHg</w:t>
            </w:r>
          </w:p>
        </w:tc>
        <w:tc>
          <w:tcPr>
            <w:tcW w:w="2674" w:type="dxa"/>
            <w:hideMark/>
          </w:tcPr>
          <w:p w14:paraId="5F1BE671"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35-45 mmHg</w:t>
            </w:r>
          </w:p>
        </w:tc>
      </w:tr>
      <w:tr w:rsidR="00E12DB8" w:rsidRPr="00E12DB8" w14:paraId="500D6884" w14:textId="77777777" w:rsidTr="00E12DB8">
        <w:tc>
          <w:tcPr>
            <w:tcW w:w="2702" w:type="dxa"/>
            <w:hideMark/>
          </w:tcPr>
          <w:p w14:paraId="404C5BAA"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PO</w:t>
            </w:r>
            <w:r w:rsidRPr="00E12DB8">
              <w:rPr>
                <w:rFonts w:ascii="Book Antiqua" w:hAnsi="Book Antiqua"/>
                <w:color w:val="000000"/>
                <w:vertAlign w:val="subscript"/>
                <w:lang w:bidi="ar"/>
              </w:rPr>
              <w:t>2</w:t>
            </w:r>
          </w:p>
        </w:tc>
        <w:tc>
          <w:tcPr>
            <w:tcW w:w="2690" w:type="dxa"/>
            <w:hideMark/>
          </w:tcPr>
          <w:p w14:paraId="4C6560E0"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79 mmHg</w:t>
            </w:r>
          </w:p>
        </w:tc>
        <w:tc>
          <w:tcPr>
            <w:tcW w:w="2674" w:type="dxa"/>
            <w:hideMark/>
          </w:tcPr>
          <w:p w14:paraId="68423C3A"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75-100 mmHg</w:t>
            </w:r>
          </w:p>
        </w:tc>
      </w:tr>
      <w:tr w:rsidR="00E12DB8" w:rsidRPr="00E12DB8" w14:paraId="1875B5A3" w14:textId="77777777" w:rsidTr="00E12DB8">
        <w:tc>
          <w:tcPr>
            <w:tcW w:w="2702" w:type="dxa"/>
            <w:hideMark/>
          </w:tcPr>
          <w:p w14:paraId="2D6F7BED"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 xml:space="preserve">Prothrombin time </w:t>
            </w:r>
          </w:p>
        </w:tc>
        <w:tc>
          <w:tcPr>
            <w:tcW w:w="2690" w:type="dxa"/>
            <w:hideMark/>
          </w:tcPr>
          <w:p w14:paraId="28F2031F"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12.7 s</w:t>
            </w:r>
          </w:p>
        </w:tc>
        <w:tc>
          <w:tcPr>
            <w:tcW w:w="2674" w:type="dxa"/>
            <w:hideMark/>
          </w:tcPr>
          <w:p w14:paraId="676E95CD"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9.4-12.5 s</w:t>
            </w:r>
          </w:p>
        </w:tc>
      </w:tr>
      <w:tr w:rsidR="00E12DB8" w:rsidRPr="00E12DB8" w14:paraId="530AF773" w14:textId="77777777" w:rsidTr="00E12DB8">
        <w:tc>
          <w:tcPr>
            <w:tcW w:w="2702" w:type="dxa"/>
            <w:hideMark/>
          </w:tcPr>
          <w:p w14:paraId="76C5F1B9"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Prothrombin time activity</w:t>
            </w:r>
          </w:p>
        </w:tc>
        <w:tc>
          <w:tcPr>
            <w:tcW w:w="2690" w:type="dxa"/>
            <w:hideMark/>
          </w:tcPr>
          <w:p w14:paraId="22D7394D"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80%</w:t>
            </w:r>
          </w:p>
        </w:tc>
        <w:tc>
          <w:tcPr>
            <w:tcW w:w="2674" w:type="dxa"/>
            <w:hideMark/>
          </w:tcPr>
          <w:p w14:paraId="35BDF273"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80</w:t>
            </w:r>
            <w:r w:rsidR="00FD385F">
              <w:rPr>
                <w:rFonts w:ascii="Book Antiqua" w:hAnsi="Book Antiqua" w:hint="eastAsia"/>
                <w:color w:val="000000"/>
                <w:lang w:bidi="ar"/>
              </w:rPr>
              <w:t>%</w:t>
            </w:r>
            <w:r w:rsidRPr="00E12DB8">
              <w:rPr>
                <w:rFonts w:ascii="Book Antiqua" w:hAnsi="Book Antiqua"/>
                <w:color w:val="000000"/>
                <w:lang w:bidi="ar"/>
              </w:rPr>
              <w:t>-160%</w:t>
            </w:r>
          </w:p>
        </w:tc>
      </w:tr>
      <w:tr w:rsidR="00E12DB8" w:rsidRPr="00E12DB8" w14:paraId="196BDD79" w14:textId="77777777" w:rsidTr="00E12DB8">
        <w:tc>
          <w:tcPr>
            <w:tcW w:w="2702" w:type="dxa"/>
            <w:hideMark/>
          </w:tcPr>
          <w:p w14:paraId="66C3D02A"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 xml:space="preserve">International normalized ratio </w:t>
            </w:r>
          </w:p>
        </w:tc>
        <w:tc>
          <w:tcPr>
            <w:tcW w:w="2690" w:type="dxa"/>
            <w:hideMark/>
          </w:tcPr>
          <w:p w14:paraId="0115CFDA"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1.2</w:t>
            </w:r>
          </w:p>
        </w:tc>
        <w:tc>
          <w:tcPr>
            <w:tcW w:w="2674" w:type="dxa"/>
            <w:hideMark/>
          </w:tcPr>
          <w:p w14:paraId="3CD38396"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0.8-1.2</w:t>
            </w:r>
          </w:p>
        </w:tc>
      </w:tr>
      <w:tr w:rsidR="00E12DB8" w:rsidRPr="00E12DB8" w14:paraId="089EEDDB" w14:textId="77777777" w:rsidTr="00E12DB8">
        <w:tc>
          <w:tcPr>
            <w:tcW w:w="2702" w:type="dxa"/>
            <w:hideMark/>
          </w:tcPr>
          <w:p w14:paraId="5A1C30F0"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 xml:space="preserve">Activated partial thromboplastin time </w:t>
            </w:r>
          </w:p>
        </w:tc>
        <w:tc>
          <w:tcPr>
            <w:tcW w:w="2690" w:type="dxa"/>
            <w:hideMark/>
          </w:tcPr>
          <w:p w14:paraId="068E5A0E"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24 s</w:t>
            </w:r>
          </w:p>
        </w:tc>
        <w:tc>
          <w:tcPr>
            <w:tcW w:w="2674" w:type="dxa"/>
            <w:hideMark/>
          </w:tcPr>
          <w:p w14:paraId="1E219006"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21-37 s</w:t>
            </w:r>
          </w:p>
        </w:tc>
      </w:tr>
      <w:tr w:rsidR="00E12DB8" w:rsidRPr="00E12DB8" w14:paraId="5642C584" w14:textId="77777777" w:rsidTr="00E12DB8">
        <w:tc>
          <w:tcPr>
            <w:tcW w:w="2702" w:type="dxa"/>
            <w:hideMark/>
          </w:tcPr>
          <w:p w14:paraId="54179C76"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 xml:space="preserve">Fibrinogen content </w:t>
            </w:r>
          </w:p>
        </w:tc>
        <w:tc>
          <w:tcPr>
            <w:tcW w:w="2690" w:type="dxa"/>
            <w:hideMark/>
          </w:tcPr>
          <w:p w14:paraId="28DA33A9"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6.5 g/L</w:t>
            </w:r>
          </w:p>
        </w:tc>
        <w:tc>
          <w:tcPr>
            <w:tcW w:w="2674" w:type="dxa"/>
            <w:hideMark/>
          </w:tcPr>
          <w:p w14:paraId="55FC973C"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2-4 g/L</w:t>
            </w:r>
          </w:p>
        </w:tc>
      </w:tr>
      <w:tr w:rsidR="00E12DB8" w:rsidRPr="00E12DB8" w14:paraId="56DBBBC2" w14:textId="77777777" w:rsidTr="00E12DB8">
        <w:tc>
          <w:tcPr>
            <w:tcW w:w="2702" w:type="dxa"/>
            <w:hideMark/>
          </w:tcPr>
          <w:p w14:paraId="5AA0484C"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 xml:space="preserve">Thrombin coagulation time </w:t>
            </w:r>
          </w:p>
        </w:tc>
        <w:tc>
          <w:tcPr>
            <w:tcW w:w="2690" w:type="dxa"/>
            <w:hideMark/>
          </w:tcPr>
          <w:p w14:paraId="5202624D"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13.6 s</w:t>
            </w:r>
          </w:p>
        </w:tc>
        <w:tc>
          <w:tcPr>
            <w:tcW w:w="2674" w:type="dxa"/>
            <w:hideMark/>
          </w:tcPr>
          <w:p w14:paraId="408203E2"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13.5-19.5 s</w:t>
            </w:r>
          </w:p>
        </w:tc>
      </w:tr>
      <w:tr w:rsidR="00E12DB8" w:rsidRPr="00E12DB8" w14:paraId="47D3D9FD" w14:textId="77777777" w:rsidTr="00E12DB8">
        <w:tc>
          <w:tcPr>
            <w:tcW w:w="2702" w:type="dxa"/>
            <w:tcBorders>
              <w:top w:val="nil"/>
              <w:left w:val="nil"/>
              <w:bottom w:val="single" w:sz="4" w:space="0" w:color="auto"/>
              <w:right w:val="nil"/>
            </w:tcBorders>
            <w:hideMark/>
          </w:tcPr>
          <w:p w14:paraId="46BEE654" w14:textId="77777777" w:rsidR="00E12DB8" w:rsidRPr="00E12DB8" w:rsidRDefault="00FD385F" w:rsidP="00E12DB8">
            <w:pPr>
              <w:adjustRightInd w:val="0"/>
              <w:snapToGrid w:val="0"/>
              <w:spacing w:after="0" w:line="360" w:lineRule="auto"/>
              <w:jc w:val="both"/>
              <w:rPr>
                <w:rFonts w:ascii="Book Antiqua" w:hAnsi="Book Antiqua"/>
                <w:color w:val="000000"/>
                <w:lang w:bidi="ar"/>
              </w:rPr>
            </w:pPr>
            <w:r>
              <w:rPr>
                <w:rFonts w:ascii="Book Antiqua" w:hAnsi="Book Antiqua"/>
                <w:color w:val="000000"/>
                <w:lang w:bidi="ar"/>
              </w:rPr>
              <w:t>D-</w:t>
            </w:r>
            <w:r>
              <w:rPr>
                <w:rFonts w:ascii="Book Antiqua" w:hAnsi="Book Antiqua" w:hint="eastAsia"/>
                <w:color w:val="000000"/>
                <w:lang w:bidi="ar"/>
              </w:rPr>
              <w:t>d</w:t>
            </w:r>
            <w:r w:rsidR="00E12DB8" w:rsidRPr="00E12DB8">
              <w:rPr>
                <w:rFonts w:ascii="Book Antiqua" w:hAnsi="Book Antiqua"/>
                <w:color w:val="000000"/>
                <w:lang w:bidi="ar"/>
              </w:rPr>
              <w:t>imer</w:t>
            </w:r>
          </w:p>
        </w:tc>
        <w:tc>
          <w:tcPr>
            <w:tcW w:w="2690" w:type="dxa"/>
            <w:tcBorders>
              <w:top w:val="nil"/>
              <w:left w:val="nil"/>
              <w:bottom w:val="single" w:sz="4" w:space="0" w:color="auto"/>
              <w:right w:val="nil"/>
            </w:tcBorders>
            <w:hideMark/>
          </w:tcPr>
          <w:p w14:paraId="24971117"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2377</w:t>
            </w:r>
            <w:r w:rsidR="00FD385F">
              <w:rPr>
                <w:rFonts w:ascii="Book Antiqua" w:hAnsi="Book Antiqua" w:hint="eastAsia"/>
                <w:color w:val="000000"/>
                <w:lang w:bidi="ar"/>
              </w:rPr>
              <w:t xml:space="preserve"> </w:t>
            </w:r>
            <w:r w:rsidRPr="00E12DB8">
              <w:rPr>
                <w:rFonts w:ascii="Book Antiqua" w:hAnsi="Book Antiqua"/>
                <w:color w:val="000000"/>
                <w:lang w:bidi="ar"/>
              </w:rPr>
              <w:t>μg/L</w:t>
            </w:r>
          </w:p>
        </w:tc>
        <w:tc>
          <w:tcPr>
            <w:tcW w:w="2674" w:type="dxa"/>
            <w:tcBorders>
              <w:top w:val="nil"/>
              <w:left w:val="nil"/>
              <w:bottom w:val="single" w:sz="4" w:space="0" w:color="auto"/>
              <w:right w:val="nil"/>
            </w:tcBorders>
            <w:hideMark/>
          </w:tcPr>
          <w:p w14:paraId="52775A66"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0-252</w:t>
            </w:r>
            <w:r w:rsidR="00FD385F">
              <w:rPr>
                <w:rFonts w:ascii="Book Antiqua" w:hAnsi="Book Antiqua" w:hint="eastAsia"/>
                <w:color w:val="000000"/>
                <w:lang w:bidi="ar"/>
              </w:rPr>
              <w:t xml:space="preserve"> </w:t>
            </w:r>
            <w:r w:rsidRPr="00E12DB8">
              <w:rPr>
                <w:rFonts w:ascii="Book Antiqua" w:hAnsi="Book Antiqua"/>
                <w:color w:val="000000"/>
                <w:lang w:bidi="ar"/>
              </w:rPr>
              <w:t>μg/L</w:t>
            </w:r>
          </w:p>
        </w:tc>
      </w:tr>
    </w:tbl>
    <w:p w14:paraId="255E9E12" w14:textId="77777777" w:rsidR="00E12DB8" w:rsidRPr="00E12DB8" w:rsidRDefault="00E12DB8" w:rsidP="00E12DB8">
      <w:pPr>
        <w:adjustRightInd w:val="0"/>
        <w:snapToGrid w:val="0"/>
        <w:spacing w:line="360" w:lineRule="auto"/>
        <w:jc w:val="both"/>
        <w:rPr>
          <w:rFonts w:ascii="Book Antiqua" w:eastAsia="宋体" w:hAnsi="Book Antiqua"/>
          <w:color w:val="000000"/>
          <w:lang w:eastAsia="zh-CN" w:bidi="ar"/>
        </w:rPr>
      </w:pPr>
    </w:p>
    <w:p w14:paraId="39E2E63E" w14:textId="77777777" w:rsidR="00E12DB8" w:rsidRPr="00E12DB8" w:rsidRDefault="00291772" w:rsidP="00E12DB8">
      <w:pPr>
        <w:adjustRightInd w:val="0"/>
        <w:snapToGrid w:val="0"/>
        <w:spacing w:line="360" w:lineRule="auto"/>
        <w:jc w:val="both"/>
        <w:rPr>
          <w:rFonts w:ascii="Book Antiqua" w:eastAsia="宋体" w:hAnsi="Book Antiqua"/>
          <w:b/>
          <w:color w:val="000000"/>
          <w:lang w:eastAsia="zh-CN" w:bidi="ar"/>
        </w:rPr>
      </w:pPr>
      <w:bookmarkStart w:id="108" w:name="OLE_LINK32"/>
      <w:bookmarkStart w:id="109" w:name="OLE_LINK31"/>
      <w:r>
        <w:rPr>
          <w:rFonts w:ascii="Book Antiqua" w:eastAsia="宋体" w:hAnsi="Book Antiqua"/>
          <w:b/>
          <w:color w:val="000000"/>
          <w:lang w:eastAsia="zh-CN" w:bidi="ar"/>
        </w:rPr>
        <w:br w:type="page"/>
      </w:r>
      <w:r w:rsidR="00AF596B">
        <w:rPr>
          <w:rFonts w:ascii="Book Antiqua" w:eastAsia="宋体" w:hAnsi="Book Antiqua" w:hint="eastAsia"/>
          <w:b/>
          <w:color w:val="000000"/>
          <w:lang w:eastAsia="zh-CN" w:bidi="ar"/>
        </w:rPr>
        <w:lastRenderedPageBreak/>
        <w:t xml:space="preserve">Table 2 </w:t>
      </w:r>
      <w:r w:rsidR="00E12DB8" w:rsidRPr="00E12DB8">
        <w:rPr>
          <w:rFonts w:ascii="Book Antiqua" w:eastAsia="宋体" w:hAnsi="Book Antiqua"/>
          <w:b/>
          <w:color w:val="000000"/>
          <w:lang w:eastAsia="zh-CN" w:bidi="ar"/>
        </w:rPr>
        <w:t>Urinalysis</w:t>
      </w:r>
    </w:p>
    <w:tbl>
      <w:tblPr>
        <w:tblStyle w:val="a3"/>
        <w:tblW w:w="5000" w:type="pct"/>
        <w:tblInd w:w="0" w:type="dxa"/>
        <w:tblLook w:val="04A0" w:firstRow="1" w:lastRow="0" w:firstColumn="1" w:lastColumn="0" w:noHBand="0" w:noVBand="1"/>
      </w:tblPr>
      <w:tblGrid>
        <w:gridCol w:w="3137"/>
        <w:gridCol w:w="3130"/>
        <w:gridCol w:w="3093"/>
      </w:tblGrid>
      <w:tr w:rsidR="00E12DB8" w:rsidRPr="00E12DB8" w14:paraId="14F8ED1D" w14:textId="77777777" w:rsidTr="00AF596B">
        <w:tc>
          <w:tcPr>
            <w:tcW w:w="1676" w:type="pct"/>
            <w:tcBorders>
              <w:top w:val="single" w:sz="4" w:space="0" w:color="auto"/>
              <w:left w:val="nil"/>
              <w:bottom w:val="single" w:sz="4" w:space="0" w:color="auto"/>
              <w:right w:val="nil"/>
            </w:tcBorders>
            <w:hideMark/>
          </w:tcPr>
          <w:bookmarkEnd w:id="108"/>
          <w:bookmarkEnd w:id="109"/>
          <w:p w14:paraId="50A799DC" w14:textId="77777777" w:rsidR="00E12DB8" w:rsidRPr="00E12DB8" w:rsidRDefault="00E12DB8" w:rsidP="00E12DB8">
            <w:pPr>
              <w:adjustRightInd w:val="0"/>
              <w:snapToGrid w:val="0"/>
              <w:spacing w:after="0" w:line="360" w:lineRule="auto"/>
              <w:jc w:val="both"/>
              <w:rPr>
                <w:rFonts w:ascii="Book Antiqua" w:hAnsi="Book Antiqua"/>
                <w:b/>
                <w:color w:val="000000"/>
                <w:lang w:bidi="ar"/>
              </w:rPr>
            </w:pPr>
            <w:r w:rsidRPr="00E12DB8">
              <w:rPr>
                <w:rFonts w:ascii="Book Antiqua" w:hAnsi="Book Antiqua"/>
                <w:b/>
                <w:color w:val="000000"/>
                <w:lang w:bidi="ar"/>
              </w:rPr>
              <w:t>Parameter</w:t>
            </w:r>
          </w:p>
        </w:tc>
        <w:tc>
          <w:tcPr>
            <w:tcW w:w="1672" w:type="pct"/>
            <w:tcBorders>
              <w:top w:val="single" w:sz="4" w:space="0" w:color="auto"/>
              <w:left w:val="nil"/>
              <w:bottom w:val="single" w:sz="4" w:space="0" w:color="auto"/>
              <w:right w:val="nil"/>
            </w:tcBorders>
            <w:hideMark/>
          </w:tcPr>
          <w:p w14:paraId="48C675BF" w14:textId="77777777" w:rsidR="00E12DB8" w:rsidRPr="00E12DB8" w:rsidRDefault="00E12DB8" w:rsidP="00E12DB8">
            <w:pPr>
              <w:adjustRightInd w:val="0"/>
              <w:snapToGrid w:val="0"/>
              <w:spacing w:after="0" w:line="360" w:lineRule="auto"/>
              <w:jc w:val="both"/>
              <w:rPr>
                <w:rFonts w:ascii="Book Antiqua" w:hAnsi="Book Antiqua"/>
                <w:b/>
                <w:color w:val="000000"/>
                <w:lang w:bidi="ar"/>
              </w:rPr>
            </w:pPr>
            <w:r w:rsidRPr="00E12DB8">
              <w:rPr>
                <w:rFonts w:ascii="Book Antiqua" w:hAnsi="Book Antiqua"/>
                <w:b/>
                <w:color w:val="000000"/>
                <w:lang w:bidi="ar"/>
              </w:rPr>
              <w:t>Value</w:t>
            </w:r>
          </w:p>
        </w:tc>
        <w:tc>
          <w:tcPr>
            <w:tcW w:w="1652" w:type="pct"/>
            <w:tcBorders>
              <w:top w:val="single" w:sz="4" w:space="0" w:color="auto"/>
              <w:left w:val="nil"/>
              <w:bottom w:val="single" w:sz="4" w:space="0" w:color="auto"/>
              <w:right w:val="nil"/>
            </w:tcBorders>
            <w:hideMark/>
          </w:tcPr>
          <w:p w14:paraId="009FFEA7" w14:textId="77777777" w:rsidR="00E12DB8" w:rsidRPr="00E12DB8" w:rsidRDefault="00E12DB8" w:rsidP="00E12DB8">
            <w:pPr>
              <w:adjustRightInd w:val="0"/>
              <w:snapToGrid w:val="0"/>
              <w:spacing w:after="0" w:line="360" w:lineRule="auto"/>
              <w:jc w:val="both"/>
              <w:rPr>
                <w:rFonts w:ascii="Book Antiqua" w:hAnsi="Book Antiqua"/>
                <w:b/>
                <w:color w:val="000000"/>
                <w:lang w:bidi="ar"/>
              </w:rPr>
            </w:pPr>
            <w:r w:rsidRPr="00E12DB8">
              <w:rPr>
                <w:rFonts w:ascii="Book Antiqua" w:hAnsi="Book Antiqua"/>
                <w:b/>
                <w:color w:val="000000"/>
                <w:lang w:bidi="ar"/>
              </w:rPr>
              <w:t>Normal range</w:t>
            </w:r>
          </w:p>
        </w:tc>
      </w:tr>
      <w:tr w:rsidR="00E12DB8" w:rsidRPr="00E12DB8" w14:paraId="096F1E67" w14:textId="77777777" w:rsidTr="00AF596B">
        <w:tc>
          <w:tcPr>
            <w:tcW w:w="1676" w:type="pct"/>
            <w:tcBorders>
              <w:top w:val="single" w:sz="4" w:space="0" w:color="auto"/>
              <w:left w:val="nil"/>
              <w:bottom w:val="nil"/>
              <w:right w:val="nil"/>
            </w:tcBorders>
            <w:hideMark/>
          </w:tcPr>
          <w:p w14:paraId="2CAD3DF7"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Red blood cells</w:t>
            </w:r>
          </w:p>
        </w:tc>
        <w:tc>
          <w:tcPr>
            <w:tcW w:w="1672" w:type="pct"/>
            <w:tcBorders>
              <w:top w:val="single" w:sz="4" w:space="0" w:color="auto"/>
              <w:left w:val="nil"/>
              <w:bottom w:val="nil"/>
              <w:right w:val="nil"/>
            </w:tcBorders>
            <w:hideMark/>
          </w:tcPr>
          <w:p w14:paraId="0D2EF633"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12.10/HPF</w:t>
            </w:r>
          </w:p>
        </w:tc>
        <w:tc>
          <w:tcPr>
            <w:tcW w:w="1652" w:type="pct"/>
            <w:tcBorders>
              <w:top w:val="single" w:sz="4" w:space="0" w:color="auto"/>
              <w:left w:val="nil"/>
              <w:bottom w:val="nil"/>
              <w:right w:val="nil"/>
            </w:tcBorders>
            <w:hideMark/>
          </w:tcPr>
          <w:p w14:paraId="5DA7CCF8"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bookmarkStart w:id="110" w:name="OLE_LINK43"/>
            <w:bookmarkStart w:id="111" w:name="OLE_LINK44"/>
            <w:r w:rsidRPr="00E12DB8">
              <w:rPr>
                <w:rFonts w:ascii="Book Antiqua" w:hAnsi="Book Antiqua"/>
                <w:color w:val="000000"/>
                <w:lang w:bidi="ar"/>
              </w:rPr>
              <w:t>0.1-4.5/HP</w:t>
            </w:r>
            <w:bookmarkEnd w:id="110"/>
            <w:bookmarkEnd w:id="111"/>
            <w:r w:rsidR="000877CB">
              <w:rPr>
                <w:rFonts w:ascii="Book Antiqua" w:hAnsi="Book Antiqua" w:hint="eastAsia"/>
                <w:color w:val="000000"/>
                <w:lang w:bidi="ar"/>
              </w:rPr>
              <w:t>F</w:t>
            </w:r>
          </w:p>
        </w:tc>
      </w:tr>
      <w:tr w:rsidR="00E12DB8" w:rsidRPr="00E12DB8" w14:paraId="210B7302" w14:textId="77777777" w:rsidTr="00AF596B">
        <w:tc>
          <w:tcPr>
            <w:tcW w:w="1676" w:type="pct"/>
            <w:tcBorders>
              <w:top w:val="nil"/>
              <w:left w:val="nil"/>
              <w:bottom w:val="nil"/>
              <w:right w:val="nil"/>
            </w:tcBorders>
            <w:hideMark/>
          </w:tcPr>
          <w:p w14:paraId="06EDF830"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White blood cells</w:t>
            </w:r>
          </w:p>
        </w:tc>
        <w:tc>
          <w:tcPr>
            <w:tcW w:w="1672" w:type="pct"/>
            <w:tcBorders>
              <w:top w:val="nil"/>
              <w:left w:val="nil"/>
              <w:bottom w:val="nil"/>
              <w:right w:val="nil"/>
            </w:tcBorders>
            <w:hideMark/>
          </w:tcPr>
          <w:p w14:paraId="725707B3"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5.5/HPF</w:t>
            </w:r>
          </w:p>
        </w:tc>
        <w:tc>
          <w:tcPr>
            <w:tcW w:w="1652" w:type="pct"/>
            <w:tcBorders>
              <w:top w:val="nil"/>
              <w:left w:val="nil"/>
              <w:bottom w:val="nil"/>
              <w:right w:val="nil"/>
            </w:tcBorders>
            <w:hideMark/>
          </w:tcPr>
          <w:p w14:paraId="0FCF5C0F"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0.1-4.5/HP</w:t>
            </w:r>
            <w:r w:rsidR="000877CB">
              <w:rPr>
                <w:rFonts w:ascii="Book Antiqua" w:hAnsi="Book Antiqua" w:hint="eastAsia"/>
                <w:color w:val="000000"/>
                <w:lang w:bidi="ar"/>
              </w:rPr>
              <w:t>F</w:t>
            </w:r>
          </w:p>
        </w:tc>
      </w:tr>
      <w:tr w:rsidR="00E12DB8" w:rsidRPr="00E12DB8" w14:paraId="2A4FA014" w14:textId="77777777" w:rsidTr="00AF596B">
        <w:tc>
          <w:tcPr>
            <w:tcW w:w="1676" w:type="pct"/>
            <w:tcBorders>
              <w:top w:val="nil"/>
              <w:left w:val="nil"/>
              <w:bottom w:val="single" w:sz="4" w:space="0" w:color="auto"/>
              <w:right w:val="nil"/>
            </w:tcBorders>
            <w:hideMark/>
          </w:tcPr>
          <w:p w14:paraId="4F47D91C"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Urinary protein</w:t>
            </w:r>
          </w:p>
        </w:tc>
        <w:tc>
          <w:tcPr>
            <w:tcW w:w="1672" w:type="pct"/>
            <w:tcBorders>
              <w:top w:val="nil"/>
              <w:left w:val="nil"/>
              <w:bottom w:val="single" w:sz="4" w:space="0" w:color="auto"/>
              <w:right w:val="nil"/>
            </w:tcBorders>
            <w:hideMark/>
          </w:tcPr>
          <w:p w14:paraId="1260E8A8"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Negative</w:t>
            </w:r>
          </w:p>
        </w:tc>
        <w:tc>
          <w:tcPr>
            <w:tcW w:w="1652" w:type="pct"/>
            <w:tcBorders>
              <w:top w:val="nil"/>
              <w:left w:val="nil"/>
              <w:bottom w:val="single" w:sz="4" w:space="0" w:color="auto"/>
              <w:right w:val="nil"/>
            </w:tcBorders>
            <w:hideMark/>
          </w:tcPr>
          <w:p w14:paraId="2ACA3492"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w:t>
            </w:r>
          </w:p>
        </w:tc>
      </w:tr>
    </w:tbl>
    <w:p w14:paraId="7351C0F7" w14:textId="77777777" w:rsidR="00711C48" w:rsidRDefault="009D749A" w:rsidP="00E12DB8">
      <w:pPr>
        <w:adjustRightInd w:val="0"/>
        <w:snapToGrid w:val="0"/>
        <w:spacing w:line="360" w:lineRule="auto"/>
        <w:jc w:val="both"/>
        <w:rPr>
          <w:rFonts w:ascii="Book Antiqua" w:eastAsia="宋体" w:hAnsi="Book Antiqua"/>
          <w:bCs/>
          <w:color w:val="000000"/>
          <w:lang w:eastAsia="zh-CN" w:bidi="ar"/>
        </w:rPr>
        <w:sectPr w:rsidR="00711C48">
          <w:pgSz w:w="12240" w:h="15840"/>
          <w:pgMar w:top="1440" w:right="1440" w:bottom="1440" w:left="1440" w:header="720" w:footer="720" w:gutter="0"/>
          <w:cols w:space="720"/>
          <w:docGrid w:linePitch="360"/>
        </w:sectPr>
      </w:pPr>
      <w:r>
        <w:rPr>
          <w:rFonts w:ascii="Book Antiqua" w:eastAsia="宋体" w:hAnsi="Book Antiqua"/>
          <w:bCs/>
          <w:color w:val="000000"/>
          <w:lang w:eastAsia="zh-CN" w:bidi="ar"/>
        </w:rPr>
        <w:t>HPF</w:t>
      </w:r>
      <w:r>
        <w:rPr>
          <w:rFonts w:ascii="Book Antiqua" w:eastAsia="宋体" w:hAnsi="Book Antiqua" w:hint="eastAsia"/>
          <w:bCs/>
          <w:color w:val="000000"/>
          <w:lang w:eastAsia="zh-CN" w:bidi="ar"/>
        </w:rPr>
        <w:t>:</w:t>
      </w:r>
      <w:r>
        <w:rPr>
          <w:rFonts w:ascii="Book Antiqua" w:eastAsia="宋体" w:hAnsi="Book Antiqua"/>
          <w:bCs/>
          <w:color w:val="000000"/>
          <w:lang w:eastAsia="zh-CN" w:bidi="ar"/>
        </w:rPr>
        <w:t xml:space="preserve"> </w:t>
      </w:r>
      <w:r>
        <w:rPr>
          <w:rFonts w:ascii="Book Antiqua" w:eastAsia="宋体" w:hAnsi="Book Antiqua" w:hint="eastAsia"/>
          <w:bCs/>
          <w:color w:val="000000"/>
          <w:lang w:eastAsia="zh-CN" w:bidi="ar"/>
        </w:rPr>
        <w:t>H</w:t>
      </w:r>
      <w:r w:rsidR="00E12DB8" w:rsidRPr="00E12DB8">
        <w:rPr>
          <w:rFonts w:ascii="Book Antiqua" w:eastAsia="宋体" w:hAnsi="Book Antiqua"/>
          <w:bCs/>
          <w:color w:val="000000"/>
          <w:lang w:eastAsia="zh-CN" w:bidi="ar"/>
        </w:rPr>
        <w:t>igh-power field</w:t>
      </w:r>
      <w:r>
        <w:rPr>
          <w:rFonts w:ascii="Book Antiqua" w:eastAsia="宋体" w:hAnsi="Book Antiqua" w:hint="eastAsia"/>
          <w:bCs/>
          <w:color w:val="000000"/>
          <w:lang w:eastAsia="zh-CN" w:bidi="ar"/>
        </w:rPr>
        <w:t>.</w:t>
      </w:r>
    </w:p>
    <w:p w14:paraId="2264C788" w14:textId="77777777" w:rsidR="00711C48" w:rsidRDefault="00711C48" w:rsidP="00711C48">
      <w:pPr>
        <w:jc w:val="center"/>
        <w:rPr>
          <w:rFonts w:ascii="Book Antiqua" w:hAnsi="Book Antiqua"/>
          <w:lang w:eastAsia="zh-CN"/>
        </w:rPr>
      </w:pPr>
    </w:p>
    <w:p w14:paraId="0F47735E" w14:textId="77777777" w:rsidR="00711C48" w:rsidRDefault="00711C48" w:rsidP="00711C48">
      <w:pPr>
        <w:jc w:val="center"/>
        <w:rPr>
          <w:rFonts w:ascii="Book Antiqua" w:hAnsi="Book Antiqua"/>
          <w:lang w:eastAsia="zh-CN"/>
        </w:rPr>
      </w:pPr>
    </w:p>
    <w:p w14:paraId="43219126" w14:textId="77777777" w:rsidR="00711C48" w:rsidRDefault="00711C48" w:rsidP="00711C48">
      <w:pPr>
        <w:jc w:val="center"/>
        <w:rPr>
          <w:rFonts w:ascii="Book Antiqua" w:hAnsi="Book Antiqua"/>
          <w:lang w:eastAsia="zh-CN"/>
        </w:rPr>
      </w:pPr>
    </w:p>
    <w:p w14:paraId="79CA3AE3" w14:textId="77777777" w:rsidR="00711C48" w:rsidRDefault="00711C48" w:rsidP="00711C48">
      <w:pPr>
        <w:jc w:val="center"/>
        <w:rPr>
          <w:rFonts w:ascii="Book Antiqua" w:hAnsi="Book Antiqua"/>
          <w:lang w:eastAsia="zh-CN"/>
        </w:rPr>
      </w:pPr>
    </w:p>
    <w:p w14:paraId="5E421FBB" w14:textId="77777777" w:rsidR="00711C48" w:rsidRDefault="00711C48" w:rsidP="00711C48">
      <w:pPr>
        <w:jc w:val="center"/>
        <w:rPr>
          <w:rFonts w:ascii="Book Antiqua" w:hAnsi="Book Antiqua"/>
          <w:lang w:eastAsia="zh-CN"/>
        </w:rPr>
      </w:pPr>
    </w:p>
    <w:p w14:paraId="29C84025" w14:textId="77777777" w:rsidR="00711C48" w:rsidRDefault="00711C48" w:rsidP="00711C48">
      <w:pPr>
        <w:jc w:val="center"/>
        <w:rPr>
          <w:rFonts w:ascii="Book Antiqua" w:hAnsi="Book Antiqua"/>
          <w:lang w:eastAsia="zh-CN"/>
        </w:rPr>
      </w:pPr>
      <w:r>
        <w:rPr>
          <w:rFonts w:ascii="Book Antiqua" w:hAnsi="Book Antiqua"/>
          <w:noProof/>
          <w:lang w:eastAsia="zh-CN"/>
        </w:rPr>
        <w:drawing>
          <wp:inline distT="0" distB="0" distL="0" distR="0" wp14:anchorId="574F91AA" wp14:editId="22941BA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251A4E9" w14:textId="77777777" w:rsidR="00711C48" w:rsidRDefault="00711C48" w:rsidP="00711C48">
      <w:pPr>
        <w:jc w:val="center"/>
        <w:rPr>
          <w:rFonts w:ascii="Book Antiqua" w:hAnsi="Book Antiqua"/>
          <w:lang w:eastAsia="zh-CN"/>
        </w:rPr>
      </w:pPr>
    </w:p>
    <w:p w14:paraId="11302D7A" w14:textId="77777777" w:rsidR="00711C48" w:rsidRPr="00763D22" w:rsidRDefault="00711C48" w:rsidP="00711C4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04D68F5" w14:textId="77777777" w:rsidR="00711C48" w:rsidRPr="00763D22" w:rsidRDefault="00711C48" w:rsidP="00711C4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4C03BFF" w14:textId="77777777" w:rsidR="00711C48" w:rsidRPr="00763D22" w:rsidRDefault="00711C48" w:rsidP="00711C4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DCA79EF" w14:textId="77777777" w:rsidR="00711C48" w:rsidRPr="00763D22" w:rsidRDefault="00711C48" w:rsidP="00711C4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BB494F2" w14:textId="77777777" w:rsidR="00711C48" w:rsidRPr="00763D22" w:rsidRDefault="00711C48" w:rsidP="00711C4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9C300ED" w14:textId="77777777" w:rsidR="00711C48" w:rsidRPr="00763D22" w:rsidRDefault="00711C48" w:rsidP="00711C4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9074510" w14:textId="77777777" w:rsidR="00711C48" w:rsidRDefault="00711C48" w:rsidP="00711C48">
      <w:pPr>
        <w:jc w:val="center"/>
        <w:rPr>
          <w:rFonts w:ascii="Book Antiqua" w:hAnsi="Book Antiqua"/>
          <w:lang w:eastAsia="zh-CN"/>
        </w:rPr>
      </w:pPr>
    </w:p>
    <w:p w14:paraId="46F13CCC" w14:textId="77777777" w:rsidR="00711C48" w:rsidRDefault="00711C48" w:rsidP="00711C48">
      <w:pPr>
        <w:jc w:val="center"/>
        <w:rPr>
          <w:rFonts w:ascii="Book Antiqua" w:hAnsi="Book Antiqua"/>
          <w:lang w:eastAsia="zh-CN"/>
        </w:rPr>
      </w:pPr>
    </w:p>
    <w:p w14:paraId="2FB62A9D" w14:textId="77777777" w:rsidR="00711C48" w:rsidRDefault="00711C48" w:rsidP="00711C48">
      <w:pPr>
        <w:jc w:val="center"/>
        <w:rPr>
          <w:rFonts w:ascii="Book Antiqua" w:hAnsi="Book Antiqua"/>
          <w:lang w:eastAsia="zh-CN"/>
        </w:rPr>
      </w:pPr>
    </w:p>
    <w:p w14:paraId="7A8D8DF7" w14:textId="77777777" w:rsidR="00711C48" w:rsidRDefault="00711C48" w:rsidP="00711C48">
      <w:pPr>
        <w:jc w:val="center"/>
        <w:rPr>
          <w:rFonts w:ascii="Book Antiqua" w:hAnsi="Book Antiqua"/>
          <w:lang w:eastAsia="zh-CN"/>
        </w:rPr>
      </w:pPr>
      <w:r>
        <w:rPr>
          <w:rFonts w:ascii="Book Antiqua" w:hAnsi="Book Antiqua"/>
          <w:noProof/>
          <w:lang w:eastAsia="zh-CN"/>
        </w:rPr>
        <w:drawing>
          <wp:inline distT="0" distB="0" distL="0" distR="0" wp14:anchorId="26F57092" wp14:editId="30EC4C8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38C4121" w14:textId="77777777" w:rsidR="00711C48" w:rsidRDefault="00711C48" w:rsidP="00711C48">
      <w:pPr>
        <w:jc w:val="center"/>
        <w:rPr>
          <w:rFonts w:ascii="Book Antiqua" w:hAnsi="Book Antiqua"/>
          <w:lang w:eastAsia="zh-CN"/>
        </w:rPr>
      </w:pPr>
    </w:p>
    <w:p w14:paraId="56AB6754" w14:textId="77777777" w:rsidR="00711C48" w:rsidRDefault="00711C48" w:rsidP="00711C48">
      <w:pPr>
        <w:jc w:val="center"/>
        <w:rPr>
          <w:rFonts w:ascii="Book Antiqua" w:hAnsi="Book Antiqua"/>
          <w:lang w:eastAsia="zh-CN"/>
        </w:rPr>
      </w:pPr>
    </w:p>
    <w:p w14:paraId="08A7E147" w14:textId="77777777" w:rsidR="00711C48" w:rsidRDefault="00711C48" w:rsidP="00711C48">
      <w:pPr>
        <w:jc w:val="center"/>
        <w:rPr>
          <w:rFonts w:ascii="Book Antiqua" w:hAnsi="Book Antiqua"/>
          <w:lang w:eastAsia="zh-CN"/>
        </w:rPr>
      </w:pPr>
    </w:p>
    <w:p w14:paraId="2B7A1984" w14:textId="77777777" w:rsidR="00711C48" w:rsidRDefault="00711C48" w:rsidP="00711C48">
      <w:pPr>
        <w:jc w:val="center"/>
        <w:rPr>
          <w:rFonts w:ascii="Book Antiqua" w:hAnsi="Book Antiqua"/>
          <w:lang w:eastAsia="zh-CN"/>
        </w:rPr>
      </w:pPr>
    </w:p>
    <w:p w14:paraId="0631A3B0" w14:textId="77777777" w:rsidR="00711C48" w:rsidRDefault="00711C48" w:rsidP="00711C48">
      <w:pPr>
        <w:jc w:val="center"/>
        <w:rPr>
          <w:rFonts w:ascii="Book Antiqua" w:hAnsi="Book Antiqua"/>
          <w:lang w:eastAsia="zh-CN"/>
        </w:rPr>
      </w:pPr>
    </w:p>
    <w:p w14:paraId="39615C66" w14:textId="77777777" w:rsidR="00711C48" w:rsidRDefault="00711C48" w:rsidP="00711C48">
      <w:pPr>
        <w:jc w:val="center"/>
        <w:rPr>
          <w:rFonts w:ascii="Book Antiqua" w:hAnsi="Book Antiqua"/>
          <w:lang w:eastAsia="zh-CN"/>
        </w:rPr>
      </w:pPr>
    </w:p>
    <w:p w14:paraId="67227724" w14:textId="77777777" w:rsidR="00711C48" w:rsidRDefault="00711C48" w:rsidP="00711C48">
      <w:pPr>
        <w:jc w:val="center"/>
        <w:rPr>
          <w:rFonts w:ascii="Book Antiqua" w:hAnsi="Book Antiqua"/>
          <w:lang w:eastAsia="zh-CN"/>
        </w:rPr>
      </w:pPr>
    </w:p>
    <w:p w14:paraId="304181DC" w14:textId="77777777" w:rsidR="00711C48" w:rsidRDefault="00711C48" w:rsidP="00711C48">
      <w:pPr>
        <w:jc w:val="center"/>
        <w:rPr>
          <w:rFonts w:ascii="Book Antiqua" w:hAnsi="Book Antiqua"/>
          <w:lang w:eastAsia="zh-CN"/>
        </w:rPr>
      </w:pPr>
    </w:p>
    <w:p w14:paraId="5C1FB055" w14:textId="77777777" w:rsidR="00711C48" w:rsidRDefault="00711C48" w:rsidP="00711C48">
      <w:pPr>
        <w:jc w:val="center"/>
        <w:rPr>
          <w:rFonts w:ascii="Book Antiqua" w:hAnsi="Book Antiqua"/>
          <w:lang w:eastAsia="zh-CN"/>
        </w:rPr>
      </w:pPr>
    </w:p>
    <w:p w14:paraId="46BC9DCC" w14:textId="77777777" w:rsidR="00711C48" w:rsidRPr="00763D22" w:rsidRDefault="00711C48" w:rsidP="00711C48">
      <w:pPr>
        <w:jc w:val="right"/>
        <w:rPr>
          <w:rFonts w:ascii="Book Antiqua" w:hAnsi="Book Antiqua"/>
          <w:color w:val="000000" w:themeColor="text1"/>
          <w:lang w:eastAsia="zh-CN"/>
        </w:rPr>
      </w:pPr>
    </w:p>
    <w:p w14:paraId="4CFE6AAF" w14:textId="77777777" w:rsidR="00711C48" w:rsidRPr="00763D22" w:rsidRDefault="00711C48" w:rsidP="00711C4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9EA06C9" w14:textId="5D327224" w:rsidR="00A77B3E" w:rsidRPr="00711C48" w:rsidRDefault="00A77B3E" w:rsidP="00E12DB8">
      <w:pPr>
        <w:adjustRightInd w:val="0"/>
        <w:snapToGrid w:val="0"/>
        <w:spacing w:line="360" w:lineRule="auto"/>
        <w:jc w:val="both"/>
        <w:rPr>
          <w:rFonts w:ascii="Book Antiqua" w:eastAsia="宋体" w:hAnsi="Book Antiqua"/>
          <w:bCs/>
          <w:color w:val="000000"/>
          <w:lang w:eastAsia="zh-CN" w:bidi="ar"/>
        </w:rPr>
      </w:pPr>
    </w:p>
    <w:sectPr w:rsidR="00A77B3E" w:rsidRPr="00711C48" w:rsidSect="00BD7A2A">
      <w:footerReference w:type="default" r:id="rId12"/>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6C14C" w14:textId="77777777" w:rsidR="00EF4EB9" w:rsidRDefault="00EF4EB9" w:rsidP="001F15FE">
      <w:r>
        <w:separator/>
      </w:r>
    </w:p>
  </w:endnote>
  <w:endnote w:type="continuationSeparator" w:id="0">
    <w:p w14:paraId="0A708126" w14:textId="77777777" w:rsidR="00EF4EB9" w:rsidRDefault="00EF4EB9" w:rsidP="001F1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9021881"/>
      <w:docPartObj>
        <w:docPartGallery w:val="Page Numbers (Bottom of Page)"/>
        <w:docPartUnique/>
      </w:docPartObj>
    </w:sdtPr>
    <w:sdtEndPr/>
    <w:sdtContent>
      <w:sdt>
        <w:sdtPr>
          <w:id w:val="860082579"/>
          <w:docPartObj>
            <w:docPartGallery w:val="Page Numbers (Top of Page)"/>
            <w:docPartUnique/>
          </w:docPartObj>
        </w:sdtPr>
        <w:sdtEndPr/>
        <w:sdtContent>
          <w:p w14:paraId="70AF56E9" w14:textId="77777777" w:rsidR="003366BA" w:rsidRDefault="003366BA">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C4C93">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C4C93">
              <w:rPr>
                <w:b/>
                <w:bCs/>
                <w:noProof/>
              </w:rPr>
              <w:t>20</w:t>
            </w:r>
            <w:r>
              <w:rPr>
                <w:b/>
                <w:bCs/>
                <w:sz w:val="24"/>
                <w:szCs w:val="24"/>
              </w:rPr>
              <w:fldChar w:fldCharType="end"/>
            </w:r>
          </w:p>
        </w:sdtContent>
      </w:sdt>
    </w:sdtContent>
  </w:sdt>
  <w:p w14:paraId="11A60EC6" w14:textId="77777777" w:rsidR="001F15FE" w:rsidRDefault="001F15F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7440DFC9" w14:textId="77777777" w:rsidR="00F9718F" w:rsidRDefault="00EF4EB9" w:rsidP="00134D22">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77D60ED0" w14:textId="77777777" w:rsidR="00F9718F" w:rsidRDefault="00EF4EB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0E331A" w14:textId="77777777" w:rsidR="00EF4EB9" w:rsidRDefault="00EF4EB9" w:rsidP="001F15FE">
      <w:r>
        <w:separator/>
      </w:r>
    </w:p>
  </w:footnote>
  <w:footnote w:type="continuationSeparator" w:id="0">
    <w:p w14:paraId="65204702" w14:textId="77777777" w:rsidR="00EF4EB9" w:rsidRDefault="00EF4EB9" w:rsidP="001F15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B96"/>
    <w:rsid w:val="00027F92"/>
    <w:rsid w:val="00032B29"/>
    <w:rsid w:val="00051397"/>
    <w:rsid w:val="000877CB"/>
    <w:rsid w:val="00095A45"/>
    <w:rsid w:val="000F38A2"/>
    <w:rsid w:val="0011783C"/>
    <w:rsid w:val="001526CE"/>
    <w:rsid w:val="001911EC"/>
    <w:rsid w:val="001A3EEF"/>
    <w:rsid w:val="001E09A8"/>
    <w:rsid w:val="001F15FE"/>
    <w:rsid w:val="002548FB"/>
    <w:rsid w:val="0027458C"/>
    <w:rsid w:val="0027464E"/>
    <w:rsid w:val="00291772"/>
    <w:rsid w:val="00304C8B"/>
    <w:rsid w:val="003168BF"/>
    <w:rsid w:val="003366BA"/>
    <w:rsid w:val="00391887"/>
    <w:rsid w:val="003970C9"/>
    <w:rsid w:val="003D0D00"/>
    <w:rsid w:val="003D3D23"/>
    <w:rsid w:val="003E4F0D"/>
    <w:rsid w:val="004449B9"/>
    <w:rsid w:val="004A2EF9"/>
    <w:rsid w:val="004E5E88"/>
    <w:rsid w:val="004F5692"/>
    <w:rsid w:val="004F5887"/>
    <w:rsid w:val="00513B0E"/>
    <w:rsid w:val="0053610E"/>
    <w:rsid w:val="0055779E"/>
    <w:rsid w:val="00594EC5"/>
    <w:rsid w:val="00616F66"/>
    <w:rsid w:val="006233DB"/>
    <w:rsid w:val="00646248"/>
    <w:rsid w:val="00670581"/>
    <w:rsid w:val="006D0F8A"/>
    <w:rsid w:val="00711C48"/>
    <w:rsid w:val="00732413"/>
    <w:rsid w:val="007468D1"/>
    <w:rsid w:val="007671FD"/>
    <w:rsid w:val="007C64F5"/>
    <w:rsid w:val="008420A2"/>
    <w:rsid w:val="00863CA5"/>
    <w:rsid w:val="008975A9"/>
    <w:rsid w:val="008D72EF"/>
    <w:rsid w:val="00903BFA"/>
    <w:rsid w:val="009247D1"/>
    <w:rsid w:val="00936373"/>
    <w:rsid w:val="00991825"/>
    <w:rsid w:val="00993BB0"/>
    <w:rsid w:val="009D4FCD"/>
    <w:rsid w:val="009D749A"/>
    <w:rsid w:val="00A1280C"/>
    <w:rsid w:val="00A31108"/>
    <w:rsid w:val="00A70519"/>
    <w:rsid w:val="00A77B3E"/>
    <w:rsid w:val="00A93D8B"/>
    <w:rsid w:val="00AA3C4A"/>
    <w:rsid w:val="00AB376A"/>
    <w:rsid w:val="00AF596B"/>
    <w:rsid w:val="00B2183F"/>
    <w:rsid w:val="00B343DD"/>
    <w:rsid w:val="00B41344"/>
    <w:rsid w:val="00B60990"/>
    <w:rsid w:val="00BB6868"/>
    <w:rsid w:val="00BE192B"/>
    <w:rsid w:val="00BF304F"/>
    <w:rsid w:val="00C203D2"/>
    <w:rsid w:val="00C57E51"/>
    <w:rsid w:val="00C76F78"/>
    <w:rsid w:val="00C865ED"/>
    <w:rsid w:val="00C939C7"/>
    <w:rsid w:val="00CA2A55"/>
    <w:rsid w:val="00CB0832"/>
    <w:rsid w:val="00D16224"/>
    <w:rsid w:val="00D605DB"/>
    <w:rsid w:val="00DA1B1D"/>
    <w:rsid w:val="00DB67DB"/>
    <w:rsid w:val="00DC4E6B"/>
    <w:rsid w:val="00DD2610"/>
    <w:rsid w:val="00E12DB8"/>
    <w:rsid w:val="00E20872"/>
    <w:rsid w:val="00E75510"/>
    <w:rsid w:val="00E76955"/>
    <w:rsid w:val="00EA0517"/>
    <w:rsid w:val="00EA4BE9"/>
    <w:rsid w:val="00EB3800"/>
    <w:rsid w:val="00EC4C93"/>
    <w:rsid w:val="00ED3049"/>
    <w:rsid w:val="00EF34F2"/>
    <w:rsid w:val="00EF4EB9"/>
    <w:rsid w:val="00EF5B33"/>
    <w:rsid w:val="00F05506"/>
    <w:rsid w:val="00F52488"/>
    <w:rsid w:val="00F5289F"/>
    <w:rsid w:val="00F9116D"/>
    <w:rsid w:val="00FC756B"/>
    <w:rsid w:val="00FD385F"/>
    <w:rsid w:val="00FE2A88"/>
    <w:rsid w:val="00FF7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B282A6"/>
  <w15:docId w15:val="{EC991913-7660-4E3F-8A6B-5990F37A4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E12DB8"/>
    <w:pPr>
      <w:spacing w:after="160" w:line="256" w:lineRule="auto"/>
    </w:pPr>
    <w:rPr>
      <w:rFonts w:eastAsia="宋体"/>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7468D1"/>
    <w:rPr>
      <w:sz w:val="18"/>
      <w:szCs w:val="18"/>
    </w:rPr>
  </w:style>
  <w:style w:type="character" w:customStyle="1" w:styleId="a5">
    <w:name w:val="批注框文本 字符"/>
    <w:basedOn w:val="a0"/>
    <w:link w:val="a4"/>
    <w:rsid w:val="007468D1"/>
    <w:rPr>
      <w:sz w:val="18"/>
      <w:szCs w:val="18"/>
    </w:rPr>
  </w:style>
  <w:style w:type="paragraph" w:styleId="a6">
    <w:name w:val="header"/>
    <w:basedOn w:val="a"/>
    <w:link w:val="a7"/>
    <w:rsid w:val="001F15FE"/>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1F15FE"/>
    <w:rPr>
      <w:sz w:val="18"/>
      <w:szCs w:val="18"/>
    </w:rPr>
  </w:style>
  <w:style w:type="paragraph" w:styleId="a8">
    <w:name w:val="footer"/>
    <w:basedOn w:val="a"/>
    <w:link w:val="a9"/>
    <w:uiPriority w:val="99"/>
    <w:rsid w:val="001F15FE"/>
    <w:pPr>
      <w:tabs>
        <w:tab w:val="center" w:pos="4153"/>
        <w:tab w:val="right" w:pos="8306"/>
      </w:tabs>
      <w:snapToGrid w:val="0"/>
    </w:pPr>
    <w:rPr>
      <w:sz w:val="18"/>
      <w:szCs w:val="18"/>
    </w:rPr>
  </w:style>
  <w:style w:type="character" w:customStyle="1" w:styleId="a9">
    <w:name w:val="页脚 字符"/>
    <w:basedOn w:val="a0"/>
    <w:link w:val="a8"/>
    <w:uiPriority w:val="99"/>
    <w:rsid w:val="001F15FE"/>
    <w:rPr>
      <w:sz w:val="18"/>
      <w:szCs w:val="18"/>
    </w:rPr>
  </w:style>
  <w:style w:type="character" w:styleId="aa">
    <w:name w:val="annotation reference"/>
    <w:basedOn w:val="a0"/>
    <w:semiHidden/>
    <w:unhideWhenUsed/>
    <w:rsid w:val="00051397"/>
    <w:rPr>
      <w:sz w:val="21"/>
      <w:szCs w:val="21"/>
    </w:rPr>
  </w:style>
  <w:style w:type="paragraph" w:styleId="ab">
    <w:name w:val="annotation text"/>
    <w:basedOn w:val="a"/>
    <w:link w:val="ac"/>
    <w:semiHidden/>
    <w:unhideWhenUsed/>
    <w:rsid w:val="00051397"/>
  </w:style>
  <w:style w:type="character" w:customStyle="1" w:styleId="ac">
    <w:name w:val="批注文字 字符"/>
    <w:basedOn w:val="a0"/>
    <w:link w:val="ab"/>
    <w:semiHidden/>
    <w:rsid w:val="00051397"/>
    <w:rPr>
      <w:sz w:val="24"/>
      <w:szCs w:val="24"/>
    </w:rPr>
  </w:style>
  <w:style w:type="paragraph" w:styleId="ad">
    <w:name w:val="annotation subject"/>
    <w:basedOn w:val="ab"/>
    <w:next w:val="ab"/>
    <w:link w:val="ae"/>
    <w:semiHidden/>
    <w:unhideWhenUsed/>
    <w:rsid w:val="00051397"/>
    <w:rPr>
      <w:b/>
      <w:bCs/>
    </w:rPr>
  </w:style>
  <w:style w:type="character" w:customStyle="1" w:styleId="ae">
    <w:name w:val="批注主题 字符"/>
    <w:basedOn w:val="ac"/>
    <w:link w:val="ad"/>
    <w:semiHidden/>
    <w:rsid w:val="00051397"/>
    <w:rPr>
      <w:b/>
      <w:bCs/>
      <w:sz w:val="24"/>
      <w:szCs w:val="24"/>
    </w:rPr>
  </w:style>
  <w:style w:type="paragraph" w:styleId="af">
    <w:name w:val="Date"/>
    <w:basedOn w:val="a"/>
    <w:next w:val="a"/>
    <w:link w:val="af0"/>
    <w:semiHidden/>
    <w:unhideWhenUsed/>
    <w:rsid w:val="004F5887"/>
    <w:pPr>
      <w:ind w:leftChars="2500" w:left="100"/>
    </w:pPr>
  </w:style>
  <w:style w:type="character" w:customStyle="1" w:styleId="af0">
    <w:name w:val="日期 字符"/>
    <w:basedOn w:val="a0"/>
    <w:link w:val="af"/>
    <w:semiHidden/>
    <w:rsid w:val="004F588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907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20</Pages>
  <Words>3400</Words>
  <Characters>19381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12</cp:revision>
  <dcterms:created xsi:type="dcterms:W3CDTF">2021-03-01T13:48:00Z</dcterms:created>
  <dcterms:modified xsi:type="dcterms:W3CDTF">2021-04-01T06:58:00Z</dcterms:modified>
</cp:coreProperties>
</file>