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 xml:space="preserve">Name of Journal: </w:t>
      </w:r>
      <w:r w:rsidRPr="00CC2B19">
        <w:rPr>
          <w:rFonts w:ascii="Book Antiqua" w:eastAsia="Book Antiqua" w:hAnsi="Book Antiqua" w:cs="Book Antiqua"/>
          <w:i/>
          <w:color w:val="000000"/>
        </w:rPr>
        <w:t>World Journal of Clinical Cases</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 xml:space="preserve">Manuscript NO: </w:t>
      </w:r>
      <w:r w:rsidRPr="00CC2B19">
        <w:rPr>
          <w:rFonts w:ascii="Book Antiqua" w:eastAsia="Book Antiqua" w:hAnsi="Book Antiqua" w:cs="Book Antiqua"/>
          <w:color w:val="000000"/>
        </w:rPr>
        <w:t>61364</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 xml:space="preserve">Manuscript Type: </w:t>
      </w:r>
      <w:r w:rsidRPr="00CC2B19">
        <w:rPr>
          <w:rFonts w:ascii="Book Antiqua" w:eastAsia="Book Antiqua" w:hAnsi="Book Antiqua" w:cs="Book Antiqua"/>
          <w:color w:val="000000"/>
        </w:rPr>
        <w:t>CASE REPORT</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bookmarkStart w:id="0" w:name="OLE_LINK386"/>
      <w:bookmarkStart w:id="1" w:name="OLE_LINK387"/>
      <w:r w:rsidRPr="00CC2B19">
        <w:rPr>
          <w:rFonts w:ascii="Book Antiqua" w:eastAsia="Book Antiqua" w:hAnsi="Book Antiqua" w:cs="Book Antiqua"/>
          <w:b/>
          <w:bCs/>
          <w:color w:val="000000"/>
        </w:rPr>
        <w:t xml:space="preserve">Detection of </w:t>
      </w:r>
      <w:bookmarkStart w:id="2" w:name="OLE_LINK349"/>
      <w:bookmarkStart w:id="3" w:name="OLE_LINK348"/>
      <w:r w:rsidR="00D46413" w:rsidRPr="00CC2B19">
        <w:rPr>
          <w:rFonts w:ascii="Book Antiqua" w:eastAsia="Book Antiqua" w:hAnsi="Book Antiqua" w:cs="Book Antiqua" w:hint="eastAsia"/>
          <w:b/>
          <w:bCs/>
          <w:i/>
          <w:iCs/>
          <w:color w:val="000000"/>
        </w:rPr>
        <w:t>EGFA</w:t>
      </w:r>
      <w:r w:rsidRPr="00CC2B19">
        <w:rPr>
          <w:rFonts w:ascii="Book Antiqua" w:eastAsia="Book Antiqua" w:hAnsi="Book Antiqua" w:cs="Book Antiqua"/>
          <w:b/>
          <w:bCs/>
          <w:i/>
          <w:iCs/>
          <w:color w:val="000000"/>
        </w:rPr>
        <w:t>-SEPT14</w:t>
      </w:r>
      <w:bookmarkEnd w:id="2"/>
      <w:bookmarkEnd w:id="3"/>
      <w:r w:rsidRPr="00CC2B19">
        <w:rPr>
          <w:rFonts w:ascii="Book Antiqua" w:eastAsia="Book Antiqua" w:hAnsi="Book Antiqua" w:cs="Book Antiqua"/>
          <w:b/>
          <w:bCs/>
          <w:color w:val="000000"/>
        </w:rPr>
        <w:t xml:space="preserve"> fusion in cell-free DNA of a patient with advanced gastric cancer: A case report </w:t>
      </w:r>
    </w:p>
    <w:bookmarkEnd w:id="0"/>
    <w:bookmarkEnd w:id="1"/>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Kim B </w:t>
      </w:r>
      <w:r w:rsidRPr="00CC2B19">
        <w:rPr>
          <w:rFonts w:ascii="Book Antiqua" w:eastAsia="Book Antiqua" w:hAnsi="Book Antiqua" w:cs="Book Antiqua"/>
          <w:i/>
          <w:iCs/>
          <w:color w:val="000000"/>
        </w:rPr>
        <w:t>et al</w:t>
      </w:r>
      <w:r w:rsidRPr="00CC2B19">
        <w:rPr>
          <w:rFonts w:ascii="Book Antiqua" w:eastAsia="Book Antiqua" w:hAnsi="Book Antiqua" w:cs="Book Antiqua"/>
          <w:color w:val="000000"/>
        </w:rPr>
        <w:t xml:space="preserve">. </w:t>
      </w:r>
      <w:bookmarkStart w:id="4" w:name="OLE_LINK353"/>
      <w:bookmarkStart w:id="5" w:name="OLE_LINK352"/>
      <w:bookmarkStart w:id="6" w:name="OLE_LINK388"/>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in advanced gastric cancer</w:t>
      </w:r>
    </w:p>
    <w:bookmarkEnd w:id="4"/>
    <w:bookmarkEnd w:id="5"/>
    <w:bookmarkEnd w:id="6"/>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Boyeon Kim, Yoon</w:t>
      </w:r>
      <w:r w:rsidRPr="00CC2B19">
        <w:rPr>
          <w:rFonts w:ascii="Malgun Gothic" w:eastAsia="Malgun Gothic" w:hAnsi="Malgun Gothic" w:cs="Malgun Gothic"/>
          <w:color w:val="000000"/>
          <w:lang w:eastAsia="ko-KR"/>
        </w:rPr>
        <w:t>j</w:t>
      </w:r>
      <w:r w:rsidRPr="00CC2B19">
        <w:rPr>
          <w:rFonts w:ascii="Book Antiqua" w:eastAsia="Book Antiqua" w:hAnsi="Book Antiqua" w:cs="Book Antiqua"/>
          <w:color w:val="000000"/>
        </w:rPr>
        <w:t>ung Kim, Inho Park, Jae Yong Cho, Kyung-A Lee</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Boyeon Kim, </w:t>
      </w:r>
      <w:bookmarkStart w:id="7" w:name="OLE_LINK355"/>
      <w:bookmarkStart w:id="8" w:name="OLE_LINK354"/>
      <w:r w:rsidRPr="00CC2B19">
        <w:rPr>
          <w:rFonts w:ascii="Book Antiqua" w:eastAsia="Book Antiqua" w:hAnsi="Book Antiqua" w:cs="Book Antiqua"/>
          <w:color w:val="000000"/>
        </w:rPr>
        <w:t>Department of Laboratory Medicine</w:t>
      </w:r>
      <w:bookmarkEnd w:id="7"/>
      <w:bookmarkEnd w:id="8"/>
      <w:r w:rsidRPr="00CC2B19">
        <w:rPr>
          <w:rFonts w:ascii="Book Antiqua" w:eastAsia="Book Antiqua" w:hAnsi="Book Antiqua" w:cs="Book Antiqua"/>
          <w:color w:val="000000"/>
        </w:rPr>
        <w:t xml:space="preserve">, </w:t>
      </w:r>
      <w:bookmarkStart w:id="9" w:name="OLE_LINK357"/>
      <w:bookmarkStart w:id="10" w:name="OLE_LINK356"/>
      <w:r w:rsidRPr="00CC2B19">
        <w:rPr>
          <w:rFonts w:ascii="Book Antiqua" w:eastAsia="Book Antiqua" w:hAnsi="Book Antiqua" w:cs="Book Antiqua"/>
          <w:color w:val="000000"/>
        </w:rPr>
        <w:t>Yonsei University College of Medicine</w:t>
      </w:r>
      <w:bookmarkEnd w:id="9"/>
      <w:bookmarkEnd w:id="10"/>
      <w:r w:rsidRPr="00CC2B19">
        <w:rPr>
          <w:rFonts w:ascii="Book Antiqua" w:eastAsia="Book Antiqua" w:hAnsi="Book Antiqua" w:cs="Book Antiqua"/>
          <w:color w:val="000000"/>
        </w:rPr>
        <w:t>, Seoul 03722, South Korea</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Boyeon Kim, Yoonjung Kim, Kyung-A Lee, </w:t>
      </w:r>
      <w:bookmarkStart w:id="11" w:name="OLE_LINK362"/>
      <w:bookmarkStart w:id="12" w:name="OLE_LINK359"/>
      <w:bookmarkStart w:id="13" w:name="OLE_LINK358"/>
      <w:r w:rsidRPr="00CC2B19">
        <w:rPr>
          <w:rFonts w:ascii="Book Antiqua" w:eastAsia="Book Antiqua" w:hAnsi="Book Antiqua" w:cs="Book Antiqua"/>
          <w:color w:val="000000"/>
        </w:rPr>
        <w:t>Department of Laboratory Medicine</w:t>
      </w:r>
      <w:bookmarkEnd w:id="11"/>
      <w:bookmarkEnd w:id="12"/>
      <w:bookmarkEnd w:id="13"/>
      <w:r w:rsidRPr="00CC2B19">
        <w:rPr>
          <w:rFonts w:ascii="Book Antiqua" w:eastAsia="Book Antiqua" w:hAnsi="Book Antiqua" w:cs="Book Antiqua"/>
          <w:color w:val="000000"/>
        </w:rPr>
        <w:t xml:space="preserve">, </w:t>
      </w:r>
      <w:bookmarkStart w:id="14" w:name="OLE_LINK361"/>
      <w:bookmarkStart w:id="15" w:name="OLE_LINK360"/>
      <w:bookmarkStart w:id="16" w:name="OLE_LINK363"/>
      <w:r w:rsidRPr="00CC2B19">
        <w:rPr>
          <w:rFonts w:ascii="Book Antiqua" w:eastAsia="Book Antiqua" w:hAnsi="Book Antiqua" w:cs="Book Antiqua"/>
          <w:color w:val="000000"/>
        </w:rPr>
        <w:t>Gangnam Severance Hospital, Yonsei University College of Medicine</w:t>
      </w:r>
      <w:bookmarkEnd w:id="14"/>
      <w:bookmarkEnd w:id="15"/>
      <w:bookmarkEnd w:id="16"/>
      <w:r w:rsidRPr="00CC2B19">
        <w:rPr>
          <w:rFonts w:ascii="Book Antiqua" w:eastAsia="Book Antiqua" w:hAnsi="Book Antiqua" w:cs="Book Antiqua"/>
          <w:color w:val="000000"/>
        </w:rPr>
        <w:t>, Seoul 06273, South Korea</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Inho Park, </w:t>
      </w:r>
      <w:bookmarkStart w:id="17" w:name="OLE_LINK364"/>
      <w:bookmarkStart w:id="18" w:name="OLE_LINK365"/>
      <w:r w:rsidRPr="00CC2B19">
        <w:rPr>
          <w:rFonts w:ascii="Book Antiqua" w:eastAsia="Book Antiqua" w:hAnsi="Book Antiqua" w:cs="Book Antiqua"/>
          <w:color w:val="000000"/>
        </w:rPr>
        <w:t>Center for Precision Medicine</w:t>
      </w:r>
      <w:bookmarkEnd w:id="17"/>
      <w:bookmarkEnd w:id="18"/>
      <w:r w:rsidRPr="00CC2B19">
        <w:rPr>
          <w:rFonts w:ascii="Book Antiqua" w:eastAsia="Book Antiqua" w:hAnsi="Book Antiqua" w:cs="Book Antiqua"/>
          <w:color w:val="000000"/>
        </w:rPr>
        <w:t xml:space="preserve">, </w:t>
      </w:r>
      <w:bookmarkStart w:id="19" w:name="OLE_LINK367"/>
      <w:bookmarkStart w:id="20" w:name="OLE_LINK366"/>
      <w:r w:rsidRPr="00CC2B19">
        <w:rPr>
          <w:rFonts w:ascii="Book Antiqua" w:eastAsia="Book Antiqua" w:hAnsi="Book Antiqua" w:cs="Book Antiqua"/>
          <w:color w:val="000000"/>
        </w:rPr>
        <w:t>Gangnam Severance Hospital, Yonsei University College of Medicine</w:t>
      </w:r>
      <w:bookmarkEnd w:id="19"/>
      <w:bookmarkEnd w:id="20"/>
      <w:r w:rsidRPr="00CC2B19">
        <w:rPr>
          <w:rFonts w:ascii="Book Antiqua" w:eastAsia="Book Antiqua" w:hAnsi="Book Antiqua" w:cs="Book Antiqua"/>
          <w:color w:val="000000"/>
        </w:rPr>
        <w:t>, Seoul 06273, South Korea</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Jae Yong Cho, </w:t>
      </w:r>
      <w:bookmarkStart w:id="21" w:name="OLE_LINK368"/>
      <w:r w:rsidRPr="00CC2B19">
        <w:rPr>
          <w:rFonts w:ascii="Book Antiqua" w:eastAsia="Book Antiqua" w:hAnsi="Book Antiqua" w:cs="Book Antiqua"/>
          <w:color w:val="000000"/>
        </w:rPr>
        <w:t>Division of Medical Oncology, Department of Internal Medicine</w:t>
      </w:r>
      <w:bookmarkEnd w:id="21"/>
      <w:r w:rsidRPr="00CC2B19">
        <w:rPr>
          <w:rFonts w:ascii="Book Antiqua" w:eastAsia="Book Antiqua" w:hAnsi="Book Antiqua" w:cs="Book Antiqua"/>
          <w:color w:val="000000"/>
        </w:rPr>
        <w:t xml:space="preserve">, </w:t>
      </w:r>
      <w:bookmarkStart w:id="22" w:name="OLE_LINK370"/>
      <w:bookmarkStart w:id="23" w:name="OLE_LINK369"/>
      <w:r w:rsidRPr="00CC2B19">
        <w:rPr>
          <w:rFonts w:ascii="Book Antiqua" w:eastAsia="Book Antiqua" w:hAnsi="Book Antiqua" w:cs="Book Antiqua"/>
          <w:color w:val="000000"/>
        </w:rPr>
        <w:t>Gangnam Severance Hospital, Yonsei University College of Medicine</w:t>
      </w:r>
      <w:bookmarkEnd w:id="22"/>
      <w:bookmarkEnd w:id="23"/>
      <w:r w:rsidRPr="00CC2B19">
        <w:rPr>
          <w:rFonts w:ascii="Book Antiqua" w:eastAsia="Book Antiqua" w:hAnsi="Book Antiqua" w:cs="Book Antiqua"/>
          <w:color w:val="000000"/>
        </w:rPr>
        <w:t>, Seoul 06273, South Korea</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Author contributions: </w:t>
      </w:r>
      <w:bookmarkStart w:id="24" w:name="OLE_LINK389"/>
      <w:bookmarkStart w:id="25" w:name="OLE_LINK390"/>
      <w:r w:rsidRPr="00CC2B19">
        <w:rPr>
          <w:rFonts w:ascii="Book Antiqua" w:eastAsia="Book Antiqua" w:hAnsi="Book Antiqua" w:cs="Book Antiqua"/>
          <w:color w:val="000000"/>
        </w:rPr>
        <w:t xml:space="preserve">Kim B reviewed the literature and contributed to manuscript drafting; Cho JY provided clinical information regarding the patient; Kim Y and Park I contributed to panel assay design and gene curation; Kim B, Kim Y, and Lee KA </w:t>
      </w:r>
      <w:r w:rsidRPr="00CC2B19">
        <w:rPr>
          <w:rFonts w:ascii="Book Antiqua" w:eastAsia="Book Antiqua" w:hAnsi="Book Antiqua" w:cs="Book Antiqua"/>
          <w:color w:val="000000"/>
        </w:rPr>
        <w:lastRenderedPageBreak/>
        <w:t xml:space="preserve">performed analysis of genetic data; Lee KA and Cho JY were responsible for revision of the manuscript for important intellectual content; All authors issued final approval for the version to be submitted. </w:t>
      </w:r>
    </w:p>
    <w:bookmarkEnd w:id="24"/>
    <w:bookmarkEnd w:id="25"/>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Corresponding author: Kyung-A Lee, MD, PhD, Full Professor, </w:t>
      </w:r>
      <w:bookmarkStart w:id="26" w:name="OLE_LINK373"/>
      <w:bookmarkStart w:id="27" w:name="OLE_LINK372"/>
      <w:r w:rsidRPr="00CC2B19">
        <w:rPr>
          <w:rFonts w:ascii="Book Antiqua" w:eastAsia="Book Antiqua" w:hAnsi="Book Antiqua" w:cs="Book Antiqua"/>
          <w:color w:val="000000"/>
        </w:rPr>
        <w:t>Department of Laboratory Medicine</w:t>
      </w:r>
      <w:bookmarkEnd w:id="26"/>
      <w:bookmarkEnd w:id="27"/>
      <w:r w:rsidRPr="00CC2B19">
        <w:rPr>
          <w:rFonts w:ascii="Book Antiqua" w:eastAsia="Book Antiqua" w:hAnsi="Book Antiqua" w:cs="Book Antiqua"/>
          <w:color w:val="000000"/>
        </w:rPr>
        <w:t xml:space="preserve">, </w:t>
      </w:r>
      <w:bookmarkStart w:id="28" w:name="OLE_LINK374"/>
      <w:bookmarkStart w:id="29" w:name="OLE_LINK375"/>
      <w:r w:rsidRPr="00CC2B19">
        <w:rPr>
          <w:rFonts w:ascii="Book Antiqua" w:eastAsia="Book Antiqua" w:hAnsi="Book Antiqua" w:cs="Book Antiqua"/>
          <w:color w:val="000000"/>
        </w:rPr>
        <w:t>Gangnam Severance Hospital, Yonsei University College of Medicine</w:t>
      </w:r>
      <w:bookmarkEnd w:id="28"/>
      <w:bookmarkEnd w:id="29"/>
      <w:r w:rsidRPr="00CC2B19">
        <w:rPr>
          <w:rFonts w:ascii="Book Antiqua" w:eastAsia="Book Antiqua" w:hAnsi="Book Antiqua" w:cs="Book Antiqua"/>
          <w:color w:val="000000"/>
        </w:rPr>
        <w:t xml:space="preserve">, </w:t>
      </w:r>
      <w:bookmarkStart w:id="30" w:name="OLE_LINK377"/>
      <w:bookmarkStart w:id="31" w:name="OLE_LINK376"/>
      <w:bookmarkStart w:id="32" w:name="OLE_LINK378"/>
      <w:bookmarkStart w:id="33" w:name="OLE_LINK379"/>
      <w:r w:rsidRPr="00CC2B19">
        <w:rPr>
          <w:rFonts w:ascii="Book Antiqua" w:eastAsia="Book Antiqua" w:hAnsi="Book Antiqua" w:cs="Book Antiqua"/>
          <w:color w:val="000000"/>
        </w:rPr>
        <w:t>211 Eonju-Ro</w:t>
      </w:r>
      <w:bookmarkEnd w:id="30"/>
      <w:bookmarkEnd w:id="31"/>
      <w:r w:rsidRPr="00CC2B19">
        <w:rPr>
          <w:rFonts w:ascii="Book Antiqua" w:eastAsia="Book Antiqua" w:hAnsi="Book Antiqua" w:cs="Book Antiqua"/>
          <w:color w:val="000000"/>
        </w:rPr>
        <w:t>, Gangnam-Gu</w:t>
      </w:r>
      <w:bookmarkEnd w:id="32"/>
      <w:bookmarkEnd w:id="33"/>
      <w:r w:rsidRPr="00CC2B19">
        <w:rPr>
          <w:rFonts w:ascii="Book Antiqua" w:eastAsia="Book Antiqua" w:hAnsi="Book Antiqua" w:cs="Book Antiqua"/>
          <w:color w:val="000000"/>
        </w:rPr>
        <w:t xml:space="preserve">, Seoul 06273, South Korea. </w:t>
      </w:r>
      <w:bookmarkStart w:id="34" w:name="OLE_LINK371"/>
      <w:r w:rsidRPr="00CC2B19">
        <w:rPr>
          <w:rFonts w:ascii="Book Antiqua" w:eastAsia="Book Antiqua" w:hAnsi="Book Antiqua" w:cs="Book Antiqua"/>
          <w:color w:val="000000"/>
        </w:rPr>
        <w:t>kal1119@yuhs.ac</w:t>
      </w:r>
      <w:bookmarkEnd w:id="34"/>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Received: </w:t>
      </w:r>
      <w:r w:rsidRPr="00CC2B19">
        <w:rPr>
          <w:rFonts w:ascii="Book Antiqua" w:eastAsia="Book Antiqua" w:hAnsi="Book Antiqua" w:cs="Book Antiqua"/>
          <w:color w:val="000000"/>
        </w:rPr>
        <w:t>December 4, 2020</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Revised: </w:t>
      </w:r>
      <w:r w:rsidRPr="00CC2B19">
        <w:rPr>
          <w:rFonts w:ascii="Book Antiqua" w:hAnsi="Book Antiqua"/>
          <w:color w:val="000000"/>
        </w:rPr>
        <w:t>February 2, 2021</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Accepted: </w:t>
      </w:r>
      <w:r w:rsidRPr="00CC2B19">
        <w:rPr>
          <w:rFonts w:ascii="Book Antiqua" w:eastAsia="Book Antiqua" w:hAnsi="Book Antiqua" w:cs="Book Antiqua"/>
          <w:color w:val="000000"/>
        </w:rPr>
        <w:t>March 3, 2021</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Published online: </w:t>
      </w:r>
      <w:r w:rsidRPr="00CC2B19">
        <w:rPr>
          <w:rFonts w:ascii="Book Antiqua" w:eastAsia="Book Antiqua" w:hAnsi="Book Antiqua" w:cs="Book Antiqua" w:hint="eastAsia"/>
          <w:color w:val="000000"/>
        </w:rPr>
        <w:t>April 26, 2021</w:t>
      </w:r>
    </w:p>
    <w:p w:rsidR="0044291D" w:rsidRPr="00CC2B19" w:rsidRDefault="0044291D">
      <w:pPr>
        <w:spacing w:line="360" w:lineRule="auto"/>
        <w:jc w:val="both"/>
        <w:rPr>
          <w:rFonts w:ascii="Book Antiqua" w:hAnsi="Book Antiqua"/>
        </w:rPr>
        <w:sectPr w:rsidR="0044291D" w:rsidRPr="00CC2B19">
          <w:footerReference w:type="default" r:id="rId8"/>
          <w:pgSz w:w="12240" w:h="15840"/>
          <w:pgMar w:top="1440" w:right="1440" w:bottom="1440" w:left="1440" w:header="720" w:footer="720" w:gutter="0"/>
          <w:cols w:space="720"/>
          <w:docGrid w:linePitch="360"/>
        </w:sect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Abstract</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BACKGROUND</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Gastric cancer is the fifth most diagnosed cancer worldwide and the third most common cause of cancer-related death. In recent decades, increasing application of next-generation sequencing has enabled detection of molecular aberrations, including fusions. In cases where tissue is difficult to obtain, cell-free DNA (cfDNA) is used for detecting mutations to identify the molecular profile of cancer. Here, we report a rare case of </w:t>
      </w:r>
      <w:bookmarkStart w:id="35" w:name="OLE_LINK415"/>
      <w:bookmarkStart w:id="36" w:name="OLE_LINK414"/>
      <w:r w:rsidRPr="00CC2B19">
        <w:rPr>
          <w:rFonts w:ascii="Book Antiqua" w:eastAsia="Book Antiqua" w:hAnsi="Book Antiqua" w:cs="Book Antiqua"/>
          <w:i/>
          <w:iCs/>
          <w:color w:val="000000"/>
        </w:rPr>
        <w:t>EGFR</w:t>
      </w:r>
      <w:bookmarkEnd w:id="35"/>
      <w:bookmarkEnd w:id="36"/>
      <w:r w:rsidRPr="00CC2B19">
        <w:rPr>
          <w:rFonts w:ascii="Book Antiqua" w:eastAsia="Book Antiqua" w:hAnsi="Book Antiqua" w:cs="Book Antiqua"/>
          <w:i/>
          <w:iCs/>
          <w:color w:val="000000"/>
        </w:rPr>
        <w:t>-SEPT14</w:t>
      </w:r>
      <w:r w:rsidRPr="00CC2B19">
        <w:rPr>
          <w:rFonts w:ascii="Book Antiqua" w:eastAsia="Book Antiqua" w:hAnsi="Book Antiqua" w:cs="Book Antiqua"/>
          <w:color w:val="000000"/>
        </w:rPr>
        <w:t xml:space="preserve"> fusion detected from cfDNA analysis in a patient with gastric cancer. </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CASE SUMMARY</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A 49-year-old female diagnosed with advanced gastric cancer in July 2019 received capecitabine and then combination chemotherapy of ramucirumab and paclitaxel, but ascites was detected. The therapy was switched to nivolumab, but disease progression was observed on a positron emission tomography/computed tomography scan in May 2020. Therapy was discontinued, and cfDNA next-generation sequencing was immediately evaluated. All genomic variants, including fusions, were analyzed from cfDNA. The following somatic alterations were detected from the patient’s cfDNA: an </w:t>
      </w:r>
      <w:r w:rsidRPr="00CC2B19">
        <w:rPr>
          <w:rFonts w:ascii="Book Antiqua" w:eastAsia="Book Antiqua" w:hAnsi="Book Antiqua" w:cs="Book Antiqua"/>
          <w:i/>
          <w:iCs/>
          <w:color w:val="000000"/>
        </w:rPr>
        <w:t>APC</w:t>
      </w:r>
      <w:r w:rsidRPr="00CC2B19">
        <w:rPr>
          <w:rFonts w:ascii="Book Antiqua" w:eastAsia="Book Antiqua" w:hAnsi="Book Antiqua" w:cs="Book Antiqua"/>
          <w:color w:val="000000"/>
        </w:rPr>
        <w:t xml:space="preserve"> frameshift mutation (NM_000038.5:c.6579del, p.V2194fs) with variant allele frequency of 0.5%, an </w:t>
      </w:r>
      <w:r w:rsidRPr="00CC2B19">
        <w:rPr>
          <w:rFonts w:ascii="Book Antiqua" w:eastAsia="Book Antiqua" w:hAnsi="Book Antiqua" w:cs="Book Antiqua"/>
          <w:i/>
          <w:iCs/>
          <w:color w:val="000000"/>
        </w:rPr>
        <w:t>EGFR</w:t>
      </w:r>
      <w:r w:rsidRPr="00CC2B19">
        <w:rPr>
          <w:rFonts w:ascii="Book Antiqua" w:eastAsia="Book Antiqua" w:hAnsi="Book Antiqua" w:cs="Book Antiqua"/>
          <w:color w:val="000000"/>
        </w:rPr>
        <w:t xml:space="preserve"> amplification with a copy number of 17.3, and an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with variant allele frequency of 45.3%. The site of the fusion was exon 24 of </w:t>
      </w:r>
      <w:r w:rsidRPr="00CC2B19">
        <w:rPr>
          <w:rFonts w:ascii="Book Antiqua" w:eastAsia="Book Antiqua" w:hAnsi="Book Antiqua" w:cs="Book Antiqua"/>
          <w:i/>
          <w:iCs/>
          <w:color w:val="000000"/>
        </w:rPr>
        <w:t xml:space="preserve">EGFR </w:t>
      </w:r>
      <w:r w:rsidRPr="00CC2B19">
        <w:rPr>
          <w:rFonts w:ascii="Book Antiqua" w:eastAsia="Book Antiqua" w:hAnsi="Book Antiqua" w:cs="Book Antiqua"/>
          <w:color w:val="000000"/>
        </w:rPr>
        <w:t xml:space="preserve">fused to exon 10 of </w:t>
      </w:r>
      <w:r w:rsidRPr="00CC2B19">
        <w:rPr>
          <w:rFonts w:ascii="Book Antiqua" w:eastAsia="Book Antiqua" w:hAnsi="Book Antiqua" w:cs="Book Antiqua"/>
          <w:i/>
          <w:iCs/>
          <w:color w:val="000000"/>
        </w:rPr>
        <w:t xml:space="preserve">SEPT14. </w:t>
      </w:r>
      <w:r w:rsidRPr="00CC2B19">
        <w:rPr>
          <w:rFonts w:ascii="Book Antiqua" w:eastAsia="Book Antiqua" w:hAnsi="Book Antiqua" w:cs="Book Antiqua"/>
          <w:color w:val="000000"/>
        </w:rPr>
        <w:t xml:space="preserve">The fusion was in-frame and considered to be protooncogenic. Although the patient refused to continue therapy, we suggest that </w:t>
      </w:r>
      <w:r w:rsidRPr="00CC2B19">
        <w:rPr>
          <w:rFonts w:ascii="Book Antiqua" w:eastAsia="Book Antiqua" w:hAnsi="Book Antiqua" w:cs="Book Antiqua"/>
          <w:i/>
          <w:iCs/>
          <w:color w:val="000000"/>
        </w:rPr>
        <w:t>EGFR</w:t>
      </w:r>
      <w:r w:rsidRPr="00CC2B19">
        <w:rPr>
          <w:rFonts w:ascii="Book Antiqua" w:eastAsia="Book Antiqua" w:hAnsi="Book Antiqua" w:cs="Book Antiqua"/>
          <w:color w:val="000000"/>
        </w:rPr>
        <w:t>-target</w:t>
      </w:r>
      <w:r w:rsidR="00DC2022" w:rsidRPr="00CC2B19">
        <w:rPr>
          <w:rFonts w:ascii="Book Antiqua" w:hAnsi="Book Antiqua" w:cs="Book Antiqua" w:hint="eastAsia"/>
          <w:color w:val="000000"/>
          <w:lang w:eastAsia="zh-CN"/>
        </w:rPr>
        <w:t>ed</w:t>
      </w:r>
      <w:r w:rsidRPr="00CC2B19">
        <w:rPr>
          <w:rFonts w:ascii="Book Antiqua" w:eastAsia="Book Antiqua" w:hAnsi="Book Antiqua" w:cs="Book Antiqua"/>
          <w:color w:val="000000"/>
        </w:rPr>
        <w:t xml:space="preserve"> therapies be tried in such future cases. </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CONCLUSION</w:t>
      </w:r>
    </w:p>
    <w:p w:rsidR="0044291D" w:rsidRPr="00CC2B19" w:rsidRDefault="00CC4CA9">
      <w:pPr>
        <w:spacing w:line="360" w:lineRule="auto"/>
        <w:jc w:val="both"/>
        <w:rPr>
          <w:rFonts w:ascii="Book Antiqua" w:hAnsi="Book Antiqua"/>
        </w:rPr>
      </w:pPr>
      <w:bookmarkStart w:id="37" w:name="OLE_LINK393"/>
      <w:bookmarkStart w:id="38" w:name="OLE_LINK392"/>
      <w:r w:rsidRPr="00CC2B19">
        <w:rPr>
          <w:rFonts w:ascii="Book Antiqua" w:eastAsia="Book Antiqua" w:hAnsi="Book Antiqua" w:cs="Book Antiqua"/>
          <w:color w:val="000000"/>
        </w:rPr>
        <w:t xml:space="preserve">The expanded applications of the cfDNA assay may open a new horizon in treatment of patients with advanced gastric cancer. </w:t>
      </w:r>
    </w:p>
    <w:bookmarkEnd w:id="37"/>
    <w:bookmarkEnd w:id="38"/>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Key Words: </w:t>
      </w:r>
      <w:bookmarkStart w:id="39" w:name="OLE_LINK383"/>
      <w:bookmarkStart w:id="40" w:name="OLE_LINK382"/>
      <w:r w:rsidRPr="00CC2B19">
        <w:rPr>
          <w:rFonts w:ascii="Book Antiqua" w:eastAsia="Book Antiqua" w:hAnsi="Book Antiqua" w:cs="Book Antiqua"/>
          <w:color w:val="000000"/>
        </w:rPr>
        <w:t xml:space="preserve">Gene fusion; Cell-free DNA; Liquid biopsy; Gastric cancer; </w:t>
      </w:r>
      <w:r w:rsidR="00DC2022" w:rsidRPr="00CC2B19">
        <w:rPr>
          <w:rFonts w:ascii="Book Antiqua" w:hAnsi="Book Antiqua" w:cs="Book Antiqua" w:hint="eastAsia"/>
          <w:color w:val="000000"/>
          <w:lang w:eastAsia="zh-CN"/>
        </w:rPr>
        <w:t>EGFR</w:t>
      </w:r>
      <w:r w:rsidRPr="00CC2B19">
        <w:rPr>
          <w:rFonts w:ascii="Book Antiqua" w:eastAsia="Book Antiqua" w:hAnsi="Book Antiqua" w:cs="Book Antiqua"/>
          <w:color w:val="000000"/>
        </w:rPr>
        <w:t xml:space="preserve"> tyrosine kinase inhibitor; Case report</w:t>
      </w:r>
    </w:p>
    <w:bookmarkEnd w:id="39"/>
    <w:bookmarkEnd w:id="40"/>
    <w:p w:rsidR="00552552" w:rsidRDefault="00552552" w:rsidP="00552552">
      <w:pPr>
        <w:spacing w:line="360" w:lineRule="auto"/>
        <w:jc w:val="both"/>
        <w:rPr>
          <w:lang w:eastAsia="zh-CN"/>
        </w:rPr>
      </w:pPr>
    </w:p>
    <w:p w:rsidR="00552552" w:rsidRPr="00026CB8" w:rsidRDefault="00552552" w:rsidP="0055255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44291D" w:rsidRPr="00CC2B19" w:rsidRDefault="0044291D">
      <w:pPr>
        <w:spacing w:line="360" w:lineRule="auto"/>
        <w:jc w:val="both"/>
        <w:rPr>
          <w:rFonts w:ascii="Book Antiqua" w:hAnsi="Book Antiqua"/>
        </w:rPr>
      </w:pPr>
    </w:p>
    <w:p w:rsidR="00125086" w:rsidRDefault="00125086">
      <w:pPr>
        <w:spacing w:line="360" w:lineRule="auto"/>
        <w:jc w:val="both"/>
        <w:rPr>
          <w:rFonts w:ascii="Book Antiqua" w:hAnsi="Book Antiqua" w:cs="Book Antiqua" w:hint="eastAsia"/>
          <w:color w:val="000000"/>
          <w:lang w:eastAsia="zh-CN"/>
        </w:rPr>
      </w:pPr>
      <w:r w:rsidRPr="00125086">
        <w:rPr>
          <w:rFonts w:ascii="Book Antiqua" w:hAnsi="Book Antiqua" w:cs="Book Antiqua" w:hint="eastAsia"/>
          <w:b/>
          <w:color w:val="000000"/>
          <w:lang w:eastAsia="zh-CN"/>
        </w:rPr>
        <w:t xml:space="preserve">Citation: </w:t>
      </w:r>
      <w:r w:rsidR="00CC4CA9" w:rsidRPr="00CC2B19">
        <w:rPr>
          <w:rFonts w:ascii="Book Antiqua" w:eastAsia="Book Antiqua" w:hAnsi="Book Antiqua" w:cs="Book Antiqua"/>
          <w:color w:val="000000"/>
        </w:rPr>
        <w:t xml:space="preserve">Kim B, Kim Y, Park I, Cho JY, Lee KA. Detection of </w:t>
      </w:r>
      <w:r w:rsidR="00DC2022" w:rsidRPr="00CC2B19">
        <w:rPr>
          <w:rFonts w:ascii="Book Antiqua" w:eastAsia="Book Antiqua" w:hAnsi="Book Antiqua" w:cs="Book Antiqua" w:hint="eastAsia"/>
          <w:i/>
          <w:iCs/>
          <w:color w:val="000000"/>
        </w:rPr>
        <w:t>EGFR</w:t>
      </w:r>
      <w:r w:rsidR="00CC4CA9" w:rsidRPr="00CC2B19">
        <w:rPr>
          <w:rFonts w:ascii="Book Antiqua" w:eastAsia="Book Antiqua" w:hAnsi="Book Antiqua" w:cs="Book Antiqua"/>
          <w:i/>
          <w:iCs/>
          <w:color w:val="000000"/>
        </w:rPr>
        <w:t>-SEPT14</w:t>
      </w:r>
      <w:r w:rsidR="00CC4CA9" w:rsidRPr="00CC2B19">
        <w:rPr>
          <w:rFonts w:ascii="Book Antiqua" w:eastAsia="Book Antiqua" w:hAnsi="Book Antiqua" w:cs="Book Antiqua"/>
          <w:color w:val="000000"/>
        </w:rPr>
        <w:t xml:space="preserve"> fusion in cell-free DNA of a patient with advanced gastric cancer: A case report. </w:t>
      </w:r>
      <w:r w:rsidR="00CC4CA9" w:rsidRPr="00CC2B19">
        <w:rPr>
          <w:rFonts w:ascii="Book Antiqua" w:eastAsia="Book Antiqua" w:hAnsi="Book Antiqua" w:cs="Book Antiqua"/>
          <w:i/>
          <w:iCs/>
          <w:color w:val="000000"/>
        </w:rPr>
        <w:t>World J Clin Cases</w:t>
      </w:r>
      <w:r w:rsidR="00CC4CA9" w:rsidRPr="00CC2B19">
        <w:rPr>
          <w:rFonts w:ascii="Book Antiqua" w:eastAsia="Book Antiqua" w:hAnsi="Book Antiqua" w:cs="Book Antiqua"/>
          <w:color w:val="000000"/>
        </w:rPr>
        <w:t xml:space="preserve"> 2021;</w:t>
      </w:r>
      <w:r w:rsidR="00CC4CA9" w:rsidRPr="00CC2B19">
        <w:rPr>
          <w:rFonts w:ascii="Book Antiqua" w:eastAsia="Book Antiqua" w:hAnsi="Book Antiqua" w:cs="Book Antiqua" w:hint="eastAsia"/>
          <w:color w:val="000000"/>
        </w:rPr>
        <w:t xml:space="preserve"> </w:t>
      </w:r>
      <w:r w:rsidR="00CC4CA9" w:rsidRPr="00CC2B19">
        <w:rPr>
          <w:rFonts w:ascii="Book Antiqua" w:eastAsia="宋体" w:hAnsi="Book Antiqua" w:cs="Book Antiqua" w:hint="eastAsia"/>
          <w:color w:val="000000"/>
          <w:lang w:eastAsia="zh-CN"/>
        </w:rPr>
        <w:t>9</w:t>
      </w:r>
      <w:r w:rsidR="00CC4CA9" w:rsidRPr="00CC2B19">
        <w:rPr>
          <w:rFonts w:ascii="Book Antiqua" w:eastAsia="Book Antiqua" w:hAnsi="Book Antiqua" w:cs="Book Antiqua" w:hint="eastAsia"/>
          <w:color w:val="000000"/>
        </w:rPr>
        <w:t>(1</w:t>
      </w:r>
      <w:r w:rsidR="00CC4CA9" w:rsidRPr="00CC2B19">
        <w:rPr>
          <w:rFonts w:ascii="Book Antiqua" w:eastAsia="宋体" w:hAnsi="Book Antiqua" w:cs="Book Antiqua" w:hint="eastAsia"/>
          <w:color w:val="000000"/>
          <w:lang w:eastAsia="zh-CN"/>
        </w:rPr>
        <w:t>2</w:t>
      </w:r>
      <w:r w:rsidR="00CC4CA9" w:rsidRPr="00CC2B19">
        <w:rPr>
          <w:rFonts w:ascii="Book Antiqua" w:eastAsia="Book Antiqua" w:hAnsi="Book Antiqua" w:cs="Book Antiqua" w:hint="eastAsia"/>
          <w:color w:val="000000"/>
        </w:rPr>
        <w:t xml:space="preserve">): </w:t>
      </w:r>
      <w:r w:rsidR="00CC2B19" w:rsidRPr="00CC2B19">
        <w:rPr>
          <w:rFonts w:ascii="Book Antiqua" w:eastAsia="Book Antiqua" w:hAnsi="Book Antiqua" w:cs="Book Antiqua"/>
          <w:color w:val="000000"/>
        </w:rPr>
        <w:t>2884-2889</w:t>
      </w:r>
      <w:r w:rsidR="00CC4CA9" w:rsidRPr="00CC2B19">
        <w:rPr>
          <w:rFonts w:ascii="Book Antiqua" w:eastAsia="Book Antiqua" w:hAnsi="Book Antiqua" w:cs="Book Antiqua" w:hint="eastAsia"/>
          <w:color w:val="000000"/>
        </w:rPr>
        <w:t xml:space="preserve">  </w:t>
      </w:r>
    </w:p>
    <w:p w:rsidR="00125086" w:rsidRDefault="00CC4CA9">
      <w:pPr>
        <w:spacing w:line="360" w:lineRule="auto"/>
        <w:jc w:val="both"/>
        <w:rPr>
          <w:rFonts w:ascii="Book Antiqua" w:hAnsi="Book Antiqua" w:cs="Book Antiqua" w:hint="eastAsia"/>
          <w:color w:val="000000"/>
          <w:lang w:eastAsia="zh-CN"/>
        </w:rPr>
      </w:pPr>
      <w:r w:rsidRPr="00125086">
        <w:rPr>
          <w:rFonts w:ascii="Book Antiqua" w:eastAsia="Book Antiqua" w:hAnsi="Book Antiqua" w:cs="Book Antiqua" w:hint="eastAsia"/>
          <w:b/>
          <w:color w:val="000000"/>
        </w:rPr>
        <w:t>URL:</w:t>
      </w:r>
      <w:r w:rsidRPr="00CC2B19">
        <w:rPr>
          <w:rFonts w:ascii="Book Antiqua" w:eastAsia="Book Antiqua" w:hAnsi="Book Antiqua" w:cs="Book Antiqua" w:hint="eastAsia"/>
          <w:color w:val="000000"/>
        </w:rPr>
        <w:t xml:space="preserve"> https://www.wjgnet.com/2307-8960/full/v</w:t>
      </w:r>
      <w:r w:rsidRPr="00CC2B19">
        <w:rPr>
          <w:rFonts w:ascii="Book Antiqua" w:eastAsia="宋体" w:hAnsi="Book Antiqua" w:cs="Book Antiqua" w:hint="eastAsia"/>
          <w:color w:val="000000"/>
          <w:lang w:eastAsia="zh-CN"/>
        </w:rPr>
        <w:t>9</w:t>
      </w:r>
      <w:r w:rsidRPr="00CC2B19">
        <w:rPr>
          <w:rFonts w:ascii="Book Antiqua" w:eastAsia="Book Antiqua" w:hAnsi="Book Antiqua" w:cs="Book Antiqua" w:hint="eastAsia"/>
          <w:color w:val="000000"/>
        </w:rPr>
        <w:t>/i1</w:t>
      </w:r>
      <w:r w:rsidRPr="00CC2B19">
        <w:rPr>
          <w:rFonts w:ascii="Book Antiqua" w:eastAsia="宋体" w:hAnsi="Book Antiqua" w:cs="Book Antiqua" w:hint="eastAsia"/>
          <w:color w:val="000000"/>
          <w:lang w:eastAsia="zh-CN"/>
        </w:rPr>
        <w:t>2</w:t>
      </w:r>
      <w:r w:rsidRPr="00CC2B19">
        <w:rPr>
          <w:rFonts w:ascii="Book Antiqua" w:eastAsia="Book Antiqua" w:hAnsi="Book Antiqua" w:cs="Book Antiqua" w:hint="eastAsia"/>
          <w:color w:val="000000"/>
        </w:rPr>
        <w:t>/</w:t>
      </w:r>
      <w:r w:rsidR="008E3BF7">
        <w:rPr>
          <w:rFonts w:ascii="Book Antiqua" w:hAnsi="Book Antiqua" w:cs="Book Antiqua" w:hint="eastAsia"/>
          <w:color w:val="000000"/>
          <w:lang w:eastAsia="zh-CN"/>
        </w:rPr>
        <w:t>2884</w:t>
      </w:r>
      <w:r w:rsidRPr="00CC2B19">
        <w:rPr>
          <w:rFonts w:ascii="Book Antiqua" w:eastAsia="Book Antiqua" w:hAnsi="Book Antiqua" w:cs="Book Antiqua" w:hint="eastAsia"/>
          <w:color w:val="000000"/>
        </w:rPr>
        <w:t xml:space="preserve">.htm  </w:t>
      </w:r>
    </w:p>
    <w:p w:rsidR="0044291D" w:rsidRPr="008E3BF7" w:rsidRDefault="00CC4CA9">
      <w:pPr>
        <w:spacing w:line="360" w:lineRule="auto"/>
        <w:jc w:val="both"/>
        <w:rPr>
          <w:rFonts w:ascii="Book Antiqua" w:hAnsi="Book Antiqua"/>
          <w:lang w:eastAsia="zh-CN"/>
        </w:rPr>
      </w:pPr>
      <w:r w:rsidRPr="00125086">
        <w:rPr>
          <w:rFonts w:ascii="Book Antiqua" w:eastAsia="Book Antiqua" w:hAnsi="Book Antiqua" w:cs="Book Antiqua" w:hint="eastAsia"/>
          <w:b/>
          <w:color w:val="000000"/>
        </w:rPr>
        <w:t>DOI:</w:t>
      </w:r>
      <w:r w:rsidRPr="00CC2B19">
        <w:rPr>
          <w:rFonts w:ascii="Book Antiqua" w:eastAsia="Book Antiqua" w:hAnsi="Book Antiqua" w:cs="Book Antiqua" w:hint="eastAsia"/>
          <w:color w:val="000000"/>
        </w:rPr>
        <w:t xml:space="preserve"> https://dx.doi.org/10.12998/</w:t>
      </w:r>
      <w:r w:rsidRPr="00CC2B19">
        <w:rPr>
          <w:rFonts w:ascii="Book Antiqua" w:eastAsia="宋体" w:hAnsi="Book Antiqua" w:cs="Book Antiqua" w:hint="eastAsia"/>
          <w:color w:val="000000"/>
          <w:lang w:eastAsia="zh-CN"/>
        </w:rPr>
        <w:t>wjcc</w:t>
      </w:r>
      <w:r w:rsidRPr="00CC2B19">
        <w:rPr>
          <w:rFonts w:ascii="Book Antiqua" w:eastAsia="Book Antiqua" w:hAnsi="Book Antiqua" w:cs="Book Antiqua" w:hint="eastAsia"/>
          <w:color w:val="000000"/>
        </w:rPr>
        <w:t>.v</w:t>
      </w:r>
      <w:r w:rsidRPr="00CC2B19">
        <w:rPr>
          <w:rFonts w:ascii="Book Antiqua" w:eastAsia="宋体" w:hAnsi="Book Antiqua" w:cs="Book Antiqua" w:hint="eastAsia"/>
          <w:color w:val="000000"/>
          <w:lang w:eastAsia="zh-CN"/>
        </w:rPr>
        <w:t>9</w:t>
      </w:r>
      <w:r w:rsidRPr="00CC2B19">
        <w:rPr>
          <w:rFonts w:ascii="Book Antiqua" w:eastAsia="Book Antiqua" w:hAnsi="Book Antiqua" w:cs="Book Antiqua" w:hint="eastAsia"/>
          <w:color w:val="000000"/>
        </w:rPr>
        <w:t>.i1</w:t>
      </w:r>
      <w:r w:rsidRPr="00CC2B19">
        <w:rPr>
          <w:rFonts w:ascii="Book Antiqua" w:eastAsia="宋体" w:hAnsi="Book Antiqua" w:cs="Book Antiqua" w:hint="eastAsia"/>
          <w:color w:val="000000"/>
          <w:lang w:eastAsia="zh-CN"/>
        </w:rPr>
        <w:t>2</w:t>
      </w:r>
      <w:r w:rsidRPr="00CC2B19">
        <w:rPr>
          <w:rFonts w:ascii="Book Antiqua" w:eastAsia="Book Antiqua" w:hAnsi="Book Antiqua" w:cs="Book Antiqua" w:hint="eastAsia"/>
          <w:color w:val="000000"/>
        </w:rPr>
        <w:t>.</w:t>
      </w:r>
      <w:r w:rsidR="008E3BF7">
        <w:rPr>
          <w:rFonts w:ascii="Book Antiqua" w:hAnsi="Book Antiqua" w:cs="Book Antiqua" w:hint="eastAsia"/>
          <w:color w:val="000000"/>
          <w:lang w:eastAsia="zh-CN"/>
        </w:rPr>
        <w:t>2884</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Core Tip: </w:t>
      </w:r>
      <w:bookmarkStart w:id="41" w:name="OLE_LINK391"/>
      <w:bookmarkStart w:id="42" w:name="OLE_LINK384"/>
      <w:bookmarkStart w:id="43" w:name="OLE_LINK385"/>
      <w:r w:rsidRPr="00CC2B19">
        <w:rPr>
          <w:rFonts w:ascii="Book Antiqua" w:eastAsia="Book Antiqua" w:hAnsi="Book Antiqua" w:cs="Book Antiqua"/>
          <w:color w:val="000000"/>
        </w:rPr>
        <w:t xml:space="preserve">In recent decades, increasing application of next-generation sequencing has enabled detection of molecular aberrations, including fusions. In cases where tissue is not easily obtainable, cell-free DNA is used for detecting mutations to determine the molecular profile of cancer. In this study, we report the first case of </w:t>
      </w:r>
      <w:r w:rsidR="00DC2022" w:rsidRPr="00CC2B19">
        <w:rPr>
          <w:rFonts w:ascii="Book Antiqua" w:eastAsia="Book Antiqua" w:hAnsi="Book Antiqua" w:cs="Book Antiqua" w:hint="eastAsia"/>
          <w:i/>
          <w:iCs/>
          <w:color w:val="000000"/>
        </w:rPr>
        <w:t>EGFR</w:t>
      </w:r>
      <w:r w:rsidRPr="00CC2B19">
        <w:rPr>
          <w:rFonts w:ascii="Book Antiqua" w:eastAsia="Book Antiqua" w:hAnsi="Book Antiqua" w:cs="Book Antiqua"/>
          <w:i/>
          <w:iCs/>
          <w:color w:val="000000"/>
        </w:rPr>
        <w:t>-SEPT14</w:t>
      </w:r>
      <w:r w:rsidRPr="00CC2B19">
        <w:rPr>
          <w:rFonts w:ascii="Book Antiqua" w:eastAsia="Book Antiqua" w:hAnsi="Book Antiqua" w:cs="Book Antiqua"/>
          <w:color w:val="000000"/>
        </w:rPr>
        <w:t xml:space="preserve"> fusion detected from next-generation sequencing analysis of cell-free DNA from a patient with advanced gastric cancer. We suggest expanded applications of the cell-free DNA assay regardless of cancer type, which may open a new horizon in treatment of patients with advanced gastric cancer. </w:t>
      </w:r>
    </w:p>
    <w:bookmarkEnd w:id="41"/>
    <w:bookmarkEnd w:id="42"/>
    <w:bookmarkEnd w:id="43"/>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aps/>
          <w:color w:val="000000"/>
          <w:u w:val="single"/>
        </w:rPr>
        <w:br w:type="page"/>
        <w:t>INTRODUCTION</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Gastric cancer is the fifth most diagnosed cancer worldwide with a particularly high incidence in East Asia and the third most common cause of cancer-related death</w:t>
      </w:r>
      <w:r w:rsidRPr="00CC2B19">
        <w:rPr>
          <w:rFonts w:ascii="Book Antiqua" w:eastAsia="Book Antiqua" w:hAnsi="Book Antiqua" w:cs="Book Antiqua"/>
          <w:color w:val="000000"/>
          <w:vertAlign w:val="superscript"/>
        </w:rPr>
        <w:t>[1]</w:t>
      </w:r>
      <w:r w:rsidRPr="00CC2B19">
        <w:rPr>
          <w:rFonts w:ascii="Book Antiqua" w:eastAsia="Book Antiqua" w:hAnsi="Book Antiqua" w:cs="Book Antiqua"/>
          <w:color w:val="000000"/>
        </w:rPr>
        <w:t>. Curative surgery is the primary treatment of choice, but systemic chemotherapies are used for patients with metastatic or unresectable advanced or recurrent gastric cancer. Because systemic chemotherapies are nonspecific and can cause serious adverse effects, development of molecular target</w:t>
      </w:r>
      <w:r w:rsidR="00DC2022" w:rsidRPr="00CC2B19">
        <w:rPr>
          <w:rFonts w:ascii="Book Antiqua" w:hAnsi="Book Antiqua" w:cs="Book Antiqua" w:hint="eastAsia"/>
          <w:color w:val="000000"/>
          <w:lang w:eastAsia="zh-CN"/>
        </w:rPr>
        <w:t>ed</w:t>
      </w:r>
      <w:r w:rsidRPr="00CC2B19">
        <w:rPr>
          <w:rFonts w:ascii="Book Antiqua" w:eastAsia="Book Antiqua" w:hAnsi="Book Antiqua" w:cs="Book Antiqua"/>
          <w:color w:val="000000"/>
        </w:rPr>
        <w:t xml:space="preserve"> drugs has been attempted to improve outcomes in patients with gastric cancer. </w:t>
      </w:r>
    </w:p>
    <w:p w:rsidR="0044291D" w:rsidRPr="00CC2B19" w:rsidRDefault="00CC4CA9">
      <w:pPr>
        <w:spacing w:line="360" w:lineRule="auto"/>
        <w:ind w:firstLineChars="200" w:firstLine="480"/>
        <w:jc w:val="both"/>
        <w:rPr>
          <w:rFonts w:ascii="Book Antiqua" w:hAnsi="Book Antiqua"/>
        </w:rPr>
      </w:pPr>
      <w:r w:rsidRPr="00CC2B19">
        <w:rPr>
          <w:rFonts w:ascii="Book Antiqua" w:eastAsia="Book Antiqua" w:hAnsi="Book Antiqua" w:cs="Book Antiqua"/>
          <w:color w:val="000000"/>
        </w:rPr>
        <w:t>In recent decades, increasing application of next-generation sequencing (NGS) has enabled detection of molecular aberrations such as copy number gains or losses, somatic mutations, and gene fusions. For cases where tissue is not easily obtainable, cell-free DNA (cfDNA) is used for detecting mutations to determine the molecular profile of cancer</w:t>
      </w:r>
      <w:r w:rsidRPr="00CC2B19">
        <w:rPr>
          <w:rFonts w:ascii="Book Antiqua" w:eastAsia="Book Antiqua" w:hAnsi="Book Antiqua" w:cs="Book Antiqua"/>
          <w:color w:val="000000"/>
          <w:vertAlign w:val="superscript"/>
        </w:rPr>
        <w:t>[2]</w:t>
      </w:r>
      <w:r w:rsidRPr="00CC2B19">
        <w:rPr>
          <w:rFonts w:ascii="Book Antiqua" w:eastAsia="Book Antiqua" w:hAnsi="Book Antiqua" w:cs="Book Antiqua"/>
          <w:color w:val="000000"/>
        </w:rPr>
        <w:t>. Successful identification of oncogenic gene fusions can aid in diagnosis and molecular treatment of patients</w:t>
      </w:r>
      <w:r w:rsidRPr="00CC2B19">
        <w:rPr>
          <w:rFonts w:ascii="Book Antiqua" w:eastAsia="Book Antiqua" w:hAnsi="Book Antiqua" w:cs="Book Antiqua"/>
          <w:color w:val="000000"/>
          <w:vertAlign w:val="superscript"/>
        </w:rPr>
        <w:t>[3]</w:t>
      </w:r>
      <w:r w:rsidRPr="00CC2B19">
        <w:rPr>
          <w:rFonts w:ascii="Book Antiqua" w:eastAsia="Book Antiqua" w:hAnsi="Book Antiqua" w:cs="Book Antiqua"/>
          <w:color w:val="000000"/>
        </w:rPr>
        <w:t xml:space="preserve">. Here, we report a rare case of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detected from cfDNA analysis in a patient with gastric cancer. </w:t>
      </w:r>
    </w:p>
    <w:p w:rsidR="0044291D" w:rsidRPr="00CC2B19" w:rsidRDefault="0044291D">
      <w:pPr>
        <w:spacing w:line="360" w:lineRule="auto"/>
        <w:ind w:firstLine="120"/>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aps/>
          <w:color w:val="000000"/>
          <w:u w:val="single"/>
        </w:rPr>
        <w:t>CASE PRESENTATION</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i/>
          <w:color w:val="000000"/>
        </w:rPr>
        <w:t>Chief complaints</w:t>
      </w:r>
    </w:p>
    <w:p w:rsidR="0044291D" w:rsidRPr="00CC2B19" w:rsidRDefault="00CC4CA9">
      <w:pPr>
        <w:spacing w:line="360" w:lineRule="auto"/>
        <w:jc w:val="both"/>
        <w:rPr>
          <w:rFonts w:ascii="Book Antiqua" w:hAnsi="Book Antiqua"/>
        </w:rPr>
      </w:pPr>
      <w:bookmarkStart w:id="44" w:name="OLE_LINK394"/>
      <w:bookmarkStart w:id="45" w:name="OLE_LINK395"/>
      <w:r w:rsidRPr="00CC2B19">
        <w:rPr>
          <w:rFonts w:ascii="Book Antiqua" w:eastAsia="Book Antiqua" w:hAnsi="Book Antiqua" w:cs="Book Antiqua"/>
          <w:color w:val="000000"/>
        </w:rPr>
        <w:t xml:space="preserve">A 49-year-old female patient had been treated for advanced gastric cancer (AGC) with chemotherapy. After therapy, she expressed whole body pain, especially on the left side of the pelvis. </w:t>
      </w:r>
    </w:p>
    <w:bookmarkEnd w:id="44"/>
    <w:bookmarkEnd w:id="45"/>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i/>
          <w:color w:val="000000"/>
        </w:rPr>
        <w:t>History of present illness</w:t>
      </w:r>
    </w:p>
    <w:p w:rsidR="0044291D" w:rsidRPr="00CC2B19" w:rsidRDefault="00CC4CA9">
      <w:pPr>
        <w:spacing w:line="360" w:lineRule="auto"/>
        <w:jc w:val="both"/>
        <w:rPr>
          <w:rFonts w:ascii="Book Antiqua" w:hAnsi="Book Antiqua"/>
        </w:rPr>
      </w:pPr>
      <w:bookmarkStart w:id="46" w:name="OLE_LINK396"/>
      <w:bookmarkStart w:id="47" w:name="OLE_LINK397"/>
      <w:r w:rsidRPr="00CC2B19">
        <w:rPr>
          <w:rFonts w:ascii="Book Antiqua" w:eastAsia="Book Antiqua" w:hAnsi="Book Antiqua" w:cs="Book Antiqua"/>
          <w:color w:val="000000"/>
        </w:rPr>
        <w:t xml:space="preserve">This patient had been diagnosed with AGC in July 2019. The pathological diagnosis indicated signet ring cell carcinoma. While receiving her first round of chemotherapy with capecitabine, the patient developed acute pyelonephritis and hydronephrosis in both kidneys, leading to a suspicion of periureteral metastases. Therefore, the patient started a new regimen of combination chemotherapy with ramucirumab and paclitaxel. However, ascites was observed after two cycles of chemotherapy. The treatment was switched to nivolumab. After five cycles, an abdominopelvic computed tomography scan was performed in April 2020 that showed improvement in peritoneal carcinomatosis compared to an image from February 2020. She received seven cycles of nivolumab, but progressive disease was observed by the positron emission tomography/computed tomography scan, and other therapeutic options were needed to be discussed. </w:t>
      </w:r>
    </w:p>
    <w:bookmarkEnd w:id="46"/>
    <w:bookmarkEnd w:id="47"/>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i/>
          <w:color w:val="000000"/>
        </w:rPr>
        <w:t>History of past illness</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The patient did not have any other medical history beyond AGC.</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i/>
          <w:color w:val="000000"/>
        </w:rPr>
        <w:t>Personal and family history</w:t>
      </w:r>
    </w:p>
    <w:p w:rsidR="0044291D" w:rsidRPr="00CC2B19" w:rsidRDefault="00CC4CA9">
      <w:pPr>
        <w:spacing w:line="360" w:lineRule="auto"/>
        <w:jc w:val="both"/>
        <w:rPr>
          <w:rFonts w:ascii="Book Antiqua" w:hAnsi="Book Antiqua"/>
        </w:rPr>
      </w:pPr>
      <w:bookmarkStart w:id="48" w:name="OLE_LINK398"/>
      <w:bookmarkStart w:id="49" w:name="OLE_LINK399"/>
      <w:r w:rsidRPr="00CC2B19">
        <w:rPr>
          <w:rFonts w:ascii="Book Antiqua" w:eastAsia="Book Antiqua" w:hAnsi="Book Antiqua" w:cs="Book Antiqua"/>
          <w:color w:val="000000"/>
        </w:rPr>
        <w:t>The patient reported a family history of gastric cancer in her grandfather.</w:t>
      </w:r>
    </w:p>
    <w:bookmarkEnd w:id="48"/>
    <w:bookmarkEnd w:id="49"/>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i/>
          <w:color w:val="000000"/>
        </w:rPr>
        <w:t>Physical examination</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Physical examination revealed pain on the left side of the pelvis. </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i/>
          <w:color w:val="000000"/>
        </w:rPr>
        <w:t>Laboratory examinations</w:t>
      </w:r>
    </w:p>
    <w:p w:rsidR="0044291D" w:rsidRPr="00CC2B19" w:rsidRDefault="00CC4CA9">
      <w:pPr>
        <w:spacing w:line="360" w:lineRule="auto"/>
        <w:jc w:val="both"/>
        <w:rPr>
          <w:rFonts w:ascii="Book Antiqua" w:hAnsi="Book Antiqua"/>
        </w:rPr>
      </w:pPr>
      <w:bookmarkStart w:id="50" w:name="OLE_LINK400"/>
      <w:bookmarkStart w:id="51" w:name="OLE_LINK401"/>
      <w:r w:rsidRPr="00CC2B19">
        <w:rPr>
          <w:rFonts w:ascii="Book Antiqua" w:eastAsia="Book Antiqua" w:hAnsi="Book Antiqua" w:cs="Book Antiqua"/>
          <w:color w:val="000000"/>
        </w:rPr>
        <w:t>Blood analysis revealed mild leukocytosis (14 × 10</w:t>
      </w:r>
      <w:r w:rsidRPr="00CC2B19">
        <w:rPr>
          <w:rFonts w:ascii="Book Antiqua" w:eastAsia="Book Antiqua" w:hAnsi="Book Antiqua" w:cs="Book Antiqua"/>
          <w:color w:val="000000"/>
          <w:vertAlign w:val="superscript"/>
        </w:rPr>
        <w:t>9</w:t>
      </w:r>
      <w:r w:rsidRPr="00CC2B19">
        <w:rPr>
          <w:rFonts w:ascii="Book Antiqua" w:eastAsia="Book Antiqua" w:hAnsi="Book Antiqua" w:cs="Book Antiqua"/>
          <w:color w:val="000000"/>
        </w:rPr>
        <w:t xml:space="preserve">/L) with low hemoglobin (10.3 g/dL). Platelet count was in the normal range. Serum C-reactive protein was increased at 181 mg/L (normal range, 0.1-6.0 mg/L). </w:t>
      </w:r>
    </w:p>
    <w:bookmarkEnd w:id="50"/>
    <w:bookmarkEnd w:id="51"/>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i/>
          <w:color w:val="000000"/>
        </w:rPr>
        <w:t>Imaging examinations</w:t>
      </w:r>
    </w:p>
    <w:p w:rsidR="0044291D" w:rsidRPr="00CC2B19" w:rsidRDefault="00CC4CA9">
      <w:pPr>
        <w:spacing w:line="360" w:lineRule="auto"/>
        <w:jc w:val="both"/>
        <w:rPr>
          <w:rFonts w:ascii="Book Antiqua" w:hAnsi="Book Antiqua"/>
        </w:rPr>
      </w:pPr>
      <w:bookmarkStart w:id="52" w:name="OLE_LINK402"/>
      <w:r w:rsidRPr="00CC2B19">
        <w:rPr>
          <w:rFonts w:ascii="Book Antiqua" w:eastAsia="Book Antiqua" w:hAnsi="Book Antiqua" w:cs="Book Antiqua"/>
          <w:color w:val="000000"/>
        </w:rPr>
        <w:t xml:space="preserve">A positron emission tomography/computed tomography scan obtained in May 2020 revealed bone, multiple nodal, and right lateral abdominal wall soft tissue metastases after the patient had received seven cycles of nivolumab. The therapy was discontinued, and cfDNA NGS was performed immediately. </w:t>
      </w:r>
    </w:p>
    <w:bookmarkEnd w:id="52"/>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i/>
          <w:iCs/>
          <w:color w:val="000000"/>
        </w:rPr>
        <w:t xml:space="preserve">Further genetic diagnostic work-up </w:t>
      </w:r>
    </w:p>
    <w:p w:rsidR="0044291D" w:rsidRPr="00CC2B19" w:rsidRDefault="00CC4CA9">
      <w:pPr>
        <w:spacing w:line="360" w:lineRule="auto"/>
        <w:jc w:val="both"/>
        <w:rPr>
          <w:rFonts w:ascii="Book Antiqua" w:hAnsi="Book Antiqua"/>
        </w:rPr>
      </w:pPr>
      <w:bookmarkStart w:id="53" w:name="OLE_LINK403"/>
      <w:bookmarkStart w:id="54" w:name="OLE_LINK404"/>
      <w:r w:rsidRPr="00CC2B19">
        <w:rPr>
          <w:rFonts w:ascii="Book Antiqua" w:eastAsia="Book Antiqua" w:hAnsi="Book Antiqua" w:cs="Book Antiqua"/>
          <w:color w:val="000000"/>
        </w:rPr>
        <w:t xml:space="preserve">For genetic testing, the patient provided informed written consent for specimen collection and genetic analysis. This study was approved with a waiver of informed consent by the Institutional Review Board of Gangnam Severance Hospital, Seoul, Korea (IRB </w:t>
      </w:r>
      <w:r w:rsidR="00475324" w:rsidRPr="00CC2B19">
        <w:rPr>
          <w:rFonts w:ascii="Book Antiqua" w:hAnsi="Book Antiqua" w:cs="Book Antiqua" w:hint="eastAsia"/>
          <w:color w:val="000000"/>
          <w:lang w:eastAsia="zh-CN"/>
        </w:rPr>
        <w:t>N</w:t>
      </w:r>
      <w:r w:rsidRPr="00CC2B19">
        <w:rPr>
          <w:rFonts w:ascii="Book Antiqua" w:eastAsia="Book Antiqua" w:hAnsi="Book Antiqua" w:cs="Book Antiqua"/>
          <w:color w:val="000000"/>
        </w:rPr>
        <w:t>o. 3-2020-0268).</w:t>
      </w:r>
    </w:p>
    <w:p w:rsidR="0044291D" w:rsidRPr="00CC2B19" w:rsidRDefault="00CC4CA9">
      <w:pPr>
        <w:spacing w:line="360" w:lineRule="auto"/>
        <w:ind w:firstLineChars="200" w:firstLine="480"/>
        <w:jc w:val="both"/>
        <w:rPr>
          <w:rFonts w:ascii="Book Antiqua" w:hAnsi="Book Antiqua"/>
        </w:rPr>
      </w:pPr>
      <w:r w:rsidRPr="00CC2B19">
        <w:rPr>
          <w:rFonts w:ascii="Book Antiqua" w:eastAsia="Book Antiqua" w:hAnsi="Book Antiqua" w:cs="Book Antiqua"/>
          <w:color w:val="000000"/>
        </w:rPr>
        <w:t>cfDNA was extracted using the MagMAX Cell-Free Total Nucleic Acid Kit (Thermo Fisher Scientific, Waltham, MA, United States). A DNA library was constructed with the AlphaLiquid</w:t>
      </w:r>
      <w:r w:rsidRPr="00CC2B19">
        <w:rPr>
          <w:rFonts w:ascii="Book Antiqua" w:eastAsia="Book Antiqua" w:hAnsi="Book Antiqua" w:cs="Book Antiqua"/>
          <w:color w:val="000000"/>
          <w:vertAlign w:val="superscript"/>
        </w:rPr>
        <w:t>®</w:t>
      </w:r>
      <w:r w:rsidR="00DC2022" w:rsidRPr="00CC2B19">
        <w:rPr>
          <w:rFonts w:ascii="Book Antiqua" w:eastAsia="Book Antiqua" w:hAnsi="Book Antiqua" w:cs="Book Antiqua"/>
          <w:color w:val="000000"/>
        </w:rPr>
        <w:t>100 kit (IMB</w:t>
      </w:r>
      <w:r w:rsidRPr="00CC2B19">
        <w:rPr>
          <w:rFonts w:ascii="Book Antiqua" w:eastAsia="Book Antiqua" w:hAnsi="Book Antiqua" w:cs="Book Antiqua"/>
          <w:color w:val="000000"/>
        </w:rPr>
        <w:t>D</w:t>
      </w:r>
      <w:r w:rsidR="00DC2022" w:rsidRPr="00CC2B19">
        <w:rPr>
          <w:rFonts w:ascii="Book Antiqua" w:eastAsia="Book Antiqua" w:hAnsi="Book Antiqua" w:cs="Book Antiqua"/>
          <w:color w:val="000000"/>
        </w:rPr>
        <w:t>x</w:t>
      </w:r>
      <w:r w:rsidRPr="00CC2B19">
        <w:rPr>
          <w:rFonts w:ascii="Book Antiqua" w:eastAsia="Book Antiqua" w:hAnsi="Book Antiqua" w:cs="Book Antiqua"/>
          <w:color w:val="000000"/>
        </w:rPr>
        <w:t xml:space="preserve"> Inc., Seoul, Korea), which was designed to include intronic regions of target genes. Hybrid-capture-selected libraries were sequenced to a mean coverage of 14237</w:t>
      </w:r>
      <w:r w:rsidR="00DC2022" w:rsidRPr="00CC2B19">
        <w:rPr>
          <w:rFonts w:ascii="Book Antiqua" w:eastAsia="Book Antiqua" w:hAnsi="Book Antiqua" w:cs="Book Antiqua"/>
          <w:color w:val="000000"/>
        </w:rPr>
        <w:t>x</w:t>
      </w:r>
      <w:r w:rsidRPr="00CC2B19">
        <w:rPr>
          <w:rFonts w:ascii="Book Antiqua" w:eastAsia="Book Antiqua" w:hAnsi="Book Antiqua" w:cs="Book Antiqua"/>
          <w:color w:val="000000"/>
        </w:rPr>
        <w:t xml:space="preserve"> (cfDNA) and 735</w:t>
      </w:r>
      <w:r w:rsidR="00DC2022" w:rsidRPr="00CC2B19">
        <w:rPr>
          <w:rFonts w:ascii="Book Antiqua" w:eastAsia="Book Antiqua" w:hAnsi="Book Antiqua" w:cs="Book Antiqua"/>
          <w:color w:val="000000"/>
        </w:rPr>
        <w:t>x</w:t>
      </w:r>
      <w:r w:rsidRPr="00CC2B19">
        <w:rPr>
          <w:rFonts w:ascii="Book Antiqua" w:eastAsia="Book Antiqua" w:hAnsi="Book Antiqua" w:cs="Book Antiqua"/>
          <w:color w:val="000000"/>
        </w:rPr>
        <w:t xml:space="preserve"> (DNA) on an Illumina NextSeq-550 (Illumina, San Diego, CA, United States). GeneFuse was used to detect fusions</w:t>
      </w:r>
      <w:r w:rsidRPr="00CC2B19">
        <w:rPr>
          <w:rFonts w:ascii="Book Antiqua" w:eastAsia="Book Antiqua" w:hAnsi="Book Antiqua" w:cs="Book Antiqua"/>
          <w:color w:val="000000"/>
          <w:vertAlign w:val="superscript"/>
        </w:rPr>
        <w:t>[4]</w:t>
      </w:r>
      <w:r w:rsidRPr="00CC2B19">
        <w:rPr>
          <w:rFonts w:ascii="Book Antiqua" w:eastAsia="Book Antiqua" w:hAnsi="Book Antiqua" w:cs="Book Antiqua"/>
          <w:color w:val="000000"/>
        </w:rPr>
        <w:t xml:space="preserve">, and a Genome Reference Consortium Human Build 38 was used for variant interpretation. All genomic variants, including fusions, were analyzed from cfDNA. Because of the patient’s family history, the presence of germline mutation was tested in parallel for the following genes: </w:t>
      </w:r>
      <w:r w:rsidRPr="00CC2B19">
        <w:rPr>
          <w:rFonts w:ascii="Book Antiqua" w:eastAsia="Book Antiqua" w:hAnsi="Book Antiqua" w:cs="Book Antiqua"/>
          <w:i/>
          <w:iCs/>
          <w:color w:val="000000"/>
        </w:rPr>
        <w:t xml:space="preserve">APC, ATM, BRCA1, BRCA2, CDH1, CDK4, CDKN2A, </w:t>
      </w:r>
      <w:r w:rsidRPr="00CC2B19">
        <w:rPr>
          <w:rFonts w:ascii="Book Antiqua" w:eastAsia="Book Antiqua" w:hAnsi="Book Antiqua" w:cs="Book Antiqua"/>
          <w:color w:val="000000"/>
        </w:rPr>
        <w:t>and</w:t>
      </w:r>
      <w:r w:rsidRPr="00CC2B19">
        <w:rPr>
          <w:rFonts w:ascii="Book Antiqua" w:eastAsia="Book Antiqua" w:hAnsi="Book Antiqua" w:cs="Book Antiqua"/>
          <w:i/>
          <w:iCs/>
          <w:color w:val="000000"/>
        </w:rPr>
        <w:t xml:space="preserve"> MLH1.</w:t>
      </w:r>
      <w:r w:rsidRPr="00CC2B19">
        <w:rPr>
          <w:rFonts w:ascii="Book Antiqua" w:eastAsia="Book Antiqua" w:hAnsi="Book Antiqua" w:cs="Book Antiqua"/>
          <w:color w:val="000000"/>
        </w:rPr>
        <w:t xml:space="preserve"> No germline mutations were detected from the genomic DNA. Somatic alterations detected from the cfDNA were an </w:t>
      </w:r>
      <w:r w:rsidRPr="00CC2B19">
        <w:rPr>
          <w:rFonts w:ascii="Book Antiqua" w:eastAsia="Book Antiqua" w:hAnsi="Book Antiqua" w:cs="Book Antiqua"/>
          <w:i/>
          <w:iCs/>
          <w:color w:val="000000"/>
        </w:rPr>
        <w:t xml:space="preserve">APC </w:t>
      </w:r>
      <w:r w:rsidRPr="00CC2B19">
        <w:rPr>
          <w:rFonts w:ascii="Book Antiqua" w:eastAsia="Book Antiqua" w:hAnsi="Book Antiqua" w:cs="Book Antiqua"/>
          <w:color w:val="000000"/>
        </w:rPr>
        <w:t xml:space="preserve">frameshift mutation (NM_000038.5:c.6579del, p.V2194fs) with variant allele frequency of 0.5%, an </w:t>
      </w:r>
      <w:r w:rsidRPr="00CC2B19">
        <w:rPr>
          <w:rFonts w:ascii="Book Antiqua" w:eastAsia="Book Antiqua" w:hAnsi="Book Antiqua" w:cs="Book Antiqua"/>
          <w:i/>
          <w:iCs/>
          <w:color w:val="000000"/>
        </w:rPr>
        <w:t>EGFR</w:t>
      </w:r>
      <w:r w:rsidRPr="00CC2B19">
        <w:rPr>
          <w:rFonts w:ascii="Book Antiqua" w:eastAsia="Book Antiqua" w:hAnsi="Book Antiqua" w:cs="Book Antiqua"/>
          <w:color w:val="000000"/>
        </w:rPr>
        <w:t xml:space="preserve"> amplification with a copy number of 17.3, and an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with variant allele frequency of 45.3% (Figure 1A). Because the </w:t>
      </w:r>
      <w:r w:rsidRPr="00CC2B19">
        <w:rPr>
          <w:rFonts w:ascii="Book Antiqua" w:eastAsia="Book Antiqua" w:hAnsi="Book Antiqua" w:cs="Book Antiqua"/>
          <w:i/>
          <w:iCs/>
          <w:color w:val="000000"/>
        </w:rPr>
        <w:t>EGFR</w:t>
      </w:r>
      <w:r w:rsidRPr="00CC2B19">
        <w:rPr>
          <w:rFonts w:ascii="Book Antiqua" w:eastAsia="Book Antiqua" w:hAnsi="Book Antiqua" w:cs="Book Antiqua"/>
          <w:color w:val="000000"/>
        </w:rPr>
        <w:t xml:space="preserve"> and </w:t>
      </w:r>
      <w:r w:rsidRPr="00CC2B19">
        <w:rPr>
          <w:rFonts w:ascii="Book Antiqua" w:eastAsia="Book Antiqua" w:hAnsi="Book Antiqua" w:cs="Book Antiqua"/>
          <w:i/>
          <w:iCs/>
          <w:color w:val="000000"/>
        </w:rPr>
        <w:t>SEPT14</w:t>
      </w:r>
      <w:r w:rsidRPr="00CC2B19">
        <w:rPr>
          <w:rFonts w:ascii="Book Antiqua" w:eastAsia="Book Antiqua" w:hAnsi="Book Antiqua" w:cs="Book Antiqua"/>
          <w:color w:val="000000"/>
        </w:rPr>
        <w:t xml:space="preserve"> genes are closely located on chromosome 7, we tested 50 normal healthy controls with the same panel and confirmed that the fusion detected in the patient was a true positive. We also confirmed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by complementary DNA sequencing, which was processed using the patient’s cell-free RNA extracted by MagMAX Cell-Free Total Nucleic Acid Kit. The site of fusion was exon 24 of </w:t>
      </w:r>
      <w:r w:rsidRPr="00CC2B19">
        <w:rPr>
          <w:rFonts w:ascii="Book Antiqua" w:eastAsia="Book Antiqua" w:hAnsi="Book Antiqua" w:cs="Book Antiqua"/>
          <w:i/>
          <w:iCs/>
          <w:color w:val="000000"/>
        </w:rPr>
        <w:t xml:space="preserve">EGFR </w:t>
      </w:r>
      <w:r w:rsidRPr="00CC2B19">
        <w:rPr>
          <w:rFonts w:ascii="Book Antiqua" w:eastAsia="Book Antiqua" w:hAnsi="Book Antiqua" w:cs="Book Antiqua"/>
          <w:color w:val="000000"/>
        </w:rPr>
        <w:t xml:space="preserve">fused to exon 10 of </w:t>
      </w:r>
      <w:r w:rsidRPr="00CC2B19">
        <w:rPr>
          <w:rFonts w:ascii="Book Antiqua" w:eastAsia="Book Antiqua" w:hAnsi="Book Antiqua" w:cs="Book Antiqua"/>
          <w:i/>
          <w:iCs/>
          <w:color w:val="000000"/>
        </w:rPr>
        <w:t xml:space="preserve">SEPT14 </w:t>
      </w:r>
      <w:r w:rsidRPr="00CC2B19">
        <w:rPr>
          <w:rFonts w:ascii="Book Antiqua" w:eastAsia="Book Antiqua" w:hAnsi="Book Antiqua" w:cs="Book Antiqua"/>
          <w:color w:val="000000"/>
        </w:rPr>
        <w:t>(Figure 1B)</w:t>
      </w:r>
      <w:r w:rsidRPr="00CC2B19">
        <w:rPr>
          <w:rFonts w:ascii="Book Antiqua" w:eastAsia="Book Antiqua" w:hAnsi="Book Antiqua" w:cs="Book Antiqua"/>
          <w:i/>
          <w:iCs/>
          <w:color w:val="000000"/>
        </w:rPr>
        <w:t xml:space="preserve">. </w:t>
      </w:r>
      <w:r w:rsidRPr="00CC2B19">
        <w:rPr>
          <w:rFonts w:ascii="Book Antiqua" w:eastAsia="Book Antiqua" w:hAnsi="Book Antiqua" w:cs="Book Antiqua"/>
          <w:color w:val="000000"/>
        </w:rPr>
        <w:t xml:space="preserve">The fusion was in-frame and considered to be proto-oncogenic. </w:t>
      </w:r>
    </w:p>
    <w:bookmarkEnd w:id="53"/>
    <w:bookmarkEnd w:id="54"/>
    <w:p w:rsidR="0044291D" w:rsidRPr="00CC2B19" w:rsidRDefault="0044291D">
      <w:pPr>
        <w:spacing w:line="360" w:lineRule="auto"/>
        <w:ind w:firstLine="120"/>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aps/>
          <w:color w:val="000000"/>
          <w:u w:val="single"/>
        </w:rPr>
        <w:t>FINAL DIAGNOSIS</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The final diagnosis of the present case was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in AGC.</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aps/>
          <w:color w:val="000000"/>
          <w:u w:val="single"/>
        </w:rPr>
        <w:t>TREATMENT</w:t>
      </w:r>
    </w:p>
    <w:p w:rsidR="0044291D" w:rsidRPr="00CC2B19" w:rsidRDefault="00CC4CA9">
      <w:pPr>
        <w:spacing w:line="360" w:lineRule="auto"/>
        <w:jc w:val="both"/>
        <w:rPr>
          <w:rFonts w:ascii="Book Antiqua" w:hAnsi="Book Antiqua"/>
        </w:rPr>
      </w:pPr>
      <w:bookmarkStart w:id="55" w:name="OLE_LINK406"/>
      <w:bookmarkStart w:id="56" w:name="OLE_LINK405"/>
      <w:r w:rsidRPr="00CC2B19">
        <w:rPr>
          <w:rFonts w:ascii="Book Antiqua" w:eastAsia="Book Antiqua" w:hAnsi="Book Antiqua" w:cs="Book Antiqua"/>
          <w:color w:val="000000"/>
        </w:rPr>
        <w:t>The patient refused further treatment.</w:t>
      </w:r>
    </w:p>
    <w:bookmarkEnd w:id="55"/>
    <w:bookmarkEnd w:id="56"/>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aps/>
          <w:color w:val="000000"/>
          <w:u w:val="single"/>
        </w:rPr>
        <w:t>OUTCOME AND FOLLOW-UP</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The patient could have tried </w:t>
      </w:r>
      <w:r w:rsidRPr="00CC2B19">
        <w:rPr>
          <w:rFonts w:ascii="Book Antiqua" w:eastAsia="Book Antiqua" w:hAnsi="Book Antiqua" w:cs="Book Antiqua"/>
          <w:i/>
          <w:iCs/>
          <w:color w:val="000000"/>
        </w:rPr>
        <w:t>EGFR</w:t>
      </w:r>
      <w:r w:rsidRPr="00CC2B19">
        <w:rPr>
          <w:rFonts w:ascii="Book Antiqua" w:eastAsia="Book Antiqua" w:hAnsi="Book Antiqua" w:cs="Book Antiqua"/>
          <w:color w:val="000000"/>
        </w:rPr>
        <w:t xml:space="preserve"> target</w:t>
      </w:r>
      <w:r w:rsidR="00DC2022" w:rsidRPr="00CC2B19">
        <w:rPr>
          <w:rFonts w:ascii="Book Antiqua" w:hAnsi="Book Antiqua" w:cs="Book Antiqua" w:hint="eastAsia"/>
          <w:color w:val="000000"/>
          <w:lang w:eastAsia="zh-CN"/>
        </w:rPr>
        <w:t>ed</w:t>
      </w:r>
      <w:r w:rsidRPr="00CC2B19">
        <w:rPr>
          <w:rFonts w:ascii="Book Antiqua" w:eastAsia="Book Antiqua" w:hAnsi="Book Antiqua" w:cs="Book Antiqua"/>
          <w:color w:val="000000"/>
        </w:rPr>
        <w:t xml:space="preserve"> therapy such as erlotinib, which has been used in other types of carcinomas with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w:t>
      </w:r>
      <w:r w:rsidRPr="00CC2B19">
        <w:rPr>
          <w:rFonts w:ascii="Book Antiqua" w:eastAsia="Book Antiqua" w:hAnsi="Book Antiqua" w:cs="Book Antiqua"/>
          <w:color w:val="000000"/>
          <w:vertAlign w:val="superscript"/>
        </w:rPr>
        <w:t>[5]</w:t>
      </w:r>
      <w:r w:rsidRPr="00CC2B19">
        <w:rPr>
          <w:rFonts w:ascii="Book Antiqua" w:eastAsia="Book Antiqua" w:hAnsi="Book Antiqua" w:cs="Book Antiqua"/>
          <w:color w:val="000000"/>
        </w:rPr>
        <w:t>, but she refused further treatment and passed away about 1 mo</w:t>
      </w:r>
      <w:r w:rsidR="00DC2022" w:rsidRPr="00CC2B19">
        <w:rPr>
          <w:rFonts w:ascii="Book Antiqua" w:hAnsi="Book Antiqua" w:cs="Book Antiqua" w:hint="eastAsia"/>
          <w:color w:val="000000"/>
          <w:lang w:eastAsia="zh-CN"/>
        </w:rPr>
        <w:t>nth</w:t>
      </w:r>
      <w:r w:rsidRPr="00CC2B19">
        <w:rPr>
          <w:rFonts w:ascii="Book Antiqua" w:eastAsia="Book Antiqua" w:hAnsi="Book Antiqua" w:cs="Book Antiqua"/>
          <w:color w:val="000000"/>
        </w:rPr>
        <w:t xml:space="preserve"> after discontinuation of nivolumab. </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aps/>
          <w:color w:val="000000"/>
          <w:u w:val="single"/>
        </w:rPr>
        <w:t>DISCUSSION</w:t>
      </w:r>
    </w:p>
    <w:p w:rsidR="0044291D" w:rsidRPr="00CC2B19" w:rsidRDefault="00CC4CA9">
      <w:pPr>
        <w:spacing w:line="360" w:lineRule="auto"/>
        <w:jc w:val="both"/>
        <w:rPr>
          <w:rFonts w:ascii="Book Antiqua" w:hAnsi="Book Antiqua"/>
        </w:rPr>
      </w:pPr>
      <w:bookmarkStart w:id="57" w:name="OLE_LINK407"/>
      <w:bookmarkStart w:id="58" w:name="OLE_LINK408"/>
      <w:r w:rsidRPr="00CC2B19">
        <w:rPr>
          <w:rFonts w:ascii="Book Antiqua" w:eastAsia="Book Antiqua" w:hAnsi="Book Antiqua" w:cs="Book Antiqua"/>
          <w:i/>
          <w:color w:val="000000"/>
        </w:rPr>
        <w:t>EGFR1</w:t>
      </w:r>
      <w:r w:rsidRPr="00CC2B19">
        <w:rPr>
          <w:rFonts w:ascii="Book Antiqua" w:eastAsia="Book Antiqua" w:hAnsi="Book Antiqua" w:cs="Book Antiqua"/>
          <w:color w:val="000000"/>
        </w:rPr>
        <w:t xml:space="preserve"> (</w:t>
      </w:r>
      <w:r w:rsidRPr="00CC2B19">
        <w:rPr>
          <w:rFonts w:ascii="Book Antiqua" w:eastAsia="Book Antiqua" w:hAnsi="Book Antiqua" w:cs="Book Antiqua"/>
          <w:i/>
          <w:color w:val="000000"/>
        </w:rPr>
        <w:t>EGFR</w:t>
      </w:r>
      <w:r w:rsidRPr="00CC2B19">
        <w:rPr>
          <w:rFonts w:ascii="Book Antiqua" w:eastAsia="Book Antiqua" w:hAnsi="Book Antiqua" w:cs="Book Antiqua"/>
          <w:color w:val="000000"/>
        </w:rPr>
        <w:t xml:space="preserve">; </w:t>
      </w:r>
      <w:r w:rsidRPr="00CC2B19">
        <w:rPr>
          <w:rFonts w:ascii="Book Antiqua" w:eastAsia="Book Antiqua" w:hAnsi="Book Antiqua" w:cs="Book Antiqua"/>
          <w:i/>
          <w:color w:val="000000"/>
        </w:rPr>
        <w:t>ErbB1</w:t>
      </w:r>
      <w:r w:rsidRPr="00CC2B19">
        <w:rPr>
          <w:rFonts w:ascii="Book Antiqua" w:eastAsia="Book Antiqua" w:hAnsi="Book Antiqua" w:cs="Book Antiqua"/>
          <w:color w:val="000000"/>
        </w:rPr>
        <w:t xml:space="preserve">; </w:t>
      </w:r>
      <w:r w:rsidRPr="00CC2B19">
        <w:rPr>
          <w:rFonts w:ascii="Book Antiqua" w:eastAsia="Book Antiqua" w:hAnsi="Book Antiqua" w:cs="Book Antiqua"/>
          <w:i/>
          <w:color w:val="000000"/>
        </w:rPr>
        <w:t>HER1</w:t>
      </w:r>
      <w:r w:rsidRPr="00CC2B19">
        <w:rPr>
          <w:rFonts w:ascii="Book Antiqua" w:eastAsia="Book Antiqua" w:hAnsi="Book Antiqua" w:cs="Book Antiqua"/>
          <w:color w:val="000000"/>
        </w:rPr>
        <w:t xml:space="preserve">) is one of four transmembrane growth factor receptor proteins that constitute the </w:t>
      </w:r>
      <w:r w:rsidR="009D6F88" w:rsidRPr="00CC2B19">
        <w:rPr>
          <w:rFonts w:ascii="Book Antiqua" w:eastAsia="Book Antiqua" w:hAnsi="Book Antiqua" w:cs="Book Antiqua"/>
          <w:i/>
          <w:iCs/>
          <w:color w:val="000000"/>
        </w:rPr>
        <w:t>EGFR</w:t>
      </w:r>
      <w:r w:rsidRPr="00CC2B19">
        <w:rPr>
          <w:rFonts w:ascii="Book Antiqua" w:eastAsia="Book Antiqua" w:hAnsi="Book Antiqua" w:cs="Book Antiqua"/>
          <w:color w:val="000000"/>
        </w:rPr>
        <w:t xml:space="preserve"> family of receptor tyrosine kinases</w:t>
      </w:r>
      <w:r w:rsidRPr="00CC2B19">
        <w:rPr>
          <w:rFonts w:ascii="Book Antiqua" w:eastAsia="Book Antiqua" w:hAnsi="Book Antiqua" w:cs="Book Antiqua"/>
          <w:color w:val="000000"/>
          <w:vertAlign w:val="superscript"/>
        </w:rPr>
        <w:t>[6]</w:t>
      </w:r>
      <w:r w:rsidRPr="00CC2B19">
        <w:rPr>
          <w:rFonts w:ascii="Book Antiqua" w:eastAsia="Book Antiqua" w:hAnsi="Book Antiqua" w:cs="Book Antiqua"/>
          <w:color w:val="000000"/>
        </w:rPr>
        <w:t xml:space="preserve">. Activation of </w:t>
      </w:r>
      <w:r w:rsidRPr="00CC2B19">
        <w:rPr>
          <w:rFonts w:ascii="Book Antiqua" w:eastAsia="Book Antiqua" w:hAnsi="Book Antiqua" w:cs="Book Antiqua"/>
          <w:i/>
          <w:color w:val="000000"/>
        </w:rPr>
        <w:t>EGFR</w:t>
      </w:r>
      <w:r w:rsidRPr="00CC2B19">
        <w:rPr>
          <w:rFonts w:ascii="Book Antiqua" w:eastAsia="Book Antiqua" w:hAnsi="Book Antiqua" w:cs="Book Antiqua"/>
          <w:color w:val="000000"/>
        </w:rPr>
        <w:t xml:space="preserve"> leads to cell proliferation, differentiation, motility, and metastasis</w:t>
      </w:r>
      <w:r w:rsidRPr="00CC2B19">
        <w:rPr>
          <w:rFonts w:ascii="Book Antiqua" w:eastAsia="Book Antiqua" w:hAnsi="Book Antiqua" w:cs="Book Antiqua"/>
          <w:color w:val="000000"/>
          <w:vertAlign w:val="superscript"/>
        </w:rPr>
        <w:t>[7]</w:t>
      </w:r>
      <w:r w:rsidRPr="00CC2B19">
        <w:rPr>
          <w:rFonts w:ascii="Book Antiqua" w:eastAsia="Book Antiqua" w:hAnsi="Book Antiqua" w:cs="Book Antiqua"/>
          <w:color w:val="000000"/>
        </w:rPr>
        <w:t xml:space="preserve">. </w:t>
      </w:r>
      <w:r w:rsidRPr="00CC2B19">
        <w:rPr>
          <w:rFonts w:ascii="Book Antiqua" w:eastAsia="Book Antiqua" w:hAnsi="Book Antiqua" w:cs="Book Antiqua"/>
          <w:i/>
          <w:color w:val="000000"/>
        </w:rPr>
        <w:t>SEPT14</w:t>
      </w:r>
      <w:r w:rsidRPr="00CC2B19">
        <w:rPr>
          <w:rFonts w:ascii="Book Antiqua" w:eastAsia="Book Antiqua" w:hAnsi="Book Antiqua" w:cs="Book Antiqua"/>
          <w:color w:val="000000"/>
        </w:rPr>
        <w:t xml:space="preserve"> is a member of a highly conserved septin family of guanosine 5’-triphosphate-binding cytoskeletal proteins with multiple cellular functions, such as membrane transport, apoptosis, cell polarity, cell cycle regulation, cytokinesis, and oncogenesis</w:t>
      </w:r>
      <w:r w:rsidRPr="00CC2B19">
        <w:rPr>
          <w:rFonts w:ascii="Book Antiqua" w:eastAsia="Book Antiqua" w:hAnsi="Book Antiqua" w:cs="Book Antiqua"/>
          <w:color w:val="000000"/>
          <w:vertAlign w:val="superscript"/>
        </w:rPr>
        <w:t>[8]</w:t>
      </w:r>
      <w:r w:rsidRPr="00CC2B19">
        <w:rPr>
          <w:rFonts w:ascii="Book Antiqua" w:eastAsia="Book Antiqua" w:hAnsi="Book Antiqua" w:cs="Book Antiqua"/>
          <w:color w:val="000000"/>
        </w:rPr>
        <w:t xml:space="preserve">. Among all septins, </w:t>
      </w:r>
      <w:r w:rsidRPr="00CC2B19">
        <w:rPr>
          <w:rFonts w:ascii="Book Antiqua" w:eastAsia="Book Antiqua" w:hAnsi="Book Antiqua" w:cs="Book Antiqua"/>
          <w:i/>
          <w:iCs/>
          <w:color w:val="000000"/>
        </w:rPr>
        <w:t xml:space="preserve">SEPT14 </w:t>
      </w:r>
      <w:r w:rsidRPr="00CC2B19">
        <w:rPr>
          <w:rFonts w:ascii="Book Antiqua" w:eastAsia="Book Antiqua" w:hAnsi="Book Antiqua" w:cs="Book Antiqua"/>
          <w:color w:val="000000"/>
        </w:rPr>
        <w:t xml:space="preserve">shows the highest mutation frequency in skin cancer followed by </w:t>
      </w:r>
      <w:r w:rsidRPr="00CC2B19">
        <w:rPr>
          <w:rFonts w:ascii="Book Antiqua" w:eastAsia="Book Antiqua" w:hAnsi="Book Antiqua" w:cs="Book Antiqua"/>
          <w:i/>
          <w:iCs/>
          <w:color w:val="000000"/>
        </w:rPr>
        <w:t>SEPT9</w:t>
      </w:r>
      <w:r w:rsidRPr="00CC2B19">
        <w:rPr>
          <w:rFonts w:ascii="Book Antiqua" w:eastAsia="Book Antiqua" w:hAnsi="Book Antiqua" w:cs="Book Antiqua"/>
          <w:color w:val="000000"/>
        </w:rPr>
        <w:t xml:space="preserve"> exhibiting high mutation frequency in stomach cancer</w:t>
      </w:r>
      <w:r w:rsidRPr="00CC2B19">
        <w:rPr>
          <w:rFonts w:ascii="Book Antiqua" w:eastAsia="Book Antiqua" w:hAnsi="Book Antiqua" w:cs="Book Antiqua"/>
          <w:color w:val="000000"/>
          <w:vertAlign w:val="superscript"/>
        </w:rPr>
        <w:t>[9]</w:t>
      </w:r>
      <w:r w:rsidRPr="00CC2B19">
        <w:rPr>
          <w:rFonts w:ascii="Book Antiqua" w:eastAsia="Book Antiqua" w:hAnsi="Book Antiqua" w:cs="Book Antiqua"/>
          <w:color w:val="000000"/>
        </w:rPr>
        <w:t xml:space="preserve">. </w:t>
      </w:r>
    </w:p>
    <w:p w:rsidR="0044291D" w:rsidRPr="00CC2B19" w:rsidRDefault="00CC4CA9">
      <w:pPr>
        <w:spacing w:line="360" w:lineRule="auto"/>
        <w:ind w:firstLineChars="200" w:firstLine="480"/>
        <w:jc w:val="both"/>
        <w:rPr>
          <w:rFonts w:ascii="Book Antiqua" w:hAnsi="Book Antiqua"/>
        </w:rPr>
      </w:pPr>
      <w:r w:rsidRPr="00CC2B19">
        <w:rPr>
          <w:rFonts w:ascii="Book Antiqua" w:eastAsia="Book Antiqua" w:hAnsi="Book Antiqua" w:cs="Book Antiqua"/>
          <w:color w:val="000000"/>
        </w:rPr>
        <w:t>The</w:t>
      </w:r>
      <w:r w:rsidRPr="00CC2B19">
        <w:rPr>
          <w:rFonts w:ascii="Book Antiqua" w:eastAsia="Book Antiqua" w:hAnsi="Book Antiqua" w:cs="Book Antiqua"/>
          <w:i/>
          <w:iCs/>
          <w:color w:val="000000"/>
        </w:rPr>
        <w:t xml:space="preserve"> EGFR-SEPT14</w:t>
      </w:r>
      <w:r w:rsidRPr="00CC2B19">
        <w:rPr>
          <w:rFonts w:ascii="Book Antiqua" w:eastAsia="Book Antiqua" w:hAnsi="Book Antiqua" w:cs="Book Antiqua"/>
          <w:color w:val="000000"/>
        </w:rPr>
        <w:t xml:space="preserve"> fusion was first reported in glioblastoma in which the site of fusion was the tyrosine kinase domain of </w:t>
      </w:r>
      <w:r w:rsidRPr="00CC2B19">
        <w:rPr>
          <w:rFonts w:ascii="Book Antiqua" w:eastAsia="Book Antiqua" w:hAnsi="Book Antiqua" w:cs="Book Antiqua"/>
          <w:i/>
          <w:iCs/>
          <w:color w:val="000000"/>
        </w:rPr>
        <w:t>EGFR</w:t>
      </w:r>
      <w:r w:rsidRPr="00CC2B19">
        <w:rPr>
          <w:rFonts w:ascii="Book Antiqua" w:eastAsia="Book Antiqua" w:hAnsi="Book Antiqua" w:cs="Book Antiqua"/>
          <w:color w:val="000000"/>
        </w:rPr>
        <w:t xml:space="preserve"> and the coiled-coil domain of </w:t>
      </w:r>
      <w:r w:rsidRPr="00CC2B19">
        <w:rPr>
          <w:rFonts w:ascii="Book Antiqua" w:eastAsia="Book Antiqua" w:hAnsi="Book Antiqua" w:cs="Book Antiqua"/>
          <w:i/>
          <w:iCs/>
          <w:color w:val="000000"/>
        </w:rPr>
        <w:t>SEPT14.</w:t>
      </w:r>
      <w:r w:rsidRPr="00CC2B19">
        <w:rPr>
          <w:rFonts w:ascii="Book Antiqua" w:eastAsia="Book Antiqua" w:hAnsi="Book Antiqua" w:cs="Book Antiqua"/>
          <w:color w:val="000000"/>
        </w:rPr>
        <w:t xml:space="preserve"> The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is the most frequent functional gene fusion in human glioblastoma</w:t>
      </w:r>
      <w:r w:rsidRPr="00CC2B19">
        <w:rPr>
          <w:rFonts w:ascii="Book Antiqua" w:eastAsia="Book Antiqua" w:hAnsi="Book Antiqua" w:cs="Book Antiqua"/>
          <w:color w:val="000000"/>
          <w:vertAlign w:val="superscript"/>
        </w:rPr>
        <w:t>[10]</w:t>
      </w:r>
      <w:r w:rsidRPr="00CC2B19">
        <w:rPr>
          <w:rFonts w:ascii="Book Antiqua" w:eastAsia="Book Antiqua" w:hAnsi="Book Antiqua" w:cs="Book Antiqua"/>
          <w:color w:val="000000"/>
        </w:rPr>
        <w:t xml:space="preserve">. The </w:t>
      </w:r>
      <w:r w:rsidRPr="00CC2B19">
        <w:rPr>
          <w:rFonts w:ascii="Book Antiqua" w:eastAsia="Book Antiqua" w:hAnsi="Book Antiqua" w:cs="Book Antiqua"/>
          <w:i/>
          <w:iCs/>
          <w:color w:val="000000"/>
        </w:rPr>
        <w:t xml:space="preserve">EGFR-SEPT14 </w:t>
      </w:r>
      <w:r w:rsidRPr="00CC2B19">
        <w:rPr>
          <w:rFonts w:ascii="Book Antiqua" w:eastAsia="Book Antiqua" w:hAnsi="Book Antiqua" w:cs="Book Antiqua"/>
          <w:color w:val="000000"/>
        </w:rPr>
        <w:t xml:space="preserve">fusion was also identified in tissue from salivary gland secretory carcinoma using fluorescence in situ hybridization. That previous case indicated that a tumor harboring this fusion would be sensitive to </w:t>
      </w:r>
      <w:r w:rsidRPr="00CC2B19">
        <w:rPr>
          <w:rFonts w:ascii="Book Antiqua" w:eastAsia="Book Antiqua" w:hAnsi="Book Antiqua" w:cs="Book Antiqua"/>
          <w:i/>
          <w:color w:val="000000"/>
        </w:rPr>
        <w:t>EGFR</w:t>
      </w:r>
      <w:r w:rsidRPr="00CC2B19">
        <w:rPr>
          <w:rFonts w:ascii="Book Antiqua" w:eastAsia="Book Antiqua" w:hAnsi="Book Antiqua" w:cs="Book Antiqua"/>
          <w:color w:val="000000"/>
        </w:rPr>
        <w:t xml:space="preserve"> inhibitors</w:t>
      </w:r>
      <w:r w:rsidRPr="00CC2B19">
        <w:rPr>
          <w:rFonts w:ascii="Book Antiqua" w:eastAsia="Book Antiqua" w:hAnsi="Book Antiqua" w:cs="Book Antiqua"/>
          <w:color w:val="000000"/>
          <w:vertAlign w:val="superscript"/>
        </w:rPr>
        <w:t>[11]</w:t>
      </w:r>
      <w:r w:rsidRPr="00CC2B19">
        <w:rPr>
          <w:rFonts w:ascii="Book Antiqua" w:eastAsia="Book Antiqua" w:hAnsi="Book Antiqua" w:cs="Book Antiqua"/>
          <w:color w:val="000000"/>
        </w:rPr>
        <w:t xml:space="preserve">. Recently, the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was reported in colorectal adenocarcinoma by using a comprehensive NGS assay on tumor samples</w:t>
      </w:r>
      <w:r w:rsidRPr="00CC2B19">
        <w:rPr>
          <w:rFonts w:ascii="Book Antiqua" w:eastAsia="Book Antiqua" w:hAnsi="Book Antiqua" w:cs="Book Antiqua"/>
          <w:color w:val="000000"/>
          <w:vertAlign w:val="superscript"/>
        </w:rPr>
        <w:t>[5]</w:t>
      </w:r>
      <w:r w:rsidRPr="00CC2B19">
        <w:rPr>
          <w:rFonts w:ascii="Book Antiqua" w:eastAsia="Book Antiqua" w:hAnsi="Book Antiqua" w:cs="Book Antiqua"/>
          <w:color w:val="000000"/>
        </w:rPr>
        <w:t>.</w:t>
      </w:r>
    </w:p>
    <w:p w:rsidR="0044291D" w:rsidRPr="00CC2B19" w:rsidRDefault="00CC4CA9">
      <w:pPr>
        <w:spacing w:line="360" w:lineRule="auto"/>
        <w:ind w:firstLineChars="200" w:firstLine="480"/>
        <w:jc w:val="both"/>
        <w:rPr>
          <w:rFonts w:ascii="Book Antiqua" w:hAnsi="Book Antiqua"/>
        </w:rPr>
      </w:pPr>
      <w:r w:rsidRPr="00CC2B19">
        <w:rPr>
          <w:rFonts w:ascii="Book Antiqua" w:eastAsia="Book Antiqua" w:hAnsi="Book Antiqua" w:cs="Book Antiqua"/>
          <w:color w:val="000000"/>
        </w:rPr>
        <w:t xml:space="preserve">In the present study, the tissue biopsy of the patient was difficult. Therefore, we used a comprehensive NGS assay with a sample of cfDNA from the patient. We identified an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in AGC. To our knowledge, this is the first case of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identified in a cfDNA sample from an AGC patient. The patient went through unusually rapid disease progression, and this progression might have been caused by the fusion mutation. Unfortunately, because the patient refused to continue therapy, we could not determine whether the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responded to </w:t>
      </w:r>
      <w:r w:rsidRPr="00CC2B19">
        <w:rPr>
          <w:rFonts w:ascii="Book Antiqua" w:eastAsia="Book Antiqua" w:hAnsi="Book Antiqua" w:cs="Book Antiqua"/>
          <w:i/>
          <w:color w:val="000000"/>
        </w:rPr>
        <w:t>EGFR</w:t>
      </w:r>
      <w:r w:rsidRPr="00CC2B19">
        <w:rPr>
          <w:rFonts w:ascii="Book Antiqua" w:eastAsia="Book Antiqua" w:hAnsi="Book Antiqua" w:cs="Book Antiqua"/>
          <w:color w:val="000000"/>
        </w:rPr>
        <w:t xml:space="preserve"> targeted therapies, such as tyrosine kinase inhibitors. However, the use of such therapies might have been effective in AGC with an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because there was a report of a patient with colorectal cancer with an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treated with erlotinib therapy. The fusion site reported in that study is the same as that in the present study, and the patient was administered erlotinib therapy to which the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is known to be sensitive</w:t>
      </w:r>
      <w:r w:rsidRPr="00CC2B19">
        <w:rPr>
          <w:rFonts w:ascii="Book Antiqua" w:eastAsia="Book Antiqua" w:hAnsi="Book Antiqua" w:cs="Book Antiqua"/>
          <w:color w:val="000000"/>
          <w:vertAlign w:val="superscript"/>
        </w:rPr>
        <w:t>[10]</w:t>
      </w:r>
      <w:r w:rsidRPr="00CC2B19">
        <w:rPr>
          <w:rFonts w:ascii="Book Antiqua" w:eastAsia="Book Antiqua" w:hAnsi="Book Antiqua" w:cs="Book Antiqua"/>
          <w:color w:val="000000"/>
        </w:rPr>
        <w:t xml:space="preserve">. However, soon after treatment, an </w:t>
      </w:r>
      <w:r w:rsidRPr="00CC2B19">
        <w:rPr>
          <w:rFonts w:ascii="Book Antiqua" w:eastAsia="Book Antiqua" w:hAnsi="Book Antiqua" w:cs="Book Antiqua"/>
          <w:i/>
          <w:iCs/>
          <w:color w:val="000000"/>
        </w:rPr>
        <w:t>EGFR</w:t>
      </w:r>
      <w:r w:rsidRPr="00CC2B19">
        <w:rPr>
          <w:rFonts w:ascii="Book Antiqua" w:eastAsia="Book Antiqua" w:hAnsi="Book Antiqua" w:cs="Book Antiqua"/>
          <w:color w:val="000000"/>
        </w:rPr>
        <w:t xml:space="preserve"> variant III was detected and can result in resistance to erlotinib</w:t>
      </w:r>
      <w:r w:rsidRPr="00CC2B19">
        <w:rPr>
          <w:rFonts w:ascii="Book Antiqua" w:eastAsia="Book Antiqua" w:hAnsi="Book Antiqua" w:cs="Book Antiqua"/>
          <w:color w:val="000000"/>
          <w:vertAlign w:val="superscript"/>
        </w:rPr>
        <w:t>[5]</w:t>
      </w:r>
      <w:r w:rsidRPr="00CC2B19">
        <w:rPr>
          <w:rFonts w:ascii="Book Antiqua" w:eastAsia="Book Antiqua" w:hAnsi="Book Antiqua" w:cs="Book Antiqua"/>
          <w:color w:val="000000"/>
        </w:rPr>
        <w:t>. To confirm the treatment effect and disease progression in AGC, further studies are needed.</w:t>
      </w:r>
    </w:p>
    <w:p w:rsidR="0044291D" w:rsidRPr="00CC2B19" w:rsidRDefault="00CC4CA9">
      <w:pPr>
        <w:spacing w:line="360" w:lineRule="auto"/>
        <w:ind w:firstLineChars="200" w:firstLine="480"/>
        <w:jc w:val="both"/>
        <w:rPr>
          <w:rFonts w:ascii="Book Antiqua" w:hAnsi="Book Antiqua"/>
        </w:rPr>
      </w:pPr>
      <w:r w:rsidRPr="00CC2B19">
        <w:rPr>
          <w:rFonts w:ascii="Book Antiqua" w:eastAsia="Book Antiqua" w:hAnsi="Book Antiqua" w:cs="Book Antiqua"/>
          <w:color w:val="000000"/>
        </w:rPr>
        <w:t xml:space="preserve">Nevertheless, detection of genomic fusion by the well-established cfDNA NGS assay confirmed that cfDNA can serve as an alternate source for detecting gene aberrations, including fusions. Furthermore,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has been reported in various types of cancer. Therefore, expanded applications of cfDNA assays should be considered regardless of cancer type. We also suggest that genomic variants including fusions can be therapeutic targets in AGC, which may open a new horizon in treatment. </w:t>
      </w:r>
    </w:p>
    <w:p w:rsidR="0044291D" w:rsidRPr="00CC2B19" w:rsidRDefault="0044291D">
      <w:pPr>
        <w:spacing w:line="360" w:lineRule="auto"/>
        <w:jc w:val="both"/>
        <w:rPr>
          <w:rFonts w:ascii="Book Antiqua" w:hAnsi="Book Antiqua"/>
        </w:rPr>
      </w:pPr>
    </w:p>
    <w:bookmarkEnd w:id="57"/>
    <w:bookmarkEnd w:id="58"/>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aps/>
          <w:color w:val="000000"/>
          <w:u w:val="single"/>
        </w:rPr>
        <w:t>CONCLUSION</w:t>
      </w:r>
    </w:p>
    <w:p w:rsidR="0044291D" w:rsidRPr="00CC2B19" w:rsidRDefault="00CC4CA9">
      <w:pPr>
        <w:spacing w:line="360" w:lineRule="auto"/>
        <w:jc w:val="both"/>
        <w:rPr>
          <w:rFonts w:ascii="Book Antiqua" w:hAnsi="Book Antiqua"/>
        </w:rPr>
      </w:pPr>
      <w:bookmarkStart w:id="59" w:name="OLE_LINK409"/>
      <w:r w:rsidRPr="00CC2B19">
        <w:rPr>
          <w:rFonts w:ascii="Book Antiqua" w:eastAsia="Book Antiqua" w:hAnsi="Book Antiqua" w:cs="Book Antiqua"/>
          <w:color w:val="000000"/>
        </w:rPr>
        <w:t xml:space="preserve">To the best of our knowledge, this is the first case of an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 identified in a cfDNA sample from a patient with AGC. Detection of genomic fusion by the well-established cfDNA NGS assay confirmed that cfDNA can serve as an alternate source for detecting gene aberrations, including fusions. Successful identification of genomic variants, including fusions, from cfDNA can aid in diagnosis and molecular treatment of patients with AGC.</w:t>
      </w:r>
    </w:p>
    <w:bookmarkEnd w:id="59"/>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REFERENCES</w:t>
      </w:r>
    </w:p>
    <w:p w:rsidR="0044291D" w:rsidRPr="00CC2B19" w:rsidRDefault="00CC4CA9">
      <w:pPr>
        <w:spacing w:line="360" w:lineRule="auto"/>
        <w:jc w:val="both"/>
        <w:rPr>
          <w:rFonts w:ascii="Book Antiqua" w:hAnsi="Book Antiqua"/>
        </w:rPr>
      </w:pPr>
      <w:bookmarkStart w:id="60" w:name="OLE_LINK411"/>
      <w:bookmarkStart w:id="61" w:name="OLE_LINK410"/>
      <w:r w:rsidRPr="00CC2B19">
        <w:rPr>
          <w:rFonts w:ascii="Book Antiqua" w:eastAsia="Book Antiqua" w:hAnsi="Book Antiqua" w:cs="Book Antiqua"/>
          <w:color w:val="000000"/>
        </w:rPr>
        <w:t xml:space="preserve">1 </w:t>
      </w:r>
      <w:r w:rsidRPr="00CC2B19">
        <w:rPr>
          <w:rFonts w:ascii="Book Antiqua" w:eastAsia="Book Antiqua" w:hAnsi="Book Antiqua" w:cs="Book Antiqua"/>
          <w:b/>
          <w:bCs/>
          <w:color w:val="000000"/>
        </w:rPr>
        <w:t>Bray F</w:t>
      </w:r>
      <w:r w:rsidRPr="00CC2B19">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CC2B19">
        <w:rPr>
          <w:rFonts w:ascii="Book Antiqua" w:eastAsia="Book Antiqua" w:hAnsi="Book Antiqua" w:cs="Book Antiqua"/>
          <w:i/>
          <w:iCs/>
          <w:color w:val="000000"/>
        </w:rPr>
        <w:t>CA Cancer J Clin</w:t>
      </w:r>
      <w:r w:rsidRPr="00CC2B19">
        <w:rPr>
          <w:rFonts w:ascii="Book Antiqua" w:eastAsia="Book Antiqua" w:hAnsi="Book Antiqua" w:cs="Book Antiqua"/>
          <w:color w:val="000000"/>
        </w:rPr>
        <w:t xml:space="preserve"> 2018; </w:t>
      </w:r>
      <w:r w:rsidRPr="00CC2B19">
        <w:rPr>
          <w:rFonts w:ascii="Book Antiqua" w:eastAsia="Book Antiqua" w:hAnsi="Book Antiqua" w:cs="Book Antiqua"/>
          <w:b/>
          <w:bCs/>
          <w:color w:val="000000"/>
        </w:rPr>
        <w:t>68</w:t>
      </w:r>
      <w:r w:rsidRPr="00CC2B19">
        <w:rPr>
          <w:rFonts w:ascii="Book Antiqua" w:eastAsia="Book Antiqua" w:hAnsi="Book Antiqua" w:cs="Book Antiqua"/>
          <w:color w:val="000000"/>
        </w:rPr>
        <w:t>: 394-424 [PMID: 30207593 DOI: 10.3322/caac.21492]</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2 </w:t>
      </w:r>
      <w:r w:rsidRPr="00CC2B19">
        <w:rPr>
          <w:rFonts w:ascii="Book Antiqua" w:eastAsia="Book Antiqua" w:hAnsi="Book Antiqua" w:cs="Book Antiqua"/>
          <w:b/>
          <w:bCs/>
          <w:color w:val="000000"/>
        </w:rPr>
        <w:t>Volckmar AL</w:t>
      </w:r>
      <w:r w:rsidRPr="00CC2B19">
        <w:rPr>
          <w:rFonts w:ascii="Book Antiqua" w:eastAsia="Book Antiqua" w:hAnsi="Book Antiqua" w:cs="Book Antiqua"/>
          <w:color w:val="000000"/>
        </w:rPr>
        <w:t xml:space="preserve">, Sültmann H, Riediger A, Fioretos T, Schirmacher P, Endris V, Stenzinger A, Dietz S. A field guide for cancer diagnostics using cell-free DNA: From principles to practice and clinical applications. </w:t>
      </w:r>
      <w:r w:rsidRPr="00CC2B19">
        <w:rPr>
          <w:rFonts w:ascii="Book Antiqua" w:eastAsia="Book Antiqua" w:hAnsi="Book Antiqua" w:cs="Book Antiqua"/>
          <w:i/>
          <w:iCs/>
          <w:color w:val="000000"/>
        </w:rPr>
        <w:t>Genes Chromosomes Cancer</w:t>
      </w:r>
      <w:r w:rsidRPr="00CC2B19">
        <w:rPr>
          <w:rFonts w:ascii="Book Antiqua" w:eastAsia="Book Antiqua" w:hAnsi="Book Antiqua" w:cs="Book Antiqua"/>
          <w:color w:val="000000"/>
        </w:rPr>
        <w:t xml:space="preserve"> 2018; </w:t>
      </w:r>
      <w:r w:rsidRPr="00CC2B19">
        <w:rPr>
          <w:rFonts w:ascii="Book Antiqua" w:eastAsia="Book Antiqua" w:hAnsi="Book Antiqua" w:cs="Book Antiqua"/>
          <w:b/>
          <w:bCs/>
          <w:color w:val="000000"/>
        </w:rPr>
        <w:t>57</w:t>
      </w:r>
      <w:r w:rsidRPr="00CC2B19">
        <w:rPr>
          <w:rFonts w:ascii="Book Antiqua" w:eastAsia="Book Antiqua" w:hAnsi="Book Antiqua" w:cs="Book Antiqua"/>
          <w:color w:val="000000"/>
        </w:rPr>
        <w:t>: 123-139 [PMID: 29205637 DOI: 10.1002/gcc.22517]</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3 </w:t>
      </w:r>
      <w:r w:rsidRPr="00CC2B19">
        <w:rPr>
          <w:rFonts w:ascii="Book Antiqua" w:eastAsia="Book Antiqua" w:hAnsi="Book Antiqua" w:cs="Book Antiqua"/>
          <w:b/>
          <w:bCs/>
          <w:color w:val="000000"/>
        </w:rPr>
        <w:t>Schram AM</w:t>
      </w:r>
      <w:r w:rsidRPr="00CC2B19">
        <w:rPr>
          <w:rFonts w:ascii="Book Antiqua" w:eastAsia="Book Antiqua" w:hAnsi="Book Antiqua" w:cs="Book Antiqua"/>
          <w:color w:val="000000"/>
        </w:rPr>
        <w:t xml:space="preserve">, Chang MT, Jonsson P, Drilon A. Fusions in solid tumours: diagnostic strategies, targeted therapy, and acquired resistance. </w:t>
      </w:r>
      <w:r w:rsidRPr="00CC2B19">
        <w:rPr>
          <w:rFonts w:ascii="Book Antiqua" w:eastAsia="Book Antiqua" w:hAnsi="Book Antiqua" w:cs="Book Antiqua"/>
          <w:i/>
          <w:iCs/>
          <w:color w:val="000000"/>
        </w:rPr>
        <w:t>Nat Rev Clin Oncol</w:t>
      </w:r>
      <w:r w:rsidRPr="00CC2B19">
        <w:rPr>
          <w:rFonts w:ascii="Book Antiqua" w:eastAsia="Book Antiqua" w:hAnsi="Book Antiqua" w:cs="Book Antiqua"/>
          <w:color w:val="000000"/>
        </w:rPr>
        <w:t xml:space="preserve"> 2017; </w:t>
      </w:r>
      <w:r w:rsidRPr="00CC2B19">
        <w:rPr>
          <w:rFonts w:ascii="Book Antiqua" w:eastAsia="Book Antiqua" w:hAnsi="Book Antiqua" w:cs="Book Antiqua"/>
          <w:b/>
          <w:bCs/>
          <w:color w:val="000000"/>
        </w:rPr>
        <w:t>14</w:t>
      </w:r>
      <w:r w:rsidRPr="00CC2B19">
        <w:rPr>
          <w:rFonts w:ascii="Book Antiqua" w:eastAsia="Book Antiqua" w:hAnsi="Book Antiqua" w:cs="Book Antiqua"/>
          <w:color w:val="000000"/>
        </w:rPr>
        <w:t>: 735-748 [PMID: 28857077 DOI: 10.1038/nrclinonc.2017.127]</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4 </w:t>
      </w:r>
      <w:r w:rsidRPr="00CC2B19">
        <w:rPr>
          <w:rFonts w:ascii="Book Antiqua" w:eastAsia="Book Antiqua" w:hAnsi="Book Antiqua" w:cs="Book Antiqua"/>
          <w:b/>
          <w:bCs/>
          <w:color w:val="000000"/>
        </w:rPr>
        <w:t>Chen S</w:t>
      </w:r>
      <w:r w:rsidRPr="00CC2B19">
        <w:rPr>
          <w:rFonts w:ascii="Book Antiqua" w:eastAsia="Book Antiqua" w:hAnsi="Book Antiqua" w:cs="Book Antiqua"/>
          <w:color w:val="000000"/>
        </w:rPr>
        <w:t xml:space="preserve">, Liu M, Huang T, Liao W, Xu M, Gu J. GeneFuse: detection and visualization of target gene fusions from DNA sequencing data. </w:t>
      </w:r>
      <w:r w:rsidRPr="00CC2B19">
        <w:rPr>
          <w:rFonts w:ascii="Book Antiqua" w:eastAsia="Book Antiqua" w:hAnsi="Book Antiqua" w:cs="Book Antiqua"/>
          <w:i/>
          <w:iCs/>
          <w:color w:val="000000"/>
        </w:rPr>
        <w:t>Int J Biol Sci</w:t>
      </w:r>
      <w:r w:rsidRPr="00CC2B19">
        <w:rPr>
          <w:rFonts w:ascii="Book Antiqua" w:eastAsia="Book Antiqua" w:hAnsi="Book Antiqua" w:cs="Book Antiqua"/>
          <w:color w:val="000000"/>
        </w:rPr>
        <w:t xml:space="preserve"> 2018; </w:t>
      </w:r>
      <w:r w:rsidRPr="00CC2B19">
        <w:rPr>
          <w:rFonts w:ascii="Book Antiqua" w:eastAsia="Book Antiqua" w:hAnsi="Book Antiqua" w:cs="Book Antiqua"/>
          <w:b/>
          <w:bCs/>
          <w:color w:val="000000"/>
        </w:rPr>
        <w:t>14</w:t>
      </w:r>
      <w:r w:rsidRPr="00CC2B19">
        <w:rPr>
          <w:rFonts w:ascii="Book Antiqua" w:eastAsia="Book Antiqua" w:hAnsi="Book Antiqua" w:cs="Book Antiqua"/>
          <w:color w:val="000000"/>
        </w:rPr>
        <w:t>: 843-848 [PMID: 29989075 DOI: 10.7150/ijbs.24626]</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5 </w:t>
      </w:r>
      <w:r w:rsidRPr="00CC2B19">
        <w:rPr>
          <w:rFonts w:ascii="Book Antiqua" w:eastAsia="Book Antiqua" w:hAnsi="Book Antiqua" w:cs="Book Antiqua"/>
          <w:b/>
          <w:bCs/>
          <w:color w:val="000000"/>
        </w:rPr>
        <w:t>Li Y</w:t>
      </w:r>
      <w:r w:rsidRPr="00CC2B19">
        <w:rPr>
          <w:rFonts w:ascii="Book Antiqua" w:eastAsia="Book Antiqua" w:hAnsi="Book Antiqua" w:cs="Book Antiqua"/>
          <w:color w:val="000000"/>
        </w:rPr>
        <w:t xml:space="preserve">, Zhang HB, Chen X, Yang X, Ye Y, Bekaii-Saab T, Zheng Y, Zhang Y. A Rare EGFR-SEPT14 Fusion in a Patient with Colorectal Adenocarcinoma Responding to Erlotinib. </w:t>
      </w:r>
      <w:r w:rsidRPr="00CC2B19">
        <w:rPr>
          <w:rFonts w:ascii="Book Antiqua" w:eastAsia="Book Antiqua" w:hAnsi="Book Antiqua" w:cs="Book Antiqua"/>
          <w:i/>
          <w:iCs/>
          <w:color w:val="000000"/>
        </w:rPr>
        <w:t>Oncologist</w:t>
      </w:r>
      <w:r w:rsidRPr="00CC2B19">
        <w:rPr>
          <w:rFonts w:ascii="Book Antiqua" w:eastAsia="Book Antiqua" w:hAnsi="Book Antiqua" w:cs="Book Antiqua"/>
          <w:color w:val="000000"/>
        </w:rPr>
        <w:t xml:space="preserve"> 2020; </w:t>
      </w:r>
      <w:r w:rsidRPr="00CC2B19">
        <w:rPr>
          <w:rFonts w:ascii="Book Antiqua" w:eastAsia="Book Antiqua" w:hAnsi="Book Antiqua" w:cs="Book Antiqua"/>
          <w:b/>
          <w:bCs/>
          <w:color w:val="000000"/>
        </w:rPr>
        <w:t>25</w:t>
      </w:r>
      <w:r w:rsidRPr="00CC2B19">
        <w:rPr>
          <w:rFonts w:ascii="Book Antiqua" w:eastAsia="Book Antiqua" w:hAnsi="Book Antiqua" w:cs="Book Antiqua"/>
          <w:color w:val="000000"/>
        </w:rPr>
        <w:t>: 203-207 [PMID: 32162810 DOI: 10.1634/theoncologist.2019-0405]</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6 </w:t>
      </w:r>
      <w:r w:rsidRPr="00CC2B19">
        <w:rPr>
          <w:rFonts w:ascii="Book Antiqua" w:eastAsia="Book Antiqua" w:hAnsi="Book Antiqua" w:cs="Book Antiqua"/>
          <w:b/>
          <w:bCs/>
          <w:color w:val="000000"/>
        </w:rPr>
        <w:t>Herbst RS</w:t>
      </w:r>
      <w:r w:rsidRPr="00CC2B19">
        <w:rPr>
          <w:rFonts w:ascii="Book Antiqua" w:eastAsia="Book Antiqua" w:hAnsi="Book Antiqua" w:cs="Book Antiqua"/>
          <w:color w:val="000000"/>
        </w:rPr>
        <w:t xml:space="preserve">. Review of epidermal growth factor receptor biology. </w:t>
      </w:r>
      <w:r w:rsidRPr="00CC2B19">
        <w:rPr>
          <w:rFonts w:ascii="Book Antiqua" w:eastAsia="Book Antiqua" w:hAnsi="Book Antiqua" w:cs="Book Antiqua"/>
          <w:i/>
          <w:iCs/>
          <w:color w:val="000000"/>
        </w:rPr>
        <w:t>Int J Radiat Oncol Biol Phys</w:t>
      </w:r>
      <w:r w:rsidRPr="00CC2B19">
        <w:rPr>
          <w:rFonts w:ascii="Book Antiqua" w:eastAsia="Book Antiqua" w:hAnsi="Book Antiqua" w:cs="Book Antiqua"/>
          <w:color w:val="000000"/>
        </w:rPr>
        <w:t xml:space="preserve"> 2004; </w:t>
      </w:r>
      <w:r w:rsidRPr="00CC2B19">
        <w:rPr>
          <w:rFonts w:ascii="Book Antiqua" w:eastAsia="Book Antiqua" w:hAnsi="Book Antiqua" w:cs="Book Antiqua"/>
          <w:b/>
          <w:bCs/>
          <w:color w:val="000000"/>
        </w:rPr>
        <w:t>59</w:t>
      </w:r>
      <w:r w:rsidRPr="00CC2B19">
        <w:rPr>
          <w:rFonts w:ascii="Book Antiqua" w:eastAsia="Book Antiqua" w:hAnsi="Book Antiqua" w:cs="Book Antiqua"/>
          <w:color w:val="000000"/>
        </w:rPr>
        <w:t>: 21-26 [PMID: 15142631 DOI: 10.1016/j.ijrobp.2003.11.041]</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7 </w:t>
      </w:r>
      <w:r w:rsidRPr="00CC2B19">
        <w:rPr>
          <w:rFonts w:ascii="Book Antiqua" w:eastAsia="Book Antiqua" w:hAnsi="Book Antiqua" w:cs="Book Antiqua"/>
          <w:b/>
          <w:bCs/>
          <w:color w:val="000000"/>
        </w:rPr>
        <w:t>Sigismund S</w:t>
      </w:r>
      <w:r w:rsidRPr="00CC2B19">
        <w:rPr>
          <w:rFonts w:ascii="Book Antiqua" w:eastAsia="Book Antiqua" w:hAnsi="Book Antiqua" w:cs="Book Antiqua"/>
          <w:color w:val="000000"/>
        </w:rPr>
        <w:t xml:space="preserve">, Avanzato D, Lanzetti L. Emerging functions of the EGFR in cancer. </w:t>
      </w:r>
      <w:r w:rsidRPr="00CC2B19">
        <w:rPr>
          <w:rFonts w:ascii="Book Antiqua" w:eastAsia="Book Antiqua" w:hAnsi="Book Antiqua" w:cs="Book Antiqua"/>
          <w:i/>
          <w:iCs/>
          <w:color w:val="000000"/>
        </w:rPr>
        <w:t>Mol Oncol</w:t>
      </w:r>
      <w:r w:rsidRPr="00CC2B19">
        <w:rPr>
          <w:rFonts w:ascii="Book Antiqua" w:eastAsia="Book Antiqua" w:hAnsi="Book Antiqua" w:cs="Book Antiqua"/>
          <w:color w:val="000000"/>
        </w:rPr>
        <w:t xml:space="preserve"> 2018; </w:t>
      </w:r>
      <w:r w:rsidRPr="00CC2B19">
        <w:rPr>
          <w:rFonts w:ascii="Book Antiqua" w:eastAsia="Book Antiqua" w:hAnsi="Book Antiqua" w:cs="Book Antiqua"/>
          <w:b/>
          <w:bCs/>
          <w:color w:val="000000"/>
        </w:rPr>
        <w:t>12</w:t>
      </w:r>
      <w:r w:rsidRPr="00CC2B19">
        <w:rPr>
          <w:rFonts w:ascii="Book Antiqua" w:eastAsia="Book Antiqua" w:hAnsi="Book Antiqua" w:cs="Book Antiqua"/>
          <w:color w:val="000000"/>
        </w:rPr>
        <w:t>: 3-20 [PMID: 29124875 DOI: 10.1002/1878-0261.12155]</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8 </w:t>
      </w:r>
      <w:r w:rsidRPr="00CC2B19">
        <w:rPr>
          <w:rFonts w:ascii="Book Antiqua" w:eastAsia="Book Antiqua" w:hAnsi="Book Antiqua" w:cs="Book Antiqua"/>
          <w:b/>
          <w:bCs/>
          <w:color w:val="000000"/>
        </w:rPr>
        <w:t>Peterson EA</w:t>
      </w:r>
      <w:r w:rsidRPr="00CC2B19">
        <w:rPr>
          <w:rFonts w:ascii="Book Antiqua" w:eastAsia="Book Antiqua" w:hAnsi="Book Antiqua" w:cs="Book Antiqua"/>
          <w:color w:val="000000"/>
        </w:rPr>
        <w:t xml:space="preserve">, Kalikin LM, Steels JD, Estey MP, Trimble WS, Petty EM. Characterization of a SEPT9 interacting protein, SEPT14, a novel testis-specific septin. </w:t>
      </w:r>
      <w:r w:rsidRPr="00CC2B19">
        <w:rPr>
          <w:rFonts w:ascii="Book Antiqua" w:eastAsia="Book Antiqua" w:hAnsi="Book Antiqua" w:cs="Book Antiqua"/>
          <w:i/>
          <w:iCs/>
          <w:color w:val="000000"/>
        </w:rPr>
        <w:t>Mamm Genome</w:t>
      </w:r>
      <w:r w:rsidRPr="00CC2B19">
        <w:rPr>
          <w:rFonts w:ascii="Book Antiqua" w:eastAsia="Book Antiqua" w:hAnsi="Book Antiqua" w:cs="Book Antiqua"/>
          <w:color w:val="000000"/>
        </w:rPr>
        <w:t xml:space="preserve"> 2007; </w:t>
      </w:r>
      <w:r w:rsidRPr="00CC2B19">
        <w:rPr>
          <w:rFonts w:ascii="Book Antiqua" w:eastAsia="Book Antiqua" w:hAnsi="Book Antiqua" w:cs="Book Antiqua"/>
          <w:b/>
          <w:bCs/>
          <w:color w:val="000000"/>
        </w:rPr>
        <w:t>18</w:t>
      </w:r>
      <w:r w:rsidRPr="00CC2B19">
        <w:rPr>
          <w:rFonts w:ascii="Book Antiqua" w:eastAsia="Book Antiqua" w:hAnsi="Book Antiqua" w:cs="Book Antiqua"/>
          <w:color w:val="000000"/>
        </w:rPr>
        <w:t>: 796-807 [PMID: 17922164 DOI: 10.1007/s00335-007-9065-x]</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9 </w:t>
      </w:r>
      <w:r w:rsidRPr="00CC2B19">
        <w:rPr>
          <w:rFonts w:ascii="Book Antiqua" w:eastAsia="Book Antiqua" w:hAnsi="Book Antiqua" w:cs="Book Antiqua"/>
          <w:b/>
          <w:bCs/>
          <w:color w:val="000000"/>
        </w:rPr>
        <w:t>Angelis D</w:t>
      </w:r>
      <w:r w:rsidRPr="00CC2B19">
        <w:rPr>
          <w:rFonts w:ascii="Book Antiqua" w:eastAsia="Book Antiqua" w:hAnsi="Book Antiqua" w:cs="Book Antiqua"/>
          <w:color w:val="000000"/>
        </w:rPr>
        <w:t xml:space="preserve">, Spiliotis ET. Septin Mutations in Human Cancers. </w:t>
      </w:r>
      <w:r w:rsidRPr="00CC2B19">
        <w:rPr>
          <w:rFonts w:ascii="Book Antiqua" w:eastAsia="Book Antiqua" w:hAnsi="Book Antiqua" w:cs="Book Antiqua"/>
          <w:i/>
          <w:iCs/>
          <w:color w:val="000000"/>
        </w:rPr>
        <w:t>Front Cell Dev Biol</w:t>
      </w:r>
      <w:r w:rsidRPr="00CC2B19">
        <w:rPr>
          <w:rFonts w:ascii="Book Antiqua" w:eastAsia="Book Antiqua" w:hAnsi="Book Antiqua" w:cs="Book Antiqua"/>
          <w:color w:val="000000"/>
        </w:rPr>
        <w:t xml:space="preserve"> 2016; </w:t>
      </w:r>
      <w:r w:rsidRPr="00CC2B19">
        <w:rPr>
          <w:rFonts w:ascii="Book Antiqua" w:eastAsia="Book Antiqua" w:hAnsi="Book Antiqua" w:cs="Book Antiqua"/>
          <w:b/>
          <w:bCs/>
          <w:color w:val="000000"/>
        </w:rPr>
        <w:t>4</w:t>
      </w:r>
      <w:r w:rsidRPr="00CC2B19">
        <w:rPr>
          <w:rFonts w:ascii="Book Antiqua" w:eastAsia="Book Antiqua" w:hAnsi="Book Antiqua" w:cs="Book Antiqua"/>
          <w:color w:val="000000"/>
        </w:rPr>
        <w:t>: 122 [PMID: 27882315 DOI: 10.3389/fcell.2016.00122]</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10 </w:t>
      </w:r>
      <w:r w:rsidRPr="00CC2B19">
        <w:rPr>
          <w:rFonts w:ascii="Book Antiqua" w:eastAsia="Book Antiqua" w:hAnsi="Book Antiqua" w:cs="Book Antiqua"/>
          <w:b/>
          <w:bCs/>
          <w:color w:val="000000"/>
        </w:rPr>
        <w:t>Frattini V</w:t>
      </w:r>
      <w:r w:rsidRPr="00CC2B19">
        <w:rPr>
          <w:rFonts w:ascii="Book Antiqua" w:eastAsia="Book Antiqua" w:hAnsi="Book Antiqua" w:cs="Book Antiqua"/>
          <w:color w:val="000000"/>
        </w:rPr>
        <w:t xml:space="preserve">, Trifonov V, Chan JM, Castano A, Lia M, Abate F, Keir ST, Ji AX, Zoppoli P, Niola F, Danussi C, Dolgalev I, Porrati P, Pellegatta S, Heguy A, Gupta G, Pisapia DJ, Canoll P, Bruce JN, McLendon RE, Yan H, Aldape K, Finocchiaro G, Mikkelsen T, Privé GG, Bigner DD, Lasorella A, Rabadan R, Iavarone A. The integrated landscape of driver genomic alterations in glioblastoma. </w:t>
      </w:r>
      <w:r w:rsidRPr="00CC2B19">
        <w:rPr>
          <w:rFonts w:ascii="Book Antiqua" w:eastAsia="Book Antiqua" w:hAnsi="Book Antiqua" w:cs="Book Antiqua"/>
          <w:i/>
          <w:iCs/>
          <w:color w:val="000000"/>
        </w:rPr>
        <w:t>Nat Genet</w:t>
      </w:r>
      <w:r w:rsidRPr="00CC2B19">
        <w:rPr>
          <w:rFonts w:ascii="Book Antiqua" w:eastAsia="Book Antiqua" w:hAnsi="Book Antiqua" w:cs="Book Antiqua"/>
          <w:color w:val="000000"/>
        </w:rPr>
        <w:t xml:space="preserve"> 2013; </w:t>
      </w:r>
      <w:r w:rsidRPr="00CC2B19">
        <w:rPr>
          <w:rFonts w:ascii="Book Antiqua" w:eastAsia="Book Antiqua" w:hAnsi="Book Antiqua" w:cs="Book Antiqua"/>
          <w:b/>
          <w:bCs/>
          <w:color w:val="000000"/>
        </w:rPr>
        <w:t>45</w:t>
      </w:r>
      <w:r w:rsidRPr="00CC2B19">
        <w:rPr>
          <w:rFonts w:ascii="Book Antiqua" w:eastAsia="Book Antiqua" w:hAnsi="Book Antiqua" w:cs="Book Antiqua"/>
          <w:color w:val="000000"/>
        </w:rPr>
        <w:t>: 1141-1149 [PMID: 23917401 DOI: 10.1038/ng.2734]</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 xml:space="preserve">11 </w:t>
      </w:r>
      <w:r w:rsidRPr="00CC2B19">
        <w:rPr>
          <w:rFonts w:ascii="Book Antiqua" w:eastAsia="Book Antiqua" w:hAnsi="Book Antiqua" w:cs="Book Antiqua"/>
          <w:b/>
          <w:bCs/>
          <w:color w:val="000000"/>
        </w:rPr>
        <w:t>Black M</w:t>
      </w:r>
      <w:r w:rsidRPr="00CC2B19">
        <w:rPr>
          <w:rFonts w:ascii="Book Antiqua" w:eastAsia="Book Antiqua" w:hAnsi="Book Antiqua" w:cs="Book Antiqua"/>
          <w:color w:val="000000"/>
        </w:rPr>
        <w:t xml:space="preserve">, Liu CZ, Onozato M, Iafrate AJ, Darvishian F, Jour G, Cotzia P. Concurrent Identification of Novel EGFR-SEPT14 Fusion and ETV6-RET Fusion in Secretory Carcinoma of the Salivary Gland. </w:t>
      </w:r>
      <w:r w:rsidRPr="00CC2B19">
        <w:rPr>
          <w:rFonts w:ascii="Book Antiqua" w:eastAsia="Book Antiqua" w:hAnsi="Book Antiqua" w:cs="Book Antiqua"/>
          <w:i/>
          <w:iCs/>
          <w:color w:val="000000"/>
        </w:rPr>
        <w:t>Head Neck Pathol</w:t>
      </w:r>
      <w:r w:rsidRPr="00CC2B19">
        <w:rPr>
          <w:rFonts w:ascii="Book Antiqua" w:eastAsia="Book Antiqua" w:hAnsi="Book Antiqua" w:cs="Book Antiqua"/>
          <w:color w:val="000000"/>
        </w:rPr>
        <w:t xml:space="preserve"> 2020; </w:t>
      </w:r>
      <w:r w:rsidRPr="00CC2B19">
        <w:rPr>
          <w:rFonts w:ascii="Book Antiqua" w:eastAsia="Book Antiqua" w:hAnsi="Book Antiqua" w:cs="Book Antiqua"/>
          <w:b/>
          <w:bCs/>
          <w:color w:val="000000"/>
        </w:rPr>
        <w:t>14</w:t>
      </w:r>
      <w:r w:rsidRPr="00CC2B19">
        <w:rPr>
          <w:rFonts w:ascii="Book Antiqua" w:eastAsia="Book Antiqua" w:hAnsi="Book Antiqua" w:cs="Book Antiqua"/>
          <w:color w:val="000000"/>
        </w:rPr>
        <w:t>: 817-821 [PMID: 31502214 DOI: 10.1007/s12105-019-01074-6]</w:t>
      </w:r>
    </w:p>
    <w:bookmarkEnd w:id="60"/>
    <w:bookmarkEnd w:id="61"/>
    <w:p w:rsidR="0044291D" w:rsidRPr="00CC2B19" w:rsidRDefault="0044291D">
      <w:pPr>
        <w:spacing w:line="360" w:lineRule="auto"/>
        <w:jc w:val="both"/>
        <w:rPr>
          <w:rFonts w:ascii="Book Antiqua" w:hAnsi="Book Antiqua"/>
        </w:rPr>
        <w:sectPr w:rsidR="0044291D" w:rsidRPr="00CC2B19">
          <w:pgSz w:w="12240" w:h="15840"/>
          <w:pgMar w:top="1440" w:right="1440" w:bottom="1440" w:left="1440" w:header="720" w:footer="720" w:gutter="0"/>
          <w:cols w:space="720"/>
          <w:docGrid w:linePitch="360"/>
        </w:sect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Footnotes</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Informed consent statement: </w:t>
      </w:r>
      <w:r w:rsidRPr="00CC2B19">
        <w:rPr>
          <w:rFonts w:ascii="Book Antiqua" w:eastAsia="Book Antiqua" w:hAnsi="Book Antiqua" w:cs="Book Antiqua"/>
          <w:color w:val="000000"/>
        </w:rPr>
        <w:t>Informed written consent was obtained for specimen collection and genetic analysis.</w:t>
      </w:r>
      <w:r w:rsidRPr="00CC2B19">
        <w:rPr>
          <w:rFonts w:ascii="Book Antiqua" w:eastAsia="Book Antiqua" w:hAnsi="Book Antiqua" w:cs="Book Antiqua"/>
          <w:b/>
          <w:bCs/>
          <w:color w:val="000000"/>
        </w:rPr>
        <w:t xml:space="preserve"> </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Conflict-of-interest statement: </w:t>
      </w:r>
      <w:r w:rsidRPr="00CC2B19">
        <w:rPr>
          <w:rFonts w:ascii="Book Antiqua" w:eastAsia="Book Antiqua" w:hAnsi="Book Antiqua" w:cs="Book Antiqua"/>
          <w:color w:val="000000"/>
        </w:rPr>
        <w:t>The authors declare that they have no conflict of interest.</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CARE Checklist (2016) statement: </w:t>
      </w:r>
      <w:bookmarkStart w:id="62" w:name="OLE_LINK413"/>
      <w:bookmarkStart w:id="63" w:name="OLE_LINK412"/>
      <w:r w:rsidRPr="00CC2B19">
        <w:rPr>
          <w:rFonts w:ascii="Book Antiqua" w:eastAsia="Book Antiqua" w:hAnsi="Book Antiqua" w:cs="Book Antiqua"/>
          <w:color w:val="000000"/>
        </w:rPr>
        <w:t xml:space="preserve">The authors have read the CARE Checklist (2016), and the manuscript was prepared and revised according to the CARE Checklist (2016). </w:t>
      </w:r>
    </w:p>
    <w:bookmarkEnd w:id="62"/>
    <w:bookmarkEnd w:id="63"/>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bCs/>
          <w:color w:val="000000"/>
        </w:rPr>
        <w:t xml:space="preserve">Open-Access: </w:t>
      </w:r>
      <w:bookmarkStart w:id="64" w:name="OLE_LINK380"/>
      <w:bookmarkStart w:id="65" w:name="OLE_LINK381"/>
      <w:r w:rsidRPr="00CC2B1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4"/>
    <w:bookmarkEnd w:id="65"/>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 xml:space="preserve">Manuscript source: </w:t>
      </w:r>
      <w:r w:rsidRPr="00CC2B19">
        <w:rPr>
          <w:rFonts w:ascii="Book Antiqua" w:eastAsia="Book Antiqua" w:hAnsi="Book Antiqua" w:cs="Book Antiqua"/>
          <w:color w:val="000000"/>
        </w:rPr>
        <w:t>Unsolicited manuscript</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 xml:space="preserve">Peer-review started: </w:t>
      </w:r>
      <w:r w:rsidRPr="00CC2B19">
        <w:rPr>
          <w:rFonts w:ascii="Book Antiqua" w:eastAsia="Book Antiqua" w:hAnsi="Book Antiqua" w:cs="Book Antiqua"/>
          <w:color w:val="000000"/>
        </w:rPr>
        <w:t>December 4, 2020</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 xml:space="preserve">First decision: </w:t>
      </w:r>
      <w:r w:rsidRPr="00CC2B19">
        <w:rPr>
          <w:rFonts w:ascii="Book Antiqua" w:eastAsia="Book Antiqua" w:hAnsi="Book Antiqua" w:cs="Book Antiqua"/>
          <w:color w:val="000000"/>
        </w:rPr>
        <w:t>January 24, 2021</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 xml:space="preserve">Article in press: </w:t>
      </w:r>
      <w:r w:rsidRPr="00CC2B19">
        <w:rPr>
          <w:rFonts w:ascii="Book Antiqua" w:eastAsia="Book Antiqua" w:hAnsi="Book Antiqua" w:cs="Book Antiqua" w:hint="eastAsia"/>
          <w:bCs/>
          <w:color w:val="000000"/>
        </w:rPr>
        <w:t>March 3, 2021</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 xml:space="preserve">Specialty type: </w:t>
      </w:r>
      <w:bookmarkStart w:id="66" w:name="OLE_LINK1953"/>
      <w:bookmarkStart w:id="67" w:name="OLE_LINK1952"/>
      <w:bookmarkStart w:id="68" w:name="OLE_LINK2066"/>
      <w:r w:rsidRPr="00CC2B19">
        <w:rPr>
          <w:rFonts w:ascii="Book Antiqua" w:eastAsia="微软雅黑" w:hAnsi="Book Antiqua" w:cs="宋体"/>
        </w:rPr>
        <w:t>Medicine, research and experimental</w:t>
      </w:r>
      <w:bookmarkEnd w:id="66"/>
      <w:bookmarkEnd w:id="67"/>
      <w:bookmarkEnd w:id="68"/>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 xml:space="preserve">Country/Territory of origin: </w:t>
      </w:r>
      <w:r w:rsidRPr="00CC2B19">
        <w:rPr>
          <w:rFonts w:ascii="Book Antiqua" w:eastAsia="Book Antiqua" w:hAnsi="Book Antiqua" w:cs="Book Antiqua"/>
          <w:color w:val="000000"/>
        </w:rPr>
        <w:t>South Korea</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Peer-review report’s scientific quality classification</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Grade A (Excellent): 0</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Grade B (Very good): B</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Grade C (Good): 0</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Grade D (Fair): 0</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color w:val="000000"/>
        </w:rPr>
        <w:t>Grade E (Poor): 0</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eastAsia="宋体" w:hAnsi="Book Antiqua"/>
          <w:lang w:eastAsia="zh-CN"/>
        </w:rPr>
        <w:sectPr w:rsidR="0044291D" w:rsidRPr="00CC2B19">
          <w:pgSz w:w="12240" w:h="15840"/>
          <w:pgMar w:top="1440" w:right="1440" w:bottom="1440" w:left="1440" w:header="720" w:footer="720" w:gutter="0"/>
          <w:cols w:space="720"/>
          <w:docGrid w:linePitch="360"/>
        </w:sectPr>
      </w:pPr>
      <w:r w:rsidRPr="00CC2B19">
        <w:rPr>
          <w:rFonts w:ascii="Book Antiqua" w:eastAsia="Book Antiqua" w:hAnsi="Book Antiqua" w:cs="Book Antiqua"/>
          <w:b/>
          <w:color w:val="000000"/>
        </w:rPr>
        <w:t xml:space="preserve">P-Reviewer: </w:t>
      </w:r>
      <w:r w:rsidRPr="00CC2B19">
        <w:rPr>
          <w:rFonts w:ascii="Book Antiqua" w:eastAsia="Book Antiqua" w:hAnsi="Book Antiqua" w:cs="Book Antiqua"/>
          <w:color w:val="000000"/>
        </w:rPr>
        <w:t>Jin X</w:t>
      </w:r>
      <w:r w:rsidRPr="00CC2B19">
        <w:rPr>
          <w:rFonts w:ascii="Book Antiqua" w:eastAsia="Book Antiqua" w:hAnsi="Book Antiqua" w:cs="Book Antiqua"/>
          <w:b/>
          <w:color w:val="000000"/>
        </w:rPr>
        <w:t xml:space="preserve"> S-Editor: </w:t>
      </w:r>
      <w:r w:rsidRPr="00CC2B19">
        <w:rPr>
          <w:rFonts w:ascii="Book Antiqua" w:eastAsia="Book Antiqua" w:hAnsi="Book Antiqua" w:cs="Book Antiqua"/>
          <w:color w:val="000000"/>
        </w:rPr>
        <w:t>Fan JR</w:t>
      </w:r>
      <w:r w:rsidRPr="00CC2B19">
        <w:rPr>
          <w:rFonts w:ascii="Book Antiqua" w:eastAsia="Book Antiqua" w:hAnsi="Book Antiqua" w:cs="Book Antiqua"/>
          <w:b/>
          <w:color w:val="000000"/>
        </w:rPr>
        <w:t xml:space="preserve"> L-Editor: </w:t>
      </w:r>
      <w:r w:rsidRPr="00CC2B19">
        <w:rPr>
          <w:rFonts w:ascii="Book Antiqua" w:eastAsia="Book Antiqua" w:hAnsi="Book Antiqua" w:cs="Book Antiqua"/>
          <w:bCs/>
          <w:color w:val="000000"/>
        </w:rPr>
        <w:t>Filipodia</w:t>
      </w:r>
      <w:r w:rsidRPr="00CC2B19">
        <w:rPr>
          <w:rFonts w:ascii="Book Antiqua" w:eastAsia="Book Antiqua" w:hAnsi="Book Antiqua" w:cs="Book Antiqua"/>
          <w:b/>
          <w:color w:val="000000"/>
        </w:rPr>
        <w:t xml:space="preserve"> P-Editor: </w:t>
      </w:r>
      <w:r w:rsidRPr="00CC2B19">
        <w:rPr>
          <w:rFonts w:ascii="Book Antiqua" w:eastAsia="宋体" w:hAnsi="Book Antiqua" w:cs="Book Antiqua" w:hint="eastAsia"/>
          <w:bCs/>
          <w:color w:val="000000"/>
          <w:lang w:eastAsia="zh-CN"/>
        </w:rPr>
        <w:t>Yuan YY</w:t>
      </w:r>
    </w:p>
    <w:p w:rsidR="0044291D" w:rsidRPr="00CC2B19" w:rsidRDefault="00CC4CA9">
      <w:pPr>
        <w:spacing w:line="360" w:lineRule="auto"/>
        <w:jc w:val="both"/>
        <w:rPr>
          <w:rFonts w:ascii="Book Antiqua" w:hAnsi="Book Antiqua"/>
        </w:rPr>
      </w:pPr>
      <w:r w:rsidRPr="00CC2B19">
        <w:rPr>
          <w:rFonts w:ascii="Book Antiqua" w:eastAsia="Book Antiqua" w:hAnsi="Book Antiqua" w:cs="Book Antiqua"/>
          <w:b/>
          <w:color w:val="000000"/>
        </w:rPr>
        <w:t>Figure Legends</w:t>
      </w:r>
    </w:p>
    <w:p w:rsidR="0044291D" w:rsidRPr="00CC2B19" w:rsidRDefault="0044291D">
      <w:pPr>
        <w:spacing w:line="360" w:lineRule="auto"/>
        <w:jc w:val="both"/>
        <w:rPr>
          <w:rFonts w:ascii="Book Antiqua" w:hAnsi="Book Antiqua"/>
        </w:rPr>
      </w:pPr>
    </w:p>
    <w:p w:rsidR="0044291D" w:rsidRPr="00CC2B19" w:rsidRDefault="00CC4CA9">
      <w:pPr>
        <w:spacing w:line="360" w:lineRule="auto"/>
        <w:jc w:val="both"/>
        <w:rPr>
          <w:rFonts w:ascii="Book Antiqua" w:eastAsia="Book Antiqua" w:hAnsi="Book Antiqua" w:cs="Book Antiqua"/>
          <w:b/>
          <w:bCs/>
          <w:color w:val="000000"/>
        </w:rPr>
      </w:pPr>
      <w:r w:rsidRPr="00CC2B19">
        <w:rPr>
          <w:rFonts w:ascii="Book Antiqua" w:hAnsi="Book Antiqua"/>
          <w:noProof/>
          <w:lang w:eastAsia="zh-CN"/>
        </w:rPr>
        <w:drawing>
          <wp:inline distT="0" distB="0" distL="0" distR="0" wp14:anchorId="65ABEC9A" wp14:editId="0FA0AA03">
            <wp:extent cx="5943600" cy="61214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4"/>
                    <pic:cNvPicPr>
                      <a:picLocks noChangeAspect="1"/>
                    </pic:cNvPicPr>
                  </pic:nvPicPr>
                  <pic:blipFill>
                    <a:blip r:embed="rId9"/>
                    <a:stretch>
                      <a:fillRect/>
                    </a:stretch>
                  </pic:blipFill>
                  <pic:spPr>
                    <a:xfrm>
                      <a:off x="0" y="0"/>
                      <a:ext cx="5943600" cy="6121400"/>
                    </a:xfrm>
                    <a:prstGeom prst="rect">
                      <a:avLst/>
                    </a:prstGeom>
                  </pic:spPr>
                </pic:pic>
              </a:graphicData>
            </a:graphic>
          </wp:inline>
        </w:drawing>
      </w:r>
    </w:p>
    <w:p w:rsidR="0044291D" w:rsidRPr="00CC2B19" w:rsidRDefault="00CC4CA9">
      <w:pPr>
        <w:spacing w:line="360" w:lineRule="auto"/>
        <w:jc w:val="both"/>
        <w:rPr>
          <w:rFonts w:ascii="Book Antiqua" w:eastAsia="Book Antiqua" w:hAnsi="Book Antiqua" w:cs="Book Antiqua"/>
          <w:b/>
          <w:bCs/>
          <w:color w:val="000000"/>
        </w:rPr>
      </w:pPr>
      <w:r w:rsidRPr="00CC2B19">
        <w:rPr>
          <w:rFonts w:ascii="Book Antiqua" w:hAnsi="Book Antiqua"/>
          <w:noProof/>
          <w:lang w:eastAsia="zh-CN"/>
        </w:rPr>
        <w:drawing>
          <wp:inline distT="0" distB="0" distL="0" distR="0" wp14:anchorId="21A6F54E" wp14:editId="1D1D7E5D">
            <wp:extent cx="5943600" cy="168592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pic:cNvPicPr>
                  </pic:nvPicPr>
                  <pic:blipFill>
                    <a:blip r:embed="rId10"/>
                    <a:stretch>
                      <a:fillRect/>
                    </a:stretch>
                  </pic:blipFill>
                  <pic:spPr>
                    <a:xfrm>
                      <a:off x="0" y="0"/>
                      <a:ext cx="5943600" cy="1685925"/>
                    </a:xfrm>
                    <a:prstGeom prst="rect">
                      <a:avLst/>
                    </a:prstGeom>
                  </pic:spPr>
                </pic:pic>
              </a:graphicData>
            </a:graphic>
          </wp:inline>
        </w:drawing>
      </w:r>
    </w:p>
    <w:p w:rsidR="00E86276" w:rsidRDefault="00CC4CA9">
      <w:pPr>
        <w:spacing w:line="360" w:lineRule="auto"/>
        <w:jc w:val="both"/>
        <w:rPr>
          <w:rFonts w:ascii="Book Antiqua" w:eastAsia="Book Antiqua" w:hAnsi="Book Antiqua" w:cs="Book Antiqua"/>
          <w:i/>
          <w:iCs/>
          <w:color w:val="000000"/>
        </w:rPr>
      </w:pPr>
      <w:bookmarkStart w:id="69" w:name="OLE_LINK417"/>
      <w:bookmarkStart w:id="70" w:name="OLE_LINK416"/>
      <w:r w:rsidRPr="00CC2B19">
        <w:rPr>
          <w:rFonts w:ascii="Book Antiqua" w:eastAsia="Book Antiqua" w:hAnsi="Book Antiqua" w:cs="Book Antiqua"/>
          <w:b/>
          <w:bCs/>
          <w:color w:val="000000"/>
        </w:rPr>
        <w:t xml:space="preserve">Figure 1 </w:t>
      </w:r>
      <w:r w:rsidRPr="00CC2B19">
        <w:rPr>
          <w:rFonts w:ascii="Book Antiqua" w:eastAsia="Book Antiqua" w:hAnsi="Book Antiqua" w:cs="Book Antiqua"/>
          <w:b/>
          <w:bCs/>
          <w:i/>
          <w:iCs/>
          <w:color w:val="000000"/>
        </w:rPr>
        <w:t>E</w:t>
      </w:r>
      <w:r w:rsidR="00767721" w:rsidRPr="00CC2B19">
        <w:rPr>
          <w:rFonts w:ascii="Book Antiqua" w:hAnsi="Book Antiqua" w:cs="Book Antiqua" w:hint="eastAsia"/>
          <w:b/>
          <w:bCs/>
          <w:i/>
          <w:iCs/>
          <w:color w:val="000000"/>
          <w:lang w:eastAsia="zh-CN"/>
        </w:rPr>
        <w:t>GFR</w:t>
      </w:r>
      <w:r w:rsidRPr="00CC2B19">
        <w:rPr>
          <w:rFonts w:ascii="Book Antiqua" w:eastAsia="Book Antiqua" w:hAnsi="Book Antiqua" w:cs="Book Antiqua"/>
          <w:b/>
          <w:bCs/>
          <w:i/>
          <w:iCs/>
          <w:color w:val="000000"/>
        </w:rPr>
        <w:t>-SEPT14</w:t>
      </w:r>
      <w:r w:rsidRPr="00CC2B19">
        <w:rPr>
          <w:rFonts w:ascii="Book Antiqua" w:eastAsia="Book Antiqua" w:hAnsi="Book Antiqua" w:cs="Book Antiqua"/>
          <w:b/>
          <w:bCs/>
          <w:color w:val="000000"/>
        </w:rPr>
        <w:t xml:space="preserve"> fusion. </w:t>
      </w:r>
      <w:r w:rsidRPr="00CC2B19">
        <w:rPr>
          <w:rFonts w:ascii="Book Antiqua" w:eastAsia="Book Antiqua" w:hAnsi="Book Antiqua" w:cs="Book Antiqua"/>
          <w:color w:val="000000"/>
        </w:rPr>
        <w:t xml:space="preserve">A: Genomic fusion of </w:t>
      </w:r>
      <w:r w:rsidRPr="00CC2B19">
        <w:rPr>
          <w:rFonts w:ascii="Book Antiqua" w:eastAsia="Book Antiqua" w:hAnsi="Book Antiqua" w:cs="Book Antiqua"/>
          <w:i/>
          <w:iCs/>
          <w:color w:val="000000"/>
        </w:rPr>
        <w:t>EGFR</w:t>
      </w:r>
      <w:r w:rsidRPr="00CC2B19">
        <w:rPr>
          <w:rFonts w:ascii="Book Antiqua" w:eastAsia="Book Antiqua" w:hAnsi="Book Antiqua" w:cs="Book Antiqua"/>
          <w:color w:val="000000"/>
        </w:rPr>
        <w:t xml:space="preserve"> exon 24 with exon 10 of </w:t>
      </w:r>
      <w:r w:rsidRPr="00CC2B19">
        <w:rPr>
          <w:rFonts w:ascii="Book Antiqua" w:eastAsia="Book Antiqua" w:hAnsi="Book Antiqua" w:cs="Book Antiqua"/>
          <w:i/>
          <w:iCs/>
          <w:color w:val="000000"/>
        </w:rPr>
        <w:t>SEPT14</w:t>
      </w:r>
      <w:r w:rsidRPr="00CC2B19">
        <w:rPr>
          <w:rFonts w:ascii="Book Antiqua" w:eastAsia="Book Antiqua" w:hAnsi="Book Antiqua" w:cs="Book Antiqua"/>
          <w:color w:val="000000"/>
        </w:rPr>
        <w:t xml:space="preserve">; B: RNA sequencing analysis of the </w:t>
      </w:r>
      <w:r w:rsidRPr="00CC2B19">
        <w:rPr>
          <w:rFonts w:ascii="Book Antiqua" w:eastAsia="Book Antiqua" w:hAnsi="Book Antiqua" w:cs="Book Antiqua"/>
          <w:i/>
          <w:iCs/>
          <w:color w:val="000000"/>
        </w:rPr>
        <w:t>EGFR-SEPT14</w:t>
      </w:r>
      <w:r w:rsidRPr="00CC2B19">
        <w:rPr>
          <w:rFonts w:ascii="Book Antiqua" w:eastAsia="Book Antiqua" w:hAnsi="Book Antiqua" w:cs="Book Antiqua"/>
          <w:color w:val="000000"/>
        </w:rPr>
        <w:t xml:space="preserve"> fusion.</w:t>
      </w:r>
      <w:r>
        <w:rPr>
          <w:rFonts w:ascii="Book Antiqua" w:eastAsia="Book Antiqua" w:hAnsi="Book Antiqua" w:cs="Book Antiqua"/>
          <w:i/>
          <w:iCs/>
          <w:color w:val="000000"/>
        </w:rPr>
        <w:t xml:space="preserve"> </w:t>
      </w:r>
      <w:bookmarkEnd w:id="69"/>
      <w:bookmarkEnd w:id="70"/>
    </w:p>
    <w:p w:rsidR="00E86276" w:rsidRDefault="00E86276">
      <w:pPr>
        <w:rPr>
          <w:rFonts w:ascii="Book Antiqua" w:eastAsia="Book Antiqua" w:hAnsi="Book Antiqua" w:cs="Book Antiqua"/>
          <w:i/>
          <w:iCs/>
          <w:color w:val="000000"/>
        </w:rPr>
      </w:pPr>
      <w:r>
        <w:rPr>
          <w:rFonts w:ascii="Book Antiqua" w:eastAsia="Book Antiqua" w:hAnsi="Book Antiqua" w:cs="Book Antiqua"/>
          <w:i/>
          <w:iCs/>
          <w:color w:val="000000"/>
        </w:rPr>
        <w:br w:type="page"/>
      </w: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r>
        <w:rPr>
          <w:rFonts w:ascii="Book Antiqua" w:hAnsi="Book Antiqua"/>
          <w:noProof/>
          <w:lang w:eastAsia="zh-CN"/>
        </w:rPr>
        <w:drawing>
          <wp:inline distT="0" distB="0" distL="0" distR="0" wp14:anchorId="598FDDD0" wp14:editId="7F3D670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E86276" w:rsidRDefault="00E86276" w:rsidP="00E86276">
      <w:pPr>
        <w:jc w:val="center"/>
        <w:rPr>
          <w:rFonts w:ascii="Book Antiqua" w:hAnsi="Book Antiqua"/>
          <w:lang w:eastAsia="zh-CN"/>
        </w:rPr>
      </w:pPr>
    </w:p>
    <w:p w:rsidR="00E86276" w:rsidRPr="00763D22" w:rsidRDefault="00E86276" w:rsidP="00E8627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E86276" w:rsidRPr="00763D22" w:rsidRDefault="00E86276" w:rsidP="00E8627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E86276" w:rsidRPr="00763D22" w:rsidRDefault="00E86276" w:rsidP="00E8627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E86276" w:rsidRPr="00763D22" w:rsidRDefault="00E86276" w:rsidP="00E8627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E86276" w:rsidRPr="00763D22" w:rsidRDefault="00E86276" w:rsidP="00E8627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E86276" w:rsidRPr="00763D22" w:rsidRDefault="00E86276" w:rsidP="00E8627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r>
        <w:rPr>
          <w:rFonts w:ascii="Book Antiqua" w:hAnsi="Book Antiqua"/>
          <w:noProof/>
          <w:lang w:eastAsia="zh-CN"/>
        </w:rPr>
        <w:drawing>
          <wp:inline distT="0" distB="0" distL="0" distR="0" wp14:anchorId="71A74C8A" wp14:editId="3A303C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Default="00E86276" w:rsidP="00E86276">
      <w:pPr>
        <w:jc w:val="center"/>
        <w:rPr>
          <w:rFonts w:ascii="Book Antiqua" w:hAnsi="Book Antiqua"/>
          <w:lang w:eastAsia="zh-CN"/>
        </w:rPr>
      </w:pPr>
    </w:p>
    <w:p w:rsidR="00E86276" w:rsidRPr="00763D22" w:rsidRDefault="00E86276" w:rsidP="00E86276">
      <w:pPr>
        <w:jc w:val="right"/>
        <w:rPr>
          <w:rFonts w:ascii="Book Antiqua" w:hAnsi="Book Antiqua"/>
          <w:color w:val="000000" w:themeColor="text1"/>
          <w:lang w:eastAsia="zh-CN"/>
        </w:rPr>
      </w:pPr>
    </w:p>
    <w:p w:rsidR="00E86276" w:rsidRPr="00763D22" w:rsidRDefault="00E86276" w:rsidP="00E8627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44291D" w:rsidRDefault="0044291D">
      <w:pPr>
        <w:spacing w:line="360" w:lineRule="auto"/>
        <w:jc w:val="both"/>
        <w:rPr>
          <w:rFonts w:ascii="Book Antiqua" w:hAnsi="Book Antiqua"/>
        </w:rPr>
      </w:pPr>
      <w:bookmarkStart w:id="71" w:name="_GoBack"/>
      <w:bookmarkEnd w:id="71"/>
    </w:p>
    <w:sectPr w:rsidR="004429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4A" w:rsidRDefault="009A474A">
      <w:r>
        <w:separator/>
      </w:r>
    </w:p>
  </w:endnote>
  <w:endnote w:type="continuationSeparator" w:id="0">
    <w:p w:rsidR="009A474A" w:rsidRDefault="009A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1D" w:rsidRDefault="00CC4CA9">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9A474A" w:rsidRPr="009A474A">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9A474A" w:rsidRPr="009A474A">
      <w:rPr>
        <w:rFonts w:ascii="Book Antiqua" w:hAnsi="Book Antiqua"/>
        <w:noProof/>
        <w:sz w:val="24"/>
        <w:szCs w:val="24"/>
        <w:lang w:val="zh-CN" w:eastAsia="zh-CN"/>
      </w:rPr>
      <w:t>1</w:t>
    </w:r>
    <w:r>
      <w:rPr>
        <w:rFonts w:ascii="Book Antiqua" w:hAnsi="Book Antiqua"/>
        <w:sz w:val="24"/>
        <w:szCs w:val="24"/>
      </w:rPr>
      <w:fldChar w:fldCharType="end"/>
    </w:r>
  </w:p>
  <w:p w:rsidR="0044291D" w:rsidRDefault="0044291D">
    <w:pPr>
      <w:pStyle w:val="a3"/>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4A" w:rsidRDefault="009A474A">
      <w:r>
        <w:separator/>
      </w:r>
    </w:p>
  </w:footnote>
  <w:footnote w:type="continuationSeparator" w:id="0">
    <w:p w:rsidR="009A474A" w:rsidRDefault="009A4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23E"/>
    <w:rsid w:val="00036EBF"/>
    <w:rsid w:val="000403A9"/>
    <w:rsid w:val="000B1399"/>
    <w:rsid w:val="000F1B65"/>
    <w:rsid w:val="001226D5"/>
    <w:rsid w:val="00125086"/>
    <w:rsid w:val="001D17B1"/>
    <w:rsid w:val="001E5909"/>
    <w:rsid w:val="00271564"/>
    <w:rsid w:val="002A4343"/>
    <w:rsid w:val="002B57B3"/>
    <w:rsid w:val="002C5315"/>
    <w:rsid w:val="00314A92"/>
    <w:rsid w:val="0037629A"/>
    <w:rsid w:val="00400AD8"/>
    <w:rsid w:val="0044291D"/>
    <w:rsid w:val="00453312"/>
    <w:rsid w:val="004714CD"/>
    <w:rsid w:val="00475324"/>
    <w:rsid w:val="0048101B"/>
    <w:rsid w:val="004A2FE1"/>
    <w:rsid w:val="0051310B"/>
    <w:rsid w:val="00516677"/>
    <w:rsid w:val="00552552"/>
    <w:rsid w:val="00586B0D"/>
    <w:rsid w:val="00587A47"/>
    <w:rsid w:val="00607507"/>
    <w:rsid w:val="00625458"/>
    <w:rsid w:val="00676686"/>
    <w:rsid w:val="00687116"/>
    <w:rsid w:val="006A7E21"/>
    <w:rsid w:val="00736522"/>
    <w:rsid w:val="00763CF5"/>
    <w:rsid w:val="00767721"/>
    <w:rsid w:val="0079349C"/>
    <w:rsid w:val="00795E8A"/>
    <w:rsid w:val="00797D8C"/>
    <w:rsid w:val="007B4A56"/>
    <w:rsid w:val="007C07DE"/>
    <w:rsid w:val="007D3782"/>
    <w:rsid w:val="00810570"/>
    <w:rsid w:val="00841CDF"/>
    <w:rsid w:val="00842F7D"/>
    <w:rsid w:val="00847EA4"/>
    <w:rsid w:val="008A3270"/>
    <w:rsid w:val="008E3BF7"/>
    <w:rsid w:val="009972BF"/>
    <w:rsid w:val="009A474A"/>
    <w:rsid w:val="009A7CEB"/>
    <w:rsid w:val="009D6F88"/>
    <w:rsid w:val="009E2CB4"/>
    <w:rsid w:val="009E6934"/>
    <w:rsid w:val="009F4213"/>
    <w:rsid w:val="00A7107E"/>
    <w:rsid w:val="00A736C0"/>
    <w:rsid w:val="00A77B3E"/>
    <w:rsid w:val="00AF0866"/>
    <w:rsid w:val="00B07540"/>
    <w:rsid w:val="00B40252"/>
    <w:rsid w:val="00BE6E4C"/>
    <w:rsid w:val="00BF3890"/>
    <w:rsid w:val="00C036E7"/>
    <w:rsid w:val="00CA2A55"/>
    <w:rsid w:val="00CB4F8A"/>
    <w:rsid w:val="00CC2B19"/>
    <w:rsid w:val="00CC4CA9"/>
    <w:rsid w:val="00D36471"/>
    <w:rsid w:val="00D367FF"/>
    <w:rsid w:val="00D46413"/>
    <w:rsid w:val="00D507E0"/>
    <w:rsid w:val="00DB4D3E"/>
    <w:rsid w:val="00DC2022"/>
    <w:rsid w:val="00DD23DB"/>
    <w:rsid w:val="00DE767F"/>
    <w:rsid w:val="00E50EDE"/>
    <w:rsid w:val="00E5151B"/>
    <w:rsid w:val="00E86276"/>
    <w:rsid w:val="00E96F49"/>
    <w:rsid w:val="00ED1FAA"/>
    <w:rsid w:val="00F3508B"/>
    <w:rsid w:val="00F550B2"/>
    <w:rsid w:val="00F5511A"/>
    <w:rsid w:val="00FB0992"/>
    <w:rsid w:val="00FD7A3B"/>
    <w:rsid w:val="00FF3651"/>
    <w:rsid w:val="48000EB7"/>
    <w:rsid w:val="63775411"/>
    <w:rsid w:val="7E2E4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semiHidden/>
    <w:unhideWhenUsed/>
    <w:rsid w:val="00767721"/>
    <w:rPr>
      <w:sz w:val="18"/>
      <w:szCs w:val="18"/>
    </w:rPr>
  </w:style>
  <w:style w:type="character" w:customStyle="1" w:styleId="Char1">
    <w:name w:val="批注框文本 Char"/>
    <w:basedOn w:val="a0"/>
    <w:link w:val="a5"/>
    <w:semiHidden/>
    <w:rsid w:val="00767721"/>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semiHidden/>
    <w:unhideWhenUsed/>
    <w:rsid w:val="00767721"/>
    <w:rPr>
      <w:sz w:val="18"/>
      <w:szCs w:val="18"/>
    </w:rPr>
  </w:style>
  <w:style w:type="character" w:customStyle="1" w:styleId="Char1">
    <w:name w:val="批注框文本 Char"/>
    <w:basedOn w:val="a0"/>
    <w:link w:val="a5"/>
    <w:semiHidden/>
    <w:rsid w:val="0076772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2711</Words>
  <Characters>15458</Characters>
  <Application>Microsoft Office Word</Application>
  <DocSecurity>0</DocSecurity>
  <Lines>128</Lines>
  <Paragraphs>36</Paragraphs>
  <ScaleCrop>false</ScaleCrop>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2021-03-07T21:47:00Z</dcterms:created>
  <dcterms:modified xsi:type="dcterms:W3CDTF">2021-04-13T05:54:00Z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ED2986FD252D4676A8195298CBC6C3A6</vt:lpwstr>
  </property>
</Properties>
</file>