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B075" w14:textId="77777777" w:rsidR="00326869" w:rsidRDefault="008967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9F424F" w14:textId="77777777" w:rsidR="00326869" w:rsidRDefault="008967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61384</w:t>
      </w:r>
    </w:p>
    <w:p w14:paraId="23BFA752" w14:textId="77777777" w:rsidR="00326869" w:rsidRDefault="008967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82A75F" w14:textId="77777777" w:rsidR="00326869" w:rsidRDefault="00326869">
      <w:pPr>
        <w:spacing w:line="360" w:lineRule="auto"/>
        <w:jc w:val="both"/>
      </w:pPr>
    </w:p>
    <w:p w14:paraId="515B8BED" w14:textId="77777777" w:rsidR="00326869" w:rsidRDefault="008967A2">
      <w:pPr>
        <w:spacing w:line="360" w:lineRule="auto"/>
        <w:jc w:val="both"/>
      </w:pPr>
      <w:r>
        <w:rPr>
          <w:rFonts w:ascii="Book Antiqua" w:eastAsia="Book Antiqua" w:hAnsi="Book Antiqua" w:cs="Book Antiqua"/>
          <w:b/>
          <w:i/>
          <w:color w:val="000000"/>
        </w:rPr>
        <w:t>Observational Study</w:t>
      </w:r>
    </w:p>
    <w:p w14:paraId="4013E794" w14:textId="77777777" w:rsidR="00326869" w:rsidRDefault="008967A2">
      <w:pPr>
        <w:spacing w:line="360" w:lineRule="auto"/>
        <w:jc w:val="both"/>
      </w:pPr>
      <w:r>
        <w:rPr>
          <w:rFonts w:ascii="Book Antiqua" w:eastAsia="Book Antiqua" w:hAnsi="Book Antiqua" w:cs="Book Antiqua"/>
          <w:b/>
          <w:bCs/>
          <w:color w:val="000000"/>
        </w:rPr>
        <w:t xml:space="preserve">Differences in dietary habits of people with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without irritable bowel syndrome and their association with symptom and psychological status: A pilot study</w:t>
      </w:r>
    </w:p>
    <w:p w14:paraId="56A7E27E" w14:textId="77777777" w:rsidR="00326869" w:rsidRDefault="00326869">
      <w:pPr>
        <w:spacing w:line="360" w:lineRule="auto"/>
        <w:jc w:val="both"/>
      </w:pPr>
    </w:p>
    <w:p w14:paraId="01A8F1CA" w14:textId="77777777" w:rsidR="00326869" w:rsidRDefault="008967A2">
      <w:pPr>
        <w:spacing w:line="360" w:lineRule="auto"/>
        <w:jc w:val="both"/>
      </w:pPr>
      <w:r>
        <w:rPr>
          <w:rFonts w:ascii="Book Antiqua" w:eastAsia="Book Antiqua" w:hAnsi="Book Antiqua" w:cs="Book Antiqua"/>
          <w:color w:val="000000"/>
        </w:rPr>
        <w:t xml:space="preserve">Meng Q </w:t>
      </w:r>
      <w:r>
        <w:rPr>
          <w:rFonts w:ascii="Book Antiqua" w:eastAsia="Book Antiqua" w:hAnsi="Book Antiqua" w:cs="Book Antiqua"/>
          <w:i/>
          <w:iCs/>
          <w:color w:val="000000"/>
        </w:rPr>
        <w:t>et al</w:t>
      </w:r>
      <w:r>
        <w:rPr>
          <w:rFonts w:ascii="Book Antiqua" w:eastAsia="Book Antiqua" w:hAnsi="Book Antiqua" w:cs="Book Antiqua"/>
          <w:color w:val="000000"/>
        </w:rPr>
        <w:t>. IBS and dietary habits</w:t>
      </w:r>
    </w:p>
    <w:p w14:paraId="49508915" w14:textId="77777777" w:rsidR="00326869" w:rsidRDefault="00326869">
      <w:pPr>
        <w:spacing w:line="360" w:lineRule="auto"/>
        <w:jc w:val="both"/>
      </w:pPr>
    </w:p>
    <w:p w14:paraId="31A7B509" w14:textId="77777777" w:rsidR="00326869" w:rsidRDefault="008967A2">
      <w:pPr>
        <w:spacing w:line="360" w:lineRule="auto"/>
        <w:jc w:val="both"/>
      </w:pPr>
      <w:r>
        <w:rPr>
          <w:rFonts w:ascii="Book Antiqua" w:eastAsia="Book Antiqua" w:hAnsi="Book Antiqua" w:cs="Book Antiqua"/>
          <w:color w:val="000000"/>
        </w:rPr>
        <w:t>Qiao Meng, Geng Qin, Shu-Kun Yao, Guo-Hui Fan, Fen Dong, Chang Tan</w:t>
      </w:r>
    </w:p>
    <w:p w14:paraId="09D8E760" w14:textId="77777777" w:rsidR="00326869" w:rsidRDefault="00326869">
      <w:pPr>
        <w:spacing w:line="360" w:lineRule="auto"/>
        <w:jc w:val="both"/>
      </w:pPr>
    </w:p>
    <w:p w14:paraId="6130FDD4" w14:textId="77777777" w:rsidR="00326869" w:rsidRDefault="008967A2">
      <w:pPr>
        <w:spacing w:line="360" w:lineRule="auto"/>
        <w:jc w:val="both"/>
      </w:pPr>
      <w:r>
        <w:rPr>
          <w:rFonts w:ascii="Book Antiqua" w:eastAsia="Book Antiqua" w:hAnsi="Book Antiqua" w:cs="Book Antiqua"/>
          <w:b/>
          <w:bCs/>
          <w:color w:val="000000"/>
        </w:rPr>
        <w:t xml:space="preserve">Qiao Meng, Shu-Kun Yao, Chang Tan, </w:t>
      </w:r>
      <w:r>
        <w:rPr>
          <w:rFonts w:ascii="Book Antiqua" w:eastAsia="Book Antiqua" w:hAnsi="Book Antiqua" w:cs="Book Antiqua"/>
          <w:color w:val="000000"/>
        </w:rPr>
        <w:t>Gradu</w:t>
      </w:r>
      <w:r>
        <w:rPr>
          <w:rFonts w:ascii="Book Antiqua" w:eastAsia="Book Antiqua" w:hAnsi="Book Antiqua" w:cs="Book Antiqua"/>
          <w:color w:val="000000"/>
        </w:rPr>
        <w:t>ate School, Peking University China-Japan Friendship School of Clinical Medicine, Beijing 100029, China</w:t>
      </w:r>
    </w:p>
    <w:p w14:paraId="2F869172" w14:textId="77777777" w:rsidR="00326869" w:rsidRDefault="00326869">
      <w:pPr>
        <w:spacing w:line="360" w:lineRule="auto"/>
        <w:jc w:val="both"/>
      </w:pPr>
    </w:p>
    <w:p w14:paraId="58869DAD" w14:textId="77777777" w:rsidR="00326869" w:rsidRDefault="008967A2">
      <w:pPr>
        <w:spacing w:line="360" w:lineRule="auto"/>
        <w:jc w:val="both"/>
      </w:pPr>
      <w:r>
        <w:rPr>
          <w:rFonts w:ascii="Book Antiqua" w:eastAsia="Book Antiqua" w:hAnsi="Book Antiqua" w:cs="Book Antiqua"/>
          <w:b/>
          <w:bCs/>
          <w:color w:val="000000"/>
        </w:rPr>
        <w:t xml:space="preserve">Geng Qin, Shu-Kun Yao, </w:t>
      </w:r>
      <w:r>
        <w:rPr>
          <w:rFonts w:ascii="Book Antiqua" w:eastAsia="Book Antiqua" w:hAnsi="Book Antiqua" w:cs="Book Antiqua"/>
          <w:color w:val="000000"/>
        </w:rPr>
        <w:t>Department of Gastroenterology, China-Japan Friendship Hospital, Beijing 100029, China</w:t>
      </w:r>
    </w:p>
    <w:p w14:paraId="3F5BD8D4" w14:textId="77777777" w:rsidR="00326869" w:rsidRDefault="00326869">
      <w:pPr>
        <w:spacing w:line="360" w:lineRule="auto"/>
        <w:jc w:val="both"/>
      </w:pPr>
    </w:p>
    <w:p w14:paraId="419A14D5" w14:textId="77777777" w:rsidR="00326869" w:rsidRDefault="008967A2">
      <w:pPr>
        <w:spacing w:line="360" w:lineRule="auto"/>
        <w:jc w:val="both"/>
      </w:pPr>
      <w:r>
        <w:rPr>
          <w:rFonts w:ascii="Book Antiqua" w:eastAsia="Book Antiqua" w:hAnsi="Book Antiqua" w:cs="Book Antiqua"/>
          <w:b/>
          <w:bCs/>
          <w:color w:val="000000"/>
        </w:rPr>
        <w:t xml:space="preserve">Guo-Hui Fan, Fen Dong, </w:t>
      </w:r>
      <w:r>
        <w:rPr>
          <w:rFonts w:ascii="Book Antiqua" w:eastAsia="Book Antiqua" w:hAnsi="Book Antiqua" w:cs="Book Antiqua"/>
          <w:color w:val="000000"/>
        </w:rPr>
        <w:t>Institute of Clin</w:t>
      </w:r>
      <w:r>
        <w:rPr>
          <w:rFonts w:ascii="Book Antiqua" w:eastAsia="Book Antiqua" w:hAnsi="Book Antiqua" w:cs="Book Antiqua"/>
          <w:color w:val="000000"/>
        </w:rPr>
        <w:t>ical Medical Sciences, China-Japan Friendship Hospital, Beijing 100029, China</w:t>
      </w:r>
    </w:p>
    <w:p w14:paraId="4F1E04B9" w14:textId="77777777" w:rsidR="00326869" w:rsidRDefault="00326869">
      <w:pPr>
        <w:spacing w:line="360" w:lineRule="auto"/>
        <w:jc w:val="both"/>
      </w:pPr>
    </w:p>
    <w:p w14:paraId="4DA802C6" w14:textId="77777777" w:rsidR="00326869" w:rsidRDefault="008967A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Meng Q and Tan C performed the study, analyzed the data</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and drafted the manuscript; Dong F and Fan GH gave guidance to data processing; Qin G contributed </w:t>
      </w:r>
      <w:r>
        <w:rPr>
          <w:rFonts w:ascii="Book Antiqua" w:eastAsia="Book Antiqua" w:hAnsi="Book Antiqua" w:cs="Book Antiqua"/>
          <w:color w:val="000000"/>
        </w:rPr>
        <w:t>to project design and supervised the investigation progress; Yao SK designed the study, revised the manuscript, and supervised the study performance.</w:t>
      </w:r>
    </w:p>
    <w:p w14:paraId="417F5067" w14:textId="77777777" w:rsidR="00326869" w:rsidRDefault="00326869">
      <w:pPr>
        <w:spacing w:line="360" w:lineRule="auto"/>
        <w:jc w:val="both"/>
      </w:pPr>
    </w:p>
    <w:p w14:paraId="4C3C5D87" w14:textId="77777777" w:rsidR="00326869" w:rsidRDefault="008967A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Key Technology Support Program during “12</w:t>
      </w:r>
      <w:r>
        <w:rPr>
          <w:rFonts w:ascii="Book Antiqua" w:eastAsia="Book Antiqua" w:hAnsi="Book Antiqua" w:cs="Book Antiqua"/>
          <w:color w:val="000000"/>
          <w:szCs w:val="36"/>
          <w:vertAlign w:val="superscript"/>
        </w:rPr>
        <w:t xml:space="preserve">th </w:t>
      </w:r>
      <w:r>
        <w:rPr>
          <w:rFonts w:ascii="Book Antiqua" w:eastAsia="Book Antiqua" w:hAnsi="Book Antiqua" w:cs="Book Antiqua"/>
          <w:color w:val="000000"/>
        </w:rPr>
        <w:t>Five-Year Plan” Period of China, No</w:t>
      </w:r>
      <w:r>
        <w:rPr>
          <w:rFonts w:ascii="Book Antiqua" w:eastAsia="Book Antiqua" w:hAnsi="Book Antiqua" w:cs="Book Antiqua"/>
          <w:color w:val="000000"/>
        </w:rPr>
        <w:t>. 2014BAI08B00; and the Leap-forward Development Program for Beijing Biopharmaceutical Industry (G20), No. Z171100001717008.</w:t>
      </w:r>
    </w:p>
    <w:p w14:paraId="42DCE347" w14:textId="77777777" w:rsidR="00326869" w:rsidRDefault="00326869">
      <w:pPr>
        <w:spacing w:line="360" w:lineRule="auto"/>
        <w:jc w:val="both"/>
      </w:pPr>
    </w:p>
    <w:p w14:paraId="2F07EF77" w14:textId="77777777" w:rsidR="00326869" w:rsidRDefault="008967A2">
      <w:pPr>
        <w:spacing w:line="360" w:lineRule="auto"/>
        <w:jc w:val="both"/>
      </w:pPr>
      <w:r>
        <w:rPr>
          <w:rFonts w:ascii="Book Antiqua" w:eastAsia="Book Antiqua" w:hAnsi="Book Antiqua" w:cs="Book Antiqua"/>
          <w:b/>
          <w:bCs/>
          <w:color w:val="000000"/>
        </w:rPr>
        <w:lastRenderedPageBreak/>
        <w:t xml:space="preserve">Corresponding author: Shu-Kun Yao, MD, PhD, Professor, </w:t>
      </w:r>
      <w:r>
        <w:rPr>
          <w:rFonts w:ascii="Book Antiqua" w:eastAsia="Book Antiqua" w:hAnsi="Book Antiqua" w:cs="Book Antiqua"/>
          <w:color w:val="000000"/>
        </w:rPr>
        <w:t>Graduate School, Peking University China-Japan Friendship School of Clinica</w:t>
      </w:r>
      <w:r>
        <w:rPr>
          <w:rFonts w:ascii="Book Antiqua" w:eastAsia="Book Antiqua" w:hAnsi="Book Antiqua" w:cs="Book Antiqua"/>
          <w:color w:val="000000"/>
        </w:rPr>
        <w:t>l Medicine, No. 2 Yinghua East Road, Chaoyang District, Beijing 100029, China. shukunyao@126.com</w:t>
      </w:r>
    </w:p>
    <w:p w14:paraId="5E7A6572" w14:textId="77777777" w:rsidR="00326869" w:rsidRDefault="00326869">
      <w:pPr>
        <w:spacing w:line="360" w:lineRule="auto"/>
        <w:jc w:val="both"/>
      </w:pPr>
    </w:p>
    <w:p w14:paraId="1892AF9E" w14:textId="77777777" w:rsidR="00326869" w:rsidRDefault="008967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2020</w:t>
      </w:r>
    </w:p>
    <w:p w14:paraId="4E67F4C6" w14:textId="77777777" w:rsidR="00326869" w:rsidRDefault="008967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05262880" w14:textId="77777777" w:rsidR="00326869" w:rsidRDefault="008967A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19, 2021</w:t>
      </w:r>
    </w:p>
    <w:p w14:paraId="23EC5E70" w14:textId="77777777" w:rsidR="00326869" w:rsidRDefault="008967A2">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April 16, 2021</w:t>
      </w:r>
    </w:p>
    <w:p w14:paraId="3DEFC169" w14:textId="77777777" w:rsidR="00326869" w:rsidRDefault="00326869">
      <w:pPr>
        <w:spacing w:line="360" w:lineRule="auto"/>
        <w:jc w:val="both"/>
        <w:rPr>
          <w:rFonts w:ascii="Book Antiqua" w:eastAsia="Book Antiqua" w:hAnsi="Book Antiqua" w:cs="Book Antiqua"/>
          <w:b/>
          <w:color w:val="000000"/>
        </w:rPr>
      </w:pPr>
    </w:p>
    <w:p w14:paraId="31DBA101" w14:textId="77777777" w:rsidR="00326869" w:rsidRDefault="008967A2">
      <w:pPr>
        <w:spacing w:line="360" w:lineRule="auto"/>
        <w:jc w:val="both"/>
      </w:pPr>
      <w:r>
        <w:rPr>
          <w:rFonts w:ascii="Book Antiqua" w:eastAsia="Book Antiqua" w:hAnsi="Book Antiqua" w:cs="Book Antiqua"/>
          <w:b/>
          <w:color w:val="000000"/>
        </w:rPr>
        <w:t>Abstract</w:t>
      </w:r>
    </w:p>
    <w:p w14:paraId="51BC5E42" w14:textId="77777777" w:rsidR="00326869" w:rsidRDefault="008967A2">
      <w:pPr>
        <w:spacing w:line="360" w:lineRule="auto"/>
        <w:jc w:val="both"/>
      </w:pPr>
      <w:r>
        <w:rPr>
          <w:rFonts w:ascii="Book Antiqua" w:eastAsia="Book Antiqua" w:hAnsi="Book Antiqua" w:cs="Book Antiqua"/>
          <w:color w:val="000000"/>
        </w:rPr>
        <w:t>BACKGROUND</w:t>
      </w:r>
    </w:p>
    <w:p w14:paraId="4278DAF9" w14:textId="77777777" w:rsidR="00326869" w:rsidRDefault="008967A2">
      <w:pPr>
        <w:spacing w:line="360" w:lineRule="auto"/>
        <w:jc w:val="both"/>
      </w:pPr>
      <w:r>
        <w:rPr>
          <w:rFonts w:ascii="Book Antiqua" w:eastAsia="Book Antiqua" w:hAnsi="Book Antiqua" w:cs="Book Antiqua"/>
          <w:color w:val="000000"/>
        </w:rPr>
        <w:t xml:space="preserve">Previous </w:t>
      </w:r>
      <w:r>
        <w:rPr>
          <w:rFonts w:ascii="Book Antiqua" w:eastAsia="Book Antiqua" w:hAnsi="Book Antiqua" w:cs="Book Antiqua"/>
          <w:color w:val="000000"/>
        </w:rPr>
        <w:t>studies have demonstrated that dietary factors are involved in irritable bowel syndrome (IBS), but the role of diet was evaluated mostly based on food frequency questionnaire. Whether food categories, quantity per time, and intake frequency are different b</w:t>
      </w:r>
      <w:r>
        <w:rPr>
          <w:rFonts w:ascii="Book Antiqua" w:eastAsia="Book Antiqua" w:hAnsi="Book Antiqua" w:cs="Book Antiqua"/>
          <w:color w:val="000000"/>
        </w:rPr>
        <w:t>etween IBS patients and non-IBS individuals has not been clearly clarified.</w:t>
      </w:r>
    </w:p>
    <w:p w14:paraId="317569DC" w14:textId="77777777" w:rsidR="00326869" w:rsidRDefault="00326869">
      <w:pPr>
        <w:spacing w:line="360" w:lineRule="auto"/>
        <w:jc w:val="both"/>
      </w:pPr>
    </w:p>
    <w:p w14:paraId="006AE9E1" w14:textId="77777777" w:rsidR="00326869" w:rsidRDefault="008967A2">
      <w:pPr>
        <w:spacing w:line="360" w:lineRule="auto"/>
        <w:jc w:val="both"/>
      </w:pPr>
      <w:r>
        <w:rPr>
          <w:rFonts w:ascii="Book Antiqua" w:eastAsia="Book Antiqua" w:hAnsi="Book Antiqua" w:cs="Book Antiqua"/>
          <w:color w:val="000000"/>
        </w:rPr>
        <w:t>AIM</w:t>
      </w:r>
    </w:p>
    <w:p w14:paraId="209AFEC2" w14:textId="77777777" w:rsidR="00326869" w:rsidRDefault="008967A2">
      <w:pPr>
        <w:spacing w:line="360" w:lineRule="auto"/>
        <w:jc w:val="both"/>
      </w:pPr>
      <w:r>
        <w:rPr>
          <w:rFonts w:ascii="Book Antiqua" w:eastAsia="Book Antiqua" w:hAnsi="Book Antiqua" w:cs="Book Antiqua"/>
          <w:color w:val="000000"/>
        </w:rPr>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without IBS and their correlation with symptom and psychological status.</w:t>
      </w:r>
    </w:p>
    <w:p w14:paraId="752C1DC9" w14:textId="77777777" w:rsidR="00326869" w:rsidRDefault="00326869">
      <w:pPr>
        <w:spacing w:line="360" w:lineRule="auto"/>
        <w:jc w:val="both"/>
      </w:pPr>
    </w:p>
    <w:p w14:paraId="387F8E09" w14:textId="77777777" w:rsidR="00326869" w:rsidRDefault="008967A2">
      <w:pPr>
        <w:spacing w:line="360" w:lineRule="auto"/>
        <w:jc w:val="both"/>
      </w:pPr>
      <w:r>
        <w:rPr>
          <w:rFonts w:ascii="Book Antiqua" w:eastAsia="Book Antiqua" w:hAnsi="Book Antiqua" w:cs="Book Antiqua"/>
          <w:color w:val="000000"/>
        </w:rPr>
        <w:t>METHODS</w:t>
      </w:r>
    </w:p>
    <w:p w14:paraId="1078C19E" w14:textId="77777777" w:rsidR="00326869" w:rsidRDefault="008967A2">
      <w:pPr>
        <w:spacing w:line="360" w:lineRule="auto"/>
        <w:jc w:val="both"/>
      </w:pPr>
      <w:r>
        <w:rPr>
          <w:rFonts w:ascii="Book Antiqua" w:eastAsia="Book Antiqua" w:hAnsi="Book Antiqua" w:cs="Book Antiqua"/>
          <w:color w:val="000000"/>
        </w:rPr>
        <w:t>A total of 220 questionnaires were</w:t>
      </w:r>
      <w:r>
        <w:rPr>
          <w:rFonts w:ascii="Book Antiqua" w:eastAsia="Book Antiqua" w:hAnsi="Book Antiqua" w:cs="Book Antiqua"/>
          <w:color w:val="000000"/>
        </w:rPr>
        <w:t xml:space="preserve"> administered in a community population and the Rome IV criteria was applied to diagnose IBS. The dietary questionnaire used in this study was multidimensional from food categories, quantity per time, and intake frequency, in contrast to “yes or no” classi</w:t>
      </w:r>
      <w:r>
        <w:rPr>
          <w:rFonts w:ascii="Book Antiqua" w:eastAsia="Book Antiqua" w:hAnsi="Book Antiqua" w:cs="Book Antiqua"/>
          <w:color w:val="000000"/>
        </w:rPr>
        <w:t>fication used in previous studies. Questionnaires including IBS symptom severity scale (IBS-SSS), IBS quality of life, visceral sensitivity index, hospital anxiety and depression score (HADS), and gastrointestinal symptom rating scale were used to assess t</w:t>
      </w:r>
      <w:r>
        <w:rPr>
          <w:rFonts w:ascii="Book Antiqua" w:eastAsia="Book Antiqua" w:hAnsi="Book Antiqua" w:cs="Book Antiqua"/>
          <w:color w:val="000000"/>
        </w:rPr>
        <w:t xml:space="preserve">he participants. Rank sum test was used to compare the quantity per time and intake frequency between IBS patients </w:t>
      </w:r>
      <w:r>
        <w:rPr>
          <w:rFonts w:ascii="Book Antiqua" w:eastAsia="Book Antiqua" w:hAnsi="Book Antiqua" w:cs="Book Antiqua"/>
          <w:color w:val="000000"/>
        </w:rPr>
        <w:lastRenderedPageBreak/>
        <w:t>and non-IBS participants. The correlation between psychological factors and diet was evaluated by Spearman correlation analysis. Logistic reg</w:t>
      </w:r>
      <w:r>
        <w:rPr>
          <w:rFonts w:ascii="Book Antiqua" w:eastAsia="Book Antiqua" w:hAnsi="Book Antiqua" w:cs="Book Antiqua"/>
          <w:color w:val="000000"/>
        </w:rPr>
        <w:t xml:space="preserve">ression analysis was used to assess the possible dietary risk factors for IBS. </w:t>
      </w:r>
    </w:p>
    <w:p w14:paraId="03A895C8" w14:textId="77777777" w:rsidR="00326869" w:rsidRDefault="00326869">
      <w:pPr>
        <w:spacing w:line="360" w:lineRule="auto"/>
        <w:jc w:val="both"/>
      </w:pPr>
    </w:p>
    <w:p w14:paraId="7586C2CA" w14:textId="77777777" w:rsidR="00326869" w:rsidRDefault="008967A2">
      <w:pPr>
        <w:spacing w:line="360" w:lineRule="auto"/>
        <w:jc w:val="both"/>
      </w:pPr>
      <w:r>
        <w:rPr>
          <w:rFonts w:ascii="Book Antiqua" w:eastAsia="Book Antiqua" w:hAnsi="Book Antiqua" w:cs="Book Antiqua"/>
          <w:color w:val="000000"/>
        </w:rPr>
        <w:t>RESULTS</w:t>
      </w:r>
    </w:p>
    <w:p w14:paraId="4DEBB4DF" w14:textId="77777777" w:rsidR="00326869" w:rsidRDefault="008967A2">
      <w:pPr>
        <w:spacing w:line="360" w:lineRule="auto"/>
        <w:jc w:val="both"/>
      </w:pPr>
      <w:r>
        <w:rPr>
          <w:rFonts w:ascii="Book Antiqua" w:eastAsia="Book Antiqua" w:hAnsi="Book Antiqua" w:cs="Book Antiqua"/>
          <w:color w:val="000000"/>
        </w:rPr>
        <w:t>In total, 203 valid questionnaires were collected (response rate 92.3%). Twenty-five participants met the Rome IV criteria for IBS, including 15 (60.0%) women and 10 (</w:t>
      </w:r>
      <w:r>
        <w:rPr>
          <w:rFonts w:ascii="Book Antiqua" w:eastAsia="Book Antiqua" w:hAnsi="Book Antiqua" w:cs="Book Antiqua"/>
          <w:color w:val="000000"/>
        </w:rPr>
        <w:t>40.0%) men. Compared with the non-IBS group, the quantity per time and intake frequency of soybean and its products, spicy food, and dry-fried nuts were statistically significant in IBS participants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They were positively associated with IBS-SSS </w:t>
      </w:r>
      <w:r>
        <w:rPr>
          <w:rFonts w:ascii="Book Antiqua" w:eastAsia="Book Antiqua" w:hAnsi="Book Antiqua" w:cs="Book Antiqua"/>
          <w:color w:val="000000"/>
        </w:rPr>
        <w:t>and HADS anxiety and depression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Besides, seafood, soft drinks, vegetables, and fruits differed only in quantity per time. The intake frequencies of egg, barbecue, and coarse grain were statistically significant in IBS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We also found that the frequency of soybean and its products (≥ 7 </w:t>
      </w:r>
      <w:r>
        <w:rPr>
          <w:rFonts w:ascii="Book Antiqua" w:eastAsia="Book Antiqua" w:hAnsi="Book Antiqua" w:cs="Book Antiqua"/>
          <w:iCs/>
          <w:color w:val="000000"/>
        </w:rPr>
        <w:t>times</w:t>
      </w:r>
      <w:r>
        <w:rPr>
          <w:rFonts w:ascii="Book Antiqua" w:eastAsia="Book Antiqua" w:hAnsi="Book Antiqua" w:cs="Book Antiqua"/>
          <w:color w:val="000000"/>
        </w:rPr>
        <w:t xml:space="preserve">/week, odds ratio = 11.613, 95% confidence interval: 2.145-62.855,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was an independent risk factor for IBS. </w:t>
      </w:r>
    </w:p>
    <w:p w14:paraId="6686A1A8" w14:textId="77777777" w:rsidR="00326869" w:rsidRDefault="00326869">
      <w:pPr>
        <w:spacing w:line="360" w:lineRule="auto"/>
        <w:jc w:val="both"/>
      </w:pPr>
    </w:p>
    <w:p w14:paraId="55F49148" w14:textId="77777777" w:rsidR="00326869" w:rsidRDefault="008967A2">
      <w:pPr>
        <w:spacing w:line="360" w:lineRule="auto"/>
        <w:jc w:val="both"/>
      </w:pPr>
      <w:r>
        <w:rPr>
          <w:rFonts w:ascii="Book Antiqua" w:eastAsia="Book Antiqua" w:hAnsi="Book Antiqua" w:cs="Book Antiqua"/>
          <w:color w:val="000000"/>
        </w:rPr>
        <w:t>CONCLUSION</w:t>
      </w:r>
    </w:p>
    <w:p w14:paraId="22765C89" w14:textId="77777777" w:rsidR="00326869" w:rsidRDefault="008967A2">
      <w:pPr>
        <w:spacing w:line="360" w:lineRule="auto"/>
        <w:jc w:val="both"/>
      </w:pPr>
      <w:r>
        <w:rPr>
          <w:rFonts w:ascii="Book Antiqua" w:eastAsia="Book Antiqua" w:hAnsi="Book Antiqua" w:cs="Book Antiqua"/>
          <w:color w:val="000000"/>
        </w:rPr>
        <w:t>Both quantity per time and intake frequency, especia</w:t>
      </w:r>
      <w:r>
        <w:rPr>
          <w:rFonts w:ascii="Book Antiqua" w:eastAsia="Book Antiqua" w:hAnsi="Book Antiqua" w:cs="Book Antiqua"/>
          <w:color w:val="000000"/>
        </w:rPr>
        <w:t>lly soybean, differ between IBS patients and non-IBS participants. Dietary habits might play potential roles in the pathophysiology of IBS.</w:t>
      </w:r>
    </w:p>
    <w:p w14:paraId="31C8C465" w14:textId="77777777" w:rsidR="00326869" w:rsidRDefault="00326869">
      <w:pPr>
        <w:spacing w:line="360" w:lineRule="auto"/>
        <w:jc w:val="both"/>
      </w:pPr>
    </w:p>
    <w:p w14:paraId="7E231B3F" w14:textId="77777777" w:rsidR="00326869" w:rsidRDefault="008967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Irritable bowel syndrome; Dietary habits; Quantity per time; Intake frequency; Symptom severity; Psychos</w:t>
      </w:r>
      <w:r>
        <w:rPr>
          <w:rFonts w:ascii="Book Antiqua" w:eastAsia="Book Antiqua" w:hAnsi="Book Antiqua" w:cs="Book Antiqua"/>
          <w:color w:val="000000"/>
        </w:rPr>
        <w:t>ocial status</w:t>
      </w:r>
    </w:p>
    <w:p w14:paraId="61D3F936" w14:textId="77777777" w:rsidR="004D7CB5" w:rsidRDefault="004D7CB5" w:rsidP="004D7CB5">
      <w:pPr>
        <w:spacing w:line="360" w:lineRule="auto"/>
        <w:jc w:val="both"/>
        <w:rPr>
          <w:lang w:eastAsia="zh-CN"/>
        </w:rPr>
      </w:pPr>
    </w:p>
    <w:p w14:paraId="1C0C80AF" w14:textId="77777777" w:rsidR="004D7CB5" w:rsidRDefault="004D7CB5" w:rsidP="004D7CB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6B17AEA" w14:textId="77777777" w:rsidR="004D7CB5" w:rsidRDefault="004D7CB5" w:rsidP="004D7CB5">
      <w:pPr>
        <w:spacing w:line="360" w:lineRule="auto"/>
        <w:jc w:val="both"/>
        <w:rPr>
          <w:rFonts w:eastAsiaTheme="minorEastAsia"/>
          <w:lang w:eastAsia="zh-CN"/>
        </w:rPr>
      </w:pPr>
    </w:p>
    <w:p w14:paraId="766BF191" w14:textId="6C2D68C3" w:rsidR="005752B1" w:rsidRDefault="004D7CB5" w:rsidP="004D7CB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967A2">
        <w:rPr>
          <w:rFonts w:ascii="Book Antiqua" w:eastAsia="Book Antiqua" w:hAnsi="Book Antiqua" w:cs="Book Antiqua"/>
          <w:color w:val="000000"/>
        </w:rPr>
        <w:t xml:space="preserve">Meng Q, Qin G, Yao SK, Fan GH, Dong F, Tan C. Differences in dietary habits of people with </w:t>
      </w:r>
      <w:r w:rsidR="008967A2">
        <w:rPr>
          <w:rFonts w:ascii="Book Antiqua" w:eastAsia="Book Antiqua" w:hAnsi="Book Antiqua" w:cs="Book Antiqua"/>
          <w:i/>
          <w:color w:val="000000"/>
        </w:rPr>
        <w:t>vs</w:t>
      </w:r>
      <w:r w:rsidR="008967A2">
        <w:rPr>
          <w:rFonts w:ascii="Book Antiqua" w:eastAsia="Book Antiqua" w:hAnsi="Book Antiqua" w:cs="Book Antiqua"/>
          <w:color w:val="000000"/>
        </w:rPr>
        <w:t xml:space="preserve"> without irritable bowel syndrome and their association with symptom </w:t>
      </w:r>
      <w:r w:rsidR="008967A2">
        <w:rPr>
          <w:rFonts w:ascii="Book Antiqua" w:eastAsia="Book Antiqua" w:hAnsi="Book Antiqua" w:cs="Book Antiqua"/>
          <w:color w:val="000000"/>
        </w:rPr>
        <w:lastRenderedPageBreak/>
        <w:t xml:space="preserve">and psychological status: A pilot study. </w:t>
      </w:r>
      <w:r w:rsidR="008967A2">
        <w:rPr>
          <w:rFonts w:ascii="Book Antiqua" w:eastAsia="Book Antiqua" w:hAnsi="Book Antiqua" w:cs="Book Antiqua"/>
          <w:i/>
          <w:iCs/>
          <w:color w:val="000000"/>
        </w:rPr>
        <w:t>World J Clin Cases</w:t>
      </w:r>
      <w:r w:rsidR="008967A2">
        <w:rPr>
          <w:rFonts w:ascii="Book Antiqua" w:eastAsia="Book Antiqua" w:hAnsi="Book Antiqua" w:cs="Book Antiqua"/>
          <w:color w:val="000000"/>
        </w:rPr>
        <w:t xml:space="preserve"> 2021;</w:t>
      </w:r>
      <w:r w:rsidR="008967A2">
        <w:rPr>
          <w:rFonts w:ascii="Book Antiqua" w:eastAsia="Book Antiqua" w:hAnsi="Book Antiqua" w:cs="Book Antiqua" w:hint="eastAsia"/>
          <w:color w:val="000000"/>
        </w:rPr>
        <w:t xml:space="preserve"> 9(11): </w:t>
      </w:r>
      <w:r w:rsidR="009C0D36" w:rsidRPr="009C0D36">
        <w:rPr>
          <w:rFonts w:ascii="Book Antiqua" w:eastAsia="Book Antiqua" w:hAnsi="Book Antiqua" w:cs="Book Antiqua"/>
          <w:color w:val="000000"/>
        </w:rPr>
        <w:t>2487-2502</w:t>
      </w:r>
      <w:r w:rsidR="008967A2">
        <w:rPr>
          <w:rFonts w:ascii="Book Antiqua" w:eastAsia="Book Antiqua" w:hAnsi="Book Antiqua" w:cs="Book Antiqua" w:hint="eastAsia"/>
          <w:color w:val="000000"/>
        </w:rPr>
        <w:t>URL: https://www.wjgnet.com/2307-8960/full/v9/i11/</w:t>
      </w:r>
      <w:r w:rsidR="009C0D36" w:rsidRPr="009C0D36">
        <w:rPr>
          <w:rFonts w:ascii="Book Antiqua" w:eastAsia="Book Antiqua" w:hAnsi="Book Antiqua" w:cs="Book Antiqua"/>
          <w:color w:val="000000"/>
        </w:rPr>
        <w:t>2487</w:t>
      </w:r>
      <w:r w:rsidR="008967A2">
        <w:rPr>
          <w:rFonts w:ascii="Book Antiqua" w:eastAsia="Book Antiqua" w:hAnsi="Book Antiqua" w:cs="Book Antiqua" w:hint="eastAsia"/>
          <w:color w:val="000000"/>
        </w:rPr>
        <w:t xml:space="preserve">.htm  </w:t>
      </w:r>
    </w:p>
    <w:p w14:paraId="61A496DB" w14:textId="1BEDB747" w:rsidR="00326869" w:rsidRDefault="008967A2" w:rsidP="004D7CB5">
      <w:pPr>
        <w:spacing w:line="360" w:lineRule="auto"/>
        <w:jc w:val="both"/>
      </w:pPr>
      <w:r>
        <w:rPr>
          <w:rFonts w:ascii="Book Antiqua" w:eastAsia="Book Antiqua" w:hAnsi="Book Antiqua" w:cs="Book Antiqua" w:hint="eastAsia"/>
          <w:color w:val="000000"/>
        </w:rPr>
        <w:t>DOI: https://dx.doi.org/10.12998/wjcc.v9.i11.</w:t>
      </w:r>
      <w:r w:rsidR="009C0D36" w:rsidRPr="009C0D36">
        <w:rPr>
          <w:rFonts w:ascii="Book Antiqua" w:eastAsia="Book Antiqua" w:hAnsi="Book Antiqua" w:cs="Book Antiqua"/>
          <w:color w:val="000000"/>
        </w:rPr>
        <w:t>2487</w:t>
      </w:r>
    </w:p>
    <w:p w14:paraId="023C346B" w14:textId="77777777" w:rsidR="00326869" w:rsidRDefault="00326869">
      <w:pPr>
        <w:spacing w:line="360" w:lineRule="auto"/>
        <w:jc w:val="both"/>
      </w:pPr>
    </w:p>
    <w:p w14:paraId="5AB38CB7" w14:textId="77777777" w:rsidR="00326869" w:rsidRDefault="008967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investigated the dietary habits between irritable bowel syndrome (IBS) patients and non-IBS participants </w:t>
      </w:r>
      <w:r>
        <w:rPr>
          <w:rFonts w:ascii="Book Antiqua" w:eastAsia="Book Antiqua" w:hAnsi="Book Antiqua" w:cs="Book Antiqua"/>
          <w:color w:val="000000"/>
        </w:rPr>
        <w:t>based on a multidimensional questionnaire. We found that quantity per time and intake frequency of some foods were positively associated with symptom and psychological status, especially soybean. The intake frequency of soybean and its products was an inde</w:t>
      </w:r>
      <w:r>
        <w:rPr>
          <w:rFonts w:ascii="Book Antiqua" w:eastAsia="Book Antiqua" w:hAnsi="Book Antiqua" w:cs="Book Antiqua"/>
          <w:color w:val="000000"/>
        </w:rPr>
        <w:t xml:space="preserve">pendent risk factor for IBS. </w:t>
      </w:r>
    </w:p>
    <w:p w14:paraId="352A29E4" w14:textId="77777777" w:rsidR="00326869" w:rsidRDefault="00326869">
      <w:pPr>
        <w:spacing w:line="360" w:lineRule="auto"/>
        <w:jc w:val="both"/>
      </w:pPr>
    </w:p>
    <w:p w14:paraId="2D95DF67" w14:textId="77777777" w:rsidR="00326869" w:rsidRDefault="008967A2">
      <w:pPr>
        <w:spacing w:line="360" w:lineRule="auto"/>
        <w:jc w:val="both"/>
      </w:pPr>
      <w:r>
        <w:rPr>
          <w:rFonts w:ascii="Book Antiqua" w:eastAsia="Book Antiqua" w:hAnsi="Book Antiqua" w:cs="Book Antiqua"/>
          <w:b/>
          <w:caps/>
          <w:color w:val="000000"/>
          <w:u w:val="single"/>
        </w:rPr>
        <w:t>INTRODUCTION</w:t>
      </w:r>
    </w:p>
    <w:p w14:paraId="69A84882" w14:textId="77777777" w:rsidR="00326869" w:rsidRDefault="008967A2">
      <w:pPr>
        <w:spacing w:line="360" w:lineRule="auto"/>
        <w:jc w:val="both"/>
      </w:pPr>
      <w:r>
        <w:rPr>
          <w:rFonts w:ascii="Book Antiqua" w:eastAsia="Book Antiqua" w:hAnsi="Book Antiqua" w:cs="Book Antiqua"/>
          <w:color w:val="000000"/>
        </w:rPr>
        <w:t xml:space="preserve">Irritable bowel syndrome (IBS) is one of the most common functional bowel disorders characterized by abdominal pain and accompanied by changes in defecation habits and fecal traits, of which diarrhea-predominant </w:t>
      </w:r>
      <w:r>
        <w:rPr>
          <w:rFonts w:ascii="Book Antiqua" w:eastAsia="Book Antiqua" w:hAnsi="Book Antiqua" w:cs="Book Antiqua"/>
          <w:color w:val="000000"/>
        </w:rPr>
        <w:t>irritable bowel syndrome (IBS-D) accounts for the majority of cases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According to the published literature, the prevalence of IBS varies from 0.2% to 29.2%</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this variation might be related to research subjects, investigation methods, and diagno</w:t>
      </w:r>
      <w:r>
        <w:rPr>
          <w:rFonts w:ascii="Book Antiqua" w:eastAsia="Book Antiqua" w:hAnsi="Book Antiqua" w:cs="Book Antiqua"/>
          <w:color w:val="000000"/>
        </w:rPr>
        <w:t>stic criteria</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szCs w:val="36"/>
        </w:rPr>
        <w:t>.</w:t>
      </w:r>
      <w:r>
        <w:rPr>
          <w:rFonts w:ascii="Book Antiqua" w:eastAsia="Book Antiqua" w:hAnsi="Book Antiqua" w:cs="Book Antiqua"/>
          <w:color w:val="000000"/>
        </w:rPr>
        <w:t xml:space="preserve"> Recurrent symptoms led to a significant decline in the quality of life of patients, which was associated with substantial costs to patients, healthcare systems, and society. Effective interventions could alleviate the symptoms and impro</w:t>
      </w:r>
      <w:r>
        <w:rPr>
          <w:rFonts w:ascii="Book Antiqua" w:eastAsia="Book Antiqua" w:hAnsi="Book Antiqua" w:cs="Book Antiqua"/>
          <w:color w:val="000000"/>
        </w:rPr>
        <w:t>ve the quality of life in IBS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77F2981D" w14:textId="77777777" w:rsidR="00326869" w:rsidRDefault="008967A2">
      <w:pPr>
        <w:spacing w:line="360" w:lineRule="auto"/>
        <w:ind w:firstLine="480"/>
        <w:jc w:val="both"/>
      </w:pPr>
      <w:r>
        <w:rPr>
          <w:rFonts w:ascii="Book Antiqua" w:eastAsia="Book Antiqua" w:hAnsi="Book Antiqua" w:cs="Book Antiqua"/>
          <w:color w:val="000000"/>
        </w:rPr>
        <w:t>The etiology and pathogenesis of IBS have not been fully elucidated but are considered to be the result of multiple factors, such as visceral hypersensitivity, intestinal mucosal inflammation, and increased intest</w:t>
      </w:r>
      <w:r>
        <w:rPr>
          <w:rFonts w:ascii="Book Antiqua" w:eastAsia="Book Antiqua" w:hAnsi="Book Antiqua" w:cs="Book Antiqua"/>
          <w:color w:val="000000"/>
        </w:rPr>
        <w:t>inal permeability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Many studies have found that an inappropriate diet could induce or aggravate IBS symptoms, such as spicy food, fruit, soybeans, dairy products, onion, and meat</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szCs w:val="36"/>
        </w:rPr>
        <w:t>.</w:t>
      </w:r>
      <w:r>
        <w:rPr>
          <w:rFonts w:ascii="Book Antiqua" w:eastAsia="Book Antiqua" w:hAnsi="Book Antiqua" w:cs="Book Antiqua"/>
          <w:color w:val="000000"/>
        </w:rPr>
        <w:t xml:space="preserve"> Recent studies suggested that the fermented oligosaccharide, disacch</w:t>
      </w:r>
      <w:r>
        <w:rPr>
          <w:rFonts w:ascii="Book Antiqua" w:eastAsia="Book Antiqua" w:hAnsi="Book Antiqua" w:cs="Book Antiqua"/>
          <w:color w:val="000000"/>
        </w:rPr>
        <w:t>aride, monosaccharide, and polyol (FODMAP) diet and a gluten-rich diet played important roles in the pathogenesis of IBS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The effectiveness of low FODMAP diet and gluten-free diet (GFD) in alleviating IBS symptoms has been confirmed in many studies c</w:t>
      </w:r>
      <w:r>
        <w:rPr>
          <w:rFonts w:ascii="Book Antiqua" w:eastAsia="Book Antiqua" w:hAnsi="Book Antiqua" w:cs="Book Antiqua"/>
          <w:color w:val="000000"/>
        </w:rPr>
        <w:t>onducted in Western countries</w:t>
      </w:r>
      <w:r>
        <w:rPr>
          <w:rFonts w:ascii="Book Antiqua" w:eastAsia="Book Antiqua" w:hAnsi="Book Antiqua" w:cs="Book Antiqua"/>
          <w:color w:val="000000"/>
          <w:szCs w:val="36"/>
          <w:vertAlign w:val="superscript"/>
        </w:rPr>
        <w:t>[11-16]</w:t>
      </w:r>
      <w:r>
        <w:rPr>
          <w:rFonts w:ascii="Book Antiqua" w:eastAsia="Book Antiqua" w:hAnsi="Book Antiqua" w:cs="Book Antiqua"/>
          <w:color w:val="000000"/>
        </w:rPr>
        <w:t xml:space="preserve">. </w:t>
      </w:r>
    </w:p>
    <w:p w14:paraId="30C2782A" w14:textId="77777777" w:rsidR="00326869" w:rsidRDefault="008967A2">
      <w:pPr>
        <w:spacing w:line="360" w:lineRule="auto"/>
        <w:ind w:firstLine="480"/>
        <w:jc w:val="both"/>
      </w:pPr>
      <w:r>
        <w:rPr>
          <w:rFonts w:ascii="Book Antiqua" w:eastAsia="Book Antiqua" w:hAnsi="Book Antiqua" w:cs="Book Antiqua"/>
          <w:color w:val="000000"/>
        </w:rPr>
        <w:lastRenderedPageBreak/>
        <w:t>It has been known that dietary pattern, as a factor of nutrition, was different between the Eastern and Western countries. An Asian diet was characterized by high-carbohydrate, high-fiber, low-fat, and low-meat protei</w:t>
      </w:r>
      <w:r>
        <w:rPr>
          <w:rFonts w:ascii="Book Antiqua" w:eastAsia="Book Antiqua" w:hAnsi="Book Antiqua" w:cs="Book Antiqua"/>
          <w:color w:val="000000"/>
        </w:rPr>
        <w:t>n. A traditional Asian diet usually includes rice and vegetables, which are the main sources of carbohydrates and fibers. Vegetable oil is a common source of fat, while fish, egg, poultry, and pork are the major protein sources. This is different from a mo</w:t>
      </w:r>
      <w:r>
        <w:rPr>
          <w:rFonts w:ascii="Book Antiqua" w:eastAsia="Book Antiqua" w:hAnsi="Book Antiqua" w:cs="Book Antiqua"/>
          <w:color w:val="000000"/>
        </w:rPr>
        <w:t>dern Western diet, which is rich in animal fat and protein, but low in carbohydrates and fibers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It is of great significance to fully understand the dietary habits in the Chinese population, for guiding the choice of diet therapy.</w:t>
      </w:r>
    </w:p>
    <w:p w14:paraId="2F889ED4" w14:textId="77777777" w:rsidR="00326869" w:rsidRDefault="008967A2">
      <w:pPr>
        <w:spacing w:line="360" w:lineRule="auto"/>
        <w:ind w:firstLine="480"/>
        <w:jc w:val="both"/>
      </w:pPr>
      <w:r>
        <w:rPr>
          <w:rFonts w:ascii="Book Antiqua" w:eastAsia="Book Antiqua" w:hAnsi="Book Antiqua" w:cs="Book Antiqua"/>
          <w:color w:val="000000"/>
        </w:rPr>
        <w:t>There has been no hig</w:t>
      </w:r>
      <w:r>
        <w:rPr>
          <w:rFonts w:ascii="Book Antiqua" w:eastAsia="Book Antiqua" w:hAnsi="Book Antiqua" w:cs="Book Antiqua"/>
          <w:color w:val="000000"/>
        </w:rPr>
        <w:t>h-quality evidence to support the effectiveness of "elimination diet" in patients with IBS in China. In clinical practice, we found that the pathogenicity of diet might also be associated with quantity per time. However, the majority of studies using the f</w:t>
      </w:r>
      <w:r>
        <w:rPr>
          <w:rFonts w:ascii="Book Antiqua" w:eastAsia="Book Antiqua" w:hAnsi="Book Antiqua" w:cs="Book Antiqua"/>
          <w:color w:val="000000"/>
        </w:rPr>
        <w:t>ood frequency questionnaire (FFQ)</w:t>
      </w:r>
      <w:r>
        <w:rPr>
          <w:rFonts w:ascii="Book Antiqua" w:eastAsia="Book Antiqua" w:hAnsi="Book Antiqua" w:cs="Book Antiqua"/>
          <w:color w:val="000000"/>
          <w:szCs w:val="36"/>
          <w:vertAlign w:val="superscript"/>
        </w:rPr>
        <w:t>[18-21]</w:t>
      </w:r>
      <w:r>
        <w:rPr>
          <w:rFonts w:ascii="Book Antiqua" w:eastAsia="Book Antiqua" w:hAnsi="Book Antiqua" w:cs="Book Antiqua"/>
          <w:color w:val="000000"/>
        </w:rPr>
        <w:t xml:space="preserve"> might not fully reflect the diet habits of IBS patients. Differing from FFQ</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 although commonly used, we supposed that the effect of diet was similar to the dose-response and time-response relationship of drugs.</w:t>
      </w:r>
      <w:r>
        <w:rPr>
          <w:rFonts w:ascii="Book Antiqua" w:eastAsia="Book Antiqua" w:hAnsi="Book Antiqua" w:cs="Book Antiqua"/>
          <w:color w:val="000000"/>
        </w:rPr>
        <w:t xml:space="preserve"> Consequently, we designed and used a multidimensional dietary questionnaire. The innovative questionnaire involved three dimensions, including food categories, intake frequency, and quantity per time, rather than simply classifying responses as “yes or no</w:t>
      </w:r>
      <w:r>
        <w:rPr>
          <w:rFonts w:ascii="Book Antiqua" w:eastAsia="Book Antiqua" w:hAnsi="Book Antiqua" w:cs="Book Antiqua"/>
          <w:color w:val="000000"/>
        </w:rPr>
        <w:t>” as noted in previous studies. Based on this innovative questionnaire, we surveyed the diet of residents in a Northern city of China, including IBS patients and non-IBS participants. We evaluated and analyzed the dietary habits between IBS patients and no</w:t>
      </w:r>
      <w:r>
        <w:rPr>
          <w:rFonts w:ascii="Book Antiqua" w:eastAsia="Book Antiqua" w:hAnsi="Book Antiqua" w:cs="Book Antiqua"/>
          <w:color w:val="000000"/>
        </w:rPr>
        <w:t>n-IBS participants objectively and semi-quantitatively according to the questionnaire. It helped to understand the dietary habits of IBS patients comprehensively, and to provide evidence for dietary guidance.</w:t>
      </w:r>
    </w:p>
    <w:p w14:paraId="2741EE01" w14:textId="77777777" w:rsidR="00326869" w:rsidRDefault="008967A2">
      <w:pPr>
        <w:spacing w:line="360" w:lineRule="auto"/>
        <w:ind w:firstLine="480"/>
        <w:jc w:val="both"/>
      </w:pPr>
      <w:r>
        <w:rPr>
          <w:rFonts w:ascii="Book Antiqua" w:eastAsia="Book Antiqua" w:hAnsi="Book Antiqua" w:cs="Book Antiqua"/>
          <w:color w:val="000000"/>
        </w:rPr>
        <w:t xml:space="preserve">The main aim of this study was to </w:t>
      </w:r>
      <w:r>
        <w:rPr>
          <w:rFonts w:ascii="Book Antiqua" w:eastAsia="Book Antiqua" w:hAnsi="Book Antiqua" w:cs="Book Antiqua"/>
          <w:color w:val="000000"/>
        </w:rPr>
        <w:t>compare dietary habits between IBS patients and non-IBS participants from food categories, quantity per time, and intake frequency in a Chinese population. The secondary purpose was to explore the correlation between symptom and psychological status and di</w:t>
      </w:r>
      <w:r>
        <w:rPr>
          <w:rFonts w:ascii="Book Antiqua" w:eastAsia="Book Antiqua" w:hAnsi="Book Antiqua" w:cs="Book Antiqua"/>
          <w:color w:val="000000"/>
        </w:rPr>
        <w:t>et.</w:t>
      </w:r>
    </w:p>
    <w:p w14:paraId="27545EAD" w14:textId="77777777" w:rsidR="00326869" w:rsidRDefault="00326869">
      <w:pPr>
        <w:spacing w:line="360" w:lineRule="auto"/>
        <w:ind w:firstLine="480"/>
        <w:jc w:val="both"/>
      </w:pPr>
    </w:p>
    <w:p w14:paraId="6AC0E32B" w14:textId="77777777" w:rsidR="00326869" w:rsidRDefault="008967A2">
      <w:pPr>
        <w:spacing w:line="360" w:lineRule="auto"/>
        <w:jc w:val="both"/>
      </w:pPr>
      <w:r>
        <w:rPr>
          <w:rFonts w:ascii="Book Antiqua" w:eastAsia="Book Antiqua" w:hAnsi="Book Antiqua" w:cs="Book Antiqua"/>
          <w:b/>
          <w:caps/>
          <w:color w:val="000000"/>
          <w:u w:val="single"/>
        </w:rPr>
        <w:lastRenderedPageBreak/>
        <w:t>MATERIALS AND METHODS</w:t>
      </w:r>
    </w:p>
    <w:p w14:paraId="04D7DE0A" w14:textId="77777777" w:rsidR="00326869" w:rsidRDefault="008967A2">
      <w:pPr>
        <w:spacing w:line="360" w:lineRule="auto"/>
        <w:jc w:val="both"/>
      </w:pPr>
      <w:r>
        <w:rPr>
          <w:rFonts w:ascii="Book Antiqua" w:eastAsia="Book Antiqua" w:hAnsi="Book Antiqua" w:cs="Book Antiqua"/>
          <w:b/>
          <w:bCs/>
          <w:i/>
          <w:iCs/>
          <w:color w:val="000000"/>
        </w:rPr>
        <w:t>Study setting</w:t>
      </w:r>
    </w:p>
    <w:p w14:paraId="686DCAF2" w14:textId="77777777" w:rsidR="00326869" w:rsidRDefault="008967A2">
      <w:pPr>
        <w:spacing w:line="360" w:lineRule="auto"/>
        <w:jc w:val="both"/>
      </w:pPr>
      <w:r>
        <w:rPr>
          <w:rFonts w:ascii="Book Antiqua" w:eastAsia="Book Antiqua" w:hAnsi="Book Antiqua" w:cs="Book Antiqua"/>
          <w:color w:val="000000"/>
        </w:rPr>
        <w:t xml:space="preserve">From May 2020 to July 2020, a cross-sectional survey was conducted among the permanent residents selected by simple random sampling in Hongsheng community in Gaomi City, Shandong Province, China. To some </w:t>
      </w:r>
      <w:r>
        <w:rPr>
          <w:rFonts w:ascii="Book Antiqua" w:eastAsia="Book Antiqua" w:hAnsi="Book Antiqua" w:cs="Book Antiqua"/>
          <w:color w:val="000000"/>
        </w:rPr>
        <w:t xml:space="preserve">extent, they were representative of city residents in northern China. Finally, 220 residents were included in this study. The study was performed by filling in the questionnaires face to face. All participants were fully informed of the study and provided </w:t>
      </w:r>
      <w:r>
        <w:rPr>
          <w:rFonts w:ascii="Book Antiqua" w:eastAsia="Book Antiqua" w:hAnsi="Book Antiqua" w:cs="Book Antiqua"/>
          <w:color w:val="000000"/>
        </w:rPr>
        <w:t>written informed consent. The study protocol was approved by the Ethics Committee of China-Japan Friendship Hospital (No. 2015-33), and the study was performed in accordance with the Declaration of Helsinki.</w:t>
      </w:r>
    </w:p>
    <w:p w14:paraId="570F9149" w14:textId="77777777" w:rsidR="00326869" w:rsidRDefault="00326869">
      <w:pPr>
        <w:spacing w:line="360" w:lineRule="auto"/>
        <w:ind w:firstLine="240"/>
        <w:jc w:val="both"/>
      </w:pPr>
    </w:p>
    <w:p w14:paraId="0B458287" w14:textId="77777777" w:rsidR="00326869" w:rsidRDefault="008967A2">
      <w:pPr>
        <w:spacing w:line="360" w:lineRule="auto"/>
        <w:jc w:val="both"/>
      </w:pPr>
      <w:r>
        <w:rPr>
          <w:rFonts w:ascii="Book Antiqua" w:eastAsia="Book Antiqua" w:hAnsi="Book Antiqua" w:cs="Book Antiqua"/>
          <w:b/>
          <w:bCs/>
          <w:i/>
          <w:iCs/>
          <w:color w:val="000000"/>
        </w:rPr>
        <w:t xml:space="preserve">Study population </w:t>
      </w:r>
    </w:p>
    <w:p w14:paraId="04AD22D4" w14:textId="77777777" w:rsidR="00326869" w:rsidRDefault="008967A2">
      <w:pPr>
        <w:spacing w:line="360" w:lineRule="auto"/>
        <w:jc w:val="both"/>
      </w:pPr>
      <w:r>
        <w:rPr>
          <w:rFonts w:ascii="Book Antiqua" w:eastAsia="Book Antiqua" w:hAnsi="Book Antiqua" w:cs="Book Antiqua"/>
          <w:color w:val="000000"/>
        </w:rPr>
        <w:t>The inclusion criteria for pa</w:t>
      </w:r>
      <w:r>
        <w:rPr>
          <w:rFonts w:ascii="Book Antiqua" w:eastAsia="Book Antiqua" w:hAnsi="Book Antiqua" w:cs="Book Antiqua"/>
          <w:color w:val="000000"/>
        </w:rPr>
        <w:t xml:space="preserve">rticipants were as follows: (1) Participants older than 18 years old, regardless of gender; and (2) </w:t>
      </w:r>
      <w:r>
        <w:rPr>
          <w:rFonts w:ascii="Book Antiqua" w:eastAsia="宋体" w:hAnsi="Book Antiqua" w:cs="Book Antiqua" w:hint="eastAsia"/>
          <w:color w:val="000000"/>
          <w:lang w:eastAsia="zh-CN"/>
        </w:rPr>
        <w:t>T</w:t>
      </w:r>
      <w:r>
        <w:rPr>
          <w:rFonts w:ascii="Book Antiqua" w:eastAsia="Book Antiqua" w:hAnsi="Book Antiqua" w:cs="Book Antiqua"/>
          <w:color w:val="000000"/>
        </w:rPr>
        <w:t>here were no abnormalities during colonoscopy within half a year. Participants with the following conditions were excluded: (1) Presence of warning symptom</w:t>
      </w:r>
      <w:r>
        <w:rPr>
          <w:rFonts w:ascii="Book Antiqua" w:eastAsia="Book Antiqua" w:hAnsi="Book Antiqua" w:cs="Book Antiqua"/>
          <w:color w:val="000000"/>
        </w:rPr>
        <w:t xml:space="preserve">s, such as hematochezia, positive fecal occult blood test, anemia, abdominal mass, ascites, fever, weight loss, and family history of colorectal cancer; (2)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amily history of cancer; (3) </w:t>
      </w:r>
      <w:r>
        <w:rPr>
          <w:rFonts w:ascii="Book Antiqua" w:eastAsia="宋体" w:hAnsi="Book Antiqua" w:cs="Book Antiqua" w:hint="eastAsia"/>
          <w:color w:val="000000"/>
          <w:lang w:eastAsia="zh-CN"/>
        </w:rPr>
        <w:t>C</w:t>
      </w:r>
      <w:r>
        <w:rPr>
          <w:rFonts w:ascii="Book Antiqua" w:eastAsia="Book Antiqua" w:hAnsi="Book Antiqua" w:cs="Book Antiqua"/>
          <w:color w:val="000000"/>
        </w:rPr>
        <w:t>hronic diseases, such as diabetes mellitus, hypertension, chronic ki</w:t>
      </w:r>
      <w:r>
        <w:rPr>
          <w:rFonts w:ascii="Book Antiqua" w:eastAsia="Book Antiqua" w:hAnsi="Book Antiqua" w:cs="Book Antiqua"/>
          <w:color w:val="000000"/>
        </w:rPr>
        <w:t xml:space="preserve">dney disease, chronic hepatitis, liver cirrhosis, inflammatory bowel disease, and autoimmune diseases; (4)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bdominal and pelvic surgery; and (5)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regnant or lactating women. </w:t>
      </w:r>
    </w:p>
    <w:p w14:paraId="011DD1D2" w14:textId="77777777" w:rsidR="00326869" w:rsidRDefault="00326869">
      <w:pPr>
        <w:spacing w:line="360" w:lineRule="auto"/>
        <w:ind w:firstLine="240"/>
        <w:jc w:val="both"/>
      </w:pPr>
    </w:p>
    <w:p w14:paraId="70071E9B" w14:textId="77777777" w:rsidR="00326869" w:rsidRDefault="008967A2">
      <w:pPr>
        <w:spacing w:line="360" w:lineRule="auto"/>
        <w:jc w:val="both"/>
      </w:pPr>
      <w:r>
        <w:rPr>
          <w:rFonts w:ascii="Book Antiqua" w:eastAsia="Book Antiqua" w:hAnsi="Book Antiqua" w:cs="Book Antiqua"/>
          <w:b/>
          <w:bCs/>
          <w:i/>
          <w:iCs/>
          <w:color w:val="000000"/>
        </w:rPr>
        <w:t>Criteria for IBS patients</w:t>
      </w:r>
    </w:p>
    <w:p w14:paraId="5C2E1ECA" w14:textId="77777777" w:rsidR="00326869" w:rsidRDefault="008967A2">
      <w:pPr>
        <w:spacing w:line="360" w:lineRule="auto"/>
        <w:jc w:val="both"/>
      </w:pPr>
      <w:r>
        <w:rPr>
          <w:rFonts w:ascii="Book Antiqua" w:eastAsia="Book Antiqua" w:hAnsi="Book Antiqua" w:cs="Book Antiqua"/>
          <w:color w:val="000000"/>
        </w:rPr>
        <w:t>The newest diagnostic criteria,</w:t>
      </w:r>
      <w:r>
        <w:rPr>
          <w:rFonts w:ascii="Book Antiqua" w:eastAsia="Book Antiqua" w:hAnsi="Book Antiqua" w:cs="Book Antiqua"/>
          <w:b/>
          <w:bCs/>
          <w:color w:val="000000"/>
        </w:rPr>
        <w:t xml:space="preserve"> </w:t>
      </w:r>
      <w:r>
        <w:rPr>
          <w:rFonts w:ascii="Book Antiqua" w:eastAsia="Book Antiqua" w:hAnsi="Book Antiqua" w:cs="Book Antiqua"/>
          <w:color w:val="000000"/>
        </w:rPr>
        <w:t>Rome IV, were establis</w:t>
      </w:r>
      <w:r>
        <w:rPr>
          <w:rFonts w:ascii="Book Antiqua" w:eastAsia="Book Antiqua" w:hAnsi="Book Antiqua" w:cs="Book Antiqua"/>
          <w:color w:val="000000"/>
        </w:rPr>
        <w:t>hed in 2016</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Recurrent abdominal pain occurred at a frequency of at least one day/week, associated with two or more of the following criteria: (1) Related to defecation; (2)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ssociated with a change in frequency of stool; or (3) </w:t>
      </w:r>
      <w:r>
        <w:rPr>
          <w:rFonts w:ascii="Book Antiqua" w:eastAsia="宋体" w:hAnsi="Book Antiqua" w:cs="Book Antiqua" w:hint="eastAsia"/>
          <w:color w:val="000000"/>
          <w:lang w:eastAsia="zh-CN"/>
        </w:rPr>
        <w:t>A</w:t>
      </w:r>
      <w:r>
        <w:rPr>
          <w:rFonts w:ascii="Book Antiqua" w:eastAsia="Book Antiqua" w:hAnsi="Book Antiqua" w:cs="Book Antiqua"/>
          <w:color w:val="000000"/>
        </w:rPr>
        <w:t>ssociated with a chang</w:t>
      </w:r>
      <w:r>
        <w:rPr>
          <w:rFonts w:ascii="Book Antiqua" w:eastAsia="Book Antiqua" w:hAnsi="Book Antiqua" w:cs="Book Antiqua"/>
          <w:color w:val="000000"/>
        </w:rPr>
        <w:t xml:space="preserve">e in form (appearance) of stool. The criteria were fulfilled for the last 3 mo with symptom onset ≥ 6 mo before diagnosis. There </w:t>
      </w:r>
      <w:r>
        <w:rPr>
          <w:rFonts w:ascii="Book Antiqua" w:eastAsia="Book Antiqua" w:hAnsi="Book Antiqua" w:cs="Book Antiqua"/>
          <w:color w:val="000000"/>
        </w:rPr>
        <w:lastRenderedPageBreak/>
        <w:t>were no morphological changes or biochemical abnormalities that could explain the symptoms.</w:t>
      </w:r>
    </w:p>
    <w:p w14:paraId="706001C6" w14:textId="77777777" w:rsidR="00326869" w:rsidRDefault="00326869">
      <w:pPr>
        <w:spacing w:line="360" w:lineRule="auto"/>
        <w:ind w:firstLine="240"/>
        <w:jc w:val="both"/>
      </w:pPr>
    </w:p>
    <w:p w14:paraId="2E30F354" w14:textId="77777777" w:rsidR="00326869" w:rsidRDefault="008967A2">
      <w:pPr>
        <w:spacing w:line="360" w:lineRule="auto"/>
        <w:jc w:val="both"/>
      </w:pPr>
      <w:r>
        <w:rPr>
          <w:rFonts w:ascii="Book Antiqua" w:eastAsia="Book Antiqua" w:hAnsi="Book Antiqua" w:cs="Book Antiqua"/>
          <w:b/>
          <w:bCs/>
          <w:i/>
          <w:iCs/>
          <w:color w:val="000000"/>
        </w:rPr>
        <w:t xml:space="preserve">Sociodemographic characteristics </w:t>
      </w:r>
    </w:p>
    <w:p w14:paraId="26F3B4A9" w14:textId="77777777" w:rsidR="00326869" w:rsidRDefault="008967A2">
      <w:pPr>
        <w:spacing w:line="360" w:lineRule="auto"/>
        <w:jc w:val="both"/>
      </w:pPr>
      <w:r>
        <w:rPr>
          <w:rFonts w:ascii="Book Antiqua" w:eastAsia="Book Antiqua" w:hAnsi="Book Antiqua" w:cs="Book Antiqua"/>
          <w:color w:val="000000"/>
        </w:rPr>
        <w:t xml:space="preserve">Detailed baseline information, including age, gender, body mass index, level of education, drinking, and smoking, was obtained for each participant. </w:t>
      </w:r>
    </w:p>
    <w:p w14:paraId="6E667462" w14:textId="77777777" w:rsidR="00326869" w:rsidRDefault="00326869">
      <w:pPr>
        <w:spacing w:line="360" w:lineRule="auto"/>
        <w:ind w:firstLine="240"/>
        <w:jc w:val="both"/>
      </w:pPr>
    </w:p>
    <w:p w14:paraId="6B8BCE42" w14:textId="77777777" w:rsidR="00326869" w:rsidRDefault="008967A2">
      <w:pPr>
        <w:spacing w:line="360" w:lineRule="auto"/>
        <w:jc w:val="both"/>
      </w:pPr>
      <w:r>
        <w:rPr>
          <w:rFonts w:ascii="Book Antiqua" w:eastAsia="Book Antiqua" w:hAnsi="Book Antiqua" w:cs="Book Antiqua"/>
          <w:b/>
          <w:bCs/>
          <w:i/>
          <w:iCs/>
          <w:color w:val="000000"/>
        </w:rPr>
        <w:t>Dietary assessment</w:t>
      </w:r>
    </w:p>
    <w:p w14:paraId="6D74A126" w14:textId="77777777" w:rsidR="00326869" w:rsidRDefault="008967A2">
      <w:pPr>
        <w:spacing w:line="360" w:lineRule="auto"/>
        <w:jc w:val="both"/>
      </w:pPr>
      <w:r>
        <w:rPr>
          <w:rFonts w:ascii="Book Antiqua" w:eastAsia="Book Antiqua" w:hAnsi="Book Antiqua" w:cs="Book Antiqua"/>
          <w:color w:val="000000"/>
        </w:rPr>
        <w:t>The dietary habits of 220 participants three to six months before investigation were a</w:t>
      </w:r>
      <w:r>
        <w:rPr>
          <w:rFonts w:ascii="Book Antiqua" w:eastAsia="Book Antiqua" w:hAnsi="Book Antiqua" w:cs="Book Antiqua"/>
          <w:color w:val="000000"/>
        </w:rPr>
        <w:t>ssessed. The diet questionnaire was conducted by a trained researcher at the beginning of the study to interview each participant directly, and the mean time required to answer dietary questionnaire was approximately 15 min. Two hundred and three questionn</w:t>
      </w:r>
      <w:r>
        <w:rPr>
          <w:rFonts w:ascii="Book Antiqua" w:eastAsia="Book Antiqua" w:hAnsi="Book Antiqua" w:cs="Book Antiqua"/>
          <w:color w:val="000000"/>
        </w:rPr>
        <w:t>aires were collected, of which 135 were valid (IBS patients 25, non-IBS participants 110).</w:t>
      </w:r>
    </w:p>
    <w:p w14:paraId="2E5733A7" w14:textId="77777777" w:rsidR="00326869" w:rsidRDefault="008967A2">
      <w:pPr>
        <w:spacing w:line="360" w:lineRule="auto"/>
        <w:ind w:firstLine="240"/>
        <w:jc w:val="both"/>
      </w:pPr>
      <w:r>
        <w:rPr>
          <w:rFonts w:ascii="Book Antiqua" w:eastAsia="Book Antiqua" w:hAnsi="Book Antiqua" w:cs="Book Antiqua"/>
          <w:color w:val="000000"/>
        </w:rPr>
        <w:t>There is no consensus among the studies on whether it is necessary to set the option "quantity per time" in the questionnaire. Researchers from the University of Cal</w:t>
      </w:r>
      <w:r>
        <w:rPr>
          <w:rFonts w:ascii="Book Antiqua" w:eastAsia="Book Antiqua" w:hAnsi="Book Antiqua" w:cs="Book Antiqua"/>
          <w:color w:val="000000"/>
        </w:rPr>
        <w:t>ifornia believed that the option "quantity per time" could increase the validity of the FFQ</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while scholars from the Institute of Cancer Epidemiology in Copenhagen thought that it has little effect on the validity of the FFQ</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In order to reflect th</w:t>
      </w:r>
      <w:r>
        <w:rPr>
          <w:rFonts w:ascii="Book Antiqua" w:eastAsia="Book Antiqua" w:hAnsi="Book Antiqua" w:cs="Book Antiqua"/>
          <w:color w:val="000000"/>
        </w:rPr>
        <w:t>e dietary habits of the participants in detail, we revised the FFQ according to the Chinese eating habits, and average quantity per time was included in the questionnaire. Thus, the diet questionnaire in this study included three elements: Food categories,</w:t>
      </w:r>
      <w:r>
        <w:rPr>
          <w:rFonts w:ascii="Book Antiqua" w:eastAsia="Book Antiqua" w:hAnsi="Book Antiqua" w:cs="Book Antiqua"/>
          <w:color w:val="000000"/>
        </w:rPr>
        <w:t xml:space="preserve"> quantity per time, and intake frequency. </w:t>
      </w:r>
    </w:p>
    <w:p w14:paraId="62656974" w14:textId="77777777" w:rsidR="00326869" w:rsidRDefault="008967A2">
      <w:pPr>
        <w:spacing w:line="360" w:lineRule="auto"/>
        <w:ind w:firstLine="240"/>
        <w:jc w:val="both"/>
      </w:pPr>
      <w:r>
        <w:rPr>
          <w:rFonts w:ascii="Book Antiqua" w:eastAsia="Book Antiqua" w:hAnsi="Book Antiqua" w:cs="Book Antiqua"/>
          <w:color w:val="000000"/>
        </w:rPr>
        <w:t>Food list included six food categories: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Animal protein; (2)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egetable protein; (3)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picy food, barbecue, and dry-fried nuts; (4)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oft drinks; (5)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taple food, and (6) </w:t>
      </w:r>
      <w:r>
        <w:rPr>
          <w:rFonts w:ascii="Book Antiqua" w:eastAsia="宋体" w:hAnsi="Book Antiqua" w:cs="Book Antiqua" w:hint="eastAsia"/>
          <w:color w:val="000000"/>
          <w:lang w:eastAsia="zh-CN"/>
        </w:rPr>
        <w:t>V</w:t>
      </w:r>
      <w:r>
        <w:rPr>
          <w:rFonts w:ascii="Book Antiqua" w:eastAsia="Book Antiqua" w:hAnsi="Book Antiqua" w:cs="Book Antiqua"/>
          <w:color w:val="000000"/>
        </w:rPr>
        <w:t>egetables and fruits. The pictures of eac</w:t>
      </w:r>
      <w:r>
        <w:rPr>
          <w:rFonts w:ascii="Book Antiqua" w:eastAsia="Book Antiqua" w:hAnsi="Book Antiqua" w:cs="Book Antiqua"/>
          <w:color w:val="000000"/>
        </w:rPr>
        <w:t>h food in 25 g were presented to all participants for semi-quantitative estimation. We asked the participants to describe how many portions they ate each time, and counted the quantity per time. Product labels were used as appropriate. For soft drinks, soy</w:t>
      </w:r>
      <w:r>
        <w:rPr>
          <w:rFonts w:ascii="Book Antiqua" w:eastAsia="Book Antiqua" w:hAnsi="Book Antiqua" w:cs="Book Antiqua"/>
          <w:color w:val="000000"/>
        </w:rPr>
        <w:t>bean milk, and eggs, we took the bottles or numbers as the unit. The intake frequency (time/week [t/wk]) was divided into three groups</w:t>
      </w:r>
      <w:r>
        <w:rPr>
          <w:rFonts w:ascii="Book Antiqua" w:eastAsiaTheme="minorEastAsia" w:hAnsi="Book Antiqua" w:cs="Book Antiqua" w:hint="eastAsi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 1 </w:t>
      </w:r>
      <w:r>
        <w:rPr>
          <w:rFonts w:ascii="Book Antiqua" w:eastAsia="Book Antiqua" w:hAnsi="Book Antiqua" w:cs="Book Antiqua"/>
          <w:iCs/>
          <w:color w:val="000000"/>
        </w:rPr>
        <w:lastRenderedPageBreak/>
        <w:t>t</w:t>
      </w:r>
      <w:r>
        <w:rPr>
          <w:rFonts w:ascii="Book Antiqua" w:eastAsia="Book Antiqua" w:hAnsi="Book Antiqua" w:cs="Book Antiqua"/>
          <w:color w:val="000000"/>
        </w:rPr>
        <w:t xml:space="preserve">/wk, 2-6 </w:t>
      </w:r>
      <w:r>
        <w:rPr>
          <w:rFonts w:ascii="Book Antiqua" w:eastAsia="Book Antiqua" w:hAnsi="Book Antiqua" w:cs="Book Antiqua"/>
          <w:iCs/>
          <w:color w:val="000000"/>
        </w:rPr>
        <w:t>t</w:t>
      </w:r>
      <w:r>
        <w:rPr>
          <w:rFonts w:ascii="Book Antiqua" w:eastAsia="Book Antiqua" w:hAnsi="Book Antiqua" w:cs="Book Antiqua"/>
          <w:color w:val="000000"/>
        </w:rPr>
        <w:t xml:space="preserve">/wk and ≥ 7 </w:t>
      </w:r>
      <w:r>
        <w:rPr>
          <w:rFonts w:ascii="Book Antiqua" w:eastAsia="Book Antiqua" w:hAnsi="Book Antiqua" w:cs="Book Antiqua"/>
          <w:iCs/>
          <w:color w:val="000000"/>
        </w:rPr>
        <w:t>t</w:t>
      </w:r>
      <w:r>
        <w:rPr>
          <w:rFonts w:ascii="Book Antiqua" w:eastAsia="Book Antiqua" w:hAnsi="Book Antiqua" w:cs="Book Antiqua"/>
          <w:color w:val="000000"/>
        </w:rPr>
        <w:t>/wk, rather than "seldom, sometimes, and always" mentioned by FFQ</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The detailed dietary questionnaire is provided in Supplementary Table 1. The questionnaire focused not only on intake frequency, but also on quantity per time.  Compared with FFQ, the dietary questionnaire revealed the eating habits with a wider range, w</w:t>
      </w:r>
      <w:r>
        <w:rPr>
          <w:rFonts w:ascii="Book Antiqua" w:eastAsia="Book Antiqua" w:hAnsi="Book Antiqua" w:cs="Book Antiqua"/>
          <w:color w:val="000000"/>
        </w:rPr>
        <w:t xml:space="preserve">hile the validity of the questionnaire should be confirmed in a larger sample. </w:t>
      </w:r>
    </w:p>
    <w:p w14:paraId="678B7489" w14:textId="77777777" w:rsidR="00326869" w:rsidRDefault="00326869">
      <w:pPr>
        <w:spacing w:line="360" w:lineRule="auto"/>
        <w:ind w:firstLine="240"/>
        <w:jc w:val="both"/>
      </w:pPr>
    </w:p>
    <w:p w14:paraId="6C028D19" w14:textId="77777777" w:rsidR="00326869" w:rsidRDefault="008967A2">
      <w:pPr>
        <w:spacing w:line="360" w:lineRule="auto"/>
        <w:jc w:val="both"/>
      </w:pPr>
      <w:r>
        <w:rPr>
          <w:rFonts w:ascii="Book Antiqua" w:eastAsia="Book Antiqua" w:hAnsi="Book Antiqua" w:cs="Book Antiqua"/>
          <w:b/>
          <w:bCs/>
          <w:i/>
          <w:iCs/>
          <w:color w:val="000000"/>
        </w:rPr>
        <w:t>Questionnaires</w:t>
      </w:r>
    </w:p>
    <w:p w14:paraId="38EBF669" w14:textId="77777777" w:rsidR="00326869" w:rsidRDefault="008967A2">
      <w:pPr>
        <w:spacing w:line="360" w:lineRule="auto"/>
        <w:jc w:val="both"/>
      </w:pPr>
      <w:r>
        <w:rPr>
          <w:rFonts w:ascii="Book Antiqua" w:eastAsia="Book Antiqua" w:hAnsi="Book Antiqua" w:cs="Book Antiqua"/>
          <w:b/>
          <w:bCs/>
          <w:color w:val="000000"/>
        </w:rPr>
        <w:t xml:space="preserve">Chinese version of Rome IV questionnaire: </w:t>
      </w:r>
      <w:r>
        <w:rPr>
          <w:rFonts w:ascii="Book Antiqua" w:eastAsia="Book Antiqua" w:hAnsi="Book Antiqua" w:cs="Book Antiqua"/>
          <w:color w:val="000000"/>
        </w:rPr>
        <w:t>The diagnostic questionnaire used in this study is the Rome IV diagnostic questionnaire for adults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w:t>
      </w:r>
    </w:p>
    <w:p w14:paraId="4F58FD93" w14:textId="77777777" w:rsidR="00326869" w:rsidRDefault="00326869">
      <w:pPr>
        <w:spacing w:line="360" w:lineRule="auto"/>
        <w:jc w:val="both"/>
      </w:pPr>
    </w:p>
    <w:p w14:paraId="2404CBAB" w14:textId="77777777" w:rsidR="00326869" w:rsidRDefault="008967A2">
      <w:pPr>
        <w:spacing w:line="360" w:lineRule="auto"/>
        <w:jc w:val="both"/>
      </w:pPr>
      <w:r>
        <w:rPr>
          <w:rFonts w:ascii="Book Antiqua" w:eastAsia="Book Antiqua" w:hAnsi="Book Antiqua" w:cs="Book Antiqua"/>
          <w:b/>
          <w:bCs/>
          <w:color w:val="000000"/>
        </w:rPr>
        <w:t xml:space="preserve">IBS symptom </w:t>
      </w:r>
      <w:r>
        <w:rPr>
          <w:rFonts w:ascii="Book Antiqua" w:eastAsia="Book Antiqua" w:hAnsi="Book Antiqua" w:cs="Book Antiqua"/>
          <w:b/>
          <w:bCs/>
          <w:color w:val="000000"/>
        </w:rPr>
        <w:t xml:space="preserve">severity scale: </w:t>
      </w:r>
      <w:r>
        <w:rPr>
          <w:rFonts w:ascii="Book Antiqua" w:eastAsia="Book Antiqua" w:hAnsi="Book Antiqua" w:cs="Book Antiqua"/>
          <w:color w:val="000000"/>
        </w:rPr>
        <w:t>This scale</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was used to assess the severity of IBS symptoms. The scale includes five items (abdominal pain degree, abdominal pain frequency, abdominal distension, stool characteristics, and quality of life). The score of each item is bet</w:t>
      </w:r>
      <w:r>
        <w:rPr>
          <w:rFonts w:ascii="Book Antiqua" w:eastAsia="Book Antiqua" w:hAnsi="Book Antiqua" w:cs="Book Antiqua"/>
          <w:color w:val="000000"/>
        </w:rPr>
        <w:t xml:space="preserve">ween 0 and 100, and the total score of the five items is calculated. </w:t>
      </w:r>
    </w:p>
    <w:p w14:paraId="67061BBC" w14:textId="77777777" w:rsidR="00326869" w:rsidRDefault="00326869">
      <w:pPr>
        <w:spacing w:line="360" w:lineRule="auto"/>
        <w:jc w:val="both"/>
      </w:pPr>
    </w:p>
    <w:p w14:paraId="7062F979" w14:textId="77777777" w:rsidR="00326869" w:rsidRDefault="008967A2">
      <w:pPr>
        <w:spacing w:line="360" w:lineRule="auto"/>
        <w:jc w:val="both"/>
      </w:pPr>
      <w:r>
        <w:rPr>
          <w:rFonts w:ascii="Book Antiqua" w:eastAsia="Book Antiqua" w:hAnsi="Book Antiqua" w:cs="Book Antiqua"/>
          <w:b/>
          <w:bCs/>
          <w:color w:val="000000"/>
        </w:rPr>
        <w:t xml:space="preserve">IBS-specific quality of life questionnaire: </w:t>
      </w:r>
      <w:r>
        <w:rPr>
          <w:rFonts w:ascii="Book Antiqua" w:eastAsia="Book Antiqua" w:hAnsi="Book Antiqua" w:cs="Book Antiqua"/>
          <w:color w:val="000000"/>
        </w:rPr>
        <w:t>This scale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was used to evaluate the quality of life of IBS patients and includes 34 items. The higher the score, the better the quality o</w:t>
      </w:r>
      <w:r>
        <w:rPr>
          <w:rFonts w:ascii="Book Antiqua" w:eastAsia="Book Antiqua" w:hAnsi="Book Antiqua" w:cs="Book Antiqua"/>
          <w:color w:val="000000"/>
        </w:rPr>
        <w:t>f life of patients.</w:t>
      </w:r>
    </w:p>
    <w:p w14:paraId="200992AA" w14:textId="77777777" w:rsidR="00326869" w:rsidRDefault="00326869">
      <w:pPr>
        <w:spacing w:line="360" w:lineRule="auto"/>
        <w:jc w:val="both"/>
      </w:pPr>
    </w:p>
    <w:p w14:paraId="2A4C5967" w14:textId="77777777" w:rsidR="00326869" w:rsidRDefault="008967A2">
      <w:pPr>
        <w:spacing w:line="360" w:lineRule="auto"/>
        <w:jc w:val="both"/>
      </w:pPr>
      <w:r>
        <w:rPr>
          <w:rFonts w:ascii="Book Antiqua" w:eastAsia="Book Antiqua" w:hAnsi="Book Antiqua" w:cs="Book Antiqua"/>
          <w:b/>
          <w:bCs/>
          <w:color w:val="000000"/>
        </w:rPr>
        <w:t xml:space="preserve">Gastrointestinal symptom rating scale: </w:t>
      </w:r>
      <w:r>
        <w:rPr>
          <w:rFonts w:ascii="Book Antiqua" w:eastAsia="Book Antiqua" w:hAnsi="Book Antiqua" w:cs="Book Antiqua"/>
          <w:color w:val="000000"/>
        </w:rPr>
        <w:t>The gastrointestinal symptoms were evaluated using a standardized gastrointestinal symptom rating scale (GSRS)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and the common gastrointestinal symptoms were quantified. The specific </w:t>
      </w:r>
      <w:r>
        <w:rPr>
          <w:rFonts w:ascii="Book Antiqua" w:eastAsia="Book Antiqua" w:hAnsi="Book Antiqua" w:cs="Book Antiqua"/>
          <w:color w:val="000000"/>
        </w:rPr>
        <w:t>items include heartburn, acid regurgitation, upper abdominal tightness, nausea and vomiting, bowel sounds, belching, increased frequency of defecation, feeling of urgency, and incomplete defecation. The score for each item is 0 to 3, and the total score is</w:t>
      </w:r>
      <w:r>
        <w:rPr>
          <w:rFonts w:ascii="Book Antiqua" w:eastAsia="Book Antiqua" w:hAnsi="Book Antiqua" w:cs="Book Antiqua"/>
          <w:color w:val="000000"/>
        </w:rPr>
        <w:t xml:space="preserve"> 0 to 30.</w:t>
      </w:r>
    </w:p>
    <w:p w14:paraId="4E0E8F7F" w14:textId="77777777" w:rsidR="00326869" w:rsidRDefault="00326869">
      <w:pPr>
        <w:spacing w:line="360" w:lineRule="auto"/>
        <w:jc w:val="both"/>
      </w:pPr>
    </w:p>
    <w:p w14:paraId="1FA3D521" w14:textId="77777777" w:rsidR="00326869" w:rsidRDefault="008967A2">
      <w:pPr>
        <w:spacing w:line="360" w:lineRule="auto"/>
        <w:jc w:val="both"/>
      </w:pPr>
      <w:r>
        <w:rPr>
          <w:rFonts w:ascii="Book Antiqua" w:eastAsia="Book Antiqua" w:hAnsi="Book Antiqua" w:cs="Book Antiqua"/>
          <w:b/>
          <w:bCs/>
          <w:color w:val="000000"/>
        </w:rPr>
        <w:t xml:space="preserve">Visceral sensitivity index: </w:t>
      </w:r>
      <w:r>
        <w:rPr>
          <w:rFonts w:ascii="Book Antiqua" w:eastAsia="Book Antiqua" w:hAnsi="Book Antiqua" w:cs="Book Antiqua"/>
          <w:color w:val="000000"/>
        </w:rPr>
        <w:t xml:space="preserve">The scale is a self-rating scale for assessing visceral sensitivity and anxiety related to gastrointestinal symptoms. The scale consists of 15 items. Each </w:t>
      </w:r>
      <w:r>
        <w:rPr>
          <w:rFonts w:ascii="Book Antiqua" w:eastAsia="Book Antiqua" w:hAnsi="Book Antiqua" w:cs="Book Antiqua"/>
          <w:color w:val="000000"/>
        </w:rPr>
        <w:lastRenderedPageBreak/>
        <w:t>item is scored 1 to 5, and the scale has a total score of 0 to</w:t>
      </w:r>
      <w:r>
        <w:rPr>
          <w:rFonts w:ascii="Book Antiqua" w:eastAsia="Book Antiqua" w:hAnsi="Book Antiqua" w:cs="Book Antiqua"/>
          <w:color w:val="000000"/>
        </w:rPr>
        <w:t xml:space="preserve"> 75. The higher the score, the higher the visceral sensitivity and the more serious the anxiety.</w:t>
      </w:r>
    </w:p>
    <w:p w14:paraId="6B340C3B" w14:textId="77777777" w:rsidR="00326869" w:rsidRDefault="00326869">
      <w:pPr>
        <w:spacing w:line="360" w:lineRule="auto"/>
        <w:jc w:val="both"/>
      </w:pPr>
    </w:p>
    <w:p w14:paraId="46C62AF2" w14:textId="77777777" w:rsidR="00326869" w:rsidRDefault="008967A2">
      <w:pPr>
        <w:spacing w:line="360" w:lineRule="auto"/>
        <w:jc w:val="both"/>
      </w:pPr>
      <w:r>
        <w:rPr>
          <w:rFonts w:ascii="Book Antiqua" w:eastAsia="Book Antiqua" w:hAnsi="Book Antiqua" w:cs="Book Antiqua"/>
          <w:b/>
          <w:bCs/>
          <w:color w:val="000000"/>
        </w:rPr>
        <w:t xml:space="preserve">Hospital anxiety and depression scale: </w:t>
      </w:r>
      <w:r>
        <w:rPr>
          <w:rFonts w:ascii="Book Antiqua" w:eastAsia="Book Antiqua" w:hAnsi="Book Antiqua" w:cs="Book Antiqua"/>
          <w:color w:val="000000"/>
        </w:rPr>
        <w:t>Standardized hospital anxiety and depression scale (HADS)</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was used to assess the psychological state. The scale inc</w:t>
      </w:r>
      <w:r>
        <w:rPr>
          <w:rFonts w:ascii="Book Antiqua" w:eastAsia="Book Antiqua" w:hAnsi="Book Antiqua" w:cs="Book Antiqua"/>
          <w:color w:val="000000"/>
        </w:rPr>
        <w:t>ludes 14 items (7 items for anxiety and 7 items for depression), and each item is scored from 0 to 3 points. The HADS anxiety score and depression score were obtained by adding the individual item scores, separately.</w:t>
      </w:r>
    </w:p>
    <w:p w14:paraId="3B6A54F7" w14:textId="77777777" w:rsidR="00326869" w:rsidRDefault="00326869">
      <w:pPr>
        <w:spacing w:line="360" w:lineRule="auto"/>
        <w:jc w:val="both"/>
      </w:pPr>
    </w:p>
    <w:p w14:paraId="794A5368" w14:textId="77777777" w:rsidR="00326869" w:rsidRDefault="008967A2">
      <w:pPr>
        <w:spacing w:line="360" w:lineRule="auto"/>
        <w:jc w:val="both"/>
      </w:pPr>
      <w:r>
        <w:rPr>
          <w:rFonts w:ascii="Book Antiqua" w:eastAsia="Book Antiqua" w:hAnsi="Book Antiqua" w:cs="Book Antiqua"/>
          <w:b/>
          <w:bCs/>
          <w:i/>
          <w:iCs/>
          <w:color w:val="000000"/>
        </w:rPr>
        <w:t>Statistical analysis</w:t>
      </w:r>
    </w:p>
    <w:p w14:paraId="336EA828" w14:textId="77777777" w:rsidR="00326869" w:rsidRDefault="008967A2">
      <w:pPr>
        <w:spacing w:line="360" w:lineRule="auto"/>
        <w:jc w:val="both"/>
      </w:pPr>
      <w:r>
        <w:rPr>
          <w:rFonts w:ascii="Book Antiqua" w:eastAsia="Book Antiqua" w:hAnsi="Book Antiqua" w:cs="Book Antiqua"/>
          <w:color w:val="000000"/>
        </w:rPr>
        <w:t>SPSS version 26.0</w:t>
      </w:r>
      <w:r>
        <w:rPr>
          <w:rFonts w:ascii="Book Antiqua" w:eastAsia="Book Antiqua" w:hAnsi="Book Antiqua" w:cs="Book Antiqua"/>
          <w:color w:val="000000"/>
        </w:rPr>
        <w:t xml:space="preserve"> (SPSS Inc., Chicago, IL, United States) was used for statistical analyses. The quantitative data are represented by the median (Q1, Q3) and the qualitative data are expressed as numbers (percentages). Wilcoxon rank sum test was used for comparison between</w:t>
      </w:r>
      <w:r>
        <w:rPr>
          <w:rFonts w:ascii="Book Antiqua" w:eastAsia="Book Antiqua" w:hAnsi="Book Antiqua" w:cs="Book Antiqua"/>
          <w:color w:val="000000"/>
        </w:rPr>
        <w:t xml:space="preserve"> groups. Spearman correlation analysis was used to evaluate the correlation between variables. Logistic regression analysis was used to assess the possible risk factors for IBS.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defined as statistically significant. Statistical charts were gen</w:t>
      </w:r>
      <w:r>
        <w:rPr>
          <w:rFonts w:ascii="Book Antiqua" w:eastAsia="Book Antiqua" w:hAnsi="Book Antiqua" w:cs="Book Antiqua"/>
          <w:color w:val="000000"/>
        </w:rPr>
        <w:t>erated using Graph Prism version 8.0 (GraphPad Software Inc., La Jolla, CA, United States).</w:t>
      </w:r>
    </w:p>
    <w:p w14:paraId="3735C53F" w14:textId="77777777" w:rsidR="00326869" w:rsidRDefault="00326869">
      <w:pPr>
        <w:spacing w:line="360" w:lineRule="auto"/>
        <w:jc w:val="both"/>
      </w:pPr>
    </w:p>
    <w:p w14:paraId="24DCDD00" w14:textId="77777777" w:rsidR="00326869" w:rsidRDefault="008967A2">
      <w:pPr>
        <w:spacing w:line="360" w:lineRule="auto"/>
        <w:jc w:val="both"/>
      </w:pPr>
      <w:r>
        <w:rPr>
          <w:rFonts w:ascii="Book Antiqua" w:eastAsia="Book Antiqua" w:hAnsi="Book Antiqua" w:cs="Book Antiqua"/>
          <w:b/>
          <w:caps/>
          <w:color w:val="000000"/>
          <w:u w:val="single"/>
        </w:rPr>
        <w:t>RESULTS</w:t>
      </w:r>
    </w:p>
    <w:p w14:paraId="48171E0B" w14:textId="77777777" w:rsidR="00326869" w:rsidRDefault="008967A2">
      <w:pPr>
        <w:spacing w:line="360" w:lineRule="auto"/>
        <w:jc w:val="both"/>
      </w:pPr>
      <w:r>
        <w:rPr>
          <w:rFonts w:ascii="Book Antiqua" w:eastAsia="Book Antiqua" w:hAnsi="Book Antiqua" w:cs="Book Antiqua"/>
          <w:b/>
          <w:bCs/>
          <w:i/>
          <w:iCs/>
          <w:color w:val="000000"/>
        </w:rPr>
        <w:t>Basic characteristics</w:t>
      </w:r>
    </w:p>
    <w:p w14:paraId="39E86C0E" w14:textId="77777777" w:rsidR="00326869" w:rsidRDefault="008967A2">
      <w:pPr>
        <w:spacing w:line="360" w:lineRule="auto"/>
        <w:jc w:val="both"/>
      </w:pPr>
      <w:r>
        <w:rPr>
          <w:rFonts w:ascii="Book Antiqua" w:eastAsia="Book Antiqua" w:hAnsi="Book Antiqua" w:cs="Book Antiqua"/>
          <w:color w:val="000000"/>
        </w:rPr>
        <w:t xml:space="preserve">The questionnaire was completed by 203 of the 220 participants (response rate 92.3%), including 122 (60.1%) women and 81 </w:t>
      </w:r>
      <w:r>
        <w:rPr>
          <w:rFonts w:ascii="Book Antiqua" w:eastAsia="Book Antiqua" w:hAnsi="Book Antiqua" w:cs="Book Antiqua"/>
          <w:color w:val="000000"/>
        </w:rPr>
        <w:t>(39.9%) men. According to the Rome IV questionnaire, 25 participants were diagnosed with IBS, of whom 60.0% were women. The numbers of patients with IBS with predominant constipation, IBS-D, IBS with mixed bowel habits, and IBS unclassified were 5 (20%), 7</w:t>
      </w:r>
      <w:r>
        <w:rPr>
          <w:rFonts w:ascii="Book Antiqua" w:eastAsia="Book Antiqua" w:hAnsi="Book Antiqua" w:cs="Book Antiqua"/>
          <w:color w:val="000000"/>
        </w:rPr>
        <w:t xml:space="preserve"> (28%), 9 (36%), and 4 (16%), respectively. Sociodemographic and clinical characteristics of IBS patients and non-IBS participants are presented in Table 1.</w:t>
      </w:r>
    </w:p>
    <w:p w14:paraId="248629AF" w14:textId="77777777" w:rsidR="00326869" w:rsidRDefault="00326869">
      <w:pPr>
        <w:spacing w:line="360" w:lineRule="auto"/>
        <w:jc w:val="both"/>
      </w:pPr>
    </w:p>
    <w:p w14:paraId="49F9D4D2" w14:textId="77777777" w:rsidR="00326869" w:rsidRDefault="008967A2">
      <w:pPr>
        <w:spacing w:line="360" w:lineRule="auto"/>
        <w:jc w:val="both"/>
      </w:pPr>
      <w:r>
        <w:rPr>
          <w:rFonts w:ascii="Book Antiqua" w:eastAsia="Book Antiqua" w:hAnsi="Book Antiqua" w:cs="Book Antiqua"/>
          <w:b/>
          <w:bCs/>
          <w:i/>
          <w:iCs/>
          <w:color w:val="000000"/>
        </w:rPr>
        <w:t>Dietary habits</w:t>
      </w:r>
    </w:p>
    <w:p w14:paraId="1066699D" w14:textId="77777777" w:rsidR="00326869" w:rsidRDefault="008967A2">
      <w:pPr>
        <w:spacing w:line="360" w:lineRule="auto"/>
        <w:jc w:val="both"/>
      </w:pPr>
      <w:r>
        <w:rPr>
          <w:rFonts w:ascii="Book Antiqua" w:eastAsia="Book Antiqua" w:hAnsi="Book Antiqua" w:cs="Book Antiqua"/>
          <w:color w:val="000000"/>
        </w:rPr>
        <w:lastRenderedPageBreak/>
        <w:t>Sixty-eight questionnaires were incomplete. Only 135 (61.4%) dietary questionnaires</w:t>
      </w:r>
      <w:r>
        <w:rPr>
          <w:rFonts w:ascii="Book Antiqua" w:eastAsia="Book Antiqua" w:hAnsi="Book Antiqua" w:cs="Book Antiqua"/>
          <w:color w:val="000000"/>
        </w:rPr>
        <w:t xml:space="preserve"> were valid, including 25 IBS patients and 110 non-IBS participants. The dietary results were provided in the form of quantity per time (Figure 1 and 2) and intake frequency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and 4). The dietary factors of the two groups were evaluated comprehensi</w:t>
      </w:r>
      <w:r>
        <w:rPr>
          <w:rFonts w:ascii="Book Antiqua" w:eastAsia="Book Antiqua" w:hAnsi="Book Antiqua" w:cs="Book Antiqua"/>
          <w:color w:val="000000"/>
        </w:rPr>
        <w:t>vely. We found that patients with IBS consumed more soybean and its products, spicy food, and dry-fried nuts in terms of quantity per time and intake frequency. Besides, seafood, soft drinks, vegetables, and fruits differed only in quantity per time. The i</w:t>
      </w:r>
      <w:r>
        <w:rPr>
          <w:rFonts w:ascii="Book Antiqua" w:eastAsia="Book Antiqua" w:hAnsi="Book Antiqua" w:cs="Book Antiqua"/>
          <w:color w:val="000000"/>
        </w:rPr>
        <w:t>ntake frequencies of egg, barbecue, and coarse grain were statistically different. Results with significant differences are shown in Table 2 and a more detailed analysis of dietary factors is provided in Supplementary Table 2.</w:t>
      </w:r>
    </w:p>
    <w:p w14:paraId="43EE6009" w14:textId="77777777" w:rsidR="00326869" w:rsidRDefault="00326869">
      <w:pPr>
        <w:spacing w:line="360" w:lineRule="auto"/>
        <w:jc w:val="both"/>
      </w:pPr>
    </w:p>
    <w:p w14:paraId="2AE7155C" w14:textId="77777777" w:rsidR="00326869" w:rsidRDefault="008967A2">
      <w:pPr>
        <w:spacing w:line="360" w:lineRule="auto"/>
        <w:jc w:val="both"/>
      </w:pPr>
      <w:r>
        <w:rPr>
          <w:rFonts w:ascii="Book Antiqua" w:eastAsia="Book Antiqua" w:hAnsi="Book Antiqua" w:cs="Book Antiqua"/>
          <w:b/>
          <w:bCs/>
          <w:i/>
          <w:iCs/>
          <w:color w:val="000000"/>
        </w:rPr>
        <w:t>Symptom severity and psychol</w:t>
      </w:r>
      <w:r>
        <w:rPr>
          <w:rFonts w:ascii="Book Antiqua" w:eastAsia="Book Antiqua" w:hAnsi="Book Antiqua" w:cs="Book Antiqua"/>
          <w:b/>
          <w:bCs/>
          <w:i/>
          <w:iCs/>
          <w:color w:val="000000"/>
        </w:rPr>
        <w:t xml:space="preserve">ogical factors </w:t>
      </w:r>
    </w:p>
    <w:p w14:paraId="7E2B26F6" w14:textId="77777777" w:rsidR="00326869" w:rsidRDefault="008967A2">
      <w:pPr>
        <w:spacing w:line="360" w:lineRule="auto"/>
        <w:jc w:val="both"/>
      </w:pPr>
      <w:r>
        <w:rPr>
          <w:rFonts w:ascii="Book Antiqua" w:eastAsia="Book Antiqua" w:hAnsi="Book Antiqua" w:cs="Book Antiqua"/>
          <w:color w:val="000000"/>
        </w:rPr>
        <w:t xml:space="preserve">We found that visceral sensitivity index [median (Q1, Q3): 64.0 (53.0, 68.5) </w:t>
      </w:r>
      <w:r>
        <w:rPr>
          <w:rFonts w:ascii="Book Antiqua" w:eastAsia="Book Antiqua" w:hAnsi="Book Antiqua" w:cs="Book Antiqua"/>
          <w:i/>
          <w:iCs/>
          <w:color w:val="000000"/>
        </w:rPr>
        <w:t>vs</w:t>
      </w:r>
      <w:r>
        <w:rPr>
          <w:rFonts w:ascii="Book Antiqua" w:eastAsia="Book Antiqua" w:hAnsi="Book Antiqua" w:cs="Book Antiqua"/>
          <w:color w:val="000000"/>
        </w:rPr>
        <w:t xml:space="preserve"> 29.0 (17.5, 38.25),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Theme="minorEastAsia" w:hAnsi="Book Antiqua" w:cs="Book Antiqua" w:hint="eastAsi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HADS anxiety score [7.0 (3.5,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Pr>
          <w:rFonts w:ascii="Book Antiqua" w:eastAsiaTheme="minorEastAsia" w:hAnsi="Book Antiqua" w:cs="Book Antiqua" w:hint="eastAsi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HADS depression score [5.0 (2.5, 8.0)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0.026], and GSRS [4.0 (3.0, 6.5)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were significantly increased in IBS patients compared with the non-IBS group. The relevant statistical data are shown in Table 2. </w:t>
      </w:r>
    </w:p>
    <w:p w14:paraId="5882A294" w14:textId="77777777" w:rsidR="00326869" w:rsidRDefault="00326869">
      <w:pPr>
        <w:spacing w:line="360" w:lineRule="auto"/>
        <w:jc w:val="both"/>
      </w:pPr>
    </w:p>
    <w:p w14:paraId="26A3E14F" w14:textId="77777777" w:rsidR="00326869" w:rsidRDefault="008967A2">
      <w:pPr>
        <w:spacing w:line="360" w:lineRule="auto"/>
        <w:jc w:val="both"/>
      </w:pPr>
      <w:r>
        <w:rPr>
          <w:rFonts w:ascii="Book Antiqua" w:eastAsia="Book Antiqua" w:hAnsi="Book Antiqua" w:cs="Book Antiqua"/>
          <w:b/>
          <w:bCs/>
          <w:i/>
          <w:iCs/>
          <w:color w:val="000000"/>
        </w:rPr>
        <w:t>Association between dietary factors and clinical score and ps</w:t>
      </w:r>
      <w:r>
        <w:rPr>
          <w:rFonts w:ascii="Book Antiqua" w:eastAsia="Book Antiqua" w:hAnsi="Book Antiqua" w:cs="Book Antiqua"/>
          <w:b/>
          <w:bCs/>
          <w:i/>
          <w:iCs/>
          <w:color w:val="000000"/>
        </w:rPr>
        <w:t>ychological score</w:t>
      </w:r>
    </w:p>
    <w:p w14:paraId="7807497F" w14:textId="77777777" w:rsidR="00326869" w:rsidRDefault="008967A2">
      <w:pPr>
        <w:spacing w:line="360" w:lineRule="auto"/>
        <w:jc w:val="both"/>
      </w:pPr>
      <w:r>
        <w:rPr>
          <w:rFonts w:ascii="Book Antiqua" w:eastAsia="Book Antiqua" w:hAnsi="Book Antiqua" w:cs="Book Antiqua"/>
          <w:color w:val="000000"/>
        </w:rPr>
        <w:t>The univariate analysis demonstrated that the quantity per time and intake frequency of soybean and its products, spicy food, and dry-fried nuts were statistically significant. They were positively associated with IBS symptom severity sca</w:t>
      </w:r>
      <w:r>
        <w:rPr>
          <w:rFonts w:ascii="Book Antiqua" w:eastAsia="Book Antiqua" w:hAnsi="Book Antiqua" w:cs="Book Antiqua"/>
          <w:color w:val="000000"/>
        </w:rPr>
        <w:t>le (IBS-SSS), HADS anxiety score, and HADS depression score. The details are shown in Table 3.</w:t>
      </w:r>
    </w:p>
    <w:p w14:paraId="4A9B7703" w14:textId="77777777" w:rsidR="00326869" w:rsidRDefault="00326869">
      <w:pPr>
        <w:spacing w:line="360" w:lineRule="auto"/>
        <w:jc w:val="both"/>
      </w:pPr>
    </w:p>
    <w:p w14:paraId="49317AE4" w14:textId="77777777" w:rsidR="00326869" w:rsidRDefault="008967A2">
      <w:pPr>
        <w:spacing w:line="360" w:lineRule="auto"/>
        <w:jc w:val="both"/>
      </w:pPr>
      <w:r>
        <w:rPr>
          <w:rFonts w:ascii="Book Antiqua" w:eastAsia="Book Antiqua" w:hAnsi="Book Antiqua" w:cs="Book Antiqua"/>
          <w:b/>
          <w:bCs/>
          <w:i/>
          <w:iCs/>
          <w:color w:val="000000"/>
        </w:rPr>
        <w:t>Risk factors for IBS</w:t>
      </w:r>
    </w:p>
    <w:p w14:paraId="0A445DA4" w14:textId="77777777" w:rsidR="00326869" w:rsidRDefault="008967A2">
      <w:pPr>
        <w:spacing w:line="360" w:lineRule="auto"/>
        <w:jc w:val="both"/>
      </w:pPr>
      <w:r>
        <w:rPr>
          <w:rFonts w:ascii="Book Antiqua" w:eastAsia="Book Antiqua" w:hAnsi="Book Antiqua" w:cs="Book Antiqua"/>
          <w:color w:val="000000"/>
        </w:rPr>
        <w:t>Combined with the previous literature, we finally entered the frequency of soybean and its products, spicy food and dry-fried nuts into mul</w:t>
      </w:r>
      <w:r>
        <w:rPr>
          <w:rFonts w:ascii="Book Antiqua" w:eastAsia="Book Antiqua" w:hAnsi="Book Antiqua" w:cs="Book Antiqua"/>
          <w:color w:val="000000"/>
        </w:rPr>
        <w:t xml:space="preserve">tivariable logistic regression analysis, which demonstrated that the frequency of intake of soybean and its products (≥ 7 </w:t>
      </w:r>
      <w:r>
        <w:rPr>
          <w:rFonts w:ascii="Book Antiqua" w:eastAsia="Book Antiqua" w:hAnsi="Book Antiqua" w:cs="Book Antiqua"/>
          <w:iCs/>
          <w:color w:val="000000"/>
        </w:rPr>
        <w:t>t</w:t>
      </w:r>
      <w:r>
        <w:rPr>
          <w:rFonts w:ascii="Book Antiqua" w:eastAsia="Book Antiqua" w:hAnsi="Book Antiqua" w:cs="Book Antiqua"/>
          <w:color w:val="000000"/>
        </w:rPr>
        <w:t xml:space="preserve">/wk, </w:t>
      </w:r>
      <w:r>
        <w:rPr>
          <w:rFonts w:ascii="Book Antiqua" w:eastAsia="Book Antiqua" w:hAnsi="Book Antiqua" w:cs="Book Antiqua"/>
          <w:color w:val="000000"/>
        </w:rPr>
        <w:lastRenderedPageBreak/>
        <w:t xml:space="preserve">odds ratio 11.613, 95% confidence interval 2.145-62.855,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was an independent risk factor for IBS. The results are show</w:t>
      </w:r>
      <w:r>
        <w:rPr>
          <w:rFonts w:ascii="Book Antiqua" w:eastAsia="Book Antiqua" w:hAnsi="Book Antiqua" w:cs="Book Antiqua"/>
          <w:color w:val="000000"/>
        </w:rPr>
        <w:t xml:space="preserve">n in Table 4. </w:t>
      </w:r>
    </w:p>
    <w:p w14:paraId="7BC903C3" w14:textId="77777777" w:rsidR="00326869" w:rsidRDefault="00326869">
      <w:pPr>
        <w:spacing w:line="360" w:lineRule="auto"/>
        <w:jc w:val="both"/>
      </w:pPr>
    </w:p>
    <w:p w14:paraId="69A24FF7" w14:textId="77777777" w:rsidR="00326869" w:rsidRDefault="008967A2">
      <w:pPr>
        <w:spacing w:line="360" w:lineRule="auto"/>
        <w:jc w:val="both"/>
      </w:pPr>
      <w:r>
        <w:rPr>
          <w:rFonts w:ascii="Book Antiqua" w:eastAsia="Book Antiqua" w:hAnsi="Book Antiqua" w:cs="Book Antiqua"/>
          <w:b/>
          <w:caps/>
          <w:color w:val="000000"/>
          <w:u w:val="single"/>
        </w:rPr>
        <w:t>DISCUSSION</w:t>
      </w:r>
    </w:p>
    <w:p w14:paraId="12E2A7F3" w14:textId="77777777" w:rsidR="00326869" w:rsidRDefault="008967A2">
      <w:pPr>
        <w:spacing w:line="360" w:lineRule="auto"/>
        <w:jc w:val="both"/>
      </w:pPr>
      <w:r>
        <w:rPr>
          <w:rFonts w:ascii="Book Antiqua" w:eastAsia="Book Antiqua" w:hAnsi="Book Antiqua" w:cs="Book Antiqua"/>
          <w:color w:val="000000"/>
        </w:rPr>
        <w:t xml:space="preserve">IBS is a common functional bowel disorder that is the result of multiple factors. The role of diet in the occurrence and development of IBS has been widely studied. Diet could cause IBS symptoms by several mechanisms, such as a </w:t>
      </w:r>
      <w:r>
        <w:rPr>
          <w:rFonts w:ascii="Book Antiqua" w:eastAsia="Book Antiqua" w:hAnsi="Book Antiqua" w:cs="Book Antiqua"/>
          <w:color w:val="000000"/>
        </w:rPr>
        <w:t>direct effect of food, changing gut microbiota, and immune activation</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An elimination diet, such as low-FODMAP diet or GFD diet, represented an effective intervention for relieving gastrointestinal symptoms in patients with IBS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t>
      </w:r>
    </w:p>
    <w:p w14:paraId="1C51DA5D" w14:textId="77777777" w:rsidR="00326869" w:rsidRDefault="008967A2">
      <w:pPr>
        <w:spacing w:line="360" w:lineRule="auto"/>
        <w:ind w:firstLine="480"/>
        <w:jc w:val="both"/>
      </w:pPr>
      <w:r>
        <w:rPr>
          <w:rFonts w:ascii="Book Antiqua" w:eastAsia="Book Antiqua" w:hAnsi="Book Antiqua" w:cs="Book Antiqua"/>
          <w:color w:val="000000"/>
        </w:rPr>
        <w:t xml:space="preserve">As we all </w:t>
      </w:r>
      <w:r>
        <w:rPr>
          <w:rFonts w:ascii="Book Antiqua" w:eastAsia="Book Antiqua" w:hAnsi="Book Antiqua" w:cs="Book Antiqua"/>
          <w:color w:val="000000"/>
        </w:rPr>
        <w:t>know, food categories differed largely between the Eastern and Western diets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Moreover, the mostly used dietary questionnaires, especially FFQ, only evaluated the intake frequency of some foods</w:t>
      </w:r>
      <w:r>
        <w:rPr>
          <w:rFonts w:ascii="Book Antiqua" w:eastAsia="Book Antiqua" w:hAnsi="Book Antiqua" w:cs="Book Antiqua"/>
          <w:color w:val="000000"/>
          <w:szCs w:val="36"/>
          <w:vertAlign w:val="superscript"/>
        </w:rPr>
        <w:t>[19,21]</w:t>
      </w:r>
      <w:r>
        <w:rPr>
          <w:rFonts w:ascii="Book Antiqua" w:eastAsia="Book Antiqua" w:hAnsi="Book Antiqua" w:cs="Book Antiqua"/>
          <w:color w:val="000000"/>
        </w:rPr>
        <w:t>. Thus, these diet questionnaires are not entirely s</w:t>
      </w:r>
      <w:r>
        <w:rPr>
          <w:rFonts w:ascii="Book Antiqua" w:eastAsia="Book Antiqua" w:hAnsi="Book Antiqua" w:cs="Book Antiqua"/>
          <w:color w:val="000000"/>
        </w:rPr>
        <w:t xml:space="preserve">uitable to evaluate the dietary habits of Asian populations, especially the Chinese. We constructed a new dietary questionnaire according to the eating habits of the Chinese, and “quantity per time” was included for analysis. It is the first study using a </w:t>
      </w:r>
      <w:r>
        <w:rPr>
          <w:rFonts w:ascii="Book Antiqua" w:eastAsia="Book Antiqua" w:hAnsi="Book Antiqua" w:cs="Book Antiqua"/>
          <w:color w:val="000000"/>
        </w:rPr>
        <w:t>multidimensional questionnaire to investigate the dietary habits systematically and comprehensively between IBS patients and non-IBS participants in a community-based study. The formulation of the questionnaire has been completed in clinical practice befor</w:t>
      </w:r>
      <w:r>
        <w:rPr>
          <w:rFonts w:ascii="Book Antiqua" w:eastAsia="Book Antiqua" w:hAnsi="Book Antiqua" w:cs="Book Antiqua"/>
          <w:color w:val="000000"/>
        </w:rPr>
        <w:t xml:space="preserve">e this study, and the reliability and validity test will be performed in the future. </w:t>
      </w:r>
    </w:p>
    <w:p w14:paraId="0B32E766" w14:textId="77777777" w:rsidR="00326869" w:rsidRDefault="008967A2">
      <w:pPr>
        <w:spacing w:line="360" w:lineRule="auto"/>
        <w:ind w:firstLine="480"/>
        <w:jc w:val="both"/>
      </w:pPr>
      <w:r>
        <w:rPr>
          <w:rFonts w:ascii="Book Antiqua" w:eastAsia="Book Antiqua" w:hAnsi="Book Antiqua" w:cs="Book Antiqua"/>
          <w:color w:val="000000"/>
        </w:rPr>
        <w:t>To our delight, we found some clinically instructive findings. In our study, the consumption of soybean and its products, egg, and seafood were significantly increased in</w:t>
      </w:r>
      <w:r>
        <w:rPr>
          <w:rFonts w:ascii="Book Antiqua" w:eastAsia="Book Antiqua" w:hAnsi="Book Antiqua" w:cs="Book Antiqua"/>
          <w:color w:val="000000"/>
        </w:rPr>
        <w:t xml:space="preserve"> patients with IBS. Such differences have been confirmed in previous studies</w:t>
      </w:r>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Protein could be fermented to produce sulfur-containing and nitrogen-containing gases. A large amount of gas accumulated in enteric cavity and led to high intraluminal pre</w:t>
      </w:r>
      <w:r>
        <w:rPr>
          <w:rFonts w:ascii="Book Antiqua" w:eastAsia="Book Antiqua" w:hAnsi="Book Antiqua" w:cs="Book Antiqua"/>
          <w:color w:val="000000"/>
        </w:rPr>
        <w:t>ssure, which then induced abdominal pain, abdominal discomfort, and other symptoms</w:t>
      </w:r>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 In addition, metabolic products of protein fermentation, such as short-chain fatty acids and phenolic and indolic compounds, exerted harm in the intestinal tract dep</w:t>
      </w:r>
      <w:r>
        <w:rPr>
          <w:rFonts w:ascii="Book Antiqua" w:eastAsia="Book Antiqua" w:hAnsi="Book Antiqua" w:cs="Book Antiqua"/>
          <w:color w:val="000000"/>
        </w:rPr>
        <w:t>ending on the imbalance among the rates of production, absorption, and excretion</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Food allergy, </w:t>
      </w:r>
      <w:r>
        <w:rPr>
          <w:rFonts w:ascii="Book Antiqua" w:eastAsia="Book Antiqua" w:hAnsi="Book Antiqua" w:cs="Book Antiqua"/>
          <w:color w:val="000000"/>
        </w:rPr>
        <w:lastRenderedPageBreak/>
        <w:t>characterized by activation of IgE-mediated antibodies to a food protein, was still controversial in the pathogenesis of IBS</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Zuo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[40]</w:t>
      </w:r>
      <w:r>
        <w:rPr>
          <w:rFonts w:ascii="Book Antiqua" w:eastAsia="Book Antiqua" w:hAnsi="Book Antiqua" w:cs="Book Antiqua"/>
          <w:i/>
          <w:iCs/>
          <w:color w:val="000000"/>
        </w:rPr>
        <w:t xml:space="preserve"> </w:t>
      </w:r>
      <w:r>
        <w:rPr>
          <w:rFonts w:ascii="Book Antiqua" w:eastAsia="Book Antiqua" w:hAnsi="Book Antiqua" w:cs="Book Antiqua"/>
          <w:color w:val="000000"/>
        </w:rPr>
        <w:t>reported tha</w:t>
      </w:r>
      <w:r>
        <w:rPr>
          <w:rFonts w:ascii="Book Antiqua" w:eastAsia="Book Antiqua" w:hAnsi="Book Antiqua" w:cs="Book Antiqua"/>
          <w:color w:val="000000"/>
        </w:rPr>
        <w:t>t serum IgG antibody increased in IBS patients compared with health controls. However, no significant correlation was observed between symptom severity and elevated serum food antigen-specific IgG antibodies. Soybeans are rich in proteins and carbohydrates</w:t>
      </w:r>
      <w:r>
        <w:rPr>
          <w:rFonts w:ascii="Book Antiqua" w:eastAsia="Book Antiqua" w:hAnsi="Book Antiqua" w:cs="Book Antiqua"/>
          <w:color w:val="000000"/>
        </w:rPr>
        <w:t xml:space="preserve">, which might participate in the pathogenesis of IBS through accumulated gaseous products and toxic metabolites of fermentation. In the multivariate analysis, the intake frequency of soybean and its products (≥ 7 </w:t>
      </w:r>
      <w:r>
        <w:rPr>
          <w:rFonts w:ascii="Book Antiqua" w:eastAsia="Book Antiqua" w:hAnsi="Book Antiqua" w:cs="Book Antiqua"/>
          <w:iCs/>
          <w:color w:val="000000"/>
        </w:rPr>
        <w:t>t</w:t>
      </w:r>
      <w:r>
        <w:rPr>
          <w:rFonts w:ascii="Book Antiqua" w:eastAsia="Book Antiqua" w:hAnsi="Book Antiqua" w:cs="Book Antiqua"/>
          <w:color w:val="000000"/>
        </w:rPr>
        <w:t>/wk) was an independent risk factor for IB</w:t>
      </w:r>
      <w:r>
        <w:rPr>
          <w:rFonts w:ascii="Book Antiqua" w:eastAsia="Book Antiqua" w:hAnsi="Book Antiqua" w:cs="Book Antiqua"/>
          <w:color w:val="000000"/>
        </w:rPr>
        <w:t>S. This also provided theoretical support to eliminate soybean and its products from diet structure in IBS patients.</w:t>
      </w:r>
    </w:p>
    <w:p w14:paraId="3AE3DDB7" w14:textId="77777777" w:rsidR="00326869" w:rsidRDefault="008967A2">
      <w:pPr>
        <w:spacing w:line="360" w:lineRule="auto"/>
        <w:ind w:firstLine="480"/>
        <w:jc w:val="both"/>
      </w:pPr>
      <w:r>
        <w:rPr>
          <w:rFonts w:ascii="Book Antiqua" w:eastAsia="Book Antiqua" w:hAnsi="Book Antiqua" w:cs="Book Antiqua"/>
          <w:color w:val="000000"/>
        </w:rPr>
        <w:t>We also found that spicy foods differed between the two groups. Everyone knows that spicy foods contain capsaicin. Previous controlled stud</w:t>
      </w:r>
      <w:r>
        <w:rPr>
          <w:rFonts w:ascii="Book Antiqua" w:eastAsia="Book Antiqua" w:hAnsi="Book Antiqua" w:cs="Book Antiqua"/>
          <w:color w:val="000000"/>
        </w:rPr>
        <w:t>ies have found that patients with functional dyspepsia and IBS were highly sensitive to capsaicin or capsaicin containing foods</w:t>
      </w:r>
      <w:r>
        <w:rPr>
          <w:rFonts w:ascii="Book Antiqua" w:eastAsia="Book Antiqua" w:hAnsi="Book Antiqua" w:cs="Book Antiqua"/>
          <w:color w:val="000000"/>
          <w:szCs w:val="36"/>
          <w:vertAlign w:val="superscript"/>
        </w:rPr>
        <w:t>[41,42]</w:t>
      </w:r>
      <w:r>
        <w:rPr>
          <w:rFonts w:ascii="Book Antiqua" w:eastAsia="Book Antiqua" w:hAnsi="Book Antiqua" w:cs="Book Antiqua"/>
          <w:color w:val="000000"/>
        </w:rPr>
        <w:t>. Capsaicin could act on transient receptor potential vanilloid-1 (TRPV-1) and mediate visceral hypersensitivity</w:t>
      </w:r>
      <w:r>
        <w:rPr>
          <w:rFonts w:ascii="Book Antiqua" w:eastAsia="Book Antiqua" w:hAnsi="Book Antiqua" w:cs="Book Antiqua"/>
          <w:color w:val="000000"/>
          <w:szCs w:val="36"/>
          <w:vertAlign w:val="superscript"/>
        </w:rPr>
        <w:t>[43,44]</w:t>
      </w:r>
      <w:r>
        <w:rPr>
          <w:rFonts w:ascii="Book Antiqua" w:eastAsia="Book Antiqua" w:hAnsi="Book Antiqua" w:cs="Book Antiqua"/>
          <w:color w:val="000000"/>
        </w:rPr>
        <w:t>. A</w:t>
      </w:r>
      <w:r>
        <w:rPr>
          <w:rFonts w:ascii="Book Antiqua" w:eastAsia="Book Antiqua" w:hAnsi="Book Antiqua" w:cs="Book Antiqua"/>
          <w:color w:val="000000"/>
        </w:rPr>
        <w:t xml:space="preserve"> multicenter study involving Korean and Japanese populations found that, regardless of TRPV-1 genotype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status, upper gastrointestinal symptoms were more common in patients who ate more spicy foods</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Contrary to expectat</w:t>
      </w:r>
      <w:r>
        <w:rPr>
          <w:rFonts w:ascii="Book Antiqua" w:eastAsia="Book Antiqua" w:hAnsi="Book Antiqua" w:cs="Book Antiqua"/>
          <w:color w:val="000000"/>
        </w:rPr>
        <w:t>ions, long-term intake of capsaicin agonists or chilli could desensitize and improve symptoms. Compared with placebo, red pepper improved the dyspeptic symptoms effectively, in which the desensitization of gastric nociceptive C-fibers was attributed to cap</w:t>
      </w:r>
      <w:r>
        <w:rPr>
          <w:rFonts w:ascii="Book Antiqua" w:eastAsia="Book Antiqua" w:hAnsi="Book Antiqua" w:cs="Book Antiqua"/>
          <w:color w:val="000000"/>
        </w:rPr>
        <w:t>saicin</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This study found that IBS patients consumed more spicy foods in terms of quantity per time and intake frequency. Further studies are needed to confirm whether the correlation between capsaicin and functional gastrointestinal disorder (FGID) sym</w:t>
      </w:r>
      <w:r>
        <w:rPr>
          <w:rFonts w:ascii="Book Antiqua" w:eastAsia="Book Antiqua" w:hAnsi="Book Antiqua" w:cs="Book Antiqua"/>
          <w:color w:val="000000"/>
        </w:rPr>
        <w:t>ptoms is related to duration time, single dose, and intake frequency.</w:t>
      </w:r>
    </w:p>
    <w:p w14:paraId="52BD8F05" w14:textId="77777777" w:rsidR="00326869" w:rsidRDefault="008967A2">
      <w:pPr>
        <w:spacing w:line="360" w:lineRule="auto"/>
        <w:ind w:firstLine="480"/>
        <w:jc w:val="both"/>
      </w:pPr>
      <w:r>
        <w:rPr>
          <w:rFonts w:ascii="Book Antiqua" w:eastAsia="Book Antiqua" w:hAnsi="Book Antiqua" w:cs="Book Antiqua"/>
          <w:color w:val="000000"/>
        </w:rPr>
        <w:t>In recent years, the effect of nuts has been widely concerned by scholars worldwide. Nuts are rich in antioxidants, particularly vitamin E and polyphenols, which exert antioxidant proper</w:t>
      </w:r>
      <w:r>
        <w:rPr>
          <w:rFonts w:ascii="Book Antiqua" w:eastAsia="Book Antiqua" w:hAnsi="Book Antiqua" w:cs="Book Antiqua"/>
          <w:color w:val="000000"/>
        </w:rPr>
        <w:t>ties by mediating DNA repair, preventing lipid peroxidation, and regulating signaling pathways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However, some scholars also have found that foods </w:t>
      </w:r>
      <w:r>
        <w:rPr>
          <w:rFonts w:ascii="Book Antiqua" w:eastAsia="Book Antiqua" w:hAnsi="Book Antiqua" w:cs="Book Antiqua"/>
          <w:color w:val="000000"/>
        </w:rPr>
        <w:lastRenderedPageBreak/>
        <w:t xml:space="preserve">could cause a variety of diseases after dry-fried or high-temperature processed. Oh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[48]</w:t>
      </w:r>
      <w:r>
        <w:rPr>
          <w:rFonts w:ascii="Book Antiqua" w:eastAsia="Book Antiqua" w:hAnsi="Book Antiqua" w:cs="Book Antiqua"/>
          <w:i/>
          <w:iCs/>
          <w:color w:val="000000"/>
        </w:rPr>
        <w:t xml:space="preserve"> </w:t>
      </w:r>
      <w:r>
        <w:rPr>
          <w:rFonts w:ascii="Book Antiqua" w:eastAsia="Book Antiqua" w:hAnsi="Book Antiqua" w:cs="Book Antiqua"/>
          <w:color w:val="000000"/>
        </w:rPr>
        <w:t>revealed tha</w:t>
      </w:r>
      <w:r>
        <w:rPr>
          <w:rFonts w:ascii="Book Antiqua" w:eastAsia="Book Antiqua" w:hAnsi="Book Antiqua" w:cs="Book Antiqua"/>
          <w:color w:val="000000"/>
        </w:rPr>
        <w:t>t the allergen activity of raw, dry-fried, and boiled walnuts differed, and the walnut allergen activity was reduced by thermal processing methods. Several studies have revealed that nutrient-sensing mechanisms existed in the gastrointestinal tract and res</w:t>
      </w:r>
      <w:r>
        <w:rPr>
          <w:rFonts w:ascii="Book Antiqua" w:eastAsia="Book Antiqua" w:hAnsi="Book Antiqua" w:cs="Book Antiqua"/>
          <w:color w:val="000000"/>
        </w:rPr>
        <w:t>ulted in the transmission of neuronal signals to the brain, particularly satiety</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The taste of food was changed during high-temperature processing, which might be related with reduced gut-brain satiety signal. In addition, a large number of harmful sub</w:t>
      </w:r>
      <w:r>
        <w:rPr>
          <w:rFonts w:ascii="Book Antiqua" w:eastAsia="Book Antiqua" w:hAnsi="Book Antiqua" w:cs="Book Antiqua"/>
          <w:color w:val="000000"/>
        </w:rPr>
        <w:t>stances were formed during high-temperature cooking, which could mediate tissue damage and cause mucosal low-grade inflammation</w:t>
      </w:r>
      <w:r>
        <w:rPr>
          <w:rFonts w:ascii="Book Antiqua" w:eastAsia="Book Antiqua" w:hAnsi="Book Antiqua" w:cs="Book Antiqua"/>
          <w:color w:val="000000"/>
          <w:szCs w:val="36"/>
          <w:vertAlign w:val="superscript"/>
        </w:rPr>
        <w:t>[50-52]</w:t>
      </w:r>
      <w:r>
        <w:rPr>
          <w:rFonts w:ascii="Book Antiqua" w:eastAsia="Book Antiqua" w:hAnsi="Book Antiqua" w:cs="Book Antiqua"/>
          <w:color w:val="000000"/>
        </w:rPr>
        <w:t>. Other studies have shown that some food additives, such as artificial sweeteners, emulsifiers, and food colorants, could</w:t>
      </w:r>
      <w:r>
        <w:rPr>
          <w:rFonts w:ascii="Book Antiqua" w:eastAsia="Book Antiqua" w:hAnsi="Book Antiqua" w:cs="Book Antiqua"/>
          <w:color w:val="000000"/>
        </w:rPr>
        <w:t xml:space="preserve"> mediate inflammation and induce intestinal flora imbalance</w:t>
      </w:r>
      <w:r>
        <w:rPr>
          <w:rFonts w:ascii="Book Antiqua" w:eastAsia="Book Antiqua" w:hAnsi="Book Antiqua" w:cs="Book Antiqua"/>
          <w:color w:val="000000"/>
          <w:szCs w:val="36"/>
          <w:vertAlign w:val="superscript"/>
        </w:rPr>
        <w:t>[53-55]</w:t>
      </w:r>
      <w:r>
        <w:rPr>
          <w:rFonts w:ascii="Book Antiqua" w:eastAsia="Book Antiqua" w:hAnsi="Book Antiqua" w:cs="Book Antiqua"/>
          <w:color w:val="000000"/>
        </w:rPr>
        <w:t>. Our study found that the intake frequency and quantity per time of dry-fried nuts in IBS patients were higher than those of non-IBS participants. We speculated that dry-fried or high-tempe</w:t>
      </w:r>
      <w:r>
        <w:rPr>
          <w:rFonts w:ascii="Book Antiqua" w:eastAsia="Book Antiqua" w:hAnsi="Book Antiqua" w:cs="Book Antiqua"/>
          <w:color w:val="000000"/>
        </w:rPr>
        <w:t xml:space="preserve">rature processed food might aggravate symptoms by changing food allergen activity, re-setting of satiety signal, and inducing gut inflammation by food additives or harmful substances. It is necessary to further explore the detailed mechanisms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color w:val="000000"/>
        </w:rPr>
        <w:t>using animal experiments.</w:t>
      </w:r>
    </w:p>
    <w:p w14:paraId="4D248EFA" w14:textId="77777777" w:rsidR="00326869" w:rsidRDefault="008967A2">
      <w:pPr>
        <w:spacing w:line="360" w:lineRule="auto"/>
        <w:ind w:firstLine="480"/>
        <w:jc w:val="both"/>
      </w:pPr>
      <w:r>
        <w:rPr>
          <w:rFonts w:ascii="Book Antiqua" w:eastAsia="Book Antiqua" w:hAnsi="Book Antiqua" w:cs="Book Antiqua"/>
          <w:color w:val="000000"/>
        </w:rPr>
        <w:t>This study also found that IBS patients ate coarse grain more frequently. In fact, there are two types of dietary fiber in these foods: Soluble dietary fiber and insoluble dietary fiber. The role of dietary fiber in IBS remains to</w:t>
      </w:r>
      <w:r>
        <w:rPr>
          <w:rFonts w:ascii="Book Antiqua" w:eastAsia="Book Antiqua" w:hAnsi="Book Antiqua" w:cs="Book Antiqua"/>
          <w:color w:val="000000"/>
        </w:rPr>
        <w:t xml:space="preserve"> be determined. A meta- analysis of 22 studies found that soluble fiber improved assessment of symptoms, as well as the abdominal pain score. However, no improvement was observed in the insoluble fiber group</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Another study has shown that there was no d</w:t>
      </w:r>
      <w:r>
        <w:rPr>
          <w:rFonts w:ascii="Book Antiqua" w:eastAsia="Book Antiqua" w:hAnsi="Book Antiqua" w:cs="Book Antiqua"/>
          <w:color w:val="000000"/>
        </w:rPr>
        <w:t>efinitive recommendation supporting the use of fiber for children with IBS</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Further prospective studies are needed to confirm the association or dose-response trend for different types of dietary fiber separately with risk of IBS.</w:t>
      </w:r>
    </w:p>
    <w:p w14:paraId="0E8DF6B3" w14:textId="77777777" w:rsidR="00326869" w:rsidRDefault="008967A2">
      <w:pPr>
        <w:spacing w:line="360" w:lineRule="auto"/>
        <w:ind w:firstLine="480"/>
        <w:jc w:val="both"/>
      </w:pPr>
      <w:r>
        <w:rPr>
          <w:rFonts w:ascii="Book Antiqua" w:eastAsia="Book Antiqua" w:hAnsi="Book Antiqua" w:cs="Book Antiqua"/>
          <w:color w:val="000000"/>
        </w:rPr>
        <w:t>In addition, soft dri</w:t>
      </w:r>
      <w:r>
        <w:rPr>
          <w:rFonts w:ascii="Book Antiqua" w:eastAsia="Book Antiqua" w:hAnsi="Book Antiqua" w:cs="Book Antiqua"/>
          <w:color w:val="000000"/>
        </w:rPr>
        <w:t>nks, vegetables, and fruits differed only in quantity per time between IBS patients and non-IBS participants. The soft drinks contained reducing sugars, which were poorly digested and absorbed. A large amount of reducing sugars accumulated in the enteric l</w:t>
      </w:r>
      <w:r>
        <w:rPr>
          <w:rFonts w:ascii="Book Antiqua" w:eastAsia="Book Antiqua" w:hAnsi="Book Antiqua" w:cs="Book Antiqua"/>
          <w:color w:val="000000"/>
        </w:rPr>
        <w:t>umen and formed osmotic activity</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Whether vegetables are </w:t>
      </w:r>
      <w:r>
        <w:rPr>
          <w:rFonts w:ascii="Book Antiqua" w:eastAsia="Book Antiqua" w:hAnsi="Book Antiqua" w:cs="Book Antiqua"/>
          <w:color w:val="000000"/>
        </w:rPr>
        <w:lastRenderedPageBreak/>
        <w:t>protective or harmful may be related to vegetable varieties. It is generally accepted that onion, garlic, and chives could induce IBS symptoms</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We found that IBS patients ate more vegetables </w:t>
      </w:r>
      <w:r>
        <w:rPr>
          <w:rFonts w:ascii="Book Antiqua" w:eastAsia="Book Antiqua" w:hAnsi="Book Antiqua" w:cs="Book Antiqua"/>
          <w:color w:val="000000"/>
        </w:rPr>
        <w:t>and fruits at a time, and no positive results were found in the intake frequency. Therefore, we speculated that a single high-dose intake may lead to a sharp increase in intraluminal osmotic activity and liquid secretion, inducing symptoms. The results mig</w:t>
      </w:r>
      <w:r>
        <w:rPr>
          <w:rFonts w:ascii="Book Antiqua" w:eastAsia="Book Antiqua" w:hAnsi="Book Antiqua" w:cs="Book Antiqua"/>
          <w:color w:val="000000"/>
        </w:rPr>
        <w:t>ht be limited by the sample size. Further studies are still needed to clarify whether differences in the intake frequency of vegetables and fruits exist between IBS patients and health controls.</w:t>
      </w:r>
    </w:p>
    <w:p w14:paraId="773DD763" w14:textId="77777777" w:rsidR="00326869" w:rsidRDefault="008967A2">
      <w:pPr>
        <w:spacing w:line="360" w:lineRule="auto"/>
        <w:ind w:firstLine="480"/>
        <w:jc w:val="both"/>
      </w:pPr>
      <w:r>
        <w:rPr>
          <w:rFonts w:ascii="Book Antiqua" w:eastAsia="Book Antiqua" w:hAnsi="Book Antiqua" w:cs="Book Antiqua"/>
          <w:color w:val="000000"/>
        </w:rPr>
        <w:t xml:space="preserve">Unfortunately, no statistical differences were found in </w:t>
      </w:r>
      <w:r>
        <w:rPr>
          <w:rFonts w:ascii="Book Antiqua" w:eastAsia="Book Antiqua" w:hAnsi="Book Antiqua" w:cs="Book Antiqua"/>
          <w:color w:val="000000"/>
        </w:rPr>
        <w:t>meat and processed meat intake between two groups. The results were not in line with those in previous studies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To our surprise, a study from Bangladesh found that less intake of meat was an important associated factor for IBS. These differences might </w:t>
      </w:r>
      <w:r>
        <w:rPr>
          <w:rFonts w:ascii="Book Antiqua" w:eastAsia="Book Antiqua" w:hAnsi="Book Antiqua" w:cs="Book Antiqua"/>
          <w:color w:val="000000"/>
        </w:rPr>
        <w:t>be attributed to different eating habits among populations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It is necessary to refine the scale and enlarge the sample size to confirm whether differences exist in meat and processed meat between IBS patients and non-IBS participants.</w:t>
      </w:r>
    </w:p>
    <w:p w14:paraId="1A7CF12B" w14:textId="77777777" w:rsidR="00326869" w:rsidRDefault="008967A2">
      <w:pPr>
        <w:spacing w:line="360" w:lineRule="auto"/>
        <w:ind w:firstLine="480"/>
        <w:jc w:val="both"/>
      </w:pPr>
      <w:r>
        <w:rPr>
          <w:rFonts w:ascii="Book Antiqua" w:eastAsia="Book Antiqua" w:hAnsi="Book Antiqua" w:cs="Book Antiqua"/>
          <w:color w:val="000000"/>
        </w:rPr>
        <w:t>In our study, IBS</w:t>
      </w:r>
      <w:r>
        <w:rPr>
          <w:rFonts w:ascii="Book Antiqua" w:eastAsia="Book Antiqua" w:hAnsi="Book Antiqua" w:cs="Book Antiqua"/>
          <w:color w:val="000000"/>
        </w:rPr>
        <w:t xml:space="preserve"> patients had visceral hypersensitivity, which was consistent with the results of previous studies</w:t>
      </w:r>
      <w:r>
        <w:rPr>
          <w:rFonts w:ascii="Book Antiqua" w:eastAsia="Book Antiqua" w:hAnsi="Book Antiqua" w:cs="Book Antiqua"/>
          <w:color w:val="000000"/>
          <w:szCs w:val="36"/>
          <w:vertAlign w:val="superscript"/>
        </w:rPr>
        <w:t>[6,59]</w:t>
      </w:r>
      <w:r>
        <w:rPr>
          <w:rFonts w:ascii="Book Antiqua" w:eastAsia="Book Antiqua" w:hAnsi="Book Antiqua" w:cs="Book Antiqua"/>
          <w:color w:val="000000"/>
        </w:rPr>
        <w:t>. The mechanisms of visceral hypersensitivity in IBS patients are mainly related to visceral afferent nerve sensitization, increased excitability of neu</w:t>
      </w:r>
      <w:r>
        <w:rPr>
          <w:rFonts w:ascii="Book Antiqua" w:eastAsia="Book Antiqua" w:hAnsi="Book Antiqua" w:cs="Book Antiqua"/>
          <w:color w:val="000000"/>
        </w:rPr>
        <w:t>rons in the dorsal horn of spinal cord, and central sensory abnormalities. Visceral hypersensitivity is also characterized by a high response to dining. That is to say, dining could induce visceral hypersensitive symptoms, such as abdominal pain, abdominal</w:t>
      </w:r>
      <w:r>
        <w:rPr>
          <w:rFonts w:ascii="Book Antiqua" w:eastAsia="Book Antiqua" w:hAnsi="Book Antiqua" w:cs="Book Antiqua"/>
          <w:color w:val="000000"/>
        </w:rPr>
        <w:t xml:space="preserve"> distension, and abdominal discomfort</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Previous studies have reported that IBS may overlap with other FGIDs</w:t>
      </w:r>
      <w:r>
        <w:rPr>
          <w:rFonts w:ascii="Book Antiqua" w:eastAsia="Book Antiqua" w:hAnsi="Book Antiqua" w:cs="Book Antiqua"/>
          <w:color w:val="000000"/>
          <w:szCs w:val="36"/>
          <w:vertAlign w:val="superscript"/>
        </w:rPr>
        <w:t>[61,62]</w:t>
      </w:r>
      <w:r>
        <w:rPr>
          <w:rFonts w:ascii="Book Antiqua" w:eastAsia="Book Antiqua" w:hAnsi="Book Antiqua" w:cs="Book Antiqua"/>
          <w:color w:val="000000"/>
        </w:rPr>
        <w:t>, thus making the illness more complicated to diagnose for clinicians. This might help explain why IBS patients had a higher score of GSRS</w:t>
      </w:r>
      <w:r>
        <w:rPr>
          <w:rFonts w:ascii="Book Antiqua" w:eastAsia="Book Antiqua" w:hAnsi="Book Antiqua" w:cs="Book Antiqua"/>
          <w:color w:val="000000"/>
        </w:rPr>
        <w:t xml:space="preserve"> questionnaire in our study. It is generally believed that psychological disorders might be closely related to IBS. In our study, the anxiety and depression scores of IBS patients were significantly increased according to HADS questionnaire. Psychological </w:t>
      </w:r>
      <w:r>
        <w:rPr>
          <w:rFonts w:ascii="Book Antiqua" w:eastAsia="Book Antiqua" w:hAnsi="Book Antiqua" w:cs="Book Antiqua"/>
          <w:color w:val="000000"/>
        </w:rPr>
        <w:t xml:space="preserve">abnormalities could change autonomic nervous function, which led to gastrointestinal dysfunction and affected visceral sensation. In addition, due to visceral hypersensitivity and other reasons, </w:t>
      </w:r>
      <w:r>
        <w:rPr>
          <w:rFonts w:ascii="Book Antiqua" w:eastAsia="Book Antiqua" w:hAnsi="Book Antiqua" w:cs="Book Antiqua"/>
          <w:color w:val="000000"/>
        </w:rPr>
        <w:lastRenderedPageBreak/>
        <w:t xml:space="preserve">the information captured by visceral receptors was amplified </w:t>
      </w:r>
      <w:r>
        <w:rPr>
          <w:rFonts w:ascii="Book Antiqua" w:eastAsia="Book Antiqua" w:hAnsi="Book Antiqua" w:cs="Book Antiqua"/>
          <w:color w:val="000000"/>
        </w:rPr>
        <w:t>in the process of uploading to the central nervous system (CNS), thus affecting the state of the CNS and changing the emotional response</w:t>
      </w:r>
      <w:r>
        <w:rPr>
          <w:rFonts w:ascii="Book Antiqua" w:eastAsia="Book Antiqua" w:hAnsi="Book Antiqua" w:cs="Book Antiqua"/>
          <w:color w:val="000000"/>
          <w:szCs w:val="36"/>
          <w:vertAlign w:val="superscript"/>
        </w:rPr>
        <w:t>[63,64]</w:t>
      </w:r>
      <w:r>
        <w:rPr>
          <w:rFonts w:ascii="Book Antiqua" w:eastAsia="Book Antiqua" w:hAnsi="Book Antiqua" w:cs="Book Antiqua"/>
          <w:color w:val="000000"/>
        </w:rPr>
        <w:t xml:space="preserve">. </w:t>
      </w:r>
    </w:p>
    <w:p w14:paraId="463CD05E" w14:textId="77777777" w:rsidR="00326869" w:rsidRDefault="008967A2">
      <w:pPr>
        <w:spacing w:line="360" w:lineRule="auto"/>
        <w:ind w:firstLine="480"/>
        <w:jc w:val="both"/>
      </w:pPr>
      <w:r>
        <w:rPr>
          <w:rFonts w:ascii="Book Antiqua" w:eastAsia="Book Antiqua" w:hAnsi="Book Antiqua" w:cs="Book Antiqua"/>
          <w:color w:val="000000"/>
        </w:rPr>
        <w:t>This study found that soybeans, spicy foods, and dry-fried nuts were positively correlated with symptoms and p</w:t>
      </w:r>
      <w:r>
        <w:rPr>
          <w:rFonts w:ascii="Book Antiqua" w:eastAsia="Book Antiqua" w:hAnsi="Book Antiqua" w:cs="Book Antiqua"/>
          <w:color w:val="000000"/>
        </w:rPr>
        <w:t>sychological scores. The correlations between symptom severity, psychological state, and diet were different among studies. Bennet</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reported that the low FODMAP diet lasting 4 wk significantly reduced IBS-SSS by ≥ 50</w:t>
      </w:r>
      <w:r>
        <w:rPr>
          <w:rFonts w:ascii="Book Antiqua" w:eastAsiaTheme="minorEastAsia" w:hAnsi="Book Antiqua" w:cs="Book Antiqua" w:hint="eastAsi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and had a significant impact </w:t>
      </w:r>
      <w:r>
        <w:rPr>
          <w:rFonts w:ascii="Book Antiqua" w:eastAsia="Book Antiqua" w:hAnsi="Book Antiqua" w:cs="Book Antiqua"/>
          <w:color w:val="000000"/>
        </w:rPr>
        <w:t>on fecal bacteria</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A study on pregnant women showed that low intake of soybeans was significantly associated with generalized anxiety disorder</w:t>
      </w:r>
      <w:r>
        <w:rPr>
          <w:rFonts w:ascii="Book Antiqua" w:eastAsia="Book Antiqua" w:hAnsi="Book Antiqua" w:cs="Book Antiqua"/>
          <w:color w:val="000000"/>
          <w:szCs w:val="36"/>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Compared with a healthy dietary pattern, Western dietary pattern was characterized by a higher consumpti</w:t>
      </w:r>
      <w:r>
        <w:rPr>
          <w:rFonts w:ascii="Book Antiqua" w:eastAsia="Book Antiqua" w:hAnsi="Book Antiqua" w:cs="Book Antiqua"/>
          <w:color w:val="000000"/>
        </w:rPr>
        <w:t>on of meat and eggs, which increased the risk of current and subsequent depression</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In our opinion, the damage caused by a low-dose intake or low intake frequency of some food could be quickly repaired. However, high-dose intake per time, high intake f</w:t>
      </w:r>
      <w:r>
        <w:rPr>
          <w:rFonts w:ascii="Book Antiqua" w:eastAsia="Book Antiqua" w:hAnsi="Book Antiqua" w:cs="Book Antiqua"/>
          <w:color w:val="000000"/>
        </w:rPr>
        <w:t>requency, and long-term intake could lead to cumulative effects, exceeding the repairing ability of tissues, causing damage and inducing symptoms. Long-term dietary habits undoubtedly have effects on the intestinal ecosystem. The products of intestinal flo</w:t>
      </w:r>
      <w:r>
        <w:rPr>
          <w:rFonts w:ascii="Book Antiqua" w:eastAsia="Book Antiqua" w:hAnsi="Book Antiqua" w:cs="Book Antiqua"/>
          <w:color w:val="000000"/>
        </w:rPr>
        <w:t>ra might stimulate the enteric nervous system and vagal afferents, and promote the activation of the hypothalamic-pituitary-adrenal axis</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Further studies are needed to confirm our deduction.</w:t>
      </w:r>
    </w:p>
    <w:p w14:paraId="26128682" w14:textId="77777777" w:rsidR="00326869" w:rsidRDefault="008967A2">
      <w:pPr>
        <w:spacing w:line="360" w:lineRule="auto"/>
        <w:ind w:firstLine="480"/>
        <w:jc w:val="both"/>
      </w:pPr>
      <w:r>
        <w:rPr>
          <w:rFonts w:ascii="Book Antiqua" w:eastAsia="Book Antiqua" w:hAnsi="Book Antiqua" w:cs="Book Antiqua"/>
          <w:color w:val="000000"/>
        </w:rPr>
        <w:t>To date, most studies have confirmed that the intake frequenc</w:t>
      </w:r>
      <w:r>
        <w:rPr>
          <w:rFonts w:ascii="Book Antiqua" w:eastAsia="Book Antiqua" w:hAnsi="Book Antiqua" w:cs="Book Antiqua"/>
          <w:color w:val="000000"/>
        </w:rPr>
        <w:t>y of some food was independent risk factors for IBS, which used the FFQ. However, there was no difference in the food frequency in IBS patients compared with non-IBS patients sometimes. This study objectively reflected the eating habits of residents in a C</w:t>
      </w:r>
      <w:r>
        <w:rPr>
          <w:rFonts w:ascii="Book Antiqua" w:eastAsia="Book Antiqua" w:hAnsi="Book Antiqua" w:cs="Book Antiqua"/>
          <w:color w:val="000000"/>
        </w:rPr>
        <w:t>hinese community. It is significant for guiding IBS patients to have a reasonable diet. The results also confirmed that the quantity per time of specific food might differed between IBS patients and non-IBS participants. Physicians should not make decision</w:t>
      </w:r>
      <w:r>
        <w:rPr>
          <w:rFonts w:ascii="Book Antiqua" w:eastAsia="Book Antiqua" w:hAnsi="Book Antiqua" w:cs="Book Antiqua"/>
          <w:color w:val="000000"/>
        </w:rPr>
        <w:t xml:space="preserve">s simply depending on intake frequency, but on the basis of multidimensional questionnaire. </w:t>
      </w:r>
    </w:p>
    <w:p w14:paraId="2FBEF355" w14:textId="77777777" w:rsidR="00326869" w:rsidRDefault="008967A2">
      <w:pPr>
        <w:spacing w:line="360" w:lineRule="auto"/>
        <w:ind w:firstLine="480"/>
        <w:jc w:val="both"/>
      </w:pPr>
      <w:r>
        <w:rPr>
          <w:rFonts w:ascii="Book Antiqua" w:eastAsia="Book Antiqua" w:hAnsi="Book Antiqua" w:cs="Book Antiqua"/>
          <w:color w:val="000000"/>
        </w:rPr>
        <w:t>Our research also has some limitations. First, there were differences only in intake frequency or quantity per time in some foods, which may be limited by the samp</w:t>
      </w:r>
      <w:r>
        <w:rPr>
          <w:rFonts w:ascii="Book Antiqua" w:eastAsia="Book Antiqua" w:hAnsi="Book Antiqua" w:cs="Book Antiqua"/>
          <w:color w:val="000000"/>
        </w:rPr>
        <w:t xml:space="preserve">le size </w:t>
      </w:r>
      <w:r>
        <w:rPr>
          <w:rFonts w:ascii="Book Antiqua" w:eastAsia="Book Antiqua" w:hAnsi="Book Antiqua" w:cs="Book Antiqua"/>
          <w:color w:val="000000"/>
        </w:rPr>
        <w:lastRenderedPageBreak/>
        <w:t>and need more detailed classification. Larger sample size studies are needed to confirm our results in the future. In addition, the diet questionnaire relies on memory rather than the use of diet diary, which could result in recall bias. Third, the</w:t>
      </w:r>
      <w:r>
        <w:rPr>
          <w:rFonts w:ascii="Book Antiqua" w:eastAsia="Book Antiqua" w:hAnsi="Book Antiqua" w:cs="Book Antiqua"/>
          <w:color w:val="000000"/>
        </w:rPr>
        <w:t xml:space="preserve"> reliability and validity test of the dietary questionnaire is needed in the subsequent experiments with sufficient samples. Last but not the least, the role of food ingredients and cooking methods has not been deeply studied. This requires further explora</w:t>
      </w:r>
      <w:r>
        <w:rPr>
          <w:rFonts w:ascii="Book Antiqua" w:eastAsia="Book Antiqua" w:hAnsi="Book Antiqua" w:cs="Book Antiqua"/>
          <w:color w:val="000000"/>
        </w:rPr>
        <w:t xml:space="preserve">tion in the subsequent experiments. Further studies should refine scale, expand the sample size, and adopt a prospective study design to delve into the role of diet in IBS. </w:t>
      </w:r>
    </w:p>
    <w:p w14:paraId="4B89D001" w14:textId="77777777" w:rsidR="00326869" w:rsidRDefault="00326869">
      <w:pPr>
        <w:spacing w:line="360" w:lineRule="auto"/>
        <w:ind w:firstLine="480"/>
        <w:jc w:val="both"/>
      </w:pPr>
    </w:p>
    <w:p w14:paraId="00FDA530" w14:textId="77777777" w:rsidR="00326869" w:rsidRDefault="008967A2">
      <w:pPr>
        <w:spacing w:line="360" w:lineRule="auto"/>
        <w:jc w:val="both"/>
      </w:pPr>
      <w:r>
        <w:rPr>
          <w:rFonts w:ascii="Book Antiqua" w:eastAsia="Book Antiqua" w:hAnsi="Book Antiqua" w:cs="Book Antiqua"/>
          <w:b/>
          <w:caps/>
          <w:color w:val="000000"/>
          <w:u w:val="single"/>
        </w:rPr>
        <w:t>CONCLUSION</w:t>
      </w:r>
    </w:p>
    <w:p w14:paraId="1DB6C85B" w14:textId="77777777" w:rsidR="00326869" w:rsidRDefault="008967A2">
      <w:pPr>
        <w:spacing w:line="360" w:lineRule="auto"/>
        <w:jc w:val="both"/>
      </w:pPr>
      <w:r>
        <w:rPr>
          <w:rFonts w:ascii="Book Antiqua" w:eastAsia="Book Antiqua" w:hAnsi="Book Antiqua" w:cs="Book Antiqua"/>
          <w:color w:val="000000"/>
        </w:rPr>
        <w:t>In conclusion, this study has evaluated dietary differences between IB</w:t>
      </w:r>
      <w:r>
        <w:rPr>
          <w:rFonts w:ascii="Book Antiqua" w:eastAsia="Book Antiqua" w:hAnsi="Book Antiqua" w:cs="Book Antiqua"/>
          <w:color w:val="000000"/>
        </w:rPr>
        <w:t>S patients and non-IBS participants from multiple perspectives, including food categories, intake frequency, and quantity per time. The intake frequency and quantity per time of soybean and its products, spicy foods, and dry-fried nuts are positively assoc</w:t>
      </w:r>
      <w:r>
        <w:rPr>
          <w:rFonts w:ascii="Book Antiqua" w:eastAsia="Book Antiqua" w:hAnsi="Book Antiqua" w:cs="Book Antiqua"/>
          <w:color w:val="000000"/>
        </w:rPr>
        <w:t xml:space="preserve">iated with clinical and psychological status. The intake frequency of soybean is a risk factor for IBS. These data suggest that some foods play a potential role in the occurrence and development of IBS. </w:t>
      </w:r>
    </w:p>
    <w:p w14:paraId="0830FB18" w14:textId="77777777" w:rsidR="00326869" w:rsidRDefault="00326869">
      <w:pPr>
        <w:spacing w:line="360" w:lineRule="auto"/>
        <w:jc w:val="both"/>
      </w:pPr>
    </w:p>
    <w:p w14:paraId="5A1D70E4" w14:textId="77777777" w:rsidR="00326869" w:rsidRDefault="008967A2">
      <w:pPr>
        <w:spacing w:line="360" w:lineRule="auto"/>
        <w:jc w:val="both"/>
      </w:pPr>
      <w:r>
        <w:rPr>
          <w:rFonts w:ascii="Book Antiqua" w:eastAsia="Book Antiqua" w:hAnsi="Book Antiqua" w:cs="Book Antiqua"/>
          <w:b/>
          <w:caps/>
          <w:color w:val="000000"/>
          <w:u w:val="single"/>
        </w:rPr>
        <w:t>ARTICLE HIGHLIGHTS</w:t>
      </w:r>
    </w:p>
    <w:p w14:paraId="3680C09E" w14:textId="77777777" w:rsidR="00326869" w:rsidRDefault="008967A2">
      <w:pPr>
        <w:spacing w:line="360" w:lineRule="auto"/>
        <w:jc w:val="both"/>
      </w:pPr>
      <w:r>
        <w:rPr>
          <w:rFonts w:ascii="Book Antiqua" w:eastAsia="Book Antiqua" w:hAnsi="Book Antiqua" w:cs="Book Antiqua"/>
          <w:b/>
          <w:i/>
          <w:color w:val="000000"/>
        </w:rPr>
        <w:t>Research background</w:t>
      </w:r>
    </w:p>
    <w:p w14:paraId="046A5135" w14:textId="77777777" w:rsidR="00326869" w:rsidRDefault="008967A2">
      <w:pPr>
        <w:spacing w:line="360" w:lineRule="auto"/>
        <w:jc w:val="both"/>
      </w:pPr>
      <w:r>
        <w:rPr>
          <w:rFonts w:ascii="Book Antiqua" w:eastAsia="Book Antiqua" w:hAnsi="Book Antiqua" w:cs="Book Antiqua"/>
          <w:color w:val="000000"/>
        </w:rPr>
        <w:t xml:space="preserve">Previous </w:t>
      </w:r>
      <w:r>
        <w:rPr>
          <w:rFonts w:ascii="Book Antiqua" w:eastAsia="Book Antiqua" w:hAnsi="Book Antiqua" w:cs="Book Antiqua"/>
          <w:color w:val="000000"/>
        </w:rPr>
        <w:t xml:space="preserve">studies have demonstrated that dietary factors could induce or aggravate irritable bowel syndrome (IBS) symptoms, which was evaluated mostly based on food frequency questionnaire. This study investigated the dietary habits between IBS patients and non-IBS </w:t>
      </w:r>
      <w:r>
        <w:rPr>
          <w:rFonts w:ascii="Book Antiqua" w:eastAsia="Book Antiqua" w:hAnsi="Book Antiqua" w:cs="Book Antiqua"/>
          <w:color w:val="000000"/>
        </w:rPr>
        <w:t>participants from food categories, quantity per time, and intake frequency.</w:t>
      </w:r>
    </w:p>
    <w:p w14:paraId="7DBA0FA1" w14:textId="77777777" w:rsidR="00326869" w:rsidRDefault="00326869">
      <w:pPr>
        <w:spacing w:line="360" w:lineRule="auto"/>
        <w:jc w:val="both"/>
      </w:pPr>
    </w:p>
    <w:p w14:paraId="65F68839" w14:textId="77777777" w:rsidR="00326869" w:rsidRDefault="008967A2">
      <w:pPr>
        <w:spacing w:line="360" w:lineRule="auto"/>
        <w:jc w:val="both"/>
      </w:pPr>
      <w:r>
        <w:rPr>
          <w:rFonts w:ascii="Book Antiqua" w:eastAsia="Book Antiqua" w:hAnsi="Book Antiqua" w:cs="Book Antiqua"/>
          <w:b/>
          <w:i/>
          <w:color w:val="000000"/>
        </w:rPr>
        <w:t>Research motivation</w:t>
      </w:r>
    </w:p>
    <w:p w14:paraId="3DD4F2E9" w14:textId="77777777" w:rsidR="00326869" w:rsidRDefault="008967A2">
      <w:pPr>
        <w:spacing w:line="360" w:lineRule="auto"/>
        <w:jc w:val="both"/>
      </w:pPr>
      <w:r>
        <w:rPr>
          <w:rFonts w:ascii="Book Antiqua" w:eastAsia="Book Antiqua" w:hAnsi="Book Antiqua" w:cs="Book Antiqua"/>
          <w:color w:val="000000"/>
        </w:rPr>
        <w:t>Our study aimed to explore the dietary differences between IBS patients and non-IBS participants from dietary categories, intake frequency, and quantity each t</w:t>
      </w:r>
      <w:r>
        <w:rPr>
          <w:rFonts w:ascii="Book Antiqua" w:eastAsia="Book Antiqua" w:hAnsi="Book Antiqua" w:cs="Book Antiqua"/>
          <w:color w:val="000000"/>
        </w:rPr>
        <w:t>ime. These differences might be helpful for dietary guidance in the treatment of IBS.</w:t>
      </w:r>
    </w:p>
    <w:p w14:paraId="2D77A651" w14:textId="77777777" w:rsidR="00326869" w:rsidRDefault="00326869">
      <w:pPr>
        <w:spacing w:line="360" w:lineRule="auto"/>
        <w:jc w:val="both"/>
      </w:pPr>
    </w:p>
    <w:p w14:paraId="62344AD0" w14:textId="77777777" w:rsidR="00326869" w:rsidRDefault="008967A2">
      <w:pPr>
        <w:spacing w:line="360" w:lineRule="auto"/>
        <w:jc w:val="both"/>
      </w:pPr>
      <w:r>
        <w:rPr>
          <w:rFonts w:ascii="Book Antiqua" w:eastAsia="Book Antiqua" w:hAnsi="Book Antiqua" w:cs="Book Antiqua"/>
          <w:b/>
          <w:i/>
          <w:color w:val="000000"/>
        </w:rPr>
        <w:lastRenderedPageBreak/>
        <w:t>Research objectives</w:t>
      </w:r>
    </w:p>
    <w:p w14:paraId="0B270228" w14:textId="77777777" w:rsidR="00326869" w:rsidRDefault="008967A2">
      <w:pPr>
        <w:spacing w:line="360" w:lineRule="auto"/>
        <w:jc w:val="both"/>
      </w:pPr>
      <w:r>
        <w:rPr>
          <w:rFonts w:ascii="Book Antiqua" w:eastAsia="Book Antiqua" w:hAnsi="Book Antiqua" w:cs="Book Antiqua"/>
          <w:color w:val="000000"/>
        </w:rPr>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xml:space="preserve"> without IBS and their correlation with symptom and psychological status.</w:t>
      </w:r>
    </w:p>
    <w:p w14:paraId="728A5DEB" w14:textId="77777777" w:rsidR="00326869" w:rsidRDefault="00326869">
      <w:pPr>
        <w:spacing w:line="360" w:lineRule="auto"/>
        <w:jc w:val="both"/>
      </w:pPr>
    </w:p>
    <w:p w14:paraId="4141F2B6" w14:textId="77777777" w:rsidR="00326869" w:rsidRDefault="008967A2">
      <w:pPr>
        <w:spacing w:line="360" w:lineRule="auto"/>
        <w:jc w:val="both"/>
      </w:pPr>
      <w:r>
        <w:rPr>
          <w:rFonts w:ascii="Book Antiqua" w:eastAsia="Book Antiqua" w:hAnsi="Book Antiqua" w:cs="Book Antiqua"/>
          <w:b/>
          <w:i/>
          <w:color w:val="000000"/>
        </w:rPr>
        <w:t>Research methods</w:t>
      </w:r>
    </w:p>
    <w:p w14:paraId="1A091127" w14:textId="77777777" w:rsidR="00326869" w:rsidRDefault="008967A2">
      <w:pPr>
        <w:spacing w:line="360" w:lineRule="auto"/>
        <w:jc w:val="both"/>
      </w:pPr>
      <w:r>
        <w:rPr>
          <w:rFonts w:ascii="Book Antiqua" w:eastAsia="Book Antiqua" w:hAnsi="Book Antiqua" w:cs="Book Antiqua"/>
          <w:color w:val="000000"/>
        </w:rPr>
        <w:t xml:space="preserve">The participants were evaluated using multiple questionnaires (dietary questionnaire, IBS symptom severity scale (IBS-SSS), IBS quality of life, visceral sensitivity index, hospital anxiety and depression score (HADS), and gastrointestinal symptom rating </w:t>
      </w:r>
      <w:r>
        <w:rPr>
          <w:rFonts w:ascii="Book Antiqua" w:eastAsia="Book Antiqua" w:hAnsi="Book Antiqua" w:cs="Book Antiqua"/>
          <w:color w:val="000000"/>
        </w:rPr>
        <w:t>scale) to obtain clinical and psychological characteristics. These parameters were analyzed with SPSS version 26.0.</w:t>
      </w:r>
    </w:p>
    <w:p w14:paraId="68E3C142" w14:textId="77777777" w:rsidR="00326869" w:rsidRDefault="00326869">
      <w:pPr>
        <w:spacing w:line="360" w:lineRule="auto"/>
        <w:jc w:val="both"/>
      </w:pPr>
    </w:p>
    <w:p w14:paraId="0479F4BF" w14:textId="77777777" w:rsidR="00326869" w:rsidRDefault="008967A2">
      <w:pPr>
        <w:spacing w:line="360" w:lineRule="auto"/>
        <w:jc w:val="both"/>
      </w:pPr>
      <w:r>
        <w:rPr>
          <w:rFonts w:ascii="Book Antiqua" w:eastAsia="Book Antiqua" w:hAnsi="Book Antiqua" w:cs="Book Antiqua"/>
          <w:b/>
          <w:i/>
          <w:color w:val="000000"/>
        </w:rPr>
        <w:t>Research results</w:t>
      </w:r>
    </w:p>
    <w:p w14:paraId="55AEE8DA" w14:textId="77777777" w:rsidR="00326869" w:rsidRDefault="008967A2">
      <w:pPr>
        <w:spacing w:line="360" w:lineRule="auto"/>
        <w:jc w:val="both"/>
      </w:pPr>
      <w:r>
        <w:rPr>
          <w:rFonts w:ascii="Book Antiqua" w:eastAsia="Book Antiqua" w:hAnsi="Book Antiqua" w:cs="Book Antiqua"/>
          <w:color w:val="000000"/>
        </w:rPr>
        <w:t>In this study, patients with IBS consumed more soybean and its products, spicy food, and dry-fried nuts in terms of quantity per time and intake frequency. They were positively associated with IBS-SSS, HADS anxiety score, and HADS depression score. Besides</w:t>
      </w:r>
      <w:r>
        <w:rPr>
          <w:rFonts w:ascii="Book Antiqua" w:eastAsia="Book Antiqua" w:hAnsi="Book Antiqua" w:cs="Book Antiqua"/>
          <w:color w:val="000000"/>
        </w:rPr>
        <w:t xml:space="preserve">, seafood, soft drinks, vegetables, and fruits differed only in quantity per time. The intake frequencies of egg, barbecue, and coarse grain were statistically different. We also found that the intake frequency of soybean and its products (≥ 7 </w:t>
      </w:r>
      <w:r>
        <w:rPr>
          <w:rFonts w:ascii="Book Antiqua" w:eastAsia="Book Antiqua" w:hAnsi="Book Antiqua" w:cs="Book Antiqua"/>
          <w:iCs/>
          <w:color w:val="000000"/>
        </w:rPr>
        <w:t>t</w:t>
      </w:r>
      <w:r>
        <w:rPr>
          <w:rFonts w:ascii="Book Antiqua" w:eastAsia="Book Antiqua" w:hAnsi="Book Antiqua" w:cs="Book Antiqua"/>
          <w:color w:val="000000"/>
        </w:rPr>
        <w:t>/wk) was an</w:t>
      </w:r>
      <w:r>
        <w:rPr>
          <w:rFonts w:ascii="Book Antiqua" w:eastAsia="Book Antiqua" w:hAnsi="Book Antiqua" w:cs="Book Antiqua"/>
          <w:color w:val="000000"/>
        </w:rPr>
        <w:t xml:space="preserve"> independent risk factor for IBS.</w:t>
      </w:r>
    </w:p>
    <w:p w14:paraId="3227C624" w14:textId="77777777" w:rsidR="00326869" w:rsidRDefault="00326869">
      <w:pPr>
        <w:spacing w:line="360" w:lineRule="auto"/>
        <w:jc w:val="both"/>
      </w:pPr>
    </w:p>
    <w:p w14:paraId="3AE92FD7" w14:textId="77777777" w:rsidR="00326869" w:rsidRDefault="008967A2">
      <w:pPr>
        <w:spacing w:line="360" w:lineRule="auto"/>
        <w:jc w:val="both"/>
      </w:pPr>
      <w:r>
        <w:rPr>
          <w:rFonts w:ascii="Book Antiqua" w:eastAsia="Book Antiqua" w:hAnsi="Book Antiqua" w:cs="Book Antiqua"/>
          <w:b/>
          <w:i/>
          <w:color w:val="000000"/>
        </w:rPr>
        <w:t>Research conclusions</w:t>
      </w:r>
    </w:p>
    <w:p w14:paraId="1EDD2000" w14:textId="77777777" w:rsidR="00326869" w:rsidRDefault="008967A2">
      <w:pPr>
        <w:spacing w:line="360" w:lineRule="auto"/>
        <w:jc w:val="both"/>
      </w:pPr>
      <w:r>
        <w:rPr>
          <w:rFonts w:ascii="Book Antiqua" w:eastAsia="Book Antiqua" w:hAnsi="Book Antiqua" w:cs="Book Antiqua"/>
          <w:color w:val="000000"/>
        </w:rPr>
        <w:t>The dietary habits differ between IBS patients and non-IBS participants. The intake frequency and quantity per time of soybean and its products, spicy foods, and dry-fried nuts are positively associat</w:t>
      </w:r>
      <w:r>
        <w:rPr>
          <w:rFonts w:ascii="Book Antiqua" w:eastAsia="Book Antiqua" w:hAnsi="Book Antiqua" w:cs="Book Antiqua"/>
          <w:color w:val="000000"/>
        </w:rPr>
        <w:t xml:space="preserve">ed with clinical and psychological status, and the intake frequency of soybean is a risk factor for IBS. These results suggest that some foods play a potential role in the occurrence and development of IBS. </w:t>
      </w:r>
    </w:p>
    <w:p w14:paraId="24217220" w14:textId="77777777" w:rsidR="00326869" w:rsidRDefault="00326869">
      <w:pPr>
        <w:spacing w:line="360" w:lineRule="auto"/>
        <w:jc w:val="both"/>
      </w:pPr>
    </w:p>
    <w:p w14:paraId="3223EC19" w14:textId="77777777" w:rsidR="00326869" w:rsidRDefault="008967A2">
      <w:pPr>
        <w:spacing w:line="360" w:lineRule="auto"/>
        <w:jc w:val="both"/>
      </w:pPr>
      <w:r>
        <w:rPr>
          <w:rFonts w:ascii="Book Antiqua" w:eastAsia="Book Antiqua" w:hAnsi="Book Antiqua" w:cs="Book Antiqua"/>
          <w:b/>
          <w:i/>
          <w:color w:val="000000"/>
        </w:rPr>
        <w:t>Research perspectives</w:t>
      </w:r>
    </w:p>
    <w:p w14:paraId="272556F2" w14:textId="77777777" w:rsidR="00326869" w:rsidRDefault="008967A2">
      <w:pPr>
        <w:spacing w:line="360" w:lineRule="auto"/>
        <w:jc w:val="both"/>
      </w:pPr>
      <w:r>
        <w:rPr>
          <w:rFonts w:ascii="Book Antiqua" w:eastAsia="Book Antiqua" w:hAnsi="Book Antiqua" w:cs="Book Antiqua"/>
          <w:color w:val="000000"/>
        </w:rPr>
        <w:lastRenderedPageBreak/>
        <w:t>We preliminarily explored</w:t>
      </w:r>
      <w:r>
        <w:rPr>
          <w:rFonts w:ascii="Book Antiqua" w:eastAsia="Book Antiqua" w:hAnsi="Book Antiqua" w:cs="Book Antiqua"/>
          <w:color w:val="000000"/>
        </w:rPr>
        <w:t xml:space="preserve"> the dietary differences between the two groups. However, some limitations existed in this study. Further studies should refine scale, expand the sample size, and adopt a prospective study design to delve into the role of diet in IBS in the future. </w:t>
      </w:r>
    </w:p>
    <w:p w14:paraId="5E854FEA" w14:textId="77777777" w:rsidR="00326869" w:rsidRDefault="00326869">
      <w:pPr>
        <w:spacing w:line="360" w:lineRule="auto"/>
        <w:jc w:val="both"/>
      </w:pPr>
    </w:p>
    <w:p w14:paraId="3B57A138" w14:textId="77777777" w:rsidR="00326869" w:rsidRDefault="008967A2">
      <w:pPr>
        <w:spacing w:line="360" w:lineRule="auto"/>
        <w:jc w:val="both"/>
      </w:pPr>
      <w:r>
        <w:rPr>
          <w:rFonts w:ascii="Book Antiqua" w:eastAsia="Book Antiqua" w:hAnsi="Book Antiqua" w:cs="Book Antiqua"/>
          <w:b/>
          <w:caps/>
          <w:color w:val="000000"/>
          <w:u w:val="single"/>
        </w:rPr>
        <w:t>ACKNO</w:t>
      </w:r>
      <w:r>
        <w:rPr>
          <w:rFonts w:ascii="Book Antiqua" w:eastAsia="Book Antiqua" w:hAnsi="Book Antiqua" w:cs="Book Antiqua"/>
          <w:b/>
          <w:caps/>
          <w:color w:val="000000"/>
          <w:u w:val="single"/>
        </w:rPr>
        <w:t>WLEDGEMENTS</w:t>
      </w:r>
    </w:p>
    <w:p w14:paraId="2BD0B9B0" w14:textId="77777777" w:rsidR="00326869" w:rsidRDefault="008967A2">
      <w:pPr>
        <w:spacing w:line="360" w:lineRule="auto"/>
        <w:jc w:val="both"/>
      </w:pPr>
      <w:r>
        <w:rPr>
          <w:rFonts w:ascii="Book Antiqua" w:eastAsia="Book Antiqua" w:hAnsi="Book Antiqua" w:cs="Book Antiqua"/>
          <w:color w:val="000000"/>
        </w:rPr>
        <w:t>We thank Ms. Sun YJ and Ms. Qiao JY for collecting questionnaires and Dr. Zhouge YJ, Dr. Yin TF, and Dr. Zhao DY for amending the manuscript.</w:t>
      </w:r>
    </w:p>
    <w:p w14:paraId="01704E56" w14:textId="77777777" w:rsidR="00326869" w:rsidRDefault="00326869">
      <w:pPr>
        <w:spacing w:line="360" w:lineRule="auto"/>
        <w:jc w:val="both"/>
      </w:pPr>
    </w:p>
    <w:p w14:paraId="4C79F1F6" w14:textId="77777777" w:rsidR="00326869" w:rsidRDefault="008967A2">
      <w:pPr>
        <w:spacing w:line="360" w:lineRule="auto"/>
        <w:jc w:val="both"/>
      </w:pPr>
      <w:r>
        <w:rPr>
          <w:rFonts w:ascii="Book Antiqua" w:eastAsia="Book Antiqua" w:hAnsi="Book Antiqua" w:cs="Book Antiqua"/>
          <w:b/>
          <w:color w:val="000000"/>
        </w:rPr>
        <w:t>REFERENCES</w:t>
      </w:r>
    </w:p>
    <w:p w14:paraId="7D445776"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Barbara G</w:t>
      </w:r>
      <w:r>
        <w:rPr>
          <w:rFonts w:ascii="Book Antiqua" w:eastAsia="Book Antiqua" w:hAnsi="Book Antiqua" w:cs="Book Antiqua"/>
          <w:color w:val="000000"/>
        </w:rPr>
        <w:t>, Feinle-Bisset C, Ghoshal UC, Quigley EM, Santos J, Vanner S, Vergnolle N, Zoe</w:t>
      </w:r>
      <w:r>
        <w:rPr>
          <w:rFonts w:ascii="Book Antiqua" w:eastAsia="Book Antiqua" w:hAnsi="Book Antiqua" w:cs="Book Antiqua"/>
          <w:color w:val="000000"/>
        </w:rPr>
        <w:t xml:space="preserve">tendal EG. The Intestinal Microenvironment and Functional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1305-1318.e8</w:t>
      </w:r>
      <w:r>
        <w:rPr>
          <w:rFonts w:ascii="Book Antiqua" w:eastAsia="Book Antiqua" w:hAnsi="Book Antiqua" w:cs="Book Antiqua"/>
          <w:color w:val="000000"/>
        </w:rPr>
        <w:t xml:space="preserve"> [PMID: 27144620 DOI: 10.1053/j.gastro.2016.02.028]</w:t>
      </w:r>
    </w:p>
    <w:p w14:paraId="41DC412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Oka P</w:t>
      </w:r>
      <w:r>
        <w:rPr>
          <w:rFonts w:ascii="Book Antiqua" w:eastAsia="Book Antiqua" w:hAnsi="Book Antiqua" w:cs="Book Antiqua"/>
          <w:color w:val="000000"/>
        </w:rPr>
        <w:t xml:space="preserve">, Parr H, Barberio B, Black CJ, Savarino EV, Ford AC. Global prevalence of irritable bowel syndrome according to Rome III or IV criteria: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908-917 [PMID: 32702295 DOI: 10.1016/S246</w:t>
      </w:r>
      <w:r>
        <w:rPr>
          <w:rFonts w:ascii="Book Antiqua" w:eastAsia="Book Antiqua" w:hAnsi="Book Antiqua" w:cs="Book Antiqua"/>
          <w:color w:val="000000"/>
        </w:rPr>
        <w:t>8-1253(20)30217</w:t>
      </w:r>
      <w:r>
        <w:rPr>
          <w:rFonts w:ascii="Book Antiqua" w:eastAsia="宋体" w:hAnsi="Book Antiqua" w:cs="Book Antiqua" w:hint="eastAsia"/>
          <w:color w:val="000000"/>
          <w:lang w:eastAsia="zh-CN"/>
        </w:rPr>
        <w:t>-</w:t>
      </w:r>
      <w:r>
        <w:rPr>
          <w:rFonts w:ascii="Book Antiqua" w:eastAsia="Book Antiqua" w:hAnsi="Book Antiqua" w:cs="Book Antiqua"/>
          <w:color w:val="000000"/>
        </w:rPr>
        <w:t>X]</w:t>
      </w:r>
    </w:p>
    <w:p w14:paraId="39BC559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Sperber AD</w:t>
      </w:r>
      <w:r>
        <w:rPr>
          <w:rFonts w:ascii="Book Antiqua" w:eastAsia="Book Antiqua" w:hAnsi="Book Antiqua" w:cs="Book Antiqua"/>
          <w:color w:val="000000"/>
        </w:rPr>
        <w:t xml:space="preserve">, Bangdiwala SI, Drossman DA, Ghoshal UC, Simren M, Tack J, Whitehead WE, Dumitrascu DL, Fang X, Fukudo S, Kellow J, Okeke E, Quigley EMM, Schmulson M, Whorwell P, Archampong T, Adibi P, Andresen V, Benninga MA, Bonaz B, Bor </w:t>
      </w:r>
      <w:r>
        <w:rPr>
          <w:rFonts w:ascii="Book Antiqua" w:eastAsia="Book Antiqua" w:hAnsi="Book Antiqua" w:cs="Book Antiqua"/>
          <w:color w:val="000000"/>
        </w:rPr>
        <w:t>S, Fernandez LB, Choi SC, Corazziari ES, Francisconi C, Hani A, Lazebnik L, Lee YY, Mulak A, Rahman MM, Santos J, Setshedi M, Syam AF, Vanner S, Wong RK, Lopez-Colombo A, Costa V, Dickman R, Kanazawa M, Keshteli AH, Khatun R, Maleki I, Poitras P, Pratap N,</w:t>
      </w:r>
      <w:r>
        <w:rPr>
          <w:rFonts w:ascii="Book Antiqua" w:eastAsia="Book Antiqua" w:hAnsi="Book Antiqua" w:cs="Book Antiqua"/>
          <w:color w:val="000000"/>
        </w:rPr>
        <w:t xml:space="preserve"> Stefanyuk O, Thomson S, Zeevenhooven J, Palsson OS. Worldwide Prevalence and Burden of Functional Gastrointestinal Disorders, Results of Rome Foundation Global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99-114.e3 [PMID: 32294476 DOI: 10.1053/j.gastro.2020.04.014]</w:t>
      </w:r>
    </w:p>
    <w:p w14:paraId="092CC60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Palsson OS</w:t>
      </w:r>
      <w:r>
        <w:rPr>
          <w:rFonts w:ascii="Book Antiqua" w:eastAsia="Book Antiqua" w:hAnsi="Book Antiqua" w:cs="Book Antiqua"/>
          <w:color w:val="000000"/>
        </w:rPr>
        <w:t xml:space="preserve">, Whitehead W, Törnblom H, Sperber AD, Simren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w:t>
      </w:r>
      <w:r>
        <w:rPr>
          <w:rFonts w:ascii="Book Antiqua" w:eastAsia="Book Antiqua" w:hAnsi="Book Antiqua" w:cs="Book Antiqua"/>
          <w:color w:val="000000"/>
        </w:rPr>
        <w:t>.2019.12.021]</w:t>
      </w:r>
    </w:p>
    <w:p w14:paraId="15B575D3"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Canavan C</w:t>
      </w:r>
      <w:r>
        <w:rPr>
          <w:rFonts w:ascii="Book Antiqua" w:eastAsia="Book Antiqua" w:hAnsi="Book Antiqua" w:cs="Book Antiqua"/>
          <w:color w:val="000000"/>
        </w:rPr>
        <w:t xml:space="preserve">, West J, Card T. Review article: the economic impact of the irritable bowel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1023-1034 [PMID: 25199904 DOI: 10.1111/apt.12938]</w:t>
      </w:r>
    </w:p>
    <w:p w14:paraId="6D75E87B"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Gwee KA</w:t>
      </w:r>
      <w:r>
        <w:rPr>
          <w:rFonts w:ascii="Book Antiqua" w:eastAsia="Book Antiqua" w:hAnsi="Book Antiqua" w:cs="Book Antiqua"/>
          <w:color w:val="000000"/>
        </w:rPr>
        <w:t>, Gonlachanvit S, Ghoshal UC, Chua ASB, Miwa H, Wu J</w:t>
      </w:r>
      <w:r>
        <w:rPr>
          <w:rFonts w:ascii="Book Antiqua" w:eastAsia="Book Antiqua" w:hAnsi="Book Antiqua" w:cs="Book Antiqua"/>
          <w:color w:val="000000"/>
        </w:rPr>
        <w:t xml:space="preserve">, Bak YT, Lee OY, Lu CL, Park H, Chen M, Syam AF, Abraham P, Sollano J, Chang CS, Suzuki H, Fang X, Fukudo S, Choi MG, Hou X, Hongo M. Second Asian Consensus on Irritable Bowel Syndrome.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343-362 [PMID: 31327218 DOI: 10.</w:t>
      </w:r>
      <w:r>
        <w:rPr>
          <w:rFonts w:ascii="Book Antiqua" w:eastAsia="Book Antiqua" w:hAnsi="Book Antiqua" w:cs="Book Antiqua"/>
          <w:color w:val="000000"/>
        </w:rPr>
        <w:t>5056/jnm19041]</w:t>
      </w:r>
    </w:p>
    <w:p w14:paraId="5F64A5C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Ligaarden SC</w:t>
      </w:r>
      <w:r>
        <w:rPr>
          <w:rFonts w:ascii="Book Antiqua" w:eastAsia="Book Antiqua" w:hAnsi="Book Antiqua" w:cs="Book Antiqua"/>
          <w:color w:val="000000"/>
        </w:rPr>
        <w:t xml:space="preserve">, Lydersen S, Farup PG. Diet in subjects with irritable bowel syndrome: a cross-sectional study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61 [PMID: 22676475 DOI: 10.1186/1471-230X-12-61]</w:t>
      </w:r>
    </w:p>
    <w:p w14:paraId="333991B3"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Saito YA</w:t>
      </w:r>
      <w:r>
        <w:rPr>
          <w:rFonts w:ascii="Book Antiqua" w:eastAsia="Book Antiqua" w:hAnsi="Book Antiqua" w:cs="Book Antiqua"/>
          <w:color w:val="000000"/>
        </w:rPr>
        <w:t>, Locke GR 3rd, W</w:t>
      </w:r>
      <w:r>
        <w:rPr>
          <w:rFonts w:ascii="Book Antiqua" w:eastAsia="Book Antiqua" w:hAnsi="Book Antiqua" w:cs="Book Antiqua"/>
          <w:color w:val="000000"/>
        </w:rPr>
        <w:t xml:space="preserve">eaver AL, Zinsmeister AR, Talley NJ. Diet and functional gastrointestinal disorders: a population-based case-control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2743-2748 [PMID: 16393229 DOI: 10.1111/j.1572-0241.2005.00288.x]</w:t>
      </w:r>
    </w:p>
    <w:p w14:paraId="42974CE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Rej A</w:t>
      </w:r>
      <w:r>
        <w:rPr>
          <w:rFonts w:ascii="Book Antiqua" w:eastAsia="Book Antiqua" w:hAnsi="Book Antiqua" w:cs="Book Antiqua"/>
          <w:color w:val="000000"/>
        </w:rPr>
        <w:t xml:space="preserve">, Aziz I, Tornblom H, Sanders DS, Simrén M. The role of diet in irritable bowel syndrome: implications for dietary advice.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490-502 [PMID: 31468640 DOI: 10.1111/joim.12966]</w:t>
      </w:r>
    </w:p>
    <w:p w14:paraId="416E21B2"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Patcharatrakul T</w:t>
      </w:r>
      <w:r>
        <w:rPr>
          <w:rFonts w:ascii="Book Antiqua" w:eastAsia="Book Antiqua" w:hAnsi="Book Antiqua" w:cs="Book Antiqua"/>
          <w:color w:val="000000"/>
        </w:rPr>
        <w:t>, Juntrapirat A, Lakananurak N, Gonlachan</w:t>
      </w:r>
      <w:r>
        <w:rPr>
          <w:rFonts w:ascii="Book Antiqua" w:eastAsia="Book Antiqua" w:hAnsi="Book Antiqua" w:cs="Book Antiqua"/>
          <w:color w:val="000000"/>
        </w:rPr>
        <w:t xml:space="preserve">vit S. Effect of Structural Individual Low-FODMAP Dietary Advice vs. Brief Advice on a Commonly Recommended Diet on IBS Symptoms and Intestinal Gas Production.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宋体" w:hAnsi="Book Antiqua" w:cs="Book Antiqua"/>
          <w:color w:val="000000"/>
          <w:lang w:eastAsia="zh-CN"/>
        </w:rPr>
        <w:t>: 2856</w:t>
      </w:r>
      <w:r>
        <w:rPr>
          <w:rFonts w:ascii="Book Antiqua" w:eastAsia="Book Antiqua" w:hAnsi="Book Antiqua" w:cs="Book Antiqua"/>
          <w:color w:val="000000"/>
        </w:rPr>
        <w:t xml:space="preserve"> [PMID: 31766497 DOI: 10.3390/nu11122856]</w:t>
      </w:r>
    </w:p>
    <w:p w14:paraId="390F7318"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Wilson B</w:t>
      </w:r>
      <w:r>
        <w:rPr>
          <w:rFonts w:ascii="Book Antiqua" w:eastAsia="Book Antiqua" w:hAnsi="Book Antiqua" w:cs="Book Antiqua"/>
          <w:color w:val="000000"/>
        </w:rPr>
        <w:t>, Rossi M, Kanno T,</w:t>
      </w:r>
      <w:r>
        <w:rPr>
          <w:rFonts w:ascii="Book Antiqua" w:eastAsia="Book Antiqua" w:hAnsi="Book Antiqua" w:cs="Book Antiqua"/>
          <w:color w:val="000000"/>
        </w:rPr>
        <w:t xml:space="preserve"> Parkes GC, Anderson S, Mason AJ, Irving PM, Lomer MC, Whelan K. β-Galactooligosaccharide in Conjunction With Low FODMAP Diet Improves Irritable Bowel Syndrome Symptoms but Reduces Fecal Bifidobacteria.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906-915 [PMID: 32433273</w:t>
      </w:r>
      <w:r>
        <w:rPr>
          <w:rFonts w:ascii="Book Antiqua" w:eastAsia="Book Antiqua" w:hAnsi="Book Antiqua" w:cs="Book Antiqua"/>
          <w:color w:val="000000"/>
        </w:rPr>
        <w:t xml:space="preserve"> DOI: 10.14309/ajg.0000000000000641]</w:t>
      </w:r>
    </w:p>
    <w:p w14:paraId="20BF39DC"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Cox SR</w:t>
      </w:r>
      <w:r>
        <w:rPr>
          <w:rFonts w:ascii="Book Antiqua" w:eastAsia="Book Antiqua" w:hAnsi="Book Antiqua" w:cs="Book Antiqua"/>
          <w:color w:val="000000"/>
        </w:rPr>
        <w:t>, Lindsay JO, Fromentin S, Stagg AJ, McCarthy NE, Galleron N, Ibraim SB, Roume H, Levenez F, Pons N, Maziers N, Lomer MC, Ehrlich SD, Irving PM, Whelan K. Effects of Low FODMAP Diet on Symptoms, Fecal Microbiom</w:t>
      </w:r>
      <w:r>
        <w:rPr>
          <w:rFonts w:ascii="Book Antiqua" w:eastAsia="Book Antiqua" w:hAnsi="Book Antiqua" w:cs="Book Antiqua"/>
          <w:color w:val="000000"/>
        </w:rPr>
        <w:t xml:space="preserve">e, and Markers of Inflammation in Patients With Quiescent Inflammatory Bowel Disease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176-188.e7 [PMID: 31586453 DOI: 10.1053/j.gastro.2019.09.024]</w:t>
      </w:r>
    </w:p>
    <w:p w14:paraId="631B741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Zahedi MJ</w:t>
      </w:r>
      <w:r>
        <w:rPr>
          <w:rFonts w:ascii="Book Antiqua" w:eastAsia="Book Antiqua" w:hAnsi="Book Antiqua" w:cs="Book Antiqua"/>
          <w:color w:val="000000"/>
        </w:rPr>
        <w:t>, Behrouz V, Azimi M. Low fermentable oligo-di</w:t>
      </w:r>
      <w:r>
        <w:rPr>
          <w:rFonts w:ascii="Book Antiqua" w:eastAsia="Book Antiqua" w:hAnsi="Book Antiqua" w:cs="Book Antiqua"/>
          <w:color w:val="000000"/>
        </w:rPr>
        <w:t xml:space="preserve">-mono-saccharides and polyols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dietary advice in patients with diarrhea-predominant irritable bowel syndrome: A randomized controlled trial.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1192-1199 [PMID: 29159993 DOI: 10.1111/jgh.14051]</w:t>
      </w:r>
    </w:p>
    <w:p w14:paraId="2F41F8B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Calasso M</w:t>
      </w:r>
      <w:r>
        <w:rPr>
          <w:rFonts w:ascii="Book Antiqua" w:eastAsia="Book Antiqua" w:hAnsi="Book Antiqua" w:cs="Book Antiqua"/>
          <w:color w:val="000000"/>
        </w:rPr>
        <w:t xml:space="preserve">, Francavilla R, Cristofori F, De Angelis M, Gobbetti M. New Protocol for Production of Reduced-Gluten Wheat Bread and Pasta and Clinical Effect in Patients with Irritable Bowel Syndrome: A randomised, Double-Blind, Cross-Over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w:t>
      </w:r>
      <w:r>
        <w:rPr>
          <w:rFonts w:ascii="Book Antiqua" w:eastAsia="Book Antiqua" w:hAnsi="Book Antiqua" w:cs="Book Antiqua"/>
          <w:color w:val="000000"/>
        </w:rPr>
        <w:t xml:space="preserve">8; </w:t>
      </w:r>
      <w:r>
        <w:rPr>
          <w:rFonts w:ascii="Book Antiqua" w:eastAsia="Book Antiqua" w:hAnsi="Book Antiqua" w:cs="Book Antiqua"/>
          <w:b/>
          <w:bCs/>
          <w:color w:val="000000"/>
        </w:rPr>
        <w:t>10</w:t>
      </w:r>
      <w:r>
        <w:rPr>
          <w:rFonts w:ascii="Book Antiqua" w:eastAsia="宋体" w:hAnsi="Book Antiqua" w:cs="Book Antiqua"/>
          <w:color w:val="000000"/>
          <w:lang w:eastAsia="zh-CN"/>
        </w:rPr>
        <w:t>: 1873</w:t>
      </w:r>
      <w:r>
        <w:rPr>
          <w:rFonts w:ascii="Book Antiqua" w:eastAsia="Book Antiqua" w:hAnsi="Book Antiqua" w:cs="Book Antiqua"/>
          <w:color w:val="000000"/>
        </w:rPr>
        <w:t xml:space="preserve"> [PMID: 30513824 DOI: 10.3390/nu10121873]</w:t>
      </w:r>
    </w:p>
    <w:p w14:paraId="10EF543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Shahbazkhani B</w:t>
      </w:r>
      <w:r>
        <w:rPr>
          <w:rFonts w:ascii="Book Antiqua" w:eastAsia="Book Antiqua" w:hAnsi="Book Antiqua" w:cs="Book Antiqua"/>
          <w:color w:val="000000"/>
        </w:rPr>
        <w:t>, Sadeghi A, Malekzadeh R, Khatavi F, Etemadi M, Kalantri E, Rostami-Nejad M, Rostami K. Non-Celiac Gluten Sensitivity Has Narrowed the Spectrum of Irritable Bowel Syndrome: A Double-Bli</w:t>
      </w:r>
      <w:r>
        <w:rPr>
          <w:rFonts w:ascii="Book Antiqua" w:eastAsia="Book Antiqua" w:hAnsi="Book Antiqua" w:cs="Book Antiqua"/>
          <w:color w:val="000000"/>
        </w:rPr>
        <w:t xml:space="preserve">nd Randomized Placebo-Controlled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4542-4554 [PMID: 26056920 DOI: 10.3390/nu7064542]</w:t>
      </w:r>
    </w:p>
    <w:p w14:paraId="487E32EB"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Vazquez-Roque MI</w:t>
      </w:r>
      <w:r>
        <w:rPr>
          <w:rFonts w:ascii="Book Antiqua" w:eastAsia="Book Antiqua" w:hAnsi="Book Antiqua" w:cs="Book Antiqua"/>
          <w:color w:val="000000"/>
        </w:rPr>
        <w:t>, Camilleri M, Smyrk T, Murray JA, Marietta E, O'Neill J, Carlson P, Lamsam J, Janzow D, Eckert D, Burton D, Zinsmeister AR. A c</w:t>
      </w:r>
      <w:r>
        <w:rPr>
          <w:rFonts w:ascii="Book Antiqua" w:eastAsia="Book Antiqua" w:hAnsi="Book Antiqua" w:cs="Book Antiqua"/>
          <w:color w:val="000000"/>
        </w:rPr>
        <w:t xml:space="preserve">ontrolled trial of gluten-free diet in patients with irritable bowel syndrome-diarrhea: effects on bowel frequency and intestinal function.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903-911.e3 [PMID: 23357715 DOI: 10.1053/j.gastro.2013.01.049]</w:t>
      </w:r>
    </w:p>
    <w:p w14:paraId="2C744E0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Suhana N</w:t>
      </w:r>
      <w:r>
        <w:rPr>
          <w:rFonts w:ascii="Book Antiqua" w:eastAsia="Book Antiqua" w:hAnsi="Book Antiqua" w:cs="Book Antiqua"/>
          <w:color w:val="000000"/>
        </w:rPr>
        <w:t>, Sutyarso, Moeloek N, Soeradi O, Sri Sukmaniah S, Supriatna J. The effects of feeding an Asian or Western diet on sperm numbers, sperm quality and serum hormone levels in cynomolgus monkeys (Macaca fascicularis) injected with testosterone enanthate (TE) p</w:t>
      </w:r>
      <w:r>
        <w:rPr>
          <w:rFonts w:ascii="Book Antiqua" w:eastAsia="Book Antiqua" w:hAnsi="Book Antiqua" w:cs="Book Antiqua"/>
          <w:color w:val="000000"/>
        </w:rPr>
        <w:t xml:space="preserve">lus depot medroxyprogesterone acetate (DMPA). </w:t>
      </w:r>
      <w:r>
        <w:rPr>
          <w:rFonts w:ascii="Book Antiqua" w:eastAsia="Book Antiqua" w:hAnsi="Book Antiqua" w:cs="Book Antiqua"/>
          <w:i/>
          <w:iCs/>
          <w:color w:val="000000"/>
        </w:rPr>
        <w:t>Int J Androl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102-112 [PMID: 10194642 DOI: 10.1046/j.1365</w:t>
      </w:r>
      <w:r>
        <w:rPr>
          <w:rFonts w:ascii="Book Antiqua" w:eastAsia="宋体" w:hAnsi="Book Antiqua" w:cs="Book Antiqua" w:hint="eastAsia"/>
          <w:color w:val="000000"/>
          <w:lang w:eastAsia="zh-CN"/>
        </w:rPr>
        <w:t>-</w:t>
      </w:r>
      <w:r>
        <w:rPr>
          <w:rFonts w:ascii="Book Antiqua" w:eastAsia="Book Antiqua" w:hAnsi="Book Antiqua" w:cs="Book Antiqua"/>
          <w:color w:val="000000"/>
        </w:rPr>
        <w:t>2605.1999.00156.x]</w:t>
      </w:r>
    </w:p>
    <w:p w14:paraId="04E1D7D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Elmaliklis IN</w:t>
      </w:r>
      <w:r>
        <w:rPr>
          <w:rFonts w:ascii="Book Antiqua" w:eastAsia="Book Antiqua" w:hAnsi="Book Antiqua" w:cs="Book Antiqua"/>
          <w:color w:val="000000"/>
        </w:rPr>
        <w:t>, Liveri A, Ntelis B, Paraskeva K, Goulis I, Koutelidakis AE. Increased Functional Foods' Consumption and Me</w:t>
      </w:r>
      <w:r>
        <w:rPr>
          <w:rFonts w:ascii="Book Antiqua" w:eastAsia="Book Antiqua" w:hAnsi="Book Antiqua" w:cs="Book Antiqua"/>
          <w:color w:val="000000"/>
        </w:rPr>
        <w:t>diterranean Diet Adherence May Have a Protective Effect in the Appearance of Gastrointestinal Diseases: A Case</w:t>
      </w:r>
      <w:r>
        <w:rPr>
          <w:rFonts w:ascii="MS Mincho" w:eastAsia="宋体" w:hAnsi="MS Mincho" w:cs="MS Mincho" w:hint="eastAsia"/>
          <w:color w:val="000000"/>
          <w:lang w:eastAsia="zh-CN"/>
        </w:rPr>
        <w:t>-</w:t>
      </w:r>
      <w:r>
        <w:rPr>
          <w:rFonts w:ascii="Book Antiqua" w:eastAsia="Book Antiqua" w:hAnsi="Book Antiqua" w:cs="Book Antiqua"/>
          <w:color w:val="000000"/>
        </w:rPr>
        <w:t xml:space="preserve">Control Study.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宋体" w:hAnsi="Book Antiqua" w:cs="Book Antiqua"/>
          <w:color w:val="000000"/>
          <w:lang w:eastAsia="zh-CN"/>
        </w:rPr>
        <w:t>: 50</w:t>
      </w:r>
      <w:r>
        <w:rPr>
          <w:rFonts w:ascii="Book Antiqua" w:eastAsia="Book Antiqua" w:hAnsi="Book Antiqua" w:cs="Book Antiqua"/>
          <w:color w:val="000000"/>
        </w:rPr>
        <w:t xml:space="preserve"> [PMID: 30970582 DOI: 10.3390/medicines6020050]</w:t>
      </w:r>
    </w:p>
    <w:p w14:paraId="6721BAD4"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Mazzawi T</w:t>
      </w:r>
      <w:r>
        <w:rPr>
          <w:rFonts w:ascii="Book Antiqua" w:eastAsia="Book Antiqua" w:hAnsi="Book Antiqua" w:cs="Book Antiqua"/>
          <w:color w:val="000000"/>
        </w:rPr>
        <w:t>, Hausken T, Gundersen D, El-Salhy M. Eff</w:t>
      </w:r>
      <w:r>
        <w:rPr>
          <w:rFonts w:ascii="Book Antiqua" w:eastAsia="Book Antiqua" w:hAnsi="Book Antiqua" w:cs="Book Antiqua"/>
          <w:color w:val="000000"/>
        </w:rPr>
        <w:t xml:space="preserve">ects of dietary guidance on the symptoms, quality of life and habitual dietary intake of patients with irritable bowel syndrome.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845-852 [PMID: 23820783 DOI: 10.3892/mmr.2013.1565]</w:t>
      </w:r>
    </w:p>
    <w:p w14:paraId="1409368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Khayyatzadeh SS</w:t>
      </w:r>
      <w:r>
        <w:rPr>
          <w:rFonts w:ascii="Book Antiqua" w:eastAsia="Book Antiqua" w:hAnsi="Book Antiqua" w:cs="Book Antiqua"/>
          <w:color w:val="000000"/>
        </w:rPr>
        <w:t>, Esmaillzadeh A, Saneei P, Keshteli</w:t>
      </w:r>
      <w:r>
        <w:rPr>
          <w:rFonts w:ascii="Book Antiqua" w:eastAsia="Book Antiqua" w:hAnsi="Book Antiqua" w:cs="Book Antiqua"/>
          <w:color w:val="000000"/>
        </w:rPr>
        <w:t xml:space="preserve"> AH, Adibi P. Dietary patterns and prevalence of irritable bowel syndrome in Iranian adults.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1921</w:t>
      </w:r>
      <w:r>
        <w:rPr>
          <w:rFonts w:ascii="Book Antiqua" w:eastAsia="宋体" w:hAnsi="Book Antiqua" w:cs="Book Antiqua" w:hint="eastAsia"/>
          <w:color w:val="000000"/>
          <w:lang w:eastAsia="zh-CN"/>
        </w:rPr>
        <w:t>-</w:t>
      </w:r>
      <w:r>
        <w:rPr>
          <w:rFonts w:ascii="Book Antiqua" w:eastAsia="Book Antiqua" w:hAnsi="Book Antiqua" w:cs="Book Antiqua"/>
          <w:color w:val="000000"/>
        </w:rPr>
        <w:t>1933 [PMID: 27324285 DOI: 10.1111/nmo.12895]</w:t>
      </w:r>
    </w:p>
    <w:p w14:paraId="407E896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Tigchelaar EF</w:t>
      </w:r>
      <w:r>
        <w:rPr>
          <w:rFonts w:ascii="Book Antiqua" w:eastAsia="Book Antiqua" w:hAnsi="Book Antiqua" w:cs="Book Antiqua"/>
          <w:color w:val="000000"/>
        </w:rPr>
        <w:t>, Mujagic Z, Zhernakova A, Hesselink MAM, Meijboom S, Perenboo</w:t>
      </w:r>
      <w:r>
        <w:rPr>
          <w:rFonts w:ascii="Book Antiqua" w:eastAsia="Book Antiqua" w:hAnsi="Book Antiqua" w:cs="Book Antiqua"/>
          <w:color w:val="000000"/>
        </w:rPr>
        <w:t>m CWM, Masclee AAM, Wijmenga C, Feskens EJM, Jonkers DMAE. Habitual diet and diet quality in Irritable Bowel Syndrome: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case-control study.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w:t>
      </w:r>
      <w:bookmarkStart w:id="0" w:name="OLE_LINK3"/>
      <w:r>
        <w:rPr>
          <w:rFonts w:ascii="Book Antiqua" w:eastAsia="Book Antiqua" w:hAnsi="Book Antiqua" w:cs="Book Antiqua"/>
          <w:color w:val="000000"/>
        </w:rPr>
        <w:t>28714091</w:t>
      </w:r>
      <w:bookmarkEnd w:id="0"/>
      <w:r>
        <w:rPr>
          <w:rFonts w:ascii="Book Antiqua" w:eastAsia="Book Antiqua" w:hAnsi="Book Antiqua" w:cs="Book Antiqua"/>
          <w:color w:val="000000"/>
        </w:rPr>
        <w:t xml:space="preserve"> DOI: 10.1111/nmo.13151]</w:t>
      </w:r>
    </w:p>
    <w:p w14:paraId="516A0783" w14:textId="77777777" w:rsidR="00326869" w:rsidRDefault="008967A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Salari-Moghaddam A</w:t>
      </w:r>
      <w:r>
        <w:rPr>
          <w:rFonts w:ascii="Book Antiqua" w:eastAsia="Book Antiqua" w:hAnsi="Book Antiqua" w:cs="Book Antiqua"/>
          <w:color w:val="000000"/>
        </w:rPr>
        <w:t>, Keshteli AH, Esmai</w:t>
      </w:r>
      <w:r>
        <w:rPr>
          <w:rFonts w:ascii="Book Antiqua" w:eastAsia="Book Antiqua" w:hAnsi="Book Antiqua" w:cs="Book Antiqua"/>
          <w:color w:val="000000"/>
        </w:rPr>
        <w:t xml:space="preserve">llzadeh A, Adibi P. Adherence to the pro-inflammatory diet in relation to prevalence of irritable bowel syndrome. </w:t>
      </w:r>
      <w:r>
        <w:rPr>
          <w:rFonts w:ascii="Book Antiqua" w:eastAsia="Book Antiqua" w:hAnsi="Book Antiqua" w:cs="Book Antiqua"/>
          <w:i/>
          <w:iCs/>
          <w:color w:val="000000"/>
        </w:rPr>
        <w:t>Nutr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72 [PMID: 31711479 DOI: 10.1186/s12937-019-0487-6]</w:t>
      </w:r>
    </w:p>
    <w:p w14:paraId="6BAF174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Mearin F</w:t>
      </w:r>
      <w:r>
        <w:rPr>
          <w:rFonts w:ascii="Book Antiqua" w:eastAsia="Book Antiqua" w:hAnsi="Book Antiqua" w:cs="Book Antiqua"/>
          <w:color w:val="000000"/>
        </w:rPr>
        <w:t xml:space="preserve">, Lacy BE, Chang L, Chey WD, Lembo AJ, Simren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1393-1407.e5</w:t>
      </w:r>
      <w:r>
        <w:rPr>
          <w:rFonts w:ascii="Book Antiqua" w:eastAsia="Book Antiqua" w:hAnsi="Book Antiqua" w:cs="Book Antiqua"/>
          <w:color w:val="000000"/>
        </w:rPr>
        <w:t xml:space="preserve"> [PMID: 27144627 DOI: 10.1053/j.gastro.2016.02.031]</w:t>
      </w:r>
    </w:p>
    <w:p w14:paraId="371D3E8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Block G</w:t>
      </w:r>
      <w:r>
        <w:rPr>
          <w:rFonts w:ascii="Book Antiqua" w:eastAsia="Book Antiqua" w:hAnsi="Book Antiqua" w:cs="Book Antiqua"/>
          <w:color w:val="000000"/>
        </w:rPr>
        <w:t>, Thompson FE, Hartman AM, Larkin FA, Guire KE. Comparison of two dietary que</w:t>
      </w:r>
      <w:r>
        <w:rPr>
          <w:rFonts w:ascii="Book Antiqua" w:eastAsia="Book Antiqua" w:hAnsi="Book Antiqua" w:cs="Book Antiqua"/>
          <w:color w:val="000000"/>
        </w:rPr>
        <w:t xml:space="preserve">stionnaires validated against multiple dietary records collected during a 1-year period. </w:t>
      </w:r>
      <w:r>
        <w:rPr>
          <w:rFonts w:ascii="Book Antiqua" w:eastAsia="Book Antiqua" w:hAnsi="Book Antiqua" w:cs="Book Antiqua"/>
          <w:i/>
          <w:iCs/>
          <w:color w:val="000000"/>
        </w:rPr>
        <w:t>J Am Diet Assoc</w:t>
      </w:r>
      <w:r>
        <w:rPr>
          <w:rFonts w:ascii="Book Antiqua" w:eastAsia="Book Antiqua" w:hAnsi="Book Antiqua" w:cs="Book Antiqua"/>
          <w:color w:val="000000"/>
        </w:rPr>
        <w:t xml:space="preserve"> 1992; </w:t>
      </w:r>
      <w:r>
        <w:rPr>
          <w:rFonts w:ascii="Book Antiqua" w:eastAsia="Book Antiqua" w:hAnsi="Book Antiqua" w:cs="Book Antiqua"/>
          <w:b/>
          <w:bCs/>
          <w:color w:val="000000"/>
        </w:rPr>
        <w:t>92</w:t>
      </w:r>
      <w:r>
        <w:rPr>
          <w:rFonts w:ascii="Book Antiqua" w:eastAsia="Book Antiqua" w:hAnsi="Book Antiqua" w:cs="Book Antiqua"/>
          <w:color w:val="000000"/>
        </w:rPr>
        <w:t>: 686-693 [PMID: 1607564]</w:t>
      </w:r>
    </w:p>
    <w:p w14:paraId="77F4E0B6"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Tjonneland A</w:t>
      </w:r>
      <w:r>
        <w:rPr>
          <w:rFonts w:ascii="Book Antiqua" w:eastAsia="Book Antiqua" w:hAnsi="Book Antiqua" w:cs="Book Antiqua"/>
          <w:color w:val="000000"/>
        </w:rPr>
        <w:t>, Haraldsdóttir J, Overvad K, Stripp C, Ewertz M, Jensen OM. Influence of individually estimated porti</w:t>
      </w:r>
      <w:r>
        <w:rPr>
          <w:rFonts w:ascii="Book Antiqua" w:eastAsia="Book Antiqua" w:hAnsi="Book Antiqua" w:cs="Book Antiqua"/>
          <w:color w:val="000000"/>
        </w:rPr>
        <w:t xml:space="preserve">on size data on the validity of a semiquantitative food frequency questionnaire.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21</w:t>
      </w:r>
      <w:r>
        <w:rPr>
          <w:rFonts w:ascii="Book Antiqua" w:eastAsia="Book Antiqua" w:hAnsi="Book Antiqua" w:cs="Book Antiqua"/>
          <w:color w:val="000000"/>
        </w:rPr>
        <w:t>: 770-777 [PMID: 1521982 DOI: 10.1093/ije/21.4.770]</w:t>
      </w:r>
    </w:p>
    <w:p w14:paraId="085DA93F"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Brantsæter AL</w:t>
      </w:r>
      <w:r>
        <w:rPr>
          <w:rFonts w:ascii="Book Antiqua" w:eastAsia="Book Antiqua" w:hAnsi="Book Antiqua" w:cs="Book Antiqua"/>
          <w:color w:val="000000"/>
        </w:rPr>
        <w:t xml:space="preserve">, Torjusen H, Meltzer HM, Papadopoulou E, Hoppin JA, Alexander J, Lieblein G, Roos </w:t>
      </w:r>
      <w:r>
        <w:rPr>
          <w:rFonts w:ascii="Book Antiqua" w:eastAsia="Book Antiqua" w:hAnsi="Book Antiqua" w:cs="Book Antiqua"/>
          <w:color w:val="000000"/>
        </w:rPr>
        <w:t xml:space="preserve">G, Holten JM, Swartz J, Haugen M. Organic Food Consumption during </w:t>
      </w:r>
      <w:r>
        <w:rPr>
          <w:rFonts w:ascii="Book Antiqua" w:eastAsia="Book Antiqua" w:hAnsi="Book Antiqua" w:cs="Book Antiqua"/>
          <w:color w:val="000000"/>
        </w:rPr>
        <w:lastRenderedPageBreak/>
        <w:t xml:space="preserve">Pregnancy and Hypospadias and Cryptorchidism at Birth: The Norwegian Mother and Child Cohort Study (MoBa).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357-364 [PMID: 26307850 DOI: 10.1289/ehp.1409518</w:t>
      </w:r>
      <w:r>
        <w:rPr>
          <w:rFonts w:ascii="Book Antiqua" w:eastAsia="Book Antiqua" w:hAnsi="Book Antiqua" w:cs="Book Antiqua"/>
          <w:color w:val="000000"/>
        </w:rPr>
        <w:t>]</w:t>
      </w:r>
    </w:p>
    <w:p w14:paraId="0C328492"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Palsson OS</w:t>
      </w:r>
      <w:r>
        <w:rPr>
          <w:rFonts w:ascii="Book Antiqua" w:eastAsia="Book Antiqua" w:hAnsi="Book Antiqua" w:cs="Book Antiqua"/>
          <w:color w:val="000000"/>
        </w:rPr>
        <w:t>, Whitehead WE, van Tilburg MA, Chang L, Chey W, Crowell MD, Keefer L, Lembo AJ, Parkman HP, Rao SS, Sperber A, Spiegel B, Tack J, Vanner S, Walker LS, Whorwell P, Yang Y. Rome IV Diagnostic Questionnaires and Tables for Investigators and Cl</w:t>
      </w:r>
      <w:r>
        <w:rPr>
          <w:rFonts w:ascii="Book Antiqua" w:eastAsia="Book Antiqua" w:hAnsi="Book Antiqua" w:cs="Book Antiqua"/>
          <w:color w:val="000000"/>
        </w:rPr>
        <w:t xml:space="preserve">inicians.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150</w:t>
      </w:r>
      <w:r>
        <w:rPr>
          <w:rFonts w:ascii="Book Antiqua" w:eastAsia="宋体" w:hAnsi="Book Antiqua" w:cs="Book Antiqua"/>
          <w:color w:val="000000"/>
          <w:lang w:eastAsia="zh-CN"/>
        </w:rPr>
        <w:t>: 1481-1491</w:t>
      </w:r>
      <w:r>
        <w:rPr>
          <w:rFonts w:ascii="Book Antiqua" w:eastAsia="Book Antiqua" w:hAnsi="Book Antiqua" w:cs="Book Antiqua"/>
          <w:color w:val="000000"/>
        </w:rPr>
        <w:t xml:space="preserve"> [PMID: 27144634 DOI: 10.1053/j.gastro.2016.02.014]</w:t>
      </w:r>
    </w:p>
    <w:p w14:paraId="09148EB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Francis CY</w:t>
      </w:r>
      <w:r>
        <w:rPr>
          <w:rFonts w:ascii="Book Antiqua" w:eastAsia="Book Antiqua" w:hAnsi="Book Antiqua" w:cs="Book Antiqua"/>
          <w:color w:val="000000"/>
        </w:rPr>
        <w:t xml:space="preserve">, Morris J, Whorwell PJ. The irritable bowel severity scoring system: a simple method of monitoring irritable bowel syndrome and its progress. </w:t>
      </w:r>
      <w:r>
        <w:rPr>
          <w:rFonts w:ascii="Book Antiqua" w:eastAsia="Book Antiqua" w:hAnsi="Book Antiqua" w:cs="Book Antiqua"/>
          <w:i/>
          <w:iCs/>
          <w:color w:val="000000"/>
        </w:rPr>
        <w:t>A</w:t>
      </w:r>
      <w:r>
        <w:rPr>
          <w:rFonts w:ascii="Book Antiqua" w:eastAsia="Book Antiqua" w:hAnsi="Book Antiqua" w:cs="Book Antiqua"/>
          <w:i/>
          <w:iCs/>
          <w:color w:val="000000"/>
        </w:rPr>
        <w:t>liment Pharmacol Ther</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395-402 [PMID: 9146781 DOI: 10.1046/j.1365-2036.1997.142318000.x]</w:t>
      </w:r>
    </w:p>
    <w:p w14:paraId="74B496E3"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Drossman DA</w:t>
      </w:r>
      <w:r>
        <w:rPr>
          <w:rFonts w:ascii="Book Antiqua" w:eastAsia="Book Antiqua" w:hAnsi="Book Antiqua" w:cs="Book Antiqua"/>
          <w:color w:val="000000"/>
        </w:rPr>
        <w:t>, Patrick DL, Whitehead WE, Toner BB, Diamant NE, Hu Y, Jia H, Bangdiwala SI. Further validation of the IBS-QOL: a disease-specific quality-of-l</w:t>
      </w:r>
      <w:r>
        <w:rPr>
          <w:rFonts w:ascii="Book Antiqua" w:eastAsia="Book Antiqua" w:hAnsi="Book Antiqua" w:cs="Book Antiqua"/>
          <w:color w:val="000000"/>
        </w:rPr>
        <w:t xml:space="preserve">ife questionnaire.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999-1007 [PMID: 10763950 DOI: 10.1111/j.1572-0241.2000.01941.x]</w:t>
      </w:r>
    </w:p>
    <w:p w14:paraId="4F0D8570"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Svedlund J</w:t>
      </w:r>
      <w:r>
        <w:rPr>
          <w:rFonts w:ascii="Book Antiqua" w:eastAsia="Book Antiqua" w:hAnsi="Book Antiqua" w:cs="Book Antiqua"/>
          <w:color w:val="000000"/>
        </w:rPr>
        <w:t xml:space="preserve">, Sjödin I, Dotevall G. GSRS--a clinical rating scale for gastrointestinal symptoms in patients with irritable bowel syndrome and peptic ulcer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1988; </w:t>
      </w:r>
      <w:r>
        <w:rPr>
          <w:rFonts w:ascii="Book Antiqua" w:eastAsia="Book Antiqua" w:hAnsi="Book Antiqua" w:cs="Book Antiqua"/>
          <w:b/>
          <w:bCs/>
          <w:color w:val="000000"/>
        </w:rPr>
        <w:t>33</w:t>
      </w:r>
      <w:r>
        <w:rPr>
          <w:rFonts w:ascii="Book Antiqua" w:eastAsia="Book Antiqua" w:hAnsi="Book Antiqua" w:cs="Book Antiqua"/>
          <w:color w:val="000000"/>
        </w:rPr>
        <w:t>: 129-134 [PMID: 3123181 DOI: 10.1007/bf01535722]</w:t>
      </w:r>
    </w:p>
    <w:p w14:paraId="54C50702"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Bjelland I</w:t>
      </w:r>
      <w:r>
        <w:rPr>
          <w:rFonts w:ascii="Book Antiqua" w:eastAsia="Book Antiqua" w:hAnsi="Book Antiqua" w:cs="Book Antiqua"/>
          <w:color w:val="000000"/>
        </w:rPr>
        <w:t>, Dahl AA, Haug TT, N</w:t>
      </w:r>
      <w:r>
        <w:rPr>
          <w:rFonts w:ascii="Book Antiqua" w:eastAsia="Book Antiqua" w:hAnsi="Book Antiqua" w:cs="Book Antiqua"/>
          <w:color w:val="000000"/>
        </w:rPr>
        <w:t xml:space="preserve">eckelmann D. The validity of the Hospital Anxiety and Depression Scale. An updated literature review.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69-77 [PMID: 11832252 DOI: 10.1016/s0022-3999(01)00296-3]</w:t>
      </w:r>
    </w:p>
    <w:p w14:paraId="25AAB218"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Moayyedi P</w:t>
      </w:r>
      <w:r>
        <w:rPr>
          <w:rFonts w:ascii="Book Antiqua" w:eastAsia="Book Antiqua" w:hAnsi="Book Antiqua" w:cs="Book Antiqua"/>
          <w:color w:val="000000"/>
        </w:rPr>
        <w:t>, Simrén M, Bercik P. Evidence-based and mechanistic insi</w:t>
      </w:r>
      <w:r>
        <w:rPr>
          <w:rFonts w:ascii="Book Antiqua" w:eastAsia="Book Antiqua" w:hAnsi="Book Antiqua" w:cs="Book Antiqua"/>
          <w:color w:val="000000"/>
        </w:rPr>
        <w:t xml:space="preserve">ghts into exclusion diets for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406-413 [PMID: 32123377 DOI: 10.1038/s41575-020-0270-3]</w:t>
      </w:r>
    </w:p>
    <w:p w14:paraId="207EF872"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Gibson PR</w:t>
      </w:r>
      <w:r>
        <w:rPr>
          <w:rFonts w:ascii="Book Antiqua" w:eastAsia="Book Antiqua" w:hAnsi="Book Antiqua" w:cs="Book Antiqua"/>
          <w:color w:val="000000"/>
        </w:rPr>
        <w:t xml:space="preserve">, Varney J, Malakar S, Muir JG. Food components and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1158-74</w:t>
      </w:r>
      <w:r>
        <w:rPr>
          <w:rFonts w:ascii="Book Antiqua" w:eastAsia="Book Antiqua" w:hAnsi="Book Antiqua" w:cs="Book Antiqua"/>
          <w:color w:val="000000"/>
        </w:rPr>
        <w:t>.e4 [PMID: 25680668 DOI: 10.1053/j.gastro.2015.02.005]</w:t>
      </w:r>
    </w:p>
    <w:p w14:paraId="420DE9F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Böhn L</w:t>
      </w:r>
      <w:r>
        <w:rPr>
          <w:rFonts w:ascii="Book Antiqua" w:eastAsia="Book Antiqua" w:hAnsi="Book Antiqua" w:cs="Book Antiqua"/>
          <w:color w:val="000000"/>
        </w:rPr>
        <w:t xml:space="preserve">, Störsrud S, Törnblom H, Bengtsson U, Simrén M. Self-reported food-related gastrointestinal symptoms in IBS are common and associated with more severe symptoms and reduced quality of life. </w:t>
      </w:r>
      <w:r>
        <w:rPr>
          <w:rFonts w:ascii="Book Antiqua" w:eastAsia="Book Antiqua" w:hAnsi="Book Antiqua" w:cs="Book Antiqua"/>
          <w:i/>
          <w:iCs/>
          <w:color w:val="000000"/>
        </w:rPr>
        <w:t>Am</w:t>
      </w:r>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634-641 [PMID: 23644955 DOI: 10.1038/ajg.2013.105]</w:t>
      </w:r>
    </w:p>
    <w:p w14:paraId="2AD52CD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Friedman G</w:t>
      </w:r>
      <w:r>
        <w:rPr>
          <w:rFonts w:ascii="Book Antiqua" w:eastAsia="Book Antiqua" w:hAnsi="Book Antiqua" w:cs="Book Antiqua"/>
          <w:color w:val="000000"/>
        </w:rPr>
        <w:t xml:space="preserve">. Diet and the irritable bowel syndrome.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1991; </w:t>
      </w:r>
      <w:r>
        <w:rPr>
          <w:rFonts w:ascii="Book Antiqua" w:eastAsia="Book Antiqua" w:hAnsi="Book Antiqua" w:cs="Book Antiqua"/>
          <w:b/>
          <w:bCs/>
          <w:color w:val="000000"/>
        </w:rPr>
        <w:t>20</w:t>
      </w:r>
      <w:r>
        <w:rPr>
          <w:rFonts w:ascii="Book Antiqua" w:eastAsia="Book Antiqua" w:hAnsi="Book Antiqua" w:cs="Book Antiqua"/>
          <w:color w:val="000000"/>
        </w:rPr>
        <w:t>: 313-324 [PMID: 2066155 DOI: 10.1097/01.mog.0000208462.92136.02]</w:t>
      </w:r>
    </w:p>
    <w:p w14:paraId="4F2680A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Saha M</w:t>
      </w:r>
      <w:r>
        <w:rPr>
          <w:rFonts w:ascii="Book Antiqua" w:eastAsia="Book Antiqua" w:hAnsi="Book Antiqua" w:cs="Book Antiqua"/>
          <w:color w:val="000000"/>
        </w:rPr>
        <w:t>, Parveen I,</w:t>
      </w:r>
      <w:r>
        <w:rPr>
          <w:rFonts w:ascii="Book Antiqua" w:eastAsia="Book Antiqua" w:hAnsi="Book Antiqua" w:cs="Book Antiqua"/>
          <w:color w:val="000000"/>
        </w:rPr>
        <w:t xml:space="preserve"> Uddoula MS, Alam MJ, Afsar NS, Debnath BC, Ali SE. Irritable Bowel Syndrome: Prevalence and Dietary Factors in the Sylhet District of Bangladesh.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82-88 [PMID: 29459596]</w:t>
      </w:r>
    </w:p>
    <w:p w14:paraId="1322A89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Linlawan S</w:t>
      </w:r>
      <w:r>
        <w:rPr>
          <w:rFonts w:ascii="Book Antiqua" w:eastAsia="Book Antiqua" w:hAnsi="Book Antiqua" w:cs="Book Antiqua"/>
          <w:color w:val="000000"/>
        </w:rPr>
        <w:t xml:space="preserve">, Patcharatrakul T, Somlaw N, Gonlachanvit S. </w:t>
      </w:r>
      <w:r>
        <w:rPr>
          <w:rFonts w:ascii="Book Antiqua" w:eastAsia="Book Antiqua" w:hAnsi="Book Antiqua" w:cs="Book Antiqua"/>
          <w:color w:val="000000"/>
        </w:rPr>
        <w:t xml:space="preserve">Effect of Rice, Wheat, and Mung Bean Ingestion on Intestinal Gas Production and Postprandial Gastrointestinal Symptoms in Non-Constipation Irritable Bowel Syndrome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宋体" w:hAnsi="Book Antiqua" w:cs="Book Antiqua"/>
          <w:color w:val="000000"/>
          <w:lang w:eastAsia="zh-CN"/>
        </w:rPr>
        <w:t>:</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2061</w:t>
      </w:r>
      <w:r>
        <w:rPr>
          <w:rFonts w:ascii="Book Antiqua" w:eastAsia="Book Antiqua" w:hAnsi="Book Antiqua" w:cs="Book Antiqua"/>
          <w:color w:val="000000"/>
        </w:rPr>
        <w:t xml:space="preserve"> [PMID: 31484315 DOI: 10.3390/nu11092061]</w:t>
      </w:r>
    </w:p>
    <w:p w14:paraId="33AA707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Yao CK</w:t>
      </w:r>
      <w:r>
        <w:rPr>
          <w:rFonts w:ascii="Book Antiqua" w:eastAsia="Book Antiqua" w:hAnsi="Book Antiqua" w:cs="Book Antiqua"/>
          <w:color w:val="000000"/>
        </w:rPr>
        <w:t xml:space="preserve">, Muir JG, Gibson PR. Review article: insights into colonic protein fermentation, its modulation and potential health implications.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181-196 [PMID: 26527169 DOI: 10.1111/apt.13456]</w:t>
      </w:r>
    </w:p>
    <w:p w14:paraId="2CAA37C3"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Crowe SE</w:t>
      </w:r>
      <w:r>
        <w:rPr>
          <w:rFonts w:ascii="Book Antiqua" w:eastAsia="Book Antiqua" w:hAnsi="Book Antiqua" w:cs="Book Antiqua"/>
          <w:color w:val="000000"/>
        </w:rPr>
        <w:t>. Food Allergy Vs Food Intoleran</w:t>
      </w:r>
      <w:r>
        <w:rPr>
          <w:rFonts w:ascii="Book Antiqua" w:eastAsia="Book Antiqua" w:hAnsi="Book Antiqua" w:cs="Book Antiqua"/>
          <w:color w:val="000000"/>
        </w:rPr>
        <w:t xml:space="preserve">ce in Patients With Irritable Bowel Syndrome.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38-40 [PMID: 30899207]</w:t>
      </w:r>
    </w:p>
    <w:p w14:paraId="192A1134"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Zuo XL</w:t>
      </w:r>
      <w:r>
        <w:rPr>
          <w:rFonts w:ascii="Book Antiqua" w:eastAsia="Book Antiqua" w:hAnsi="Book Antiqua" w:cs="Book Antiqua"/>
          <w:color w:val="000000"/>
        </w:rPr>
        <w:t xml:space="preserve">, Li YQ, Li WJ, Guo YT, Lu XF, Li JM, Desmond PV. Alterations of food antigen-specific serum immunoglobulins G and E antibodies in patients </w:t>
      </w:r>
      <w:r>
        <w:rPr>
          <w:rFonts w:ascii="Book Antiqua" w:eastAsia="Book Antiqua" w:hAnsi="Book Antiqua" w:cs="Book Antiqua"/>
          <w:color w:val="000000"/>
        </w:rPr>
        <w:t xml:space="preserve">with irritable bowel syndrome and functional dyspepsia.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823-830 [PMID: 17517095 DOI: 10.1111/j.1365-2222.2007.02727.x]</w:t>
      </w:r>
    </w:p>
    <w:p w14:paraId="7DE2B7C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Gonlachanvit S</w:t>
      </w:r>
      <w:r>
        <w:rPr>
          <w:rFonts w:ascii="Book Antiqua" w:eastAsia="Book Antiqua" w:hAnsi="Book Antiqua" w:cs="Book Antiqua"/>
          <w:color w:val="000000"/>
        </w:rPr>
        <w:t xml:space="preserve">, Mahayosnond A, Kullavanijaya P. Effects of chili on postprandial gastrointestinal symptoms </w:t>
      </w:r>
      <w:r>
        <w:rPr>
          <w:rFonts w:ascii="Book Antiqua" w:eastAsia="Book Antiqua" w:hAnsi="Book Antiqua" w:cs="Book Antiqua"/>
          <w:color w:val="000000"/>
        </w:rPr>
        <w:t xml:space="preserve">in diarrhoea predominant irritable bowel syndrome: evidence for capsaicin-sensitive visceral nociception hypersensitivity.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23-32 [PMID: 18647268 DOI: 10.1111/j.1365-2982.2008.01167.x]</w:t>
      </w:r>
    </w:p>
    <w:p w14:paraId="7DB2315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Hammer J</w:t>
      </w:r>
      <w:r>
        <w:rPr>
          <w:rFonts w:ascii="Book Antiqua" w:eastAsia="Book Antiqua" w:hAnsi="Book Antiqua" w:cs="Book Antiqua"/>
          <w:color w:val="000000"/>
        </w:rPr>
        <w:t xml:space="preserve">, Führer M, Pipal L, Matiasek J. Hypersensitivity for capsaicin in patients with functional dyspepsia.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125-133 [PMID: 17931342 DOI: 10.1111/j.1365-2982.2007.00997.x]</w:t>
      </w:r>
    </w:p>
    <w:p w14:paraId="381C2988"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Perna E</w:t>
      </w:r>
      <w:r>
        <w:rPr>
          <w:rFonts w:ascii="Book Antiqua" w:eastAsia="Book Antiqua" w:hAnsi="Book Antiqua" w:cs="Book Antiqua"/>
          <w:color w:val="000000"/>
        </w:rPr>
        <w:t>, Aguilera-Lizarraga J, Florens MV, Jain P, T</w:t>
      </w:r>
      <w:r>
        <w:rPr>
          <w:rFonts w:ascii="Book Antiqua" w:eastAsia="Book Antiqua" w:hAnsi="Book Antiqua" w:cs="Book Antiqua"/>
          <w:color w:val="000000"/>
        </w:rPr>
        <w:t xml:space="preserve">heofanous SA, Hanning N, De Man JG, Berg M, De Winter B, Alpizar YA, Talavera K, Vanden Berghe P, Wouters M, Boeckxstaens G. Effect of resolvins on sensitisation of TRPV1 and visceral hypersensitivity in IBS.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hAnsi="Book Antiqua" w:cs="Book Antiqua"/>
        </w:rPr>
        <w:t>epub ahead of print</w:t>
      </w:r>
      <w:r>
        <w:rPr>
          <w:rFonts w:ascii="Book Antiqua" w:eastAsia="宋体" w:hAnsi="Book Antiqua" w:cs="Book Antiqua"/>
          <w:lang w:eastAsia="zh-CN"/>
        </w:rPr>
        <w:t xml:space="preserve"> </w:t>
      </w:r>
      <w:r>
        <w:rPr>
          <w:rFonts w:ascii="Book Antiqua" w:eastAsia="Book Antiqua" w:hAnsi="Book Antiqua" w:cs="Book Antiqua"/>
          <w:color w:val="000000"/>
        </w:rPr>
        <w:t>[PMID: 33023902 DO</w:t>
      </w:r>
      <w:r>
        <w:rPr>
          <w:rFonts w:ascii="Book Antiqua" w:eastAsia="Book Antiqua" w:hAnsi="Book Antiqua" w:cs="Book Antiqua"/>
          <w:color w:val="000000"/>
        </w:rPr>
        <w:t>I: 10.1136/gutjnl-2020-321530]</w:t>
      </w:r>
    </w:p>
    <w:p w14:paraId="2B72062C"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Akbar A</w:t>
      </w:r>
      <w:r>
        <w:rPr>
          <w:rFonts w:ascii="Book Antiqua" w:eastAsia="Book Antiqua" w:hAnsi="Book Antiqua" w:cs="Book Antiqua"/>
          <w:color w:val="000000"/>
        </w:rPr>
        <w:t xml:space="preserve">, Yiangou Y, Facer P, Walters JR, Anand P, Ghosh S. Increased capsaicin receptor TRPV1-expressing sensory fibres in irritable bowel syndrome and their correlation with abdominal pain.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923-929 [PMID: 18</w:t>
      </w:r>
      <w:r>
        <w:rPr>
          <w:rFonts w:ascii="Book Antiqua" w:eastAsia="Book Antiqua" w:hAnsi="Book Antiqua" w:cs="Book Antiqua"/>
          <w:color w:val="000000"/>
        </w:rPr>
        <w:t>252749 DOI: 10.1136/gut.2007.138982]</w:t>
      </w:r>
    </w:p>
    <w:p w14:paraId="50638F90"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Lee SY</w:t>
      </w:r>
      <w:r>
        <w:rPr>
          <w:rFonts w:ascii="Book Antiqua" w:eastAsia="Book Antiqua" w:hAnsi="Book Antiqua" w:cs="Book Antiqua"/>
          <w:color w:val="000000"/>
        </w:rPr>
        <w:t xml:space="preserve">, Masaoka T, Han HS, Matsuzaki J, Hong MJ, Fukuhara S, Choi HS, Suzuki H. A prospective study on symptom generation according to spicy food intake and TRPV1 genotypes in functional dyspepsia patients. </w:t>
      </w:r>
      <w:r>
        <w:rPr>
          <w:rFonts w:ascii="Book Antiqua" w:eastAsia="Book Antiqua" w:hAnsi="Book Antiqua" w:cs="Book Antiqua"/>
          <w:i/>
          <w:iCs/>
          <w:color w:val="000000"/>
        </w:rPr>
        <w:t>Neurogast</w:t>
      </w:r>
      <w:r>
        <w:rPr>
          <w:rFonts w:ascii="Book Antiqua" w:eastAsia="Book Antiqua" w:hAnsi="Book Antiqua" w:cs="Book Antiqua"/>
          <w:i/>
          <w:iCs/>
          <w:color w:val="000000"/>
        </w:rPr>
        <w:t>roenterol Motil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1401-1408 [PMID: 27094759 DOI: 10.1111/nmo.12841]</w:t>
      </w:r>
    </w:p>
    <w:p w14:paraId="16876F64"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Bortolotti M</w:t>
      </w:r>
      <w:r>
        <w:rPr>
          <w:rFonts w:ascii="Book Antiqua" w:eastAsia="Book Antiqua" w:hAnsi="Book Antiqua" w:cs="Book Antiqua"/>
          <w:color w:val="000000"/>
        </w:rPr>
        <w:t xml:space="preserve">, Coccia G, Grossi G, Miglioli M. The treatment of functional dyspepsia with red pepper.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1075-1082 [PMID: 12030948 DOI: 10.1046/j.13</w:t>
      </w:r>
      <w:r>
        <w:rPr>
          <w:rFonts w:ascii="Book Antiqua" w:eastAsia="Book Antiqua" w:hAnsi="Book Antiqua" w:cs="Book Antiqua"/>
          <w:color w:val="000000"/>
        </w:rPr>
        <w:t>65-2036.2002.01280.x]</w:t>
      </w:r>
    </w:p>
    <w:p w14:paraId="64C90E44"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Lorenzon Dos Santos J</w:t>
      </w:r>
      <w:r>
        <w:rPr>
          <w:rFonts w:ascii="Book Antiqua" w:eastAsia="Book Antiqua" w:hAnsi="Book Antiqua" w:cs="Book Antiqua"/>
          <w:color w:val="000000"/>
        </w:rPr>
        <w:t xml:space="preserve">, Quadros AS, Weschenfelder C, Garofallo SB, Marcadenti A. Oxidative Stress Biomarkers, Nut-Related Antioxidants, and Cardiovascular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宋体" w:hAnsi="Book Antiqua" w:cs="Book Antiqua"/>
          <w:color w:val="000000"/>
          <w:lang w:eastAsia="zh-CN"/>
        </w:rPr>
        <w:t>: 682</w:t>
      </w:r>
      <w:r>
        <w:rPr>
          <w:rFonts w:ascii="Book Antiqua" w:eastAsia="Book Antiqua" w:hAnsi="Book Antiqua" w:cs="Book Antiqua"/>
          <w:color w:val="000000"/>
        </w:rPr>
        <w:t xml:space="preserve"> [PMID: 32138220 DOI: 10.3390/nu12030682]</w:t>
      </w:r>
    </w:p>
    <w:p w14:paraId="103536B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Oh JW</w:t>
      </w:r>
      <w:r>
        <w:rPr>
          <w:rFonts w:ascii="Book Antiqua" w:eastAsia="Book Antiqua" w:hAnsi="Book Antiqua" w:cs="Book Antiqua"/>
          <w:color w:val="000000"/>
        </w:rPr>
        <w:t>. Is There Any Necessity to Prescribe Con</w:t>
      </w:r>
      <w:r>
        <w:rPr>
          <w:rFonts w:ascii="Book Antiqua" w:eastAsia="Book Antiqua" w:hAnsi="Book Antiqua" w:cs="Book Antiqua"/>
          <w:color w:val="000000"/>
        </w:rPr>
        <w:t xml:space="preserve">sumption of Walnuts Cooked by Different Processing Techniques to Patients With Walnut Allergy? </w:t>
      </w:r>
      <w:r>
        <w:rPr>
          <w:rFonts w:ascii="Book Antiqua" w:eastAsia="Book Antiqua" w:hAnsi="Book Antiqua" w:cs="Book Antiqua"/>
          <w:i/>
          <w:iCs/>
          <w:color w:val="000000"/>
        </w:rPr>
        <w:t>Allergy Asthma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287-289 [PMID: 29949828 DOI: 10.4168/aair.2018.10.4.287]</w:t>
      </w:r>
    </w:p>
    <w:p w14:paraId="64811FE3"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Raka F</w:t>
      </w:r>
      <w:r>
        <w:rPr>
          <w:rFonts w:ascii="Book Antiqua" w:eastAsia="Book Antiqua" w:hAnsi="Book Antiqua" w:cs="Book Antiqua"/>
          <w:color w:val="000000"/>
        </w:rPr>
        <w:t xml:space="preserve">, Farr S, Kelly J, Stoianov A, Adeli K. Metabolic control </w:t>
      </w:r>
      <w:r>
        <w:rPr>
          <w:rFonts w:ascii="Book Antiqua" w:eastAsia="Book Antiqua" w:hAnsi="Book Antiqua" w:cs="Book Antiqua"/>
          <w:i/>
          <w:iCs/>
          <w:color w:val="000000"/>
        </w:rPr>
        <w:t>via</w:t>
      </w:r>
      <w:r>
        <w:rPr>
          <w:rFonts w:ascii="Book Antiqua" w:eastAsia="Book Antiqua" w:hAnsi="Book Antiqua" w:cs="Book Antiqua"/>
          <w:color w:val="000000"/>
        </w:rPr>
        <w:t xml:space="preserve"> nutrient-sensing mechanisms: role of taste receptors and the gut-brain neuroendocrine axis.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E559-E572 [PMID: 31310579 DOI: 10.1152/ajpendo.00036.2019]</w:t>
      </w:r>
    </w:p>
    <w:p w14:paraId="48B128A6"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Mittal M</w:t>
      </w:r>
      <w:r>
        <w:rPr>
          <w:rFonts w:ascii="Book Antiqua" w:eastAsia="Book Antiqua" w:hAnsi="Book Antiqua" w:cs="Book Antiqua"/>
          <w:color w:val="000000"/>
        </w:rPr>
        <w:t>, Siddiqui MR, Tran K, Reddy SP, Malik AB. Reacti</w:t>
      </w:r>
      <w:r>
        <w:rPr>
          <w:rFonts w:ascii="Book Antiqua" w:eastAsia="Book Antiqua" w:hAnsi="Book Antiqua" w:cs="Book Antiqua"/>
          <w:color w:val="000000"/>
        </w:rPr>
        <w:t xml:space="preserve">ve oxygen species in inflammation and tissue injury.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1126-1167 [PMID: 23991888 DOI: 10.1089/ars.2012.5149]</w:t>
      </w:r>
    </w:p>
    <w:p w14:paraId="4F713255"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Han W</w:t>
      </w:r>
      <w:r>
        <w:rPr>
          <w:rFonts w:ascii="Book Antiqua" w:eastAsia="Book Antiqua" w:hAnsi="Book Antiqua" w:cs="Book Antiqua"/>
          <w:color w:val="000000"/>
        </w:rPr>
        <w:t>, Lu X, Jia X, Zhou T, Guo C. Soluble mediators released from PI-IBS patients' colon induced alteration of ma</w:t>
      </w:r>
      <w:r>
        <w:rPr>
          <w:rFonts w:ascii="Book Antiqua" w:eastAsia="Book Antiqua" w:hAnsi="Book Antiqua" w:cs="Book Antiqua"/>
          <w:color w:val="000000"/>
        </w:rPr>
        <w:t xml:space="preserve">st cell: involvement of reactive oxygen species.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311-319 [PMID: 21901252 DOI: 10.1007/s10620-011-1897-2]</w:t>
      </w:r>
    </w:p>
    <w:p w14:paraId="44A4D267"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Turesky RJ</w:t>
      </w:r>
      <w:r>
        <w:rPr>
          <w:rFonts w:ascii="Book Antiqua" w:eastAsia="Book Antiqua" w:hAnsi="Book Antiqua" w:cs="Book Antiqua"/>
          <w:color w:val="000000"/>
        </w:rPr>
        <w:t>. Mechanistic Evidence for Red Meat and Processed Meat Intake and Cancer Risk: A Follow-up on the International Agen</w:t>
      </w:r>
      <w:r>
        <w:rPr>
          <w:rFonts w:ascii="Book Antiqua" w:eastAsia="Book Antiqua" w:hAnsi="Book Antiqua" w:cs="Book Antiqua"/>
          <w:color w:val="000000"/>
        </w:rPr>
        <w:t xml:space="preserve">cy for Research on Cancer Evaluation of 2015. </w:t>
      </w:r>
      <w:r>
        <w:rPr>
          <w:rFonts w:ascii="Book Antiqua" w:eastAsia="Book Antiqua" w:hAnsi="Book Antiqua" w:cs="Book Antiqua"/>
          <w:i/>
          <w:iCs/>
          <w:color w:val="000000"/>
        </w:rPr>
        <w:t>Chimia (Aarau)</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718-724 [PMID: 30376922 DOI: 10.2533/chimia.2018.718]</w:t>
      </w:r>
    </w:p>
    <w:p w14:paraId="02288600"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Raposa B</w:t>
      </w:r>
      <w:r>
        <w:rPr>
          <w:rFonts w:ascii="Book Antiqua" w:eastAsia="Book Antiqua" w:hAnsi="Book Antiqua" w:cs="Book Antiqua"/>
          <w:color w:val="000000"/>
        </w:rPr>
        <w:t>, Pónusz R, Gerencsér G, Budán F, Gyöngyi Z, Tibold A, Hegyi D, Kiss I, Koller Á, Varjas T. Food additives: Sodium benzo</w:t>
      </w:r>
      <w:r>
        <w:rPr>
          <w:rFonts w:ascii="Book Antiqua" w:eastAsia="Book Antiqua" w:hAnsi="Book Antiqua" w:cs="Book Antiqua"/>
          <w:color w:val="000000"/>
        </w:rPr>
        <w:t xml:space="preserve">ate, potassium sorbate, azorubine, and tartrazine modify the expression of NFκB, GADD45α, and MAPK8 genes. </w:t>
      </w:r>
      <w:r>
        <w:rPr>
          <w:rFonts w:ascii="Book Antiqua" w:eastAsia="Book Antiqua" w:hAnsi="Book Antiqua" w:cs="Book Antiqua"/>
          <w:i/>
          <w:iCs/>
          <w:color w:val="000000"/>
        </w:rPr>
        <w:t>Physiol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334-343 [PMID: 28229641 DOI: 10.1556/2060.103.2016.3.6]</w:t>
      </w:r>
    </w:p>
    <w:p w14:paraId="67A95389"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Holder MK</w:t>
      </w:r>
      <w:r>
        <w:rPr>
          <w:rFonts w:ascii="Book Antiqua" w:eastAsia="Book Antiqua" w:hAnsi="Book Antiqua" w:cs="Book Antiqua"/>
          <w:color w:val="000000"/>
        </w:rPr>
        <w:t>, Chassaing B. Impact of food additives on the gut-brain a</w:t>
      </w:r>
      <w:r>
        <w:rPr>
          <w:rFonts w:ascii="Book Antiqua" w:eastAsia="Book Antiqua" w:hAnsi="Book Antiqua" w:cs="Book Antiqua"/>
          <w:color w:val="000000"/>
        </w:rPr>
        <w:t xml:space="preserve">xis. </w:t>
      </w:r>
      <w:r>
        <w:rPr>
          <w:rFonts w:ascii="Book Antiqua" w:eastAsia="Book Antiqua" w:hAnsi="Book Antiqua" w:cs="Book Antiqua"/>
          <w:i/>
          <w:iCs/>
          <w:color w:val="000000"/>
        </w:rPr>
        <w:t>Physiol Behav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192</w:t>
      </w:r>
      <w:r>
        <w:rPr>
          <w:rFonts w:ascii="Book Antiqua" w:eastAsia="Book Antiqua" w:hAnsi="Book Antiqua" w:cs="Book Antiqua"/>
          <w:color w:val="000000"/>
        </w:rPr>
        <w:t>: 173-176 [PMID: 29454065 DOI: 10.1016/j.physbeh.2018.02.025]</w:t>
      </w:r>
    </w:p>
    <w:p w14:paraId="65F6AF0C"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Rinninella E</w:t>
      </w:r>
      <w:r>
        <w:rPr>
          <w:rFonts w:ascii="Book Antiqua" w:eastAsia="Book Antiqua" w:hAnsi="Book Antiqua" w:cs="Book Antiqua"/>
          <w:color w:val="000000"/>
        </w:rPr>
        <w:t xml:space="preserve">, Cintoni M, Raoul P, Gasbarrini A, Mele MC. Food Additives, Gut Microbiota, and Irritable Bowel Syndrome: A Hidden Track. </w:t>
      </w:r>
      <w:r>
        <w:rPr>
          <w:rFonts w:ascii="Book Antiqua" w:eastAsia="Book Antiqua" w:hAnsi="Book Antiqua" w:cs="Book Antiqua"/>
          <w:i/>
          <w:iCs/>
          <w:color w:val="000000"/>
        </w:rPr>
        <w:t>Int J Environ Res Public Hea</w:t>
      </w:r>
      <w:r>
        <w:rPr>
          <w:rFonts w:ascii="Book Antiqua" w:eastAsia="Book Antiqua" w:hAnsi="Book Antiqua" w:cs="Book Antiqua"/>
          <w:i/>
          <w:iCs/>
          <w:color w:val="000000"/>
        </w:rPr>
        <w:t>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宋体" w:hAnsi="Book Antiqua" w:cs="Book Antiqua"/>
          <w:color w:val="000000"/>
          <w:lang w:eastAsia="zh-CN"/>
        </w:rPr>
        <w:t>: 8816</w:t>
      </w:r>
      <w:r>
        <w:rPr>
          <w:rFonts w:ascii="Book Antiqua" w:eastAsia="Book Antiqua" w:hAnsi="Book Antiqua" w:cs="Book Antiqua"/>
          <w:color w:val="000000"/>
        </w:rPr>
        <w:t xml:space="preserve"> [PMID: 33260947 DOI: 10.3390/ijerph17238816]</w:t>
      </w:r>
    </w:p>
    <w:p w14:paraId="43A64F01"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Nagarajan N</w:t>
      </w:r>
      <w:r>
        <w:rPr>
          <w:rFonts w:ascii="Book Antiqua" w:eastAsia="Book Antiqua" w:hAnsi="Book Antiqua" w:cs="Book Antiqua"/>
          <w:color w:val="000000"/>
        </w:rPr>
        <w:t xml:space="preserve">, Morden A, Bischof D, King EA, Kosztowski M, Wick EC, Stein EM. The role of fiber supplementation in the treatment of irritable bowel syndrome: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1002-1010 [PMID: 26148247 DOI: 10.</w:t>
      </w:r>
      <w:r>
        <w:rPr>
          <w:rFonts w:ascii="Book Antiqua" w:eastAsia="Book Antiqua" w:hAnsi="Book Antiqua" w:cs="Book Antiqua"/>
          <w:color w:val="000000"/>
        </w:rPr>
        <w:t>1097/MEG.0000000000000425]</w:t>
      </w:r>
    </w:p>
    <w:p w14:paraId="5E31A590"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Axelrod CH</w:t>
      </w:r>
      <w:r>
        <w:rPr>
          <w:rFonts w:ascii="Book Antiqua" w:eastAsia="Book Antiqua" w:hAnsi="Book Antiqua" w:cs="Book Antiqua"/>
          <w:color w:val="000000"/>
        </w:rPr>
        <w:t xml:space="preserve">, Saps M. The Role of Fiber in the Treatment of Functional Gastrointestinal Disorders in Children.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宋体" w:hAnsi="Book Antiqua" w:cs="Book Antiqua"/>
          <w:color w:val="000000"/>
          <w:lang w:eastAsia="zh-CN"/>
        </w:rPr>
        <w:t>: 1650</w:t>
      </w:r>
      <w:r>
        <w:rPr>
          <w:rFonts w:ascii="Book Antiqua" w:eastAsia="Book Antiqua" w:hAnsi="Book Antiqua" w:cs="Book Antiqua"/>
          <w:color w:val="000000"/>
        </w:rPr>
        <w:t xml:space="preserve"> [PMID: 30400292 DOI: 10.3390/nu10111650]</w:t>
      </w:r>
    </w:p>
    <w:p w14:paraId="31A97B1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Bardisi BM</w:t>
      </w:r>
      <w:r>
        <w:rPr>
          <w:rFonts w:ascii="Book Antiqua" w:eastAsia="Book Antiqua" w:hAnsi="Book Antiqua" w:cs="Book Antiqua"/>
          <w:color w:val="000000"/>
        </w:rPr>
        <w:t xml:space="preserve">, Halawani AKH, Halawani HKH, Alharbi </w:t>
      </w:r>
      <w:r>
        <w:rPr>
          <w:rFonts w:ascii="Book Antiqua" w:eastAsia="Book Antiqua" w:hAnsi="Book Antiqua" w:cs="Book Antiqua"/>
          <w:color w:val="000000"/>
        </w:rPr>
        <w:t xml:space="preserve">AH, Turkostany NS, Alrehaili TS, Radin AA, Alkhuzea NM. Efficiency of diet change in irritable bowel syndrome.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946-951 [PMID: 30598938 DOI: 10.4103/jfmpc.jfmpc_173_18]</w:t>
      </w:r>
    </w:p>
    <w:p w14:paraId="4DE45C9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Pisipati S</w:t>
      </w:r>
      <w:r>
        <w:rPr>
          <w:rFonts w:ascii="Book Antiqua" w:eastAsia="Book Antiqua" w:hAnsi="Book Antiqua" w:cs="Book Antiqua"/>
          <w:color w:val="000000"/>
        </w:rPr>
        <w:t>, Connor BA, Riddle MS. Updates on the epid</w:t>
      </w:r>
      <w:r>
        <w:rPr>
          <w:rFonts w:ascii="Book Antiqua" w:eastAsia="Book Antiqua" w:hAnsi="Book Antiqua" w:cs="Book Antiqua"/>
          <w:color w:val="000000"/>
        </w:rPr>
        <w:t xml:space="preserve">emiology, pathogenesis, diagnosis, and management of postinfectious irritable bowel syndrome. </w:t>
      </w:r>
      <w:r>
        <w:rPr>
          <w:rFonts w:ascii="Book Antiqua" w:eastAsia="Book Antiqua" w:hAnsi="Book Antiqua" w:cs="Book Antiqua"/>
          <w:i/>
          <w:iCs/>
          <w:color w:val="000000"/>
        </w:rPr>
        <w:t>Curr Opin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411-418 [PMID: 32833689 DOI: 10.1097/QCO.0000000000000666]</w:t>
      </w:r>
    </w:p>
    <w:p w14:paraId="4CC156B6"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Arsiè E</w:t>
      </w:r>
      <w:r>
        <w:rPr>
          <w:rFonts w:ascii="Book Antiqua" w:eastAsia="Book Antiqua" w:hAnsi="Book Antiqua" w:cs="Book Antiqua"/>
          <w:color w:val="000000"/>
        </w:rPr>
        <w:t>, Coletta M, Cesana BM, Basilisco G. Symptom-association proba</w:t>
      </w:r>
      <w:r>
        <w:rPr>
          <w:rFonts w:ascii="Book Antiqua" w:eastAsia="Book Antiqua" w:hAnsi="Book Antiqua" w:cs="Book Antiqua"/>
          <w:color w:val="000000"/>
        </w:rPr>
        <w:t xml:space="preserve">bility between meal ingestion and abdominal pain in patients with irritable bowel syndrome. Does somatization play a role?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416-422 [PMID: 25581334 DOI: 10.1111/nmo.12510]</w:t>
      </w:r>
    </w:p>
    <w:p w14:paraId="30286AFF"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Wang A</w:t>
      </w:r>
      <w:r>
        <w:rPr>
          <w:rFonts w:ascii="Book Antiqua" w:eastAsia="Book Antiqua" w:hAnsi="Book Antiqua" w:cs="Book Antiqua"/>
          <w:color w:val="000000"/>
        </w:rPr>
        <w:t>, Liao X, Xiong L, Peng S, Xiao Y, Liu S,</w:t>
      </w:r>
      <w:r>
        <w:rPr>
          <w:rFonts w:ascii="Book Antiqua" w:eastAsia="Book Antiqua" w:hAnsi="Book Antiqua" w:cs="Book Antiqua"/>
          <w:color w:val="000000"/>
        </w:rPr>
        <w:t xml:space="preserve"> Hu P, Chen M. The clinical overlap between functional dyspepsia and irritable bowel syndrome based on Rome III criteria.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43 [PMID: 18808723 DOI: 10.1186/1471-230X-8-43]</w:t>
      </w:r>
    </w:p>
    <w:p w14:paraId="199D7B2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Lee SY</w:t>
      </w:r>
      <w:r>
        <w:rPr>
          <w:rFonts w:ascii="Book Antiqua" w:eastAsia="Book Antiqua" w:hAnsi="Book Antiqua" w:cs="Book Antiqua"/>
          <w:color w:val="000000"/>
        </w:rPr>
        <w:t>, Lee KJ, Kim SJ, Cho SW. Prevalence and risk fact</w:t>
      </w:r>
      <w:r>
        <w:rPr>
          <w:rFonts w:ascii="Book Antiqua" w:eastAsia="Book Antiqua" w:hAnsi="Book Antiqua" w:cs="Book Antiqua"/>
          <w:color w:val="000000"/>
        </w:rPr>
        <w:t xml:space="preserve">ors for overlaps between gastroesophageal reflux disease, dyspepsia, and irritable bowel syndrome: a population-based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79</w:t>
      </w:r>
      <w:r>
        <w:rPr>
          <w:rFonts w:ascii="Book Antiqua" w:eastAsia="Book Antiqua" w:hAnsi="Book Antiqua" w:cs="Book Antiqua"/>
          <w:color w:val="000000"/>
        </w:rPr>
        <w:t>: 196-201 [PMID: 19342860 DOI: 10.1159/000211715]</w:t>
      </w:r>
    </w:p>
    <w:p w14:paraId="498B2C36"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Van Oudenhove L</w:t>
      </w:r>
      <w:r>
        <w:rPr>
          <w:rFonts w:ascii="Book Antiqua" w:eastAsia="Book Antiqua" w:hAnsi="Book Antiqua" w:cs="Book Antiqua"/>
          <w:color w:val="000000"/>
        </w:rPr>
        <w:t>, Demyttenaere K, Tack J, Aziz Q. Central ner</w:t>
      </w:r>
      <w:r>
        <w:rPr>
          <w:rFonts w:ascii="Book Antiqua" w:eastAsia="Book Antiqua" w:hAnsi="Book Antiqua" w:cs="Book Antiqua"/>
          <w:color w:val="000000"/>
        </w:rPr>
        <w:t xml:space="preserve">vous system involvement in functional gastrointestinal disorders.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663-680 [PMID: 15324706 DOI: 10.1016/j.bpg.2004.04.010]</w:t>
      </w:r>
    </w:p>
    <w:p w14:paraId="7B2BFCA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Mayer EA</w:t>
      </w:r>
      <w:r>
        <w:rPr>
          <w:rFonts w:ascii="Book Antiqua" w:eastAsia="Book Antiqua" w:hAnsi="Book Antiqua" w:cs="Book Antiqua"/>
          <w:color w:val="000000"/>
        </w:rPr>
        <w:t>, Naliboff BD, Craig AD. Neuroimaging of the brain-gut axis: from basic underst</w:t>
      </w:r>
      <w:r>
        <w:rPr>
          <w:rFonts w:ascii="Book Antiqua" w:eastAsia="Book Antiqua" w:hAnsi="Book Antiqua" w:cs="Book Antiqua"/>
          <w:color w:val="000000"/>
        </w:rPr>
        <w:t xml:space="preserve">anding to treatment of functional GI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1925-1942 [PMID: 17188960 DOI: 10.1053/j.gastro.2006.10.026]</w:t>
      </w:r>
    </w:p>
    <w:p w14:paraId="6188F8EC"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Bennet SMP</w:t>
      </w:r>
      <w:r>
        <w:rPr>
          <w:rFonts w:ascii="Book Antiqua" w:eastAsia="Book Antiqua" w:hAnsi="Book Antiqua" w:cs="Book Antiqua"/>
          <w:color w:val="000000"/>
        </w:rPr>
        <w:t xml:space="preserve">, Böhn L, Störsrud S, Liljebo T, Collin L, Lindfors P, Törnblom H, Öhman L, Simrén M. Multivariate modelling of faecal bacterial profiles of patients with IBS predicts responsiveness to a diet low in FODMAPs.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872-881 [PMID: 28416515 DOI: 10.1</w:t>
      </w:r>
      <w:r>
        <w:rPr>
          <w:rFonts w:ascii="Book Antiqua" w:eastAsia="Book Antiqua" w:hAnsi="Book Antiqua" w:cs="Book Antiqua"/>
          <w:color w:val="000000"/>
        </w:rPr>
        <w:t>136/gutjnl-2016-313128]</w:t>
      </w:r>
    </w:p>
    <w:p w14:paraId="5EC2569D"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Paskulin JTA</w:t>
      </w:r>
      <w:r>
        <w:rPr>
          <w:rFonts w:ascii="Book Antiqua" w:eastAsia="Book Antiqua" w:hAnsi="Book Antiqua" w:cs="Book Antiqua"/>
          <w:color w:val="000000"/>
        </w:rPr>
        <w:t xml:space="preserve">, Drehmer M, Olinto MT, Hoffmann JF, Pinheiro AP, Schmidt MI, Nunes MA. Association between dietary patterns and mental disorders in pregnant women in Southern Brazil.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208-215 [PMID: 283553</w:t>
      </w:r>
      <w:r>
        <w:rPr>
          <w:rFonts w:ascii="Book Antiqua" w:eastAsia="Book Antiqua" w:hAnsi="Book Antiqua" w:cs="Book Antiqua"/>
          <w:color w:val="000000"/>
        </w:rPr>
        <w:t>46 DOI: 10.1590/1516-4446-2016-2016]</w:t>
      </w:r>
    </w:p>
    <w:p w14:paraId="6081BFEA" w14:textId="77777777" w:rsidR="00326869" w:rsidRDefault="008967A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Dietary patterns and depressive symptoms in a Taiwanese population aged 53 years and over: Results from the Taiwan Longitudinal Study of Aging. </w:t>
      </w:r>
      <w:r>
        <w:rPr>
          <w:rFonts w:ascii="Book Antiqua" w:eastAsia="Book Antiqua" w:hAnsi="Book Antiqua" w:cs="Book Antiqua"/>
          <w:i/>
          <w:iCs/>
          <w:color w:val="000000"/>
        </w:rPr>
        <w:t>Geriatr Gerontol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1289-1295 [PMID: 26463836 DOI: 1</w:t>
      </w:r>
      <w:r>
        <w:rPr>
          <w:rFonts w:ascii="Book Antiqua" w:eastAsia="Book Antiqua" w:hAnsi="Book Antiqua" w:cs="Book Antiqua"/>
          <w:color w:val="000000"/>
        </w:rPr>
        <w:t>0.1111/ggi.12641]</w:t>
      </w:r>
    </w:p>
    <w:p w14:paraId="6CAC7003" w14:textId="77777777" w:rsidR="00326869" w:rsidRDefault="008967A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Makris AP</w:t>
      </w:r>
      <w:r>
        <w:rPr>
          <w:rFonts w:ascii="Book Antiqua" w:eastAsia="Book Antiqua" w:hAnsi="Book Antiqua" w:cs="Book Antiqua"/>
          <w:color w:val="000000"/>
        </w:rPr>
        <w:t xml:space="preserve">, Karianaki M, Tsamis KI, Paschou SA. The role of the gut-brain axis in depression: endocrine, neural, and immune pathways.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2020</w:t>
      </w:r>
      <w:r>
        <w:rPr>
          <w:rFonts w:ascii="Book Antiqua" w:eastAsia="宋体" w:hAnsi="Book Antiqua" w:cs="Book Antiqua"/>
          <w:color w:val="000000"/>
          <w:lang w:eastAsia="zh-CN"/>
        </w:rPr>
        <w:t xml:space="preserve"> epub ahead of print</w:t>
      </w:r>
      <w:r>
        <w:rPr>
          <w:rFonts w:ascii="Book Antiqua" w:eastAsia="Book Antiqua" w:hAnsi="Book Antiqua" w:cs="Book Antiqua"/>
          <w:color w:val="000000"/>
        </w:rPr>
        <w:t xml:space="preserve"> [PMID: </w:t>
      </w:r>
      <w:bookmarkStart w:id="1" w:name="OLE_LINK2"/>
      <w:r>
        <w:rPr>
          <w:rFonts w:ascii="Book Antiqua" w:eastAsia="Book Antiqua" w:hAnsi="Book Antiqua" w:cs="Book Antiqua"/>
          <w:color w:val="000000"/>
        </w:rPr>
        <w:t>32827123</w:t>
      </w:r>
      <w:bookmarkEnd w:id="1"/>
      <w:r>
        <w:rPr>
          <w:rFonts w:ascii="Book Antiqua" w:eastAsia="Book Antiqua" w:hAnsi="Book Antiqua" w:cs="Book Antiqua"/>
          <w:color w:val="000000"/>
        </w:rPr>
        <w:t xml:space="preserve"> DOI: 10.1007/s42000-020-00236-4]</w:t>
      </w:r>
    </w:p>
    <w:p w14:paraId="2E521488" w14:textId="77777777" w:rsidR="00326869" w:rsidRDefault="00326869">
      <w:pPr>
        <w:spacing w:line="360" w:lineRule="auto"/>
        <w:jc w:val="both"/>
        <w:rPr>
          <w:rFonts w:ascii="Book Antiqua" w:eastAsia="Book Antiqua" w:hAnsi="Book Antiqua" w:cs="Book Antiqua"/>
          <w:color w:val="000000"/>
        </w:rPr>
      </w:pPr>
    </w:p>
    <w:p w14:paraId="1DEA7F8C" w14:textId="77777777" w:rsidR="00326869" w:rsidRDefault="00326869">
      <w:pPr>
        <w:spacing w:line="360" w:lineRule="auto"/>
        <w:jc w:val="both"/>
        <w:sectPr w:rsidR="00326869">
          <w:footerReference w:type="default" r:id="rId8"/>
          <w:pgSz w:w="12240" w:h="15840"/>
          <w:pgMar w:top="1440" w:right="1440" w:bottom="1440" w:left="1440" w:header="720" w:footer="720" w:gutter="0"/>
          <w:cols w:space="720"/>
          <w:docGrid w:linePitch="360"/>
        </w:sectPr>
      </w:pPr>
    </w:p>
    <w:p w14:paraId="482BE50B" w14:textId="77777777" w:rsidR="00326869" w:rsidRDefault="008967A2">
      <w:pPr>
        <w:spacing w:line="360" w:lineRule="auto"/>
        <w:jc w:val="both"/>
      </w:pPr>
      <w:r>
        <w:rPr>
          <w:rFonts w:ascii="Book Antiqua" w:eastAsia="Book Antiqua" w:hAnsi="Book Antiqua" w:cs="Book Antiqua"/>
          <w:b/>
          <w:color w:val="000000"/>
        </w:rPr>
        <w:lastRenderedPageBreak/>
        <w:t>Footnotes</w:t>
      </w:r>
    </w:p>
    <w:p w14:paraId="56FE9FE6" w14:textId="77777777" w:rsidR="00326869" w:rsidRDefault="008967A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the Ethics Committee of China-Japan Friendship Hospital (No. 2015-33).</w:t>
      </w:r>
    </w:p>
    <w:p w14:paraId="014930A5" w14:textId="77777777" w:rsidR="00326869" w:rsidRDefault="00326869">
      <w:pPr>
        <w:spacing w:line="360" w:lineRule="auto"/>
        <w:jc w:val="both"/>
      </w:pPr>
    </w:p>
    <w:p w14:paraId="6FDBE79B" w14:textId="77777777" w:rsidR="00326869" w:rsidRDefault="008967A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All study </w:t>
      </w:r>
      <w:r>
        <w:rPr>
          <w:rFonts w:ascii="Book Antiqua" w:eastAsia="Book Antiqua" w:hAnsi="Book Antiqua" w:cs="Book Antiqua"/>
          <w:color w:val="000000"/>
        </w:rPr>
        <w:t>participants provided written informed consent prior to study enrollment.</w:t>
      </w:r>
    </w:p>
    <w:p w14:paraId="625111F4" w14:textId="77777777" w:rsidR="00326869" w:rsidRDefault="00326869">
      <w:pPr>
        <w:spacing w:line="360" w:lineRule="auto"/>
        <w:jc w:val="both"/>
      </w:pPr>
    </w:p>
    <w:p w14:paraId="5B2AB18E" w14:textId="77777777" w:rsidR="00326869" w:rsidRDefault="008967A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report no conflicts of interest.</w:t>
      </w:r>
    </w:p>
    <w:p w14:paraId="0FEA6E5A" w14:textId="77777777" w:rsidR="00326869" w:rsidRDefault="00326869">
      <w:pPr>
        <w:spacing w:line="360" w:lineRule="auto"/>
        <w:jc w:val="both"/>
      </w:pPr>
    </w:p>
    <w:p w14:paraId="2F983D66" w14:textId="77777777" w:rsidR="00326869" w:rsidRDefault="008967A2">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7E784F90" w14:textId="77777777" w:rsidR="00326869" w:rsidRDefault="00326869">
      <w:pPr>
        <w:spacing w:line="360" w:lineRule="auto"/>
        <w:jc w:val="both"/>
      </w:pPr>
    </w:p>
    <w:p w14:paraId="68913B86" w14:textId="77777777" w:rsidR="00326869" w:rsidRDefault="008967A2">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 xml:space="preserve">The authors have read </w:t>
      </w:r>
      <w:r>
        <w:rPr>
          <w:rFonts w:ascii="Book Antiqua" w:eastAsia="Book Antiqua" w:hAnsi="Book Antiqua" w:cs="Book Antiqua"/>
          <w:color w:val="000000"/>
        </w:rPr>
        <w:t>the STROBE Statement-checklist of items, and the manuscript was prepared and revised according to the STROBE Statement-checklist of items.</w:t>
      </w:r>
    </w:p>
    <w:p w14:paraId="26A57965" w14:textId="77777777" w:rsidR="00326869" w:rsidRDefault="00326869">
      <w:pPr>
        <w:spacing w:line="360" w:lineRule="auto"/>
        <w:jc w:val="both"/>
      </w:pPr>
    </w:p>
    <w:p w14:paraId="352ED8E1" w14:textId="77777777" w:rsidR="00326869" w:rsidRDefault="008967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w:t>
      </w:r>
      <w:r>
        <w:rPr>
          <w:rFonts w:ascii="Book Antiqua" w:eastAsia="Book Antiqua" w:hAnsi="Book Antiqua" w:cs="Book Antiqua"/>
          <w:color w:val="000000"/>
        </w:rPr>
        <w:t>by external reviewers. It is distributed in accordance with the Creative Commons Attribution NonCommercial (CC BY-NC 4.0) license, which permits others to distribute, remix, adapt, build upon this work non-commercially, and license their derivative works o</w:t>
      </w:r>
      <w:r>
        <w:rPr>
          <w:rFonts w:ascii="Book Antiqua" w:eastAsia="Book Antiqua" w:hAnsi="Book Antiqua" w:cs="Book Antiqua"/>
          <w:color w:val="000000"/>
        </w:rPr>
        <w:t>n different terms, provided the original work is properly cited and the use is non-commercial. See: http://creativecommons.org/Licenses/by-nc/4.0/</w:t>
      </w:r>
    </w:p>
    <w:p w14:paraId="61430AA0" w14:textId="77777777" w:rsidR="00326869" w:rsidRDefault="00326869">
      <w:pPr>
        <w:spacing w:line="360" w:lineRule="auto"/>
        <w:jc w:val="both"/>
      </w:pPr>
    </w:p>
    <w:p w14:paraId="63FB82A0" w14:textId="77777777" w:rsidR="00326869" w:rsidRDefault="008967A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2CF208C" w14:textId="77777777" w:rsidR="00326869" w:rsidRDefault="00326869">
      <w:pPr>
        <w:spacing w:line="360" w:lineRule="auto"/>
        <w:jc w:val="both"/>
      </w:pPr>
    </w:p>
    <w:p w14:paraId="1F206E55" w14:textId="77777777" w:rsidR="00326869" w:rsidRDefault="008967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2020</w:t>
      </w:r>
    </w:p>
    <w:p w14:paraId="3A3573B1" w14:textId="77777777" w:rsidR="00326869" w:rsidRDefault="008967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w:t>
      </w:r>
      <w:r>
        <w:rPr>
          <w:rFonts w:ascii="Book Antiqua" w:eastAsia="Book Antiqua" w:hAnsi="Book Antiqua" w:cs="Book Antiqua"/>
          <w:color w:val="000000"/>
        </w:rPr>
        <w:t>, 2020</w:t>
      </w:r>
    </w:p>
    <w:p w14:paraId="2FA42BB6" w14:textId="77777777" w:rsidR="00326869" w:rsidRDefault="008967A2">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February 19, 2021</w:t>
      </w:r>
    </w:p>
    <w:p w14:paraId="482DB9DC" w14:textId="77777777" w:rsidR="00326869" w:rsidRDefault="00326869">
      <w:pPr>
        <w:spacing w:line="360" w:lineRule="auto"/>
        <w:jc w:val="both"/>
      </w:pPr>
    </w:p>
    <w:p w14:paraId="1D401779" w14:textId="77777777" w:rsidR="00326869" w:rsidRDefault="008967A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ED13BAC" w14:textId="77777777" w:rsidR="00326869" w:rsidRDefault="008967A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BEB1098" w14:textId="77777777" w:rsidR="00326869" w:rsidRDefault="008967A2">
      <w:pPr>
        <w:spacing w:line="360" w:lineRule="auto"/>
        <w:jc w:val="both"/>
      </w:pPr>
      <w:r>
        <w:rPr>
          <w:rFonts w:ascii="Book Antiqua" w:eastAsia="Book Antiqua" w:hAnsi="Book Antiqua" w:cs="Book Antiqua"/>
          <w:b/>
          <w:color w:val="000000"/>
        </w:rPr>
        <w:t>Peer-review report’s scientific quality classification</w:t>
      </w:r>
    </w:p>
    <w:p w14:paraId="03E892A1" w14:textId="77777777" w:rsidR="00326869" w:rsidRDefault="008967A2">
      <w:pPr>
        <w:spacing w:line="360" w:lineRule="auto"/>
        <w:jc w:val="both"/>
      </w:pPr>
      <w:r>
        <w:rPr>
          <w:rFonts w:ascii="Book Antiqua" w:eastAsia="Book Antiqua" w:hAnsi="Book Antiqua" w:cs="Book Antiqua"/>
          <w:color w:val="000000"/>
        </w:rPr>
        <w:t>Grade A (Excellent): 0</w:t>
      </w:r>
    </w:p>
    <w:p w14:paraId="0C4DE443" w14:textId="77777777" w:rsidR="00326869" w:rsidRDefault="008967A2">
      <w:pPr>
        <w:spacing w:line="360" w:lineRule="auto"/>
        <w:jc w:val="both"/>
      </w:pPr>
      <w:r>
        <w:rPr>
          <w:rFonts w:ascii="Book Antiqua" w:eastAsia="Book Antiqua" w:hAnsi="Book Antiqua" w:cs="Book Antiqua"/>
          <w:color w:val="000000"/>
        </w:rPr>
        <w:t>Grade B (Very good): B</w:t>
      </w:r>
    </w:p>
    <w:p w14:paraId="233A938B" w14:textId="77777777" w:rsidR="00326869" w:rsidRDefault="008967A2">
      <w:pPr>
        <w:spacing w:line="360" w:lineRule="auto"/>
        <w:jc w:val="both"/>
      </w:pPr>
      <w:r>
        <w:rPr>
          <w:rFonts w:ascii="Book Antiqua" w:eastAsia="Book Antiqua" w:hAnsi="Book Antiqua" w:cs="Book Antiqua"/>
          <w:color w:val="000000"/>
        </w:rPr>
        <w:t>Grade C (Good): 0</w:t>
      </w:r>
    </w:p>
    <w:p w14:paraId="193AEDA0" w14:textId="77777777" w:rsidR="00326869" w:rsidRDefault="008967A2">
      <w:pPr>
        <w:spacing w:line="360" w:lineRule="auto"/>
        <w:jc w:val="both"/>
      </w:pPr>
      <w:r>
        <w:rPr>
          <w:rFonts w:ascii="Book Antiqua" w:eastAsia="Book Antiqua" w:hAnsi="Book Antiqua" w:cs="Book Antiqua"/>
          <w:color w:val="000000"/>
        </w:rPr>
        <w:t>Grade D (F</w:t>
      </w:r>
      <w:r>
        <w:rPr>
          <w:rFonts w:ascii="Book Antiqua" w:eastAsia="Book Antiqua" w:hAnsi="Book Antiqua" w:cs="Book Antiqua"/>
          <w:color w:val="000000"/>
        </w:rPr>
        <w:t>air): D</w:t>
      </w:r>
    </w:p>
    <w:p w14:paraId="04BADA76" w14:textId="77777777" w:rsidR="00326869" w:rsidRDefault="008967A2">
      <w:pPr>
        <w:spacing w:line="360" w:lineRule="auto"/>
        <w:jc w:val="both"/>
      </w:pPr>
      <w:r>
        <w:rPr>
          <w:rFonts w:ascii="Book Antiqua" w:eastAsia="Book Antiqua" w:hAnsi="Book Antiqua" w:cs="Book Antiqua"/>
          <w:color w:val="000000"/>
        </w:rPr>
        <w:t>Grade E (Poor): 0</w:t>
      </w:r>
    </w:p>
    <w:p w14:paraId="0F5B9159" w14:textId="77777777" w:rsidR="00326869" w:rsidRDefault="00326869">
      <w:pPr>
        <w:spacing w:line="360" w:lineRule="auto"/>
        <w:jc w:val="both"/>
      </w:pPr>
    </w:p>
    <w:p w14:paraId="46E3CAD0" w14:textId="77777777" w:rsidR="00326869" w:rsidRDefault="008967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Esteban-Zubero E, Iovino P</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Yuan YY</w:t>
      </w:r>
    </w:p>
    <w:p w14:paraId="2BE87258" w14:textId="77777777" w:rsidR="00326869" w:rsidRDefault="008967A2">
      <w:pPr>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0F775936" w14:textId="77777777" w:rsidR="00326869" w:rsidRDefault="008967A2">
      <w:pPr>
        <w:adjustRightInd w:val="0"/>
        <w:snapToGrid w:val="0"/>
        <w:spacing w:line="360" w:lineRule="auto"/>
        <w:rPr>
          <w:rFonts w:ascii="Book Antiqua" w:hAnsi="Book Antiqua" w:cs="Book Antiqua"/>
          <w:color w:val="000000"/>
        </w:rPr>
      </w:pPr>
      <w:r>
        <w:rPr>
          <w:noProof/>
          <w:lang w:eastAsia="zh-CN"/>
        </w:rPr>
        <w:drawing>
          <wp:inline distT="0" distB="0" distL="0" distR="0" wp14:anchorId="09B3B360" wp14:editId="4DF52B5D">
            <wp:extent cx="5893435" cy="2877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8004" cy="2895072"/>
                    </a:xfrm>
                    <a:prstGeom prst="rect">
                      <a:avLst/>
                    </a:prstGeom>
                    <a:noFill/>
                  </pic:spPr>
                </pic:pic>
              </a:graphicData>
            </a:graphic>
          </wp:inline>
        </w:drawing>
      </w:r>
    </w:p>
    <w:p w14:paraId="70A62BC7" w14:textId="77777777" w:rsidR="00326869" w:rsidRDefault="008967A2">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 xml:space="preserve">Figure 1 Comparison of quantity per time between irritable bowel syndrome patients and non-irritable bowel </w:t>
      </w:r>
      <w:r>
        <w:rPr>
          <w:rFonts w:ascii="Book Antiqua" w:hAnsi="Book Antiqua" w:cs="Book Antiqua"/>
          <w:b/>
          <w:bCs/>
          <w:color w:val="000000"/>
        </w:rPr>
        <w:t>syndrome participants.</w:t>
      </w:r>
      <w:r>
        <w:rPr>
          <w:rFonts w:ascii="Book Antiqua" w:hAnsi="Book Antiqua" w:cs="Book Antiqua"/>
          <w:color w:val="000000"/>
        </w:rPr>
        <w:t xml:space="preserve"> A: Seafood; B: Soybean and its products; C: Spicy food; D: Dry-fried nuts; E: </w:t>
      </w:r>
      <w:r>
        <w:rPr>
          <w:rFonts w:ascii="Book Antiqua" w:hAnsi="Book Antiqua" w:cs="Book Antiqua"/>
          <w:color w:val="C00000"/>
        </w:rPr>
        <w:t xml:space="preserve"> </w:t>
      </w:r>
      <w:r>
        <w:rPr>
          <w:rFonts w:ascii="Book Antiqua" w:hAnsi="Book Antiqua" w:cs="Book Antiqua"/>
          <w:color w:val="000000"/>
        </w:rPr>
        <w:t>Vegetables; F: Fruits.</w:t>
      </w:r>
      <w:r>
        <w:rPr>
          <w:rFonts w:ascii="Book Antiqua" w:eastAsiaTheme="minorEastAsia" w:hAnsi="Book Antiqua" w:cs="Book Antiqua"/>
          <w:color w:val="000000"/>
          <w:lang w:eastAsia="zh-CN"/>
        </w:rPr>
        <w:t xml:space="preserve"> 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p>
    <w:p w14:paraId="31EA7638" w14:textId="77777777" w:rsidR="00326869" w:rsidRDefault="008967A2">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lastRenderedPageBreak/>
        <w:t xml:space="preserve"> </w:t>
      </w:r>
      <w:r>
        <w:rPr>
          <w:noProof/>
          <w:lang w:eastAsia="zh-CN"/>
        </w:rPr>
        <w:drawing>
          <wp:inline distT="0" distB="0" distL="0" distR="0" wp14:anchorId="518D5F2F" wp14:editId="37896418">
            <wp:extent cx="5881370" cy="2965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10717" cy="2980573"/>
                    </a:xfrm>
                    <a:prstGeom prst="rect">
                      <a:avLst/>
                    </a:prstGeom>
                    <a:noFill/>
                  </pic:spPr>
                </pic:pic>
              </a:graphicData>
            </a:graphic>
          </wp:inline>
        </w:drawing>
      </w:r>
    </w:p>
    <w:p w14:paraId="0AC5FED1"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b/>
          <w:bCs/>
          <w:color w:val="000000"/>
        </w:rPr>
        <w:t xml:space="preserve">Figure 2 Comparison of quantity per time between irritable bowel </w:t>
      </w:r>
      <w:r>
        <w:rPr>
          <w:rFonts w:ascii="Book Antiqua" w:hAnsi="Book Antiqua" w:cs="Book Antiqua"/>
          <w:b/>
          <w:bCs/>
          <w:color w:val="000000"/>
        </w:rPr>
        <w:t>syndrome patients and non-irritable bowel syndrome participants.</w:t>
      </w:r>
      <w:r>
        <w:rPr>
          <w:rFonts w:ascii="Book Antiqua" w:hAnsi="Book Antiqua" w:cs="Book Antiqua"/>
          <w:color w:val="000000"/>
        </w:rPr>
        <w:t xml:space="preserve"> A: Meat; B: Processed meat; C: Barbecue; D: Coarse grain; E: Tubers</w:t>
      </w:r>
      <w:r>
        <w:rPr>
          <w:rFonts w:ascii="Book Antiqua" w:eastAsia="宋体" w:hAnsi="Book Antiqua" w:cs="宋体"/>
          <w:color w:val="000000"/>
          <w:lang w:eastAsia="zh-CN"/>
        </w:rPr>
        <w:t>.</w:t>
      </w:r>
      <w:r>
        <w:rPr>
          <w:rFonts w:ascii="Book Antiqua" w:eastAsiaTheme="minorEastAsia" w:hAnsi="Book Antiqua" w:cs="Book Antiqua"/>
          <w:color w:val="000000"/>
          <w:lang w:eastAsia="zh-CN"/>
        </w:rPr>
        <w:t xml:space="preserve"> </w:t>
      </w:r>
      <w:r>
        <w:rPr>
          <w:rFonts w:ascii="Book Antiqua" w:hAnsi="Book Antiqua" w:cs="Book Antiqua"/>
        </w:rPr>
        <w:t xml:space="preserve">All </w:t>
      </w:r>
      <w:r>
        <w:rPr>
          <w:rFonts w:ascii="Book Antiqua" w:hAnsi="Book Antiqua" w:cs="Book Antiqua"/>
          <w:i/>
          <w:iCs/>
        </w:rPr>
        <w:t xml:space="preserve">P </w:t>
      </w:r>
      <w:r>
        <w:rPr>
          <w:rFonts w:ascii="Book Antiqua" w:hAnsi="Book Antiqua" w:cs="Tahoma"/>
          <w:color w:val="000000"/>
        </w:rPr>
        <w:t>&gt;</w:t>
      </w:r>
      <w:r>
        <w:rPr>
          <w:rFonts w:ascii="Book Antiqua" w:hAnsi="Book Antiqua" w:cs="Book Antiqua"/>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hAnsi="Book Antiqua" w:cs="Book Antiqua"/>
        </w:rPr>
        <w:t>.</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w:t>
      </w:r>
    </w:p>
    <w:p w14:paraId="68CD3B71" w14:textId="77777777" w:rsidR="00326869" w:rsidRDefault="008967A2">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rPr>
          <w:noProof/>
          <w:lang w:eastAsia="zh-CN"/>
        </w:rPr>
        <w:lastRenderedPageBreak/>
        <w:drawing>
          <wp:inline distT="0" distB="0" distL="0" distR="0" wp14:anchorId="2CD1B447" wp14:editId="03FDCD2E">
            <wp:extent cx="5848350" cy="3060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69893" cy="3072225"/>
                    </a:xfrm>
                    <a:prstGeom prst="rect">
                      <a:avLst/>
                    </a:prstGeom>
                    <a:noFill/>
                  </pic:spPr>
                </pic:pic>
              </a:graphicData>
            </a:graphic>
          </wp:inline>
        </w:drawing>
      </w:r>
    </w:p>
    <w:p w14:paraId="246E3BA3" w14:textId="77777777" w:rsidR="00326869" w:rsidRDefault="008967A2">
      <w:pPr>
        <w:adjustRightInd w:val="0"/>
        <w:snapToGrid w:val="0"/>
        <w:spacing w:line="360" w:lineRule="auto"/>
        <w:rPr>
          <w:rFonts w:ascii="Book Antiqua" w:eastAsia="宋体" w:hAnsi="Book Antiqua" w:cs="Book Antiqua"/>
          <w:color w:val="C00000"/>
          <w:lang w:eastAsia="zh-CN"/>
        </w:rPr>
      </w:pPr>
      <w:r>
        <w:rPr>
          <w:rFonts w:ascii="Book Antiqua" w:hAnsi="Book Antiqua" w:cs="Book Antiqua"/>
          <w:b/>
          <w:bCs/>
          <w:color w:val="000000"/>
        </w:rPr>
        <w:t xml:space="preserve">Figure </w:t>
      </w:r>
      <w:r>
        <w:rPr>
          <w:rFonts w:ascii="Book Antiqua" w:eastAsia="宋体" w:hAnsi="Book Antiqua" w:cs="Book Antiqua"/>
          <w:b/>
          <w:bCs/>
          <w:color w:val="000000"/>
          <w:lang w:eastAsia="zh-CN"/>
        </w:rPr>
        <w:t xml:space="preserve">3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Egg; B: Soybean and its products; C: Spicy food; D: Barbecue; E: Dry-fried nuts; F: Coarse grain.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w:t>
      </w:r>
      <w:r>
        <w:rPr>
          <w:rFonts w:ascii="Book Antiqua" w:hAnsi="Book Antiqua" w:cs="Book Antiqua"/>
        </w:rPr>
        <w:t>table bowel syndrome</w:t>
      </w:r>
      <w:r>
        <w:rPr>
          <w:rFonts w:ascii="Book Antiqua" w:eastAsia="宋体" w:hAnsi="Book Antiqua" w:cs="Book Antiqua" w:hint="eastAsia"/>
          <w:lang w:eastAsia="zh-CN"/>
        </w:rPr>
        <w:t>.</w:t>
      </w:r>
    </w:p>
    <w:p w14:paraId="33F2B109" w14:textId="77777777" w:rsidR="00326869" w:rsidRDefault="008967A2">
      <w:pPr>
        <w:adjustRightInd w:val="0"/>
        <w:snapToGrid w:val="0"/>
        <w:spacing w:line="360" w:lineRule="auto"/>
        <w:rPr>
          <w:rFonts w:ascii="Book Antiqua" w:eastAsia="PMingLiU" w:hAnsi="Book Antiqua" w:cs="Book Antiqua"/>
          <w:color w:val="000000"/>
          <w:lang w:eastAsia="zh-TW"/>
        </w:rPr>
      </w:pPr>
      <w:r>
        <w:rPr>
          <w:rFonts w:ascii="Book Antiqua" w:hAnsi="Book Antiqua" w:cs="Book Antiqua"/>
          <w:color w:val="000000"/>
        </w:rPr>
        <w:br w:type="page"/>
      </w:r>
      <w:r>
        <w:rPr>
          <w:noProof/>
          <w:lang w:eastAsia="zh-CN"/>
        </w:rPr>
        <w:lastRenderedPageBreak/>
        <w:drawing>
          <wp:inline distT="0" distB="0" distL="0" distR="0" wp14:anchorId="3AB518D4" wp14:editId="508662EB">
            <wp:extent cx="5847715" cy="34664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873279" cy="3481737"/>
                    </a:xfrm>
                    <a:prstGeom prst="rect">
                      <a:avLst/>
                    </a:prstGeom>
                    <a:noFill/>
                  </pic:spPr>
                </pic:pic>
              </a:graphicData>
            </a:graphic>
          </wp:inline>
        </w:drawing>
      </w:r>
    </w:p>
    <w:p w14:paraId="007E716D"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b/>
          <w:bCs/>
          <w:color w:val="000000"/>
        </w:rPr>
        <w:t xml:space="preserve">Figure </w:t>
      </w:r>
      <w:r>
        <w:rPr>
          <w:rFonts w:ascii="Book Antiqua" w:eastAsia="宋体" w:hAnsi="Book Antiqua" w:cs="Book Antiqua"/>
          <w:b/>
          <w:bCs/>
          <w:color w:val="000000"/>
          <w:lang w:eastAsia="zh-CN"/>
        </w:rPr>
        <w:t xml:space="preserve">4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Meat; B: Processed meat; C: Seafood; D: Soft drinks; E: Tubers; F: Vegetables; G: Fruits. </w:t>
      </w:r>
      <w:r>
        <w:rPr>
          <w:rFonts w:ascii="Book Antiqua" w:hAnsi="Book Antiqua" w:cs="Book Antiqua"/>
        </w:rPr>
        <w:t xml:space="preserve">All </w:t>
      </w:r>
      <w:r>
        <w:rPr>
          <w:rFonts w:ascii="Book Antiqua" w:hAnsi="Book Antiqua" w:cs="Book Antiqua"/>
          <w:i/>
          <w:iCs/>
          <w:color w:val="000000"/>
        </w:rPr>
        <w:t>P</w:t>
      </w:r>
      <w:r>
        <w:rPr>
          <w:rFonts w:ascii="Book Antiqua" w:hAnsi="Book Antiqua" w:cs="Book Antiqua"/>
          <w:color w:val="000000"/>
        </w:rPr>
        <w:t xml:space="preserve"> </w:t>
      </w:r>
      <w:r>
        <w:rPr>
          <w:rFonts w:ascii="Book Antiqua" w:hAnsi="Book Antiqua" w:cs="Tahoma"/>
          <w:color w:val="000000"/>
        </w:rPr>
        <w:t>&gt;</w:t>
      </w:r>
      <w:r>
        <w:rPr>
          <w:rFonts w:ascii="Book Antiqua" w:hAnsi="Book Antiqua" w:cs="Book Antiqua"/>
          <w:color w:val="000000"/>
        </w:rPr>
        <w:t xml:space="preserve"> 0.05 </w:t>
      </w:r>
      <w:r>
        <w:rPr>
          <w:rFonts w:ascii="Book Antiqua" w:hAnsi="Book Antiqua" w:cs="Book Antiqua"/>
          <w:i/>
          <w:iCs/>
          <w:color w:val="000000"/>
        </w:rPr>
        <w:t>vs</w:t>
      </w:r>
      <w:r>
        <w:rPr>
          <w:rFonts w:ascii="Book Antiqua" w:hAnsi="Book Antiqua" w:cs="Book Antiqua"/>
          <w:color w:val="000000"/>
        </w:rPr>
        <w:t xml:space="preserve"> controls.</w:t>
      </w:r>
      <w:r>
        <w:rPr>
          <w:rFonts w:ascii="Book Antiqua" w:eastAsia="宋体" w:hAnsi="Book Antiqua" w:cs="Book Antiqua" w:hint="eastAsia"/>
          <w:color w:val="000000"/>
          <w:lang w:eastAsia="zh-CN"/>
        </w:rPr>
        <w:t xml:space="preserve"> </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宋体" w:hAnsi="Book Antiqua" w:cs="Book Antiqua"/>
          <w:lang w:eastAsia="zh-CN"/>
        </w:rPr>
        <w:t>I</w:t>
      </w:r>
      <w:r>
        <w:rPr>
          <w:rFonts w:ascii="Book Antiqua" w:hAnsi="Book Antiqua" w:cs="Book Antiqua"/>
        </w:rPr>
        <w:t>rritable b</w:t>
      </w:r>
      <w:r>
        <w:rPr>
          <w:rFonts w:ascii="Book Antiqua" w:hAnsi="Book Antiqua" w:cs="Book Antiqua"/>
        </w:rPr>
        <w:t>owel syndrome</w:t>
      </w:r>
      <w:r>
        <w:rPr>
          <w:rFonts w:ascii="Book Antiqua" w:eastAsia="宋体" w:hAnsi="Book Antiqua" w:cs="Book Antiqua" w:hint="eastAsia"/>
          <w:lang w:eastAsia="zh-CN"/>
        </w:rPr>
        <w:t>.</w:t>
      </w:r>
    </w:p>
    <w:p w14:paraId="0DD21D32" w14:textId="77777777" w:rsidR="00326869" w:rsidRDefault="008967A2">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eastAsia="PMingLiU" w:hAnsi="Book Antiqua" w:cs="Book Antiqua"/>
          <w:color w:val="000000"/>
          <w:lang w:eastAsia="zh-TW"/>
        </w:rPr>
        <w:br w:type="page"/>
      </w:r>
      <w:r>
        <w:rPr>
          <w:rFonts w:ascii="Book Antiqua" w:eastAsia="PMingLiU" w:hAnsi="Book Antiqua" w:cs="Book Antiqua"/>
          <w:b/>
          <w:bCs/>
          <w:color w:val="000000"/>
          <w:lang w:eastAsia="zh-TW"/>
        </w:rPr>
        <w:lastRenderedPageBreak/>
        <w:t xml:space="preserve">Table 1 Sociodemographic characteristics,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085"/>
        <w:gridCol w:w="2302"/>
        <w:gridCol w:w="2410"/>
        <w:gridCol w:w="1559"/>
      </w:tblGrid>
      <w:tr w:rsidR="00326869" w14:paraId="260C0EE3" w14:textId="77777777">
        <w:tc>
          <w:tcPr>
            <w:tcW w:w="3085" w:type="dxa"/>
            <w:tcBorders>
              <w:bottom w:val="single" w:sz="4" w:space="0" w:color="auto"/>
            </w:tcBorders>
            <w:shd w:val="clear" w:color="auto" w:fill="auto"/>
          </w:tcPr>
          <w:p w14:paraId="50B6BC4A"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c>
          <w:tcPr>
            <w:tcW w:w="2302" w:type="dxa"/>
            <w:tcBorders>
              <w:bottom w:val="single" w:sz="4" w:space="0" w:color="auto"/>
            </w:tcBorders>
            <w:shd w:val="clear" w:color="auto" w:fill="auto"/>
          </w:tcPr>
          <w:p w14:paraId="0D623FE9" w14:textId="77777777" w:rsidR="00326869" w:rsidRDefault="008967A2">
            <w:pPr>
              <w:adjustRightInd w:val="0"/>
              <w:snapToGrid w:val="0"/>
              <w:spacing w:line="360" w:lineRule="auto"/>
              <w:ind w:left="422" w:hanging="422"/>
              <w:jc w:val="both"/>
              <w:rPr>
                <w:rFonts w:ascii="Book Antiqua" w:hAnsi="Book Antiqua" w:cs="Book Antiqua"/>
                <w:b/>
              </w:rPr>
            </w:pPr>
            <w:r>
              <w:rPr>
                <w:rFonts w:ascii="Book Antiqua" w:hAnsi="Book Antiqua" w:cs="Book Antiqua"/>
                <w:b/>
              </w:rPr>
              <w:t>IBS patients (</w:t>
            </w:r>
            <w:r>
              <w:rPr>
                <w:rFonts w:ascii="Book Antiqua" w:hAnsi="Book Antiqua" w:cs="Book Antiqua"/>
                <w:b/>
                <w:i/>
                <w:iCs/>
              </w:rPr>
              <w:t>n</w:t>
            </w:r>
            <w:r>
              <w:rPr>
                <w:rFonts w:ascii="Book Antiqua" w:eastAsia="宋体" w:hAnsi="Book Antiqua" w:cs="Book Antiqua"/>
                <w:b/>
                <w:i/>
                <w:iCs/>
                <w:lang w:eastAsia="zh-CN"/>
              </w:rPr>
              <w:t xml:space="preserve"> </w:t>
            </w:r>
            <w:r>
              <w:rPr>
                <w:rFonts w:ascii="Book Antiqua" w:hAnsi="Book Antiqua" w:cs="Book Antiqua"/>
                <w:b/>
              </w:rPr>
              <w:t>=</w:t>
            </w:r>
            <w:r>
              <w:rPr>
                <w:rFonts w:ascii="Book Antiqua" w:eastAsia="宋体" w:hAnsi="Book Antiqua" w:cs="Book Antiqua"/>
                <w:b/>
                <w:lang w:eastAsia="zh-CN"/>
              </w:rPr>
              <w:t xml:space="preserve"> </w:t>
            </w:r>
            <w:r>
              <w:rPr>
                <w:rFonts w:ascii="Book Antiqua" w:hAnsi="Book Antiqua" w:cs="Book Antiqua"/>
                <w:b/>
              </w:rPr>
              <w:t>25)</w:t>
            </w:r>
          </w:p>
        </w:tc>
        <w:tc>
          <w:tcPr>
            <w:tcW w:w="2410" w:type="dxa"/>
            <w:tcBorders>
              <w:bottom w:val="single" w:sz="4" w:space="0" w:color="auto"/>
            </w:tcBorders>
            <w:shd w:val="clear" w:color="auto" w:fill="auto"/>
          </w:tcPr>
          <w:p w14:paraId="0D3A8159" w14:textId="77777777" w:rsidR="00326869" w:rsidRDefault="008967A2">
            <w:pPr>
              <w:adjustRightInd w:val="0"/>
              <w:snapToGrid w:val="0"/>
              <w:spacing w:line="360" w:lineRule="auto"/>
              <w:ind w:left="422" w:hanging="422"/>
              <w:jc w:val="both"/>
              <w:rPr>
                <w:rFonts w:ascii="Book Antiqua" w:hAnsi="Book Antiqua" w:cs="Book Antiqua"/>
                <w:b/>
              </w:rPr>
            </w:pPr>
            <w:r>
              <w:rPr>
                <w:rFonts w:ascii="Book Antiqua" w:hAnsi="Book Antiqua" w:cs="Book Antiqua"/>
                <w:b/>
              </w:rPr>
              <w:t>Non-IBS</w:t>
            </w:r>
            <w:r>
              <w:rPr>
                <w:rFonts w:ascii="Book Antiqua" w:eastAsia="宋体" w:hAnsi="Book Antiqua" w:cs="Book Antiqua" w:hint="eastAsia"/>
                <w:b/>
                <w:lang w:eastAsia="zh-CN"/>
              </w:rPr>
              <w:t xml:space="preserve"> </w:t>
            </w:r>
            <w:r>
              <w:rPr>
                <w:rFonts w:ascii="Book Antiqua" w:hAnsi="Book Antiqua" w:cs="Book Antiqua"/>
                <w:b/>
              </w:rPr>
              <w:t>participants</w:t>
            </w:r>
            <w:r>
              <w:rPr>
                <w:rFonts w:ascii="Book Antiqua" w:eastAsia="宋体" w:hAnsi="Book Antiqua" w:cs="Book Antiqua" w:hint="eastAsia"/>
                <w:b/>
                <w:lang w:eastAsia="zh-CN"/>
              </w:rPr>
              <w:t xml:space="preserve"> </w:t>
            </w:r>
            <w:r>
              <w:rPr>
                <w:rFonts w:ascii="Book Antiqua" w:hAnsi="Book Antiqua" w:cs="Book Antiqua"/>
                <w:b/>
              </w:rPr>
              <w:t>(</w:t>
            </w:r>
            <w:r>
              <w:rPr>
                <w:rFonts w:ascii="Book Antiqua" w:hAnsi="Book Antiqua" w:cs="Book Antiqua"/>
                <w:b/>
                <w:i/>
                <w:iCs/>
              </w:rPr>
              <w:t>n</w:t>
            </w:r>
            <w:r>
              <w:rPr>
                <w:rFonts w:ascii="Book Antiqua" w:eastAsia="宋体" w:hAnsi="Book Antiqua" w:cs="Book Antiqua"/>
                <w:b/>
                <w:i/>
                <w:iCs/>
                <w:lang w:eastAsia="zh-CN"/>
              </w:rPr>
              <w:t xml:space="preserve"> </w:t>
            </w:r>
            <w:r>
              <w:rPr>
                <w:rFonts w:ascii="Book Antiqua" w:hAnsi="Book Antiqua" w:cs="Book Antiqua"/>
                <w:b/>
              </w:rPr>
              <w:t>=</w:t>
            </w:r>
            <w:r>
              <w:rPr>
                <w:rFonts w:ascii="Book Antiqua" w:eastAsia="宋体" w:hAnsi="Book Antiqua" w:cs="Book Antiqua"/>
                <w:b/>
                <w:lang w:eastAsia="zh-CN"/>
              </w:rPr>
              <w:t xml:space="preserve"> </w:t>
            </w:r>
            <w:r>
              <w:rPr>
                <w:rFonts w:ascii="Book Antiqua" w:hAnsi="Book Antiqua" w:cs="Book Antiqua"/>
                <w:b/>
              </w:rPr>
              <w:t>178)</w:t>
            </w:r>
          </w:p>
        </w:tc>
        <w:tc>
          <w:tcPr>
            <w:tcW w:w="1559" w:type="dxa"/>
            <w:tcBorders>
              <w:bottom w:val="single" w:sz="4" w:space="0" w:color="auto"/>
            </w:tcBorders>
            <w:shd w:val="clear" w:color="auto" w:fill="auto"/>
          </w:tcPr>
          <w:p w14:paraId="1880F38C" w14:textId="77777777" w:rsidR="00326869" w:rsidRDefault="008967A2">
            <w:pPr>
              <w:adjustRightInd w:val="0"/>
              <w:snapToGrid w:val="0"/>
              <w:spacing w:line="360" w:lineRule="auto"/>
              <w:ind w:left="422" w:hanging="422"/>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326869" w14:paraId="65445CB7" w14:textId="77777777">
        <w:tc>
          <w:tcPr>
            <w:tcW w:w="3085" w:type="dxa"/>
            <w:tcBorders>
              <w:top w:val="single" w:sz="4" w:space="0" w:color="auto"/>
            </w:tcBorders>
            <w:shd w:val="clear" w:color="auto" w:fill="auto"/>
            <w:vAlign w:val="center"/>
          </w:tcPr>
          <w:p w14:paraId="37A3E9D1"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rPr>
              <w:t>Age, yr</w:t>
            </w:r>
          </w:p>
        </w:tc>
        <w:tc>
          <w:tcPr>
            <w:tcW w:w="2302" w:type="dxa"/>
            <w:tcBorders>
              <w:top w:val="single" w:sz="4" w:space="0" w:color="auto"/>
            </w:tcBorders>
            <w:shd w:val="clear" w:color="auto" w:fill="auto"/>
          </w:tcPr>
          <w:p w14:paraId="264DB81E"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36.0</w:t>
            </w:r>
            <w:r>
              <w:rPr>
                <w:rFonts w:ascii="Book Antiqua" w:eastAsia="宋体" w:hAnsi="Book Antiqua" w:cs="Book Antiqua"/>
                <w:lang w:eastAsia="zh-CN"/>
              </w:rPr>
              <w:t xml:space="preserve"> </w:t>
            </w:r>
            <w:r>
              <w:rPr>
                <w:rFonts w:ascii="Book Antiqua" w:hAnsi="Book Antiqua" w:cs="Book Antiqua"/>
              </w:rPr>
              <w:t>(29.5, 43.0)</w:t>
            </w:r>
          </w:p>
        </w:tc>
        <w:tc>
          <w:tcPr>
            <w:tcW w:w="2410" w:type="dxa"/>
            <w:tcBorders>
              <w:top w:val="single" w:sz="4" w:space="0" w:color="auto"/>
            </w:tcBorders>
            <w:shd w:val="clear" w:color="auto" w:fill="auto"/>
          </w:tcPr>
          <w:p w14:paraId="0E9D0B6D"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32.0</w:t>
            </w:r>
            <w:r>
              <w:rPr>
                <w:rFonts w:ascii="Book Antiqua" w:eastAsia="宋体" w:hAnsi="Book Antiqua" w:cs="Book Antiqua"/>
                <w:lang w:eastAsia="zh-CN"/>
              </w:rPr>
              <w:t xml:space="preserve"> </w:t>
            </w:r>
            <w:r>
              <w:rPr>
                <w:rFonts w:ascii="Book Antiqua" w:hAnsi="Book Antiqua" w:cs="Book Antiqua"/>
              </w:rPr>
              <w:t>(28.0, 38.0)</w:t>
            </w:r>
          </w:p>
        </w:tc>
        <w:tc>
          <w:tcPr>
            <w:tcW w:w="1559" w:type="dxa"/>
            <w:tcBorders>
              <w:top w:val="single" w:sz="4" w:space="0" w:color="auto"/>
            </w:tcBorders>
            <w:shd w:val="clear" w:color="auto" w:fill="auto"/>
          </w:tcPr>
          <w:p w14:paraId="39CC14BD"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0.215</w:t>
            </w:r>
          </w:p>
        </w:tc>
      </w:tr>
      <w:tr w:rsidR="00326869" w14:paraId="2DE11C35" w14:textId="77777777">
        <w:tc>
          <w:tcPr>
            <w:tcW w:w="3085" w:type="dxa"/>
            <w:shd w:val="clear" w:color="auto" w:fill="auto"/>
            <w:vAlign w:val="center"/>
          </w:tcPr>
          <w:p w14:paraId="0AA5D251"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rPr>
              <w:t>Gender, male:female</w:t>
            </w:r>
          </w:p>
        </w:tc>
        <w:tc>
          <w:tcPr>
            <w:tcW w:w="2302" w:type="dxa"/>
            <w:shd w:val="clear" w:color="auto" w:fill="auto"/>
          </w:tcPr>
          <w:p w14:paraId="16822E3E"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eastAsia="宋体" w:hAnsi="Book Antiqua" w:cs="Book Antiqua" w:hint="eastAsia"/>
                <w:lang w:eastAsia="zh-CN"/>
              </w:rPr>
              <w:t>:</w:t>
            </w:r>
            <w:r>
              <w:rPr>
                <w:rFonts w:ascii="Book Antiqua" w:eastAsia="宋体" w:hAnsi="Book Antiqua" w:cs="Book Antiqua"/>
                <w:lang w:eastAsia="zh-CN"/>
              </w:rPr>
              <w:t xml:space="preserve"> 15</w:t>
            </w:r>
          </w:p>
        </w:tc>
        <w:tc>
          <w:tcPr>
            <w:tcW w:w="2410" w:type="dxa"/>
            <w:shd w:val="clear" w:color="auto" w:fill="auto"/>
          </w:tcPr>
          <w:p w14:paraId="1B34B893"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71</w:t>
            </w:r>
            <w:r>
              <w:rPr>
                <w:rFonts w:ascii="Book Antiqua" w:eastAsia="宋体" w:hAnsi="Book Antiqua" w:cs="Book Antiqua" w:hint="eastAsia"/>
                <w:lang w:eastAsia="zh-CN"/>
              </w:rPr>
              <w:t xml:space="preserve"> : </w:t>
            </w:r>
            <w:r>
              <w:rPr>
                <w:rFonts w:ascii="Book Antiqua" w:eastAsia="宋体" w:hAnsi="Book Antiqua" w:cs="Book Antiqua"/>
                <w:lang w:eastAsia="zh-CN"/>
              </w:rPr>
              <w:t>107</w:t>
            </w:r>
          </w:p>
        </w:tc>
        <w:tc>
          <w:tcPr>
            <w:tcW w:w="1559" w:type="dxa"/>
            <w:shd w:val="clear" w:color="auto" w:fill="auto"/>
          </w:tcPr>
          <w:p w14:paraId="50998DC8"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0.991</w:t>
            </w:r>
          </w:p>
        </w:tc>
      </w:tr>
      <w:tr w:rsidR="00326869" w14:paraId="3B8B25B7" w14:textId="77777777">
        <w:tc>
          <w:tcPr>
            <w:tcW w:w="3085" w:type="dxa"/>
            <w:shd w:val="clear" w:color="auto" w:fill="auto"/>
            <w:vAlign w:val="center"/>
          </w:tcPr>
          <w:p w14:paraId="3003DBF8" w14:textId="77777777" w:rsidR="00326869" w:rsidRDefault="008967A2">
            <w:pPr>
              <w:adjustRightInd w:val="0"/>
              <w:snapToGrid w:val="0"/>
              <w:spacing w:line="360" w:lineRule="auto"/>
              <w:ind w:left="34" w:hanging="34"/>
              <w:jc w:val="both"/>
              <w:rPr>
                <w:rFonts w:ascii="Book Antiqua" w:hAnsi="Book Antiqua" w:cs="Book Antiqua"/>
              </w:rPr>
            </w:pPr>
            <w:r>
              <w:rPr>
                <w:rFonts w:ascii="Book Antiqua" w:hAnsi="Book Antiqua"/>
              </w:rPr>
              <w:t>Body mass index, kg/m</w:t>
            </w:r>
            <w:r>
              <w:rPr>
                <w:rFonts w:ascii="Book Antiqua" w:hAnsi="Book Antiqua"/>
                <w:vertAlign w:val="superscript"/>
              </w:rPr>
              <w:t>2</w:t>
            </w:r>
            <w:r>
              <w:rPr>
                <w:rFonts w:ascii="Book Antiqua" w:eastAsiaTheme="minorEastAsia" w:hAnsi="Book Antiqua"/>
                <w:vertAlign w:val="superscript"/>
                <w:lang w:eastAsia="zh-CN"/>
              </w:rPr>
              <w:t>a</w:t>
            </w:r>
          </w:p>
        </w:tc>
        <w:tc>
          <w:tcPr>
            <w:tcW w:w="2302" w:type="dxa"/>
            <w:shd w:val="clear" w:color="auto" w:fill="auto"/>
          </w:tcPr>
          <w:p w14:paraId="1F1A9435"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22.31</w:t>
            </w:r>
            <w:r>
              <w:rPr>
                <w:rFonts w:ascii="Book Antiqua" w:eastAsia="宋体" w:hAnsi="Book Antiqua" w:cs="Book Antiqua"/>
                <w:lang w:eastAsia="zh-CN"/>
              </w:rPr>
              <w:t xml:space="preserve"> </w:t>
            </w:r>
            <w:r>
              <w:rPr>
                <w:rFonts w:ascii="Book Antiqua" w:hAnsi="Book Antiqua" w:cs="Book Antiqua"/>
              </w:rPr>
              <w:t>(21.22, 23.40)</w:t>
            </w:r>
            <w:r>
              <w:rPr>
                <w:rFonts w:ascii="Book Antiqua" w:hAnsi="Book Antiqua" w:cs="Book Antiqua"/>
                <w:vertAlign w:val="superscript"/>
              </w:rPr>
              <w:t>a</w:t>
            </w:r>
          </w:p>
        </w:tc>
        <w:tc>
          <w:tcPr>
            <w:tcW w:w="2410" w:type="dxa"/>
            <w:shd w:val="clear" w:color="auto" w:fill="auto"/>
          </w:tcPr>
          <w:p w14:paraId="59B48A4C"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23.50</w:t>
            </w:r>
            <w:r>
              <w:rPr>
                <w:rFonts w:ascii="Book Antiqua" w:eastAsia="宋体" w:hAnsi="Book Antiqua" w:cs="Book Antiqua"/>
                <w:lang w:eastAsia="zh-CN"/>
              </w:rPr>
              <w:t xml:space="preserve"> </w:t>
            </w:r>
            <w:r>
              <w:rPr>
                <w:rFonts w:ascii="Book Antiqua" w:hAnsi="Book Antiqua" w:cs="Book Antiqua"/>
              </w:rPr>
              <w:t>(21.3, 26.2)</w:t>
            </w:r>
          </w:p>
        </w:tc>
        <w:tc>
          <w:tcPr>
            <w:tcW w:w="1559" w:type="dxa"/>
            <w:shd w:val="clear" w:color="auto" w:fill="auto"/>
          </w:tcPr>
          <w:p w14:paraId="7E2A65AA"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0.033</w:t>
            </w:r>
          </w:p>
        </w:tc>
      </w:tr>
      <w:tr w:rsidR="00326869" w14:paraId="149DEEAB" w14:textId="77777777">
        <w:trPr>
          <w:trHeight w:val="262"/>
        </w:trPr>
        <w:tc>
          <w:tcPr>
            <w:tcW w:w="3085" w:type="dxa"/>
            <w:tcBorders>
              <w:bottom w:val="nil"/>
            </w:tcBorders>
            <w:shd w:val="clear" w:color="auto" w:fill="auto"/>
          </w:tcPr>
          <w:p w14:paraId="6432BA2A"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Level of education</w:t>
            </w:r>
            <w:r>
              <w:rPr>
                <w:rFonts w:ascii="Book Antiqua" w:hAnsi="Book Antiqua" w:cs="Book Antiqua"/>
                <w:vertAlign w:val="superscript"/>
              </w:rPr>
              <w:t>a</w:t>
            </w:r>
          </w:p>
        </w:tc>
        <w:tc>
          <w:tcPr>
            <w:tcW w:w="2302" w:type="dxa"/>
            <w:tcBorders>
              <w:bottom w:val="nil"/>
            </w:tcBorders>
            <w:shd w:val="clear" w:color="auto" w:fill="auto"/>
          </w:tcPr>
          <w:p w14:paraId="091CD18D" w14:textId="77777777" w:rsidR="00326869" w:rsidRDefault="00326869">
            <w:pPr>
              <w:adjustRightInd w:val="0"/>
              <w:snapToGrid w:val="0"/>
              <w:spacing w:line="360" w:lineRule="auto"/>
              <w:ind w:left="420" w:hanging="420"/>
              <w:jc w:val="both"/>
              <w:rPr>
                <w:rFonts w:ascii="Book Antiqua" w:hAnsi="Book Antiqua" w:cs="Book Antiqua"/>
              </w:rPr>
            </w:pPr>
          </w:p>
        </w:tc>
        <w:tc>
          <w:tcPr>
            <w:tcW w:w="2410" w:type="dxa"/>
            <w:tcBorders>
              <w:bottom w:val="nil"/>
            </w:tcBorders>
            <w:shd w:val="clear" w:color="auto" w:fill="auto"/>
          </w:tcPr>
          <w:p w14:paraId="319FBE1A" w14:textId="77777777" w:rsidR="00326869" w:rsidRDefault="00326869">
            <w:pPr>
              <w:adjustRightInd w:val="0"/>
              <w:snapToGrid w:val="0"/>
              <w:spacing w:line="360" w:lineRule="auto"/>
              <w:jc w:val="both"/>
              <w:rPr>
                <w:rFonts w:ascii="Book Antiqua" w:hAnsi="Book Antiqua" w:cs="Book Antiqua"/>
              </w:rPr>
            </w:pPr>
          </w:p>
        </w:tc>
        <w:tc>
          <w:tcPr>
            <w:tcW w:w="1559" w:type="dxa"/>
            <w:tcBorders>
              <w:bottom w:val="nil"/>
            </w:tcBorders>
            <w:shd w:val="clear" w:color="auto" w:fill="auto"/>
          </w:tcPr>
          <w:p w14:paraId="584CC7E8"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0.007</w:t>
            </w:r>
          </w:p>
        </w:tc>
      </w:tr>
      <w:tr w:rsidR="00326869" w14:paraId="2A60E1C8" w14:textId="77777777">
        <w:trPr>
          <w:trHeight w:val="472"/>
        </w:trPr>
        <w:tc>
          <w:tcPr>
            <w:tcW w:w="3085" w:type="dxa"/>
            <w:tcBorders>
              <w:top w:val="nil"/>
              <w:bottom w:val="nil"/>
            </w:tcBorders>
            <w:shd w:val="clear" w:color="auto" w:fill="auto"/>
          </w:tcPr>
          <w:p w14:paraId="09D9D25E"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Junior middle school</w:t>
            </w:r>
          </w:p>
        </w:tc>
        <w:tc>
          <w:tcPr>
            <w:tcW w:w="2302" w:type="dxa"/>
            <w:tcBorders>
              <w:top w:val="nil"/>
              <w:bottom w:val="nil"/>
            </w:tcBorders>
            <w:shd w:val="clear" w:color="auto" w:fill="auto"/>
          </w:tcPr>
          <w:p w14:paraId="04681520"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2</w:t>
            </w:r>
            <w:r>
              <w:rPr>
                <w:rFonts w:ascii="Book Antiqua" w:eastAsia="宋体" w:hAnsi="Book Antiqua" w:cs="Book Antiqua"/>
                <w:lang w:eastAsia="zh-CN"/>
              </w:rPr>
              <w:t xml:space="preserve"> </w:t>
            </w:r>
            <w:r>
              <w:rPr>
                <w:rFonts w:ascii="Book Antiqua" w:hAnsi="Book Antiqua" w:cs="Book Antiqua"/>
              </w:rPr>
              <w:t>(8.0)</w:t>
            </w:r>
          </w:p>
        </w:tc>
        <w:tc>
          <w:tcPr>
            <w:tcW w:w="2410" w:type="dxa"/>
            <w:tcBorders>
              <w:top w:val="nil"/>
              <w:bottom w:val="nil"/>
            </w:tcBorders>
            <w:shd w:val="clear" w:color="auto" w:fill="auto"/>
          </w:tcPr>
          <w:p w14:paraId="27FF3036"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(2.8)</w:t>
            </w:r>
          </w:p>
        </w:tc>
        <w:tc>
          <w:tcPr>
            <w:tcW w:w="1559" w:type="dxa"/>
            <w:tcBorders>
              <w:top w:val="nil"/>
              <w:bottom w:val="nil"/>
            </w:tcBorders>
            <w:shd w:val="clear" w:color="auto" w:fill="auto"/>
          </w:tcPr>
          <w:p w14:paraId="03E95B51"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1DF2EFF4" w14:textId="77777777">
        <w:trPr>
          <w:trHeight w:val="240"/>
        </w:trPr>
        <w:tc>
          <w:tcPr>
            <w:tcW w:w="3085" w:type="dxa"/>
            <w:tcBorders>
              <w:top w:val="nil"/>
              <w:bottom w:val="nil"/>
            </w:tcBorders>
            <w:shd w:val="clear" w:color="auto" w:fill="auto"/>
          </w:tcPr>
          <w:p w14:paraId="61C287B3"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Senior middle school</w:t>
            </w:r>
          </w:p>
        </w:tc>
        <w:tc>
          <w:tcPr>
            <w:tcW w:w="2302" w:type="dxa"/>
            <w:tcBorders>
              <w:top w:val="nil"/>
              <w:bottom w:val="nil"/>
            </w:tcBorders>
            <w:shd w:val="clear" w:color="auto" w:fill="auto"/>
          </w:tcPr>
          <w:p w14:paraId="7EDCDA41"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5</w:t>
            </w:r>
            <w:r>
              <w:rPr>
                <w:rFonts w:ascii="Book Antiqua" w:eastAsia="宋体" w:hAnsi="Book Antiqua" w:cs="Book Antiqua"/>
                <w:lang w:eastAsia="zh-CN"/>
              </w:rPr>
              <w:t xml:space="preserve"> </w:t>
            </w:r>
            <w:r>
              <w:rPr>
                <w:rFonts w:ascii="Book Antiqua" w:hAnsi="Book Antiqua" w:cs="Book Antiqua"/>
              </w:rPr>
              <w:t>(20.0)</w:t>
            </w:r>
          </w:p>
        </w:tc>
        <w:tc>
          <w:tcPr>
            <w:tcW w:w="2410" w:type="dxa"/>
            <w:tcBorders>
              <w:top w:val="nil"/>
              <w:bottom w:val="nil"/>
            </w:tcBorders>
            <w:shd w:val="clear" w:color="auto" w:fill="auto"/>
          </w:tcPr>
          <w:p w14:paraId="79ADF5F5"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46</w:t>
            </w:r>
            <w:r>
              <w:rPr>
                <w:rFonts w:ascii="Book Antiqua" w:eastAsia="宋体" w:hAnsi="Book Antiqua" w:cs="Book Antiqua"/>
                <w:lang w:eastAsia="zh-CN"/>
              </w:rPr>
              <w:t xml:space="preserve"> </w:t>
            </w:r>
            <w:r>
              <w:rPr>
                <w:rFonts w:ascii="Book Antiqua" w:hAnsi="Book Antiqua" w:cs="Book Antiqua"/>
              </w:rPr>
              <w:t>(25.8)</w:t>
            </w:r>
          </w:p>
        </w:tc>
        <w:tc>
          <w:tcPr>
            <w:tcW w:w="1559" w:type="dxa"/>
            <w:tcBorders>
              <w:top w:val="nil"/>
              <w:bottom w:val="nil"/>
            </w:tcBorders>
            <w:shd w:val="clear" w:color="auto" w:fill="auto"/>
          </w:tcPr>
          <w:p w14:paraId="21C1AC12"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323C7F0C" w14:textId="77777777">
        <w:trPr>
          <w:trHeight w:val="434"/>
        </w:trPr>
        <w:tc>
          <w:tcPr>
            <w:tcW w:w="3085" w:type="dxa"/>
            <w:tcBorders>
              <w:top w:val="nil"/>
              <w:bottom w:val="nil"/>
            </w:tcBorders>
            <w:shd w:val="clear" w:color="auto" w:fill="auto"/>
          </w:tcPr>
          <w:p w14:paraId="0BEC2D13"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Undergraduate</w:t>
            </w:r>
          </w:p>
        </w:tc>
        <w:tc>
          <w:tcPr>
            <w:tcW w:w="2302" w:type="dxa"/>
            <w:tcBorders>
              <w:top w:val="nil"/>
              <w:bottom w:val="nil"/>
            </w:tcBorders>
            <w:shd w:val="clear" w:color="auto" w:fill="auto"/>
          </w:tcPr>
          <w:p w14:paraId="7E89E5AD"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10</w:t>
            </w:r>
            <w:r>
              <w:rPr>
                <w:rFonts w:ascii="Book Antiqua" w:eastAsia="宋体" w:hAnsi="Book Antiqua" w:cs="Book Antiqua"/>
                <w:lang w:eastAsia="zh-CN"/>
              </w:rPr>
              <w:t xml:space="preserve"> </w:t>
            </w:r>
            <w:r>
              <w:rPr>
                <w:rFonts w:ascii="Book Antiqua" w:hAnsi="Book Antiqua" w:cs="Book Antiqua"/>
              </w:rPr>
              <w:t>(40.0)</w:t>
            </w:r>
          </w:p>
        </w:tc>
        <w:tc>
          <w:tcPr>
            <w:tcW w:w="2410" w:type="dxa"/>
            <w:tcBorders>
              <w:top w:val="nil"/>
              <w:bottom w:val="nil"/>
            </w:tcBorders>
            <w:shd w:val="clear" w:color="auto" w:fill="auto"/>
          </w:tcPr>
          <w:p w14:paraId="0B3D0B65"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110</w:t>
            </w:r>
            <w:r>
              <w:rPr>
                <w:rFonts w:ascii="Book Antiqua" w:eastAsia="宋体" w:hAnsi="Book Antiqua" w:cs="Book Antiqua"/>
                <w:lang w:eastAsia="zh-CN"/>
              </w:rPr>
              <w:t xml:space="preserve"> </w:t>
            </w:r>
            <w:r>
              <w:rPr>
                <w:rFonts w:ascii="Book Antiqua" w:hAnsi="Book Antiqua" w:cs="Book Antiqua"/>
              </w:rPr>
              <w:t>(61.8)</w:t>
            </w:r>
          </w:p>
        </w:tc>
        <w:tc>
          <w:tcPr>
            <w:tcW w:w="1559" w:type="dxa"/>
            <w:tcBorders>
              <w:top w:val="nil"/>
              <w:bottom w:val="nil"/>
            </w:tcBorders>
            <w:shd w:val="clear" w:color="auto" w:fill="auto"/>
          </w:tcPr>
          <w:p w14:paraId="3FEAEABF"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31A6D5CD" w14:textId="77777777">
        <w:trPr>
          <w:trHeight w:val="439"/>
        </w:trPr>
        <w:tc>
          <w:tcPr>
            <w:tcW w:w="3085" w:type="dxa"/>
            <w:tcBorders>
              <w:top w:val="nil"/>
              <w:bottom w:val="nil"/>
            </w:tcBorders>
            <w:shd w:val="clear" w:color="auto" w:fill="auto"/>
          </w:tcPr>
          <w:p w14:paraId="55E2CB25"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Master degree or above</w:t>
            </w:r>
          </w:p>
        </w:tc>
        <w:tc>
          <w:tcPr>
            <w:tcW w:w="2302" w:type="dxa"/>
            <w:tcBorders>
              <w:top w:val="nil"/>
              <w:bottom w:val="nil"/>
            </w:tcBorders>
            <w:shd w:val="clear" w:color="auto" w:fill="auto"/>
          </w:tcPr>
          <w:p w14:paraId="789837D5"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8</w:t>
            </w:r>
            <w:r>
              <w:rPr>
                <w:rFonts w:ascii="Book Antiqua" w:eastAsia="宋体" w:hAnsi="Book Antiqua" w:cs="Book Antiqua"/>
                <w:lang w:eastAsia="zh-CN"/>
              </w:rPr>
              <w:t xml:space="preserve"> </w:t>
            </w:r>
            <w:r>
              <w:rPr>
                <w:rFonts w:ascii="Book Antiqua" w:hAnsi="Book Antiqua" w:cs="Book Antiqua"/>
              </w:rPr>
              <w:t>(32)</w:t>
            </w:r>
          </w:p>
        </w:tc>
        <w:tc>
          <w:tcPr>
            <w:tcW w:w="2410" w:type="dxa"/>
            <w:tcBorders>
              <w:top w:val="nil"/>
              <w:bottom w:val="nil"/>
            </w:tcBorders>
            <w:shd w:val="clear" w:color="auto" w:fill="auto"/>
          </w:tcPr>
          <w:p w14:paraId="02A2EE14"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17</w:t>
            </w:r>
            <w:r>
              <w:rPr>
                <w:rFonts w:ascii="Book Antiqua" w:eastAsia="宋体" w:hAnsi="Book Antiqua" w:cs="Book Antiqua"/>
                <w:lang w:eastAsia="zh-CN"/>
              </w:rPr>
              <w:t xml:space="preserve"> </w:t>
            </w:r>
            <w:r>
              <w:rPr>
                <w:rFonts w:ascii="Book Antiqua" w:hAnsi="Book Antiqua" w:cs="Book Antiqua"/>
              </w:rPr>
              <w:t>(9.6)</w:t>
            </w:r>
          </w:p>
        </w:tc>
        <w:tc>
          <w:tcPr>
            <w:tcW w:w="1559" w:type="dxa"/>
            <w:tcBorders>
              <w:top w:val="nil"/>
              <w:bottom w:val="nil"/>
            </w:tcBorders>
            <w:shd w:val="clear" w:color="auto" w:fill="auto"/>
          </w:tcPr>
          <w:p w14:paraId="3F9426F2"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3E0BA560" w14:textId="77777777">
        <w:trPr>
          <w:trHeight w:val="432"/>
        </w:trPr>
        <w:tc>
          <w:tcPr>
            <w:tcW w:w="3085" w:type="dxa"/>
            <w:tcBorders>
              <w:top w:val="nil"/>
              <w:bottom w:val="nil"/>
            </w:tcBorders>
            <w:shd w:val="clear" w:color="auto" w:fill="auto"/>
          </w:tcPr>
          <w:p w14:paraId="6864F9AE"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Drinking</w:t>
            </w:r>
          </w:p>
        </w:tc>
        <w:tc>
          <w:tcPr>
            <w:tcW w:w="2302" w:type="dxa"/>
            <w:tcBorders>
              <w:top w:val="nil"/>
              <w:bottom w:val="nil"/>
            </w:tcBorders>
            <w:shd w:val="clear" w:color="auto" w:fill="auto"/>
          </w:tcPr>
          <w:p w14:paraId="04CB6ABF" w14:textId="77777777" w:rsidR="00326869" w:rsidRDefault="00326869">
            <w:pPr>
              <w:adjustRightInd w:val="0"/>
              <w:snapToGrid w:val="0"/>
              <w:spacing w:line="360" w:lineRule="auto"/>
              <w:ind w:left="420" w:hanging="420"/>
              <w:jc w:val="both"/>
              <w:rPr>
                <w:rFonts w:ascii="Book Antiqua" w:hAnsi="Book Antiqua" w:cs="Book Antiqua"/>
              </w:rPr>
            </w:pPr>
          </w:p>
        </w:tc>
        <w:tc>
          <w:tcPr>
            <w:tcW w:w="2410" w:type="dxa"/>
            <w:tcBorders>
              <w:top w:val="nil"/>
              <w:bottom w:val="nil"/>
            </w:tcBorders>
            <w:shd w:val="clear" w:color="auto" w:fill="auto"/>
          </w:tcPr>
          <w:p w14:paraId="0ACACF65" w14:textId="77777777" w:rsidR="00326869" w:rsidRDefault="00326869">
            <w:pPr>
              <w:adjustRightInd w:val="0"/>
              <w:snapToGrid w:val="0"/>
              <w:spacing w:line="360" w:lineRule="auto"/>
              <w:ind w:left="420" w:hanging="420"/>
              <w:jc w:val="both"/>
              <w:rPr>
                <w:rFonts w:ascii="Book Antiqua" w:hAnsi="Book Antiqua" w:cs="Book Antiqua"/>
              </w:rPr>
            </w:pPr>
          </w:p>
        </w:tc>
        <w:tc>
          <w:tcPr>
            <w:tcW w:w="1559" w:type="dxa"/>
            <w:tcBorders>
              <w:top w:val="nil"/>
              <w:bottom w:val="nil"/>
            </w:tcBorders>
            <w:shd w:val="clear" w:color="auto" w:fill="auto"/>
          </w:tcPr>
          <w:p w14:paraId="21831D66"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0.699</w:t>
            </w:r>
          </w:p>
        </w:tc>
      </w:tr>
      <w:tr w:rsidR="00326869" w14:paraId="404B8726" w14:textId="77777777">
        <w:trPr>
          <w:trHeight w:val="262"/>
        </w:trPr>
        <w:tc>
          <w:tcPr>
            <w:tcW w:w="3085" w:type="dxa"/>
            <w:tcBorders>
              <w:top w:val="nil"/>
              <w:bottom w:val="nil"/>
            </w:tcBorders>
            <w:shd w:val="clear" w:color="auto" w:fill="auto"/>
          </w:tcPr>
          <w:p w14:paraId="5FD42D1D"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Yes</w:t>
            </w:r>
          </w:p>
        </w:tc>
        <w:tc>
          <w:tcPr>
            <w:tcW w:w="2302" w:type="dxa"/>
            <w:tcBorders>
              <w:top w:val="nil"/>
              <w:bottom w:val="nil"/>
            </w:tcBorders>
            <w:shd w:val="clear" w:color="auto" w:fill="auto"/>
          </w:tcPr>
          <w:p w14:paraId="69D3982F"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8</w:t>
            </w:r>
            <w:r>
              <w:rPr>
                <w:rFonts w:ascii="Book Antiqua" w:eastAsia="宋体" w:hAnsi="Book Antiqua" w:cs="Book Antiqua"/>
                <w:lang w:eastAsia="zh-CN"/>
              </w:rPr>
              <w:t xml:space="preserve"> </w:t>
            </w:r>
            <w:r>
              <w:rPr>
                <w:rFonts w:ascii="Book Antiqua" w:hAnsi="Book Antiqua" w:cs="Book Antiqua"/>
              </w:rPr>
              <w:t>(32.0)</w:t>
            </w:r>
          </w:p>
        </w:tc>
        <w:tc>
          <w:tcPr>
            <w:tcW w:w="2410" w:type="dxa"/>
            <w:tcBorders>
              <w:top w:val="nil"/>
              <w:bottom w:val="nil"/>
            </w:tcBorders>
            <w:shd w:val="clear" w:color="auto" w:fill="auto"/>
          </w:tcPr>
          <w:p w14:paraId="75823D6E"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64</w:t>
            </w:r>
            <w:r>
              <w:rPr>
                <w:rFonts w:ascii="Book Antiqua" w:eastAsia="宋体" w:hAnsi="Book Antiqua" w:cs="Book Antiqua"/>
                <w:lang w:eastAsia="zh-CN"/>
              </w:rPr>
              <w:t xml:space="preserve"> </w:t>
            </w:r>
            <w:r>
              <w:rPr>
                <w:rFonts w:ascii="Book Antiqua" w:hAnsi="Book Antiqua" w:cs="Book Antiqua"/>
              </w:rPr>
              <w:t>(36.0)</w:t>
            </w:r>
          </w:p>
        </w:tc>
        <w:tc>
          <w:tcPr>
            <w:tcW w:w="1559" w:type="dxa"/>
            <w:tcBorders>
              <w:top w:val="nil"/>
              <w:bottom w:val="nil"/>
            </w:tcBorders>
            <w:shd w:val="clear" w:color="auto" w:fill="auto"/>
          </w:tcPr>
          <w:p w14:paraId="207B968E"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541BEB3B" w14:textId="77777777">
        <w:trPr>
          <w:trHeight w:val="415"/>
        </w:trPr>
        <w:tc>
          <w:tcPr>
            <w:tcW w:w="3085" w:type="dxa"/>
            <w:tcBorders>
              <w:top w:val="nil"/>
              <w:bottom w:val="nil"/>
            </w:tcBorders>
            <w:shd w:val="clear" w:color="auto" w:fill="auto"/>
          </w:tcPr>
          <w:p w14:paraId="2C8C942C"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tcBorders>
              <w:top w:val="nil"/>
              <w:bottom w:val="nil"/>
            </w:tcBorders>
            <w:shd w:val="clear" w:color="auto" w:fill="auto"/>
          </w:tcPr>
          <w:p w14:paraId="281D2DE2"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17</w:t>
            </w:r>
            <w:r>
              <w:rPr>
                <w:rFonts w:ascii="Book Antiqua" w:eastAsia="宋体" w:hAnsi="Book Antiqua" w:cs="Book Antiqua"/>
                <w:lang w:eastAsia="zh-CN"/>
              </w:rPr>
              <w:t xml:space="preserve"> </w:t>
            </w:r>
            <w:r>
              <w:rPr>
                <w:rFonts w:ascii="Book Antiqua" w:hAnsi="Book Antiqua" w:cs="Book Antiqua"/>
              </w:rPr>
              <w:t>(68.0)</w:t>
            </w:r>
          </w:p>
        </w:tc>
        <w:tc>
          <w:tcPr>
            <w:tcW w:w="2410" w:type="dxa"/>
            <w:tcBorders>
              <w:top w:val="nil"/>
              <w:bottom w:val="nil"/>
            </w:tcBorders>
            <w:shd w:val="clear" w:color="auto" w:fill="auto"/>
          </w:tcPr>
          <w:p w14:paraId="0275FF09"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114</w:t>
            </w:r>
            <w:r>
              <w:rPr>
                <w:rFonts w:ascii="Book Antiqua" w:eastAsia="宋体" w:hAnsi="Book Antiqua" w:cs="Book Antiqua"/>
                <w:lang w:eastAsia="zh-CN"/>
              </w:rPr>
              <w:t xml:space="preserve"> </w:t>
            </w:r>
            <w:r>
              <w:rPr>
                <w:rFonts w:ascii="Book Antiqua" w:hAnsi="Book Antiqua" w:cs="Book Antiqua"/>
              </w:rPr>
              <w:t>(64.0)</w:t>
            </w:r>
          </w:p>
        </w:tc>
        <w:tc>
          <w:tcPr>
            <w:tcW w:w="1559" w:type="dxa"/>
            <w:tcBorders>
              <w:top w:val="nil"/>
              <w:bottom w:val="nil"/>
            </w:tcBorders>
            <w:shd w:val="clear" w:color="auto" w:fill="auto"/>
          </w:tcPr>
          <w:p w14:paraId="03C5BE23"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1B890CD7" w14:textId="77777777">
        <w:trPr>
          <w:trHeight w:val="415"/>
        </w:trPr>
        <w:tc>
          <w:tcPr>
            <w:tcW w:w="3085" w:type="dxa"/>
            <w:tcBorders>
              <w:top w:val="nil"/>
              <w:bottom w:val="nil"/>
            </w:tcBorders>
            <w:shd w:val="clear" w:color="auto" w:fill="auto"/>
          </w:tcPr>
          <w:p w14:paraId="4E1C0ED7"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Smoking</w:t>
            </w:r>
          </w:p>
        </w:tc>
        <w:tc>
          <w:tcPr>
            <w:tcW w:w="2302" w:type="dxa"/>
            <w:tcBorders>
              <w:top w:val="nil"/>
              <w:bottom w:val="nil"/>
            </w:tcBorders>
            <w:shd w:val="clear" w:color="auto" w:fill="auto"/>
          </w:tcPr>
          <w:p w14:paraId="2572258C" w14:textId="77777777" w:rsidR="00326869" w:rsidRDefault="00326869">
            <w:pPr>
              <w:adjustRightInd w:val="0"/>
              <w:snapToGrid w:val="0"/>
              <w:spacing w:line="360" w:lineRule="auto"/>
              <w:ind w:left="420" w:hanging="420"/>
              <w:jc w:val="both"/>
              <w:rPr>
                <w:rFonts w:ascii="Book Antiqua" w:hAnsi="Book Antiqua" w:cs="Book Antiqua"/>
              </w:rPr>
            </w:pPr>
          </w:p>
        </w:tc>
        <w:tc>
          <w:tcPr>
            <w:tcW w:w="2410" w:type="dxa"/>
            <w:tcBorders>
              <w:top w:val="nil"/>
              <w:bottom w:val="nil"/>
            </w:tcBorders>
            <w:shd w:val="clear" w:color="auto" w:fill="auto"/>
          </w:tcPr>
          <w:p w14:paraId="271744BA" w14:textId="77777777" w:rsidR="00326869" w:rsidRDefault="00326869">
            <w:pPr>
              <w:adjustRightInd w:val="0"/>
              <w:snapToGrid w:val="0"/>
              <w:spacing w:line="360" w:lineRule="auto"/>
              <w:ind w:left="420" w:hanging="420"/>
              <w:jc w:val="both"/>
              <w:rPr>
                <w:rFonts w:ascii="Book Antiqua" w:hAnsi="Book Antiqua" w:cs="Book Antiqua"/>
              </w:rPr>
            </w:pPr>
          </w:p>
        </w:tc>
        <w:tc>
          <w:tcPr>
            <w:tcW w:w="1559" w:type="dxa"/>
            <w:tcBorders>
              <w:top w:val="nil"/>
              <w:bottom w:val="nil"/>
            </w:tcBorders>
            <w:shd w:val="clear" w:color="auto" w:fill="auto"/>
          </w:tcPr>
          <w:p w14:paraId="42B45761" w14:textId="77777777" w:rsidR="00326869" w:rsidRDefault="008967A2">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0.753</w:t>
            </w:r>
          </w:p>
        </w:tc>
      </w:tr>
      <w:tr w:rsidR="00326869" w14:paraId="4E9C2DDF" w14:textId="77777777">
        <w:trPr>
          <w:trHeight w:val="338"/>
        </w:trPr>
        <w:tc>
          <w:tcPr>
            <w:tcW w:w="3085" w:type="dxa"/>
            <w:tcBorders>
              <w:top w:val="nil"/>
              <w:bottom w:val="nil"/>
            </w:tcBorders>
            <w:shd w:val="clear" w:color="auto" w:fill="auto"/>
          </w:tcPr>
          <w:p w14:paraId="73BE5D75"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Yes</w:t>
            </w:r>
          </w:p>
        </w:tc>
        <w:tc>
          <w:tcPr>
            <w:tcW w:w="2302" w:type="dxa"/>
            <w:tcBorders>
              <w:top w:val="nil"/>
              <w:bottom w:val="nil"/>
            </w:tcBorders>
            <w:shd w:val="clear" w:color="auto" w:fill="auto"/>
          </w:tcPr>
          <w:p w14:paraId="69144B09"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6</w:t>
            </w:r>
            <w:r>
              <w:rPr>
                <w:rFonts w:ascii="Book Antiqua" w:eastAsia="宋体" w:hAnsi="Book Antiqua" w:cs="Book Antiqua"/>
                <w:lang w:eastAsia="zh-CN"/>
              </w:rPr>
              <w:t xml:space="preserve"> </w:t>
            </w:r>
            <w:r>
              <w:rPr>
                <w:rFonts w:ascii="Book Antiqua" w:hAnsi="Book Antiqua" w:cs="Book Antiqua"/>
              </w:rPr>
              <w:t>(24.0)</w:t>
            </w:r>
          </w:p>
        </w:tc>
        <w:tc>
          <w:tcPr>
            <w:tcW w:w="2410" w:type="dxa"/>
            <w:tcBorders>
              <w:top w:val="nil"/>
              <w:bottom w:val="nil"/>
            </w:tcBorders>
            <w:shd w:val="clear" w:color="auto" w:fill="auto"/>
          </w:tcPr>
          <w:p w14:paraId="4A8F8A16"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48</w:t>
            </w:r>
            <w:r>
              <w:rPr>
                <w:rFonts w:ascii="Book Antiqua" w:eastAsia="宋体" w:hAnsi="Book Antiqua" w:cs="Book Antiqua"/>
                <w:lang w:eastAsia="zh-CN"/>
              </w:rPr>
              <w:t xml:space="preserve"> </w:t>
            </w:r>
            <w:r>
              <w:rPr>
                <w:rFonts w:ascii="Book Antiqua" w:hAnsi="Book Antiqua" w:cs="Book Antiqua"/>
              </w:rPr>
              <w:t>(27.0)</w:t>
            </w:r>
          </w:p>
        </w:tc>
        <w:tc>
          <w:tcPr>
            <w:tcW w:w="1559" w:type="dxa"/>
            <w:tcBorders>
              <w:top w:val="nil"/>
              <w:bottom w:val="nil"/>
            </w:tcBorders>
            <w:shd w:val="clear" w:color="auto" w:fill="auto"/>
          </w:tcPr>
          <w:p w14:paraId="7FB14475"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20270C56" w14:textId="77777777">
        <w:trPr>
          <w:trHeight w:val="578"/>
        </w:trPr>
        <w:tc>
          <w:tcPr>
            <w:tcW w:w="3085" w:type="dxa"/>
            <w:tcBorders>
              <w:top w:val="nil"/>
              <w:bottom w:val="nil"/>
            </w:tcBorders>
            <w:shd w:val="clear" w:color="auto" w:fill="auto"/>
          </w:tcPr>
          <w:p w14:paraId="5898971B"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tcBorders>
              <w:top w:val="nil"/>
              <w:bottom w:val="nil"/>
            </w:tcBorders>
            <w:shd w:val="clear" w:color="auto" w:fill="auto"/>
          </w:tcPr>
          <w:p w14:paraId="70E9D181"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19</w:t>
            </w:r>
            <w:r>
              <w:rPr>
                <w:rFonts w:ascii="Book Antiqua" w:eastAsia="宋体" w:hAnsi="Book Antiqua" w:cs="Book Antiqua"/>
                <w:lang w:eastAsia="zh-CN"/>
              </w:rPr>
              <w:t xml:space="preserve"> </w:t>
            </w:r>
            <w:r>
              <w:rPr>
                <w:rFonts w:ascii="Book Antiqua" w:hAnsi="Book Antiqua" w:cs="Book Antiqua"/>
              </w:rPr>
              <w:t>(76.0)</w:t>
            </w:r>
          </w:p>
        </w:tc>
        <w:tc>
          <w:tcPr>
            <w:tcW w:w="2410" w:type="dxa"/>
            <w:tcBorders>
              <w:top w:val="nil"/>
              <w:bottom w:val="nil"/>
            </w:tcBorders>
            <w:shd w:val="clear" w:color="auto" w:fill="auto"/>
          </w:tcPr>
          <w:p w14:paraId="551734E1" w14:textId="77777777" w:rsidR="00326869" w:rsidRDefault="008967A2">
            <w:pPr>
              <w:adjustRightInd w:val="0"/>
              <w:snapToGrid w:val="0"/>
              <w:spacing w:line="360" w:lineRule="auto"/>
              <w:ind w:left="420" w:hanging="420"/>
              <w:jc w:val="both"/>
              <w:rPr>
                <w:rFonts w:ascii="Book Antiqua" w:hAnsi="Book Antiqua" w:cs="Book Antiqua"/>
              </w:rPr>
            </w:pPr>
            <w:r>
              <w:rPr>
                <w:rFonts w:ascii="Book Antiqua" w:hAnsi="Book Antiqua" w:cs="Book Antiqua"/>
              </w:rPr>
              <w:t>130</w:t>
            </w:r>
            <w:r>
              <w:rPr>
                <w:rFonts w:ascii="Book Antiqua" w:eastAsia="宋体" w:hAnsi="Book Antiqua" w:cs="Book Antiqua"/>
                <w:lang w:eastAsia="zh-CN"/>
              </w:rPr>
              <w:t xml:space="preserve"> </w:t>
            </w:r>
            <w:r>
              <w:rPr>
                <w:rFonts w:ascii="Book Antiqua" w:hAnsi="Book Antiqua" w:cs="Book Antiqua"/>
              </w:rPr>
              <w:t>(73.0)</w:t>
            </w:r>
          </w:p>
        </w:tc>
        <w:tc>
          <w:tcPr>
            <w:tcW w:w="1559" w:type="dxa"/>
            <w:tcBorders>
              <w:top w:val="nil"/>
              <w:bottom w:val="nil"/>
            </w:tcBorders>
            <w:shd w:val="clear" w:color="auto" w:fill="auto"/>
          </w:tcPr>
          <w:p w14:paraId="76546EAE" w14:textId="77777777" w:rsidR="00326869" w:rsidRDefault="00326869">
            <w:pPr>
              <w:autoSpaceDE w:val="0"/>
              <w:autoSpaceDN w:val="0"/>
              <w:adjustRightInd w:val="0"/>
              <w:snapToGrid w:val="0"/>
              <w:spacing w:line="360" w:lineRule="auto"/>
              <w:ind w:left="400" w:hanging="400"/>
              <w:jc w:val="both"/>
              <w:rPr>
                <w:rFonts w:ascii="Book Antiqua" w:hAnsi="Book Antiqua" w:cs="Book Antiqua"/>
              </w:rPr>
            </w:pPr>
          </w:p>
        </w:tc>
      </w:tr>
      <w:tr w:rsidR="00326869" w14:paraId="1D9B6149" w14:textId="77777777">
        <w:trPr>
          <w:trHeight w:val="789"/>
        </w:trPr>
        <w:tc>
          <w:tcPr>
            <w:tcW w:w="3085" w:type="dxa"/>
            <w:tcBorders>
              <w:top w:val="nil"/>
              <w:bottom w:val="nil"/>
            </w:tcBorders>
            <w:shd w:val="clear" w:color="auto" w:fill="auto"/>
          </w:tcPr>
          <w:p w14:paraId="1511144A"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Predominant bowel pattern</w:t>
            </w:r>
          </w:p>
        </w:tc>
        <w:tc>
          <w:tcPr>
            <w:tcW w:w="2302" w:type="dxa"/>
            <w:tcBorders>
              <w:top w:val="nil"/>
              <w:bottom w:val="nil"/>
            </w:tcBorders>
            <w:shd w:val="clear" w:color="auto" w:fill="auto"/>
          </w:tcPr>
          <w:p w14:paraId="4B441494" w14:textId="77777777" w:rsidR="00326869" w:rsidRDefault="00326869">
            <w:pPr>
              <w:adjustRightInd w:val="0"/>
              <w:snapToGrid w:val="0"/>
              <w:spacing w:line="360" w:lineRule="auto"/>
              <w:jc w:val="both"/>
              <w:rPr>
                <w:rFonts w:ascii="Book Antiqua" w:hAnsi="Book Antiqua" w:cs="Book Antiqua"/>
              </w:rPr>
            </w:pPr>
          </w:p>
          <w:p w14:paraId="0DD6465D" w14:textId="77777777" w:rsidR="00326869" w:rsidRDefault="00326869">
            <w:pPr>
              <w:adjustRightInd w:val="0"/>
              <w:snapToGrid w:val="0"/>
              <w:spacing w:line="360" w:lineRule="auto"/>
              <w:jc w:val="both"/>
              <w:rPr>
                <w:rFonts w:ascii="Book Antiqua" w:hAnsi="Book Antiqua" w:cs="Book Antiqua"/>
              </w:rPr>
            </w:pPr>
          </w:p>
        </w:tc>
        <w:tc>
          <w:tcPr>
            <w:tcW w:w="2410" w:type="dxa"/>
            <w:tcBorders>
              <w:top w:val="nil"/>
              <w:bottom w:val="nil"/>
            </w:tcBorders>
            <w:shd w:val="clear" w:color="auto" w:fill="auto"/>
          </w:tcPr>
          <w:p w14:paraId="70561408" w14:textId="77777777" w:rsidR="00326869" w:rsidRDefault="00326869">
            <w:pPr>
              <w:adjustRightInd w:val="0"/>
              <w:snapToGrid w:val="0"/>
              <w:spacing w:line="360" w:lineRule="auto"/>
              <w:jc w:val="both"/>
              <w:rPr>
                <w:rFonts w:ascii="Book Antiqua" w:hAnsi="Book Antiqua" w:cs="Book Antiqua"/>
              </w:rPr>
            </w:pPr>
          </w:p>
          <w:p w14:paraId="314B643A" w14:textId="77777777" w:rsidR="00326869" w:rsidRDefault="00326869">
            <w:pPr>
              <w:adjustRightInd w:val="0"/>
              <w:snapToGrid w:val="0"/>
              <w:spacing w:line="360" w:lineRule="auto"/>
              <w:jc w:val="both"/>
              <w:rPr>
                <w:rFonts w:ascii="Book Antiqua" w:eastAsia="宋体" w:hAnsi="Book Antiqua" w:cs="Book Antiqua"/>
                <w:lang w:eastAsia="zh-CN"/>
              </w:rPr>
            </w:pPr>
          </w:p>
        </w:tc>
        <w:tc>
          <w:tcPr>
            <w:tcW w:w="1559" w:type="dxa"/>
            <w:tcBorders>
              <w:top w:val="nil"/>
              <w:bottom w:val="nil"/>
            </w:tcBorders>
            <w:shd w:val="clear" w:color="auto" w:fill="auto"/>
          </w:tcPr>
          <w:p w14:paraId="3450DF83" w14:textId="77777777" w:rsidR="00326869" w:rsidRDefault="008967A2">
            <w:pPr>
              <w:autoSpaceDE w:val="0"/>
              <w:autoSpaceDN w:val="0"/>
              <w:adjustRightInd w:val="0"/>
              <w:snapToGrid w:val="0"/>
              <w:spacing w:line="360" w:lineRule="auto"/>
              <w:ind w:left="400" w:hanging="400"/>
              <w:jc w:val="both"/>
              <w:rPr>
                <w:rFonts w:ascii="Book Antiqua" w:eastAsia="宋体" w:hAnsi="Book Antiqua" w:cs="Book Antiqua"/>
                <w:lang w:eastAsia="zh-CN"/>
              </w:rPr>
            </w:pPr>
            <w:r>
              <w:rPr>
                <w:rFonts w:ascii="Book Antiqua" w:eastAsia="宋体" w:hAnsi="Book Antiqua" w:cs="Book Antiqua"/>
                <w:lang w:eastAsia="zh-CN"/>
              </w:rPr>
              <w:t>N/A</w:t>
            </w:r>
          </w:p>
        </w:tc>
      </w:tr>
      <w:tr w:rsidR="00326869" w14:paraId="50891E3C" w14:textId="77777777">
        <w:trPr>
          <w:trHeight w:val="306"/>
        </w:trPr>
        <w:tc>
          <w:tcPr>
            <w:tcW w:w="3085" w:type="dxa"/>
            <w:tcBorders>
              <w:top w:val="nil"/>
              <w:bottom w:val="nil"/>
            </w:tcBorders>
            <w:shd w:val="clear" w:color="auto" w:fill="auto"/>
          </w:tcPr>
          <w:p w14:paraId="6CEFE5F0"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Diarrhea</w:t>
            </w:r>
          </w:p>
        </w:tc>
        <w:tc>
          <w:tcPr>
            <w:tcW w:w="2302" w:type="dxa"/>
            <w:tcBorders>
              <w:top w:val="nil"/>
              <w:bottom w:val="nil"/>
            </w:tcBorders>
            <w:shd w:val="clear" w:color="auto" w:fill="auto"/>
          </w:tcPr>
          <w:p w14:paraId="4A551FC6"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7 (28)</w:t>
            </w:r>
          </w:p>
        </w:tc>
        <w:tc>
          <w:tcPr>
            <w:tcW w:w="2410" w:type="dxa"/>
            <w:tcBorders>
              <w:top w:val="nil"/>
              <w:bottom w:val="nil"/>
            </w:tcBorders>
            <w:shd w:val="clear" w:color="auto" w:fill="auto"/>
          </w:tcPr>
          <w:p w14:paraId="3EB0C4DF" w14:textId="77777777" w:rsidR="00326869" w:rsidRDefault="008967A2">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N/A</w:t>
            </w:r>
          </w:p>
        </w:tc>
        <w:tc>
          <w:tcPr>
            <w:tcW w:w="1559" w:type="dxa"/>
            <w:tcBorders>
              <w:top w:val="nil"/>
              <w:bottom w:val="nil"/>
            </w:tcBorders>
            <w:shd w:val="clear" w:color="auto" w:fill="auto"/>
          </w:tcPr>
          <w:p w14:paraId="1E7D85F7" w14:textId="77777777" w:rsidR="00326869" w:rsidRDefault="00326869">
            <w:pPr>
              <w:autoSpaceDE w:val="0"/>
              <w:autoSpaceDN w:val="0"/>
              <w:adjustRightInd w:val="0"/>
              <w:snapToGrid w:val="0"/>
              <w:spacing w:line="360" w:lineRule="auto"/>
              <w:ind w:left="400" w:hanging="400"/>
              <w:jc w:val="both"/>
              <w:rPr>
                <w:rFonts w:ascii="Book Antiqua" w:eastAsia="宋体" w:hAnsi="Book Antiqua" w:cs="Book Antiqua"/>
                <w:lang w:eastAsia="zh-CN"/>
              </w:rPr>
            </w:pPr>
          </w:p>
        </w:tc>
      </w:tr>
      <w:tr w:rsidR="00326869" w14:paraId="3CB65091" w14:textId="77777777">
        <w:trPr>
          <w:trHeight w:val="294"/>
        </w:trPr>
        <w:tc>
          <w:tcPr>
            <w:tcW w:w="3085" w:type="dxa"/>
            <w:tcBorders>
              <w:top w:val="nil"/>
              <w:bottom w:val="nil"/>
            </w:tcBorders>
            <w:shd w:val="clear" w:color="auto" w:fill="auto"/>
          </w:tcPr>
          <w:p w14:paraId="3759C4E8"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Constipation</w:t>
            </w:r>
          </w:p>
        </w:tc>
        <w:tc>
          <w:tcPr>
            <w:tcW w:w="2302" w:type="dxa"/>
            <w:tcBorders>
              <w:top w:val="nil"/>
              <w:bottom w:val="nil"/>
            </w:tcBorders>
            <w:shd w:val="clear" w:color="auto" w:fill="auto"/>
          </w:tcPr>
          <w:p w14:paraId="09E3BB58"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5 (20)</w:t>
            </w:r>
          </w:p>
        </w:tc>
        <w:tc>
          <w:tcPr>
            <w:tcW w:w="2410" w:type="dxa"/>
            <w:tcBorders>
              <w:top w:val="nil"/>
              <w:bottom w:val="nil"/>
            </w:tcBorders>
            <w:shd w:val="clear" w:color="auto" w:fill="auto"/>
          </w:tcPr>
          <w:p w14:paraId="0096E841" w14:textId="77777777" w:rsidR="00326869" w:rsidRDefault="008967A2">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rPr>
              <w:t>N/A</w:t>
            </w:r>
          </w:p>
        </w:tc>
        <w:tc>
          <w:tcPr>
            <w:tcW w:w="1559" w:type="dxa"/>
            <w:tcBorders>
              <w:top w:val="nil"/>
              <w:bottom w:val="nil"/>
            </w:tcBorders>
            <w:shd w:val="clear" w:color="auto" w:fill="auto"/>
          </w:tcPr>
          <w:p w14:paraId="3858AB74" w14:textId="77777777" w:rsidR="00326869" w:rsidRDefault="00326869">
            <w:pPr>
              <w:autoSpaceDE w:val="0"/>
              <w:autoSpaceDN w:val="0"/>
              <w:adjustRightInd w:val="0"/>
              <w:snapToGrid w:val="0"/>
              <w:spacing w:line="360" w:lineRule="auto"/>
              <w:ind w:left="400" w:hanging="400"/>
              <w:jc w:val="both"/>
              <w:rPr>
                <w:rFonts w:ascii="Book Antiqua" w:eastAsia="宋体" w:hAnsi="Book Antiqua" w:cs="Book Antiqua"/>
                <w:lang w:eastAsia="zh-CN"/>
              </w:rPr>
            </w:pPr>
          </w:p>
        </w:tc>
      </w:tr>
      <w:tr w:rsidR="00326869" w14:paraId="3532E6D6" w14:textId="77777777">
        <w:trPr>
          <w:trHeight w:val="327"/>
        </w:trPr>
        <w:tc>
          <w:tcPr>
            <w:tcW w:w="3085" w:type="dxa"/>
            <w:tcBorders>
              <w:top w:val="nil"/>
              <w:bottom w:val="nil"/>
            </w:tcBorders>
            <w:shd w:val="clear" w:color="auto" w:fill="auto"/>
          </w:tcPr>
          <w:p w14:paraId="393D9E4C"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Mixed</w:t>
            </w:r>
          </w:p>
        </w:tc>
        <w:tc>
          <w:tcPr>
            <w:tcW w:w="2302" w:type="dxa"/>
            <w:tcBorders>
              <w:top w:val="nil"/>
              <w:bottom w:val="nil"/>
            </w:tcBorders>
            <w:shd w:val="clear" w:color="auto" w:fill="auto"/>
          </w:tcPr>
          <w:p w14:paraId="0BEE985D"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9 (36)</w:t>
            </w:r>
          </w:p>
        </w:tc>
        <w:tc>
          <w:tcPr>
            <w:tcW w:w="2410" w:type="dxa"/>
            <w:tcBorders>
              <w:top w:val="nil"/>
              <w:bottom w:val="nil"/>
            </w:tcBorders>
            <w:shd w:val="clear" w:color="auto" w:fill="auto"/>
          </w:tcPr>
          <w:p w14:paraId="5B57D797" w14:textId="77777777" w:rsidR="00326869" w:rsidRDefault="008967A2">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rPr>
              <w:t>N/A</w:t>
            </w:r>
          </w:p>
        </w:tc>
        <w:tc>
          <w:tcPr>
            <w:tcW w:w="1559" w:type="dxa"/>
            <w:tcBorders>
              <w:top w:val="nil"/>
              <w:bottom w:val="nil"/>
            </w:tcBorders>
            <w:shd w:val="clear" w:color="auto" w:fill="auto"/>
          </w:tcPr>
          <w:p w14:paraId="53F69159" w14:textId="77777777" w:rsidR="00326869" w:rsidRDefault="00326869">
            <w:pPr>
              <w:autoSpaceDE w:val="0"/>
              <w:autoSpaceDN w:val="0"/>
              <w:adjustRightInd w:val="0"/>
              <w:snapToGrid w:val="0"/>
              <w:spacing w:line="360" w:lineRule="auto"/>
              <w:ind w:left="400" w:hanging="400"/>
              <w:jc w:val="both"/>
              <w:rPr>
                <w:rFonts w:ascii="Book Antiqua" w:eastAsia="宋体" w:hAnsi="Book Antiqua" w:cs="Book Antiqua"/>
                <w:lang w:eastAsia="zh-CN"/>
              </w:rPr>
            </w:pPr>
          </w:p>
        </w:tc>
      </w:tr>
      <w:tr w:rsidR="00326869" w14:paraId="4FDB9173" w14:textId="77777777">
        <w:trPr>
          <w:trHeight w:val="505"/>
        </w:trPr>
        <w:tc>
          <w:tcPr>
            <w:tcW w:w="3085" w:type="dxa"/>
            <w:tcBorders>
              <w:top w:val="nil"/>
              <w:bottom w:val="nil"/>
            </w:tcBorders>
            <w:shd w:val="clear" w:color="auto" w:fill="auto"/>
          </w:tcPr>
          <w:p w14:paraId="7CCE81F8"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Unclassified</w:t>
            </w:r>
          </w:p>
        </w:tc>
        <w:tc>
          <w:tcPr>
            <w:tcW w:w="2302" w:type="dxa"/>
            <w:tcBorders>
              <w:top w:val="nil"/>
              <w:bottom w:val="nil"/>
            </w:tcBorders>
            <w:shd w:val="clear" w:color="auto" w:fill="auto"/>
          </w:tcPr>
          <w:p w14:paraId="195D0C52" w14:textId="77777777" w:rsidR="00326869" w:rsidRDefault="008967A2">
            <w:pPr>
              <w:adjustRightInd w:val="0"/>
              <w:snapToGrid w:val="0"/>
              <w:spacing w:line="360" w:lineRule="auto"/>
              <w:jc w:val="both"/>
              <w:rPr>
                <w:rFonts w:ascii="Book Antiqua" w:hAnsi="Book Antiqua" w:cs="Book Antiqua"/>
              </w:rPr>
            </w:pPr>
            <w:r>
              <w:rPr>
                <w:rFonts w:ascii="Book Antiqua" w:hAnsi="Book Antiqua" w:cs="Book Antiqua"/>
              </w:rPr>
              <w:t>4 (16)</w:t>
            </w:r>
          </w:p>
        </w:tc>
        <w:tc>
          <w:tcPr>
            <w:tcW w:w="2410" w:type="dxa"/>
            <w:tcBorders>
              <w:top w:val="nil"/>
              <w:bottom w:val="nil"/>
            </w:tcBorders>
            <w:shd w:val="clear" w:color="auto" w:fill="auto"/>
          </w:tcPr>
          <w:p w14:paraId="21AE57C5" w14:textId="77777777" w:rsidR="00326869" w:rsidRDefault="008967A2">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rPr>
              <w:t>N/A</w:t>
            </w:r>
          </w:p>
        </w:tc>
        <w:tc>
          <w:tcPr>
            <w:tcW w:w="1559" w:type="dxa"/>
            <w:tcBorders>
              <w:top w:val="nil"/>
              <w:bottom w:val="nil"/>
            </w:tcBorders>
            <w:shd w:val="clear" w:color="auto" w:fill="auto"/>
          </w:tcPr>
          <w:p w14:paraId="3869D9F6" w14:textId="77777777" w:rsidR="00326869" w:rsidRDefault="00326869">
            <w:pPr>
              <w:autoSpaceDE w:val="0"/>
              <w:autoSpaceDN w:val="0"/>
              <w:adjustRightInd w:val="0"/>
              <w:snapToGrid w:val="0"/>
              <w:spacing w:line="360" w:lineRule="auto"/>
              <w:ind w:left="400" w:hanging="400"/>
              <w:jc w:val="both"/>
              <w:rPr>
                <w:rFonts w:ascii="Book Antiqua" w:eastAsia="宋体" w:hAnsi="Book Antiqua" w:cs="Book Antiqua"/>
                <w:lang w:eastAsia="zh-CN"/>
              </w:rPr>
            </w:pPr>
          </w:p>
        </w:tc>
      </w:tr>
    </w:tbl>
    <w:p w14:paraId="3567D5E0" w14:textId="77777777" w:rsidR="00326869" w:rsidRDefault="008967A2">
      <w:pPr>
        <w:autoSpaceDE w:val="0"/>
        <w:autoSpaceDN w:val="0"/>
        <w:adjustRightInd w:val="0"/>
        <w:snapToGrid w:val="0"/>
        <w:spacing w:line="360" w:lineRule="auto"/>
        <w:jc w:val="both"/>
        <w:rPr>
          <w:rFonts w:ascii="Book Antiqua" w:hAnsi="Book Antiqua" w:cs="Book Antiqua"/>
        </w:rPr>
      </w:pPr>
      <w:bookmarkStart w:id="2" w:name="_Hlk59830771"/>
      <w:r>
        <w:rPr>
          <w:rFonts w:ascii="Book Antiqua" w:hAnsi="Book Antiqua"/>
        </w:rPr>
        <w:t xml:space="preserve">The data are </w:t>
      </w:r>
      <w:r>
        <w:rPr>
          <w:rFonts w:ascii="Book Antiqua" w:hAnsi="Book Antiqua"/>
        </w:rPr>
        <w:t>presented as the median (Q1, Q3) or numbers (percentages).</w:t>
      </w:r>
      <w:r>
        <w:rPr>
          <w:rFonts w:ascii="Book Antiqua" w:eastAsia="宋体" w:hAnsi="Book Antiqua" w:hint="eastAsia"/>
          <w:lang w:eastAsia="zh-CN"/>
        </w:rPr>
        <w:t xml:space="preserve"> </w:t>
      </w:r>
      <w:r>
        <w:rPr>
          <w:rFonts w:ascii="Book Antiqua" w:hAnsi="Book Antiqua" w:cs="Book Antiqua"/>
          <w:vertAlign w:val="superscript"/>
        </w:rPr>
        <w:t>a</w:t>
      </w:r>
      <w:r>
        <w:rPr>
          <w:rFonts w:ascii="Book Antiqua" w:hAnsi="Book Antiqua" w:cs="Book Antiqua"/>
          <w:i/>
          <w:iCs/>
        </w:rPr>
        <w:t>P</w:t>
      </w:r>
      <w:r>
        <w:rPr>
          <w:rFonts w:ascii="Book Antiqua" w:hAnsi="Book Antiqua" w:cs="Book Antiqua"/>
        </w:rPr>
        <w:t xml:space="preserve"> &lt; 0.05 </w:t>
      </w:r>
      <w:r>
        <w:rPr>
          <w:rFonts w:ascii="Book Antiqua" w:hAnsi="Book Antiqua" w:cs="Book Antiqua"/>
          <w:i/>
          <w:iCs/>
        </w:rPr>
        <w:t>vs</w:t>
      </w:r>
      <w:r>
        <w:rPr>
          <w:rFonts w:ascii="Book Antiqua" w:hAnsi="Book Antiqua" w:cs="Book Antiqua"/>
        </w:rPr>
        <w:t xml:space="preserve"> controls. </w:t>
      </w:r>
      <w:r>
        <w:rPr>
          <w:rFonts w:ascii="Book Antiqua" w:eastAsia="宋体" w:hAnsi="Book Antiqua" w:cs="Book Antiqua"/>
          <w:lang w:eastAsia="zh-CN"/>
        </w:rPr>
        <w:t>IBS: Irritable bowel syndrome; N/A</w:t>
      </w:r>
      <w:r>
        <w:rPr>
          <w:rFonts w:ascii="Book Antiqua" w:hAnsi="Book Antiqua" w:cs="Book Antiqua"/>
        </w:rPr>
        <w:t>: Not applicable.</w:t>
      </w:r>
      <w:r>
        <w:rPr>
          <w:rFonts w:ascii="Book Antiqua" w:eastAsia="宋体" w:hAnsi="Book Antiqua" w:cs="Book Antiqua"/>
          <w:lang w:eastAsia="zh-CN"/>
        </w:rPr>
        <w:t xml:space="preserve"> </w:t>
      </w:r>
    </w:p>
    <w:bookmarkEnd w:id="2"/>
    <w:p w14:paraId="6B84B7D5" w14:textId="77777777" w:rsidR="00326869" w:rsidRDefault="008967A2">
      <w:pPr>
        <w:autoSpaceDE w:val="0"/>
        <w:autoSpaceDN w:val="0"/>
        <w:adjustRightInd w:val="0"/>
        <w:snapToGrid w:val="0"/>
        <w:spacing w:line="360" w:lineRule="auto"/>
        <w:rPr>
          <w:rFonts w:ascii="Book Antiqua" w:eastAsia="PMingLiU" w:hAnsi="Book Antiqua" w:cs="Book Antiqua"/>
          <w:b/>
          <w:bCs/>
          <w:color w:val="000000"/>
          <w:lang w:eastAsia="zh-TW"/>
        </w:rPr>
      </w:pPr>
      <w:r>
        <w:rPr>
          <w:rFonts w:ascii="Book Antiqua" w:hAnsi="Book Antiqua" w:cs="Book Antiqua"/>
        </w:rPr>
        <w:br w:type="page"/>
      </w:r>
      <w:r>
        <w:rPr>
          <w:rFonts w:ascii="Book Antiqua" w:eastAsia="PMingLiU" w:hAnsi="Book Antiqua" w:cs="Book Antiqua"/>
          <w:b/>
          <w:bCs/>
          <w:color w:val="000000"/>
          <w:lang w:eastAsia="zh-TW"/>
        </w:rPr>
        <w:lastRenderedPageBreak/>
        <w:t>Table 2 Dietary habits, clinical characteristics, and psychological states of irritable bowel syndrome</w:t>
      </w:r>
      <w:r>
        <w:rPr>
          <w:rFonts w:ascii="Book Antiqua" w:eastAsia="宋体" w:hAnsi="Book Antiqua" w:cs="Book Antiqua"/>
          <w:b/>
          <w:bCs/>
          <w:color w:val="000000"/>
          <w:lang w:eastAsia="zh-CN"/>
        </w:rPr>
        <w:t xml:space="preserve"> </w:t>
      </w:r>
      <w:r>
        <w:rPr>
          <w:rFonts w:ascii="Book Antiqua" w:eastAsia="PMingLiU" w:hAnsi="Book Antiqua" w:cs="Book Antiqua"/>
          <w:b/>
          <w:bCs/>
          <w:color w:val="000000"/>
          <w:lang w:eastAsia="zh-TW"/>
        </w:rPr>
        <w:t>patients and non-</w:t>
      </w:r>
      <w:r>
        <w:rPr>
          <w:rFonts w:ascii="Book Antiqua" w:eastAsia="宋体" w:hAnsi="Book Antiqua" w:cs="Book Antiqua"/>
          <w:b/>
          <w:bCs/>
          <w:color w:val="000000"/>
          <w:lang w:eastAsia="zh-CN"/>
        </w:rPr>
        <w:t>i</w:t>
      </w:r>
      <w:r>
        <w:rPr>
          <w:rFonts w:ascii="Book Antiqua" w:hAnsi="Book Antiqua" w:cs="Book Antiqua"/>
          <w:b/>
          <w:bCs/>
        </w:rPr>
        <w:t>rritable bowel syndrome</w:t>
      </w:r>
      <w:r>
        <w:rPr>
          <w:rFonts w:ascii="Book Antiqua" w:eastAsia="PMingLiU" w:hAnsi="Book Antiqua" w:cs="Book Antiqua"/>
          <w:b/>
          <w:bCs/>
          <w:color w:val="000000"/>
          <w:lang w:eastAsia="zh-TW"/>
        </w:rPr>
        <w:t xml:space="preserve"> participants,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0" w:type="auto"/>
        <w:tblLook w:val="04A0" w:firstRow="1" w:lastRow="0" w:firstColumn="1" w:lastColumn="0" w:noHBand="0" w:noVBand="1"/>
      </w:tblPr>
      <w:tblGrid>
        <w:gridCol w:w="3625"/>
        <w:gridCol w:w="2056"/>
        <w:gridCol w:w="2542"/>
        <w:gridCol w:w="1037"/>
      </w:tblGrid>
      <w:tr w:rsidR="00326869" w14:paraId="4B98F1C7" w14:textId="77777777">
        <w:trPr>
          <w:trHeight w:val="90"/>
        </w:trPr>
        <w:tc>
          <w:tcPr>
            <w:tcW w:w="0" w:type="auto"/>
            <w:tcBorders>
              <w:top w:val="single" w:sz="8" w:space="0" w:color="auto"/>
              <w:left w:val="nil"/>
              <w:bottom w:val="single" w:sz="8" w:space="0" w:color="auto"/>
              <w:right w:val="nil"/>
            </w:tcBorders>
            <w:shd w:val="clear" w:color="auto" w:fill="auto"/>
            <w:vAlign w:val="center"/>
          </w:tcPr>
          <w:p w14:paraId="5D8D4ED4" w14:textId="77777777" w:rsidR="00326869" w:rsidRDefault="00326869">
            <w:pPr>
              <w:jc w:val="both"/>
              <w:rPr>
                <w:rFonts w:ascii="Book Antiqua" w:eastAsia="宋体" w:hAnsi="Book Antiqua" w:cs="宋体"/>
                <w:color w:val="000000"/>
                <w:lang w:eastAsia="zh-CN"/>
              </w:rPr>
            </w:pPr>
          </w:p>
        </w:tc>
        <w:tc>
          <w:tcPr>
            <w:tcW w:w="0" w:type="auto"/>
            <w:tcBorders>
              <w:top w:val="single" w:sz="8" w:space="0" w:color="auto"/>
              <w:left w:val="nil"/>
              <w:bottom w:val="single" w:sz="8" w:space="0" w:color="auto"/>
              <w:right w:val="nil"/>
            </w:tcBorders>
            <w:shd w:val="clear" w:color="auto" w:fill="auto"/>
            <w:vAlign w:val="center"/>
          </w:tcPr>
          <w:p w14:paraId="1115FCF3"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IBS patients </w:t>
            </w:r>
          </w:p>
        </w:tc>
        <w:tc>
          <w:tcPr>
            <w:tcW w:w="0" w:type="auto"/>
            <w:tcBorders>
              <w:top w:val="single" w:sz="8" w:space="0" w:color="auto"/>
              <w:left w:val="nil"/>
              <w:bottom w:val="single" w:sz="8" w:space="0" w:color="auto"/>
              <w:right w:val="nil"/>
            </w:tcBorders>
            <w:shd w:val="clear" w:color="auto" w:fill="auto"/>
            <w:vAlign w:val="center"/>
          </w:tcPr>
          <w:p w14:paraId="1395B944"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Non-IBS participants </w:t>
            </w:r>
          </w:p>
        </w:tc>
        <w:tc>
          <w:tcPr>
            <w:tcW w:w="0" w:type="auto"/>
            <w:tcBorders>
              <w:top w:val="single" w:sz="8" w:space="0" w:color="auto"/>
              <w:left w:val="nil"/>
              <w:bottom w:val="single" w:sz="8" w:space="0" w:color="auto"/>
              <w:right w:val="nil"/>
            </w:tcBorders>
            <w:shd w:val="clear" w:color="auto" w:fill="auto"/>
            <w:vAlign w:val="center"/>
          </w:tcPr>
          <w:p w14:paraId="71F12803" w14:textId="77777777" w:rsidR="00326869" w:rsidRDefault="008967A2">
            <w:pPr>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P</w:t>
            </w:r>
            <w:r>
              <w:rPr>
                <w:rFonts w:ascii="Book Antiqua" w:eastAsia="宋体" w:hAnsi="Book Antiqua" w:cs="宋体"/>
                <w:b/>
                <w:bCs/>
                <w:color w:val="000000"/>
                <w:lang w:eastAsia="zh-CN"/>
              </w:rPr>
              <w:t xml:space="preserve"> value</w:t>
            </w:r>
          </w:p>
        </w:tc>
      </w:tr>
      <w:tr w:rsidR="00326869" w14:paraId="1FC67C53" w14:textId="77777777">
        <w:trPr>
          <w:trHeight w:val="324"/>
        </w:trPr>
        <w:tc>
          <w:tcPr>
            <w:tcW w:w="0" w:type="auto"/>
            <w:tcBorders>
              <w:top w:val="nil"/>
              <w:left w:val="nil"/>
              <w:bottom w:val="nil"/>
              <w:right w:val="nil"/>
            </w:tcBorders>
            <w:shd w:val="clear" w:color="auto" w:fill="auto"/>
            <w:vAlign w:val="center"/>
          </w:tcPr>
          <w:p w14:paraId="45802E5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Dietary habits</w:t>
            </w:r>
          </w:p>
        </w:tc>
        <w:tc>
          <w:tcPr>
            <w:tcW w:w="0" w:type="auto"/>
            <w:tcBorders>
              <w:top w:val="nil"/>
              <w:left w:val="nil"/>
              <w:bottom w:val="nil"/>
              <w:right w:val="nil"/>
            </w:tcBorders>
            <w:shd w:val="clear" w:color="auto" w:fill="auto"/>
            <w:vAlign w:val="center"/>
          </w:tcPr>
          <w:p w14:paraId="617EB1A5" w14:textId="77777777" w:rsidR="00326869" w:rsidRDefault="008967A2">
            <w:pPr>
              <w:jc w:val="both"/>
              <w:rPr>
                <w:rFonts w:ascii="Book Antiqua" w:eastAsia="宋体" w:hAnsi="Book Antiqua" w:cs="宋体"/>
                <w:i/>
                <w:iCs/>
                <w:color w:val="000000"/>
                <w:lang w:eastAsia="zh-CN"/>
              </w:rPr>
            </w:pPr>
            <w:r>
              <w:rPr>
                <w:rFonts w:ascii="Book Antiqua" w:eastAsia="宋体" w:hAnsi="Book Antiqua" w:cs="宋体"/>
                <w:i/>
                <w:iCs/>
                <w:color w:val="000000"/>
                <w:lang w:eastAsia="zh-CN"/>
              </w:rPr>
              <w:t xml:space="preserve">n </w:t>
            </w:r>
            <w:r>
              <w:rPr>
                <w:rFonts w:ascii="Book Antiqua" w:eastAsia="宋体" w:hAnsi="Book Antiqua" w:cs="宋体"/>
                <w:color w:val="000000"/>
                <w:lang w:eastAsia="zh-CN"/>
              </w:rPr>
              <w:t>= 25</w:t>
            </w:r>
          </w:p>
        </w:tc>
        <w:tc>
          <w:tcPr>
            <w:tcW w:w="0" w:type="auto"/>
            <w:tcBorders>
              <w:top w:val="nil"/>
              <w:left w:val="nil"/>
              <w:bottom w:val="nil"/>
              <w:right w:val="nil"/>
            </w:tcBorders>
            <w:shd w:val="clear" w:color="auto" w:fill="auto"/>
            <w:vAlign w:val="center"/>
          </w:tcPr>
          <w:p w14:paraId="5471F250" w14:textId="77777777" w:rsidR="00326869" w:rsidRDefault="008967A2">
            <w:pPr>
              <w:jc w:val="both"/>
              <w:rPr>
                <w:rFonts w:ascii="Book Antiqua" w:eastAsia="宋体" w:hAnsi="Book Antiqua" w:cs="宋体"/>
                <w:i/>
                <w:iCs/>
                <w:color w:val="000000"/>
                <w:lang w:eastAsia="zh-CN"/>
              </w:rPr>
            </w:pPr>
            <w:r>
              <w:rPr>
                <w:rFonts w:ascii="Book Antiqua" w:eastAsia="宋体" w:hAnsi="Book Antiqua" w:cs="宋体"/>
                <w:i/>
                <w:iCs/>
                <w:color w:val="000000"/>
                <w:lang w:eastAsia="zh-CN"/>
              </w:rPr>
              <w:t xml:space="preserve">n </w:t>
            </w:r>
            <w:r>
              <w:rPr>
                <w:rFonts w:ascii="Book Antiqua" w:eastAsia="宋体" w:hAnsi="Book Antiqua" w:cs="宋体"/>
                <w:color w:val="000000"/>
                <w:lang w:eastAsia="zh-CN"/>
              </w:rPr>
              <w:t>= 110</w:t>
            </w:r>
          </w:p>
        </w:tc>
        <w:tc>
          <w:tcPr>
            <w:tcW w:w="0" w:type="auto"/>
            <w:tcBorders>
              <w:top w:val="nil"/>
              <w:left w:val="nil"/>
              <w:bottom w:val="nil"/>
              <w:right w:val="nil"/>
            </w:tcBorders>
            <w:shd w:val="clear" w:color="auto" w:fill="auto"/>
            <w:vAlign w:val="center"/>
          </w:tcPr>
          <w:p w14:paraId="3269CC11" w14:textId="77777777" w:rsidR="00326869" w:rsidRDefault="00326869">
            <w:pPr>
              <w:jc w:val="both"/>
              <w:rPr>
                <w:rFonts w:ascii="Book Antiqua" w:eastAsia="宋体" w:hAnsi="Book Antiqua" w:cs="宋体"/>
                <w:i/>
                <w:iCs/>
                <w:color w:val="000000"/>
                <w:lang w:eastAsia="zh-CN"/>
              </w:rPr>
            </w:pPr>
          </w:p>
        </w:tc>
      </w:tr>
      <w:tr w:rsidR="00326869" w14:paraId="2EC22653" w14:textId="77777777">
        <w:trPr>
          <w:trHeight w:val="384"/>
        </w:trPr>
        <w:tc>
          <w:tcPr>
            <w:tcW w:w="0" w:type="auto"/>
            <w:gridSpan w:val="4"/>
            <w:tcBorders>
              <w:top w:val="nil"/>
              <w:left w:val="nil"/>
              <w:bottom w:val="nil"/>
              <w:right w:val="nil"/>
            </w:tcBorders>
            <w:shd w:val="clear" w:color="000000" w:fill="FFFFFF"/>
            <w:vAlign w:val="center"/>
          </w:tcPr>
          <w:p w14:paraId="1C9C2EF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Quantity per time (g for solid food and mL for liquid food)</w:t>
            </w:r>
          </w:p>
        </w:tc>
      </w:tr>
      <w:tr w:rsidR="00326869" w14:paraId="14B0BDA8" w14:textId="77777777">
        <w:trPr>
          <w:trHeight w:val="339"/>
        </w:trPr>
        <w:tc>
          <w:tcPr>
            <w:tcW w:w="0" w:type="auto"/>
            <w:tcBorders>
              <w:top w:val="nil"/>
              <w:left w:val="nil"/>
              <w:bottom w:val="nil"/>
              <w:right w:val="nil"/>
            </w:tcBorders>
            <w:shd w:val="clear" w:color="auto" w:fill="auto"/>
            <w:vAlign w:val="center"/>
          </w:tcPr>
          <w:p w14:paraId="69451644" w14:textId="77777777" w:rsidR="00326869" w:rsidRDefault="008967A2">
            <w:pPr>
              <w:jc w:val="both"/>
              <w:rPr>
                <w:rFonts w:ascii="Book Antiqua" w:eastAsia="宋体" w:hAnsi="Book Antiqua" w:cs="宋体"/>
                <w:color w:val="000000"/>
                <w:lang w:eastAsia="zh-CN"/>
              </w:rPr>
            </w:pPr>
            <w:bookmarkStart w:id="3" w:name="RANGE!C70"/>
            <w:r>
              <w:rPr>
                <w:rFonts w:ascii="Book Antiqua" w:eastAsia="宋体" w:hAnsi="Book Antiqua" w:cs="宋体"/>
                <w:color w:val="000000"/>
                <w:lang w:eastAsia="zh-CN"/>
              </w:rPr>
              <w:t>Seafood</w:t>
            </w:r>
            <w:bookmarkEnd w:id="3"/>
          </w:p>
        </w:tc>
        <w:tc>
          <w:tcPr>
            <w:tcW w:w="0" w:type="auto"/>
            <w:tcBorders>
              <w:top w:val="nil"/>
              <w:left w:val="nil"/>
              <w:bottom w:val="nil"/>
              <w:right w:val="nil"/>
            </w:tcBorders>
            <w:shd w:val="clear" w:color="auto" w:fill="auto"/>
            <w:vAlign w:val="center"/>
          </w:tcPr>
          <w:p w14:paraId="1A741FE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150 (100, 200)</w:t>
            </w:r>
          </w:p>
        </w:tc>
        <w:tc>
          <w:tcPr>
            <w:tcW w:w="0" w:type="auto"/>
            <w:tcBorders>
              <w:top w:val="nil"/>
              <w:left w:val="nil"/>
              <w:bottom w:val="nil"/>
              <w:right w:val="nil"/>
            </w:tcBorders>
            <w:shd w:val="clear" w:color="auto" w:fill="auto"/>
            <w:vAlign w:val="center"/>
          </w:tcPr>
          <w:p w14:paraId="73F965D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100</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(75, 150)</w:t>
            </w:r>
          </w:p>
        </w:tc>
        <w:tc>
          <w:tcPr>
            <w:tcW w:w="0" w:type="auto"/>
            <w:tcBorders>
              <w:top w:val="nil"/>
              <w:left w:val="nil"/>
              <w:bottom w:val="nil"/>
              <w:right w:val="nil"/>
            </w:tcBorders>
            <w:shd w:val="clear" w:color="auto" w:fill="auto"/>
            <w:vAlign w:val="center"/>
          </w:tcPr>
          <w:p w14:paraId="41C3EEE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0.004</w:t>
            </w:r>
          </w:p>
        </w:tc>
      </w:tr>
      <w:tr w:rsidR="00326869" w14:paraId="3F2ABFAC" w14:textId="77777777">
        <w:trPr>
          <w:trHeight w:val="354"/>
        </w:trPr>
        <w:tc>
          <w:tcPr>
            <w:tcW w:w="0" w:type="auto"/>
            <w:tcBorders>
              <w:top w:val="nil"/>
              <w:left w:val="nil"/>
              <w:bottom w:val="nil"/>
              <w:right w:val="nil"/>
            </w:tcBorders>
            <w:shd w:val="clear" w:color="auto" w:fill="auto"/>
            <w:vAlign w:val="center"/>
          </w:tcPr>
          <w:p w14:paraId="5B68902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Soybean and its </w:t>
            </w:r>
            <w:r>
              <w:rPr>
                <w:rFonts w:ascii="Book Antiqua" w:eastAsia="宋体" w:hAnsi="Book Antiqua" w:cs="宋体"/>
                <w:color w:val="000000"/>
                <w:lang w:eastAsia="zh-CN"/>
              </w:rPr>
              <w:t>products</w:t>
            </w:r>
          </w:p>
        </w:tc>
        <w:tc>
          <w:tcPr>
            <w:tcW w:w="0" w:type="auto"/>
            <w:tcBorders>
              <w:top w:val="nil"/>
              <w:left w:val="nil"/>
              <w:bottom w:val="nil"/>
              <w:right w:val="nil"/>
            </w:tcBorders>
            <w:shd w:val="clear" w:color="auto" w:fill="auto"/>
            <w:vAlign w:val="center"/>
          </w:tcPr>
          <w:p w14:paraId="556FE66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250 (150, 350)</w:t>
            </w:r>
          </w:p>
        </w:tc>
        <w:tc>
          <w:tcPr>
            <w:tcW w:w="0" w:type="auto"/>
            <w:tcBorders>
              <w:top w:val="nil"/>
              <w:left w:val="nil"/>
              <w:bottom w:val="nil"/>
              <w:right w:val="nil"/>
            </w:tcBorders>
            <w:shd w:val="clear" w:color="auto" w:fill="auto"/>
            <w:vAlign w:val="center"/>
          </w:tcPr>
          <w:p w14:paraId="40E64E3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200 (100, 250)</w:t>
            </w:r>
          </w:p>
        </w:tc>
        <w:tc>
          <w:tcPr>
            <w:tcW w:w="0" w:type="auto"/>
            <w:tcBorders>
              <w:top w:val="nil"/>
              <w:left w:val="nil"/>
              <w:bottom w:val="nil"/>
              <w:right w:val="nil"/>
            </w:tcBorders>
            <w:shd w:val="clear" w:color="auto" w:fill="auto"/>
            <w:vAlign w:val="center"/>
          </w:tcPr>
          <w:p w14:paraId="5E535D2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r>
      <w:tr w:rsidR="00326869" w14:paraId="554EBF77" w14:textId="77777777">
        <w:trPr>
          <w:trHeight w:val="369"/>
        </w:trPr>
        <w:tc>
          <w:tcPr>
            <w:tcW w:w="0" w:type="auto"/>
            <w:tcBorders>
              <w:top w:val="nil"/>
              <w:left w:val="nil"/>
              <w:bottom w:val="nil"/>
              <w:right w:val="nil"/>
            </w:tcBorders>
            <w:shd w:val="clear" w:color="auto" w:fill="auto"/>
            <w:vAlign w:val="center"/>
          </w:tcPr>
          <w:p w14:paraId="6607FD0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Spicy food</w:t>
            </w:r>
            <w:r>
              <w:rPr>
                <w:rFonts w:ascii="Book Antiqua" w:eastAsia="宋体" w:hAnsi="Book Antiqua" w:cs="宋体"/>
                <w:color w:val="000000"/>
                <w:vertAlign w:val="superscript"/>
                <w:lang w:eastAsia="zh-CN"/>
              </w:rPr>
              <w:t xml:space="preserve"> </w:t>
            </w:r>
            <w:r>
              <w:rPr>
                <w:rFonts w:ascii="Book Antiqua" w:eastAsia="宋体" w:hAnsi="Book Antiqua" w:cs="宋体"/>
                <w:color w:val="000000"/>
                <w:lang w:eastAsia="zh-CN"/>
              </w:rPr>
              <w:t xml:space="preserve"> </w:t>
            </w:r>
          </w:p>
        </w:tc>
        <w:tc>
          <w:tcPr>
            <w:tcW w:w="0" w:type="auto"/>
            <w:tcBorders>
              <w:top w:val="nil"/>
              <w:left w:val="nil"/>
              <w:bottom w:val="nil"/>
              <w:right w:val="nil"/>
            </w:tcBorders>
            <w:shd w:val="clear" w:color="auto" w:fill="auto"/>
            <w:vAlign w:val="center"/>
          </w:tcPr>
          <w:p w14:paraId="5B82E3B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250 (150, 300)</w:t>
            </w:r>
          </w:p>
        </w:tc>
        <w:tc>
          <w:tcPr>
            <w:tcW w:w="0" w:type="auto"/>
            <w:tcBorders>
              <w:top w:val="nil"/>
              <w:left w:val="nil"/>
              <w:bottom w:val="nil"/>
              <w:right w:val="nil"/>
            </w:tcBorders>
            <w:shd w:val="clear" w:color="auto" w:fill="auto"/>
            <w:vAlign w:val="center"/>
          </w:tcPr>
          <w:p w14:paraId="4765B13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200 (150, 250)</w:t>
            </w:r>
          </w:p>
        </w:tc>
        <w:tc>
          <w:tcPr>
            <w:tcW w:w="0" w:type="auto"/>
            <w:tcBorders>
              <w:top w:val="nil"/>
              <w:left w:val="nil"/>
              <w:bottom w:val="nil"/>
              <w:right w:val="nil"/>
            </w:tcBorders>
            <w:shd w:val="clear" w:color="auto" w:fill="auto"/>
            <w:vAlign w:val="center"/>
          </w:tcPr>
          <w:p w14:paraId="234CD33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0.036</w:t>
            </w:r>
          </w:p>
        </w:tc>
      </w:tr>
      <w:tr w:rsidR="00326869" w14:paraId="1BB32445" w14:textId="77777777">
        <w:trPr>
          <w:trHeight w:val="324"/>
        </w:trPr>
        <w:tc>
          <w:tcPr>
            <w:tcW w:w="0" w:type="auto"/>
            <w:tcBorders>
              <w:top w:val="nil"/>
              <w:left w:val="nil"/>
              <w:bottom w:val="nil"/>
              <w:right w:val="nil"/>
            </w:tcBorders>
            <w:shd w:val="clear" w:color="auto" w:fill="auto"/>
            <w:vAlign w:val="center"/>
          </w:tcPr>
          <w:p w14:paraId="491408B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Dry-fried nuts</w:t>
            </w:r>
            <w:r>
              <w:rPr>
                <w:rFonts w:ascii="Book Antiqua" w:eastAsia="宋体" w:hAnsi="Book Antiqua" w:cs="宋体"/>
                <w:color w:val="000000"/>
                <w:vertAlign w:val="superscript"/>
                <w:lang w:eastAsia="zh-CN"/>
              </w:rPr>
              <w:t xml:space="preserve"> </w:t>
            </w:r>
          </w:p>
        </w:tc>
        <w:tc>
          <w:tcPr>
            <w:tcW w:w="0" w:type="auto"/>
            <w:tcBorders>
              <w:top w:val="nil"/>
              <w:left w:val="nil"/>
              <w:bottom w:val="nil"/>
              <w:right w:val="nil"/>
            </w:tcBorders>
            <w:shd w:val="clear" w:color="auto" w:fill="auto"/>
            <w:vAlign w:val="center"/>
          </w:tcPr>
          <w:p w14:paraId="209EBE6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75 (50, 100)</w:t>
            </w:r>
          </w:p>
        </w:tc>
        <w:tc>
          <w:tcPr>
            <w:tcW w:w="0" w:type="auto"/>
            <w:tcBorders>
              <w:top w:val="nil"/>
              <w:left w:val="nil"/>
              <w:bottom w:val="nil"/>
              <w:right w:val="nil"/>
            </w:tcBorders>
            <w:shd w:val="clear" w:color="auto" w:fill="auto"/>
            <w:vAlign w:val="center"/>
          </w:tcPr>
          <w:p w14:paraId="04FA52A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62.5 (50, 75)</w:t>
            </w:r>
          </w:p>
        </w:tc>
        <w:tc>
          <w:tcPr>
            <w:tcW w:w="0" w:type="auto"/>
            <w:tcBorders>
              <w:top w:val="nil"/>
              <w:left w:val="nil"/>
              <w:bottom w:val="nil"/>
              <w:right w:val="nil"/>
            </w:tcBorders>
            <w:shd w:val="clear" w:color="auto" w:fill="auto"/>
            <w:vAlign w:val="center"/>
          </w:tcPr>
          <w:p w14:paraId="12427C9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0.021</w:t>
            </w:r>
          </w:p>
        </w:tc>
      </w:tr>
      <w:tr w:rsidR="00326869" w14:paraId="1B99000B" w14:textId="77777777">
        <w:trPr>
          <w:trHeight w:val="312"/>
        </w:trPr>
        <w:tc>
          <w:tcPr>
            <w:tcW w:w="0" w:type="auto"/>
            <w:tcBorders>
              <w:top w:val="nil"/>
              <w:left w:val="nil"/>
              <w:bottom w:val="nil"/>
              <w:right w:val="nil"/>
            </w:tcBorders>
            <w:shd w:val="clear" w:color="auto" w:fill="auto"/>
            <w:vAlign w:val="center"/>
          </w:tcPr>
          <w:p w14:paraId="42833C5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Soft drinks</w:t>
            </w:r>
            <w:r>
              <w:rPr>
                <w:rFonts w:ascii="Book Antiqua" w:eastAsia="宋体" w:hAnsi="Book Antiqua" w:cs="宋体"/>
                <w:color w:val="000000"/>
                <w:vertAlign w:val="superscript"/>
                <w:lang w:eastAsia="zh-CN"/>
              </w:rPr>
              <w:t xml:space="preserve"> </w:t>
            </w:r>
          </w:p>
        </w:tc>
        <w:tc>
          <w:tcPr>
            <w:tcW w:w="0" w:type="auto"/>
            <w:tcBorders>
              <w:top w:val="nil"/>
              <w:left w:val="nil"/>
              <w:bottom w:val="nil"/>
              <w:right w:val="nil"/>
            </w:tcBorders>
            <w:shd w:val="clear" w:color="auto" w:fill="auto"/>
            <w:vAlign w:val="center"/>
          </w:tcPr>
          <w:p w14:paraId="3FAF98B2"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4E81C77E"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63CF1D0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r>
      <w:tr w:rsidR="00326869" w14:paraId="6D37ABD5" w14:textId="77777777">
        <w:trPr>
          <w:trHeight w:val="312"/>
        </w:trPr>
        <w:tc>
          <w:tcPr>
            <w:tcW w:w="0" w:type="auto"/>
            <w:tcBorders>
              <w:top w:val="nil"/>
              <w:left w:val="nil"/>
              <w:bottom w:val="nil"/>
              <w:right w:val="nil"/>
            </w:tcBorders>
            <w:shd w:val="clear" w:color="auto" w:fill="auto"/>
            <w:vAlign w:val="center"/>
          </w:tcPr>
          <w:p w14:paraId="57A35473"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0 mL</w:t>
            </w:r>
          </w:p>
        </w:tc>
        <w:tc>
          <w:tcPr>
            <w:tcW w:w="0" w:type="auto"/>
            <w:tcBorders>
              <w:top w:val="nil"/>
              <w:left w:val="nil"/>
              <w:bottom w:val="nil"/>
              <w:right w:val="nil"/>
            </w:tcBorders>
            <w:shd w:val="clear" w:color="auto" w:fill="auto"/>
            <w:vAlign w:val="center"/>
          </w:tcPr>
          <w:p w14:paraId="2FEBB14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5 (20.0)</w:t>
            </w:r>
          </w:p>
        </w:tc>
        <w:tc>
          <w:tcPr>
            <w:tcW w:w="0" w:type="auto"/>
            <w:tcBorders>
              <w:top w:val="nil"/>
              <w:left w:val="nil"/>
              <w:bottom w:val="nil"/>
              <w:right w:val="nil"/>
            </w:tcBorders>
            <w:shd w:val="clear" w:color="auto" w:fill="auto"/>
            <w:vAlign w:val="center"/>
          </w:tcPr>
          <w:p w14:paraId="7FFD6B3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45 (40.9)</w:t>
            </w:r>
          </w:p>
        </w:tc>
        <w:tc>
          <w:tcPr>
            <w:tcW w:w="0" w:type="auto"/>
            <w:vMerge/>
            <w:tcBorders>
              <w:top w:val="nil"/>
              <w:left w:val="nil"/>
              <w:bottom w:val="nil"/>
              <w:right w:val="nil"/>
            </w:tcBorders>
            <w:vAlign w:val="center"/>
          </w:tcPr>
          <w:p w14:paraId="38068561" w14:textId="77777777" w:rsidR="00326869" w:rsidRDefault="00326869">
            <w:pPr>
              <w:rPr>
                <w:rFonts w:ascii="Book Antiqua" w:eastAsia="宋体" w:hAnsi="Book Antiqua" w:cs="宋体"/>
                <w:color w:val="000000"/>
                <w:lang w:eastAsia="zh-CN"/>
              </w:rPr>
            </w:pPr>
          </w:p>
        </w:tc>
      </w:tr>
      <w:tr w:rsidR="00326869" w14:paraId="3FD39BE3" w14:textId="77777777">
        <w:trPr>
          <w:trHeight w:val="312"/>
        </w:trPr>
        <w:tc>
          <w:tcPr>
            <w:tcW w:w="0" w:type="auto"/>
            <w:tcBorders>
              <w:top w:val="nil"/>
              <w:left w:val="nil"/>
              <w:bottom w:val="nil"/>
              <w:right w:val="nil"/>
            </w:tcBorders>
            <w:shd w:val="clear" w:color="auto" w:fill="auto"/>
            <w:vAlign w:val="center"/>
          </w:tcPr>
          <w:p w14:paraId="0BC8032B"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250 mL</w:t>
            </w:r>
          </w:p>
        </w:tc>
        <w:tc>
          <w:tcPr>
            <w:tcW w:w="0" w:type="auto"/>
            <w:tcBorders>
              <w:top w:val="nil"/>
              <w:left w:val="nil"/>
              <w:bottom w:val="nil"/>
              <w:right w:val="nil"/>
            </w:tcBorders>
            <w:shd w:val="clear" w:color="auto" w:fill="auto"/>
            <w:vAlign w:val="center"/>
          </w:tcPr>
          <w:p w14:paraId="132E349B"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9 (36.0)</w:t>
            </w:r>
          </w:p>
        </w:tc>
        <w:tc>
          <w:tcPr>
            <w:tcW w:w="0" w:type="auto"/>
            <w:tcBorders>
              <w:top w:val="nil"/>
              <w:left w:val="nil"/>
              <w:bottom w:val="nil"/>
              <w:right w:val="nil"/>
            </w:tcBorders>
            <w:shd w:val="clear" w:color="auto" w:fill="auto"/>
            <w:vAlign w:val="center"/>
          </w:tcPr>
          <w:p w14:paraId="6EA4E9A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54 (49.1)</w:t>
            </w:r>
          </w:p>
        </w:tc>
        <w:tc>
          <w:tcPr>
            <w:tcW w:w="0" w:type="auto"/>
            <w:vMerge/>
            <w:tcBorders>
              <w:top w:val="nil"/>
              <w:left w:val="nil"/>
              <w:bottom w:val="nil"/>
              <w:right w:val="nil"/>
            </w:tcBorders>
            <w:vAlign w:val="center"/>
          </w:tcPr>
          <w:p w14:paraId="47A5D470" w14:textId="77777777" w:rsidR="00326869" w:rsidRDefault="00326869">
            <w:pPr>
              <w:rPr>
                <w:rFonts w:ascii="Book Antiqua" w:eastAsia="宋体" w:hAnsi="Book Antiqua" w:cs="宋体"/>
                <w:color w:val="000000"/>
                <w:lang w:eastAsia="zh-CN"/>
              </w:rPr>
            </w:pPr>
          </w:p>
        </w:tc>
      </w:tr>
      <w:tr w:rsidR="00326869" w14:paraId="30A6E703" w14:textId="77777777">
        <w:trPr>
          <w:trHeight w:val="312"/>
        </w:trPr>
        <w:tc>
          <w:tcPr>
            <w:tcW w:w="0" w:type="auto"/>
            <w:tcBorders>
              <w:top w:val="nil"/>
              <w:left w:val="nil"/>
              <w:bottom w:val="nil"/>
              <w:right w:val="nil"/>
            </w:tcBorders>
            <w:shd w:val="clear" w:color="auto" w:fill="auto"/>
            <w:vAlign w:val="center"/>
          </w:tcPr>
          <w:p w14:paraId="34102D15"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500 mL</w:t>
            </w:r>
          </w:p>
        </w:tc>
        <w:tc>
          <w:tcPr>
            <w:tcW w:w="0" w:type="auto"/>
            <w:tcBorders>
              <w:top w:val="nil"/>
              <w:left w:val="nil"/>
              <w:bottom w:val="nil"/>
              <w:right w:val="nil"/>
            </w:tcBorders>
            <w:shd w:val="clear" w:color="auto" w:fill="auto"/>
            <w:vAlign w:val="center"/>
          </w:tcPr>
          <w:p w14:paraId="6B9E3B6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11 (44.0)</w:t>
            </w:r>
          </w:p>
        </w:tc>
        <w:tc>
          <w:tcPr>
            <w:tcW w:w="0" w:type="auto"/>
            <w:tcBorders>
              <w:top w:val="nil"/>
              <w:left w:val="nil"/>
              <w:bottom w:val="nil"/>
              <w:right w:val="nil"/>
            </w:tcBorders>
            <w:shd w:val="clear" w:color="auto" w:fill="auto"/>
            <w:vAlign w:val="center"/>
          </w:tcPr>
          <w:p w14:paraId="30597772"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11 </w:t>
            </w:r>
            <w:r>
              <w:rPr>
                <w:rFonts w:ascii="Book Antiqua" w:eastAsia="宋体" w:hAnsi="Book Antiqua" w:cs="宋体"/>
                <w:color w:val="000000"/>
                <w:lang w:eastAsia="zh-CN"/>
              </w:rPr>
              <w:t>(10.0)</w:t>
            </w:r>
          </w:p>
        </w:tc>
        <w:tc>
          <w:tcPr>
            <w:tcW w:w="0" w:type="auto"/>
            <w:vMerge/>
            <w:tcBorders>
              <w:top w:val="nil"/>
              <w:left w:val="nil"/>
              <w:bottom w:val="nil"/>
              <w:right w:val="nil"/>
            </w:tcBorders>
            <w:vAlign w:val="center"/>
          </w:tcPr>
          <w:p w14:paraId="73481DAA" w14:textId="77777777" w:rsidR="00326869" w:rsidRDefault="00326869">
            <w:pPr>
              <w:rPr>
                <w:rFonts w:ascii="Book Antiqua" w:eastAsia="宋体" w:hAnsi="Book Antiqua" w:cs="宋体"/>
                <w:color w:val="000000"/>
                <w:lang w:eastAsia="zh-CN"/>
              </w:rPr>
            </w:pPr>
          </w:p>
        </w:tc>
      </w:tr>
      <w:tr w:rsidR="00326869" w14:paraId="179C8D63" w14:textId="77777777">
        <w:trPr>
          <w:trHeight w:val="339"/>
        </w:trPr>
        <w:tc>
          <w:tcPr>
            <w:tcW w:w="0" w:type="auto"/>
            <w:tcBorders>
              <w:top w:val="nil"/>
              <w:left w:val="nil"/>
              <w:bottom w:val="nil"/>
              <w:right w:val="nil"/>
            </w:tcBorders>
            <w:shd w:val="clear" w:color="auto" w:fill="auto"/>
            <w:vAlign w:val="center"/>
          </w:tcPr>
          <w:p w14:paraId="0DF9396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Vegetables</w:t>
            </w:r>
            <w:r>
              <w:rPr>
                <w:rFonts w:ascii="Book Antiqua" w:eastAsia="宋体" w:hAnsi="Book Antiqua" w:cs="宋体"/>
                <w:color w:val="000000"/>
                <w:vertAlign w:val="superscript"/>
                <w:lang w:eastAsia="zh-CN"/>
              </w:rPr>
              <w:t xml:space="preserve"> </w:t>
            </w:r>
            <w:r>
              <w:rPr>
                <w:rFonts w:ascii="Book Antiqua" w:eastAsia="宋体" w:hAnsi="Book Antiqua" w:cs="宋体"/>
                <w:color w:val="000000"/>
                <w:lang w:eastAsia="zh-CN"/>
              </w:rPr>
              <w:t xml:space="preserve"> </w:t>
            </w:r>
          </w:p>
        </w:tc>
        <w:tc>
          <w:tcPr>
            <w:tcW w:w="0" w:type="auto"/>
            <w:tcBorders>
              <w:top w:val="nil"/>
              <w:left w:val="nil"/>
              <w:bottom w:val="nil"/>
              <w:right w:val="nil"/>
            </w:tcBorders>
            <w:shd w:val="clear" w:color="auto" w:fill="auto"/>
            <w:vAlign w:val="center"/>
          </w:tcPr>
          <w:p w14:paraId="2D1CF48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350 (300, 400)</w:t>
            </w:r>
          </w:p>
        </w:tc>
        <w:tc>
          <w:tcPr>
            <w:tcW w:w="0" w:type="auto"/>
            <w:tcBorders>
              <w:top w:val="nil"/>
              <w:left w:val="nil"/>
              <w:bottom w:val="nil"/>
              <w:right w:val="nil"/>
            </w:tcBorders>
            <w:shd w:val="clear" w:color="auto" w:fill="auto"/>
            <w:vAlign w:val="center"/>
          </w:tcPr>
          <w:p w14:paraId="4ADE728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250 (200, 300)</w:t>
            </w:r>
          </w:p>
        </w:tc>
        <w:tc>
          <w:tcPr>
            <w:tcW w:w="0" w:type="auto"/>
            <w:tcBorders>
              <w:top w:val="nil"/>
              <w:left w:val="nil"/>
              <w:bottom w:val="nil"/>
              <w:right w:val="nil"/>
            </w:tcBorders>
            <w:shd w:val="clear" w:color="auto" w:fill="auto"/>
            <w:vAlign w:val="center"/>
          </w:tcPr>
          <w:p w14:paraId="52DD874E" w14:textId="77777777" w:rsidR="00326869" w:rsidRDefault="008967A2">
            <w:pPr>
              <w:jc w:val="both"/>
              <w:rPr>
                <w:rFonts w:ascii="Book Antiqua" w:eastAsia="宋体" w:hAnsi="Book Antiqua" w:cs="宋体"/>
                <w:color w:val="000000"/>
                <w:lang w:eastAsia="zh-CN"/>
              </w:rPr>
            </w:pPr>
            <w:bookmarkStart w:id="4" w:name="RANGE!F78"/>
            <w:r>
              <w:rPr>
                <w:rFonts w:ascii="Book Antiqua" w:eastAsia="宋体" w:hAnsi="Book Antiqua" w:cs="宋体"/>
                <w:color w:val="000000"/>
                <w:lang w:eastAsia="zh-CN"/>
              </w:rPr>
              <w:t>&lt; 0.001</w:t>
            </w:r>
            <w:bookmarkEnd w:id="4"/>
          </w:p>
        </w:tc>
      </w:tr>
      <w:tr w:rsidR="00326869" w14:paraId="0D30574A" w14:textId="77777777">
        <w:trPr>
          <w:trHeight w:val="339"/>
        </w:trPr>
        <w:tc>
          <w:tcPr>
            <w:tcW w:w="0" w:type="auto"/>
            <w:tcBorders>
              <w:top w:val="nil"/>
              <w:left w:val="nil"/>
              <w:bottom w:val="nil"/>
              <w:right w:val="nil"/>
            </w:tcBorders>
            <w:shd w:val="clear" w:color="auto" w:fill="auto"/>
            <w:vAlign w:val="center"/>
          </w:tcPr>
          <w:p w14:paraId="6BE8BE7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Fruits</w:t>
            </w:r>
          </w:p>
        </w:tc>
        <w:tc>
          <w:tcPr>
            <w:tcW w:w="0" w:type="auto"/>
            <w:tcBorders>
              <w:top w:val="nil"/>
              <w:left w:val="nil"/>
              <w:bottom w:val="nil"/>
              <w:right w:val="nil"/>
            </w:tcBorders>
            <w:shd w:val="clear" w:color="auto" w:fill="auto"/>
            <w:vAlign w:val="center"/>
          </w:tcPr>
          <w:p w14:paraId="5ADFE19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250 (200, 300)</w:t>
            </w:r>
          </w:p>
        </w:tc>
        <w:tc>
          <w:tcPr>
            <w:tcW w:w="0" w:type="auto"/>
            <w:tcBorders>
              <w:top w:val="nil"/>
              <w:left w:val="nil"/>
              <w:bottom w:val="nil"/>
              <w:right w:val="nil"/>
            </w:tcBorders>
            <w:shd w:val="clear" w:color="auto" w:fill="auto"/>
            <w:vAlign w:val="center"/>
          </w:tcPr>
          <w:p w14:paraId="59DDB87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200 (150, 250)</w:t>
            </w:r>
          </w:p>
        </w:tc>
        <w:tc>
          <w:tcPr>
            <w:tcW w:w="0" w:type="auto"/>
            <w:tcBorders>
              <w:top w:val="nil"/>
              <w:left w:val="nil"/>
              <w:bottom w:val="nil"/>
              <w:right w:val="nil"/>
            </w:tcBorders>
            <w:shd w:val="clear" w:color="auto" w:fill="auto"/>
            <w:vAlign w:val="center"/>
          </w:tcPr>
          <w:p w14:paraId="29FA94E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r>
      <w:tr w:rsidR="00326869" w14:paraId="6F93E476" w14:textId="77777777">
        <w:trPr>
          <w:trHeight w:val="312"/>
        </w:trPr>
        <w:tc>
          <w:tcPr>
            <w:tcW w:w="0" w:type="auto"/>
            <w:gridSpan w:val="4"/>
            <w:tcBorders>
              <w:top w:val="nil"/>
              <w:left w:val="nil"/>
              <w:bottom w:val="nil"/>
              <w:right w:val="nil"/>
            </w:tcBorders>
            <w:shd w:val="clear" w:color="000000" w:fill="FFFFFF"/>
            <w:vAlign w:val="center"/>
          </w:tcPr>
          <w:p w14:paraId="129169C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Intake frequency (times per week [t/wk])</w:t>
            </w:r>
          </w:p>
        </w:tc>
      </w:tr>
      <w:tr w:rsidR="00326869" w14:paraId="74F4F757" w14:textId="77777777">
        <w:trPr>
          <w:trHeight w:val="312"/>
        </w:trPr>
        <w:tc>
          <w:tcPr>
            <w:tcW w:w="0" w:type="auto"/>
            <w:tcBorders>
              <w:top w:val="nil"/>
              <w:left w:val="nil"/>
              <w:bottom w:val="nil"/>
              <w:right w:val="nil"/>
            </w:tcBorders>
            <w:shd w:val="clear" w:color="auto" w:fill="auto"/>
            <w:vAlign w:val="center"/>
          </w:tcPr>
          <w:p w14:paraId="17B075A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Egg</w:t>
            </w:r>
            <w:r>
              <w:rPr>
                <w:rFonts w:ascii="Book Antiqua" w:eastAsia="宋体" w:hAnsi="Book Antiqua" w:cs="宋体"/>
                <w:color w:val="000000"/>
                <w:vertAlign w:val="superscript"/>
                <w:lang w:eastAsia="zh-CN"/>
              </w:rPr>
              <w:t xml:space="preserve"> </w:t>
            </w:r>
          </w:p>
        </w:tc>
        <w:tc>
          <w:tcPr>
            <w:tcW w:w="0" w:type="auto"/>
            <w:tcBorders>
              <w:top w:val="nil"/>
              <w:left w:val="nil"/>
              <w:bottom w:val="nil"/>
              <w:right w:val="nil"/>
            </w:tcBorders>
            <w:shd w:val="clear" w:color="auto" w:fill="auto"/>
            <w:vAlign w:val="center"/>
          </w:tcPr>
          <w:p w14:paraId="679E925C"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4961B594"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447FC6A8" w14:textId="77777777" w:rsidR="00326869" w:rsidRDefault="008967A2">
            <w:pPr>
              <w:jc w:val="both"/>
              <w:rPr>
                <w:rFonts w:ascii="Book Antiqua" w:eastAsia="宋体" w:hAnsi="Book Antiqua" w:cs="宋体"/>
                <w:color w:val="000000"/>
                <w:lang w:eastAsia="zh-CN"/>
              </w:rPr>
            </w:pPr>
            <w:bookmarkStart w:id="5" w:name="RANGE!F81"/>
            <w:r>
              <w:rPr>
                <w:rFonts w:ascii="Book Antiqua" w:eastAsia="宋体" w:hAnsi="Book Antiqua" w:cs="宋体"/>
                <w:color w:val="000000"/>
                <w:lang w:eastAsia="zh-CN"/>
              </w:rPr>
              <w:t>0.019</w:t>
            </w:r>
            <w:bookmarkEnd w:id="5"/>
          </w:p>
        </w:tc>
      </w:tr>
      <w:tr w:rsidR="00326869" w14:paraId="5D49C575" w14:textId="77777777">
        <w:trPr>
          <w:trHeight w:val="312"/>
        </w:trPr>
        <w:tc>
          <w:tcPr>
            <w:tcW w:w="0" w:type="auto"/>
            <w:tcBorders>
              <w:top w:val="nil"/>
              <w:left w:val="nil"/>
              <w:bottom w:val="nil"/>
              <w:right w:val="nil"/>
            </w:tcBorders>
            <w:shd w:val="clear" w:color="auto" w:fill="auto"/>
            <w:vAlign w:val="center"/>
          </w:tcPr>
          <w:p w14:paraId="74C1BC6A"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0" w:type="auto"/>
            <w:tcBorders>
              <w:top w:val="nil"/>
              <w:left w:val="nil"/>
              <w:bottom w:val="nil"/>
              <w:right w:val="nil"/>
            </w:tcBorders>
            <w:shd w:val="clear" w:color="auto" w:fill="auto"/>
            <w:vAlign w:val="center"/>
          </w:tcPr>
          <w:p w14:paraId="4766196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 (8.0)</w:t>
            </w:r>
          </w:p>
        </w:tc>
        <w:tc>
          <w:tcPr>
            <w:tcW w:w="0" w:type="auto"/>
            <w:tcBorders>
              <w:top w:val="nil"/>
              <w:left w:val="nil"/>
              <w:bottom w:val="nil"/>
              <w:right w:val="nil"/>
            </w:tcBorders>
            <w:shd w:val="clear" w:color="auto" w:fill="auto"/>
            <w:vAlign w:val="center"/>
          </w:tcPr>
          <w:p w14:paraId="32EA729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41 (37.3)</w:t>
            </w:r>
          </w:p>
        </w:tc>
        <w:tc>
          <w:tcPr>
            <w:tcW w:w="0" w:type="auto"/>
            <w:vMerge/>
            <w:tcBorders>
              <w:top w:val="nil"/>
              <w:left w:val="nil"/>
              <w:bottom w:val="nil"/>
              <w:right w:val="nil"/>
            </w:tcBorders>
            <w:vAlign w:val="center"/>
          </w:tcPr>
          <w:p w14:paraId="673AFEB1" w14:textId="77777777" w:rsidR="00326869" w:rsidRDefault="00326869">
            <w:pPr>
              <w:rPr>
                <w:rFonts w:ascii="Book Antiqua" w:eastAsia="宋体" w:hAnsi="Book Antiqua" w:cs="宋体"/>
                <w:color w:val="000000"/>
                <w:lang w:eastAsia="zh-CN"/>
              </w:rPr>
            </w:pPr>
          </w:p>
        </w:tc>
      </w:tr>
      <w:tr w:rsidR="00326869" w14:paraId="0644DD1F" w14:textId="77777777">
        <w:trPr>
          <w:trHeight w:val="312"/>
        </w:trPr>
        <w:tc>
          <w:tcPr>
            <w:tcW w:w="0" w:type="auto"/>
            <w:tcBorders>
              <w:top w:val="nil"/>
              <w:left w:val="nil"/>
              <w:bottom w:val="nil"/>
              <w:right w:val="nil"/>
            </w:tcBorders>
            <w:shd w:val="clear" w:color="auto" w:fill="auto"/>
            <w:vAlign w:val="center"/>
          </w:tcPr>
          <w:p w14:paraId="72290EB0"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2C25797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13 (52.0)</w:t>
            </w:r>
          </w:p>
        </w:tc>
        <w:tc>
          <w:tcPr>
            <w:tcW w:w="0" w:type="auto"/>
            <w:tcBorders>
              <w:top w:val="nil"/>
              <w:left w:val="nil"/>
              <w:bottom w:val="nil"/>
              <w:right w:val="nil"/>
            </w:tcBorders>
            <w:shd w:val="clear" w:color="auto" w:fill="auto"/>
            <w:vAlign w:val="center"/>
          </w:tcPr>
          <w:p w14:paraId="34B08F2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38 (34.5)</w:t>
            </w:r>
          </w:p>
        </w:tc>
        <w:tc>
          <w:tcPr>
            <w:tcW w:w="0" w:type="auto"/>
            <w:vMerge/>
            <w:tcBorders>
              <w:top w:val="nil"/>
              <w:left w:val="nil"/>
              <w:bottom w:val="nil"/>
              <w:right w:val="nil"/>
            </w:tcBorders>
            <w:vAlign w:val="center"/>
          </w:tcPr>
          <w:p w14:paraId="746FF632" w14:textId="77777777" w:rsidR="00326869" w:rsidRDefault="00326869">
            <w:pPr>
              <w:rPr>
                <w:rFonts w:ascii="Book Antiqua" w:eastAsia="宋体" w:hAnsi="Book Antiqua" w:cs="宋体"/>
                <w:color w:val="000000"/>
                <w:lang w:eastAsia="zh-CN"/>
              </w:rPr>
            </w:pPr>
          </w:p>
        </w:tc>
      </w:tr>
      <w:tr w:rsidR="00326869" w14:paraId="3D747476" w14:textId="77777777">
        <w:trPr>
          <w:trHeight w:val="312"/>
        </w:trPr>
        <w:tc>
          <w:tcPr>
            <w:tcW w:w="0" w:type="auto"/>
            <w:tcBorders>
              <w:top w:val="nil"/>
              <w:left w:val="nil"/>
              <w:bottom w:val="nil"/>
              <w:right w:val="nil"/>
            </w:tcBorders>
            <w:shd w:val="clear" w:color="auto" w:fill="auto"/>
            <w:vAlign w:val="center"/>
          </w:tcPr>
          <w:p w14:paraId="1AE3929B"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7 t/wk </w:t>
            </w:r>
          </w:p>
        </w:tc>
        <w:tc>
          <w:tcPr>
            <w:tcW w:w="0" w:type="auto"/>
            <w:tcBorders>
              <w:top w:val="nil"/>
              <w:left w:val="nil"/>
              <w:bottom w:val="nil"/>
              <w:right w:val="nil"/>
            </w:tcBorders>
            <w:shd w:val="clear" w:color="auto" w:fill="auto"/>
            <w:vAlign w:val="center"/>
          </w:tcPr>
          <w:p w14:paraId="277BFB7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 (40.0)</w:t>
            </w:r>
          </w:p>
        </w:tc>
        <w:tc>
          <w:tcPr>
            <w:tcW w:w="0" w:type="auto"/>
            <w:tcBorders>
              <w:top w:val="nil"/>
              <w:left w:val="nil"/>
              <w:bottom w:val="nil"/>
              <w:right w:val="nil"/>
            </w:tcBorders>
            <w:shd w:val="clear" w:color="auto" w:fill="auto"/>
            <w:vAlign w:val="center"/>
          </w:tcPr>
          <w:p w14:paraId="5A6A855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31 </w:t>
            </w:r>
            <w:r>
              <w:rPr>
                <w:rFonts w:ascii="Book Antiqua" w:eastAsia="宋体" w:hAnsi="Book Antiqua" w:cs="宋体"/>
                <w:color w:val="000000"/>
                <w:lang w:eastAsia="zh-CN"/>
              </w:rPr>
              <w:t>(28.2)</w:t>
            </w:r>
          </w:p>
        </w:tc>
        <w:tc>
          <w:tcPr>
            <w:tcW w:w="0" w:type="auto"/>
            <w:vMerge/>
            <w:tcBorders>
              <w:top w:val="nil"/>
              <w:left w:val="nil"/>
              <w:bottom w:val="nil"/>
              <w:right w:val="nil"/>
            </w:tcBorders>
            <w:vAlign w:val="center"/>
          </w:tcPr>
          <w:p w14:paraId="438AC355" w14:textId="77777777" w:rsidR="00326869" w:rsidRDefault="00326869">
            <w:pPr>
              <w:rPr>
                <w:rFonts w:ascii="Book Antiqua" w:eastAsia="宋体" w:hAnsi="Book Antiqua" w:cs="宋体"/>
                <w:color w:val="000000"/>
                <w:lang w:eastAsia="zh-CN"/>
              </w:rPr>
            </w:pPr>
          </w:p>
        </w:tc>
      </w:tr>
      <w:tr w:rsidR="00326869" w14:paraId="01BC2DEF" w14:textId="77777777">
        <w:trPr>
          <w:trHeight w:val="279"/>
        </w:trPr>
        <w:tc>
          <w:tcPr>
            <w:tcW w:w="0" w:type="auto"/>
            <w:tcBorders>
              <w:top w:val="nil"/>
              <w:left w:val="nil"/>
              <w:bottom w:val="nil"/>
              <w:right w:val="nil"/>
            </w:tcBorders>
            <w:shd w:val="clear" w:color="auto" w:fill="auto"/>
            <w:vAlign w:val="center"/>
          </w:tcPr>
          <w:p w14:paraId="37A4B1E1" w14:textId="77777777" w:rsidR="00326869" w:rsidRDefault="008967A2">
            <w:pPr>
              <w:jc w:val="both"/>
              <w:rPr>
                <w:rFonts w:ascii="Book Antiqua" w:eastAsia="宋体" w:hAnsi="Book Antiqua" w:cs="宋体"/>
                <w:color w:val="000000"/>
                <w:lang w:eastAsia="zh-CN"/>
              </w:rPr>
            </w:pPr>
            <w:bookmarkStart w:id="6" w:name="RANGE!C85"/>
            <w:r>
              <w:rPr>
                <w:rFonts w:ascii="Book Antiqua" w:eastAsia="宋体" w:hAnsi="Book Antiqua" w:cs="宋体"/>
                <w:color w:val="000000"/>
                <w:lang w:eastAsia="zh-CN"/>
              </w:rPr>
              <w:t>Soybean and its products</w:t>
            </w:r>
            <w:r>
              <w:rPr>
                <w:rFonts w:ascii="Book Antiqua" w:eastAsia="宋体" w:hAnsi="Book Antiqua" w:cs="宋体"/>
                <w:color w:val="000000"/>
                <w:vertAlign w:val="superscript"/>
                <w:lang w:eastAsia="zh-CN"/>
              </w:rPr>
              <w:t xml:space="preserve"> </w:t>
            </w:r>
            <w:r>
              <w:rPr>
                <w:rFonts w:ascii="Book Antiqua" w:eastAsia="宋体" w:hAnsi="Book Antiqua" w:cs="宋体"/>
                <w:color w:val="000000"/>
                <w:lang w:eastAsia="zh-CN"/>
              </w:rPr>
              <w:t xml:space="preserve"> </w:t>
            </w:r>
            <w:bookmarkEnd w:id="6"/>
          </w:p>
        </w:tc>
        <w:tc>
          <w:tcPr>
            <w:tcW w:w="0" w:type="auto"/>
            <w:tcBorders>
              <w:top w:val="nil"/>
              <w:left w:val="nil"/>
              <w:bottom w:val="nil"/>
              <w:right w:val="nil"/>
            </w:tcBorders>
            <w:shd w:val="clear" w:color="auto" w:fill="auto"/>
            <w:vAlign w:val="center"/>
          </w:tcPr>
          <w:p w14:paraId="4448C481"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36A75272"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4C12A120" w14:textId="77777777" w:rsidR="00326869" w:rsidRDefault="008967A2">
            <w:pPr>
              <w:jc w:val="both"/>
              <w:rPr>
                <w:rFonts w:ascii="Book Antiqua" w:eastAsia="宋体" w:hAnsi="Book Antiqua" w:cs="宋体"/>
                <w:color w:val="000000"/>
                <w:lang w:eastAsia="zh-CN"/>
              </w:rPr>
            </w:pPr>
            <w:bookmarkStart w:id="7" w:name="RANGE!F85"/>
            <w:r>
              <w:rPr>
                <w:rFonts w:ascii="Book Antiqua" w:eastAsia="宋体" w:hAnsi="Book Antiqua" w:cs="宋体"/>
                <w:color w:val="000000"/>
                <w:lang w:eastAsia="zh-CN"/>
              </w:rPr>
              <w:t>&lt; 0.001</w:t>
            </w:r>
            <w:bookmarkEnd w:id="7"/>
          </w:p>
        </w:tc>
      </w:tr>
      <w:tr w:rsidR="00326869" w14:paraId="49483A4B" w14:textId="77777777">
        <w:trPr>
          <w:trHeight w:val="312"/>
        </w:trPr>
        <w:tc>
          <w:tcPr>
            <w:tcW w:w="0" w:type="auto"/>
            <w:tcBorders>
              <w:top w:val="nil"/>
              <w:left w:val="nil"/>
              <w:bottom w:val="nil"/>
              <w:right w:val="nil"/>
            </w:tcBorders>
            <w:shd w:val="clear" w:color="auto" w:fill="auto"/>
            <w:vAlign w:val="center"/>
          </w:tcPr>
          <w:p w14:paraId="2B3ACD1E"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0" w:type="auto"/>
            <w:tcBorders>
              <w:top w:val="nil"/>
              <w:left w:val="nil"/>
              <w:bottom w:val="nil"/>
              <w:right w:val="nil"/>
            </w:tcBorders>
            <w:shd w:val="clear" w:color="auto" w:fill="auto"/>
            <w:vAlign w:val="center"/>
          </w:tcPr>
          <w:p w14:paraId="09DBC09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 (40.0)</w:t>
            </w:r>
          </w:p>
        </w:tc>
        <w:tc>
          <w:tcPr>
            <w:tcW w:w="0" w:type="auto"/>
            <w:tcBorders>
              <w:top w:val="nil"/>
              <w:left w:val="nil"/>
              <w:bottom w:val="nil"/>
              <w:right w:val="nil"/>
            </w:tcBorders>
            <w:shd w:val="clear" w:color="auto" w:fill="auto"/>
            <w:vAlign w:val="center"/>
          </w:tcPr>
          <w:p w14:paraId="4E77E5F3" w14:textId="77777777" w:rsidR="00326869" w:rsidRDefault="008967A2">
            <w:pPr>
              <w:jc w:val="both"/>
              <w:rPr>
                <w:sz w:val="20"/>
                <w:szCs w:val="20"/>
                <w:lang w:eastAsia="zh-CN"/>
              </w:rPr>
            </w:pPr>
            <w:r>
              <w:rPr>
                <w:rFonts w:ascii="Book Antiqua" w:eastAsia="宋体" w:hAnsi="Book Antiqua" w:cs="宋体"/>
                <w:color w:val="000000"/>
                <w:lang w:eastAsia="zh-CN"/>
              </w:rPr>
              <w:t>95 (86.4)</w:t>
            </w:r>
          </w:p>
        </w:tc>
        <w:tc>
          <w:tcPr>
            <w:tcW w:w="0" w:type="auto"/>
            <w:vMerge/>
            <w:tcBorders>
              <w:top w:val="nil"/>
              <w:left w:val="nil"/>
              <w:bottom w:val="nil"/>
              <w:right w:val="nil"/>
            </w:tcBorders>
            <w:vAlign w:val="center"/>
          </w:tcPr>
          <w:p w14:paraId="68BD829A" w14:textId="77777777" w:rsidR="00326869" w:rsidRDefault="00326869">
            <w:pPr>
              <w:rPr>
                <w:rFonts w:ascii="Book Antiqua" w:eastAsia="宋体" w:hAnsi="Book Antiqua" w:cs="宋体"/>
                <w:color w:val="000000"/>
                <w:lang w:eastAsia="zh-CN"/>
              </w:rPr>
            </w:pPr>
          </w:p>
        </w:tc>
      </w:tr>
      <w:tr w:rsidR="00326869" w14:paraId="20A8F3FB" w14:textId="77777777">
        <w:trPr>
          <w:trHeight w:val="312"/>
        </w:trPr>
        <w:tc>
          <w:tcPr>
            <w:tcW w:w="0" w:type="auto"/>
            <w:tcBorders>
              <w:top w:val="nil"/>
              <w:left w:val="nil"/>
              <w:bottom w:val="nil"/>
              <w:right w:val="nil"/>
            </w:tcBorders>
            <w:shd w:val="clear" w:color="auto" w:fill="auto"/>
            <w:vAlign w:val="center"/>
          </w:tcPr>
          <w:p w14:paraId="72F11BBF"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26C259B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 (28.0)</w:t>
            </w:r>
          </w:p>
        </w:tc>
        <w:tc>
          <w:tcPr>
            <w:tcW w:w="0" w:type="auto"/>
            <w:tcBorders>
              <w:top w:val="nil"/>
              <w:left w:val="nil"/>
              <w:bottom w:val="nil"/>
              <w:right w:val="nil"/>
            </w:tcBorders>
            <w:shd w:val="clear" w:color="auto" w:fill="auto"/>
            <w:vAlign w:val="center"/>
          </w:tcPr>
          <w:p w14:paraId="08F76C9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12 (10.9)</w:t>
            </w:r>
          </w:p>
        </w:tc>
        <w:tc>
          <w:tcPr>
            <w:tcW w:w="0" w:type="auto"/>
            <w:vMerge/>
            <w:tcBorders>
              <w:top w:val="nil"/>
              <w:left w:val="nil"/>
              <w:bottom w:val="nil"/>
              <w:right w:val="nil"/>
            </w:tcBorders>
            <w:vAlign w:val="center"/>
          </w:tcPr>
          <w:p w14:paraId="170E74F1" w14:textId="77777777" w:rsidR="00326869" w:rsidRDefault="00326869">
            <w:pPr>
              <w:rPr>
                <w:rFonts w:ascii="Book Antiqua" w:eastAsia="宋体" w:hAnsi="Book Antiqua" w:cs="宋体"/>
                <w:color w:val="000000"/>
                <w:lang w:eastAsia="zh-CN"/>
              </w:rPr>
            </w:pPr>
          </w:p>
        </w:tc>
      </w:tr>
      <w:tr w:rsidR="00326869" w14:paraId="09E247CC" w14:textId="77777777">
        <w:trPr>
          <w:trHeight w:val="312"/>
        </w:trPr>
        <w:tc>
          <w:tcPr>
            <w:tcW w:w="0" w:type="auto"/>
            <w:tcBorders>
              <w:top w:val="nil"/>
              <w:left w:val="nil"/>
              <w:bottom w:val="nil"/>
              <w:right w:val="nil"/>
            </w:tcBorders>
            <w:shd w:val="clear" w:color="auto" w:fill="auto"/>
            <w:vAlign w:val="center"/>
          </w:tcPr>
          <w:p w14:paraId="0CA4A107"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7 t/wk</w:t>
            </w:r>
          </w:p>
        </w:tc>
        <w:tc>
          <w:tcPr>
            <w:tcW w:w="0" w:type="auto"/>
            <w:tcBorders>
              <w:top w:val="nil"/>
              <w:left w:val="nil"/>
              <w:bottom w:val="nil"/>
              <w:right w:val="nil"/>
            </w:tcBorders>
            <w:shd w:val="clear" w:color="auto" w:fill="auto"/>
            <w:vAlign w:val="center"/>
          </w:tcPr>
          <w:p w14:paraId="22C24FE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8 (32.0)</w:t>
            </w:r>
          </w:p>
        </w:tc>
        <w:tc>
          <w:tcPr>
            <w:tcW w:w="0" w:type="auto"/>
            <w:tcBorders>
              <w:top w:val="nil"/>
              <w:left w:val="nil"/>
              <w:bottom w:val="nil"/>
              <w:right w:val="nil"/>
            </w:tcBorders>
            <w:shd w:val="clear" w:color="auto" w:fill="auto"/>
            <w:vAlign w:val="center"/>
          </w:tcPr>
          <w:p w14:paraId="138019E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 (2.7)</w:t>
            </w:r>
          </w:p>
        </w:tc>
        <w:tc>
          <w:tcPr>
            <w:tcW w:w="0" w:type="auto"/>
            <w:vMerge/>
            <w:tcBorders>
              <w:top w:val="nil"/>
              <w:left w:val="nil"/>
              <w:bottom w:val="nil"/>
              <w:right w:val="nil"/>
            </w:tcBorders>
            <w:vAlign w:val="center"/>
          </w:tcPr>
          <w:p w14:paraId="346E633F" w14:textId="77777777" w:rsidR="00326869" w:rsidRDefault="00326869">
            <w:pPr>
              <w:rPr>
                <w:rFonts w:ascii="Book Antiqua" w:eastAsia="宋体" w:hAnsi="Book Antiqua" w:cs="宋体"/>
                <w:color w:val="000000"/>
                <w:lang w:eastAsia="zh-CN"/>
              </w:rPr>
            </w:pPr>
          </w:p>
        </w:tc>
      </w:tr>
      <w:tr w:rsidR="00326869" w14:paraId="7ADE919E" w14:textId="77777777">
        <w:trPr>
          <w:trHeight w:val="312"/>
        </w:trPr>
        <w:tc>
          <w:tcPr>
            <w:tcW w:w="0" w:type="auto"/>
            <w:tcBorders>
              <w:top w:val="nil"/>
              <w:left w:val="nil"/>
              <w:bottom w:val="nil"/>
              <w:right w:val="nil"/>
            </w:tcBorders>
            <w:shd w:val="clear" w:color="auto" w:fill="auto"/>
            <w:vAlign w:val="center"/>
          </w:tcPr>
          <w:p w14:paraId="48E923C4" w14:textId="77777777" w:rsidR="00326869" w:rsidRDefault="008967A2">
            <w:pPr>
              <w:jc w:val="both"/>
              <w:rPr>
                <w:rFonts w:ascii="Book Antiqua" w:eastAsia="宋体" w:hAnsi="Book Antiqua" w:cs="宋体"/>
                <w:color w:val="000000"/>
                <w:lang w:eastAsia="zh-CN"/>
              </w:rPr>
            </w:pPr>
            <w:bookmarkStart w:id="8" w:name="RANGE!C90"/>
            <w:r>
              <w:rPr>
                <w:rFonts w:ascii="Book Antiqua" w:eastAsia="宋体" w:hAnsi="Book Antiqua" w:cs="宋体"/>
                <w:color w:val="000000"/>
                <w:lang w:eastAsia="zh-CN"/>
              </w:rPr>
              <w:t>Spicy food</w:t>
            </w:r>
            <w:r>
              <w:rPr>
                <w:rFonts w:ascii="Book Antiqua" w:eastAsia="宋体" w:hAnsi="Book Antiqua" w:cs="宋体"/>
                <w:color w:val="000000"/>
                <w:vertAlign w:val="superscript"/>
                <w:lang w:eastAsia="zh-CN"/>
              </w:rPr>
              <w:t xml:space="preserve"> </w:t>
            </w:r>
            <w:bookmarkEnd w:id="8"/>
          </w:p>
        </w:tc>
        <w:tc>
          <w:tcPr>
            <w:tcW w:w="0" w:type="auto"/>
            <w:tcBorders>
              <w:top w:val="nil"/>
              <w:left w:val="nil"/>
              <w:bottom w:val="nil"/>
              <w:right w:val="nil"/>
            </w:tcBorders>
            <w:shd w:val="clear" w:color="auto" w:fill="auto"/>
            <w:vAlign w:val="center"/>
          </w:tcPr>
          <w:p w14:paraId="330DFB0F"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3A6534A8"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57A1F270" w14:textId="77777777" w:rsidR="00326869" w:rsidRDefault="008967A2">
            <w:pPr>
              <w:jc w:val="both"/>
              <w:rPr>
                <w:rFonts w:ascii="Book Antiqua" w:eastAsia="宋体" w:hAnsi="Book Antiqua" w:cs="宋体"/>
                <w:color w:val="000000"/>
                <w:lang w:eastAsia="zh-CN"/>
              </w:rPr>
            </w:pPr>
            <w:bookmarkStart w:id="9" w:name="RANGE!F90"/>
            <w:r>
              <w:rPr>
                <w:rFonts w:ascii="Book Antiqua" w:eastAsia="宋体" w:hAnsi="Book Antiqua" w:cs="宋体"/>
                <w:color w:val="000000"/>
                <w:lang w:eastAsia="zh-CN"/>
              </w:rPr>
              <w:t>0.001</w:t>
            </w:r>
            <w:bookmarkEnd w:id="9"/>
          </w:p>
        </w:tc>
      </w:tr>
      <w:tr w:rsidR="00326869" w14:paraId="191B9808" w14:textId="77777777">
        <w:trPr>
          <w:trHeight w:val="312"/>
        </w:trPr>
        <w:tc>
          <w:tcPr>
            <w:tcW w:w="0" w:type="auto"/>
            <w:tcBorders>
              <w:top w:val="nil"/>
              <w:left w:val="nil"/>
              <w:bottom w:val="nil"/>
              <w:right w:val="nil"/>
            </w:tcBorders>
            <w:shd w:val="clear" w:color="auto" w:fill="auto"/>
            <w:vAlign w:val="center"/>
          </w:tcPr>
          <w:p w14:paraId="47855FEC"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0" w:type="auto"/>
            <w:tcBorders>
              <w:top w:val="nil"/>
              <w:left w:val="nil"/>
              <w:bottom w:val="nil"/>
              <w:right w:val="nil"/>
            </w:tcBorders>
            <w:shd w:val="clear" w:color="auto" w:fill="auto"/>
            <w:vAlign w:val="center"/>
          </w:tcPr>
          <w:p w14:paraId="62BDAE9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 (28.0)</w:t>
            </w:r>
          </w:p>
        </w:tc>
        <w:tc>
          <w:tcPr>
            <w:tcW w:w="0" w:type="auto"/>
            <w:tcBorders>
              <w:top w:val="nil"/>
              <w:left w:val="nil"/>
              <w:bottom w:val="nil"/>
              <w:right w:val="nil"/>
            </w:tcBorders>
            <w:shd w:val="clear" w:color="auto" w:fill="auto"/>
            <w:vAlign w:val="center"/>
          </w:tcPr>
          <w:p w14:paraId="21DF7FC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63 (57.3)</w:t>
            </w:r>
          </w:p>
        </w:tc>
        <w:tc>
          <w:tcPr>
            <w:tcW w:w="0" w:type="auto"/>
            <w:vMerge/>
            <w:tcBorders>
              <w:top w:val="nil"/>
              <w:left w:val="nil"/>
              <w:bottom w:val="nil"/>
              <w:right w:val="nil"/>
            </w:tcBorders>
            <w:vAlign w:val="center"/>
          </w:tcPr>
          <w:p w14:paraId="163562CA" w14:textId="77777777" w:rsidR="00326869" w:rsidRDefault="00326869">
            <w:pPr>
              <w:rPr>
                <w:rFonts w:ascii="Book Antiqua" w:eastAsia="宋体" w:hAnsi="Book Antiqua" w:cs="宋体"/>
                <w:color w:val="000000"/>
                <w:lang w:eastAsia="zh-CN"/>
              </w:rPr>
            </w:pPr>
          </w:p>
        </w:tc>
      </w:tr>
      <w:tr w:rsidR="00326869" w14:paraId="0CD76318" w14:textId="77777777">
        <w:trPr>
          <w:trHeight w:val="312"/>
        </w:trPr>
        <w:tc>
          <w:tcPr>
            <w:tcW w:w="0" w:type="auto"/>
            <w:tcBorders>
              <w:top w:val="nil"/>
              <w:left w:val="nil"/>
              <w:bottom w:val="nil"/>
              <w:right w:val="nil"/>
            </w:tcBorders>
            <w:shd w:val="clear" w:color="auto" w:fill="auto"/>
            <w:vAlign w:val="center"/>
          </w:tcPr>
          <w:p w14:paraId="52A42AAB"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7F05D20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 (28.0)</w:t>
            </w:r>
          </w:p>
        </w:tc>
        <w:tc>
          <w:tcPr>
            <w:tcW w:w="0" w:type="auto"/>
            <w:tcBorders>
              <w:top w:val="nil"/>
              <w:left w:val="nil"/>
              <w:bottom w:val="nil"/>
              <w:right w:val="nil"/>
            </w:tcBorders>
            <w:shd w:val="clear" w:color="auto" w:fill="auto"/>
            <w:vAlign w:val="center"/>
          </w:tcPr>
          <w:p w14:paraId="1D5897E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33 (30.0)</w:t>
            </w:r>
          </w:p>
        </w:tc>
        <w:tc>
          <w:tcPr>
            <w:tcW w:w="0" w:type="auto"/>
            <w:vMerge/>
            <w:tcBorders>
              <w:top w:val="nil"/>
              <w:left w:val="nil"/>
              <w:bottom w:val="nil"/>
              <w:right w:val="nil"/>
            </w:tcBorders>
            <w:vAlign w:val="center"/>
          </w:tcPr>
          <w:p w14:paraId="6AC7C4D7" w14:textId="77777777" w:rsidR="00326869" w:rsidRDefault="00326869">
            <w:pPr>
              <w:rPr>
                <w:rFonts w:ascii="Book Antiqua" w:eastAsia="宋体" w:hAnsi="Book Antiqua" w:cs="宋体"/>
                <w:color w:val="000000"/>
                <w:lang w:eastAsia="zh-CN"/>
              </w:rPr>
            </w:pPr>
          </w:p>
        </w:tc>
      </w:tr>
      <w:tr w:rsidR="00326869" w14:paraId="57E518A6" w14:textId="77777777">
        <w:trPr>
          <w:trHeight w:val="312"/>
        </w:trPr>
        <w:tc>
          <w:tcPr>
            <w:tcW w:w="0" w:type="auto"/>
            <w:tcBorders>
              <w:top w:val="nil"/>
              <w:left w:val="nil"/>
              <w:bottom w:val="nil"/>
              <w:right w:val="nil"/>
            </w:tcBorders>
            <w:shd w:val="clear" w:color="auto" w:fill="auto"/>
            <w:vAlign w:val="center"/>
          </w:tcPr>
          <w:p w14:paraId="3E015447"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7 t/wk</w:t>
            </w:r>
          </w:p>
        </w:tc>
        <w:tc>
          <w:tcPr>
            <w:tcW w:w="0" w:type="auto"/>
            <w:tcBorders>
              <w:top w:val="nil"/>
              <w:left w:val="nil"/>
              <w:bottom w:val="nil"/>
              <w:right w:val="nil"/>
            </w:tcBorders>
            <w:shd w:val="clear" w:color="auto" w:fill="auto"/>
            <w:vAlign w:val="center"/>
          </w:tcPr>
          <w:p w14:paraId="540B095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11 (44.0)</w:t>
            </w:r>
          </w:p>
        </w:tc>
        <w:tc>
          <w:tcPr>
            <w:tcW w:w="0" w:type="auto"/>
            <w:tcBorders>
              <w:top w:val="nil"/>
              <w:left w:val="nil"/>
              <w:bottom w:val="nil"/>
              <w:right w:val="nil"/>
            </w:tcBorders>
            <w:shd w:val="clear" w:color="auto" w:fill="auto"/>
            <w:vAlign w:val="center"/>
          </w:tcPr>
          <w:p w14:paraId="4672883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14 (12.7)</w:t>
            </w:r>
          </w:p>
        </w:tc>
        <w:tc>
          <w:tcPr>
            <w:tcW w:w="0" w:type="auto"/>
            <w:vMerge/>
            <w:tcBorders>
              <w:top w:val="nil"/>
              <w:left w:val="nil"/>
              <w:bottom w:val="nil"/>
              <w:right w:val="nil"/>
            </w:tcBorders>
            <w:vAlign w:val="center"/>
          </w:tcPr>
          <w:p w14:paraId="32E009CF" w14:textId="77777777" w:rsidR="00326869" w:rsidRDefault="00326869">
            <w:pPr>
              <w:rPr>
                <w:rFonts w:ascii="Book Antiqua" w:eastAsia="宋体" w:hAnsi="Book Antiqua" w:cs="宋体"/>
                <w:color w:val="000000"/>
                <w:lang w:eastAsia="zh-CN"/>
              </w:rPr>
            </w:pPr>
          </w:p>
        </w:tc>
      </w:tr>
      <w:tr w:rsidR="00326869" w14:paraId="0F09F07D" w14:textId="77777777">
        <w:trPr>
          <w:trHeight w:val="312"/>
        </w:trPr>
        <w:tc>
          <w:tcPr>
            <w:tcW w:w="0" w:type="auto"/>
            <w:tcBorders>
              <w:top w:val="nil"/>
              <w:left w:val="nil"/>
              <w:bottom w:val="nil"/>
              <w:right w:val="nil"/>
            </w:tcBorders>
            <w:shd w:val="clear" w:color="auto" w:fill="auto"/>
            <w:vAlign w:val="center"/>
          </w:tcPr>
          <w:p w14:paraId="0AEF78F7" w14:textId="77777777" w:rsidR="00326869" w:rsidRDefault="008967A2">
            <w:pPr>
              <w:jc w:val="both"/>
              <w:rPr>
                <w:rFonts w:ascii="Book Antiqua" w:eastAsia="宋体" w:hAnsi="Book Antiqua" w:cs="宋体"/>
                <w:color w:val="000000"/>
                <w:lang w:eastAsia="zh-CN"/>
              </w:rPr>
            </w:pPr>
            <w:bookmarkStart w:id="10" w:name="RANGE!C94"/>
            <w:r>
              <w:rPr>
                <w:rFonts w:ascii="Book Antiqua" w:eastAsia="宋体" w:hAnsi="Book Antiqua" w:cs="宋体"/>
                <w:color w:val="000000"/>
                <w:lang w:eastAsia="zh-CN"/>
              </w:rPr>
              <w:t>Barbecue</w:t>
            </w:r>
            <w:r>
              <w:rPr>
                <w:rFonts w:ascii="Book Antiqua" w:eastAsia="宋体" w:hAnsi="Book Antiqua" w:cs="宋体"/>
                <w:color w:val="000000"/>
                <w:vertAlign w:val="superscript"/>
                <w:lang w:eastAsia="zh-CN"/>
              </w:rPr>
              <w:t xml:space="preserve"> </w:t>
            </w:r>
            <w:bookmarkEnd w:id="10"/>
          </w:p>
        </w:tc>
        <w:tc>
          <w:tcPr>
            <w:tcW w:w="0" w:type="auto"/>
            <w:tcBorders>
              <w:top w:val="nil"/>
              <w:left w:val="nil"/>
              <w:bottom w:val="nil"/>
              <w:right w:val="nil"/>
            </w:tcBorders>
            <w:shd w:val="clear" w:color="auto" w:fill="auto"/>
            <w:vAlign w:val="center"/>
          </w:tcPr>
          <w:p w14:paraId="20005B59"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48BD20FA"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1AA6E0C7" w14:textId="77777777" w:rsidR="00326869" w:rsidRDefault="008967A2">
            <w:pPr>
              <w:jc w:val="both"/>
              <w:rPr>
                <w:rFonts w:ascii="Book Antiqua" w:eastAsia="宋体" w:hAnsi="Book Antiqua" w:cs="宋体"/>
                <w:color w:val="000000"/>
                <w:lang w:eastAsia="zh-CN"/>
              </w:rPr>
            </w:pPr>
            <w:bookmarkStart w:id="11" w:name="RANGE!F94"/>
            <w:r>
              <w:rPr>
                <w:rFonts w:ascii="Book Antiqua" w:eastAsia="宋体" w:hAnsi="Book Antiqua" w:cs="宋体"/>
                <w:color w:val="000000"/>
                <w:lang w:eastAsia="zh-CN"/>
              </w:rPr>
              <w:t>&lt; 0.001</w:t>
            </w:r>
            <w:bookmarkEnd w:id="11"/>
          </w:p>
        </w:tc>
      </w:tr>
      <w:tr w:rsidR="00326869" w14:paraId="3047B801" w14:textId="77777777">
        <w:trPr>
          <w:trHeight w:val="312"/>
        </w:trPr>
        <w:tc>
          <w:tcPr>
            <w:tcW w:w="0" w:type="auto"/>
            <w:tcBorders>
              <w:top w:val="nil"/>
              <w:left w:val="nil"/>
              <w:bottom w:val="nil"/>
              <w:right w:val="nil"/>
            </w:tcBorders>
            <w:shd w:val="clear" w:color="auto" w:fill="auto"/>
            <w:vAlign w:val="center"/>
          </w:tcPr>
          <w:p w14:paraId="0B5B95C0"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0" w:type="auto"/>
            <w:tcBorders>
              <w:top w:val="nil"/>
              <w:left w:val="nil"/>
              <w:bottom w:val="nil"/>
              <w:right w:val="nil"/>
            </w:tcBorders>
            <w:shd w:val="clear" w:color="auto" w:fill="auto"/>
            <w:vAlign w:val="center"/>
          </w:tcPr>
          <w:p w14:paraId="538C8BE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12 (48.0)</w:t>
            </w:r>
          </w:p>
        </w:tc>
        <w:tc>
          <w:tcPr>
            <w:tcW w:w="0" w:type="auto"/>
            <w:tcBorders>
              <w:top w:val="nil"/>
              <w:left w:val="nil"/>
              <w:bottom w:val="nil"/>
              <w:right w:val="nil"/>
            </w:tcBorders>
            <w:shd w:val="clear" w:color="auto" w:fill="auto"/>
            <w:vAlign w:val="center"/>
          </w:tcPr>
          <w:p w14:paraId="51E06D7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93 (84.5)</w:t>
            </w:r>
          </w:p>
        </w:tc>
        <w:tc>
          <w:tcPr>
            <w:tcW w:w="0" w:type="auto"/>
            <w:vMerge/>
            <w:tcBorders>
              <w:top w:val="nil"/>
              <w:left w:val="nil"/>
              <w:bottom w:val="nil"/>
              <w:right w:val="nil"/>
            </w:tcBorders>
            <w:vAlign w:val="center"/>
          </w:tcPr>
          <w:p w14:paraId="29D3754C" w14:textId="77777777" w:rsidR="00326869" w:rsidRDefault="00326869">
            <w:pPr>
              <w:rPr>
                <w:rFonts w:ascii="Book Antiqua" w:eastAsia="宋体" w:hAnsi="Book Antiqua" w:cs="宋体"/>
                <w:color w:val="000000"/>
                <w:lang w:eastAsia="zh-CN"/>
              </w:rPr>
            </w:pPr>
          </w:p>
        </w:tc>
      </w:tr>
      <w:tr w:rsidR="00326869" w14:paraId="12734B05" w14:textId="77777777">
        <w:trPr>
          <w:trHeight w:val="312"/>
        </w:trPr>
        <w:tc>
          <w:tcPr>
            <w:tcW w:w="0" w:type="auto"/>
            <w:tcBorders>
              <w:top w:val="nil"/>
              <w:left w:val="nil"/>
              <w:bottom w:val="nil"/>
              <w:right w:val="nil"/>
            </w:tcBorders>
            <w:shd w:val="clear" w:color="auto" w:fill="auto"/>
            <w:vAlign w:val="center"/>
          </w:tcPr>
          <w:p w14:paraId="4A6ADE92"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00E9699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9 (36.0)</w:t>
            </w:r>
          </w:p>
        </w:tc>
        <w:tc>
          <w:tcPr>
            <w:tcW w:w="0" w:type="auto"/>
            <w:tcBorders>
              <w:top w:val="nil"/>
              <w:left w:val="nil"/>
              <w:bottom w:val="nil"/>
              <w:right w:val="nil"/>
            </w:tcBorders>
            <w:shd w:val="clear" w:color="auto" w:fill="auto"/>
            <w:vAlign w:val="center"/>
          </w:tcPr>
          <w:p w14:paraId="1583DA6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14 (12.7)</w:t>
            </w:r>
          </w:p>
        </w:tc>
        <w:tc>
          <w:tcPr>
            <w:tcW w:w="0" w:type="auto"/>
            <w:vMerge/>
            <w:tcBorders>
              <w:top w:val="nil"/>
              <w:left w:val="nil"/>
              <w:bottom w:val="nil"/>
              <w:right w:val="nil"/>
            </w:tcBorders>
            <w:vAlign w:val="center"/>
          </w:tcPr>
          <w:p w14:paraId="7E5EB5D9" w14:textId="77777777" w:rsidR="00326869" w:rsidRDefault="00326869">
            <w:pPr>
              <w:rPr>
                <w:rFonts w:ascii="Book Antiqua" w:eastAsia="宋体" w:hAnsi="Book Antiqua" w:cs="宋体"/>
                <w:color w:val="000000"/>
                <w:lang w:eastAsia="zh-CN"/>
              </w:rPr>
            </w:pPr>
          </w:p>
        </w:tc>
      </w:tr>
      <w:tr w:rsidR="00326869" w14:paraId="2B0E15B8" w14:textId="77777777">
        <w:trPr>
          <w:trHeight w:val="312"/>
        </w:trPr>
        <w:tc>
          <w:tcPr>
            <w:tcW w:w="0" w:type="auto"/>
            <w:tcBorders>
              <w:top w:val="nil"/>
              <w:left w:val="nil"/>
              <w:bottom w:val="nil"/>
              <w:right w:val="nil"/>
            </w:tcBorders>
            <w:shd w:val="clear" w:color="auto" w:fill="auto"/>
            <w:vAlign w:val="center"/>
          </w:tcPr>
          <w:p w14:paraId="6C11C060"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7 t/wk</w:t>
            </w:r>
          </w:p>
        </w:tc>
        <w:tc>
          <w:tcPr>
            <w:tcW w:w="0" w:type="auto"/>
            <w:tcBorders>
              <w:top w:val="nil"/>
              <w:left w:val="nil"/>
              <w:bottom w:val="nil"/>
              <w:right w:val="nil"/>
            </w:tcBorders>
            <w:shd w:val="clear" w:color="auto" w:fill="auto"/>
            <w:vAlign w:val="center"/>
          </w:tcPr>
          <w:p w14:paraId="000E209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 (16.0)</w:t>
            </w:r>
          </w:p>
        </w:tc>
        <w:tc>
          <w:tcPr>
            <w:tcW w:w="0" w:type="auto"/>
            <w:tcBorders>
              <w:top w:val="nil"/>
              <w:left w:val="nil"/>
              <w:bottom w:val="nil"/>
              <w:right w:val="nil"/>
            </w:tcBorders>
            <w:shd w:val="clear" w:color="auto" w:fill="auto"/>
            <w:vAlign w:val="center"/>
          </w:tcPr>
          <w:p w14:paraId="3905AC5B"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 (2.7)</w:t>
            </w:r>
          </w:p>
        </w:tc>
        <w:tc>
          <w:tcPr>
            <w:tcW w:w="0" w:type="auto"/>
            <w:vMerge/>
            <w:tcBorders>
              <w:top w:val="nil"/>
              <w:left w:val="nil"/>
              <w:bottom w:val="nil"/>
              <w:right w:val="nil"/>
            </w:tcBorders>
            <w:vAlign w:val="center"/>
          </w:tcPr>
          <w:p w14:paraId="29B1F4EE" w14:textId="77777777" w:rsidR="00326869" w:rsidRDefault="00326869">
            <w:pPr>
              <w:rPr>
                <w:rFonts w:ascii="Book Antiqua" w:eastAsia="宋体" w:hAnsi="Book Antiqua" w:cs="宋体"/>
                <w:color w:val="000000"/>
                <w:lang w:eastAsia="zh-CN"/>
              </w:rPr>
            </w:pPr>
          </w:p>
        </w:tc>
      </w:tr>
      <w:tr w:rsidR="00326869" w14:paraId="6D54FF7D" w14:textId="77777777">
        <w:trPr>
          <w:trHeight w:val="312"/>
        </w:trPr>
        <w:tc>
          <w:tcPr>
            <w:tcW w:w="0" w:type="auto"/>
            <w:tcBorders>
              <w:top w:val="nil"/>
              <w:left w:val="nil"/>
              <w:bottom w:val="nil"/>
              <w:right w:val="nil"/>
            </w:tcBorders>
            <w:shd w:val="clear" w:color="auto" w:fill="auto"/>
            <w:vAlign w:val="center"/>
          </w:tcPr>
          <w:p w14:paraId="566403B7" w14:textId="77777777" w:rsidR="00326869" w:rsidRDefault="008967A2">
            <w:pPr>
              <w:jc w:val="both"/>
              <w:rPr>
                <w:rFonts w:ascii="Book Antiqua" w:eastAsia="宋体" w:hAnsi="Book Antiqua" w:cs="宋体"/>
                <w:color w:val="000000"/>
                <w:lang w:eastAsia="zh-CN"/>
              </w:rPr>
            </w:pPr>
            <w:bookmarkStart w:id="12" w:name="RANGE!C98"/>
            <w:r>
              <w:rPr>
                <w:rFonts w:ascii="Book Antiqua" w:eastAsia="宋体" w:hAnsi="Book Antiqua" w:cs="宋体"/>
                <w:color w:val="000000"/>
                <w:lang w:eastAsia="zh-CN"/>
              </w:rPr>
              <w:t xml:space="preserve">Dry-fried nuts </w:t>
            </w:r>
            <w:bookmarkEnd w:id="12"/>
          </w:p>
        </w:tc>
        <w:tc>
          <w:tcPr>
            <w:tcW w:w="0" w:type="auto"/>
            <w:tcBorders>
              <w:top w:val="nil"/>
              <w:left w:val="nil"/>
              <w:bottom w:val="nil"/>
              <w:right w:val="nil"/>
            </w:tcBorders>
            <w:shd w:val="clear" w:color="auto" w:fill="auto"/>
            <w:vAlign w:val="center"/>
          </w:tcPr>
          <w:p w14:paraId="55EF7572"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5E797AD1"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75698D0C" w14:textId="77777777" w:rsidR="00326869" w:rsidRDefault="008967A2">
            <w:pPr>
              <w:jc w:val="both"/>
              <w:rPr>
                <w:rFonts w:ascii="Book Antiqua" w:eastAsia="宋体" w:hAnsi="Book Antiqua" w:cs="宋体"/>
                <w:color w:val="000000"/>
                <w:lang w:eastAsia="zh-CN"/>
              </w:rPr>
            </w:pPr>
            <w:bookmarkStart w:id="13" w:name="RANGE!F98"/>
            <w:r>
              <w:rPr>
                <w:rFonts w:ascii="Book Antiqua" w:eastAsia="宋体" w:hAnsi="Book Antiqua" w:cs="宋体"/>
                <w:color w:val="000000"/>
                <w:lang w:eastAsia="zh-CN"/>
              </w:rPr>
              <w:t>&lt; 0.001</w:t>
            </w:r>
            <w:bookmarkEnd w:id="13"/>
          </w:p>
        </w:tc>
      </w:tr>
      <w:tr w:rsidR="00326869" w14:paraId="738118B9" w14:textId="77777777">
        <w:trPr>
          <w:trHeight w:val="312"/>
        </w:trPr>
        <w:tc>
          <w:tcPr>
            <w:tcW w:w="0" w:type="auto"/>
            <w:tcBorders>
              <w:top w:val="nil"/>
              <w:left w:val="nil"/>
              <w:bottom w:val="nil"/>
              <w:right w:val="nil"/>
            </w:tcBorders>
            <w:shd w:val="clear" w:color="auto" w:fill="auto"/>
            <w:vAlign w:val="center"/>
          </w:tcPr>
          <w:p w14:paraId="70DA619B"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0" w:type="auto"/>
            <w:tcBorders>
              <w:top w:val="nil"/>
              <w:left w:val="nil"/>
              <w:bottom w:val="nil"/>
              <w:right w:val="nil"/>
            </w:tcBorders>
            <w:shd w:val="clear" w:color="auto" w:fill="auto"/>
            <w:vAlign w:val="center"/>
          </w:tcPr>
          <w:p w14:paraId="04DF799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15 (60.0)</w:t>
            </w:r>
          </w:p>
        </w:tc>
        <w:tc>
          <w:tcPr>
            <w:tcW w:w="0" w:type="auto"/>
            <w:tcBorders>
              <w:top w:val="nil"/>
              <w:left w:val="nil"/>
              <w:bottom w:val="nil"/>
              <w:right w:val="nil"/>
            </w:tcBorders>
            <w:shd w:val="clear" w:color="auto" w:fill="auto"/>
            <w:vAlign w:val="center"/>
          </w:tcPr>
          <w:p w14:paraId="0C492AB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102 (92.7)</w:t>
            </w:r>
          </w:p>
        </w:tc>
        <w:tc>
          <w:tcPr>
            <w:tcW w:w="0" w:type="auto"/>
            <w:vMerge/>
            <w:tcBorders>
              <w:top w:val="nil"/>
              <w:left w:val="nil"/>
              <w:bottom w:val="nil"/>
              <w:right w:val="nil"/>
            </w:tcBorders>
            <w:vAlign w:val="center"/>
          </w:tcPr>
          <w:p w14:paraId="6DF88E89" w14:textId="77777777" w:rsidR="00326869" w:rsidRDefault="00326869">
            <w:pPr>
              <w:rPr>
                <w:rFonts w:ascii="Book Antiqua" w:eastAsia="宋体" w:hAnsi="Book Antiqua" w:cs="宋体"/>
                <w:color w:val="000000"/>
                <w:lang w:eastAsia="zh-CN"/>
              </w:rPr>
            </w:pPr>
          </w:p>
        </w:tc>
      </w:tr>
      <w:tr w:rsidR="00326869" w14:paraId="741C6CA4" w14:textId="77777777">
        <w:trPr>
          <w:trHeight w:val="312"/>
        </w:trPr>
        <w:tc>
          <w:tcPr>
            <w:tcW w:w="0" w:type="auto"/>
            <w:tcBorders>
              <w:top w:val="nil"/>
              <w:left w:val="nil"/>
              <w:bottom w:val="nil"/>
              <w:right w:val="nil"/>
            </w:tcBorders>
            <w:shd w:val="clear" w:color="auto" w:fill="auto"/>
            <w:vAlign w:val="center"/>
          </w:tcPr>
          <w:p w14:paraId="3A9E7442"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6BDED5F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 (16.0)</w:t>
            </w:r>
          </w:p>
        </w:tc>
        <w:tc>
          <w:tcPr>
            <w:tcW w:w="0" w:type="auto"/>
            <w:tcBorders>
              <w:top w:val="nil"/>
              <w:left w:val="nil"/>
              <w:bottom w:val="nil"/>
              <w:right w:val="nil"/>
            </w:tcBorders>
            <w:shd w:val="clear" w:color="auto" w:fill="auto"/>
            <w:vAlign w:val="center"/>
          </w:tcPr>
          <w:p w14:paraId="5EC3B50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 (6.4)</w:t>
            </w:r>
          </w:p>
        </w:tc>
        <w:tc>
          <w:tcPr>
            <w:tcW w:w="0" w:type="auto"/>
            <w:vMerge/>
            <w:tcBorders>
              <w:top w:val="nil"/>
              <w:left w:val="nil"/>
              <w:bottom w:val="nil"/>
              <w:right w:val="nil"/>
            </w:tcBorders>
            <w:vAlign w:val="center"/>
          </w:tcPr>
          <w:p w14:paraId="1504CC40" w14:textId="77777777" w:rsidR="00326869" w:rsidRDefault="00326869">
            <w:pPr>
              <w:rPr>
                <w:rFonts w:ascii="Book Antiqua" w:eastAsia="宋体" w:hAnsi="Book Antiqua" w:cs="宋体"/>
                <w:color w:val="000000"/>
                <w:lang w:eastAsia="zh-CN"/>
              </w:rPr>
            </w:pPr>
          </w:p>
        </w:tc>
      </w:tr>
      <w:tr w:rsidR="00326869" w14:paraId="2016693A" w14:textId="77777777">
        <w:trPr>
          <w:trHeight w:val="312"/>
        </w:trPr>
        <w:tc>
          <w:tcPr>
            <w:tcW w:w="0" w:type="auto"/>
            <w:tcBorders>
              <w:top w:val="nil"/>
              <w:left w:val="nil"/>
              <w:bottom w:val="nil"/>
              <w:right w:val="nil"/>
            </w:tcBorders>
            <w:shd w:val="clear" w:color="auto" w:fill="auto"/>
            <w:vAlign w:val="center"/>
          </w:tcPr>
          <w:p w14:paraId="0180D508"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7 t/wk</w:t>
            </w:r>
          </w:p>
        </w:tc>
        <w:tc>
          <w:tcPr>
            <w:tcW w:w="0" w:type="auto"/>
            <w:tcBorders>
              <w:top w:val="nil"/>
              <w:left w:val="nil"/>
              <w:bottom w:val="nil"/>
              <w:right w:val="nil"/>
            </w:tcBorders>
            <w:shd w:val="clear" w:color="auto" w:fill="auto"/>
            <w:vAlign w:val="center"/>
          </w:tcPr>
          <w:p w14:paraId="4679345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6 (24.0)</w:t>
            </w:r>
          </w:p>
        </w:tc>
        <w:tc>
          <w:tcPr>
            <w:tcW w:w="0" w:type="auto"/>
            <w:tcBorders>
              <w:top w:val="nil"/>
              <w:left w:val="nil"/>
              <w:bottom w:val="nil"/>
              <w:right w:val="nil"/>
            </w:tcBorders>
            <w:shd w:val="clear" w:color="auto" w:fill="auto"/>
            <w:vAlign w:val="center"/>
          </w:tcPr>
          <w:p w14:paraId="32DA2D2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 (0.9)</w:t>
            </w:r>
          </w:p>
        </w:tc>
        <w:tc>
          <w:tcPr>
            <w:tcW w:w="0" w:type="auto"/>
            <w:vMerge/>
            <w:tcBorders>
              <w:top w:val="nil"/>
              <w:left w:val="nil"/>
              <w:bottom w:val="nil"/>
              <w:right w:val="nil"/>
            </w:tcBorders>
            <w:vAlign w:val="center"/>
          </w:tcPr>
          <w:p w14:paraId="7701EE0D" w14:textId="77777777" w:rsidR="00326869" w:rsidRDefault="00326869">
            <w:pPr>
              <w:rPr>
                <w:rFonts w:ascii="Book Antiqua" w:eastAsia="宋体" w:hAnsi="Book Antiqua" w:cs="宋体"/>
                <w:color w:val="000000"/>
                <w:lang w:eastAsia="zh-CN"/>
              </w:rPr>
            </w:pPr>
          </w:p>
        </w:tc>
      </w:tr>
      <w:tr w:rsidR="00326869" w14:paraId="2D790769" w14:textId="77777777">
        <w:trPr>
          <w:trHeight w:val="312"/>
        </w:trPr>
        <w:tc>
          <w:tcPr>
            <w:tcW w:w="0" w:type="auto"/>
            <w:tcBorders>
              <w:top w:val="nil"/>
              <w:left w:val="nil"/>
              <w:bottom w:val="nil"/>
              <w:right w:val="nil"/>
            </w:tcBorders>
            <w:shd w:val="clear" w:color="auto" w:fill="auto"/>
            <w:vAlign w:val="center"/>
          </w:tcPr>
          <w:p w14:paraId="16CF9D5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Coarse grain</w:t>
            </w:r>
            <w:r>
              <w:rPr>
                <w:rFonts w:ascii="Book Antiqua" w:eastAsia="宋体" w:hAnsi="Book Antiqua" w:cs="宋体"/>
                <w:color w:val="000000"/>
                <w:vertAlign w:val="superscript"/>
                <w:lang w:eastAsia="zh-CN"/>
              </w:rPr>
              <w:t xml:space="preserve"> </w:t>
            </w:r>
          </w:p>
        </w:tc>
        <w:tc>
          <w:tcPr>
            <w:tcW w:w="0" w:type="auto"/>
            <w:tcBorders>
              <w:top w:val="nil"/>
              <w:left w:val="nil"/>
              <w:bottom w:val="nil"/>
              <w:right w:val="nil"/>
            </w:tcBorders>
            <w:shd w:val="clear" w:color="auto" w:fill="auto"/>
            <w:vAlign w:val="center"/>
          </w:tcPr>
          <w:p w14:paraId="35D36F64" w14:textId="77777777" w:rsidR="00326869" w:rsidRDefault="00326869">
            <w:pPr>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tcPr>
          <w:p w14:paraId="0B651AEF" w14:textId="77777777" w:rsidR="00326869" w:rsidRDefault="00326869">
            <w:pPr>
              <w:jc w:val="both"/>
              <w:rPr>
                <w:sz w:val="20"/>
                <w:szCs w:val="20"/>
                <w:lang w:eastAsia="zh-CN"/>
              </w:rPr>
            </w:pPr>
          </w:p>
        </w:tc>
        <w:tc>
          <w:tcPr>
            <w:tcW w:w="0" w:type="auto"/>
            <w:vMerge w:val="restart"/>
            <w:tcBorders>
              <w:top w:val="nil"/>
              <w:left w:val="nil"/>
              <w:bottom w:val="nil"/>
              <w:right w:val="nil"/>
            </w:tcBorders>
            <w:shd w:val="clear" w:color="auto" w:fill="auto"/>
            <w:vAlign w:val="center"/>
          </w:tcPr>
          <w:p w14:paraId="40C700D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0.019</w:t>
            </w:r>
          </w:p>
        </w:tc>
      </w:tr>
      <w:tr w:rsidR="00326869" w14:paraId="43CE7B8B" w14:textId="77777777">
        <w:trPr>
          <w:trHeight w:val="312"/>
        </w:trPr>
        <w:tc>
          <w:tcPr>
            <w:tcW w:w="0" w:type="auto"/>
            <w:tcBorders>
              <w:top w:val="nil"/>
              <w:left w:val="nil"/>
              <w:bottom w:val="nil"/>
              <w:right w:val="nil"/>
            </w:tcBorders>
            <w:shd w:val="clear" w:color="auto" w:fill="auto"/>
            <w:vAlign w:val="center"/>
          </w:tcPr>
          <w:p w14:paraId="171E1AEB"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1 </w:t>
            </w:r>
            <w:r>
              <w:rPr>
                <w:rFonts w:ascii="Book Antiqua" w:eastAsia="宋体" w:hAnsi="Book Antiqua" w:cs="宋体"/>
                <w:color w:val="000000"/>
                <w:lang w:eastAsia="zh-CN"/>
              </w:rPr>
              <w:t>t/wk</w:t>
            </w:r>
          </w:p>
        </w:tc>
        <w:tc>
          <w:tcPr>
            <w:tcW w:w="0" w:type="auto"/>
            <w:tcBorders>
              <w:top w:val="nil"/>
              <w:left w:val="nil"/>
              <w:bottom w:val="nil"/>
              <w:right w:val="nil"/>
            </w:tcBorders>
            <w:shd w:val="clear" w:color="auto" w:fill="auto"/>
            <w:vAlign w:val="center"/>
          </w:tcPr>
          <w:p w14:paraId="78FB5FB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9 (36.0)</w:t>
            </w:r>
          </w:p>
        </w:tc>
        <w:tc>
          <w:tcPr>
            <w:tcW w:w="0" w:type="auto"/>
            <w:tcBorders>
              <w:top w:val="nil"/>
              <w:left w:val="nil"/>
              <w:bottom w:val="nil"/>
              <w:right w:val="nil"/>
            </w:tcBorders>
            <w:shd w:val="clear" w:color="auto" w:fill="auto"/>
            <w:vAlign w:val="center"/>
          </w:tcPr>
          <w:p w14:paraId="5E92FD9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54 (49.1)</w:t>
            </w:r>
          </w:p>
        </w:tc>
        <w:tc>
          <w:tcPr>
            <w:tcW w:w="0" w:type="auto"/>
            <w:vMerge/>
            <w:tcBorders>
              <w:top w:val="nil"/>
              <w:left w:val="nil"/>
              <w:bottom w:val="nil"/>
              <w:right w:val="nil"/>
            </w:tcBorders>
            <w:vAlign w:val="center"/>
          </w:tcPr>
          <w:p w14:paraId="48176019" w14:textId="77777777" w:rsidR="00326869" w:rsidRDefault="00326869">
            <w:pPr>
              <w:rPr>
                <w:rFonts w:ascii="Book Antiqua" w:eastAsia="宋体" w:hAnsi="Book Antiqua" w:cs="宋体"/>
                <w:color w:val="000000"/>
                <w:lang w:eastAsia="zh-CN"/>
              </w:rPr>
            </w:pPr>
          </w:p>
        </w:tc>
      </w:tr>
      <w:tr w:rsidR="00326869" w14:paraId="46B25D37" w14:textId="77777777">
        <w:trPr>
          <w:trHeight w:val="312"/>
        </w:trPr>
        <w:tc>
          <w:tcPr>
            <w:tcW w:w="0" w:type="auto"/>
            <w:tcBorders>
              <w:top w:val="nil"/>
              <w:left w:val="nil"/>
              <w:bottom w:val="nil"/>
              <w:right w:val="nil"/>
            </w:tcBorders>
            <w:shd w:val="clear" w:color="auto" w:fill="auto"/>
            <w:vAlign w:val="center"/>
          </w:tcPr>
          <w:p w14:paraId="636662E1"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0" w:type="auto"/>
            <w:tcBorders>
              <w:top w:val="nil"/>
              <w:left w:val="nil"/>
              <w:bottom w:val="nil"/>
              <w:right w:val="nil"/>
            </w:tcBorders>
            <w:shd w:val="clear" w:color="auto" w:fill="auto"/>
            <w:vAlign w:val="center"/>
          </w:tcPr>
          <w:p w14:paraId="69EC345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 (12.0)</w:t>
            </w:r>
          </w:p>
        </w:tc>
        <w:tc>
          <w:tcPr>
            <w:tcW w:w="0" w:type="auto"/>
            <w:tcBorders>
              <w:top w:val="nil"/>
              <w:left w:val="nil"/>
              <w:bottom w:val="nil"/>
              <w:right w:val="nil"/>
            </w:tcBorders>
            <w:shd w:val="clear" w:color="auto" w:fill="auto"/>
            <w:vAlign w:val="center"/>
          </w:tcPr>
          <w:p w14:paraId="25A0EF4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36 (32.7)</w:t>
            </w:r>
          </w:p>
        </w:tc>
        <w:tc>
          <w:tcPr>
            <w:tcW w:w="0" w:type="auto"/>
            <w:vMerge/>
            <w:tcBorders>
              <w:top w:val="nil"/>
              <w:left w:val="nil"/>
              <w:bottom w:val="nil"/>
              <w:right w:val="nil"/>
            </w:tcBorders>
            <w:vAlign w:val="center"/>
          </w:tcPr>
          <w:p w14:paraId="2A096D49" w14:textId="77777777" w:rsidR="00326869" w:rsidRDefault="00326869">
            <w:pPr>
              <w:rPr>
                <w:rFonts w:ascii="Book Antiqua" w:eastAsia="宋体" w:hAnsi="Book Antiqua" w:cs="宋体"/>
                <w:color w:val="000000"/>
                <w:lang w:eastAsia="zh-CN"/>
              </w:rPr>
            </w:pPr>
          </w:p>
        </w:tc>
      </w:tr>
      <w:tr w:rsidR="00326869" w14:paraId="054012DA" w14:textId="77777777">
        <w:trPr>
          <w:trHeight w:val="312"/>
        </w:trPr>
        <w:tc>
          <w:tcPr>
            <w:tcW w:w="0" w:type="auto"/>
            <w:tcBorders>
              <w:top w:val="nil"/>
              <w:left w:val="nil"/>
              <w:bottom w:val="nil"/>
              <w:right w:val="nil"/>
            </w:tcBorders>
            <w:shd w:val="clear" w:color="auto" w:fill="auto"/>
            <w:vAlign w:val="center"/>
          </w:tcPr>
          <w:p w14:paraId="43AEDCB3"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7 t/wk</w:t>
            </w:r>
          </w:p>
        </w:tc>
        <w:tc>
          <w:tcPr>
            <w:tcW w:w="0" w:type="auto"/>
            <w:tcBorders>
              <w:top w:val="nil"/>
              <w:left w:val="nil"/>
              <w:bottom w:val="nil"/>
              <w:right w:val="nil"/>
            </w:tcBorders>
            <w:shd w:val="clear" w:color="auto" w:fill="auto"/>
            <w:vAlign w:val="center"/>
          </w:tcPr>
          <w:p w14:paraId="2655911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13 (52.0)</w:t>
            </w:r>
          </w:p>
        </w:tc>
        <w:tc>
          <w:tcPr>
            <w:tcW w:w="0" w:type="auto"/>
            <w:tcBorders>
              <w:top w:val="nil"/>
              <w:left w:val="nil"/>
              <w:bottom w:val="nil"/>
              <w:right w:val="nil"/>
            </w:tcBorders>
            <w:shd w:val="clear" w:color="auto" w:fill="auto"/>
            <w:vAlign w:val="center"/>
          </w:tcPr>
          <w:p w14:paraId="3BAB5BC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20 (18.2)</w:t>
            </w:r>
          </w:p>
        </w:tc>
        <w:tc>
          <w:tcPr>
            <w:tcW w:w="0" w:type="auto"/>
            <w:vMerge/>
            <w:tcBorders>
              <w:top w:val="nil"/>
              <w:left w:val="nil"/>
              <w:bottom w:val="nil"/>
              <w:right w:val="nil"/>
            </w:tcBorders>
            <w:vAlign w:val="center"/>
          </w:tcPr>
          <w:p w14:paraId="37EC748D" w14:textId="77777777" w:rsidR="00326869" w:rsidRDefault="00326869">
            <w:pPr>
              <w:rPr>
                <w:rFonts w:ascii="Book Antiqua" w:eastAsia="宋体" w:hAnsi="Book Antiqua" w:cs="宋体"/>
                <w:color w:val="000000"/>
                <w:lang w:eastAsia="zh-CN"/>
              </w:rPr>
            </w:pPr>
          </w:p>
        </w:tc>
      </w:tr>
      <w:tr w:rsidR="00326869" w14:paraId="644BDD11" w14:textId="77777777">
        <w:trPr>
          <w:trHeight w:val="339"/>
        </w:trPr>
        <w:tc>
          <w:tcPr>
            <w:tcW w:w="0" w:type="auto"/>
            <w:tcBorders>
              <w:top w:val="nil"/>
              <w:left w:val="nil"/>
              <w:bottom w:val="nil"/>
              <w:right w:val="nil"/>
            </w:tcBorders>
            <w:shd w:val="clear" w:color="auto" w:fill="auto"/>
            <w:vAlign w:val="center"/>
          </w:tcPr>
          <w:p w14:paraId="061FEF9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Clinical and psychological score</w:t>
            </w:r>
          </w:p>
        </w:tc>
        <w:tc>
          <w:tcPr>
            <w:tcW w:w="0" w:type="auto"/>
            <w:tcBorders>
              <w:top w:val="nil"/>
              <w:left w:val="nil"/>
              <w:bottom w:val="nil"/>
              <w:right w:val="nil"/>
            </w:tcBorders>
            <w:shd w:val="clear" w:color="auto" w:fill="auto"/>
            <w:vAlign w:val="center"/>
          </w:tcPr>
          <w:p w14:paraId="12365443" w14:textId="77777777" w:rsidR="00326869" w:rsidRDefault="008967A2">
            <w:pPr>
              <w:jc w:val="both"/>
              <w:rPr>
                <w:rFonts w:ascii="Book Antiqua" w:eastAsia="宋体" w:hAnsi="Book Antiqua" w:cs="宋体"/>
                <w:i/>
                <w:iCs/>
                <w:color w:val="000000"/>
                <w:lang w:eastAsia="zh-CN"/>
              </w:rPr>
            </w:pPr>
            <w:r>
              <w:rPr>
                <w:rFonts w:ascii="Book Antiqua" w:eastAsia="宋体" w:hAnsi="Book Antiqua" w:cs="宋体"/>
                <w:i/>
                <w:iCs/>
                <w:color w:val="000000"/>
                <w:lang w:eastAsia="zh-CN"/>
              </w:rPr>
              <w:t xml:space="preserve">n </w:t>
            </w:r>
            <w:r>
              <w:rPr>
                <w:rFonts w:ascii="Book Antiqua" w:eastAsia="宋体" w:hAnsi="Book Antiqua" w:cs="宋体"/>
                <w:color w:val="000000"/>
                <w:lang w:eastAsia="zh-CN"/>
              </w:rPr>
              <w:t>= 25</w:t>
            </w:r>
          </w:p>
        </w:tc>
        <w:tc>
          <w:tcPr>
            <w:tcW w:w="0" w:type="auto"/>
            <w:tcBorders>
              <w:top w:val="nil"/>
              <w:left w:val="nil"/>
              <w:bottom w:val="nil"/>
              <w:right w:val="nil"/>
            </w:tcBorders>
            <w:shd w:val="clear" w:color="auto" w:fill="auto"/>
            <w:vAlign w:val="center"/>
          </w:tcPr>
          <w:p w14:paraId="494B45DD" w14:textId="77777777" w:rsidR="00326869" w:rsidRDefault="008967A2">
            <w:pPr>
              <w:jc w:val="both"/>
              <w:rPr>
                <w:rFonts w:ascii="Book Antiqua" w:eastAsia="宋体" w:hAnsi="Book Antiqua" w:cs="宋体"/>
                <w:i/>
                <w:iCs/>
                <w:color w:val="000000"/>
                <w:lang w:eastAsia="zh-CN"/>
              </w:rPr>
            </w:pPr>
            <w:r>
              <w:rPr>
                <w:rFonts w:ascii="Book Antiqua" w:eastAsia="宋体" w:hAnsi="Book Antiqua" w:cs="宋体"/>
                <w:i/>
                <w:iCs/>
                <w:color w:val="000000"/>
                <w:lang w:eastAsia="zh-CN"/>
              </w:rPr>
              <w:t xml:space="preserve">n </w:t>
            </w:r>
            <w:r>
              <w:rPr>
                <w:rFonts w:ascii="Book Antiqua" w:eastAsia="宋体" w:hAnsi="Book Antiqua" w:cs="宋体"/>
                <w:color w:val="000000"/>
                <w:lang w:eastAsia="zh-CN"/>
              </w:rPr>
              <w:t>= 178</w:t>
            </w:r>
          </w:p>
        </w:tc>
        <w:tc>
          <w:tcPr>
            <w:tcW w:w="0" w:type="auto"/>
            <w:tcBorders>
              <w:top w:val="nil"/>
              <w:left w:val="nil"/>
              <w:bottom w:val="nil"/>
              <w:right w:val="nil"/>
            </w:tcBorders>
            <w:shd w:val="clear" w:color="auto" w:fill="auto"/>
            <w:vAlign w:val="center"/>
          </w:tcPr>
          <w:p w14:paraId="67C3F99D" w14:textId="77777777" w:rsidR="00326869" w:rsidRDefault="00326869">
            <w:pPr>
              <w:jc w:val="both"/>
              <w:rPr>
                <w:rFonts w:ascii="Book Antiqua" w:eastAsia="宋体" w:hAnsi="Book Antiqua" w:cs="宋体"/>
                <w:i/>
                <w:iCs/>
                <w:color w:val="000000"/>
                <w:lang w:eastAsia="zh-CN"/>
              </w:rPr>
            </w:pPr>
          </w:p>
        </w:tc>
      </w:tr>
      <w:tr w:rsidR="00326869" w14:paraId="4D3A8C66" w14:textId="77777777">
        <w:trPr>
          <w:trHeight w:val="343"/>
        </w:trPr>
        <w:tc>
          <w:tcPr>
            <w:tcW w:w="0" w:type="auto"/>
            <w:tcBorders>
              <w:top w:val="nil"/>
              <w:left w:val="nil"/>
              <w:bottom w:val="nil"/>
              <w:right w:val="nil"/>
            </w:tcBorders>
            <w:shd w:val="clear" w:color="auto" w:fill="auto"/>
            <w:vAlign w:val="center"/>
          </w:tcPr>
          <w:p w14:paraId="4D6CB7A2"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IBS-SSS</w:t>
            </w:r>
          </w:p>
        </w:tc>
        <w:tc>
          <w:tcPr>
            <w:tcW w:w="0" w:type="auto"/>
            <w:tcBorders>
              <w:top w:val="nil"/>
              <w:left w:val="nil"/>
              <w:bottom w:val="nil"/>
              <w:right w:val="nil"/>
            </w:tcBorders>
            <w:shd w:val="clear" w:color="auto" w:fill="auto"/>
            <w:vAlign w:val="center"/>
          </w:tcPr>
          <w:p w14:paraId="5ECD8F4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150.0 (37.5, 187.5)</w:t>
            </w:r>
          </w:p>
        </w:tc>
        <w:tc>
          <w:tcPr>
            <w:tcW w:w="0" w:type="auto"/>
            <w:tcBorders>
              <w:top w:val="nil"/>
              <w:left w:val="nil"/>
              <w:bottom w:val="nil"/>
              <w:right w:val="nil"/>
            </w:tcBorders>
            <w:shd w:val="clear" w:color="auto" w:fill="auto"/>
            <w:vAlign w:val="center"/>
          </w:tcPr>
          <w:p w14:paraId="0EFD7C72"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N/A</w:t>
            </w:r>
          </w:p>
        </w:tc>
        <w:tc>
          <w:tcPr>
            <w:tcW w:w="0" w:type="auto"/>
            <w:tcBorders>
              <w:top w:val="nil"/>
              <w:left w:val="nil"/>
              <w:bottom w:val="nil"/>
              <w:right w:val="nil"/>
            </w:tcBorders>
            <w:shd w:val="clear" w:color="auto" w:fill="auto"/>
            <w:vAlign w:val="center"/>
          </w:tcPr>
          <w:p w14:paraId="2D9BCDF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N/A</w:t>
            </w:r>
          </w:p>
        </w:tc>
      </w:tr>
      <w:tr w:rsidR="00326869" w14:paraId="4C05E42C" w14:textId="77777777">
        <w:trPr>
          <w:trHeight w:val="354"/>
        </w:trPr>
        <w:tc>
          <w:tcPr>
            <w:tcW w:w="0" w:type="auto"/>
            <w:tcBorders>
              <w:top w:val="nil"/>
              <w:left w:val="nil"/>
              <w:bottom w:val="nil"/>
              <w:right w:val="nil"/>
            </w:tcBorders>
            <w:shd w:val="clear" w:color="auto" w:fill="auto"/>
            <w:vAlign w:val="center"/>
          </w:tcPr>
          <w:p w14:paraId="5A28F9F2"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IBS-QOL</w:t>
            </w:r>
          </w:p>
        </w:tc>
        <w:tc>
          <w:tcPr>
            <w:tcW w:w="0" w:type="auto"/>
            <w:tcBorders>
              <w:top w:val="nil"/>
              <w:left w:val="nil"/>
              <w:bottom w:val="nil"/>
              <w:right w:val="nil"/>
            </w:tcBorders>
            <w:shd w:val="clear" w:color="auto" w:fill="auto"/>
            <w:vAlign w:val="center"/>
          </w:tcPr>
          <w:p w14:paraId="7109B16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46.0 (35.5, 74.5)</w:t>
            </w:r>
          </w:p>
        </w:tc>
        <w:tc>
          <w:tcPr>
            <w:tcW w:w="0" w:type="auto"/>
            <w:tcBorders>
              <w:top w:val="nil"/>
              <w:left w:val="nil"/>
              <w:bottom w:val="nil"/>
              <w:right w:val="nil"/>
            </w:tcBorders>
            <w:shd w:val="clear" w:color="auto" w:fill="auto"/>
            <w:vAlign w:val="center"/>
          </w:tcPr>
          <w:p w14:paraId="1BE772E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N/A</w:t>
            </w:r>
          </w:p>
        </w:tc>
        <w:tc>
          <w:tcPr>
            <w:tcW w:w="0" w:type="auto"/>
            <w:tcBorders>
              <w:top w:val="nil"/>
              <w:left w:val="nil"/>
              <w:bottom w:val="nil"/>
              <w:right w:val="nil"/>
            </w:tcBorders>
            <w:shd w:val="clear" w:color="auto" w:fill="auto"/>
            <w:vAlign w:val="center"/>
          </w:tcPr>
          <w:p w14:paraId="192F70C5"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N/A</w:t>
            </w:r>
          </w:p>
        </w:tc>
      </w:tr>
      <w:tr w:rsidR="00326869" w14:paraId="647EAB23" w14:textId="77777777">
        <w:trPr>
          <w:trHeight w:val="369"/>
        </w:trPr>
        <w:tc>
          <w:tcPr>
            <w:tcW w:w="0" w:type="auto"/>
            <w:tcBorders>
              <w:top w:val="nil"/>
              <w:left w:val="nil"/>
              <w:bottom w:val="nil"/>
              <w:right w:val="nil"/>
            </w:tcBorders>
            <w:shd w:val="clear" w:color="auto" w:fill="auto"/>
            <w:vAlign w:val="center"/>
          </w:tcPr>
          <w:p w14:paraId="190F451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GSRS</w:t>
            </w:r>
          </w:p>
        </w:tc>
        <w:tc>
          <w:tcPr>
            <w:tcW w:w="0" w:type="auto"/>
            <w:tcBorders>
              <w:top w:val="nil"/>
              <w:left w:val="nil"/>
              <w:bottom w:val="nil"/>
              <w:right w:val="nil"/>
            </w:tcBorders>
            <w:shd w:val="clear" w:color="auto" w:fill="auto"/>
            <w:vAlign w:val="center"/>
          </w:tcPr>
          <w:p w14:paraId="79D9C29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4.0 (3.0, 6.5)</w:t>
            </w:r>
          </w:p>
        </w:tc>
        <w:tc>
          <w:tcPr>
            <w:tcW w:w="0" w:type="auto"/>
            <w:tcBorders>
              <w:top w:val="nil"/>
              <w:left w:val="nil"/>
              <w:bottom w:val="nil"/>
              <w:right w:val="nil"/>
            </w:tcBorders>
            <w:shd w:val="clear" w:color="auto" w:fill="auto"/>
            <w:vAlign w:val="center"/>
          </w:tcPr>
          <w:p w14:paraId="320C03A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3.0 (1.0, 5.0)</w:t>
            </w:r>
          </w:p>
        </w:tc>
        <w:tc>
          <w:tcPr>
            <w:tcW w:w="0" w:type="auto"/>
            <w:tcBorders>
              <w:top w:val="nil"/>
              <w:left w:val="nil"/>
              <w:bottom w:val="nil"/>
              <w:right w:val="nil"/>
            </w:tcBorders>
            <w:shd w:val="clear" w:color="auto" w:fill="auto"/>
            <w:vAlign w:val="center"/>
          </w:tcPr>
          <w:p w14:paraId="11F44EC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0.007</w:t>
            </w:r>
          </w:p>
        </w:tc>
      </w:tr>
      <w:tr w:rsidR="00326869" w14:paraId="69D87840" w14:textId="77777777">
        <w:trPr>
          <w:trHeight w:val="321"/>
        </w:trPr>
        <w:tc>
          <w:tcPr>
            <w:tcW w:w="0" w:type="auto"/>
            <w:tcBorders>
              <w:top w:val="nil"/>
              <w:left w:val="nil"/>
              <w:bottom w:val="nil"/>
              <w:right w:val="nil"/>
            </w:tcBorders>
            <w:shd w:val="clear" w:color="auto" w:fill="auto"/>
            <w:vAlign w:val="center"/>
          </w:tcPr>
          <w:p w14:paraId="6A785A2B"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VSI</w:t>
            </w:r>
          </w:p>
        </w:tc>
        <w:tc>
          <w:tcPr>
            <w:tcW w:w="0" w:type="auto"/>
            <w:tcBorders>
              <w:top w:val="nil"/>
              <w:left w:val="nil"/>
              <w:bottom w:val="nil"/>
              <w:right w:val="nil"/>
            </w:tcBorders>
            <w:shd w:val="clear" w:color="auto" w:fill="auto"/>
            <w:vAlign w:val="center"/>
          </w:tcPr>
          <w:p w14:paraId="2628188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64.0 (53.0, 68.5)</w:t>
            </w:r>
          </w:p>
        </w:tc>
        <w:tc>
          <w:tcPr>
            <w:tcW w:w="0" w:type="auto"/>
            <w:tcBorders>
              <w:top w:val="nil"/>
              <w:left w:val="nil"/>
              <w:bottom w:val="nil"/>
              <w:right w:val="nil"/>
            </w:tcBorders>
            <w:shd w:val="clear" w:color="auto" w:fill="auto"/>
            <w:vAlign w:val="center"/>
          </w:tcPr>
          <w:p w14:paraId="6B411AD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29.0 (17.5, 38.25)</w:t>
            </w:r>
          </w:p>
        </w:tc>
        <w:tc>
          <w:tcPr>
            <w:tcW w:w="0" w:type="auto"/>
            <w:tcBorders>
              <w:top w:val="nil"/>
              <w:left w:val="nil"/>
              <w:bottom w:val="nil"/>
              <w:right w:val="nil"/>
            </w:tcBorders>
            <w:shd w:val="clear" w:color="auto" w:fill="auto"/>
            <w:vAlign w:val="center"/>
          </w:tcPr>
          <w:p w14:paraId="3BAFFF0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r>
      <w:tr w:rsidR="00326869" w14:paraId="7EDF4E76" w14:textId="77777777">
        <w:trPr>
          <w:trHeight w:val="354"/>
        </w:trPr>
        <w:tc>
          <w:tcPr>
            <w:tcW w:w="0" w:type="auto"/>
            <w:tcBorders>
              <w:top w:val="nil"/>
              <w:left w:val="nil"/>
              <w:bottom w:val="nil"/>
              <w:right w:val="nil"/>
            </w:tcBorders>
            <w:shd w:val="clear" w:color="auto" w:fill="auto"/>
            <w:vAlign w:val="center"/>
          </w:tcPr>
          <w:p w14:paraId="308A29F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HADS anxiety score</w:t>
            </w:r>
          </w:p>
        </w:tc>
        <w:tc>
          <w:tcPr>
            <w:tcW w:w="0" w:type="auto"/>
            <w:tcBorders>
              <w:top w:val="nil"/>
              <w:left w:val="nil"/>
              <w:bottom w:val="nil"/>
              <w:right w:val="nil"/>
            </w:tcBorders>
            <w:shd w:val="clear" w:color="auto" w:fill="auto"/>
            <w:vAlign w:val="center"/>
          </w:tcPr>
          <w:p w14:paraId="3F79704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7.0 (3.5, 10.0)</w:t>
            </w:r>
          </w:p>
        </w:tc>
        <w:tc>
          <w:tcPr>
            <w:tcW w:w="0" w:type="auto"/>
            <w:tcBorders>
              <w:top w:val="nil"/>
              <w:left w:val="nil"/>
              <w:bottom w:val="nil"/>
              <w:right w:val="nil"/>
            </w:tcBorders>
            <w:shd w:val="clear" w:color="auto" w:fill="auto"/>
            <w:vAlign w:val="center"/>
          </w:tcPr>
          <w:p w14:paraId="30D440E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3.0 (1.0, 6.0)</w:t>
            </w:r>
          </w:p>
        </w:tc>
        <w:tc>
          <w:tcPr>
            <w:tcW w:w="0" w:type="auto"/>
            <w:tcBorders>
              <w:top w:val="nil"/>
              <w:left w:val="nil"/>
              <w:bottom w:val="nil"/>
              <w:right w:val="nil"/>
            </w:tcBorders>
            <w:shd w:val="clear" w:color="auto" w:fill="auto"/>
            <w:vAlign w:val="center"/>
          </w:tcPr>
          <w:p w14:paraId="59CBEA1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r>
      <w:tr w:rsidR="00326869" w14:paraId="2C5F61D1" w14:textId="77777777">
        <w:trPr>
          <w:trHeight w:val="321"/>
        </w:trPr>
        <w:tc>
          <w:tcPr>
            <w:tcW w:w="0" w:type="auto"/>
            <w:tcBorders>
              <w:top w:val="nil"/>
              <w:left w:val="nil"/>
              <w:bottom w:val="single" w:sz="8" w:space="0" w:color="auto"/>
              <w:right w:val="nil"/>
            </w:tcBorders>
            <w:shd w:val="clear" w:color="auto" w:fill="auto"/>
            <w:vAlign w:val="center"/>
          </w:tcPr>
          <w:p w14:paraId="57D1FF3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HADS depression score</w:t>
            </w:r>
          </w:p>
        </w:tc>
        <w:tc>
          <w:tcPr>
            <w:tcW w:w="0" w:type="auto"/>
            <w:tcBorders>
              <w:top w:val="nil"/>
              <w:left w:val="nil"/>
              <w:bottom w:val="single" w:sz="8" w:space="0" w:color="auto"/>
              <w:right w:val="nil"/>
            </w:tcBorders>
            <w:shd w:val="clear" w:color="auto" w:fill="auto"/>
            <w:vAlign w:val="center"/>
          </w:tcPr>
          <w:p w14:paraId="2E391F6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5.0 (2.5, 8.0)</w:t>
            </w:r>
          </w:p>
        </w:tc>
        <w:tc>
          <w:tcPr>
            <w:tcW w:w="0" w:type="auto"/>
            <w:tcBorders>
              <w:top w:val="nil"/>
              <w:left w:val="nil"/>
              <w:bottom w:val="single" w:sz="8" w:space="0" w:color="auto"/>
              <w:right w:val="nil"/>
            </w:tcBorders>
            <w:shd w:val="clear" w:color="auto" w:fill="auto"/>
            <w:vAlign w:val="center"/>
          </w:tcPr>
          <w:p w14:paraId="60756E6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3.0 (1.0, 6.0)</w:t>
            </w:r>
          </w:p>
        </w:tc>
        <w:tc>
          <w:tcPr>
            <w:tcW w:w="0" w:type="auto"/>
            <w:tcBorders>
              <w:top w:val="nil"/>
              <w:left w:val="nil"/>
              <w:bottom w:val="single" w:sz="8" w:space="0" w:color="auto"/>
              <w:right w:val="nil"/>
            </w:tcBorders>
            <w:shd w:val="clear" w:color="auto" w:fill="auto"/>
            <w:vAlign w:val="center"/>
          </w:tcPr>
          <w:p w14:paraId="14195F0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0.026</w:t>
            </w:r>
          </w:p>
        </w:tc>
      </w:tr>
    </w:tbl>
    <w:p w14:paraId="62385355" w14:textId="77777777" w:rsidR="00326869" w:rsidRDefault="008967A2">
      <w:pPr>
        <w:adjustRightInd w:val="0"/>
        <w:snapToGrid w:val="0"/>
        <w:spacing w:line="360" w:lineRule="auto"/>
        <w:jc w:val="both"/>
        <w:rPr>
          <w:rFonts w:ascii="Book Antiqua" w:hAnsi="Book Antiqua" w:cs="Book Antiqua"/>
          <w:vertAlign w:val="superscript"/>
        </w:rPr>
      </w:pPr>
      <w:r>
        <w:rPr>
          <w:rFonts w:ascii="Book Antiqua" w:hAnsi="Book Antiqua"/>
        </w:rPr>
        <w:t>The data are presented as the median (Q1, Q3) or numbers (percentages).</w:t>
      </w:r>
      <w:r>
        <w:rPr>
          <w:rFonts w:ascii="Book Antiqua" w:hAnsi="Book Antiqua" w:cs="Book Antiqua"/>
        </w:rPr>
        <w:t xml:space="preserve">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P</w:t>
      </w:r>
      <w:r>
        <w:rPr>
          <w:rFonts w:ascii="Book Antiqua" w:eastAsiaTheme="minorEastAsia" w:hAnsi="Book Antiqua" w:cs="Book Antiqua"/>
          <w:color w:val="000000"/>
          <w:lang w:eastAsia="zh-CN"/>
        </w:rPr>
        <w:t xml:space="preserve">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bookmarkStart w:id="14" w:name="OLE_LINK6"/>
      <w:r>
        <w:rPr>
          <w:rFonts w:ascii="Book Antiqua" w:eastAsia="宋体" w:hAnsi="Book Antiqua" w:cs="Book Antiqua"/>
          <w:lang w:eastAsia="zh-CN"/>
        </w:rPr>
        <w:t>I</w:t>
      </w:r>
      <w:r>
        <w:rPr>
          <w:rFonts w:ascii="Book Antiqua" w:hAnsi="Book Antiqua" w:cs="Book Antiqua"/>
        </w:rPr>
        <w:t>rritable bowel syndrome</w:t>
      </w:r>
      <w:bookmarkEnd w:id="14"/>
      <w:r>
        <w:rPr>
          <w:rFonts w:ascii="Book Antiqua" w:hAnsi="Book Antiqua" w:cs="Book Antiqua"/>
        </w:rPr>
        <w:t>; IBS-SSS: IB</w:t>
      </w:r>
      <w:r>
        <w:rPr>
          <w:rFonts w:ascii="Book Antiqua" w:eastAsia="宋体" w:hAnsi="Book Antiqua" w:cs="Book Antiqua" w:hint="eastAsia"/>
          <w:lang w:eastAsia="zh-CN"/>
        </w:rPr>
        <w:t>S</w:t>
      </w:r>
      <w:r>
        <w:rPr>
          <w:rFonts w:ascii="Book Antiqua" w:hAnsi="Book Antiqua" w:cs="Book Antiqua"/>
        </w:rPr>
        <w:t xml:space="preserve"> symptom severity scale; IBS</w:t>
      </w:r>
      <w:r>
        <w:rPr>
          <w:rFonts w:ascii="Book Antiqua" w:eastAsia="宋体" w:hAnsi="Book Antiqua" w:cs="Book Antiqua" w:hint="eastAsia"/>
          <w:lang w:eastAsia="zh-CN"/>
        </w:rPr>
        <w:t>-</w:t>
      </w:r>
      <w:r>
        <w:rPr>
          <w:rFonts w:ascii="Book Antiqua" w:hAnsi="Book Antiqua" w:cs="Book Antiqua"/>
        </w:rPr>
        <w:t>QOL: IBS-specific quality of life; VSI: Visceral sensitivity index; HADS: Hospital anxiety and depression scale; GSRS: Gastrointestinal symptom rating scale</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N/A</w:t>
      </w:r>
      <w:r>
        <w:rPr>
          <w:rFonts w:ascii="Book Antiqua" w:hAnsi="Book Antiqua" w:cs="Book Antiqua"/>
        </w:rPr>
        <w:t>: No</w:t>
      </w:r>
      <w:r>
        <w:rPr>
          <w:rFonts w:ascii="Book Antiqua" w:hAnsi="Book Antiqua" w:cs="Book Antiqua"/>
        </w:rPr>
        <w:t>t applicable.</w:t>
      </w:r>
      <w:r>
        <w:rPr>
          <w:rFonts w:ascii="Book Antiqua" w:hAnsi="Book Antiqua" w:cs="Book Antiqua"/>
          <w:vertAlign w:val="superscript"/>
        </w:rPr>
        <w:t xml:space="preserve"> </w:t>
      </w:r>
    </w:p>
    <w:p w14:paraId="25E1DDDD" w14:textId="77777777" w:rsidR="00326869" w:rsidRDefault="008967A2">
      <w:pPr>
        <w:adjustRightInd w:val="0"/>
        <w:snapToGrid w:val="0"/>
        <w:spacing w:line="360" w:lineRule="auto"/>
        <w:rPr>
          <w:rFonts w:ascii="Book Antiqua" w:hAnsi="Book Antiqua" w:cs="Book Antiqua"/>
          <w:color w:val="000000"/>
        </w:rPr>
      </w:pPr>
      <w:r>
        <w:rPr>
          <w:rFonts w:ascii="Book Antiqua" w:hAnsi="Book Antiqua" w:cs="Book Antiqua"/>
          <w:vertAlign w:val="superscript"/>
        </w:rPr>
        <w:br w:type="page"/>
      </w:r>
      <w:r>
        <w:rPr>
          <w:rFonts w:ascii="Book Antiqua" w:eastAsia="PMingLiU" w:hAnsi="Book Antiqua" w:cs="Book Antiqua"/>
          <w:b/>
          <w:bCs/>
          <w:color w:val="000000"/>
          <w:lang w:eastAsia="zh-TW"/>
        </w:rPr>
        <w:lastRenderedPageBreak/>
        <w:t>Table 3 A</w:t>
      </w:r>
      <w:r>
        <w:rPr>
          <w:rFonts w:ascii="Book Antiqua" w:hAnsi="Book Antiqua" w:cs="Book Antiqua"/>
          <w:b/>
          <w:bCs/>
          <w:color w:val="000000"/>
        </w:rPr>
        <w:t>ssociation between dietary factors and symptom scores/ psychological factors</w:t>
      </w:r>
    </w:p>
    <w:tbl>
      <w:tblPr>
        <w:tblW w:w="9659" w:type="dxa"/>
        <w:tblInd w:w="-49" w:type="dxa"/>
        <w:tblBorders>
          <w:top w:val="single" w:sz="4" w:space="0" w:color="auto"/>
          <w:bottom w:val="single" w:sz="4" w:space="0" w:color="auto"/>
        </w:tblBorders>
        <w:tblLook w:val="04A0" w:firstRow="1" w:lastRow="0" w:firstColumn="1" w:lastColumn="0" w:noHBand="0" w:noVBand="1"/>
      </w:tblPr>
      <w:tblGrid>
        <w:gridCol w:w="3285"/>
        <w:gridCol w:w="945"/>
        <w:gridCol w:w="1095"/>
        <w:gridCol w:w="1050"/>
        <w:gridCol w:w="1215"/>
        <w:gridCol w:w="1005"/>
        <w:gridCol w:w="1064"/>
      </w:tblGrid>
      <w:tr w:rsidR="00326869" w14:paraId="3519D736" w14:textId="77777777">
        <w:tc>
          <w:tcPr>
            <w:tcW w:w="3285" w:type="dxa"/>
            <w:vMerge w:val="restart"/>
            <w:shd w:val="clear" w:color="auto" w:fill="auto"/>
          </w:tcPr>
          <w:p w14:paraId="65093608" w14:textId="77777777" w:rsidR="00326869" w:rsidRDefault="00326869">
            <w:pPr>
              <w:autoSpaceDE w:val="0"/>
              <w:autoSpaceDN w:val="0"/>
              <w:adjustRightInd w:val="0"/>
              <w:snapToGrid w:val="0"/>
              <w:spacing w:line="360" w:lineRule="auto"/>
              <w:jc w:val="both"/>
              <w:rPr>
                <w:rFonts w:ascii="Book Antiqua" w:eastAsia="PMingLiU" w:hAnsi="Book Antiqua" w:cs="Book Antiqua"/>
                <w:color w:val="000000"/>
                <w:lang w:eastAsia="zh-TW"/>
              </w:rPr>
            </w:pPr>
            <w:bookmarkStart w:id="15" w:name="_Hlk59829283"/>
          </w:p>
        </w:tc>
        <w:tc>
          <w:tcPr>
            <w:tcW w:w="2040" w:type="dxa"/>
            <w:gridSpan w:val="2"/>
            <w:tcBorders>
              <w:bottom w:val="single" w:sz="4" w:space="0" w:color="auto"/>
            </w:tcBorders>
            <w:shd w:val="clear" w:color="auto" w:fill="auto"/>
            <w:vAlign w:val="center"/>
          </w:tcPr>
          <w:p w14:paraId="2D6ACD70"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rPr>
              <w:t>IBS</w:t>
            </w:r>
            <w:r>
              <w:rPr>
                <w:rFonts w:ascii="Book Antiqua" w:eastAsia="宋体" w:hAnsi="Book Antiqua" w:cs="Book Antiqua" w:hint="eastAsia"/>
                <w:b/>
                <w:bCs/>
                <w:lang w:eastAsia="zh-CN"/>
              </w:rPr>
              <w:t>-</w:t>
            </w:r>
            <w:r>
              <w:rPr>
                <w:rFonts w:ascii="Book Antiqua" w:hAnsi="Book Antiqua" w:cs="Book Antiqua"/>
                <w:b/>
                <w:bCs/>
              </w:rPr>
              <w:t>SSS</w:t>
            </w:r>
          </w:p>
        </w:tc>
        <w:tc>
          <w:tcPr>
            <w:tcW w:w="2265" w:type="dxa"/>
            <w:gridSpan w:val="2"/>
            <w:tcBorders>
              <w:bottom w:val="single" w:sz="4" w:space="0" w:color="auto"/>
            </w:tcBorders>
            <w:shd w:val="clear" w:color="auto" w:fill="auto"/>
            <w:vAlign w:val="center"/>
          </w:tcPr>
          <w:p w14:paraId="7558172E"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rPr>
              <w:t>HADS</w:t>
            </w:r>
            <w:r>
              <w:rPr>
                <w:rFonts w:ascii="Book Antiqua" w:eastAsia="宋体" w:hAnsi="Book Antiqua" w:cs="Book Antiqua" w:hint="eastAsia"/>
                <w:b/>
                <w:bCs/>
                <w:lang w:eastAsia="zh-CN"/>
              </w:rPr>
              <w:t xml:space="preserve"> </w:t>
            </w:r>
            <w:r>
              <w:rPr>
                <w:rFonts w:ascii="Book Antiqua" w:hAnsi="Book Antiqua" w:cs="Book Antiqua"/>
                <w:b/>
                <w:bCs/>
              </w:rPr>
              <w:t>(a)</w:t>
            </w:r>
          </w:p>
        </w:tc>
        <w:tc>
          <w:tcPr>
            <w:tcW w:w="2069" w:type="dxa"/>
            <w:gridSpan w:val="2"/>
            <w:tcBorders>
              <w:bottom w:val="single" w:sz="4" w:space="0" w:color="auto"/>
            </w:tcBorders>
            <w:shd w:val="clear" w:color="auto" w:fill="auto"/>
          </w:tcPr>
          <w:p w14:paraId="4F7E2337"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rPr>
              <w:t>HADS</w:t>
            </w:r>
            <w:r>
              <w:rPr>
                <w:rFonts w:ascii="Book Antiqua" w:eastAsia="宋体" w:hAnsi="Book Antiqua" w:cs="Book Antiqua" w:hint="eastAsia"/>
                <w:b/>
                <w:bCs/>
                <w:lang w:eastAsia="zh-CN"/>
              </w:rPr>
              <w:t xml:space="preserve"> </w:t>
            </w:r>
            <w:r>
              <w:rPr>
                <w:rFonts w:ascii="Book Antiqua" w:hAnsi="Book Antiqua" w:cs="Book Antiqua"/>
                <w:b/>
                <w:bCs/>
              </w:rPr>
              <w:t>(d)</w:t>
            </w:r>
          </w:p>
        </w:tc>
      </w:tr>
      <w:tr w:rsidR="00326869" w14:paraId="176D8FDB" w14:textId="77777777">
        <w:trPr>
          <w:trHeight w:val="288"/>
        </w:trPr>
        <w:tc>
          <w:tcPr>
            <w:tcW w:w="3285" w:type="dxa"/>
            <w:vMerge/>
            <w:tcBorders>
              <w:bottom w:val="single" w:sz="4" w:space="0" w:color="auto"/>
            </w:tcBorders>
            <w:shd w:val="clear" w:color="auto" w:fill="auto"/>
          </w:tcPr>
          <w:p w14:paraId="3B62117A" w14:textId="77777777" w:rsidR="00326869" w:rsidRDefault="00326869">
            <w:pPr>
              <w:autoSpaceDE w:val="0"/>
              <w:autoSpaceDN w:val="0"/>
              <w:adjustRightInd w:val="0"/>
              <w:snapToGrid w:val="0"/>
              <w:spacing w:line="360" w:lineRule="auto"/>
              <w:jc w:val="both"/>
              <w:rPr>
                <w:rFonts w:ascii="Book Antiqua" w:eastAsia="PMingLiU" w:hAnsi="Book Antiqua" w:cs="Book Antiqua"/>
                <w:color w:val="000000"/>
                <w:lang w:eastAsia="zh-TW"/>
              </w:rPr>
            </w:pPr>
          </w:p>
        </w:tc>
        <w:tc>
          <w:tcPr>
            <w:tcW w:w="945" w:type="dxa"/>
            <w:tcBorders>
              <w:top w:val="single" w:sz="4" w:space="0" w:color="auto"/>
              <w:bottom w:val="single" w:sz="4" w:space="0" w:color="auto"/>
            </w:tcBorders>
            <w:shd w:val="clear" w:color="auto" w:fill="auto"/>
          </w:tcPr>
          <w:p w14:paraId="3C454D83" w14:textId="77777777" w:rsidR="00326869" w:rsidRDefault="008967A2">
            <w:pPr>
              <w:autoSpaceDE w:val="0"/>
              <w:autoSpaceDN w:val="0"/>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r</w:t>
            </w:r>
          </w:p>
        </w:tc>
        <w:tc>
          <w:tcPr>
            <w:tcW w:w="1095" w:type="dxa"/>
            <w:tcBorders>
              <w:top w:val="single" w:sz="4" w:space="0" w:color="auto"/>
              <w:bottom w:val="single" w:sz="4" w:space="0" w:color="auto"/>
            </w:tcBorders>
            <w:shd w:val="clear" w:color="auto" w:fill="auto"/>
          </w:tcPr>
          <w:p w14:paraId="49BB6C69" w14:textId="77777777" w:rsidR="00326869" w:rsidRDefault="008967A2">
            <w:pPr>
              <w:autoSpaceDE w:val="0"/>
              <w:autoSpaceDN w:val="0"/>
              <w:adjustRightInd w:val="0"/>
              <w:snapToGrid w:val="0"/>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c>
          <w:tcPr>
            <w:tcW w:w="1050" w:type="dxa"/>
            <w:tcBorders>
              <w:top w:val="single" w:sz="4" w:space="0" w:color="auto"/>
              <w:bottom w:val="single" w:sz="4" w:space="0" w:color="auto"/>
            </w:tcBorders>
            <w:shd w:val="clear" w:color="auto" w:fill="auto"/>
          </w:tcPr>
          <w:p w14:paraId="363ADF79"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215" w:type="dxa"/>
            <w:tcBorders>
              <w:top w:val="single" w:sz="4" w:space="0" w:color="auto"/>
              <w:bottom w:val="single" w:sz="4" w:space="0" w:color="auto"/>
            </w:tcBorders>
            <w:shd w:val="clear" w:color="auto" w:fill="auto"/>
          </w:tcPr>
          <w:p w14:paraId="0B9BEAF2"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c>
          <w:tcPr>
            <w:tcW w:w="1005" w:type="dxa"/>
            <w:tcBorders>
              <w:top w:val="single" w:sz="4" w:space="0" w:color="auto"/>
              <w:bottom w:val="single" w:sz="4" w:space="0" w:color="auto"/>
            </w:tcBorders>
            <w:shd w:val="clear" w:color="auto" w:fill="auto"/>
          </w:tcPr>
          <w:p w14:paraId="7790EC0D"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064" w:type="dxa"/>
            <w:tcBorders>
              <w:top w:val="single" w:sz="4" w:space="0" w:color="auto"/>
            </w:tcBorders>
            <w:shd w:val="clear" w:color="auto" w:fill="auto"/>
          </w:tcPr>
          <w:p w14:paraId="0DBC9A06" w14:textId="77777777" w:rsidR="00326869" w:rsidRDefault="008967A2">
            <w:pPr>
              <w:autoSpaceDE w:val="0"/>
              <w:autoSpaceDN w:val="0"/>
              <w:adjustRightInd w:val="0"/>
              <w:snapToGrid w:val="0"/>
              <w:spacing w:line="360" w:lineRule="auto"/>
              <w:jc w:val="both"/>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r>
      <w:tr w:rsidR="00326869" w14:paraId="34B165A9" w14:textId="77777777">
        <w:tc>
          <w:tcPr>
            <w:tcW w:w="9659" w:type="dxa"/>
            <w:gridSpan w:val="7"/>
            <w:tcBorders>
              <w:top w:val="single" w:sz="4" w:space="0" w:color="auto"/>
            </w:tcBorders>
            <w:shd w:val="clear" w:color="auto" w:fill="auto"/>
          </w:tcPr>
          <w:p w14:paraId="61347676"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Quantity per time</w:t>
            </w:r>
          </w:p>
        </w:tc>
      </w:tr>
      <w:tr w:rsidR="00326869" w14:paraId="0E69D34B" w14:textId="77777777">
        <w:tc>
          <w:tcPr>
            <w:tcW w:w="3285" w:type="dxa"/>
            <w:shd w:val="clear" w:color="auto" w:fill="auto"/>
            <w:vAlign w:val="center"/>
          </w:tcPr>
          <w:p w14:paraId="1495C13D"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hAnsi="Book Antiqua" w:cs="Book Antiqua"/>
              </w:rPr>
              <w:t>Soybean and its</w:t>
            </w:r>
            <w:r>
              <w:rPr>
                <w:rFonts w:ascii="Book Antiqua" w:eastAsia="宋体" w:hAnsi="Book Antiqua" w:cs="Book Antiqua" w:hint="eastAsia"/>
                <w:lang w:eastAsia="zh-CN"/>
              </w:rPr>
              <w:t xml:space="preserve"> </w:t>
            </w:r>
            <w:r>
              <w:rPr>
                <w:rFonts w:ascii="Book Antiqua" w:hAnsi="Book Antiqua" w:cs="Book Antiqua"/>
              </w:rPr>
              <w:t>products</w:t>
            </w:r>
          </w:p>
        </w:tc>
        <w:tc>
          <w:tcPr>
            <w:tcW w:w="945" w:type="dxa"/>
            <w:shd w:val="clear" w:color="auto" w:fill="auto"/>
            <w:vAlign w:val="center"/>
          </w:tcPr>
          <w:p w14:paraId="50230784"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0.415</w:t>
            </w:r>
          </w:p>
        </w:tc>
        <w:tc>
          <w:tcPr>
            <w:tcW w:w="1095" w:type="dxa"/>
            <w:shd w:val="clear" w:color="auto" w:fill="auto"/>
          </w:tcPr>
          <w:p w14:paraId="6AE4424B"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0.039</w:t>
            </w:r>
          </w:p>
        </w:tc>
        <w:tc>
          <w:tcPr>
            <w:tcW w:w="1050" w:type="dxa"/>
            <w:shd w:val="clear" w:color="auto" w:fill="auto"/>
            <w:vAlign w:val="center"/>
          </w:tcPr>
          <w:p w14:paraId="51D0344D"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0.635</w:t>
            </w:r>
          </w:p>
        </w:tc>
        <w:tc>
          <w:tcPr>
            <w:tcW w:w="1215" w:type="dxa"/>
            <w:shd w:val="clear" w:color="auto" w:fill="auto"/>
          </w:tcPr>
          <w:p w14:paraId="3B734DF5"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0.001</w:t>
            </w:r>
          </w:p>
        </w:tc>
        <w:tc>
          <w:tcPr>
            <w:tcW w:w="1005" w:type="dxa"/>
            <w:shd w:val="clear" w:color="auto" w:fill="auto"/>
            <w:vAlign w:val="center"/>
          </w:tcPr>
          <w:p w14:paraId="51827DA1"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0.604</w:t>
            </w:r>
          </w:p>
        </w:tc>
        <w:tc>
          <w:tcPr>
            <w:tcW w:w="1064" w:type="dxa"/>
            <w:shd w:val="clear" w:color="auto" w:fill="auto"/>
          </w:tcPr>
          <w:p w14:paraId="161A6A39"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0.001</w:t>
            </w:r>
          </w:p>
        </w:tc>
      </w:tr>
      <w:tr w:rsidR="00326869" w14:paraId="7E94306D" w14:textId="77777777">
        <w:tc>
          <w:tcPr>
            <w:tcW w:w="3285" w:type="dxa"/>
            <w:shd w:val="clear" w:color="auto" w:fill="auto"/>
            <w:vAlign w:val="center"/>
          </w:tcPr>
          <w:p w14:paraId="0CDB9BC5"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hAnsi="Book Antiqua" w:cs="Book Antiqua"/>
              </w:rPr>
              <w:t xml:space="preserve">Spicy </w:t>
            </w:r>
            <w:r>
              <w:rPr>
                <w:rFonts w:ascii="Book Antiqua" w:hAnsi="Book Antiqua" w:cs="Book Antiqua"/>
              </w:rPr>
              <w:t>food</w:t>
            </w:r>
          </w:p>
        </w:tc>
        <w:tc>
          <w:tcPr>
            <w:tcW w:w="945" w:type="dxa"/>
            <w:shd w:val="clear" w:color="auto" w:fill="auto"/>
            <w:vAlign w:val="center"/>
          </w:tcPr>
          <w:p w14:paraId="5FF39EE5"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0.590</w:t>
            </w:r>
          </w:p>
        </w:tc>
        <w:tc>
          <w:tcPr>
            <w:tcW w:w="1095" w:type="dxa"/>
            <w:shd w:val="clear" w:color="auto" w:fill="auto"/>
          </w:tcPr>
          <w:p w14:paraId="2023983A"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0.002</w:t>
            </w:r>
          </w:p>
        </w:tc>
        <w:tc>
          <w:tcPr>
            <w:tcW w:w="1050" w:type="dxa"/>
            <w:shd w:val="clear" w:color="auto" w:fill="auto"/>
            <w:vAlign w:val="center"/>
          </w:tcPr>
          <w:p w14:paraId="1093A52B"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0.454</w:t>
            </w:r>
          </w:p>
        </w:tc>
        <w:tc>
          <w:tcPr>
            <w:tcW w:w="1215" w:type="dxa"/>
            <w:shd w:val="clear" w:color="auto" w:fill="auto"/>
          </w:tcPr>
          <w:p w14:paraId="0B3409AA"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0.022</w:t>
            </w:r>
          </w:p>
        </w:tc>
        <w:tc>
          <w:tcPr>
            <w:tcW w:w="1005" w:type="dxa"/>
            <w:shd w:val="clear" w:color="auto" w:fill="auto"/>
            <w:vAlign w:val="center"/>
          </w:tcPr>
          <w:p w14:paraId="66636438"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0.483</w:t>
            </w:r>
          </w:p>
        </w:tc>
        <w:tc>
          <w:tcPr>
            <w:tcW w:w="1064" w:type="dxa"/>
            <w:shd w:val="clear" w:color="auto" w:fill="auto"/>
          </w:tcPr>
          <w:p w14:paraId="0E08B1A8"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0.014</w:t>
            </w:r>
          </w:p>
        </w:tc>
      </w:tr>
      <w:tr w:rsidR="00326869" w14:paraId="510ED573" w14:textId="77777777">
        <w:tc>
          <w:tcPr>
            <w:tcW w:w="3285" w:type="dxa"/>
            <w:shd w:val="clear" w:color="auto" w:fill="auto"/>
            <w:vAlign w:val="center"/>
          </w:tcPr>
          <w:p w14:paraId="1612C0DC"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hAnsi="Book Antiqua" w:cs="Book Antiqua"/>
              </w:rPr>
              <w:t>Dry-fried nuts</w:t>
            </w:r>
          </w:p>
        </w:tc>
        <w:tc>
          <w:tcPr>
            <w:tcW w:w="945" w:type="dxa"/>
            <w:shd w:val="clear" w:color="auto" w:fill="auto"/>
            <w:vAlign w:val="center"/>
          </w:tcPr>
          <w:p w14:paraId="687D63C1"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0.738</w:t>
            </w:r>
          </w:p>
        </w:tc>
        <w:tc>
          <w:tcPr>
            <w:tcW w:w="1095" w:type="dxa"/>
            <w:shd w:val="clear" w:color="auto" w:fill="auto"/>
          </w:tcPr>
          <w:p w14:paraId="2D68C6EB"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lang w:eastAsia="zh-CN"/>
              </w:rPr>
              <w:t xml:space="preserve">&lt; </w:t>
            </w:r>
            <w:r>
              <w:rPr>
                <w:rFonts w:ascii="Book Antiqua" w:eastAsia="宋体" w:hAnsi="Book Antiqua" w:cs="Book Antiqua"/>
              </w:rPr>
              <w:t>0.001</w:t>
            </w:r>
          </w:p>
        </w:tc>
        <w:tc>
          <w:tcPr>
            <w:tcW w:w="1050" w:type="dxa"/>
            <w:shd w:val="clear" w:color="auto" w:fill="auto"/>
            <w:vAlign w:val="center"/>
          </w:tcPr>
          <w:p w14:paraId="27A3FD1D"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0.608</w:t>
            </w:r>
          </w:p>
        </w:tc>
        <w:tc>
          <w:tcPr>
            <w:tcW w:w="1215" w:type="dxa"/>
            <w:shd w:val="clear" w:color="auto" w:fill="auto"/>
          </w:tcPr>
          <w:p w14:paraId="59320FE9"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0.001</w:t>
            </w:r>
          </w:p>
        </w:tc>
        <w:tc>
          <w:tcPr>
            <w:tcW w:w="1005" w:type="dxa"/>
            <w:shd w:val="clear" w:color="auto" w:fill="auto"/>
            <w:vAlign w:val="center"/>
          </w:tcPr>
          <w:p w14:paraId="70993755"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0.616</w:t>
            </w:r>
          </w:p>
        </w:tc>
        <w:tc>
          <w:tcPr>
            <w:tcW w:w="1064" w:type="dxa"/>
            <w:shd w:val="clear" w:color="auto" w:fill="auto"/>
          </w:tcPr>
          <w:p w14:paraId="40ECA1FA" w14:textId="77777777" w:rsidR="00326869" w:rsidRDefault="008967A2">
            <w:pPr>
              <w:autoSpaceDE w:val="0"/>
              <w:autoSpaceDN w:val="0"/>
              <w:adjustRightInd w:val="0"/>
              <w:snapToGrid w:val="0"/>
              <w:spacing w:line="360" w:lineRule="auto"/>
              <w:jc w:val="both"/>
              <w:rPr>
                <w:rFonts w:ascii="Book Antiqua" w:eastAsia="宋体" w:hAnsi="Book Antiqua" w:cs="Book Antiqua"/>
                <w:color w:val="000000"/>
                <w:lang w:eastAsia="zh-TW"/>
              </w:rPr>
            </w:pPr>
            <w:r>
              <w:rPr>
                <w:rFonts w:ascii="Book Antiqua" w:eastAsia="宋体" w:hAnsi="Book Antiqua" w:cs="Book Antiqua"/>
              </w:rPr>
              <w:t>0.001</w:t>
            </w:r>
          </w:p>
        </w:tc>
      </w:tr>
      <w:tr w:rsidR="00326869" w14:paraId="72FBD031" w14:textId="77777777">
        <w:tc>
          <w:tcPr>
            <w:tcW w:w="9659" w:type="dxa"/>
            <w:gridSpan w:val="7"/>
            <w:shd w:val="clear" w:color="auto" w:fill="auto"/>
          </w:tcPr>
          <w:p w14:paraId="411F909E"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color w:val="000000"/>
              </w:rPr>
              <w:t>Intake frequency</w:t>
            </w:r>
          </w:p>
        </w:tc>
      </w:tr>
      <w:tr w:rsidR="00326869" w14:paraId="012418AB" w14:textId="77777777">
        <w:tc>
          <w:tcPr>
            <w:tcW w:w="3285" w:type="dxa"/>
            <w:shd w:val="clear" w:color="auto" w:fill="auto"/>
            <w:vAlign w:val="center"/>
          </w:tcPr>
          <w:p w14:paraId="416EDCFD"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eastAsia="宋体" w:hAnsi="Book Antiqua" w:cs="Book Antiqua" w:hint="eastAsia"/>
                <w:lang w:eastAsia="zh-CN"/>
              </w:rPr>
              <w:t>S</w:t>
            </w:r>
            <w:r>
              <w:rPr>
                <w:rFonts w:ascii="Book Antiqua" w:hAnsi="Book Antiqua" w:cs="Book Antiqua"/>
              </w:rPr>
              <w:t>oybean and its products</w:t>
            </w:r>
          </w:p>
        </w:tc>
        <w:tc>
          <w:tcPr>
            <w:tcW w:w="945" w:type="dxa"/>
            <w:shd w:val="clear" w:color="auto" w:fill="auto"/>
            <w:vAlign w:val="center"/>
          </w:tcPr>
          <w:p w14:paraId="5520B30C"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0.702</w:t>
            </w:r>
          </w:p>
        </w:tc>
        <w:tc>
          <w:tcPr>
            <w:tcW w:w="1095" w:type="dxa"/>
            <w:shd w:val="clear" w:color="auto" w:fill="auto"/>
          </w:tcPr>
          <w:p w14:paraId="6281A4BB"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eastAsia="宋体" w:hAnsi="Book Antiqua" w:cs="Book Antiqua"/>
                <w:lang w:eastAsia="zh-CN"/>
              </w:rPr>
              <w:t xml:space="preserve">&lt; </w:t>
            </w:r>
            <w:r>
              <w:rPr>
                <w:rFonts w:ascii="Book Antiqua" w:hAnsi="Book Antiqua" w:cs="Book Antiqua"/>
              </w:rPr>
              <w:t>0.001</w:t>
            </w:r>
          </w:p>
        </w:tc>
        <w:tc>
          <w:tcPr>
            <w:tcW w:w="1050" w:type="dxa"/>
            <w:shd w:val="clear" w:color="auto" w:fill="auto"/>
            <w:vAlign w:val="center"/>
          </w:tcPr>
          <w:p w14:paraId="22997DD1"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0.422</w:t>
            </w:r>
          </w:p>
        </w:tc>
        <w:tc>
          <w:tcPr>
            <w:tcW w:w="1215" w:type="dxa"/>
            <w:shd w:val="clear" w:color="auto" w:fill="auto"/>
          </w:tcPr>
          <w:p w14:paraId="757C7345"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0.036</w:t>
            </w:r>
          </w:p>
        </w:tc>
        <w:tc>
          <w:tcPr>
            <w:tcW w:w="1005" w:type="dxa"/>
            <w:shd w:val="clear" w:color="auto" w:fill="auto"/>
            <w:vAlign w:val="center"/>
          </w:tcPr>
          <w:p w14:paraId="425F0EAF"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0.566</w:t>
            </w:r>
          </w:p>
        </w:tc>
        <w:tc>
          <w:tcPr>
            <w:tcW w:w="1064" w:type="dxa"/>
            <w:shd w:val="clear" w:color="auto" w:fill="auto"/>
          </w:tcPr>
          <w:p w14:paraId="53C329B6"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0.003</w:t>
            </w:r>
          </w:p>
        </w:tc>
      </w:tr>
      <w:tr w:rsidR="00326869" w14:paraId="2C2E661E" w14:textId="77777777">
        <w:tc>
          <w:tcPr>
            <w:tcW w:w="3285" w:type="dxa"/>
            <w:shd w:val="clear" w:color="auto" w:fill="auto"/>
            <w:vAlign w:val="center"/>
          </w:tcPr>
          <w:p w14:paraId="60D2FAA9"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hAnsi="Book Antiqua" w:cs="Book Antiqua"/>
              </w:rPr>
              <w:t>Spicy food</w:t>
            </w:r>
          </w:p>
        </w:tc>
        <w:tc>
          <w:tcPr>
            <w:tcW w:w="945" w:type="dxa"/>
            <w:shd w:val="clear" w:color="auto" w:fill="auto"/>
            <w:vAlign w:val="center"/>
          </w:tcPr>
          <w:p w14:paraId="18E71B7C"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0.691</w:t>
            </w:r>
          </w:p>
        </w:tc>
        <w:tc>
          <w:tcPr>
            <w:tcW w:w="1095" w:type="dxa"/>
            <w:shd w:val="clear" w:color="auto" w:fill="auto"/>
          </w:tcPr>
          <w:p w14:paraId="75162D2D"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eastAsia="宋体" w:hAnsi="Book Antiqua" w:cs="Book Antiqua"/>
                <w:lang w:eastAsia="zh-CN"/>
              </w:rPr>
              <w:t xml:space="preserve">&lt; </w:t>
            </w:r>
            <w:r>
              <w:rPr>
                <w:rFonts w:ascii="Book Antiqua" w:hAnsi="Book Antiqua" w:cs="Book Antiqua"/>
              </w:rPr>
              <w:t>0.001</w:t>
            </w:r>
          </w:p>
        </w:tc>
        <w:tc>
          <w:tcPr>
            <w:tcW w:w="1050" w:type="dxa"/>
            <w:shd w:val="clear" w:color="auto" w:fill="auto"/>
            <w:vAlign w:val="center"/>
          </w:tcPr>
          <w:p w14:paraId="6ECFFBF9"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0.451</w:t>
            </w:r>
          </w:p>
        </w:tc>
        <w:tc>
          <w:tcPr>
            <w:tcW w:w="1215" w:type="dxa"/>
            <w:shd w:val="clear" w:color="auto" w:fill="auto"/>
          </w:tcPr>
          <w:p w14:paraId="3C027D90"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0.024</w:t>
            </w:r>
          </w:p>
        </w:tc>
        <w:tc>
          <w:tcPr>
            <w:tcW w:w="1005" w:type="dxa"/>
            <w:shd w:val="clear" w:color="auto" w:fill="auto"/>
            <w:vAlign w:val="center"/>
          </w:tcPr>
          <w:p w14:paraId="4697CBC3"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0.424</w:t>
            </w:r>
          </w:p>
        </w:tc>
        <w:tc>
          <w:tcPr>
            <w:tcW w:w="1064" w:type="dxa"/>
            <w:shd w:val="clear" w:color="auto" w:fill="auto"/>
          </w:tcPr>
          <w:p w14:paraId="4870D87F"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0.034</w:t>
            </w:r>
          </w:p>
        </w:tc>
      </w:tr>
      <w:tr w:rsidR="00326869" w14:paraId="4BCFB60C" w14:textId="77777777">
        <w:tc>
          <w:tcPr>
            <w:tcW w:w="3285" w:type="dxa"/>
            <w:shd w:val="clear" w:color="auto" w:fill="auto"/>
            <w:vAlign w:val="center"/>
          </w:tcPr>
          <w:p w14:paraId="0B10488B" w14:textId="77777777" w:rsidR="00326869" w:rsidRDefault="008967A2">
            <w:pPr>
              <w:autoSpaceDE w:val="0"/>
              <w:autoSpaceDN w:val="0"/>
              <w:adjustRightInd w:val="0"/>
              <w:snapToGrid w:val="0"/>
              <w:spacing w:line="360" w:lineRule="auto"/>
              <w:ind w:firstLineChars="100" w:firstLine="240"/>
              <w:jc w:val="both"/>
              <w:rPr>
                <w:rFonts w:ascii="Book Antiqua" w:eastAsia="PMingLiU" w:hAnsi="Book Antiqua" w:cs="Book Antiqua"/>
                <w:color w:val="000000"/>
                <w:lang w:eastAsia="zh-TW"/>
              </w:rPr>
            </w:pPr>
            <w:r>
              <w:rPr>
                <w:rFonts w:ascii="Book Antiqua" w:hAnsi="Book Antiqua" w:cs="Book Antiqua"/>
              </w:rPr>
              <w:t>Dry</w:t>
            </w:r>
            <w:r>
              <w:rPr>
                <w:rFonts w:ascii="Book Antiqua" w:eastAsia="宋体" w:hAnsi="Book Antiqua" w:cs="Book Antiqua" w:hint="eastAsia"/>
                <w:lang w:eastAsia="zh-CN"/>
              </w:rPr>
              <w:t>-</w:t>
            </w:r>
            <w:r>
              <w:rPr>
                <w:rFonts w:ascii="Book Antiqua" w:hAnsi="Book Antiqua" w:cs="Book Antiqua"/>
              </w:rPr>
              <w:t>fried nuts</w:t>
            </w:r>
          </w:p>
        </w:tc>
        <w:tc>
          <w:tcPr>
            <w:tcW w:w="945" w:type="dxa"/>
            <w:shd w:val="clear" w:color="auto" w:fill="auto"/>
            <w:vAlign w:val="center"/>
          </w:tcPr>
          <w:p w14:paraId="0ABBC674"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0.512</w:t>
            </w:r>
          </w:p>
        </w:tc>
        <w:tc>
          <w:tcPr>
            <w:tcW w:w="1095" w:type="dxa"/>
            <w:shd w:val="clear" w:color="auto" w:fill="auto"/>
          </w:tcPr>
          <w:p w14:paraId="60B90E54"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0.009</w:t>
            </w:r>
          </w:p>
        </w:tc>
        <w:tc>
          <w:tcPr>
            <w:tcW w:w="1050" w:type="dxa"/>
            <w:shd w:val="clear" w:color="auto" w:fill="auto"/>
            <w:vAlign w:val="center"/>
          </w:tcPr>
          <w:p w14:paraId="3667A394"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0.605</w:t>
            </w:r>
          </w:p>
        </w:tc>
        <w:tc>
          <w:tcPr>
            <w:tcW w:w="1215" w:type="dxa"/>
            <w:shd w:val="clear" w:color="auto" w:fill="auto"/>
          </w:tcPr>
          <w:p w14:paraId="40FB304B"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0.001</w:t>
            </w:r>
          </w:p>
        </w:tc>
        <w:tc>
          <w:tcPr>
            <w:tcW w:w="1005" w:type="dxa"/>
            <w:shd w:val="clear" w:color="auto" w:fill="auto"/>
            <w:vAlign w:val="center"/>
          </w:tcPr>
          <w:p w14:paraId="7F788AAE"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0.622</w:t>
            </w:r>
          </w:p>
        </w:tc>
        <w:tc>
          <w:tcPr>
            <w:tcW w:w="1064" w:type="dxa"/>
            <w:shd w:val="clear" w:color="auto" w:fill="auto"/>
          </w:tcPr>
          <w:p w14:paraId="4E6D2275" w14:textId="77777777" w:rsidR="00326869" w:rsidRDefault="008967A2">
            <w:pPr>
              <w:autoSpaceDE w:val="0"/>
              <w:autoSpaceDN w:val="0"/>
              <w:adjustRightInd w:val="0"/>
              <w:snapToGrid w:val="0"/>
              <w:spacing w:line="360" w:lineRule="auto"/>
              <w:jc w:val="both"/>
              <w:rPr>
                <w:rFonts w:ascii="Book Antiqua" w:eastAsia="PMingLiU" w:hAnsi="Book Antiqua" w:cs="Book Antiqua"/>
                <w:color w:val="000000"/>
                <w:lang w:eastAsia="zh-TW"/>
              </w:rPr>
            </w:pPr>
            <w:r>
              <w:rPr>
                <w:rFonts w:ascii="Book Antiqua" w:hAnsi="Book Antiqua" w:cs="Book Antiqua"/>
              </w:rPr>
              <w:t>0.001</w:t>
            </w:r>
          </w:p>
        </w:tc>
      </w:tr>
    </w:tbl>
    <w:bookmarkEnd w:id="15"/>
    <w:p w14:paraId="7A87D880" w14:textId="77777777" w:rsidR="00326869" w:rsidRDefault="008967A2">
      <w:pPr>
        <w:adjustRightInd w:val="0"/>
        <w:snapToGrid w:val="0"/>
        <w:spacing w:line="360" w:lineRule="auto"/>
        <w:jc w:val="both"/>
        <w:rPr>
          <w:rFonts w:ascii="Book Antiqua" w:eastAsia="PMingLiU" w:hAnsi="Book Antiqua" w:cs="Book Antiqua"/>
          <w:color w:val="000000"/>
          <w:lang w:eastAsia="zh-TW"/>
        </w:rPr>
      </w:pPr>
      <w:r>
        <w:rPr>
          <w:rFonts w:ascii="Book Antiqua" w:eastAsiaTheme="minorEastAsia" w:hAnsi="Book Antiqua" w:cs="Book Antiqua"/>
          <w:color w:val="000000"/>
          <w:lang w:eastAsia="zh-CN"/>
        </w:rPr>
        <w:t>All</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i/>
          <w:iCs/>
          <w:color w:val="000000"/>
          <w:lang w:eastAsia="zh-CN"/>
        </w:rPr>
        <w:t>P</w:t>
      </w:r>
      <w:r>
        <w:rPr>
          <w:rFonts w:ascii="Book Antiqua" w:eastAsiaTheme="minorEastAsia" w:hAnsi="Book Antiqua" w:cs="Book Antiqua" w:hint="eastAsia"/>
          <w:color w:val="000000"/>
          <w:lang w:eastAsia="zh-CN"/>
        </w:rPr>
        <w:t xml:space="preserve"> </w:t>
      </w:r>
      <w:r>
        <w:rPr>
          <w:rFonts w:ascii="Book Antiqua" w:hAnsi="Book Antiqua" w:cs="Book Antiqua"/>
        </w:rPr>
        <w:t>&lt;</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0.05.</w:t>
      </w:r>
      <w:r>
        <w:rPr>
          <w:rFonts w:ascii="Book Antiqua" w:eastAsiaTheme="minorEastAsia" w:hAnsi="Book Antiqua" w:cs="Book Antiqua" w:hint="eastAsia"/>
          <w:color w:val="000000"/>
          <w:lang w:eastAsia="zh-CN"/>
        </w:rPr>
        <w:t xml:space="preserve"> </w:t>
      </w:r>
      <w:r>
        <w:rPr>
          <w:rFonts w:ascii="Book Antiqua" w:hAnsi="Book Antiqua" w:cs="Book Antiqua"/>
        </w:rPr>
        <w:t>IBS-SSS:</w:t>
      </w:r>
      <w:r>
        <w:rPr>
          <w:rFonts w:ascii="Book Antiqua" w:eastAsia="宋体" w:hAnsi="Book Antiqua" w:cs="Book Antiqua" w:hint="eastAsia"/>
          <w:lang w:eastAsia="zh-CN"/>
        </w:rPr>
        <w:t xml:space="preserve"> </w:t>
      </w:r>
      <w:r>
        <w:rPr>
          <w:rFonts w:ascii="Book Antiqua" w:eastAsia="宋体" w:hAnsi="Book Antiqua" w:cs="Book Antiqua"/>
          <w:lang w:eastAsia="zh-CN"/>
        </w:rPr>
        <w:t>I</w:t>
      </w:r>
      <w:r>
        <w:rPr>
          <w:rFonts w:ascii="Book Antiqua" w:hAnsi="Book Antiqua" w:cs="Book Antiqua"/>
        </w:rPr>
        <w:t>rritable bowel syndrome</w:t>
      </w:r>
      <w:r>
        <w:rPr>
          <w:rFonts w:ascii="Book Antiqua" w:eastAsia="宋体" w:hAnsi="Book Antiqua" w:cs="Book Antiqua" w:hint="eastAsia"/>
          <w:lang w:eastAsia="zh-CN"/>
        </w:rPr>
        <w:t>-</w:t>
      </w:r>
      <w:r>
        <w:rPr>
          <w:rFonts w:ascii="Book Antiqua" w:hAnsi="Book Antiqua" w:cs="Book Antiqua"/>
        </w:rPr>
        <w:t>symptom severity scale;</w:t>
      </w:r>
      <w:r>
        <w:rPr>
          <w:rFonts w:ascii="Book Antiqua" w:eastAsia="宋体" w:hAnsi="Book Antiqua" w:cs="Book Antiqua" w:hint="eastAsia"/>
          <w:lang w:eastAsia="zh-CN"/>
        </w:rPr>
        <w:t xml:space="preserve"> </w:t>
      </w:r>
      <w:r>
        <w:rPr>
          <w:rFonts w:ascii="Book Antiqua" w:hAnsi="Book Antiqua" w:cs="Book Antiqua"/>
        </w:rPr>
        <w:t>HADS:</w:t>
      </w:r>
      <w:r>
        <w:rPr>
          <w:rFonts w:ascii="Book Antiqua" w:eastAsia="宋体" w:hAnsi="Book Antiqua" w:cs="Book Antiqua" w:hint="eastAsia"/>
          <w:lang w:eastAsia="zh-CN"/>
        </w:rPr>
        <w:t xml:space="preserve"> </w:t>
      </w:r>
      <w:r>
        <w:rPr>
          <w:rFonts w:ascii="Book Antiqua" w:hAnsi="Book Antiqua" w:cs="Book Antiqua"/>
        </w:rPr>
        <w:t xml:space="preserve">Hospital anxiety and depression scale; a: </w:t>
      </w:r>
      <w:r>
        <w:rPr>
          <w:rFonts w:ascii="Book Antiqua" w:eastAsia="宋体" w:hAnsi="Book Antiqua" w:cs="Book Antiqua" w:hint="eastAsia"/>
          <w:lang w:eastAsia="zh-CN"/>
        </w:rPr>
        <w:t>A</w:t>
      </w:r>
      <w:r>
        <w:rPr>
          <w:rFonts w:ascii="Book Antiqua" w:hAnsi="Book Antiqua" w:cs="Book Antiqua"/>
        </w:rPr>
        <w:t xml:space="preserve">nxiety; d: </w:t>
      </w:r>
      <w:r>
        <w:rPr>
          <w:rFonts w:ascii="Book Antiqua" w:eastAsia="宋体" w:hAnsi="Book Antiqua" w:cs="Book Antiqua" w:hint="eastAsia"/>
          <w:lang w:eastAsia="zh-CN"/>
        </w:rPr>
        <w:t>D</w:t>
      </w:r>
      <w:r>
        <w:rPr>
          <w:rFonts w:ascii="Book Antiqua" w:hAnsi="Book Antiqua" w:cs="Book Antiqua"/>
        </w:rPr>
        <w:t>epression.</w:t>
      </w:r>
      <w:r>
        <w:rPr>
          <w:rFonts w:ascii="Book Antiqua" w:eastAsia="宋体" w:hAnsi="Book Antiqua" w:cs="Book Antiqua" w:hint="eastAsia"/>
          <w:lang w:eastAsia="zh-CN"/>
        </w:rPr>
        <w:t xml:space="preserve"> </w:t>
      </w:r>
    </w:p>
    <w:p w14:paraId="4889A727" w14:textId="77777777" w:rsidR="00326869" w:rsidRDefault="008967A2">
      <w:pPr>
        <w:adjustRightInd w:val="0"/>
        <w:snapToGrid w:val="0"/>
        <w:spacing w:line="360" w:lineRule="auto"/>
        <w:rPr>
          <w:rFonts w:ascii="Book Antiqua" w:hAnsi="Book Antiqua" w:cs="Book Antiqua"/>
          <w:bCs/>
          <w:color w:val="000000"/>
        </w:rPr>
      </w:pPr>
      <w:r>
        <w:rPr>
          <w:rFonts w:ascii="Book Antiqua" w:eastAsia="PMingLiU" w:hAnsi="Book Antiqua" w:cs="Book Antiqua"/>
          <w:color w:val="000000"/>
          <w:lang w:eastAsia="zh-TW"/>
        </w:rPr>
        <w:br w:type="page"/>
      </w:r>
      <w:r>
        <w:rPr>
          <w:rFonts w:ascii="Book Antiqua" w:hAnsi="Book Antiqua" w:cs="Book Antiqua"/>
          <w:b/>
          <w:color w:val="000000"/>
        </w:rPr>
        <w:lastRenderedPageBreak/>
        <w:t xml:space="preserve">Table 4 Evaluation of dietary factors for IBS by logistic regression </w:t>
      </w:r>
      <w:r>
        <w:rPr>
          <w:rFonts w:ascii="Book Antiqua" w:hAnsi="Book Antiqua" w:cs="Book Antiqua"/>
          <w:b/>
          <w:color w:val="000000"/>
        </w:rPr>
        <w:t>analysis</w:t>
      </w:r>
    </w:p>
    <w:tbl>
      <w:tblPr>
        <w:tblW w:w="9140" w:type="dxa"/>
        <w:tblLook w:val="04A0" w:firstRow="1" w:lastRow="0" w:firstColumn="1" w:lastColumn="0" w:noHBand="0" w:noVBand="1"/>
      </w:tblPr>
      <w:tblGrid>
        <w:gridCol w:w="1466"/>
        <w:gridCol w:w="975"/>
        <w:gridCol w:w="920"/>
        <w:gridCol w:w="996"/>
        <w:gridCol w:w="955"/>
        <w:gridCol w:w="957"/>
        <w:gridCol w:w="958"/>
        <w:gridCol w:w="958"/>
        <w:gridCol w:w="955"/>
      </w:tblGrid>
      <w:tr w:rsidR="00326869" w14:paraId="76593011" w14:textId="77777777">
        <w:trPr>
          <w:trHeight w:val="312"/>
        </w:trPr>
        <w:tc>
          <w:tcPr>
            <w:tcW w:w="1466" w:type="dxa"/>
            <w:vMerge w:val="restart"/>
            <w:tcBorders>
              <w:top w:val="single" w:sz="8" w:space="0" w:color="auto"/>
              <w:left w:val="nil"/>
              <w:bottom w:val="single" w:sz="4" w:space="0" w:color="auto"/>
              <w:right w:val="nil"/>
            </w:tcBorders>
            <w:shd w:val="clear" w:color="auto" w:fill="auto"/>
            <w:vAlign w:val="center"/>
          </w:tcPr>
          <w:p w14:paraId="63DE585C" w14:textId="77777777" w:rsidR="00326869" w:rsidRDefault="00326869">
            <w:pPr>
              <w:jc w:val="both"/>
              <w:rPr>
                <w:rFonts w:ascii="Book Antiqua" w:eastAsia="宋体" w:hAnsi="Book Antiqua" w:cs="宋体"/>
                <w:color w:val="000000"/>
                <w:lang w:eastAsia="zh-CN"/>
              </w:rPr>
            </w:pPr>
          </w:p>
        </w:tc>
        <w:tc>
          <w:tcPr>
            <w:tcW w:w="3846" w:type="dxa"/>
            <w:gridSpan w:val="4"/>
            <w:tcBorders>
              <w:top w:val="single" w:sz="8" w:space="0" w:color="auto"/>
              <w:left w:val="nil"/>
              <w:bottom w:val="single" w:sz="4" w:space="0" w:color="auto"/>
              <w:right w:val="nil"/>
            </w:tcBorders>
            <w:shd w:val="clear" w:color="auto" w:fill="auto"/>
            <w:vAlign w:val="center"/>
          </w:tcPr>
          <w:p w14:paraId="63F0AF6A"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Univariable</w:t>
            </w:r>
          </w:p>
        </w:tc>
        <w:tc>
          <w:tcPr>
            <w:tcW w:w="3828" w:type="dxa"/>
            <w:gridSpan w:val="4"/>
            <w:tcBorders>
              <w:top w:val="single" w:sz="8" w:space="0" w:color="auto"/>
              <w:left w:val="nil"/>
              <w:bottom w:val="single" w:sz="4" w:space="0" w:color="auto"/>
              <w:right w:val="nil"/>
            </w:tcBorders>
            <w:shd w:val="clear" w:color="auto" w:fill="auto"/>
            <w:vAlign w:val="center"/>
          </w:tcPr>
          <w:p w14:paraId="2386683A"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Multivariable</w:t>
            </w:r>
          </w:p>
        </w:tc>
      </w:tr>
      <w:tr w:rsidR="00326869" w14:paraId="7E84D91F" w14:textId="77777777">
        <w:trPr>
          <w:trHeight w:val="324"/>
        </w:trPr>
        <w:tc>
          <w:tcPr>
            <w:tcW w:w="1466" w:type="dxa"/>
            <w:vMerge/>
            <w:tcBorders>
              <w:top w:val="single" w:sz="4" w:space="0" w:color="auto"/>
              <w:left w:val="nil"/>
              <w:bottom w:val="single" w:sz="8" w:space="0" w:color="000000"/>
              <w:right w:val="nil"/>
            </w:tcBorders>
            <w:vAlign w:val="center"/>
          </w:tcPr>
          <w:p w14:paraId="5695E274" w14:textId="77777777" w:rsidR="00326869" w:rsidRDefault="00326869">
            <w:pPr>
              <w:rPr>
                <w:rFonts w:ascii="Book Antiqua" w:eastAsia="宋体" w:hAnsi="Book Antiqua" w:cs="宋体"/>
                <w:color w:val="000000"/>
                <w:lang w:eastAsia="zh-CN"/>
              </w:rPr>
            </w:pPr>
          </w:p>
        </w:tc>
        <w:tc>
          <w:tcPr>
            <w:tcW w:w="975" w:type="dxa"/>
            <w:vMerge w:val="restart"/>
            <w:tcBorders>
              <w:top w:val="single" w:sz="4" w:space="0" w:color="auto"/>
              <w:left w:val="nil"/>
              <w:bottom w:val="single" w:sz="8" w:space="0" w:color="000000"/>
              <w:right w:val="nil"/>
            </w:tcBorders>
            <w:shd w:val="clear" w:color="auto" w:fill="auto"/>
            <w:vAlign w:val="center"/>
          </w:tcPr>
          <w:p w14:paraId="4F1D53BB"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OR</w:t>
            </w:r>
          </w:p>
        </w:tc>
        <w:tc>
          <w:tcPr>
            <w:tcW w:w="1916" w:type="dxa"/>
            <w:gridSpan w:val="2"/>
            <w:tcBorders>
              <w:top w:val="single" w:sz="4" w:space="0" w:color="auto"/>
              <w:left w:val="nil"/>
              <w:bottom w:val="single" w:sz="8" w:space="0" w:color="auto"/>
              <w:right w:val="nil"/>
            </w:tcBorders>
            <w:shd w:val="clear" w:color="auto" w:fill="auto"/>
            <w:vAlign w:val="center"/>
          </w:tcPr>
          <w:p w14:paraId="332213BC"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95%CI</w:t>
            </w:r>
          </w:p>
        </w:tc>
        <w:tc>
          <w:tcPr>
            <w:tcW w:w="955" w:type="dxa"/>
            <w:vMerge w:val="restart"/>
            <w:tcBorders>
              <w:top w:val="single" w:sz="4" w:space="0" w:color="auto"/>
              <w:left w:val="nil"/>
              <w:bottom w:val="single" w:sz="8" w:space="0" w:color="000000"/>
              <w:right w:val="nil"/>
            </w:tcBorders>
            <w:shd w:val="clear" w:color="auto" w:fill="auto"/>
            <w:vAlign w:val="center"/>
          </w:tcPr>
          <w:p w14:paraId="3D5BF53B" w14:textId="77777777" w:rsidR="00326869" w:rsidRDefault="008967A2">
            <w:pPr>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P</w:t>
            </w:r>
            <w:r>
              <w:rPr>
                <w:rFonts w:ascii="Book Antiqua" w:eastAsia="宋体" w:hAnsi="Book Antiqua" w:cs="宋体"/>
                <w:b/>
                <w:bCs/>
                <w:color w:val="000000"/>
                <w:lang w:eastAsia="zh-CN"/>
              </w:rPr>
              <w:t xml:space="preserve"> value</w:t>
            </w:r>
          </w:p>
        </w:tc>
        <w:tc>
          <w:tcPr>
            <w:tcW w:w="957" w:type="dxa"/>
            <w:vMerge w:val="restart"/>
            <w:tcBorders>
              <w:top w:val="single" w:sz="4" w:space="0" w:color="auto"/>
              <w:left w:val="nil"/>
              <w:bottom w:val="single" w:sz="8" w:space="0" w:color="000000"/>
              <w:right w:val="nil"/>
            </w:tcBorders>
            <w:shd w:val="clear" w:color="auto" w:fill="auto"/>
            <w:vAlign w:val="center"/>
          </w:tcPr>
          <w:p w14:paraId="0BDB9B6C"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OR</w:t>
            </w:r>
          </w:p>
        </w:tc>
        <w:tc>
          <w:tcPr>
            <w:tcW w:w="1916" w:type="dxa"/>
            <w:gridSpan w:val="2"/>
            <w:tcBorders>
              <w:top w:val="single" w:sz="4" w:space="0" w:color="auto"/>
              <w:left w:val="nil"/>
              <w:bottom w:val="single" w:sz="4" w:space="0" w:color="auto"/>
              <w:right w:val="nil"/>
            </w:tcBorders>
            <w:shd w:val="clear" w:color="auto" w:fill="auto"/>
            <w:vAlign w:val="center"/>
          </w:tcPr>
          <w:p w14:paraId="02E6408D"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95%CI</w:t>
            </w:r>
          </w:p>
        </w:tc>
        <w:tc>
          <w:tcPr>
            <w:tcW w:w="955" w:type="dxa"/>
            <w:vMerge w:val="restart"/>
            <w:tcBorders>
              <w:top w:val="single" w:sz="4" w:space="0" w:color="auto"/>
              <w:left w:val="nil"/>
              <w:bottom w:val="single" w:sz="4" w:space="0" w:color="auto"/>
              <w:right w:val="nil"/>
            </w:tcBorders>
            <w:shd w:val="clear" w:color="auto" w:fill="auto"/>
            <w:vAlign w:val="center"/>
          </w:tcPr>
          <w:p w14:paraId="56470B2E" w14:textId="77777777" w:rsidR="00326869" w:rsidRDefault="008967A2">
            <w:pPr>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 xml:space="preserve">P </w:t>
            </w:r>
            <w:r>
              <w:rPr>
                <w:rFonts w:ascii="Book Antiqua" w:eastAsia="宋体" w:hAnsi="Book Antiqua" w:cs="宋体"/>
                <w:b/>
                <w:bCs/>
                <w:color w:val="000000"/>
                <w:lang w:eastAsia="zh-CN"/>
              </w:rPr>
              <w:t>value</w:t>
            </w:r>
          </w:p>
        </w:tc>
      </w:tr>
      <w:tr w:rsidR="00326869" w14:paraId="744B7132" w14:textId="77777777">
        <w:trPr>
          <w:trHeight w:val="324"/>
        </w:trPr>
        <w:tc>
          <w:tcPr>
            <w:tcW w:w="1466" w:type="dxa"/>
            <w:vMerge/>
            <w:tcBorders>
              <w:top w:val="single" w:sz="4" w:space="0" w:color="auto"/>
              <w:left w:val="nil"/>
              <w:bottom w:val="single" w:sz="4" w:space="0" w:color="auto"/>
              <w:right w:val="nil"/>
            </w:tcBorders>
            <w:vAlign w:val="center"/>
          </w:tcPr>
          <w:p w14:paraId="498A834E" w14:textId="77777777" w:rsidR="00326869" w:rsidRDefault="00326869">
            <w:pPr>
              <w:rPr>
                <w:rFonts w:ascii="Book Antiqua" w:eastAsia="宋体" w:hAnsi="Book Antiqua" w:cs="宋体"/>
                <w:color w:val="000000"/>
                <w:lang w:eastAsia="zh-CN"/>
              </w:rPr>
            </w:pPr>
          </w:p>
        </w:tc>
        <w:tc>
          <w:tcPr>
            <w:tcW w:w="975" w:type="dxa"/>
            <w:vMerge/>
            <w:tcBorders>
              <w:top w:val="single" w:sz="4" w:space="0" w:color="auto"/>
              <w:left w:val="nil"/>
              <w:bottom w:val="single" w:sz="4" w:space="0" w:color="auto"/>
              <w:right w:val="nil"/>
            </w:tcBorders>
            <w:vAlign w:val="center"/>
          </w:tcPr>
          <w:p w14:paraId="61DC29B7" w14:textId="77777777" w:rsidR="00326869" w:rsidRDefault="00326869">
            <w:pPr>
              <w:rPr>
                <w:rFonts w:ascii="Book Antiqua" w:eastAsia="宋体" w:hAnsi="Book Antiqua" w:cs="宋体"/>
                <w:b/>
                <w:bCs/>
                <w:color w:val="000000"/>
                <w:lang w:eastAsia="zh-CN"/>
              </w:rPr>
            </w:pPr>
          </w:p>
        </w:tc>
        <w:tc>
          <w:tcPr>
            <w:tcW w:w="920" w:type="dxa"/>
            <w:tcBorders>
              <w:top w:val="single" w:sz="4" w:space="0" w:color="auto"/>
              <w:left w:val="nil"/>
              <w:bottom w:val="single" w:sz="4" w:space="0" w:color="auto"/>
              <w:right w:val="nil"/>
            </w:tcBorders>
            <w:shd w:val="clear" w:color="auto" w:fill="auto"/>
            <w:vAlign w:val="center"/>
          </w:tcPr>
          <w:p w14:paraId="56393E46"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Lower</w:t>
            </w:r>
          </w:p>
        </w:tc>
        <w:tc>
          <w:tcPr>
            <w:tcW w:w="996" w:type="dxa"/>
            <w:tcBorders>
              <w:top w:val="single" w:sz="4" w:space="0" w:color="auto"/>
              <w:left w:val="nil"/>
              <w:bottom w:val="single" w:sz="4" w:space="0" w:color="auto"/>
              <w:right w:val="nil"/>
            </w:tcBorders>
            <w:shd w:val="clear" w:color="auto" w:fill="auto"/>
            <w:vAlign w:val="center"/>
          </w:tcPr>
          <w:p w14:paraId="6D16F9BD"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Upper</w:t>
            </w:r>
          </w:p>
        </w:tc>
        <w:tc>
          <w:tcPr>
            <w:tcW w:w="955" w:type="dxa"/>
            <w:vMerge/>
            <w:tcBorders>
              <w:top w:val="single" w:sz="4" w:space="0" w:color="auto"/>
              <w:left w:val="nil"/>
              <w:bottom w:val="single" w:sz="4" w:space="0" w:color="auto"/>
              <w:right w:val="nil"/>
            </w:tcBorders>
            <w:vAlign w:val="center"/>
          </w:tcPr>
          <w:p w14:paraId="2577C099" w14:textId="77777777" w:rsidR="00326869" w:rsidRDefault="00326869">
            <w:pPr>
              <w:rPr>
                <w:rFonts w:ascii="Book Antiqua" w:eastAsia="宋体" w:hAnsi="Book Antiqua" w:cs="宋体"/>
                <w:b/>
                <w:bCs/>
                <w:i/>
                <w:iCs/>
                <w:color w:val="000000"/>
                <w:lang w:eastAsia="zh-CN"/>
              </w:rPr>
            </w:pPr>
          </w:p>
        </w:tc>
        <w:tc>
          <w:tcPr>
            <w:tcW w:w="957" w:type="dxa"/>
            <w:vMerge/>
            <w:tcBorders>
              <w:top w:val="single" w:sz="4" w:space="0" w:color="auto"/>
              <w:left w:val="nil"/>
              <w:bottom w:val="single" w:sz="4" w:space="0" w:color="auto"/>
              <w:right w:val="nil"/>
            </w:tcBorders>
            <w:vAlign w:val="center"/>
          </w:tcPr>
          <w:p w14:paraId="7E2467A6" w14:textId="77777777" w:rsidR="00326869" w:rsidRDefault="00326869">
            <w:pPr>
              <w:rPr>
                <w:rFonts w:ascii="Book Antiqua" w:eastAsia="宋体" w:hAnsi="Book Antiqua" w:cs="宋体"/>
                <w:b/>
                <w:bCs/>
                <w:color w:val="000000"/>
                <w:lang w:eastAsia="zh-CN"/>
              </w:rPr>
            </w:pPr>
          </w:p>
        </w:tc>
        <w:tc>
          <w:tcPr>
            <w:tcW w:w="958" w:type="dxa"/>
            <w:tcBorders>
              <w:top w:val="single" w:sz="4" w:space="0" w:color="auto"/>
              <w:left w:val="nil"/>
              <w:bottom w:val="single" w:sz="4" w:space="0" w:color="auto"/>
              <w:right w:val="nil"/>
            </w:tcBorders>
            <w:shd w:val="clear" w:color="auto" w:fill="auto"/>
            <w:vAlign w:val="center"/>
          </w:tcPr>
          <w:p w14:paraId="55A942BD"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Lower</w:t>
            </w:r>
          </w:p>
        </w:tc>
        <w:tc>
          <w:tcPr>
            <w:tcW w:w="958" w:type="dxa"/>
            <w:tcBorders>
              <w:top w:val="single" w:sz="4" w:space="0" w:color="auto"/>
              <w:left w:val="nil"/>
              <w:bottom w:val="single" w:sz="4" w:space="0" w:color="auto"/>
              <w:right w:val="nil"/>
            </w:tcBorders>
            <w:shd w:val="clear" w:color="auto" w:fill="auto"/>
            <w:vAlign w:val="center"/>
          </w:tcPr>
          <w:p w14:paraId="59723B2E" w14:textId="77777777" w:rsidR="00326869" w:rsidRDefault="008967A2">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Upper</w:t>
            </w:r>
          </w:p>
        </w:tc>
        <w:tc>
          <w:tcPr>
            <w:tcW w:w="955" w:type="dxa"/>
            <w:vMerge/>
            <w:tcBorders>
              <w:top w:val="single" w:sz="4" w:space="0" w:color="auto"/>
              <w:left w:val="nil"/>
              <w:bottom w:val="single" w:sz="4" w:space="0" w:color="auto"/>
              <w:right w:val="nil"/>
            </w:tcBorders>
            <w:vAlign w:val="center"/>
          </w:tcPr>
          <w:p w14:paraId="0E552A7B" w14:textId="77777777" w:rsidR="00326869" w:rsidRDefault="00326869">
            <w:pPr>
              <w:rPr>
                <w:rFonts w:ascii="Book Antiqua" w:eastAsia="宋体" w:hAnsi="Book Antiqua" w:cs="宋体"/>
                <w:b/>
                <w:bCs/>
                <w:i/>
                <w:iCs/>
                <w:color w:val="000000"/>
                <w:lang w:eastAsia="zh-CN"/>
              </w:rPr>
            </w:pPr>
          </w:p>
        </w:tc>
      </w:tr>
      <w:tr w:rsidR="00326869" w14:paraId="496B6F0A" w14:textId="77777777">
        <w:trPr>
          <w:trHeight w:val="312"/>
        </w:trPr>
        <w:tc>
          <w:tcPr>
            <w:tcW w:w="9140" w:type="dxa"/>
            <w:gridSpan w:val="9"/>
            <w:tcBorders>
              <w:top w:val="single" w:sz="4" w:space="0" w:color="auto"/>
              <w:left w:val="nil"/>
              <w:bottom w:val="nil"/>
              <w:right w:val="nil"/>
            </w:tcBorders>
            <w:shd w:val="clear" w:color="000000" w:fill="FFFFFF"/>
            <w:vAlign w:val="center"/>
          </w:tcPr>
          <w:p w14:paraId="0D42741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Quantity per time</w:t>
            </w:r>
          </w:p>
        </w:tc>
      </w:tr>
      <w:tr w:rsidR="00326869" w14:paraId="3BEB8844" w14:textId="77777777">
        <w:trPr>
          <w:trHeight w:val="936"/>
        </w:trPr>
        <w:tc>
          <w:tcPr>
            <w:tcW w:w="1466" w:type="dxa"/>
            <w:tcBorders>
              <w:top w:val="nil"/>
              <w:left w:val="nil"/>
              <w:bottom w:val="nil"/>
              <w:right w:val="nil"/>
            </w:tcBorders>
            <w:shd w:val="clear" w:color="auto" w:fill="auto"/>
            <w:vAlign w:val="center"/>
          </w:tcPr>
          <w:p w14:paraId="398FBBA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Soybean and its products </w:t>
            </w:r>
          </w:p>
        </w:tc>
        <w:tc>
          <w:tcPr>
            <w:tcW w:w="975" w:type="dxa"/>
            <w:tcBorders>
              <w:top w:val="nil"/>
              <w:left w:val="nil"/>
              <w:bottom w:val="nil"/>
              <w:right w:val="nil"/>
            </w:tcBorders>
            <w:shd w:val="clear" w:color="auto" w:fill="auto"/>
            <w:vAlign w:val="center"/>
          </w:tcPr>
          <w:p w14:paraId="5A1FF56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1.009</w:t>
            </w:r>
          </w:p>
        </w:tc>
        <w:tc>
          <w:tcPr>
            <w:tcW w:w="920" w:type="dxa"/>
            <w:tcBorders>
              <w:top w:val="nil"/>
              <w:left w:val="nil"/>
              <w:bottom w:val="nil"/>
              <w:right w:val="nil"/>
            </w:tcBorders>
            <w:shd w:val="clear" w:color="auto" w:fill="auto"/>
            <w:vAlign w:val="center"/>
          </w:tcPr>
          <w:p w14:paraId="171544A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1.004</w:t>
            </w:r>
          </w:p>
        </w:tc>
        <w:tc>
          <w:tcPr>
            <w:tcW w:w="996" w:type="dxa"/>
            <w:tcBorders>
              <w:top w:val="nil"/>
              <w:left w:val="nil"/>
              <w:bottom w:val="nil"/>
              <w:right w:val="nil"/>
            </w:tcBorders>
            <w:shd w:val="clear" w:color="auto" w:fill="auto"/>
            <w:vAlign w:val="center"/>
          </w:tcPr>
          <w:p w14:paraId="25F8BB2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1.014</w:t>
            </w:r>
          </w:p>
        </w:tc>
        <w:tc>
          <w:tcPr>
            <w:tcW w:w="955" w:type="dxa"/>
            <w:tcBorders>
              <w:top w:val="nil"/>
              <w:left w:val="nil"/>
              <w:bottom w:val="nil"/>
              <w:right w:val="nil"/>
            </w:tcBorders>
            <w:shd w:val="clear" w:color="auto" w:fill="auto"/>
            <w:vAlign w:val="center"/>
          </w:tcPr>
          <w:p w14:paraId="522F946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0.001</w:t>
            </w:r>
          </w:p>
        </w:tc>
        <w:tc>
          <w:tcPr>
            <w:tcW w:w="957" w:type="dxa"/>
            <w:tcBorders>
              <w:top w:val="nil"/>
              <w:left w:val="nil"/>
              <w:bottom w:val="nil"/>
              <w:right w:val="nil"/>
            </w:tcBorders>
            <w:shd w:val="clear" w:color="auto" w:fill="auto"/>
            <w:vAlign w:val="center"/>
          </w:tcPr>
          <w:p w14:paraId="065C8B09"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274E8F6B"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0BE0C9BA"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49A78D7B" w14:textId="77777777" w:rsidR="00326869" w:rsidRDefault="00326869">
            <w:pPr>
              <w:jc w:val="both"/>
              <w:rPr>
                <w:sz w:val="20"/>
                <w:szCs w:val="20"/>
                <w:lang w:eastAsia="zh-CN"/>
              </w:rPr>
            </w:pPr>
          </w:p>
        </w:tc>
      </w:tr>
      <w:tr w:rsidR="00326869" w14:paraId="75CAE759" w14:textId="77777777">
        <w:trPr>
          <w:trHeight w:val="312"/>
        </w:trPr>
        <w:tc>
          <w:tcPr>
            <w:tcW w:w="1466" w:type="dxa"/>
            <w:tcBorders>
              <w:top w:val="nil"/>
              <w:left w:val="nil"/>
              <w:bottom w:val="nil"/>
              <w:right w:val="nil"/>
            </w:tcBorders>
            <w:shd w:val="clear" w:color="auto" w:fill="auto"/>
            <w:vAlign w:val="center"/>
          </w:tcPr>
          <w:p w14:paraId="55D777B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Spicy food</w:t>
            </w:r>
          </w:p>
        </w:tc>
        <w:tc>
          <w:tcPr>
            <w:tcW w:w="975" w:type="dxa"/>
            <w:tcBorders>
              <w:top w:val="nil"/>
              <w:left w:val="nil"/>
              <w:bottom w:val="nil"/>
              <w:right w:val="nil"/>
            </w:tcBorders>
            <w:shd w:val="clear" w:color="auto" w:fill="auto"/>
            <w:vAlign w:val="center"/>
          </w:tcPr>
          <w:p w14:paraId="4618673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1.006</w:t>
            </w:r>
          </w:p>
        </w:tc>
        <w:tc>
          <w:tcPr>
            <w:tcW w:w="920" w:type="dxa"/>
            <w:tcBorders>
              <w:top w:val="nil"/>
              <w:left w:val="nil"/>
              <w:bottom w:val="nil"/>
              <w:right w:val="nil"/>
            </w:tcBorders>
            <w:shd w:val="clear" w:color="auto" w:fill="auto"/>
            <w:vAlign w:val="center"/>
          </w:tcPr>
          <w:p w14:paraId="313DA57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996" w:type="dxa"/>
            <w:tcBorders>
              <w:top w:val="nil"/>
              <w:left w:val="nil"/>
              <w:bottom w:val="nil"/>
              <w:right w:val="nil"/>
            </w:tcBorders>
            <w:shd w:val="clear" w:color="auto" w:fill="auto"/>
            <w:vAlign w:val="center"/>
          </w:tcPr>
          <w:p w14:paraId="2501AE4F"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1.013</w:t>
            </w:r>
          </w:p>
        </w:tc>
        <w:tc>
          <w:tcPr>
            <w:tcW w:w="955" w:type="dxa"/>
            <w:tcBorders>
              <w:top w:val="nil"/>
              <w:left w:val="nil"/>
              <w:bottom w:val="nil"/>
              <w:right w:val="nil"/>
            </w:tcBorders>
            <w:shd w:val="clear" w:color="auto" w:fill="auto"/>
            <w:vAlign w:val="center"/>
          </w:tcPr>
          <w:p w14:paraId="4C88CBA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0.04</w:t>
            </w:r>
          </w:p>
        </w:tc>
        <w:tc>
          <w:tcPr>
            <w:tcW w:w="957" w:type="dxa"/>
            <w:tcBorders>
              <w:top w:val="nil"/>
              <w:left w:val="nil"/>
              <w:bottom w:val="nil"/>
              <w:right w:val="nil"/>
            </w:tcBorders>
            <w:shd w:val="clear" w:color="auto" w:fill="auto"/>
            <w:vAlign w:val="center"/>
          </w:tcPr>
          <w:p w14:paraId="36F91C3C"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0DBCF27B"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24AF1381"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6B8C05E4" w14:textId="77777777" w:rsidR="00326869" w:rsidRDefault="00326869">
            <w:pPr>
              <w:jc w:val="both"/>
              <w:rPr>
                <w:sz w:val="20"/>
                <w:szCs w:val="20"/>
                <w:lang w:eastAsia="zh-CN"/>
              </w:rPr>
            </w:pPr>
          </w:p>
        </w:tc>
      </w:tr>
      <w:tr w:rsidR="00326869" w14:paraId="25E67F28" w14:textId="77777777">
        <w:trPr>
          <w:trHeight w:val="624"/>
        </w:trPr>
        <w:tc>
          <w:tcPr>
            <w:tcW w:w="1466" w:type="dxa"/>
            <w:tcBorders>
              <w:top w:val="nil"/>
              <w:left w:val="nil"/>
              <w:bottom w:val="nil"/>
              <w:right w:val="nil"/>
            </w:tcBorders>
            <w:shd w:val="clear" w:color="auto" w:fill="auto"/>
            <w:vAlign w:val="center"/>
          </w:tcPr>
          <w:p w14:paraId="041A345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Dry-fried nuts</w:t>
            </w:r>
          </w:p>
        </w:tc>
        <w:tc>
          <w:tcPr>
            <w:tcW w:w="975" w:type="dxa"/>
            <w:tcBorders>
              <w:top w:val="nil"/>
              <w:left w:val="nil"/>
              <w:bottom w:val="nil"/>
              <w:right w:val="nil"/>
            </w:tcBorders>
            <w:shd w:val="clear" w:color="auto" w:fill="auto"/>
            <w:vAlign w:val="center"/>
          </w:tcPr>
          <w:p w14:paraId="7C570D4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1.032</w:t>
            </w:r>
          </w:p>
        </w:tc>
        <w:tc>
          <w:tcPr>
            <w:tcW w:w="920" w:type="dxa"/>
            <w:tcBorders>
              <w:top w:val="nil"/>
              <w:left w:val="nil"/>
              <w:bottom w:val="nil"/>
              <w:right w:val="nil"/>
            </w:tcBorders>
            <w:shd w:val="clear" w:color="auto" w:fill="auto"/>
            <w:vAlign w:val="center"/>
          </w:tcPr>
          <w:p w14:paraId="32A5398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1.01</w:t>
            </w:r>
          </w:p>
        </w:tc>
        <w:tc>
          <w:tcPr>
            <w:tcW w:w="996" w:type="dxa"/>
            <w:tcBorders>
              <w:top w:val="nil"/>
              <w:left w:val="nil"/>
              <w:bottom w:val="nil"/>
              <w:right w:val="nil"/>
            </w:tcBorders>
            <w:shd w:val="clear" w:color="auto" w:fill="auto"/>
            <w:vAlign w:val="center"/>
          </w:tcPr>
          <w:p w14:paraId="079DD1A2"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1.054</w:t>
            </w:r>
          </w:p>
        </w:tc>
        <w:tc>
          <w:tcPr>
            <w:tcW w:w="955" w:type="dxa"/>
            <w:tcBorders>
              <w:top w:val="nil"/>
              <w:left w:val="nil"/>
              <w:bottom w:val="nil"/>
              <w:right w:val="nil"/>
            </w:tcBorders>
            <w:shd w:val="clear" w:color="auto" w:fill="auto"/>
            <w:vAlign w:val="center"/>
          </w:tcPr>
          <w:p w14:paraId="4C7FED8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0.004</w:t>
            </w:r>
          </w:p>
        </w:tc>
        <w:tc>
          <w:tcPr>
            <w:tcW w:w="957" w:type="dxa"/>
            <w:tcBorders>
              <w:top w:val="nil"/>
              <w:left w:val="nil"/>
              <w:bottom w:val="nil"/>
              <w:right w:val="nil"/>
            </w:tcBorders>
            <w:shd w:val="clear" w:color="auto" w:fill="auto"/>
            <w:vAlign w:val="center"/>
          </w:tcPr>
          <w:p w14:paraId="62C8E874"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508A86C0"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6D606111"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2578C9E8" w14:textId="77777777" w:rsidR="00326869" w:rsidRDefault="00326869">
            <w:pPr>
              <w:jc w:val="both"/>
              <w:rPr>
                <w:sz w:val="20"/>
                <w:szCs w:val="20"/>
                <w:lang w:eastAsia="zh-CN"/>
              </w:rPr>
            </w:pPr>
          </w:p>
        </w:tc>
      </w:tr>
      <w:tr w:rsidR="00326869" w14:paraId="6972F7B1" w14:textId="77777777">
        <w:trPr>
          <w:trHeight w:val="312"/>
        </w:trPr>
        <w:tc>
          <w:tcPr>
            <w:tcW w:w="9140" w:type="dxa"/>
            <w:gridSpan w:val="9"/>
            <w:tcBorders>
              <w:top w:val="nil"/>
              <w:left w:val="nil"/>
              <w:bottom w:val="nil"/>
              <w:right w:val="nil"/>
            </w:tcBorders>
            <w:shd w:val="clear" w:color="000000" w:fill="FFFFFF"/>
            <w:vAlign w:val="center"/>
          </w:tcPr>
          <w:p w14:paraId="16A8EC0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Intake frequency (times per week [t/wk])</w:t>
            </w:r>
          </w:p>
        </w:tc>
      </w:tr>
      <w:tr w:rsidR="00326869" w14:paraId="572A6B55" w14:textId="77777777">
        <w:trPr>
          <w:trHeight w:val="936"/>
        </w:trPr>
        <w:tc>
          <w:tcPr>
            <w:tcW w:w="1466" w:type="dxa"/>
            <w:tcBorders>
              <w:top w:val="nil"/>
              <w:left w:val="nil"/>
              <w:bottom w:val="nil"/>
              <w:right w:val="nil"/>
            </w:tcBorders>
            <w:shd w:val="clear" w:color="auto" w:fill="auto"/>
            <w:vAlign w:val="center"/>
          </w:tcPr>
          <w:p w14:paraId="7A9541E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Soybean and its products</w:t>
            </w:r>
          </w:p>
        </w:tc>
        <w:tc>
          <w:tcPr>
            <w:tcW w:w="975" w:type="dxa"/>
            <w:tcBorders>
              <w:top w:val="nil"/>
              <w:left w:val="nil"/>
              <w:bottom w:val="nil"/>
              <w:right w:val="nil"/>
            </w:tcBorders>
            <w:shd w:val="clear" w:color="auto" w:fill="auto"/>
            <w:vAlign w:val="center"/>
          </w:tcPr>
          <w:p w14:paraId="4B0D22E3" w14:textId="77777777" w:rsidR="00326869" w:rsidRDefault="00326869">
            <w:pPr>
              <w:jc w:val="both"/>
              <w:rPr>
                <w:rFonts w:ascii="Book Antiqua" w:eastAsia="宋体" w:hAnsi="Book Antiqua" w:cs="宋体"/>
                <w:color w:val="000000"/>
                <w:lang w:eastAsia="zh-CN"/>
              </w:rPr>
            </w:pPr>
          </w:p>
        </w:tc>
        <w:tc>
          <w:tcPr>
            <w:tcW w:w="920" w:type="dxa"/>
            <w:tcBorders>
              <w:top w:val="nil"/>
              <w:left w:val="nil"/>
              <w:bottom w:val="nil"/>
              <w:right w:val="nil"/>
            </w:tcBorders>
            <w:shd w:val="clear" w:color="auto" w:fill="auto"/>
            <w:vAlign w:val="center"/>
          </w:tcPr>
          <w:p w14:paraId="520049B0" w14:textId="77777777" w:rsidR="00326869" w:rsidRDefault="00326869">
            <w:pPr>
              <w:jc w:val="both"/>
              <w:rPr>
                <w:sz w:val="20"/>
                <w:szCs w:val="20"/>
                <w:lang w:eastAsia="zh-CN"/>
              </w:rPr>
            </w:pPr>
          </w:p>
        </w:tc>
        <w:tc>
          <w:tcPr>
            <w:tcW w:w="996" w:type="dxa"/>
            <w:tcBorders>
              <w:top w:val="nil"/>
              <w:left w:val="nil"/>
              <w:bottom w:val="nil"/>
              <w:right w:val="nil"/>
            </w:tcBorders>
            <w:shd w:val="clear" w:color="auto" w:fill="auto"/>
            <w:vAlign w:val="center"/>
          </w:tcPr>
          <w:p w14:paraId="7017BC00"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59944EC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c>
          <w:tcPr>
            <w:tcW w:w="957" w:type="dxa"/>
            <w:tcBorders>
              <w:top w:val="nil"/>
              <w:left w:val="nil"/>
              <w:bottom w:val="nil"/>
              <w:right w:val="nil"/>
            </w:tcBorders>
            <w:shd w:val="clear" w:color="auto" w:fill="auto"/>
            <w:vAlign w:val="center"/>
          </w:tcPr>
          <w:p w14:paraId="299DF43E"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2BAFB5DB"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0EE06967"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52385BE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0.015</w:t>
            </w:r>
          </w:p>
        </w:tc>
      </w:tr>
      <w:tr w:rsidR="00326869" w14:paraId="20C57629" w14:textId="77777777">
        <w:trPr>
          <w:trHeight w:val="312"/>
        </w:trPr>
        <w:tc>
          <w:tcPr>
            <w:tcW w:w="1466" w:type="dxa"/>
            <w:tcBorders>
              <w:top w:val="nil"/>
              <w:left w:val="nil"/>
              <w:bottom w:val="nil"/>
              <w:right w:val="nil"/>
            </w:tcBorders>
            <w:shd w:val="clear" w:color="auto" w:fill="auto"/>
            <w:vAlign w:val="center"/>
          </w:tcPr>
          <w:p w14:paraId="1164817C"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975" w:type="dxa"/>
            <w:tcBorders>
              <w:top w:val="nil"/>
              <w:left w:val="nil"/>
              <w:bottom w:val="nil"/>
              <w:right w:val="nil"/>
            </w:tcBorders>
            <w:shd w:val="clear" w:color="auto" w:fill="auto"/>
            <w:vAlign w:val="center"/>
          </w:tcPr>
          <w:p w14:paraId="57C8313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Ref</w:t>
            </w:r>
          </w:p>
        </w:tc>
        <w:tc>
          <w:tcPr>
            <w:tcW w:w="920" w:type="dxa"/>
            <w:tcBorders>
              <w:top w:val="nil"/>
              <w:left w:val="nil"/>
              <w:bottom w:val="nil"/>
              <w:right w:val="nil"/>
            </w:tcBorders>
            <w:shd w:val="clear" w:color="auto" w:fill="auto"/>
            <w:vAlign w:val="center"/>
          </w:tcPr>
          <w:p w14:paraId="3614C32D" w14:textId="77777777" w:rsidR="00326869" w:rsidRDefault="00326869">
            <w:pPr>
              <w:jc w:val="both"/>
              <w:rPr>
                <w:sz w:val="20"/>
                <w:szCs w:val="20"/>
                <w:lang w:eastAsia="zh-CN"/>
              </w:rPr>
            </w:pPr>
          </w:p>
        </w:tc>
        <w:tc>
          <w:tcPr>
            <w:tcW w:w="996" w:type="dxa"/>
            <w:tcBorders>
              <w:top w:val="nil"/>
              <w:left w:val="nil"/>
              <w:bottom w:val="nil"/>
              <w:right w:val="nil"/>
            </w:tcBorders>
            <w:shd w:val="clear" w:color="auto" w:fill="auto"/>
            <w:vAlign w:val="center"/>
          </w:tcPr>
          <w:p w14:paraId="55907807"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225986D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w:t>
            </w:r>
          </w:p>
        </w:tc>
        <w:tc>
          <w:tcPr>
            <w:tcW w:w="957" w:type="dxa"/>
            <w:tcBorders>
              <w:top w:val="nil"/>
              <w:left w:val="nil"/>
              <w:bottom w:val="nil"/>
              <w:right w:val="nil"/>
            </w:tcBorders>
            <w:shd w:val="clear" w:color="auto" w:fill="auto"/>
            <w:vAlign w:val="center"/>
          </w:tcPr>
          <w:p w14:paraId="5F9718A8"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4299DF77"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241EAA6E"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477CFB67" w14:textId="77777777" w:rsidR="00326869" w:rsidRDefault="00326869">
            <w:pPr>
              <w:jc w:val="both"/>
              <w:rPr>
                <w:sz w:val="20"/>
                <w:szCs w:val="20"/>
                <w:lang w:eastAsia="zh-CN"/>
              </w:rPr>
            </w:pPr>
          </w:p>
        </w:tc>
      </w:tr>
      <w:tr w:rsidR="00326869" w14:paraId="742BEA1F" w14:textId="77777777">
        <w:trPr>
          <w:trHeight w:val="312"/>
        </w:trPr>
        <w:tc>
          <w:tcPr>
            <w:tcW w:w="1466" w:type="dxa"/>
            <w:tcBorders>
              <w:top w:val="nil"/>
              <w:left w:val="nil"/>
              <w:bottom w:val="nil"/>
              <w:right w:val="nil"/>
            </w:tcBorders>
            <w:shd w:val="clear" w:color="auto" w:fill="auto"/>
            <w:vAlign w:val="center"/>
          </w:tcPr>
          <w:p w14:paraId="5252D145"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975" w:type="dxa"/>
            <w:tcBorders>
              <w:top w:val="nil"/>
              <w:left w:val="nil"/>
              <w:bottom w:val="nil"/>
              <w:right w:val="nil"/>
            </w:tcBorders>
            <w:shd w:val="clear" w:color="auto" w:fill="auto"/>
            <w:vAlign w:val="center"/>
          </w:tcPr>
          <w:p w14:paraId="4E331DC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4.318</w:t>
            </w:r>
          </w:p>
        </w:tc>
        <w:tc>
          <w:tcPr>
            <w:tcW w:w="920" w:type="dxa"/>
            <w:tcBorders>
              <w:top w:val="nil"/>
              <w:left w:val="nil"/>
              <w:bottom w:val="nil"/>
              <w:right w:val="nil"/>
            </w:tcBorders>
            <w:shd w:val="clear" w:color="auto" w:fill="auto"/>
            <w:vAlign w:val="center"/>
          </w:tcPr>
          <w:p w14:paraId="1A095F3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1.351</w:t>
            </w:r>
          </w:p>
        </w:tc>
        <w:tc>
          <w:tcPr>
            <w:tcW w:w="996" w:type="dxa"/>
            <w:tcBorders>
              <w:top w:val="nil"/>
              <w:left w:val="nil"/>
              <w:bottom w:val="nil"/>
              <w:right w:val="nil"/>
            </w:tcBorders>
            <w:shd w:val="clear" w:color="auto" w:fill="auto"/>
            <w:vAlign w:val="center"/>
          </w:tcPr>
          <w:p w14:paraId="74967C3F" w14:textId="77777777" w:rsidR="00326869" w:rsidRDefault="008967A2">
            <w:pPr>
              <w:jc w:val="both"/>
              <w:rPr>
                <w:sz w:val="20"/>
                <w:szCs w:val="20"/>
                <w:lang w:eastAsia="zh-CN"/>
              </w:rPr>
            </w:pPr>
            <w:r>
              <w:rPr>
                <w:rFonts w:ascii="Book Antiqua" w:eastAsia="宋体" w:hAnsi="Book Antiqua" w:cs="宋体"/>
                <w:color w:val="000000"/>
                <w:lang w:eastAsia="zh-CN"/>
              </w:rPr>
              <w:t>13.801</w:t>
            </w:r>
          </w:p>
        </w:tc>
        <w:tc>
          <w:tcPr>
            <w:tcW w:w="955" w:type="dxa"/>
            <w:tcBorders>
              <w:top w:val="nil"/>
              <w:left w:val="nil"/>
              <w:bottom w:val="nil"/>
              <w:right w:val="nil"/>
            </w:tcBorders>
            <w:shd w:val="clear" w:color="auto" w:fill="auto"/>
            <w:vAlign w:val="center"/>
          </w:tcPr>
          <w:p w14:paraId="4C2970B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0.014</w:t>
            </w:r>
          </w:p>
        </w:tc>
        <w:tc>
          <w:tcPr>
            <w:tcW w:w="957" w:type="dxa"/>
            <w:tcBorders>
              <w:top w:val="nil"/>
              <w:left w:val="nil"/>
              <w:bottom w:val="nil"/>
              <w:right w:val="nil"/>
            </w:tcBorders>
            <w:shd w:val="clear" w:color="auto" w:fill="auto"/>
            <w:vAlign w:val="center"/>
          </w:tcPr>
          <w:p w14:paraId="6CD6628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2.433</w:t>
            </w:r>
          </w:p>
        </w:tc>
        <w:tc>
          <w:tcPr>
            <w:tcW w:w="958" w:type="dxa"/>
            <w:tcBorders>
              <w:top w:val="nil"/>
              <w:left w:val="nil"/>
              <w:bottom w:val="nil"/>
              <w:right w:val="nil"/>
            </w:tcBorders>
            <w:shd w:val="clear" w:color="auto" w:fill="auto"/>
            <w:vAlign w:val="center"/>
          </w:tcPr>
          <w:p w14:paraId="778E3EB6" w14:textId="77777777" w:rsidR="00326869" w:rsidRDefault="008967A2">
            <w:pPr>
              <w:jc w:val="both"/>
              <w:rPr>
                <w:sz w:val="20"/>
                <w:szCs w:val="20"/>
                <w:lang w:eastAsia="zh-CN"/>
              </w:rPr>
            </w:pPr>
            <w:r>
              <w:rPr>
                <w:rFonts w:ascii="Book Antiqua" w:eastAsia="宋体" w:hAnsi="Book Antiqua" w:cs="宋体"/>
                <w:color w:val="000000"/>
                <w:lang w:eastAsia="zh-CN"/>
              </w:rPr>
              <w:t>0.625</w:t>
            </w:r>
          </w:p>
        </w:tc>
        <w:tc>
          <w:tcPr>
            <w:tcW w:w="958" w:type="dxa"/>
            <w:tcBorders>
              <w:top w:val="nil"/>
              <w:left w:val="nil"/>
              <w:bottom w:val="nil"/>
              <w:right w:val="nil"/>
            </w:tcBorders>
            <w:shd w:val="clear" w:color="auto" w:fill="auto"/>
            <w:vAlign w:val="center"/>
          </w:tcPr>
          <w:p w14:paraId="2708C787" w14:textId="77777777" w:rsidR="00326869" w:rsidRDefault="008967A2">
            <w:pPr>
              <w:jc w:val="both"/>
              <w:rPr>
                <w:sz w:val="20"/>
                <w:szCs w:val="20"/>
                <w:lang w:eastAsia="zh-CN"/>
              </w:rPr>
            </w:pPr>
            <w:r>
              <w:rPr>
                <w:rFonts w:ascii="Book Antiqua" w:eastAsia="宋体" w:hAnsi="Book Antiqua" w:cs="宋体"/>
                <w:color w:val="000000"/>
                <w:lang w:eastAsia="zh-CN"/>
              </w:rPr>
              <w:t>9.473</w:t>
            </w:r>
          </w:p>
        </w:tc>
        <w:tc>
          <w:tcPr>
            <w:tcW w:w="955" w:type="dxa"/>
            <w:tcBorders>
              <w:top w:val="nil"/>
              <w:left w:val="nil"/>
              <w:bottom w:val="nil"/>
              <w:right w:val="nil"/>
            </w:tcBorders>
            <w:shd w:val="clear" w:color="auto" w:fill="auto"/>
            <w:vAlign w:val="center"/>
          </w:tcPr>
          <w:p w14:paraId="16DB3FD1" w14:textId="77777777" w:rsidR="00326869" w:rsidRDefault="008967A2">
            <w:pPr>
              <w:jc w:val="both"/>
              <w:rPr>
                <w:sz w:val="20"/>
                <w:szCs w:val="20"/>
                <w:lang w:eastAsia="zh-CN"/>
              </w:rPr>
            </w:pPr>
            <w:r>
              <w:rPr>
                <w:rFonts w:ascii="Book Antiqua" w:eastAsia="宋体" w:hAnsi="Book Antiqua" w:cs="宋体"/>
                <w:color w:val="000000"/>
                <w:lang w:eastAsia="zh-CN"/>
              </w:rPr>
              <w:t>0.2</w:t>
            </w:r>
            <w:r>
              <w:rPr>
                <w:rFonts w:ascii="Book Antiqua" w:eastAsia="宋体" w:hAnsi="Book Antiqua" w:cs="宋体" w:hint="eastAsia"/>
                <w:color w:val="000000"/>
                <w:lang w:eastAsia="zh-CN"/>
              </w:rPr>
              <w:t>00</w:t>
            </w:r>
          </w:p>
        </w:tc>
      </w:tr>
      <w:tr w:rsidR="00326869" w14:paraId="6C61472B" w14:textId="77777777">
        <w:trPr>
          <w:trHeight w:val="401"/>
        </w:trPr>
        <w:tc>
          <w:tcPr>
            <w:tcW w:w="1466" w:type="dxa"/>
            <w:tcBorders>
              <w:top w:val="nil"/>
              <w:left w:val="nil"/>
              <w:bottom w:val="nil"/>
              <w:right w:val="nil"/>
            </w:tcBorders>
            <w:shd w:val="clear" w:color="auto" w:fill="auto"/>
            <w:vAlign w:val="center"/>
          </w:tcPr>
          <w:p w14:paraId="53C1A61D"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7 t/wk </w:t>
            </w:r>
          </w:p>
        </w:tc>
        <w:tc>
          <w:tcPr>
            <w:tcW w:w="975" w:type="dxa"/>
            <w:tcBorders>
              <w:top w:val="nil"/>
              <w:left w:val="nil"/>
              <w:bottom w:val="nil"/>
              <w:right w:val="nil"/>
            </w:tcBorders>
            <w:shd w:val="clear" w:color="auto" w:fill="auto"/>
            <w:vAlign w:val="center"/>
          </w:tcPr>
          <w:p w14:paraId="470E944E" w14:textId="77777777" w:rsidR="00326869" w:rsidRDefault="008967A2">
            <w:pPr>
              <w:rPr>
                <w:sz w:val="20"/>
                <w:szCs w:val="20"/>
                <w:lang w:eastAsia="zh-CN"/>
              </w:rPr>
            </w:pPr>
            <w:r>
              <w:rPr>
                <w:rFonts w:ascii="Book Antiqua" w:eastAsia="宋体" w:hAnsi="Book Antiqua" w:cs="宋体"/>
                <w:color w:val="000000"/>
                <w:lang w:eastAsia="zh-CN"/>
              </w:rPr>
              <w:t>23.03</w:t>
            </w:r>
          </w:p>
        </w:tc>
        <w:tc>
          <w:tcPr>
            <w:tcW w:w="920" w:type="dxa"/>
            <w:tcBorders>
              <w:top w:val="nil"/>
              <w:left w:val="nil"/>
              <w:bottom w:val="nil"/>
              <w:right w:val="nil"/>
            </w:tcBorders>
            <w:shd w:val="clear" w:color="auto" w:fill="auto"/>
            <w:vAlign w:val="center"/>
          </w:tcPr>
          <w:p w14:paraId="155C5226" w14:textId="77777777" w:rsidR="00326869" w:rsidRDefault="008967A2">
            <w:pPr>
              <w:jc w:val="both"/>
              <w:rPr>
                <w:sz w:val="20"/>
                <w:szCs w:val="20"/>
                <w:lang w:eastAsia="zh-CN"/>
              </w:rPr>
            </w:pPr>
            <w:r>
              <w:rPr>
                <w:rFonts w:ascii="Book Antiqua" w:eastAsia="宋体" w:hAnsi="Book Antiqua" w:cs="宋体"/>
                <w:color w:val="000000"/>
                <w:lang w:eastAsia="zh-CN"/>
              </w:rPr>
              <w:t>5.314</w:t>
            </w:r>
          </w:p>
        </w:tc>
        <w:tc>
          <w:tcPr>
            <w:tcW w:w="996" w:type="dxa"/>
            <w:tcBorders>
              <w:top w:val="nil"/>
              <w:left w:val="nil"/>
              <w:bottom w:val="nil"/>
              <w:right w:val="nil"/>
            </w:tcBorders>
            <w:shd w:val="clear" w:color="auto" w:fill="auto"/>
            <w:vAlign w:val="center"/>
          </w:tcPr>
          <w:p w14:paraId="11C83F2B" w14:textId="77777777" w:rsidR="00326869" w:rsidRDefault="008967A2">
            <w:pPr>
              <w:jc w:val="both"/>
              <w:rPr>
                <w:sz w:val="20"/>
                <w:szCs w:val="20"/>
                <w:lang w:eastAsia="zh-CN"/>
              </w:rPr>
            </w:pPr>
            <w:r>
              <w:rPr>
                <w:rFonts w:ascii="Book Antiqua" w:eastAsia="宋体" w:hAnsi="Book Antiqua" w:cs="宋体"/>
                <w:color w:val="000000"/>
                <w:lang w:eastAsia="zh-CN"/>
              </w:rPr>
              <w:t>99.804</w:t>
            </w:r>
          </w:p>
        </w:tc>
        <w:tc>
          <w:tcPr>
            <w:tcW w:w="955" w:type="dxa"/>
            <w:tcBorders>
              <w:top w:val="nil"/>
              <w:left w:val="nil"/>
              <w:bottom w:val="nil"/>
              <w:right w:val="nil"/>
            </w:tcBorders>
            <w:shd w:val="clear" w:color="auto" w:fill="auto"/>
            <w:vAlign w:val="center"/>
          </w:tcPr>
          <w:p w14:paraId="4A2C1369"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&lt; 0.001</w:t>
            </w:r>
          </w:p>
        </w:tc>
        <w:tc>
          <w:tcPr>
            <w:tcW w:w="957" w:type="dxa"/>
            <w:tcBorders>
              <w:top w:val="nil"/>
              <w:left w:val="nil"/>
              <w:bottom w:val="nil"/>
              <w:right w:val="nil"/>
            </w:tcBorders>
            <w:shd w:val="clear" w:color="auto" w:fill="auto"/>
            <w:vAlign w:val="center"/>
          </w:tcPr>
          <w:p w14:paraId="17F1853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11.613</w:t>
            </w:r>
          </w:p>
        </w:tc>
        <w:tc>
          <w:tcPr>
            <w:tcW w:w="958" w:type="dxa"/>
            <w:tcBorders>
              <w:top w:val="nil"/>
              <w:left w:val="nil"/>
              <w:bottom w:val="nil"/>
              <w:right w:val="nil"/>
            </w:tcBorders>
            <w:shd w:val="clear" w:color="auto" w:fill="auto"/>
            <w:vAlign w:val="center"/>
          </w:tcPr>
          <w:p w14:paraId="2790D2FF" w14:textId="77777777" w:rsidR="00326869" w:rsidRDefault="008967A2">
            <w:pPr>
              <w:jc w:val="both"/>
              <w:rPr>
                <w:sz w:val="20"/>
                <w:szCs w:val="20"/>
                <w:lang w:eastAsia="zh-CN"/>
              </w:rPr>
            </w:pPr>
            <w:r>
              <w:rPr>
                <w:rFonts w:ascii="Book Antiqua" w:eastAsia="宋体" w:hAnsi="Book Antiqua" w:cs="宋体"/>
                <w:color w:val="000000"/>
                <w:lang w:eastAsia="zh-CN"/>
              </w:rPr>
              <w:t>2.145</w:t>
            </w:r>
          </w:p>
        </w:tc>
        <w:tc>
          <w:tcPr>
            <w:tcW w:w="958" w:type="dxa"/>
            <w:tcBorders>
              <w:top w:val="nil"/>
              <w:left w:val="nil"/>
              <w:bottom w:val="nil"/>
              <w:right w:val="nil"/>
            </w:tcBorders>
            <w:shd w:val="clear" w:color="auto" w:fill="auto"/>
            <w:vAlign w:val="center"/>
          </w:tcPr>
          <w:p w14:paraId="79FB3AB4" w14:textId="77777777" w:rsidR="00326869" w:rsidRDefault="008967A2">
            <w:pPr>
              <w:jc w:val="both"/>
              <w:rPr>
                <w:sz w:val="20"/>
                <w:szCs w:val="20"/>
                <w:lang w:eastAsia="zh-CN"/>
              </w:rPr>
            </w:pPr>
            <w:r>
              <w:rPr>
                <w:rFonts w:ascii="Book Antiqua" w:eastAsia="宋体" w:hAnsi="Book Antiqua" w:cs="宋体"/>
                <w:color w:val="000000"/>
                <w:lang w:eastAsia="zh-CN"/>
              </w:rPr>
              <w:t>62.855</w:t>
            </w:r>
          </w:p>
        </w:tc>
        <w:tc>
          <w:tcPr>
            <w:tcW w:w="955" w:type="dxa"/>
            <w:tcBorders>
              <w:top w:val="nil"/>
              <w:left w:val="nil"/>
              <w:bottom w:val="nil"/>
              <w:right w:val="nil"/>
            </w:tcBorders>
            <w:shd w:val="clear" w:color="auto" w:fill="auto"/>
            <w:vAlign w:val="center"/>
          </w:tcPr>
          <w:p w14:paraId="360802D4" w14:textId="77777777" w:rsidR="00326869" w:rsidRDefault="008967A2">
            <w:pPr>
              <w:jc w:val="both"/>
              <w:rPr>
                <w:sz w:val="20"/>
                <w:szCs w:val="20"/>
                <w:lang w:eastAsia="zh-CN"/>
              </w:rPr>
            </w:pPr>
            <w:r>
              <w:rPr>
                <w:rFonts w:ascii="Book Antiqua" w:eastAsia="宋体" w:hAnsi="Book Antiqua" w:cs="宋体"/>
                <w:color w:val="000000"/>
                <w:lang w:eastAsia="zh-CN"/>
              </w:rPr>
              <w:t>0.004</w:t>
            </w:r>
          </w:p>
        </w:tc>
      </w:tr>
      <w:tr w:rsidR="00326869" w14:paraId="70308E9E" w14:textId="77777777">
        <w:trPr>
          <w:trHeight w:val="312"/>
        </w:trPr>
        <w:tc>
          <w:tcPr>
            <w:tcW w:w="1466" w:type="dxa"/>
            <w:tcBorders>
              <w:top w:val="nil"/>
              <w:left w:val="nil"/>
              <w:bottom w:val="nil"/>
              <w:right w:val="nil"/>
            </w:tcBorders>
            <w:shd w:val="clear" w:color="auto" w:fill="auto"/>
            <w:vAlign w:val="center"/>
          </w:tcPr>
          <w:p w14:paraId="6AF439C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Spicy food</w:t>
            </w:r>
          </w:p>
        </w:tc>
        <w:tc>
          <w:tcPr>
            <w:tcW w:w="975" w:type="dxa"/>
            <w:tcBorders>
              <w:top w:val="nil"/>
              <w:left w:val="nil"/>
              <w:bottom w:val="nil"/>
              <w:right w:val="nil"/>
            </w:tcBorders>
            <w:shd w:val="clear" w:color="auto" w:fill="auto"/>
            <w:vAlign w:val="center"/>
          </w:tcPr>
          <w:p w14:paraId="365861C7" w14:textId="77777777" w:rsidR="00326869" w:rsidRDefault="00326869">
            <w:pPr>
              <w:jc w:val="both"/>
              <w:rPr>
                <w:rFonts w:ascii="Book Antiqua" w:eastAsia="宋体" w:hAnsi="Book Antiqua" w:cs="宋体"/>
                <w:color w:val="000000"/>
                <w:lang w:eastAsia="zh-CN"/>
              </w:rPr>
            </w:pPr>
          </w:p>
        </w:tc>
        <w:tc>
          <w:tcPr>
            <w:tcW w:w="920" w:type="dxa"/>
            <w:tcBorders>
              <w:top w:val="nil"/>
              <w:left w:val="nil"/>
              <w:bottom w:val="nil"/>
              <w:right w:val="nil"/>
            </w:tcBorders>
            <w:shd w:val="clear" w:color="auto" w:fill="auto"/>
            <w:vAlign w:val="center"/>
          </w:tcPr>
          <w:p w14:paraId="77ABDFD6" w14:textId="77777777" w:rsidR="00326869" w:rsidRDefault="00326869">
            <w:pPr>
              <w:jc w:val="both"/>
              <w:rPr>
                <w:sz w:val="20"/>
                <w:szCs w:val="20"/>
                <w:lang w:eastAsia="zh-CN"/>
              </w:rPr>
            </w:pPr>
          </w:p>
        </w:tc>
        <w:tc>
          <w:tcPr>
            <w:tcW w:w="996" w:type="dxa"/>
            <w:tcBorders>
              <w:top w:val="nil"/>
              <w:left w:val="nil"/>
              <w:bottom w:val="nil"/>
              <w:right w:val="nil"/>
            </w:tcBorders>
            <w:shd w:val="clear" w:color="auto" w:fill="auto"/>
            <w:vAlign w:val="center"/>
          </w:tcPr>
          <w:p w14:paraId="17B71F10"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672F6846"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0.002</w:t>
            </w:r>
          </w:p>
        </w:tc>
        <w:tc>
          <w:tcPr>
            <w:tcW w:w="957" w:type="dxa"/>
            <w:tcBorders>
              <w:top w:val="nil"/>
              <w:left w:val="nil"/>
              <w:bottom w:val="nil"/>
              <w:right w:val="nil"/>
            </w:tcBorders>
            <w:shd w:val="clear" w:color="auto" w:fill="auto"/>
            <w:vAlign w:val="center"/>
          </w:tcPr>
          <w:p w14:paraId="20C03FDD"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0A5ED37C"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72E3F97C"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2EE7082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0.184</w:t>
            </w:r>
          </w:p>
        </w:tc>
      </w:tr>
      <w:tr w:rsidR="00326869" w14:paraId="4C2F4E52" w14:textId="77777777">
        <w:trPr>
          <w:trHeight w:val="312"/>
        </w:trPr>
        <w:tc>
          <w:tcPr>
            <w:tcW w:w="1466" w:type="dxa"/>
            <w:tcBorders>
              <w:top w:val="nil"/>
              <w:left w:val="nil"/>
              <w:bottom w:val="nil"/>
              <w:right w:val="nil"/>
            </w:tcBorders>
            <w:shd w:val="clear" w:color="auto" w:fill="auto"/>
            <w:vAlign w:val="center"/>
          </w:tcPr>
          <w:p w14:paraId="11DC240F"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975" w:type="dxa"/>
            <w:tcBorders>
              <w:top w:val="nil"/>
              <w:left w:val="nil"/>
              <w:bottom w:val="nil"/>
              <w:right w:val="nil"/>
            </w:tcBorders>
            <w:shd w:val="clear" w:color="auto" w:fill="auto"/>
            <w:vAlign w:val="center"/>
          </w:tcPr>
          <w:p w14:paraId="4560133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Ref</w:t>
            </w:r>
          </w:p>
        </w:tc>
        <w:tc>
          <w:tcPr>
            <w:tcW w:w="920" w:type="dxa"/>
            <w:tcBorders>
              <w:top w:val="nil"/>
              <w:left w:val="nil"/>
              <w:bottom w:val="nil"/>
              <w:right w:val="nil"/>
            </w:tcBorders>
            <w:shd w:val="clear" w:color="auto" w:fill="auto"/>
            <w:vAlign w:val="center"/>
          </w:tcPr>
          <w:p w14:paraId="11CDEE90" w14:textId="77777777" w:rsidR="00326869" w:rsidRDefault="00326869">
            <w:pPr>
              <w:jc w:val="both"/>
              <w:rPr>
                <w:rFonts w:ascii="Book Antiqua" w:eastAsia="宋体" w:hAnsi="Book Antiqua" w:cs="宋体"/>
                <w:color w:val="000000"/>
                <w:lang w:eastAsia="zh-CN"/>
              </w:rPr>
            </w:pPr>
          </w:p>
        </w:tc>
        <w:tc>
          <w:tcPr>
            <w:tcW w:w="996" w:type="dxa"/>
            <w:tcBorders>
              <w:top w:val="nil"/>
              <w:left w:val="nil"/>
              <w:bottom w:val="nil"/>
              <w:right w:val="nil"/>
            </w:tcBorders>
            <w:shd w:val="clear" w:color="auto" w:fill="auto"/>
            <w:vAlign w:val="center"/>
          </w:tcPr>
          <w:p w14:paraId="2445CC07"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24B0E77C"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w:t>
            </w:r>
          </w:p>
        </w:tc>
        <w:tc>
          <w:tcPr>
            <w:tcW w:w="957" w:type="dxa"/>
            <w:tcBorders>
              <w:top w:val="nil"/>
              <w:left w:val="nil"/>
              <w:bottom w:val="nil"/>
              <w:right w:val="nil"/>
            </w:tcBorders>
            <w:vAlign w:val="center"/>
          </w:tcPr>
          <w:p w14:paraId="31AD49B4" w14:textId="77777777" w:rsidR="00326869" w:rsidRDefault="00326869">
            <w:pPr>
              <w:rPr>
                <w:rFonts w:ascii="Book Antiqua" w:eastAsia="宋体" w:hAnsi="Book Antiqua" w:cs="宋体"/>
                <w:color w:val="000000"/>
                <w:lang w:eastAsia="zh-CN"/>
              </w:rPr>
            </w:pPr>
          </w:p>
        </w:tc>
        <w:tc>
          <w:tcPr>
            <w:tcW w:w="958" w:type="dxa"/>
            <w:tcBorders>
              <w:top w:val="nil"/>
              <w:left w:val="nil"/>
              <w:bottom w:val="nil"/>
              <w:right w:val="nil"/>
            </w:tcBorders>
            <w:vAlign w:val="center"/>
          </w:tcPr>
          <w:p w14:paraId="5FF14712" w14:textId="77777777" w:rsidR="00326869" w:rsidRDefault="00326869">
            <w:pPr>
              <w:rPr>
                <w:sz w:val="20"/>
                <w:szCs w:val="20"/>
                <w:lang w:eastAsia="zh-CN"/>
              </w:rPr>
            </w:pPr>
          </w:p>
        </w:tc>
        <w:tc>
          <w:tcPr>
            <w:tcW w:w="958" w:type="dxa"/>
            <w:tcBorders>
              <w:top w:val="nil"/>
              <w:left w:val="nil"/>
              <w:bottom w:val="nil"/>
              <w:right w:val="nil"/>
            </w:tcBorders>
            <w:vAlign w:val="center"/>
          </w:tcPr>
          <w:p w14:paraId="46405EB9" w14:textId="77777777" w:rsidR="00326869" w:rsidRDefault="00326869">
            <w:pPr>
              <w:rPr>
                <w:sz w:val="20"/>
                <w:szCs w:val="20"/>
                <w:lang w:eastAsia="zh-CN"/>
              </w:rPr>
            </w:pPr>
          </w:p>
        </w:tc>
        <w:tc>
          <w:tcPr>
            <w:tcW w:w="955" w:type="dxa"/>
            <w:tcBorders>
              <w:top w:val="nil"/>
              <w:left w:val="nil"/>
              <w:bottom w:val="nil"/>
              <w:right w:val="nil"/>
            </w:tcBorders>
            <w:vAlign w:val="center"/>
          </w:tcPr>
          <w:p w14:paraId="2E7EA93D" w14:textId="77777777" w:rsidR="00326869" w:rsidRDefault="00326869">
            <w:pPr>
              <w:rPr>
                <w:rFonts w:ascii="Book Antiqua" w:eastAsia="宋体" w:hAnsi="Book Antiqua" w:cs="宋体"/>
                <w:color w:val="000000"/>
                <w:lang w:eastAsia="zh-CN"/>
              </w:rPr>
            </w:pPr>
          </w:p>
        </w:tc>
      </w:tr>
      <w:tr w:rsidR="00326869" w14:paraId="1EFC406C" w14:textId="77777777">
        <w:trPr>
          <w:trHeight w:val="312"/>
        </w:trPr>
        <w:tc>
          <w:tcPr>
            <w:tcW w:w="1466" w:type="dxa"/>
            <w:tcBorders>
              <w:top w:val="nil"/>
              <w:left w:val="nil"/>
              <w:bottom w:val="nil"/>
              <w:right w:val="nil"/>
            </w:tcBorders>
            <w:shd w:val="clear" w:color="auto" w:fill="auto"/>
            <w:vAlign w:val="center"/>
          </w:tcPr>
          <w:p w14:paraId="4DDC6C5E"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975" w:type="dxa"/>
            <w:tcBorders>
              <w:top w:val="nil"/>
              <w:left w:val="nil"/>
              <w:bottom w:val="nil"/>
              <w:right w:val="nil"/>
            </w:tcBorders>
            <w:shd w:val="clear" w:color="auto" w:fill="auto"/>
            <w:vAlign w:val="center"/>
          </w:tcPr>
          <w:p w14:paraId="1C361E0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1.909</w:t>
            </w:r>
          </w:p>
        </w:tc>
        <w:tc>
          <w:tcPr>
            <w:tcW w:w="920" w:type="dxa"/>
            <w:tcBorders>
              <w:top w:val="nil"/>
              <w:left w:val="nil"/>
              <w:bottom w:val="nil"/>
              <w:right w:val="nil"/>
            </w:tcBorders>
            <w:shd w:val="clear" w:color="auto" w:fill="auto"/>
            <w:vAlign w:val="center"/>
          </w:tcPr>
          <w:p w14:paraId="632BB2A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0.617</w:t>
            </w:r>
          </w:p>
        </w:tc>
        <w:tc>
          <w:tcPr>
            <w:tcW w:w="996" w:type="dxa"/>
            <w:tcBorders>
              <w:top w:val="nil"/>
              <w:left w:val="nil"/>
              <w:bottom w:val="nil"/>
              <w:right w:val="nil"/>
            </w:tcBorders>
            <w:shd w:val="clear" w:color="auto" w:fill="auto"/>
            <w:vAlign w:val="center"/>
          </w:tcPr>
          <w:p w14:paraId="1E70EFDB"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5.905</w:t>
            </w:r>
          </w:p>
        </w:tc>
        <w:tc>
          <w:tcPr>
            <w:tcW w:w="955" w:type="dxa"/>
            <w:tcBorders>
              <w:top w:val="nil"/>
              <w:left w:val="nil"/>
              <w:bottom w:val="nil"/>
              <w:right w:val="nil"/>
            </w:tcBorders>
            <w:shd w:val="clear" w:color="auto" w:fill="auto"/>
            <w:vAlign w:val="center"/>
          </w:tcPr>
          <w:p w14:paraId="6DAE79D3"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0.262</w:t>
            </w:r>
          </w:p>
        </w:tc>
        <w:tc>
          <w:tcPr>
            <w:tcW w:w="957" w:type="dxa"/>
            <w:tcBorders>
              <w:top w:val="nil"/>
              <w:left w:val="nil"/>
              <w:bottom w:val="nil"/>
              <w:right w:val="nil"/>
            </w:tcBorders>
            <w:vAlign w:val="center"/>
          </w:tcPr>
          <w:p w14:paraId="5984889D" w14:textId="77777777" w:rsidR="00326869" w:rsidRDefault="00326869">
            <w:pPr>
              <w:rPr>
                <w:rFonts w:ascii="Book Antiqua" w:eastAsia="宋体" w:hAnsi="Book Antiqua" w:cs="宋体"/>
                <w:color w:val="000000"/>
                <w:lang w:eastAsia="zh-CN"/>
              </w:rPr>
            </w:pPr>
          </w:p>
        </w:tc>
        <w:tc>
          <w:tcPr>
            <w:tcW w:w="958" w:type="dxa"/>
            <w:tcBorders>
              <w:top w:val="nil"/>
              <w:left w:val="nil"/>
              <w:bottom w:val="nil"/>
              <w:right w:val="nil"/>
            </w:tcBorders>
            <w:vAlign w:val="center"/>
          </w:tcPr>
          <w:p w14:paraId="4C79DDB4" w14:textId="77777777" w:rsidR="00326869" w:rsidRDefault="00326869">
            <w:pPr>
              <w:rPr>
                <w:sz w:val="20"/>
                <w:szCs w:val="20"/>
                <w:lang w:eastAsia="zh-CN"/>
              </w:rPr>
            </w:pPr>
          </w:p>
        </w:tc>
        <w:tc>
          <w:tcPr>
            <w:tcW w:w="958" w:type="dxa"/>
            <w:tcBorders>
              <w:top w:val="nil"/>
              <w:left w:val="nil"/>
              <w:bottom w:val="nil"/>
              <w:right w:val="nil"/>
            </w:tcBorders>
            <w:vAlign w:val="center"/>
          </w:tcPr>
          <w:p w14:paraId="7A3B2717" w14:textId="77777777" w:rsidR="00326869" w:rsidRDefault="00326869">
            <w:pPr>
              <w:rPr>
                <w:sz w:val="20"/>
                <w:szCs w:val="20"/>
                <w:lang w:eastAsia="zh-CN"/>
              </w:rPr>
            </w:pPr>
          </w:p>
        </w:tc>
        <w:tc>
          <w:tcPr>
            <w:tcW w:w="955" w:type="dxa"/>
            <w:tcBorders>
              <w:top w:val="nil"/>
              <w:left w:val="nil"/>
              <w:bottom w:val="nil"/>
              <w:right w:val="nil"/>
            </w:tcBorders>
            <w:vAlign w:val="center"/>
          </w:tcPr>
          <w:p w14:paraId="4A57A25A" w14:textId="77777777" w:rsidR="00326869" w:rsidRDefault="00326869">
            <w:pPr>
              <w:rPr>
                <w:rFonts w:ascii="Book Antiqua" w:eastAsia="宋体" w:hAnsi="Book Antiqua" w:cs="宋体"/>
                <w:color w:val="000000"/>
                <w:lang w:eastAsia="zh-CN"/>
              </w:rPr>
            </w:pPr>
          </w:p>
        </w:tc>
      </w:tr>
      <w:tr w:rsidR="00326869" w14:paraId="2E4F4389" w14:textId="77777777">
        <w:trPr>
          <w:trHeight w:val="312"/>
        </w:trPr>
        <w:tc>
          <w:tcPr>
            <w:tcW w:w="1466" w:type="dxa"/>
            <w:tcBorders>
              <w:top w:val="nil"/>
              <w:left w:val="nil"/>
              <w:bottom w:val="nil"/>
              <w:right w:val="nil"/>
            </w:tcBorders>
            <w:shd w:val="clear" w:color="auto" w:fill="auto"/>
            <w:vAlign w:val="center"/>
          </w:tcPr>
          <w:p w14:paraId="4E402E06"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7 t/wk</w:t>
            </w:r>
          </w:p>
        </w:tc>
        <w:tc>
          <w:tcPr>
            <w:tcW w:w="975" w:type="dxa"/>
            <w:tcBorders>
              <w:top w:val="nil"/>
              <w:left w:val="nil"/>
              <w:bottom w:val="nil"/>
              <w:right w:val="nil"/>
            </w:tcBorders>
            <w:shd w:val="clear" w:color="auto" w:fill="auto"/>
            <w:vAlign w:val="center"/>
          </w:tcPr>
          <w:p w14:paraId="0F327E4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7.071</w:t>
            </w:r>
          </w:p>
        </w:tc>
        <w:tc>
          <w:tcPr>
            <w:tcW w:w="920" w:type="dxa"/>
            <w:tcBorders>
              <w:top w:val="nil"/>
              <w:left w:val="nil"/>
              <w:bottom w:val="nil"/>
              <w:right w:val="nil"/>
            </w:tcBorders>
            <w:shd w:val="clear" w:color="auto" w:fill="auto"/>
            <w:vAlign w:val="center"/>
          </w:tcPr>
          <w:p w14:paraId="1F22A14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2.329</w:t>
            </w:r>
          </w:p>
        </w:tc>
        <w:tc>
          <w:tcPr>
            <w:tcW w:w="996" w:type="dxa"/>
            <w:tcBorders>
              <w:top w:val="nil"/>
              <w:left w:val="nil"/>
              <w:bottom w:val="nil"/>
              <w:right w:val="nil"/>
            </w:tcBorders>
            <w:shd w:val="clear" w:color="auto" w:fill="auto"/>
            <w:vAlign w:val="center"/>
          </w:tcPr>
          <w:p w14:paraId="0E9167C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21.47</w:t>
            </w:r>
          </w:p>
        </w:tc>
        <w:tc>
          <w:tcPr>
            <w:tcW w:w="955" w:type="dxa"/>
            <w:tcBorders>
              <w:top w:val="nil"/>
              <w:left w:val="nil"/>
              <w:bottom w:val="nil"/>
              <w:right w:val="nil"/>
            </w:tcBorders>
            <w:shd w:val="clear" w:color="auto" w:fill="auto"/>
            <w:vAlign w:val="center"/>
          </w:tcPr>
          <w:p w14:paraId="7B46E800"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0.001</w:t>
            </w:r>
          </w:p>
        </w:tc>
        <w:tc>
          <w:tcPr>
            <w:tcW w:w="957" w:type="dxa"/>
            <w:tcBorders>
              <w:top w:val="nil"/>
              <w:left w:val="nil"/>
              <w:bottom w:val="nil"/>
              <w:right w:val="nil"/>
            </w:tcBorders>
            <w:vAlign w:val="center"/>
          </w:tcPr>
          <w:p w14:paraId="6A3F365E" w14:textId="77777777" w:rsidR="00326869" w:rsidRDefault="00326869">
            <w:pPr>
              <w:rPr>
                <w:rFonts w:ascii="Book Antiqua" w:eastAsia="宋体" w:hAnsi="Book Antiqua" w:cs="宋体"/>
                <w:color w:val="000000"/>
                <w:lang w:eastAsia="zh-CN"/>
              </w:rPr>
            </w:pPr>
          </w:p>
        </w:tc>
        <w:tc>
          <w:tcPr>
            <w:tcW w:w="958" w:type="dxa"/>
            <w:tcBorders>
              <w:top w:val="nil"/>
              <w:left w:val="nil"/>
              <w:bottom w:val="nil"/>
              <w:right w:val="nil"/>
            </w:tcBorders>
            <w:vAlign w:val="center"/>
          </w:tcPr>
          <w:p w14:paraId="1615A36B" w14:textId="77777777" w:rsidR="00326869" w:rsidRDefault="00326869">
            <w:pPr>
              <w:rPr>
                <w:sz w:val="20"/>
                <w:szCs w:val="20"/>
                <w:lang w:eastAsia="zh-CN"/>
              </w:rPr>
            </w:pPr>
          </w:p>
        </w:tc>
        <w:tc>
          <w:tcPr>
            <w:tcW w:w="958" w:type="dxa"/>
            <w:tcBorders>
              <w:top w:val="nil"/>
              <w:left w:val="nil"/>
              <w:bottom w:val="nil"/>
              <w:right w:val="nil"/>
            </w:tcBorders>
            <w:vAlign w:val="center"/>
          </w:tcPr>
          <w:p w14:paraId="572B0F98" w14:textId="77777777" w:rsidR="00326869" w:rsidRDefault="00326869">
            <w:pPr>
              <w:rPr>
                <w:sz w:val="20"/>
                <w:szCs w:val="20"/>
                <w:lang w:eastAsia="zh-CN"/>
              </w:rPr>
            </w:pPr>
          </w:p>
        </w:tc>
        <w:tc>
          <w:tcPr>
            <w:tcW w:w="955" w:type="dxa"/>
            <w:tcBorders>
              <w:top w:val="nil"/>
              <w:left w:val="nil"/>
              <w:bottom w:val="nil"/>
              <w:right w:val="nil"/>
            </w:tcBorders>
            <w:vAlign w:val="center"/>
          </w:tcPr>
          <w:p w14:paraId="2A021E40" w14:textId="77777777" w:rsidR="00326869" w:rsidRDefault="00326869">
            <w:pPr>
              <w:rPr>
                <w:rFonts w:ascii="Book Antiqua" w:eastAsia="宋体" w:hAnsi="Book Antiqua" w:cs="宋体"/>
                <w:color w:val="000000"/>
                <w:lang w:eastAsia="zh-CN"/>
              </w:rPr>
            </w:pPr>
          </w:p>
        </w:tc>
      </w:tr>
      <w:tr w:rsidR="00326869" w14:paraId="5A2719AA" w14:textId="77777777">
        <w:trPr>
          <w:trHeight w:val="624"/>
        </w:trPr>
        <w:tc>
          <w:tcPr>
            <w:tcW w:w="1466" w:type="dxa"/>
            <w:tcBorders>
              <w:top w:val="nil"/>
              <w:left w:val="nil"/>
              <w:bottom w:val="nil"/>
              <w:right w:val="nil"/>
            </w:tcBorders>
            <w:shd w:val="clear" w:color="auto" w:fill="auto"/>
            <w:vAlign w:val="center"/>
          </w:tcPr>
          <w:p w14:paraId="31DEA0C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Dry-fried nuts</w:t>
            </w:r>
          </w:p>
        </w:tc>
        <w:tc>
          <w:tcPr>
            <w:tcW w:w="975" w:type="dxa"/>
            <w:tcBorders>
              <w:top w:val="nil"/>
              <w:left w:val="nil"/>
              <w:bottom w:val="nil"/>
              <w:right w:val="nil"/>
            </w:tcBorders>
            <w:shd w:val="clear" w:color="auto" w:fill="auto"/>
            <w:vAlign w:val="center"/>
          </w:tcPr>
          <w:p w14:paraId="44CAF378" w14:textId="77777777" w:rsidR="00326869" w:rsidRDefault="00326869">
            <w:pPr>
              <w:jc w:val="both"/>
              <w:rPr>
                <w:rFonts w:ascii="Book Antiqua" w:eastAsia="宋体" w:hAnsi="Book Antiqua" w:cs="宋体"/>
                <w:color w:val="000000"/>
                <w:lang w:eastAsia="zh-CN"/>
              </w:rPr>
            </w:pPr>
          </w:p>
        </w:tc>
        <w:tc>
          <w:tcPr>
            <w:tcW w:w="920" w:type="dxa"/>
            <w:tcBorders>
              <w:top w:val="nil"/>
              <w:left w:val="nil"/>
              <w:bottom w:val="nil"/>
              <w:right w:val="nil"/>
            </w:tcBorders>
            <w:shd w:val="clear" w:color="auto" w:fill="auto"/>
            <w:vAlign w:val="center"/>
          </w:tcPr>
          <w:p w14:paraId="38EB2221" w14:textId="77777777" w:rsidR="00326869" w:rsidRDefault="00326869">
            <w:pPr>
              <w:jc w:val="both"/>
              <w:rPr>
                <w:sz w:val="20"/>
                <w:szCs w:val="20"/>
                <w:lang w:eastAsia="zh-CN"/>
              </w:rPr>
            </w:pPr>
          </w:p>
        </w:tc>
        <w:tc>
          <w:tcPr>
            <w:tcW w:w="996" w:type="dxa"/>
            <w:tcBorders>
              <w:top w:val="nil"/>
              <w:left w:val="nil"/>
              <w:bottom w:val="nil"/>
              <w:right w:val="nil"/>
            </w:tcBorders>
            <w:shd w:val="clear" w:color="auto" w:fill="auto"/>
            <w:vAlign w:val="center"/>
          </w:tcPr>
          <w:p w14:paraId="2F89162B"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392442B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0.001</w:t>
            </w:r>
          </w:p>
        </w:tc>
        <w:tc>
          <w:tcPr>
            <w:tcW w:w="957" w:type="dxa"/>
            <w:tcBorders>
              <w:top w:val="nil"/>
              <w:left w:val="nil"/>
              <w:bottom w:val="nil"/>
              <w:right w:val="nil"/>
            </w:tcBorders>
            <w:shd w:val="clear" w:color="auto" w:fill="auto"/>
            <w:vAlign w:val="center"/>
          </w:tcPr>
          <w:p w14:paraId="3F20512E" w14:textId="77777777" w:rsidR="00326869" w:rsidRDefault="00326869">
            <w:pPr>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tcPr>
          <w:p w14:paraId="55D71E5D" w14:textId="77777777" w:rsidR="00326869" w:rsidRDefault="00326869">
            <w:pPr>
              <w:jc w:val="both"/>
              <w:rPr>
                <w:sz w:val="20"/>
                <w:szCs w:val="20"/>
                <w:lang w:eastAsia="zh-CN"/>
              </w:rPr>
            </w:pPr>
          </w:p>
        </w:tc>
        <w:tc>
          <w:tcPr>
            <w:tcW w:w="958" w:type="dxa"/>
            <w:tcBorders>
              <w:top w:val="nil"/>
              <w:left w:val="nil"/>
              <w:bottom w:val="nil"/>
              <w:right w:val="nil"/>
            </w:tcBorders>
            <w:shd w:val="clear" w:color="auto" w:fill="auto"/>
            <w:vAlign w:val="center"/>
          </w:tcPr>
          <w:p w14:paraId="38B4A8A8"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05B70AD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0.078</w:t>
            </w:r>
          </w:p>
        </w:tc>
      </w:tr>
      <w:tr w:rsidR="00326869" w14:paraId="10CEFFCF" w14:textId="77777777">
        <w:trPr>
          <w:trHeight w:val="312"/>
        </w:trPr>
        <w:tc>
          <w:tcPr>
            <w:tcW w:w="1466" w:type="dxa"/>
            <w:tcBorders>
              <w:top w:val="nil"/>
              <w:left w:val="nil"/>
              <w:bottom w:val="nil"/>
              <w:right w:val="nil"/>
            </w:tcBorders>
            <w:shd w:val="clear" w:color="auto" w:fill="auto"/>
            <w:vAlign w:val="center"/>
          </w:tcPr>
          <w:p w14:paraId="291086DF"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1 t/wk</w:t>
            </w:r>
          </w:p>
        </w:tc>
        <w:tc>
          <w:tcPr>
            <w:tcW w:w="975" w:type="dxa"/>
            <w:tcBorders>
              <w:top w:val="nil"/>
              <w:left w:val="nil"/>
              <w:bottom w:val="nil"/>
              <w:right w:val="nil"/>
            </w:tcBorders>
            <w:shd w:val="clear" w:color="auto" w:fill="auto"/>
            <w:vAlign w:val="center"/>
          </w:tcPr>
          <w:p w14:paraId="7A12D301"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Ref</w:t>
            </w:r>
          </w:p>
        </w:tc>
        <w:tc>
          <w:tcPr>
            <w:tcW w:w="920" w:type="dxa"/>
            <w:tcBorders>
              <w:top w:val="nil"/>
              <w:left w:val="nil"/>
              <w:bottom w:val="nil"/>
              <w:right w:val="nil"/>
            </w:tcBorders>
            <w:shd w:val="clear" w:color="auto" w:fill="auto"/>
            <w:vAlign w:val="center"/>
          </w:tcPr>
          <w:p w14:paraId="3F35BDD5" w14:textId="77777777" w:rsidR="00326869" w:rsidRDefault="00326869">
            <w:pPr>
              <w:jc w:val="both"/>
              <w:rPr>
                <w:rFonts w:ascii="Book Antiqua" w:eastAsia="宋体" w:hAnsi="Book Antiqua" w:cs="宋体"/>
                <w:color w:val="000000"/>
                <w:lang w:eastAsia="zh-CN"/>
              </w:rPr>
            </w:pPr>
          </w:p>
        </w:tc>
        <w:tc>
          <w:tcPr>
            <w:tcW w:w="996" w:type="dxa"/>
            <w:tcBorders>
              <w:top w:val="nil"/>
              <w:left w:val="nil"/>
              <w:bottom w:val="nil"/>
              <w:right w:val="nil"/>
            </w:tcBorders>
            <w:shd w:val="clear" w:color="auto" w:fill="auto"/>
            <w:vAlign w:val="center"/>
          </w:tcPr>
          <w:p w14:paraId="0BC06096" w14:textId="77777777" w:rsidR="00326869" w:rsidRDefault="00326869">
            <w:pPr>
              <w:jc w:val="both"/>
              <w:rPr>
                <w:sz w:val="20"/>
                <w:szCs w:val="20"/>
                <w:lang w:eastAsia="zh-CN"/>
              </w:rPr>
            </w:pPr>
          </w:p>
        </w:tc>
        <w:tc>
          <w:tcPr>
            <w:tcW w:w="955" w:type="dxa"/>
            <w:tcBorders>
              <w:top w:val="nil"/>
              <w:left w:val="nil"/>
              <w:bottom w:val="nil"/>
              <w:right w:val="nil"/>
            </w:tcBorders>
            <w:shd w:val="clear" w:color="auto" w:fill="auto"/>
            <w:vAlign w:val="center"/>
          </w:tcPr>
          <w:p w14:paraId="6E46038D"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w:t>
            </w:r>
          </w:p>
        </w:tc>
        <w:tc>
          <w:tcPr>
            <w:tcW w:w="957" w:type="dxa"/>
            <w:tcBorders>
              <w:top w:val="nil"/>
              <w:left w:val="nil"/>
              <w:bottom w:val="nil"/>
              <w:right w:val="nil"/>
            </w:tcBorders>
            <w:vAlign w:val="center"/>
          </w:tcPr>
          <w:p w14:paraId="0F0326BF" w14:textId="77777777" w:rsidR="00326869" w:rsidRDefault="00326869">
            <w:pPr>
              <w:rPr>
                <w:rFonts w:ascii="Book Antiqua" w:eastAsia="宋体" w:hAnsi="Book Antiqua" w:cs="宋体"/>
                <w:color w:val="000000"/>
                <w:lang w:eastAsia="zh-CN"/>
              </w:rPr>
            </w:pPr>
          </w:p>
        </w:tc>
        <w:tc>
          <w:tcPr>
            <w:tcW w:w="958" w:type="dxa"/>
            <w:tcBorders>
              <w:top w:val="nil"/>
              <w:left w:val="nil"/>
              <w:bottom w:val="nil"/>
              <w:right w:val="nil"/>
            </w:tcBorders>
            <w:vAlign w:val="center"/>
          </w:tcPr>
          <w:p w14:paraId="06F21DDE" w14:textId="77777777" w:rsidR="00326869" w:rsidRDefault="00326869">
            <w:pPr>
              <w:rPr>
                <w:sz w:val="20"/>
                <w:szCs w:val="20"/>
                <w:lang w:eastAsia="zh-CN"/>
              </w:rPr>
            </w:pPr>
          </w:p>
        </w:tc>
        <w:tc>
          <w:tcPr>
            <w:tcW w:w="958" w:type="dxa"/>
            <w:tcBorders>
              <w:top w:val="nil"/>
              <w:left w:val="nil"/>
              <w:bottom w:val="nil"/>
              <w:right w:val="nil"/>
            </w:tcBorders>
            <w:vAlign w:val="center"/>
          </w:tcPr>
          <w:p w14:paraId="11709522" w14:textId="77777777" w:rsidR="00326869" w:rsidRDefault="00326869">
            <w:pPr>
              <w:rPr>
                <w:sz w:val="20"/>
                <w:szCs w:val="20"/>
                <w:lang w:eastAsia="zh-CN"/>
              </w:rPr>
            </w:pPr>
          </w:p>
        </w:tc>
        <w:tc>
          <w:tcPr>
            <w:tcW w:w="955" w:type="dxa"/>
            <w:tcBorders>
              <w:top w:val="nil"/>
              <w:left w:val="nil"/>
              <w:bottom w:val="nil"/>
              <w:right w:val="nil"/>
            </w:tcBorders>
            <w:vAlign w:val="center"/>
          </w:tcPr>
          <w:p w14:paraId="2715F7C5" w14:textId="77777777" w:rsidR="00326869" w:rsidRDefault="00326869">
            <w:pPr>
              <w:rPr>
                <w:rFonts w:ascii="Book Antiqua" w:eastAsia="宋体" w:hAnsi="Book Antiqua" w:cs="宋体"/>
                <w:color w:val="000000"/>
                <w:lang w:eastAsia="zh-CN"/>
              </w:rPr>
            </w:pPr>
          </w:p>
        </w:tc>
      </w:tr>
      <w:tr w:rsidR="00326869" w14:paraId="175683E7" w14:textId="77777777">
        <w:trPr>
          <w:trHeight w:val="312"/>
        </w:trPr>
        <w:tc>
          <w:tcPr>
            <w:tcW w:w="1466" w:type="dxa"/>
            <w:tcBorders>
              <w:top w:val="nil"/>
              <w:left w:val="nil"/>
              <w:bottom w:val="nil"/>
              <w:right w:val="nil"/>
            </w:tcBorders>
            <w:shd w:val="clear" w:color="auto" w:fill="auto"/>
            <w:vAlign w:val="center"/>
          </w:tcPr>
          <w:p w14:paraId="7038675C"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2–6 t/wk</w:t>
            </w:r>
          </w:p>
        </w:tc>
        <w:tc>
          <w:tcPr>
            <w:tcW w:w="975" w:type="dxa"/>
            <w:tcBorders>
              <w:top w:val="nil"/>
              <w:left w:val="nil"/>
              <w:bottom w:val="nil"/>
              <w:right w:val="nil"/>
            </w:tcBorders>
            <w:shd w:val="clear" w:color="auto" w:fill="auto"/>
            <w:vAlign w:val="center"/>
          </w:tcPr>
          <w:p w14:paraId="3EE2395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3.886</w:t>
            </w:r>
          </w:p>
        </w:tc>
        <w:tc>
          <w:tcPr>
            <w:tcW w:w="920" w:type="dxa"/>
            <w:tcBorders>
              <w:top w:val="nil"/>
              <w:left w:val="nil"/>
              <w:bottom w:val="nil"/>
              <w:right w:val="nil"/>
            </w:tcBorders>
            <w:shd w:val="clear" w:color="auto" w:fill="auto"/>
            <w:vAlign w:val="center"/>
          </w:tcPr>
          <w:p w14:paraId="07BEC7CE"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1.015</w:t>
            </w:r>
          </w:p>
        </w:tc>
        <w:tc>
          <w:tcPr>
            <w:tcW w:w="996" w:type="dxa"/>
            <w:tcBorders>
              <w:top w:val="nil"/>
              <w:left w:val="nil"/>
              <w:bottom w:val="nil"/>
              <w:right w:val="nil"/>
            </w:tcBorders>
            <w:shd w:val="clear" w:color="auto" w:fill="auto"/>
            <w:vAlign w:val="center"/>
          </w:tcPr>
          <w:p w14:paraId="3D03CD5A"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14.88</w:t>
            </w:r>
          </w:p>
        </w:tc>
        <w:tc>
          <w:tcPr>
            <w:tcW w:w="955" w:type="dxa"/>
            <w:tcBorders>
              <w:top w:val="nil"/>
              <w:left w:val="nil"/>
              <w:bottom w:val="nil"/>
              <w:right w:val="nil"/>
            </w:tcBorders>
            <w:shd w:val="clear" w:color="auto" w:fill="auto"/>
            <w:vAlign w:val="center"/>
          </w:tcPr>
          <w:p w14:paraId="55E9D348"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0.048</w:t>
            </w:r>
          </w:p>
        </w:tc>
        <w:tc>
          <w:tcPr>
            <w:tcW w:w="957" w:type="dxa"/>
            <w:tcBorders>
              <w:top w:val="nil"/>
              <w:left w:val="nil"/>
              <w:bottom w:val="nil"/>
              <w:right w:val="nil"/>
            </w:tcBorders>
            <w:vAlign w:val="center"/>
          </w:tcPr>
          <w:p w14:paraId="065B45FB" w14:textId="77777777" w:rsidR="00326869" w:rsidRDefault="00326869">
            <w:pPr>
              <w:rPr>
                <w:rFonts w:ascii="Book Antiqua" w:eastAsia="宋体" w:hAnsi="Book Antiqua" w:cs="宋体"/>
                <w:color w:val="000000"/>
                <w:lang w:eastAsia="zh-CN"/>
              </w:rPr>
            </w:pPr>
          </w:p>
        </w:tc>
        <w:tc>
          <w:tcPr>
            <w:tcW w:w="958" w:type="dxa"/>
            <w:tcBorders>
              <w:top w:val="nil"/>
              <w:left w:val="nil"/>
              <w:bottom w:val="nil"/>
              <w:right w:val="nil"/>
            </w:tcBorders>
            <w:vAlign w:val="center"/>
          </w:tcPr>
          <w:p w14:paraId="769852F8" w14:textId="77777777" w:rsidR="00326869" w:rsidRDefault="00326869">
            <w:pPr>
              <w:rPr>
                <w:sz w:val="20"/>
                <w:szCs w:val="20"/>
                <w:lang w:eastAsia="zh-CN"/>
              </w:rPr>
            </w:pPr>
          </w:p>
        </w:tc>
        <w:tc>
          <w:tcPr>
            <w:tcW w:w="958" w:type="dxa"/>
            <w:tcBorders>
              <w:top w:val="nil"/>
              <w:left w:val="nil"/>
              <w:bottom w:val="nil"/>
              <w:right w:val="nil"/>
            </w:tcBorders>
            <w:vAlign w:val="center"/>
          </w:tcPr>
          <w:p w14:paraId="4CB3FB6A" w14:textId="77777777" w:rsidR="00326869" w:rsidRDefault="00326869">
            <w:pPr>
              <w:rPr>
                <w:sz w:val="20"/>
                <w:szCs w:val="20"/>
                <w:lang w:eastAsia="zh-CN"/>
              </w:rPr>
            </w:pPr>
          </w:p>
        </w:tc>
        <w:tc>
          <w:tcPr>
            <w:tcW w:w="955" w:type="dxa"/>
            <w:tcBorders>
              <w:top w:val="nil"/>
              <w:left w:val="nil"/>
              <w:bottom w:val="nil"/>
              <w:right w:val="nil"/>
            </w:tcBorders>
            <w:vAlign w:val="center"/>
          </w:tcPr>
          <w:p w14:paraId="2FC0ED25" w14:textId="77777777" w:rsidR="00326869" w:rsidRDefault="00326869">
            <w:pPr>
              <w:rPr>
                <w:rFonts w:ascii="Book Antiqua" w:eastAsia="宋体" w:hAnsi="Book Antiqua" w:cs="宋体"/>
                <w:color w:val="000000"/>
                <w:lang w:eastAsia="zh-CN"/>
              </w:rPr>
            </w:pPr>
          </w:p>
        </w:tc>
      </w:tr>
      <w:tr w:rsidR="00326869" w14:paraId="72DB41FB" w14:textId="77777777">
        <w:trPr>
          <w:trHeight w:val="324"/>
        </w:trPr>
        <w:tc>
          <w:tcPr>
            <w:tcW w:w="1466" w:type="dxa"/>
            <w:tcBorders>
              <w:top w:val="nil"/>
              <w:left w:val="nil"/>
              <w:bottom w:val="single" w:sz="4" w:space="0" w:color="auto"/>
              <w:right w:val="nil"/>
            </w:tcBorders>
            <w:shd w:val="clear" w:color="auto" w:fill="auto"/>
            <w:vAlign w:val="center"/>
          </w:tcPr>
          <w:p w14:paraId="6D0EF820" w14:textId="77777777" w:rsidR="00326869" w:rsidRDefault="008967A2">
            <w:pPr>
              <w:ind w:firstLineChars="100" w:firstLine="24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7 t/wk </w:t>
            </w:r>
          </w:p>
        </w:tc>
        <w:tc>
          <w:tcPr>
            <w:tcW w:w="975" w:type="dxa"/>
            <w:tcBorders>
              <w:top w:val="nil"/>
              <w:left w:val="nil"/>
              <w:bottom w:val="single" w:sz="4" w:space="0" w:color="auto"/>
              <w:right w:val="nil"/>
            </w:tcBorders>
            <w:shd w:val="clear" w:color="auto" w:fill="auto"/>
            <w:vAlign w:val="center"/>
          </w:tcPr>
          <w:p w14:paraId="7251E13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40.8</w:t>
            </w:r>
          </w:p>
        </w:tc>
        <w:tc>
          <w:tcPr>
            <w:tcW w:w="920" w:type="dxa"/>
            <w:tcBorders>
              <w:top w:val="nil"/>
              <w:left w:val="nil"/>
              <w:bottom w:val="single" w:sz="4" w:space="0" w:color="auto"/>
              <w:right w:val="nil"/>
            </w:tcBorders>
            <w:shd w:val="clear" w:color="auto" w:fill="auto"/>
            <w:vAlign w:val="center"/>
          </w:tcPr>
          <w:p w14:paraId="4A397237"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4.588</w:t>
            </w:r>
          </w:p>
        </w:tc>
        <w:tc>
          <w:tcPr>
            <w:tcW w:w="996" w:type="dxa"/>
            <w:tcBorders>
              <w:top w:val="nil"/>
              <w:left w:val="nil"/>
              <w:bottom w:val="single" w:sz="4" w:space="0" w:color="auto"/>
              <w:right w:val="nil"/>
            </w:tcBorders>
            <w:shd w:val="clear" w:color="auto" w:fill="auto"/>
            <w:vAlign w:val="center"/>
          </w:tcPr>
          <w:p w14:paraId="18DF783B"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362.841</w:t>
            </w:r>
          </w:p>
        </w:tc>
        <w:tc>
          <w:tcPr>
            <w:tcW w:w="955" w:type="dxa"/>
            <w:tcBorders>
              <w:top w:val="nil"/>
              <w:left w:val="nil"/>
              <w:bottom w:val="single" w:sz="4" w:space="0" w:color="auto"/>
              <w:right w:val="nil"/>
            </w:tcBorders>
            <w:shd w:val="clear" w:color="auto" w:fill="auto"/>
            <w:vAlign w:val="center"/>
          </w:tcPr>
          <w:p w14:paraId="50143784" w14:textId="77777777" w:rsidR="00326869" w:rsidRDefault="008967A2">
            <w:pPr>
              <w:jc w:val="both"/>
              <w:rPr>
                <w:rFonts w:ascii="Book Antiqua" w:eastAsia="宋体" w:hAnsi="Book Antiqua" w:cs="宋体"/>
                <w:color w:val="000000"/>
                <w:lang w:eastAsia="zh-CN"/>
              </w:rPr>
            </w:pPr>
            <w:r>
              <w:rPr>
                <w:rFonts w:ascii="Book Antiqua" w:eastAsia="宋体" w:hAnsi="Book Antiqua" w:cs="宋体"/>
                <w:color w:val="000000"/>
                <w:lang w:eastAsia="zh-CN"/>
              </w:rPr>
              <w:t>0.001</w:t>
            </w:r>
          </w:p>
        </w:tc>
        <w:tc>
          <w:tcPr>
            <w:tcW w:w="957" w:type="dxa"/>
            <w:tcBorders>
              <w:top w:val="nil"/>
              <w:left w:val="nil"/>
              <w:bottom w:val="single" w:sz="4" w:space="0" w:color="auto"/>
              <w:right w:val="nil"/>
            </w:tcBorders>
            <w:vAlign w:val="center"/>
          </w:tcPr>
          <w:p w14:paraId="32A292C1" w14:textId="77777777" w:rsidR="00326869" w:rsidRDefault="00326869">
            <w:pPr>
              <w:rPr>
                <w:rFonts w:ascii="Book Antiqua" w:eastAsia="宋体" w:hAnsi="Book Antiqua" w:cs="宋体"/>
                <w:color w:val="000000"/>
                <w:lang w:eastAsia="zh-CN"/>
              </w:rPr>
            </w:pPr>
          </w:p>
        </w:tc>
        <w:tc>
          <w:tcPr>
            <w:tcW w:w="958" w:type="dxa"/>
            <w:tcBorders>
              <w:top w:val="nil"/>
              <w:left w:val="nil"/>
              <w:bottom w:val="single" w:sz="4" w:space="0" w:color="auto"/>
              <w:right w:val="nil"/>
            </w:tcBorders>
            <w:vAlign w:val="center"/>
          </w:tcPr>
          <w:p w14:paraId="21E4BAC0" w14:textId="77777777" w:rsidR="00326869" w:rsidRDefault="00326869">
            <w:pPr>
              <w:rPr>
                <w:sz w:val="20"/>
                <w:szCs w:val="20"/>
                <w:lang w:eastAsia="zh-CN"/>
              </w:rPr>
            </w:pPr>
          </w:p>
        </w:tc>
        <w:tc>
          <w:tcPr>
            <w:tcW w:w="958" w:type="dxa"/>
            <w:tcBorders>
              <w:top w:val="nil"/>
              <w:left w:val="nil"/>
              <w:bottom w:val="single" w:sz="4" w:space="0" w:color="auto"/>
              <w:right w:val="nil"/>
            </w:tcBorders>
            <w:vAlign w:val="center"/>
          </w:tcPr>
          <w:p w14:paraId="5EDD19E9" w14:textId="77777777" w:rsidR="00326869" w:rsidRDefault="00326869">
            <w:pPr>
              <w:rPr>
                <w:sz w:val="20"/>
                <w:szCs w:val="20"/>
                <w:lang w:eastAsia="zh-CN"/>
              </w:rPr>
            </w:pPr>
          </w:p>
        </w:tc>
        <w:tc>
          <w:tcPr>
            <w:tcW w:w="955" w:type="dxa"/>
            <w:tcBorders>
              <w:top w:val="nil"/>
              <w:left w:val="nil"/>
              <w:bottom w:val="single" w:sz="4" w:space="0" w:color="auto"/>
              <w:right w:val="nil"/>
            </w:tcBorders>
            <w:vAlign w:val="center"/>
          </w:tcPr>
          <w:p w14:paraId="6337E864" w14:textId="77777777" w:rsidR="00326869" w:rsidRDefault="00326869">
            <w:pPr>
              <w:rPr>
                <w:rFonts w:ascii="Book Antiqua" w:eastAsia="宋体" w:hAnsi="Book Antiqua" w:cs="宋体"/>
                <w:color w:val="000000"/>
                <w:lang w:eastAsia="zh-CN"/>
              </w:rPr>
            </w:pPr>
          </w:p>
        </w:tc>
      </w:tr>
    </w:tbl>
    <w:p w14:paraId="490DDEE1" w14:textId="77777777" w:rsidR="004D7CB5" w:rsidRDefault="008967A2">
      <w:pPr>
        <w:autoSpaceDE w:val="0"/>
        <w:autoSpaceDN w:val="0"/>
        <w:adjustRightInd w:val="0"/>
        <w:snapToGrid w:val="0"/>
        <w:spacing w:line="360" w:lineRule="auto"/>
        <w:jc w:val="both"/>
        <w:rPr>
          <w:rFonts w:ascii="Book Antiqua" w:hAnsi="Book Antiqua" w:cs="Book Antiqua"/>
        </w:rPr>
        <w:sectPr w:rsidR="004D7CB5">
          <w:pgSz w:w="12240" w:h="15840"/>
          <w:pgMar w:top="1440" w:right="1440" w:bottom="1440" w:left="1440" w:header="720" w:footer="720" w:gutter="0"/>
          <w:cols w:space="720"/>
          <w:docGrid w:linePitch="360"/>
        </w:sectPr>
      </w:pPr>
      <w:r>
        <w:rPr>
          <w:rFonts w:ascii="Book Antiqua" w:eastAsia="宋体" w:hAnsi="Book Antiqua" w:cs="Book Antiqua"/>
          <w:lang w:eastAsia="zh-CN"/>
        </w:rPr>
        <w:t xml:space="preserve">CI: </w:t>
      </w:r>
      <w:r>
        <w:rPr>
          <w:rFonts w:ascii="Book Antiqua" w:hAnsi="Book Antiqua" w:cs="Book Antiqua"/>
          <w:lang w:val="en-GB"/>
        </w:rPr>
        <w:t>Confidence inter</w:t>
      </w:r>
      <w:r>
        <w:rPr>
          <w:rFonts w:ascii="Book Antiqua" w:hAnsi="Book Antiqua" w:cs="Book Antiqua"/>
        </w:rPr>
        <w:t xml:space="preserve">val; OR: Odds ratio; Ref: </w:t>
      </w:r>
      <w:r>
        <w:rPr>
          <w:rFonts w:ascii="Book Antiqua" w:hAnsi="Book Antiqua" w:cs="Book Antiqua"/>
          <w:caps/>
        </w:rPr>
        <w:t>r</w:t>
      </w:r>
      <w:r>
        <w:rPr>
          <w:rFonts w:ascii="Book Antiqua" w:hAnsi="Book Antiqua" w:cs="Book Antiqua"/>
        </w:rPr>
        <w:t>eference.</w:t>
      </w:r>
    </w:p>
    <w:p w14:paraId="3141CA37" w14:textId="77777777" w:rsidR="004D7CB5" w:rsidRDefault="004D7CB5" w:rsidP="004D7CB5">
      <w:pPr>
        <w:jc w:val="center"/>
        <w:rPr>
          <w:rFonts w:ascii="Book Antiqua" w:hAnsi="Book Antiqua"/>
          <w:lang w:eastAsia="zh-CN"/>
        </w:rPr>
      </w:pPr>
    </w:p>
    <w:p w14:paraId="43F77420" w14:textId="77777777" w:rsidR="004D7CB5" w:rsidRDefault="004D7CB5" w:rsidP="004D7CB5">
      <w:pPr>
        <w:jc w:val="center"/>
        <w:rPr>
          <w:rFonts w:ascii="Book Antiqua" w:hAnsi="Book Antiqua"/>
          <w:lang w:eastAsia="zh-CN"/>
        </w:rPr>
      </w:pPr>
    </w:p>
    <w:p w14:paraId="072EC8CB" w14:textId="77777777" w:rsidR="004D7CB5" w:rsidRDefault="004D7CB5" w:rsidP="004D7CB5">
      <w:pPr>
        <w:jc w:val="center"/>
        <w:rPr>
          <w:rFonts w:ascii="Book Antiqua" w:hAnsi="Book Antiqua"/>
          <w:lang w:eastAsia="zh-CN"/>
        </w:rPr>
      </w:pPr>
    </w:p>
    <w:p w14:paraId="28D9CD11" w14:textId="77777777" w:rsidR="004D7CB5" w:rsidRDefault="004D7CB5" w:rsidP="004D7CB5">
      <w:pPr>
        <w:jc w:val="center"/>
        <w:rPr>
          <w:rFonts w:ascii="Book Antiqua" w:hAnsi="Book Antiqua"/>
          <w:lang w:eastAsia="zh-CN"/>
        </w:rPr>
      </w:pPr>
    </w:p>
    <w:p w14:paraId="469CDD4B" w14:textId="77777777" w:rsidR="004D7CB5" w:rsidRDefault="004D7CB5" w:rsidP="004D7CB5">
      <w:pPr>
        <w:jc w:val="center"/>
        <w:rPr>
          <w:rFonts w:ascii="Book Antiqua" w:hAnsi="Book Antiqua"/>
          <w:lang w:eastAsia="zh-CN"/>
        </w:rPr>
      </w:pPr>
    </w:p>
    <w:p w14:paraId="0AE2511A" w14:textId="1F639A53" w:rsidR="004D7CB5" w:rsidRDefault="004D7CB5" w:rsidP="004D7CB5">
      <w:pPr>
        <w:jc w:val="center"/>
        <w:rPr>
          <w:rFonts w:ascii="Book Antiqua" w:hAnsi="Book Antiqua"/>
          <w:lang w:eastAsia="zh-CN"/>
        </w:rPr>
      </w:pPr>
      <w:r>
        <w:rPr>
          <w:rFonts w:ascii="Book Antiqua" w:hAnsi="Book Antiqua"/>
          <w:noProof/>
          <w:lang w:eastAsia="zh-CN"/>
        </w:rPr>
        <w:drawing>
          <wp:inline distT="0" distB="0" distL="0" distR="0" wp14:anchorId="4DBCD99B" wp14:editId="6804E8CB">
            <wp:extent cx="2494280" cy="1440815"/>
            <wp:effectExtent l="0" t="0" r="127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74E1788" w14:textId="77777777" w:rsidR="004D7CB5" w:rsidRDefault="004D7CB5" w:rsidP="004D7CB5">
      <w:pPr>
        <w:jc w:val="center"/>
        <w:rPr>
          <w:rFonts w:ascii="Book Antiqua" w:hAnsi="Book Antiqua"/>
          <w:lang w:eastAsia="zh-CN"/>
        </w:rPr>
      </w:pPr>
    </w:p>
    <w:p w14:paraId="79E98203" w14:textId="77777777" w:rsidR="004D7CB5" w:rsidRDefault="004D7CB5" w:rsidP="004D7CB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E2DA37B" w14:textId="77777777" w:rsidR="004D7CB5" w:rsidRDefault="004D7CB5" w:rsidP="004D7CB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E558DD" w14:textId="77777777" w:rsidR="004D7CB5" w:rsidRDefault="004D7CB5" w:rsidP="004D7CB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8ECC16" w14:textId="77777777" w:rsidR="004D7CB5" w:rsidRDefault="004D7CB5" w:rsidP="004D7C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382B80" w14:textId="77777777" w:rsidR="004D7CB5" w:rsidRDefault="004D7CB5" w:rsidP="004D7C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E9C098" w14:textId="77777777" w:rsidR="004D7CB5" w:rsidRDefault="004D7CB5" w:rsidP="004D7CB5">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508E3AB2" w14:textId="77777777" w:rsidR="004D7CB5" w:rsidRDefault="004D7CB5" w:rsidP="004D7CB5">
      <w:pPr>
        <w:jc w:val="center"/>
        <w:rPr>
          <w:rFonts w:ascii="Book Antiqua" w:hAnsi="Book Antiqua"/>
          <w:lang w:eastAsia="zh-CN"/>
        </w:rPr>
      </w:pPr>
    </w:p>
    <w:p w14:paraId="7B6E9055" w14:textId="77777777" w:rsidR="004D7CB5" w:rsidRDefault="004D7CB5" w:rsidP="004D7CB5">
      <w:pPr>
        <w:jc w:val="center"/>
        <w:rPr>
          <w:rFonts w:ascii="Book Antiqua" w:hAnsi="Book Antiqua"/>
          <w:lang w:eastAsia="zh-CN"/>
        </w:rPr>
      </w:pPr>
    </w:p>
    <w:p w14:paraId="5BA40CA1" w14:textId="77777777" w:rsidR="004D7CB5" w:rsidRDefault="004D7CB5" w:rsidP="004D7CB5">
      <w:pPr>
        <w:jc w:val="center"/>
        <w:rPr>
          <w:rFonts w:ascii="Book Antiqua" w:hAnsi="Book Antiqua"/>
          <w:lang w:eastAsia="zh-CN"/>
        </w:rPr>
      </w:pPr>
    </w:p>
    <w:p w14:paraId="3F857127" w14:textId="5DA755ED" w:rsidR="004D7CB5" w:rsidRDefault="004D7CB5" w:rsidP="004D7CB5">
      <w:pPr>
        <w:jc w:val="center"/>
        <w:rPr>
          <w:rFonts w:ascii="Book Antiqua" w:hAnsi="Book Antiqua"/>
          <w:lang w:eastAsia="zh-CN"/>
        </w:rPr>
      </w:pPr>
      <w:r>
        <w:rPr>
          <w:rFonts w:ascii="Book Antiqua" w:hAnsi="Book Antiqua"/>
          <w:noProof/>
          <w:lang w:eastAsia="zh-CN"/>
        </w:rPr>
        <w:drawing>
          <wp:inline distT="0" distB="0" distL="0" distR="0" wp14:anchorId="60F4FAAE" wp14:editId="0E4A90F2">
            <wp:extent cx="1448435" cy="14408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D52B7E3" w14:textId="77777777" w:rsidR="004D7CB5" w:rsidRDefault="004D7CB5" w:rsidP="004D7CB5">
      <w:pPr>
        <w:jc w:val="center"/>
        <w:rPr>
          <w:rFonts w:ascii="Book Antiqua" w:hAnsi="Book Antiqua"/>
          <w:lang w:eastAsia="zh-CN"/>
        </w:rPr>
      </w:pPr>
    </w:p>
    <w:p w14:paraId="69656DAF" w14:textId="77777777" w:rsidR="004D7CB5" w:rsidRDefault="004D7CB5" w:rsidP="004D7CB5">
      <w:pPr>
        <w:jc w:val="center"/>
        <w:rPr>
          <w:rFonts w:ascii="Book Antiqua" w:hAnsi="Book Antiqua"/>
          <w:lang w:eastAsia="zh-CN"/>
        </w:rPr>
      </w:pPr>
    </w:p>
    <w:p w14:paraId="732DB3E7" w14:textId="77777777" w:rsidR="004D7CB5" w:rsidRDefault="004D7CB5" w:rsidP="004D7CB5">
      <w:pPr>
        <w:jc w:val="center"/>
        <w:rPr>
          <w:rFonts w:ascii="Book Antiqua" w:hAnsi="Book Antiqua"/>
          <w:lang w:eastAsia="zh-CN"/>
        </w:rPr>
      </w:pPr>
    </w:p>
    <w:p w14:paraId="3B5BA33F" w14:textId="77777777" w:rsidR="004D7CB5" w:rsidRDefault="004D7CB5" w:rsidP="004D7CB5">
      <w:pPr>
        <w:jc w:val="center"/>
        <w:rPr>
          <w:rFonts w:ascii="Book Antiqua" w:hAnsi="Book Antiqua"/>
          <w:lang w:eastAsia="zh-CN"/>
        </w:rPr>
      </w:pPr>
    </w:p>
    <w:p w14:paraId="45928B51" w14:textId="77777777" w:rsidR="004D7CB5" w:rsidRDefault="004D7CB5" w:rsidP="004D7CB5">
      <w:pPr>
        <w:jc w:val="center"/>
        <w:rPr>
          <w:rFonts w:ascii="Book Antiqua" w:hAnsi="Book Antiqua"/>
          <w:lang w:eastAsia="zh-CN"/>
        </w:rPr>
      </w:pPr>
    </w:p>
    <w:p w14:paraId="21F77DB1" w14:textId="77777777" w:rsidR="004D7CB5" w:rsidRDefault="004D7CB5" w:rsidP="004D7CB5">
      <w:pPr>
        <w:jc w:val="center"/>
        <w:rPr>
          <w:rFonts w:ascii="Book Antiqua" w:hAnsi="Book Antiqua"/>
          <w:lang w:eastAsia="zh-CN"/>
        </w:rPr>
      </w:pPr>
    </w:p>
    <w:p w14:paraId="2E9DABEB" w14:textId="77777777" w:rsidR="004D7CB5" w:rsidRDefault="004D7CB5" w:rsidP="004D7CB5">
      <w:pPr>
        <w:jc w:val="center"/>
        <w:rPr>
          <w:rFonts w:ascii="Book Antiqua" w:hAnsi="Book Antiqua"/>
          <w:lang w:eastAsia="zh-CN"/>
        </w:rPr>
      </w:pPr>
    </w:p>
    <w:p w14:paraId="71D92E2F" w14:textId="77777777" w:rsidR="004D7CB5" w:rsidRDefault="004D7CB5" w:rsidP="004D7CB5">
      <w:pPr>
        <w:jc w:val="center"/>
        <w:rPr>
          <w:rFonts w:ascii="Book Antiqua" w:hAnsi="Book Antiqua"/>
          <w:lang w:eastAsia="zh-CN"/>
        </w:rPr>
      </w:pPr>
    </w:p>
    <w:p w14:paraId="33CDBCC8" w14:textId="77777777" w:rsidR="004D7CB5" w:rsidRDefault="004D7CB5" w:rsidP="004D7CB5">
      <w:pPr>
        <w:jc w:val="center"/>
        <w:rPr>
          <w:rFonts w:ascii="Book Antiqua" w:hAnsi="Book Antiqua"/>
          <w:lang w:eastAsia="zh-CN"/>
        </w:rPr>
      </w:pPr>
    </w:p>
    <w:p w14:paraId="76D01A4C" w14:textId="77777777" w:rsidR="004D7CB5" w:rsidRDefault="004D7CB5" w:rsidP="004D7CB5">
      <w:pPr>
        <w:jc w:val="right"/>
        <w:rPr>
          <w:rFonts w:ascii="Book Antiqua" w:hAnsi="Book Antiqua"/>
          <w:color w:val="000000" w:themeColor="text1"/>
          <w:lang w:eastAsia="zh-CN"/>
        </w:rPr>
      </w:pPr>
    </w:p>
    <w:p w14:paraId="288DC70D" w14:textId="77777777" w:rsidR="004D7CB5" w:rsidRDefault="004D7CB5" w:rsidP="004D7CB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07F2B79" w14:textId="3CE21A0B" w:rsidR="00326869" w:rsidRDefault="00326869">
      <w:pPr>
        <w:autoSpaceDE w:val="0"/>
        <w:autoSpaceDN w:val="0"/>
        <w:adjustRightInd w:val="0"/>
        <w:snapToGrid w:val="0"/>
        <w:spacing w:line="360" w:lineRule="auto"/>
        <w:jc w:val="both"/>
        <w:rPr>
          <w:rFonts w:ascii="Book Antiqua" w:hAnsi="Book Antiqua" w:cs="Book Antiqua"/>
        </w:rPr>
      </w:pPr>
    </w:p>
    <w:sectPr w:rsidR="00326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62A5" w14:textId="77777777" w:rsidR="008967A2" w:rsidRDefault="008967A2">
      <w:r>
        <w:separator/>
      </w:r>
    </w:p>
  </w:endnote>
  <w:endnote w:type="continuationSeparator" w:id="0">
    <w:p w14:paraId="3A324FEE" w14:textId="77777777" w:rsidR="008967A2" w:rsidRDefault="0089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default"/>
    <w:sig w:usb0="E1002EFF" w:usb1="C000605B" w:usb2="00000029" w:usb3="00000000" w:csb0="200101FF" w:csb1="20280000"/>
  </w:font>
  <w:font w:name="PMingLiU">
    <w:altName w:val="新細明體"/>
    <w:panose1 w:val="02010601000101010101"/>
    <w:charset w:val="88"/>
    <w:family w:val="roman"/>
    <w:pitch w:val="default"/>
    <w:sig w:usb0="00000000" w:usb1="00000000"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5E26" w14:textId="77777777" w:rsidR="00326869" w:rsidRDefault="008967A2">
    <w:pPr>
      <w:pStyle w:val="a7"/>
    </w:pPr>
    <w:r>
      <w:rPr>
        <w:noProof/>
        <w:lang w:eastAsia="zh-CN"/>
      </w:rPr>
      <mc:AlternateContent>
        <mc:Choice Requires="wps">
          <w:drawing>
            <wp:anchor distT="0" distB="0" distL="114300" distR="114300" simplePos="0" relativeHeight="251659264" behindDoc="0" locked="0" layoutInCell="1" allowOverlap="1" wp14:anchorId="4EA492FE" wp14:editId="1AA7FC0F">
              <wp:simplePos x="0" y="0"/>
              <wp:positionH relativeFrom="margin">
                <wp:align>right</wp:align>
              </wp:positionH>
              <wp:positionV relativeFrom="paragraph">
                <wp:posOffset>0</wp:posOffset>
              </wp:positionV>
              <wp:extent cx="1828800" cy="1828800"/>
              <wp:effectExtent l="0" t="0" r="0" b="0"/>
              <wp:wrapNone/>
              <wp:docPr id="5"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397D8080" w14:textId="77777777" w:rsidR="00326869" w:rsidRDefault="008967A2">
                          <w:pPr>
                            <w:pStyle w:val="a7"/>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Pr>
                              <w:rFonts w:ascii="Book Antiqua" w:eastAsia="宋体" w:hAnsi="Book Antiqua" w:cs="Book Antiqua"/>
                              <w:sz w:val="24"/>
                              <w:lang w:eastAsia="zh-CN"/>
                            </w:rPr>
                            <w:t>27</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/38</w:t>
                          </w:r>
                        </w:p>
                      </w:txbxContent>
                    </wps:txbx>
                    <wps:bodyPr rot="0" vert="horz" wrap="none" lIns="0" tIns="0" rIns="0" bIns="0" anchor="t" anchorCtr="0" upright="1">
                      <a:spAutoFit/>
                    </wps:bodyPr>
                  </wps:wsp>
                </a:graphicData>
              </a:graphic>
            </wp:anchor>
          </w:drawing>
        </mc:Choice>
        <mc:Fallback>
          <w:pict>
            <v:shapetype w14:anchorId="4EA492FE"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kFcHAcgBAACIAwAADgAAAAAAAAAAAAAAAAAu&#10;AgAAZHJzL2Uyb0RvYy54bWxQSwECLQAUAAYACAAAACEADErw7tYAAAAFAQAADwAAAAAAAAAAAAAA&#10;AAAiBAAAZHJzL2Rvd25yZXYueG1sUEsFBgAAAAAEAAQA8wAAACUFAAAAAA==&#10;" filled="f" stroked="f">
              <v:textbox style="mso-fit-shape-to-text:t" inset="0,0,0,0">
                <w:txbxContent>
                  <w:p w14:paraId="397D8080" w14:textId="77777777" w:rsidR="00326869" w:rsidRDefault="008967A2">
                    <w:pPr>
                      <w:pStyle w:val="a7"/>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Pr>
                        <w:rFonts w:ascii="Book Antiqua" w:eastAsia="宋体" w:hAnsi="Book Antiqua" w:cs="Book Antiqua"/>
                        <w:sz w:val="24"/>
                        <w:lang w:eastAsia="zh-CN"/>
                      </w:rPr>
                      <w:t>27</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9F9C" w14:textId="77777777" w:rsidR="008967A2" w:rsidRDefault="008967A2">
      <w:r>
        <w:separator/>
      </w:r>
    </w:p>
  </w:footnote>
  <w:footnote w:type="continuationSeparator" w:id="0">
    <w:p w14:paraId="39502FFB" w14:textId="77777777" w:rsidR="008967A2" w:rsidRDefault="0089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FD2"/>
    <w:rsid w:val="000A2031"/>
    <w:rsid w:val="000A4D35"/>
    <w:rsid w:val="000E7255"/>
    <w:rsid w:val="001261C2"/>
    <w:rsid w:val="001407E6"/>
    <w:rsid w:val="001707A2"/>
    <w:rsid w:val="00192E44"/>
    <w:rsid w:val="001A26FA"/>
    <w:rsid w:val="001C6C38"/>
    <w:rsid w:val="00214967"/>
    <w:rsid w:val="00217A3E"/>
    <w:rsid w:val="00217CFB"/>
    <w:rsid w:val="00224FED"/>
    <w:rsid w:val="00237456"/>
    <w:rsid w:val="0027629C"/>
    <w:rsid w:val="002A6E9B"/>
    <w:rsid w:val="002B7354"/>
    <w:rsid w:val="003134F6"/>
    <w:rsid w:val="00326869"/>
    <w:rsid w:val="00355D3C"/>
    <w:rsid w:val="00364088"/>
    <w:rsid w:val="003935C5"/>
    <w:rsid w:val="0039498B"/>
    <w:rsid w:val="003B78DF"/>
    <w:rsid w:val="003C1D52"/>
    <w:rsid w:val="003D6E3A"/>
    <w:rsid w:val="003F2CBB"/>
    <w:rsid w:val="00467116"/>
    <w:rsid w:val="00483A11"/>
    <w:rsid w:val="004D7CB5"/>
    <w:rsid w:val="00513596"/>
    <w:rsid w:val="005752B1"/>
    <w:rsid w:val="00584F2D"/>
    <w:rsid w:val="00593BBA"/>
    <w:rsid w:val="005A4F28"/>
    <w:rsid w:val="005B7E59"/>
    <w:rsid w:val="006160D9"/>
    <w:rsid w:val="00645820"/>
    <w:rsid w:val="00664A03"/>
    <w:rsid w:val="00674DB8"/>
    <w:rsid w:val="00674E16"/>
    <w:rsid w:val="006773AD"/>
    <w:rsid w:val="006C0721"/>
    <w:rsid w:val="0072536C"/>
    <w:rsid w:val="007472C0"/>
    <w:rsid w:val="00760D38"/>
    <w:rsid w:val="007722F4"/>
    <w:rsid w:val="00774402"/>
    <w:rsid w:val="007B3353"/>
    <w:rsid w:val="007C51BB"/>
    <w:rsid w:val="007E0984"/>
    <w:rsid w:val="00813C4B"/>
    <w:rsid w:val="00850970"/>
    <w:rsid w:val="00892F04"/>
    <w:rsid w:val="008967A2"/>
    <w:rsid w:val="0089722D"/>
    <w:rsid w:val="008D60C5"/>
    <w:rsid w:val="009367F4"/>
    <w:rsid w:val="00942A6C"/>
    <w:rsid w:val="0099256F"/>
    <w:rsid w:val="00995D92"/>
    <w:rsid w:val="009C0D36"/>
    <w:rsid w:val="00A55634"/>
    <w:rsid w:val="00A77B3E"/>
    <w:rsid w:val="00A85D16"/>
    <w:rsid w:val="00AF435C"/>
    <w:rsid w:val="00B273B6"/>
    <w:rsid w:val="00B30675"/>
    <w:rsid w:val="00B47139"/>
    <w:rsid w:val="00B840EC"/>
    <w:rsid w:val="00BC766B"/>
    <w:rsid w:val="00BD23AE"/>
    <w:rsid w:val="00BF0E49"/>
    <w:rsid w:val="00C01AC0"/>
    <w:rsid w:val="00C04E27"/>
    <w:rsid w:val="00C10478"/>
    <w:rsid w:val="00C122BC"/>
    <w:rsid w:val="00C20EA2"/>
    <w:rsid w:val="00C40158"/>
    <w:rsid w:val="00C645AD"/>
    <w:rsid w:val="00CA2A55"/>
    <w:rsid w:val="00D80D04"/>
    <w:rsid w:val="00D9310B"/>
    <w:rsid w:val="00E217A0"/>
    <w:rsid w:val="00E93044"/>
    <w:rsid w:val="00EC0053"/>
    <w:rsid w:val="00EC3754"/>
    <w:rsid w:val="00EF3587"/>
    <w:rsid w:val="00EF60EC"/>
    <w:rsid w:val="00F47BF1"/>
    <w:rsid w:val="00F7235D"/>
    <w:rsid w:val="00FA0ECE"/>
    <w:rsid w:val="00FD12C6"/>
    <w:rsid w:val="00FE3782"/>
    <w:rsid w:val="00FF10E1"/>
    <w:rsid w:val="023B4059"/>
    <w:rsid w:val="02721C45"/>
    <w:rsid w:val="0FC76A52"/>
    <w:rsid w:val="10820D27"/>
    <w:rsid w:val="165E5AC7"/>
    <w:rsid w:val="1B705FD3"/>
    <w:rsid w:val="1D5856CD"/>
    <w:rsid w:val="25561126"/>
    <w:rsid w:val="26E268E4"/>
    <w:rsid w:val="27131977"/>
    <w:rsid w:val="27746530"/>
    <w:rsid w:val="28C43F0A"/>
    <w:rsid w:val="2F4C561C"/>
    <w:rsid w:val="30725167"/>
    <w:rsid w:val="30D332DA"/>
    <w:rsid w:val="35397BD7"/>
    <w:rsid w:val="3E09220B"/>
    <w:rsid w:val="407617FD"/>
    <w:rsid w:val="420E06BB"/>
    <w:rsid w:val="43780E1A"/>
    <w:rsid w:val="49431CD4"/>
    <w:rsid w:val="4A452E6A"/>
    <w:rsid w:val="4AF26E26"/>
    <w:rsid w:val="4BA61F87"/>
    <w:rsid w:val="4F4D663C"/>
    <w:rsid w:val="51C20849"/>
    <w:rsid w:val="53FE3B19"/>
    <w:rsid w:val="579F200F"/>
    <w:rsid w:val="590A46D1"/>
    <w:rsid w:val="61F66034"/>
    <w:rsid w:val="6239787D"/>
    <w:rsid w:val="632E4159"/>
    <w:rsid w:val="63A4151B"/>
    <w:rsid w:val="64031717"/>
    <w:rsid w:val="64B3595A"/>
    <w:rsid w:val="656E118F"/>
    <w:rsid w:val="675D70FF"/>
    <w:rsid w:val="68511B04"/>
    <w:rsid w:val="69AA5C32"/>
    <w:rsid w:val="6BEF553F"/>
    <w:rsid w:val="6CF95280"/>
    <w:rsid w:val="6F1B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BF403"/>
  <w15:docId w15:val="{E5D6EABD-F41C-48E9-99E2-A21F497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semiHidden/>
    <w:unhideWhenUsed/>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annotation subject"/>
    <w:basedOn w:val="a3"/>
    <w:next w:val="a3"/>
    <w:link w:val="aa"/>
    <w:semiHidden/>
    <w:unhideWhenUsed/>
    <w:qFormat/>
    <w:rPr>
      <w:b/>
      <w:bCs/>
    </w:rPr>
  </w:style>
  <w:style w:type="character" w:styleId="ab">
    <w:name w:val="annotation reference"/>
    <w:basedOn w:val="a0"/>
    <w:qFormat/>
    <w:rPr>
      <w:sz w:val="21"/>
      <w:szCs w:val="21"/>
    </w:rPr>
  </w:style>
  <w:style w:type="character" w:customStyle="1" w:styleId="a6">
    <w:name w:val="批注框文本 字符"/>
    <w:basedOn w:val="a0"/>
    <w:link w:val="a5"/>
    <w:semiHidden/>
    <w:qFormat/>
    <w:rPr>
      <w:rFonts w:ascii="Times New Roman" w:eastAsia="Times New Roman" w:hAnsi="Times New Roman" w:cs="Times New Roman"/>
      <w:sz w:val="18"/>
      <w:szCs w:val="18"/>
      <w:lang w:eastAsia="en-US"/>
    </w:rPr>
  </w:style>
  <w:style w:type="character" w:customStyle="1" w:styleId="a4">
    <w:name w:val="批注文字 字符"/>
    <w:basedOn w:val="a0"/>
    <w:link w:val="a3"/>
    <w:qFormat/>
    <w:rPr>
      <w:rFonts w:ascii="Times New Roman" w:eastAsia="Times New Roman" w:hAnsi="Times New Roman" w:cs="Times New Roman"/>
      <w:sz w:val="24"/>
      <w:szCs w:val="24"/>
      <w:lang w:eastAsia="en-US"/>
    </w:rPr>
  </w:style>
  <w:style w:type="character" w:customStyle="1" w:styleId="aa">
    <w:name w:val="批注主题 字符"/>
    <w:basedOn w:val="a4"/>
    <w:link w:val="a9"/>
    <w:semiHidden/>
    <w:qFormat/>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32384">
      <w:bodyDiv w:val="1"/>
      <w:marLeft w:val="0"/>
      <w:marRight w:val="0"/>
      <w:marTop w:val="0"/>
      <w:marBottom w:val="0"/>
      <w:divBdr>
        <w:top w:val="none" w:sz="0" w:space="0" w:color="auto"/>
        <w:left w:val="none" w:sz="0" w:space="0" w:color="auto"/>
        <w:bottom w:val="none" w:sz="0" w:space="0" w:color="auto"/>
        <w:right w:val="none" w:sz="0" w:space="0" w:color="auto"/>
      </w:divBdr>
    </w:div>
    <w:div w:id="202987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DC93909-ECE5-405A-807F-B2325FEE37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8959</Words>
  <Characters>51069</Characters>
  <Application>Microsoft Office Word</Application>
  <DocSecurity>0</DocSecurity>
  <Lines>425</Lines>
  <Paragraphs>119</Paragraphs>
  <ScaleCrop>false</ScaleCrop>
  <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Li Jia-Hui</cp:lastModifiedBy>
  <cp:revision>23</cp:revision>
  <dcterms:created xsi:type="dcterms:W3CDTF">2021-03-01T13:12:00Z</dcterms:created>
  <dcterms:modified xsi:type="dcterms:W3CDTF">2021-04-01T06:22:00Z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BAA478D08B954E56B6C5AF9EE7AB5719</vt:lpwstr>
  </property>
</Properties>
</file>