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AFEDC"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 xml:space="preserve">Name of Journal: </w:t>
      </w:r>
      <w:r w:rsidRPr="00B10C5F">
        <w:rPr>
          <w:rFonts w:ascii="Book Antiqua" w:eastAsia="Book Antiqua" w:hAnsi="Book Antiqua" w:cs="Book Antiqua"/>
          <w:i/>
          <w:color w:val="000000"/>
        </w:rPr>
        <w:t>World Journal of Clinical Cases</w:t>
      </w:r>
    </w:p>
    <w:p w14:paraId="789000E8"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 xml:space="preserve">Manuscript NO: </w:t>
      </w:r>
      <w:r w:rsidRPr="00B10C5F">
        <w:rPr>
          <w:rFonts w:ascii="Book Antiqua" w:eastAsia="Book Antiqua" w:hAnsi="Book Antiqua" w:cs="Book Antiqua"/>
          <w:color w:val="000000"/>
        </w:rPr>
        <w:t>61408</w:t>
      </w:r>
    </w:p>
    <w:p w14:paraId="477FACF5"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 xml:space="preserve">Manuscript Type: </w:t>
      </w:r>
      <w:r w:rsidRPr="00B10C5F">
        <w:rPr>
          <w:rFonts w:ascii="Book Antiqua" w:eastAsia="Book Antiqua" w:hAnsi="Book Antiqua" w:cs="Book Antiqua"/>
          <w:color w:val="000000"/>
        </w:rPr>
        <w:t>ORIGINAL ARTICLE</w:t>
      </w:r>
    </w:p>
    <w:p w14:paraId="081B0368" w14:textId="77777777" w:rsidR="00A77B3E" w:rsidRPr="00B10C5F" w:rsidRDefault="00A77B3E" w:rsidP="00B10C5F">
      <w:pPr>
        <w:adjustRightInd w:val="0"/>
        <w:snapToGrid w:val="0"/>
        <w:spacing w:line="360" w:lineRule="auto"/>
        <w:jc w:val="both"/>
        <w:rPr>
          <w:rFonts w:ascii="Book Antiqua" w:hAnsi="Book Antiqua"/>
        </w:rPr>
      </w:pPr>
    </w:p>
    <w:p w14:paraId="0F5E5C70"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i/>
          <w:color w:val="000000"/>
        </w:rPr>
        <w:t>Retrospective Study</w:t>
      </w:r>
    </w:p>
    <w:p w14:paraId="320CFC3F"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Outcomes of laparoscopic bile duct exploration for choledocholithiasis with small common bile duct</w:t>
      </w:r>
    </w:p>
    <w:p w14:paraId="3735C245" w14:textId="77777777" w:rsidR="00A77B3E" w:rsidRPr="00B10C5F" w:rsidRDefault="00A77B3E" w:rsidP="00B10C5F">
      <w:pPr>
        <w:adjustRightInd w:val="0"/>
        <w:snapToGrid w:val="0"/>
        <w:spacing w:line="360" w:lineRule="auto"/>
        <w:jc w:val="both"/>
        <w:rPr>
          <w:rFonts w:ascii="Book Antiqua" w:hAnsi="Book Antiqua"/>
        </w:rPr>
      </w:pPr>
    </w:p>
    <w:p w14:paraId="246AB28D" w14:textId="115EB76C" w:rsidR="00A77B3E" w:rsidRPr="00B10C5F" w:rsidRDefault="007166B3"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 xml:space="preserve">Huang XX </w:t>
      </w:r>
      <w:r w:rsidRPr="00B10C5F">
        <w:rPr>
          <w:rFonts w:ascii="Book Antiqua" w:eastAsia="Book Antiqua" w:hAnsi="Book Antiqua" w:cs="Book Antiqua"/>
          <w:i/>
          <w:iCs/>
          <w:color w:val="000000"/>
        </w:rPr>
        <w:t xml:space="preserve">et al. </w:t>
      </w:r>
      <w:r w:rsidR="008E015A" w:rsidRPr="00B10C5F">
        <w:rPr>
          <w:rFonts w:ascii="Book Antiqua" w:eastAsia="Book Antiqua" w:hAnsi="Book Antiqua" w:cs="Book Antiqua"/>
          <w:color w:val="000000"/>
        </w:rPr>
        <w:t>Endoscopic treatment of choledocholithiasis</w:t>
      </w:r>
    </w:p>
    <w:p w14:paraId="2C508AC3" w14:textId="77777777" w:rsidR="00A77B3E" w:rsidRPr="00B10C5F" w:rsidRDefault="00A77B3E" w:rsidP="00B10C5F">
      <w:pPr>
        <w:adjustRightInd w:val="0"/>
        <w:snapToGrid w:val="0"/>
        <w:spacing w:line="360" w:lineRule="auto"/>
        <w:jc w:val="both"/>
        <w:rPr>
          <w:rFonts w:ascii="Book Antiqua" w:hAnsi="Book Antiqua"/>
        </w:rPr>
      </w:pPr>
    </w:p>
    <w:p w14:paraId="28E835E1"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 xml:space="preserve">Xiao-Xiao Huang, Jia-Yi Wu, Yan-Nan Bai, Jun-Yi Wu, Jia-Hui </w:t>
      </w:r>
      <w:proofErr w:type="spellStart"/>
      <w:r w:rsidRPr="00B10C5F">
        <w:rPr>
          <w:rFonts w:ascii="Book Antiqua" w:eastAsia="Book Antiqua" w:hAnsi="Book Antiqua" w:cs="Book Antiqua"/>
          <w:color w:val="000000"/>
        </w:rPr>
        <w:t>Lv</w:t>
      </w:r>
      <w:proofErr w:type="spellEnd"/>
      <w:r w:rsidRPr="00B10C5F">
        <w:rPr>
          <w:rFonts w:ascii="Book Antiqua" w:eastAsia="Book Antiqua" w:hAnsi="Book Antiqua" w:cs="Book Antiqua"/>
          <w:color w:val="000000"/>
        </w:rPr>
        <w:t>, Wei-Zhao Chen, Li-Ming Huang, Rong-Fa Huang, Mao-Lin Yan</w:t>
      </w:r>
    </w:p>
    <w:p w14:paraId="6F67C6D0" w14:textId="77777777" w:rsidR="00A77B3E" w:rsidRPr="00B10C5F" w:rsidRDefault="00A77B3E" w:rsidP="00B10C5F">
      <w:pPr>
        <w:adjustRightInd w:val="0"/>
        <w:snapToGrid w:val="0"/>
        <w:spacing w:line="360" w:lineRule="auto"/>
        <w:jc w:val="both"/>
        <w:rPr>
          <w:rFonts w:ascii="Book Antiqua" w:hAnsi="Book Antiqua"/>
        </w:rPr>
      </w:pPr>
    </w:p>
    <w:p w14:paraId="7B42FDBD" w14:textId="04C1098B"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Xiao-Xiao Huang, Jia-Yi Wu, Yan-Nan Bai, Jun-Yi Wu, Jia-Hui </w:t>
      </w:r>
      <w:proofErr w:type="spellStart"/>
      <w:r w:rsidRPr="00B10C5F">
        <w:rPr>
          <w:rFonts w:ascii="Book Antiqua" w:eastAsia="Book Antiqua" w:hAnsi="Book Antiqua" w:cs="Book Antiqua"/>
          <w:b/>
          <w:bCs/>
          <w:color w:val="000000"/>
        </w:rPr>
        <w:t>Lv</w:t>
      </w:r>
      <w:proofErr w:type="spellEnd"/>
      <w:r w:rsidRPr="00B10C5F">
        <w:rPr>
          <w:rFonts w:ascii="Book Antiqua" w:eastAsia="Book Antiqua" w:hAnsi="Book Antiqua" w:cs="Book Antiqua"/>
          <w:b/>
          <w:bCs/>
          <w:color w:val="000000"/>
        </w:rPr>
        <w:t xml:space="preserve">, Wei-Zhao Chen, Li-Ming Huang, Rong-Fa Huang, Mao-Lin Yan, </w:t>
      </w:r>
      <w:r w:rsidR="0003271D" w:rsidRPr="00B10C5F">
        <w:rPr>
          <w:rFonts w:ascii="Book Antiqua" w:eastAsia="Book Antiqua" w:hAnsi="Book Antiqua" w:cs="Book Antiqua"/>
          <w:color w:val="000000"/>
        </w:rPr>
        <w:t xml:space="preserve">Department of Hepatobiliary and Pancreatic Surgery, </w:t>
      </w:r>
      <w:proofErr w:type="spellStart"/>
      <w:r w:rsidR="003200A3" w:rsidRPr="00B10C5F">
        <w:rPr>
          <w:rFonts w:ascii="Book Antiqua" w:eastAsia="Book Antiqua" w:hAnsi="Book Antiqua" w:cs="Book Antiqua"/>
          <w:color w:val="000000"/>
        </w:rPr>
        <w:t>Shengli</w:t>
      </w:r>
      <w:proofErr w:type="spellEnd"/>
      <w:r w:rsidR="003200A3" w:rsidRPr="00B10C5F">
        <w:rPr>
          <w:rFonts w:ascii="Book Antiqua" w:eastAsia="Book Antiqua" w:hAnsi="Book Antiqua" w:cs="Book Antiqua"/>
          <w:color w:val="000000"/>
        </w:rPr>
        <w:t xml:space="preserve"> Clinical Medical College of Fujian Medical University, </w:t>
      </w:r>
      <w:r w:rsidRPr="00B10C5F">
        <w:rPr>
          <w:rFonts w:ascii="Book Antiqua" w:eastAsia="Book Antiqua" w:hAnsi="Book Antiqua" w:cs="Book Antiqua"/>
          <w:color w:val="000000"/>
        </w:rPr>
        <w:t>Fujian Provincial Hospital,</w:t>
      </w:r>
      <w:r w:rsidR="003200A3"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Fuzhou 350001, </w:t>
      </w:r>
      <w:bookmarkStart w:id="0" w:name="OLE_LINK1"/>
      <w:bookmarkStart w:id="1" w:name="OLE_LINK2"/>
      <w:bookmarkStart w:id="2" w:name="OLE_LINK3"/>
      <w:bookmarkStart w:id="3" w:name="OLE_LINK4"/>
      <w:bookmarkStart w:id="4" w:name="OLE_LINK7"/>
      <w:r w:rsidRPr="00B10C5F">
        <w:rPr>
          <w:rFonts w:ascii="Book Antiqua" w:eastAsia="Book Antiqua" w:hAnsi="Book Antiqua" w:cs="Book Antiqua"/>
          <w:color w:val="000000"/>
        </w:rPr>
        <w:t>Fujian</w:t>
      </w:r>
      <w:r w:rsidR="007166B3" w:rsidRPr="00B10C5F">
        <w:rPr>
          <w:rFonts w:ascii="Book Antiqua" w:eastAsia="Book Antiqua" w:hAnsi="Book Antiqua" w:cs="Book Antiqua"/>
          <w:color w:val="000000"/>
        </w:rPr>
        <w:t xml:space="preserve"> Province</w:t>
      </w:r>
      <w:bookmarkEnd w:id="0"/>
      <w:bookmarkEnd w:id="1"/>
      <w:bookmarkEnd w:id="2"/>
      <w:bookmarkEnd w:id="3"/>
      <w:bookmarkEnd w:id="4"/>
      <w:r w:rsidRPr="00B10C5F">
        <w:rPr>
          <w:rFonts w:ascii="Book Antiqua" w:eastAsia="Book Antiqua" w:hAnsi="Book Antiqua" w:cs="Book Antiqua"/>
          <w:color w:val="000000"/>
        </w:rPr>
        <w:t>, China</w:t>
      </w:r>
    </w:p>
    <w:p w14:paraId="540D3651" w14:textId="77777777" w:rsidR="00A77B3E" w:rsidRPr="00B10C5F" w:rsidRDefault="00A77B3E" w:rsidP="00B10C5F">
      <w:pPr>
        <w:adjustRightInd w:val="0"/>
        <w:snapToGrid w:val="0"/>
        <w:spacing w:line="360" w:lineRule="auto"/>
        <w:jc w:val="both"/>
        <w:rPr>
          <w:rFonts w:ascii="Book Antiqua" w:hAnsi="Book Antiqua"/>
        </w:rPr>
      </w:pPr>
    </w:p>
    <w:p w14:paraId="19E9A89B" w14:textId="5C2DEB49"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Author contributions: </w:t>
      </w:r>
      <w:r w:rsidRPr="00B10C5F">
        <w:rPr>
          <w:rFonts w:ascii="Book Antiqua" w:eastAsia="Book Antiqua" w:hAnsi="Book Antiqua" w:cs="Book Antiqua"/>
          <w:color w:val="000000"/>
        </w:rPr>
        <w:t xml:space="preserve">Huang XX and Wu JY designed the study and drafted the manuscript; Bai YN and Wu JY collected and analyzed the data; </w:t>
      </w:r>
      <w:proofErr w:type="spellStart"/>
      <w:r w:rsidRPr="00B10C5F">
        <w:rPr>
          <w:rFonts w:ascii="Book Antiqua" w:eastAsia="Book Antiqua" w:hAnsi="Book Antiqua" w:cs="Book Antiqua"/>
          <w:color w:val="000000"/>
        </w:rPr>
        <w:t>Lv</w:t>
      </w:r>
      <w:proofErr w:type="spellEnd"/>
      <w:r w:rsidRPr="00B10C5F">
        <w:rPr>
          <w:rFonts w:ascii="Book Antiqua" w:eastAsia="Book Antiqua" w:hAnsi="Book Antiqua" w:cs="Book Antiqua"/>
          <w:color w:val="000000"/>
        </w:rPr>
        <w:t xml:space="preserve"> JH and Chen W</w:t>
      </w:r>
      <w:r w:rsidR="009F50D0" w:rsidRPr="00B10C5F">
        <w:rPr>
          <w:rFonts w:ascii="Book Antiqua" w:eastAsia="Book Antiqua" w:hAnsi="Book Antiqua" w:cs="Book Antiqua"/>
          <w:color w:val="000000"/>
        </w:rPr>
        <w:t>Z</w:t>
      </w:r>
      <w:r w:rsidRPr="00B10C5F">
        <w:rPr>
          <w:rFonts w:ascii="Book Antiqua" w:eastAsia="Book Antiqua" w:hAnsi="Book Antiqua" w:cs="Book Antiqua"/>
          <w:color w:val="000000"/>
        </w:rPr>
        <w:t xml:space="preserve"> collected the data; Huang LM and Huang RF revised the manuscript for important intellectual content; Huang XX and Yan ML made substantial contributions to conception, design, and coordination of the study and gave final approval of the version to be published</w:t>
      </w:r>
      <w:r w:rsidR="00977660">
        <w:rPr>
          <w:rFonts w:ascii="Book Antiqua" w:eastAsia="Book Antiqua" w:hAnsi="Book Antiqua" w:cs="Book Antiqua"/>
          <w:color w:val="000000"/>
        </w:rPr>
        <w:t>;</w:t>
      </w:r>
      <w:r w:rsidR="00977660" w:rsidRPr="00B10C5F">
        <w:rPr>
          <w:rFonts w:ascii="Book Antiqua" w:eastAsia="Book Antiqua" w:hAnsi="Book Antiqua" w:cs="Book Antiqua"/>
          <w:color w:val="000000"/>
        </w:rPr>
        <w:t xml:space="preserve"> </w:t>
      </w:r>
      <w:r w:rsidR="000D233F">
        <w:rPr>
          <w:rFonts w:ascii="Book Antiqua" w:eastAsia="Book Antiqua" w:hAnsi="Book Antiqua" w:cs="Book Antiqua"/>
          <w:color w:val="000000"/>
        </w:rPr>
        <w:t>A</w:t>
      </w:r>
      <w:r w:rsidRPr="00B10C5F">
        <w:rPr>
          <w:rFonts w:ascii="Book Antiqua" w:eastAsia="Book Antiqua" w:hAnsi="Book Antiqua" w:cs="Book Antiqua"/>
          <w:color w:val="000000"/>
        </w:rPr>
        <w:t>ll authors have read and approved the final manuscript.</w:t>
      </w:r>
    </w:p>
    <w:p w14:paraId="33F5FA5B" w14:textId="77777777" w:rsidR="00A77B3E" w:rsidRPr="00B10C5F" w:rsidRDefault="00A77B3E" w:rsidP="00B10C5F">
      <w:pPr>
        <w:adjustRightInd w:val="0"/>
        <w:snapToGrid w:val="0"/>
        <w:spacing w:line="360" w:lineRule="auto"/>
        <w:jc w:val="both"/>
        <w:rPr>
          <w:rFonts w:ascii="Book Antiqua" w:hAnsi="Book Antiqua"/>
        </w:rPr>
      </w:pPr>
    </w:p>
    <w:p w14:paraId="7E9249CD" w14:textId="697A9A3F"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Corresponding author: Mao-Lin Yan, PhD, Assistant Professor, Doctor, </w:t>
      </w:r>
      <w:r w:rsidR="0003271D" w:rsidRPr="00B10C5F">
        <w:rPr>
          <w:rFonts w:ascii="Book Antiqua" w:eastAsia="Book Antiqua" w:hAnsi="Book Antiqua" w:cs="Book Antiqua"/>
          <w:color w:val="000000"/>
        </w:rPr>
        <w:t xml:space="preserve">Department of Hepatobiliary and Pancreatic Surgery, </w:t>
      </w:r>
      <w:proofErr w:type="spellStart"/>
      <w:r w:rsidR="003200A3" w:rsidRPr="00B10C5F">
        <w:rPr>
          <w:rFonts w:ascii="Book Antiqua" w:eastAsia="Book Antiqua" w:hAnsi="Book Antiqua" w:cs="Book Antiqua"/>
          <w:color w:val="000000"/>
        </w:rPr>
        <w:t>Shengli</w:t>
      </w:r>
      <w:proofErr w:type="spellEnd"/>
      <w:r w:rsidR="003200A3" w:rsidRPr="00B10C5F">
        <w:rPr>
          <w:rFonts w:ascii="Book Antiqua" w:eastAsia="Book Antiqua" w:hAnsi="Book Antiqua" w:cs="Book Antiqua"/>
          <w:color w:val="000000"/>
        </w:rPr>
        <w:t xml:space="preserve"> Clinical Medical </w:t>
      </w:r>
      <w:r w:rsidR="003200A3" w:rsidRPr="00B10C5F">
        <w:rPr>
          <w:rFonts w:ascii="Book Antiqua" w:eastAsia="Book Antiqua" w:hAnsi="Book Antiqua" w:cs="Book Antiqua"/>
          <w:color w:val="000000"/>
        </w:rPr>
        <w:lastRenderedPageBreak/>
        <w:t xml:space="preserve">College of Fujian Medical University, </w:t>
      </w:r>
      <w:r w:rsidRPr="00B10C5F">
        <w:rPr>
          <w:rFonts w:ascii="Book Antiqua" w:eastAsia="Book Antiqua" w:hAnsi="Book Antiqua" w:cs="Book Antiqua"/>
          <w:color w:val="000000"/>
        </w:rPr>
        <w:t>Fujian Provincial Hospital, N</w:t>
      </w:r>
      <w:r w:rsidR="00720AF0" w:rsidRPr="00B10C5F">
        <w:rPr>
          <w:rFonts w:ascii="Book Antiqua" w:hAnsi="Book Antiqua" w:cs="Book Antiqua"/>
          <w:color w:val="000000"/>
          <w:lang w:eastAsia="zh-CN"/>
        </w:rPr>
        <w:t>o</w:t>
      </w:r>
      <w:r w:rsidRPr="00B10C5F">
        <w:rPr>
          <w:rFonts w:ascii="Book Antiqua" w:eastAsia="Book Antiqua" w:hAnsi="Book Antiqua" w:cs="Book Antiqua"/>
          <w:color w:val="000000"/>
        </w:rPr>
        <w:t>.</w:t>
      </w:r>
      <w:r w:rsidR="00720AF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134 </w:t>
      </w:r>
      <w:proofErr w:type="spellStart"/>
      <w:r w:rsidRPr="00B10C5F">
        <w:rPr>
          <w:rFonts w:ascii="Book Antiqua" w:eastAsia="Book Antiqua" w:hAnsi="Book Antiqua" w:cs="Book Antiqua"/>
          <w:color w:val="000000"/>
        </w:rPr>
        <w:t>Dongjie</w:t>
      </w:r>
      <w:proofErr w:type="spellEnd"/>
      <w:r w:rsidRPr="00B10C5F">
        <w:rPr>
          <w:rFonts w:ascii="Book Antiqua" w:eastAsia="Book Antiqua" w:hAnsi="Book Antiqua" w:cs="Book Antiqua"/>
          <w:color w:val="000000"/>
        </w:rPr>
        <w:t xml:space="preserve"> Road, </w:t>
      </w:r>
      <w:proofErr w:type="spellStart"/>
      <w:r w:rsidRPr="00B10C5F">
        <w:rPr>
          <w:rFonts w:ascii="Book Antiqua" w:eastAsia="Book Antiqua" w:hAnsi="Book Antiqua" w:cs="Book Antiqua"/>
          <w:color w:val="000000"/>
        </w:rPr>
        <w:t>Gulou</w:t>
      </w:r>
      <w:proofErr w:type="spellEnd"/>
      <w:r w:rsidRPr="00B10C5F">
        <w:rPr>
          <w:rFonts w:ascii="Book Antiqua" w:eastAsia="Book Antiqua" w:hAnsi="Book Antiqua" w:cs="Book Antiqua"/>
          <w:color w:val="000000"/>
        </w:rPr>
        <w:t xml:space="preserve"> District, Fuzhou 350001, </w:t>
      </w:r>
      <w:r w:rsidR="007166B3" w:rsidRPr="00B10C5F">
        <w:rPr>
          <w:rFonts w:ascii="Book Antiqua" w:eastAsia="Book Antiqua" w:hAnsi="Book Antiqua" w:cs="Book Antiqua"/>
          <w:color w:val="000000"/>
        </w:rPr>
        <w:t>Fujian Province</w:t>
      </w:r>
      <w:r w:rsidRPr="00B10C5F">
        <w:rPr>
          <w:rFonts w:ascii="Book Antiqua" w:eastAsia="Book Antiqua" w:hAnsi="Book Antiqua" w:cs="Book Antiqua"/>
          <w:color w:val="000000"/>
        </w:rPr>
        <w:t>, China. yanmaolin74@163.com</w:t>
      </w:r>
    </w:p>
    <w:p w14:paraId="4D262805" w14:textId="77777777" w:rsidR="00A77B3E" w:rsidRPr="00B10C5F" w:rsidRDefault="00A77B3E" w:rsidP="00B10C5F">
      <w:pPr>
        <w:adjustRightInd w:val="0"/>
        <w:snapToGrid w:val="0"/>
        <w:spacing w:line="360" w:lineRule="auto"/>
        <w:jc w:val="both"/>
        <w:rPr>
          <w:rFonts w:ascii="Book Antiqua" w:hAnsi="Book Antiqua"/>
        </w:rPr>
      </w:pPr>
    </w:p>
    <w:p w14:paraId="4BDA2D0B"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Received: </w:t>
      </w:r>
      <w:r w:rsidRPr="00B10C5F">
        <w:rPr>
          <w:rFonts w:ascii="Book Antiqua" w:eastAsia="Book Antiqua" w:hAnsi="Book Antiqua" w:cs="Book Antiqua"/>
          <w:color w:val="000000"/>
        </w:rPr>
        <w:t>December 5, 2020</w:t>
      </w:r>
    </w:p>
    <w:p w14:paraId="0BFEE80D" w14:textId="5CE95333" w:rsidR="00A77B3E" w:rsidRPr="00B10C5F" w:rsidRDefault="008E015A" w:rsidP="00B10C5F">
      <w:pPr>
        <w:adjustRightInd w:val="0"/>
        <w:snapToGrid w:val="0"/>
        <w:spacing w:line="360" w:lineRule="auto"/>
        <w:jc w:val="both"/>
        <w:rPr>
          <w:rFonts w:ascii="Book Antiqua" w:eastAsia="Book Antiqua" w:hAnsi="Book Antiqua" w:cs="Book Antiqua"/>
          <w:color w:val="000000"/>
        </w:rPr>
      </w:pPr>
      <w:r w:rsidRPr="00B10C5F">
        <w:rPr>
          <w:rFonts w:ascii="Book Antiqua" w:eastAsia="Book Antiqua" w:hAnsi="Book Antiqua" w:cs="Book Antiqua"/>
          <w:b/>
          <w:bCs/>
          <w:color w:val="000000"/>
        </w:rPr>
        <w:t xml:space="preserve">Revised: </w:t>
      </w:r>
      <w:r w:rsidR="007166B3" w:rsidRPr="00B10C5F">
        <w:rPr>
          <w:rFonts w:ascii="Book Antiqua" w:eastAsia="Book Antiqua" w:hAnsi="Book Antiqua" w:cs="Book Antiqua"/>
          <w:color w:val="000000"/>
        </w:rPr>
        <w:t>January 2, 2021</w:t>
      </w:r>
    </w:p>
    <w:p w14:paraId="4D18E129" w14:textId="32F57278"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Accepted: </w:t>
      </w:r>
      <w:r w:rsidR="00CC766C" w:rsidRPr="00CC766C">
        <w:rPr>
          <w:rFonts w:ascii="Book Antiqua" w:eastAsia="Book Antiqua" w:hAnsi="Book Antiqua" w:cs="Book Antiqua"/>
          <w:color w:val="000000"/>
        </w:rPr>
        <w:t>January 26, 2021</w:t>
      </w:r>
    </w:p>
    <w:p w14:paraId="4E82C2B4"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Published online: </w:t>
      </w:r>
    </w:p>
    <w:p w14:paraId="097440F2" w14:textId="77777777" w:rsidR="00A77B3E" w:rsidRPr="00B10C5F" w:rsidRDefault="00A77B3E" w:rsidP="00B10C5F">
      <w:pPr>
        <w:adjustRightInd w:val="0"/>
        <w:snapToGrid w:val="0"/>
        <w:spacing w:line="360" w:lineRule="auto"/>
        <w:jc w:val="both"/>
        <w:rPr>
          <w:rFonts w:ascii="Book Antiqua" w:hAnsi="Book Antiqua"/>
        </w:rPr>
        <w:sectPr w:rsidR="00A77B3E" w:rsidRPr="00B10C5F" w:rsidSect="00720AF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720" w:gutter="0"/>
          <w:cols w:space="720"/>
          <w:docGrid w:linePitch="360"/>
        </w:sectPr>
      </w:pPr>
    </w:p>
    <w:p w14:paraId="4BEC3751" w14:textId="6A991782" w:rsidR="00A77B3E" w:rsidRPr="00B10C5F" w:rsidRDefault="00720AF0"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br w:type="page"/>
      </w:r>
      <w:r w:rsidR="008E015A" w:rsidRPr="00B10C5F">
        <w:rPr>
          <w:rFonts w:ascii="Book Antiqua" w:eastAsia="Book Antiqua" w:hAnsi="Book Antiqua" w:cs="Book Antiqua"/>
          <w:b/>
          <w:color w:val="000000"/>
        </w:rPr>
        <w:lastRenderedPageBreak/>
        <w:t>Abstract</w:t>
      </w:r>
    </w:p>
    <w:p w14:paraId="4012E921"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BACKGROUND</w:t>
      </w:r>
    </w:p>
    <w:p w14:paraId="30867480" w14:textId="2C1A51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 xml:space="preserve">Laparoscopic cholecystectomy (LC) combined with laparoscopic common bile duct </w:t>
      </w:r>
      <w:r w:rsidR="00977660">
        <w:rPr>
          <w:rFonts w:ascii="Book Antiqua" w:eastAsia="Book Antiqua" w:hAnsi="Book Antiqua" w:cs="Book Antiqua"/>
          <w:color w:val="000000"/>
        </w:rPr>
        <w:t xml:space="preserve">(CBD) </w:t>
      </w:r>
      <w:r w:rsidRPr="00B10C5F">
        <w:rPr>
          <w:rFonts w:ascii="Book Antiqua" w:eastAsia="Book Antiqua" w:hAnsi="Book Antiqua" w:cs="Book Antiqua"/>
          <w:color w:val="000000"/>
        </w:rPr>
        <w:t xml:space="preserve">exploration (LCBDE) is one of the main treatments for choledocholithiasis with CBD diameter of larger than 10 mm. However, for patients with small CBD (CBD diameter ≤ 8 mm), </w:t>
      </w:r>
      <w:r w:rsidR="007166B3" w:rsidRPr="00B10C5F">
        <w:rPr>
          <w:rFonts w:ascii="Book Antiqua" w:eastAsia="Book Antiqua" w:hAnsi="Book Antiqua" w:cs="Book Antiqua"/>
          <w:color w:val="000000"/>
        </w:rPr>
        <w:t>endoscopic sphincterotomy</w:t>
      </w:r>
      <w:r w:rsidRPr="00B10C5F">
        <w:rPr>
          <w:rFonts w:ascii="Book Antiqua" w:eastAsia="Book Antiqua" w:hAnsi="Book Antiqua" w:cs="Book Antiqua"/>
          <w:color w:val="000000"/>
        </w:rPr>
        <w:t xml:space="preserve"> remains the preferred treatment at present, but it also has some drawbacks associated with a series of complications, such as pancreatitis, hemorrhage, cholangitis, </w:t>
      </w:r>
      <w:r w:rsidR="0044425A">
        <w:rPr>
          <w:rFonts w:ascii="Book Antiqua" w:eastAsia="Book Antiqua" w:hAnsi="Book Antiqua" w:cs="Book Antiqua"/>
          <w:color w:val="000000"/>
        </w:rPr>
        <w:t xml:space="preserve">and </w:t>
      </w:r>
      <w:r w:rsidRPr="00B10C5F">
        <w:rPr>
          <w:rFonts w:ascii="Book Antiqua" w:eastAsia="Book Antiqua" w:hAnsi="Book Antiqua" w:cs="Book Antiqua"/>
          <w:color w:val="000000"/>
        </w:rPr>
        <w:t xml:space="preserve">duodenal perforation. </w:t>
      </w:r>
      <w:r w:rsidR="0044425A">
        <w:rPr>
          <w:rFonts w:ascii="Book Antiqua" w:eastAsia="Book Antiqua" w:hAnsi="Book Antiqua" w:cs="Book Antiqua"/>
          <w:color w:val="000000"/>
        </w:rPr>
        <w:t>To date</w:t>
      </w:r>
      <w:r w:rsidRPr="00B10C5F">
        <w:rPr>
          <w:rFonts w:ascii="Book Antiqua" w:eastAsia="Book Antiqua" w:hAnsi="Book Antiqua" w:cs="Book Antiqua"/>
          <w:color w:val="000000"/>
        </w:rPr>
        <w:t xml:space="preserve">, few studies have been reported </w:t>
      </w:r>
      <w:r w:rsidR="0044425A">
        <w:rPr>
          <w:rFonts w:ascii="Book Antiqua" w:eastAsia="Book Antiqua" w:hAnsi="Book Antiqua" w:cs="Book Antiqua"/>
          <w:color w:val="000000"/>
        </w:rPr>
        <w:t>that</w:t>
      </w:r>
      <w:r w:rsidR="0044425A"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support the feasibility and safety of LCBDE for choledocholithiasis with small CBD.</w:t>
      </w:r>
    </w:p>
    <w:p w14:paraId="3130205A" w14:textId="77777777" w:rsidR="00A77B3E" w:rsidRPr="00B10C5F" w:rsidRDefault="00A77B3E" w:rsidP="00B10C5F">
      <w:pPr>
        <w:adjustRightInd w:val="0"/>
        <w:snapToGrid w:val="0"/>
        <w:spacing w:line="360" w:lineRule="auto"/>
        <w:jc w:val="both"/>
        <w:rPr>
          <w:rFonts w:ascii="Book Antiqua" w:hAnsi="Book Antiqua"/>
        </w:rPr>
      </w:pPr>
    </w:p>
    <w:p w14:paraId="1E55EBF9"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AIM</w:t>
      </w:r>
    </w:p>
    <w:p w14:paraId="614A69AD"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To investigate the feasibility and safety of LCBDE for choledocholithiasis with small CBD.</w:t>
      </w:r>
    </w:p>
    <w:p w14:paraId="7EC4F0DA" w14:textId="77777777" w:rsidR="00A77B3E" w:rsidRPr="00B10C5F" w:rsidRDefault="00A77B3E" w:rsidP="00B10C5F">
      <w:pPr>
        <w:adjustRightInd w:val="0"/>
        <w:snapToGrid w:val="0"/>
        <w:spacing w:line="360" w:lineRule="auto"/>
        <w:jc w:val="both"/>
        <w:rPr>
          <w:rFonts w:ascii="Book Antiqua" w:hAnsi="Book Antiqua"/>
        </w:rPr>
      </w:pPr>
    </w:p>
    <w:p w14:paraId="6458E7AF"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METHODS</w:t>
      </w:r>
    </w:p>
    <w:p w14:paraId="41BD1498" w14:textId="7C5E817B"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A total of 257 patients without acute cholangitis who underwent LC</w:t>
      </w:r>
      <w:r w:rsidR="007166B3"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w:t>
      </w:r>
      <w:r w:rsidR="007166B3"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LCBDE for cholecystolithiasis from January 2013 to December 2018 in one institution were reviewed. The clinical data were retrospectively collected and analyzed. According to whether the diameter of CBD was larger than 8 mm, 257 patients were divided into large CBD group (</w:t>
      </w:r>
      <w:r w:rsidRPr="00B10C5F">
        <w:rPr>
          <w:rFonts w:ascii="Book Antiqua" w:eastAsia="Book Antiqua" w:hAnsi="Book Antiqua" w:cs="Book Antiqua"/>
          <w:i/>
          <w:iCs/>
          <w:color w:val="000000"/>
        </w:rPr>
        <w:t>n</w:t>
      </w:r>
      <w:r w:rsidRPr="00B10C5F">
        <w:rPr>
          <w:rFonts w:ascii="Book Antiqua" w:eastAsia="Book Antiqua" w:hAnsi="Book Antiqua" w:cs="Book Antiqua"/>
          <w:color w:val="000000"/>
        </w:rPr>
        <w:t xml:space="preserve"> = 146) and small CBD group (</w:t>
      </w:r>
      <w:r w:rsidRPr="00B10C5F">
        <w:rPr>
          <w:rFonts w:ascii="Book Antiqua" w:eastAsia="Book Antiqua" w:hAnsi="Book Antiqua" w:cs="Book Antiqua"/>
          <w:i/>
          <w:iCs/>
          <w:color w:val="000000"/>
        </w:rPr>
        <w:t>n</w:t>
      </w:r>
      <w:r w:rsidRPr="00B10C5F">
        <w:rPr>
          <w:rFonts w:ascii="Book Antiqua" w:eastAsia="Book Antiqua" w:hAnsi="Book Antiqua" w:cs="Book Antiqua"/>
          <w:color w:val="000000"/>
        </w:rPr>
        <w:t xml:space="preserve"> = 111). Propensity score matching (1:1) was performed to adjust for clinical differences. The demographics, intraoperative data, short-term outcomes</w:t>
      </w:r>
      <w:r w:rsidR="0044425A">
        <w:rPr>
          <w:rFonts w:ascii="Book Antiqua" w:eastAsia="Book Antiqua" w:hAnsi="Book Antiqua" w:cs="Book Antiqua"/>
          <w:color w:val="000000"/>
        </w:rPr>
        <w:t>,</w:t>
      </w:r>
      <w:r w:rsidRPr="00B10C5F">
        <w:rPr>
          <w:rFonts w:ascii="Book Antiqua" w:eastAsia="Book Antiqua" w:hAnsi="Book Antiqua" w:cs="Book Antiqua"/>
          <w:color w:val="000000"/>
        </w:rPr>
        <w:t xml:space="preserve"> and long-term follow-up outcomes for the patients were recorded and compared.</w:t>
      </w:r>
    </w:p>
    <w:p w14:paraId="0DCBD3E7" w14:textId="77777777" w:rsidR="00A77B3E" w:rsidRPr="00B10C5F" w:rsidRDefault="00A77B3E" w:rsidP="00B10C5F">
      <w:pPr>
        <w:adjustRightInd w:val="0"/>
        <w:snapToGrid w:val="0"/>
        <w:spacing w:line="360" w:lineRule="auto"/>
        <w:jc w:val="both"/>
        <w:rPr>
          <w:rFonts w:ascii="Book Antiqua" w:hAnsi="Book Antiqua"/>
        </w:rPr>
      </w:pPr>
    </w:p>
    <w:p w14:paraId="5F8CFFBC"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RESULTS</w:t>
      </w:r>
    </w:p>
    <w:p w14:paraId="3F3BBFB1" w14:textId="1BB06B28"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 xml:space="preserve">In total, 257 patients who underwent successful LC + LCBDE were enrolled in the study, 146 had large CBD and 111 had small CBD. The median follow-up period </w:t>
      </w:r>
      <w:r w:rsidRPr="00B10C5F">
        <w:rPr>
          <w:rFonts w:ascii="Book Antiqua" w:eastAsia="Book Antiqua" w:hAnsi="Book Antiqua" w:cs="Book Antiqua"/>
          <w:color w:val="000000"/>
        </w:rPr>
        <w:lastRenderedPageBreak/>
        <w:t xml:space="preserve">was 39 (14-86) mo. For small CBD patients, the median </w:t>
      </w:r>
      <w:r w:rsidR="00977660">
        <w:rPr>
          <w:rFonts w:ascii="Book Antiqua" w:eastAsia="Book Antiqua" w:hAnsi="Book Antiqua" w:cs="Book Antiqua"/>
          <w:color w:val="000000"/>
        </w:rPr>
        <w:t>CBD</w:t>
      </w:r>
      <w:r w:rsidRPr="00B10C5F">
        <w:rPr>
          <w:rFonts w:ascii="Book Antiqua" w:eastAsia="Book Antiqua" w:hAnsi="Book Antiqua" w:cs="Book Antiqua"/>
          <w:color w:val="000000"/>
        </w:rPr>
        <w:t xml:space="preserve"> diameter </w:t>
      </w:r>
      <w:r w:rsidR="0044425A">
        <w:rPr>
          <w:rFonts w:ascii="Book Antiqua" w:eastAsia="Book Antiqua" w:hAnsi="Book Antiqua" w:cs="Book Antiqua"/>
          <w:color w:val="000000"/>
        </w:rPr>
        <w:t>wa</w:t>
      </w:r>
      <w:r w:rsidRPr="00B10C5F">
        <w:rPr>
          <w:rFonts w:ascii="Book Antiqua" w:eastAsia="Book Antiqua" w:hAnsi="Book Antiqua" w:cs="Book Antiqua"/>
          <w:color w:val="000000"/>
        </w:rPr>
        <w:t>s 0.6</w:t>
      </w:r>
      <w:r w:rsidR="007166B3"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cm (0.2-2.0</w:t>
      </w:r>
      <w:r w:rsidR="007166B3"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cm), the mean operating time was 107.2 ± 28.3 min, </w:t>
      </w:r>
      <w:r w:rsidR="0044425A">
        <w:rPr>
          <w:rFonts w:ascii="Book Antiqua" w:eastAsia="Book Antiqua" w:hAnsi="Book Antiqua" w:cs="Book Antiqua"/>
          <w:color w:val="000000"/>
        </w:rPr>
        <w:t xml:space="preserve">and </w:t>
      </w:r>
      <w:r w:rsidRPr="00B10C5F">
        <w:rPr>
          <w:rFonts w:ascii="Book Antiqua" w:eastAsia="Book Antiqua" w:hAnsi="Book Antiqua" w:cs="Book Antiqua"/>
          <w:color w:val="000000"/>
        </w:rPr>
        <w:t xml:space="preserve">the postoperative bile leak rate, rate of residual </w:t>
      </w:r>
      <w:r w:rsidR="00977660">
        <w:rPr>
          <w:rFonts w:ascii="Book Antiqua" w:eastAsia="Book Antiqua" w:hAnsi="Book Antiqua" w:cs="Book Antiqua"/>
          <w:color w:val="000000"/>
        </w:rPr>
        <w:t>CBD</w:t>
      </w:r>
      <w:r w:rsidRPr="00B10C5F">
        <w:rPr>
          <w:rFonts w:ascii="Book Antiqua" w:eastAsia="Book Antiqua" w:hAnsi="Book Antiqua" w:cs="Book Antiqua"/>
          <w:color w:val="000000"/>
        </w:rPr>
        <w:t xml:space="preserve"> stones (CBDS), CBDS recurrence rate</w:t>
      </w:r>
      <w:r w:rsidR="0044425A">
        <w:rPr>
          <w:rFonts w:ascii="Book Antiqua" w:eastAsia="Book Antiqua" w:hAnsi="Book Antiqua" w:cs="Book Antiqua"/>
          <w:color w:val="000000"/>
        </w:rPr>
        <w:t>,</w:t>
      </w:r>
      <w:r w:rsidRPr="00B10C5F">
        <w:rPr>
          <w:rFonts w:ascii="Book Antiqua" w:eastAsia="Book Antiqua" w:hAnsi="Book Antiqua" w:cs="Book Antiqua"/>
          <w:color w:val="000000"/>
        </w:rPr>
        <w:t xml:space="preserve"> and CBD stenosis rate were 5.41% (6/111), 3.60% (4/111), 1.80% (2/111)</w:t>
      </w:r>
      <w:r w:rsidR="0044425A">
        <w:rPr>
          <w:rFonts w:ascii="Book Antiqua" w:eastAsia="Book Antiqua" w:hAnsi="Book Antiqua" w:cs="Book Antiqua"/>
          <w:color w:val="000000"/>
        </w:rPr>
        <w:t>,</w:t>
      </w:r>
      <w:r w:rsidRPr="00B10C5F">
        <w:rPr>
          <w:rFonts w:ascii="Book Antiqua" w:eastAsia="Book Antiqua" w:hAnsi="Book Antiqua" w:cs="Book Antiqua"/>
          <w:color w:val="000000"/>
        </w:rPr>
        <w:t xml:space="preserve"> and 0% (0/111), respectively</w:t>
      </w:r>
      <w:r w:rsidR="0044425A">
        <w:rPr>
          <w:rFonts w:ascii="Book Antiqua" w:eastAsia="Book Antiqua" w:hAnsi="Book Antiqua" w:cs="Book Antiqua"/>
          <w:color w:val="000000"/>
        </w:rPr>
        <w:t>;</w:t>
      </w:r>
      <w:r w:rsidRPr="00B10C5F">
        <w:rPr>
          <w:rFonts w:ascii="Book Antiqua" w:eastAsia="Book Antiqua" w:hAnsi="Book Antiqua" w:cs="Book Antiqua"/>
          <w:color w:val="000000"/>
        </w:rPr>
        <w:t xml:space="preserve"> the mean postoperative hospital stay was 7.4 ± 3.6 d. For large CBD patients, the median common bile duct diameter </w:t>
      </w:r>
      <w:r w:rsidR="0044425A">
        <w:rPr>
          <w:rFonts w:ascii="Book Antiqua" w:eastAsia="Book Antiqua" w:hAnsi="Book Antiqua" w:cs="Book Antiqua"/>
          <w:color w:val="000000"/>
        </w:rPr>
        <w:t>wa</w:t>
      </w:r>
      <w:r w:rsidRPr="00B10C5F">
        <w:rPr>
          <w:rFonts w:ascii="Book Antiqua" w:eastAsia="Book Antiqua" w:hAnsi="Book Antiqua" w:cs="Book Antiqua"/>
          <w:color w:val="000000"/>
        </w:rPr>
        <w:t>s 1.0</w:t>
      </w:r>
      <w:r w:rsidR="007166B3"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cm (0.3-3.0</w:t>
      </w:r>
      <w:r w:rsidR="009F50D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cm), the mean operating time was 115.7 ± 32.0 min, </w:t>
      </w:r>
      <w:r w:rsidR="0044425A">
        <w:rPr>
          <w:rFonts w:ascii="Book Antiqua" w:eastAsia="Book Antiqua" w:hAnsi="Book Antiqua" w:cs="Book Antiqua"/>
          <w:color w:val="000000"/>
        </w:rPr>
        <w:t xml:space="preserve">and </w:t>
      </w:r>
      <w:r w:rsidRPr="00B10C5F">
        <w:rPr>
          <w:rFonts w:ascii="Book Antiqua" w:eastAsia="Book Antiqua" w:hAnsi="Book Antiqua" w:cs="Book Antiqua"/>
          <w:color w:val="000000"/>
        </w:rPr>
        <w:t>the postoperative bile leak rate, rate of residual CBDS, CBDS recurrence rate</w:t>
      </w:r>
      <w:r w:rsidR="0044425A">
        <w:rPr>
          <w:rFonts w:ascii="Book Antiqua" w:eastAsia="Book Antiqua" w:hAnsi="Book Antiqua" w:cs="Book Antiqua"/>
          <w:color w:val="000000"/>
        </w:rPr>
        <w:t>,</w:t>
      </w:r>
      <w:r w:rsidRPr="00B10C5F">
        <w:rPr>
          <w:rFonts w:ascii="Book Antiqua" w:eastAsia="Book Antiqua" w:hAnsi="Book Antiqua" w:cs="Book Antiqua"/>
          <w:color w:val="000000"/>
        </w:rPr>
        <w:t xml:space="preserve"> and CBD stenosis rate were 5.41% (9/146), 1.37% (2/146), 6.85% (10/146), and 0% (0/146), respectively</w:t>
      </w:r>
      <w:r w:rsidR="0044425A">
        <w:rPr>
          <w:rFonts w:ascii="Book Antiqua" w:eastAsia="Book Antiqua" w:hAnsi="Book Antiqua" w:cs="Book Antiqua"/>
          <w:color w:val="000000"/>
        </w:rPr>
        <w:t>;</w:t>
      </w:r>
      <w:r w:rsidRPr="00B10C5F">
        <w:rPr>
          <w:rFonts w:ascii="Book Antiqua" w:eastAsia="Book Antiqua" w:hAnsi="Book Antiqua" w:cs="Book Antiqua"/>
          <w:color w:val="000000"/>
        </w:rPr>
        <w:t xml:space="preserve"> the mean postoperative hospital stay was 7.7 ± 2.7 d. After propensity score matching, 184 patients remained, and all preoperative covariates except diameter of CBD stones were balanced. Postoperative bile leak occurred in 11 patients overall (5.98%), and no difference was found between the small CBD group (4.35%, 4/92) and</w:t>
      </w:r>
      <w:r w:rsidR="0044425A">
        <w:rPr>
          <w:rFonts w:ascii="Book Antiqua" w:eastAsia="Book Antiqua" w:hAnsi="Book Antiqua" w:cs="Book Antiqua"/>
          <w:color w:val="000000"/>
        </w:rPr>
        <w:t xml:space="preserve"> the</w:t>
      </w:r>
      <w:r w:rsidRPr="00B10C5F">
        <w:rPr>
          <w:rFonts w:ascii="Book Antiqua" w:eastAsia="Book Antiqua" w:hAnsi="Book Antiqua" w:cs="Book Antiqua"/>
          <w:color w:val="000000"/>
        </w:rPr>
        <w:t xml:space="preserve"> large CBD group (7.61%, 7/92). The incidence of CBDS recurrence did not differ significantly between the small CBD group (2.17%, 2/92) and the large CBD group (6.52%, 6/92).</w:t>
      </w:r>
    </w:p>
    <w:p w14:paraId="7235AE75" w14:textId="77777777" w:rsidR="00A77B3E" w:rsidRPr="00B10C5F" w:rsidRDefault="00A77B3E" w:rsidP="00B10C5F">
      <w:pPr>
        <w:adjustRightInd w:val="0"/>
        <w:snapToGrid w:val="0"/>
        <w:spacing w:line="360" w:lineRule="auto"/>
        <w:jc w:val="both"/>
        <w:rPr>
          <w:rFonts w:ascii="Book Antiqua" w:hAnsi="Book Antiqua"/>
        </w:rPr>
      </w:pPr>
    </w:p>
    <w:p w14:paraId="1072B172"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CONCLUSION</w:t>
      </w:r>
    </w:p>
    <w:p w14:paraId="1B0E2E78" w14:textId="5A0BAD2E"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LC + LCBDE is safe and feasible for choledocholithiasis patients with small CBD and did not increase the postoperative bile leak rate compared with choledocholithiasis patients with large CBD.</w:t>
      </w:r>
    </w:p>
    <w:p w14:paraId="0A197316" w14:textId="77777777" w:rsidR="00A77B3E" w:rsidRPr="00B10C5F" w:rsidRDefault="00A77B3E" w:rsidP="00B10C5F">
      <w:pPr>
        <w:adjustRightInd w:val="0"/>
        <w:snapToGrid w:val="0"/>
        <w:spacing w:line="360" w:lineRule="auto"/>
        <w:jc w:val="both"/>
        <w:rPr>
          <w:rFonts w:ascii="Book Antiqua" w:hAnsi="Book Antiqua"/>
        </w:rPr>
      </w:pPr>
    </w:p>
    <w:p w14:paraId="0D60BD08"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Key Words: </w:t>
      </w:r>
      <w:r w:rsidRPr="00B10C5F">
        <w:rPr>
          <w:rFonts w:ascii="Book Antiqua" w:eastAsia="Book Antiqua" w:hAnsi="Book Antiqua" w:cs="Book Antiqua"/>
          <w:color w:val="000000"/>
        </w:rPr>
        <w:t xml:space="preserve">Common bile duct stones; Laparoscopic common bile duct exploration; Endoscopic sphincterotomy; Bile leak; Choledochal stenosis; </w:t>
      </w:r>
      <w:bookmarkStart w:id="5" w:name="OLE_LINK5"/>
      <w:bookmarkStart w:id="6" w:name="OLE_LINK6"/>
      <w:r w:rsidRPr="00B10C5F">
        <w:rPr>
          <w:rFonts w:ascii="Book Antiqua" w:eastAsia="Book Antiqua" w:hAnsi="Book Antiqua" w:cs="Book Antiqua"/>
          <w:color w:val="000000"/>
        </w:rPr>
        <w:t>Recurrence</w:t>
      </w:r>
    </w:p>
    <w:p w14:paraId="0F2BEBAB" w14:textId="77777777" w:rsidR="00DF3E13" w:rsidRDefault="00DF3E13" w:rsidP="00DF3E13">
      <w:pPr>
        <w:spacing w:line="360" w:lineRule="auto"/>
        <w:jc w:val="both"/>
        <w:rPr>
          <w:lang w:eastAsia="zh-CN"/>
        </w:rPr>
      </w:pPr>
      <w:bookmarkStart w:id="7" w:name="OLE_LINK18"/>
      <w:bookmarkStart w:id="8" w:name="OLE_LINK19"/>
      <w:bookmarkEnd w:id="5"/>
      <w:bookmarkEnd w:id="6"/>
    </w:p>
    <w:p w14:paraId="22FCB67F" w14:textId="77777777" w:rsidR="00DF3E13" w:rsidRDefault="00DF3E13" w:rsidP="00DF3E1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3F1E287" w14:textId="77777777" w:rsidR="00DF3E13" w:rsidRDefault="00DF3E13" w:rsidP="00DF3E13">
      <w:pPr>
        <w:spacing w:line="360" w:lineRule="auto"/>
        <w:jc w:val="both"/>
        <w:rPr>
          <w:lang w:eastAsia="zh-CN"/>
        </w:rPr>
      </w:pPr>
    </w:p>
    <w:p w14:paraId="340A04C2" w14:textId="78E626AC" w:rsidR="00F76B1C" w:rsidRDefault="00DF3E13" w:rsidP="00F76B1C">
      <w:pPr>
        <w:adjustRightInd w:val="0"/>
        <w:snapToGrid w:val="0"/>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lastRenderedPageBreak/>
        <w:t>Citation:</w:t>
      </w:r>
      <w:r>
        <w:rPr>
          <w:rFonts w:ascii="Book Antiqua" w:hAnsi="Book Antiqua" w:cs="Book Antiqua"/>
          <w:color w:val="000000"/>
          <w:lang w:eastAsia="zh-CN"/>
        </w:rPr>
        <w:t xml:space="preserve"> </w:t>
      </w:r>
      <w:r w:rsidR="008E015A" w:rsidRPr="00B10C5F">
        <w:rPr>
          <w:rFonts w:ascii="Book Antiqua" w:eastAsia="Book Antiqua" w:hAnsi="Book Antiqua" w:cs="Book Antiqua"/>
          <w:color w:val="000000"/>
        </w:rPr>
        <w:t xml:space="preserve">Huang XX, Wu JY, Bai YN, Wu JY, </w:t>
      </w:r>
      <w:proofErr w:type="spellStart"/>
      <w:r w:rsidR="008E015A" w:rsidRPr="00B10C5F">
        <w:rPr>
          <w:rFonts w:ascii="Book Antiqua" w:eastAsia="Book Antiqua" w:hAnsi="Book Antiqua" w:cs="Book Antiqua"/>
          <w:color w:val="000000"/>
        </w:rPr>
        <w:t>Lv</w:t>
      </w:r>
      <w:proofErr w:type="spellEnd"/>
      <w:r w:rsidR="008E015A" w:rsidRPr="00B10C5F">
        <w:rPr>
          <w:rFonts w:ascii="Book Antiqua" w:eastAsia="Book Antiqua" w:hAnsi="Book Antiqua" w:cs="Book Antiqua"/>
          <w:color w:val="000000"/>
        </w:rPr>
        <w:t xml:space="preserve"> JH, Chen WZ, Huang LM, Huang RF, Yan ML. Outcomes of laparoscopic bile duct exploration for choledocholithiasis with small common bile duct. </w:t>
      </w:r>
      <w:r w:rsidR="008E015A" w:rsidRPr="00B10C5F">
        <w:rPr>
          <w:rFonts w:ascii="Book Antiqua" w:eastAsia="Book Antiqua" w:hAnsi="Book Antiqua" w:cs="Book Antiqua"/>
          <w:i/>
          <w:iCs/>
          <w:color w:val="000000"/>
        </w:rPr>
        <w:t>World J Clin Cases</w:t>
      </w:r>
      <w:r w:rsidR="008E015A" w:rsidRPr="00B10C5F">
        <w:rPr>
          <w:rFonts w:ascii="Book Antiqua" w:eastAsia="Book Antiqua" w:hAnsi="Book Antiqua" w:cs="Book Antiqua"/>
          <w:color w:val="000000"/>
        </w:rPr>
        <w:t xml:space="preserve"> 2021; </w:t>
      </w:r>
      <w:r w:rsidR="00F76B1C">
        <w:rPr>
          <w:rFonts w:ascii="Book Antiqua" w:hAnsi="Book Antiqua" w:cs="Book Antiqua"/>
          <w:color w:val="000000"/>
          <w:lang w:eastAsia="zh-CN"/>
        </w:rPr>
        <w:t>9</w:t>
      </w:r>
      <w:r w:rsidR="00F76B1C">
        <w:rPr>
          <w:rFonts w:ascii="Book Antiqua" w:eastAsia="Book Antiqua" w:hAnsi="Book Antiqua" w:cs="Book Antiqua"/>
          <w:color w:val="000000"/>
        </w:rPr>
        <w:t>(</w:t>
      </w:r>
      <w:r w:rsidR="00F76B1C">
        <w:rPr>
          <w:rFonts w:ascii="Book Antiqua" w:hAnsi="Book Antiqua" w:cs="Book Antiqua"/>
          <w:color w:val="000000"/>
          <w:lang w:eastAsia="zh-CN"/>
        </w:rPr>
        <w:t>8</w:t>
      </w:r>
      <w:r w:rsidR="00F76B1C">
        <w:rPr>
          <w:rFonts w:ascii="Book Antiqua" w:eastAsia="Book Antiqua" w:hAnsi="Book Antiqua" w:cs="Book Antiqua"/>
          <w:color w:val="000000"/>
        </w:rPr>
        <w:t xml:space="preserve">): </w:t>
      </w:r>
      <w:r w:rsidR="00F76B1C">
        <w:rPr>
          <w:rFonts w:ascii="Book Antiqua" w:hAnsi="Book Antiqua"/>
          <w:sz w:val="22"/>
          <w:szCs w:val="22"/>
        </w:rPr>
        <w:t>1803-1813</w:t>
      </w:r>
    </w:p>
    <w:p w14:paraId="6F27155B" w14:textId="30D75B81" w:rsidR="00F76B1C" w:rsidRDefault="00F76B1C" w:rsidP="00F76B1C">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URL: https://www.wjgnet.com/2307-8960/full/v</w:t>
      </w:r>
      <w:r>
        <w:rPr>
          <w:rFonts w:ascii="Book Antiqua" w:hAnsi="Book Antiqua" w:cs="Book Antiqua"/>
          <w:color w:val="000000"/>
          <w:lang w:eastAsia="zh-CN"/>
        </w:rPr>
        <w:t>9</w:t>
      </w:r>
      <w:r>
        <w:rPr>
          <w:rFonts w:ascii="Book Antiqua" w:eastAsia="Book Antiqua" w:hAnsi="Book Antiqua" w:cs="Book Antiqua"/>
          <w:color w:val="000000"/>
        </w:rPr>
        <w:t>/i</w:t>
      </w:r>
      <w:r>
        <w:rPr>
          <w:rFonts w:ascii="Book Antiqua" w:hAnsi="Book Antiqua" w:cs="Book Antiqua"/>
          <w:color w:val="000000"/>
          <w:lang w:eastAsia="zh-CN"/>
        </w:rPr>
        <w:t>8</w:t>
      </w:r>
      <w:r>
        <w:rPr>
          <w:rFonts w:ascii="Book Antiqua" w:eastAsia="Book Antiqua" w:hAnsi="Book Antiqua" w:cs="Book Antiqua"/>
          <w:color w:val="000000"/>
        </w:rPr>
        <w:t>/</w:t>
      </w:r>
      <w:r>
        <w:rPr>
          <w:rFonts w:ascii="Book Antiqua" w:eastAsia="Book Antiqua" w:hAnsi="Book Antiqua" w:cs="Book Antiqua"/>
          <w:color w:val="000000"/>
        </w:rPr>
        <w:t>1803</w:t>
      </w:r>
      <w:r>
        <w:rPr>
          <w:rFonts w:ascii="Book Antiqua" w:eastAsia="Book Antiqua" w:hAnsi="Book Antiqua" w:cs="Book Antiqua"/>
          <w:color w:val="000000"/>
        </w:rPr>
        <w:t xml:space="preserve">.htm  </w:t>
      </w:r>
    </w:p>
    <w:p w14:paraId="0C6EFCFA" w14:textId="22FE8F42" w:rsidR="00F76B1C" w:rsidRDefault="00F76B1C" w:rsidP="00F76B1C">
      <w:pPr>
        <w:adjustRightInd w:val="0"/>
        <w:snapToGrid w:val="0"/>
        <w:spacing w:line="360" w:lineRule="auto"/>
        <w:jc w:val="both"/>
        <w:rPr>
          <w:rFonts w:ascii="Book Antiqua" w:hAnsi="Book Antiqua"/>
        </w:rPr>
      </w:pPr>
      <w:r>
        <w:rPr>
          <w:rFonts w:ascii="Book Antiqua" w:eastAsia="Book Antiqua" w:hAnsi="Book Antiqua" w:cs="Book Antiqua"/>
          <w:color w:val="000000"/>
        </w:rPr>
        <w:t>DOI: https://dx.doi.org/10.12998/wjcc.v</w:t>
      </w:r>
      <w:r>
        <w:rPr>
          <w:rFonts w:ascii="Book Antiqua" w:hAnsi="Book Antiqua" w:cs="Book Antiqua"/>
          <w:color w:val="000000"/>
          <w:lang w:eastAsia="zh-CN"/>
        </w:rPr>
        <w:t>9</w:t>
      </w:r>
      <w:r>
        <w:rPr>
          <w:rFonts w:ascii="Book Antiqua" w:eastAsia="Book Antiqua" w:hAnsi="Book Antiqua" w:cs="Book Antiqua"/>
          <w:color w:val="000000"/>
        </w:rPr>
        <w:t>.i</w:t>
      </w:r>
      <w:r>
        <w:rPr>
          <w:rFonts w:ascii="Book Antiqua" w:hAnsi="Book Antiqua" w:cs="Book Antiqua"/>
          <w:color w:val="000000"/>
          <w:lang w:eastAsia="zh-CN"/>
        </w:rPr>
        <w:t>8</w:t>
      </w:r>
      <w:r>
        <w:rPr>
          <w:rFonts w:ascii="Book Antiqua" w:eastAsia="Book Antiqua" w:hAnsi="Book Antiqua" w:cs="Book Antiqua"/>
          <w:color w:val="000000"/>
        </w:rPr>
        <w:t>.</w:t>
      </w:r>
      <w:r>
        <w:rPr>
          <w:rFonts w:ascii="Book Antiqua" w:eastAsia="Book Antiqua" w:hAnsi="Book Antiqua" w:cs="Book Antiqua"/>
          <w:color w:val="000000"/>
        </w:rPr>
        <w:t>1803</w:t>
      </w:r>
    </w:p>
    <w:p w14:paraId="6E36DADE" w14:textId="18EBC5BC" w:rsidR="00A77B3E" w:rsidRPr="00B10C5F" w:rsidRDefault="00A77B3E" w:rsidP="00DF3E13">
      <w:pPr>
        <w:adjustRightInd w:val="0"/>
        <w:snapToGrid w:val="0"/>
        <w:spacing w:line="360" w:lineRule="auto"/>
        <w:jc w:val="both"/>
        <w:rPr>
          <w:rFonts w:ascii="Book Antiqua" w:hAnsi="Book Antiqua"/>
        </w:rPr>
      </w:pPr>
    </w:p>
    <w:bookmarkEnd w:id="7"/>
    <w:bookmarkEnd w:id="8"/>
    <w:p w14:paraId="49776265" w14:textId="77777777" w:rsidR="00A77B3E" w:rsidRPr="00B10C5F" w:rsidRDefault="00A77B3E" w:rsidP="00B10C5F">
      <w:pPr>
        <w:adjustRightInd w:val="0"/>
        <w:snapToGrid w:val="0"/>
        <w:spacing w:line="360" w:lineRule="auto"/>
        <w:jc w:val="both"/>
        <w:rPr>
          <w:rFonts w:ascii="Book Antiqua" w:hAnsi="Book Antiqua"/>
        </w:rPr>
      </w:pPr>
    </w:p>
    <w:p w14:paraId="04069E54" w14:textId="0CFF9AC6"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Core Tip: </w:t>
      </w:r>
      <w:bookmarkStart w:id="9" w:name="OLE_LINK16"/>
      <w:bookmarkStart w:id="10" w:name="OLE_LINK17"/>
      <w:bookmarkStart w:id="11" w:name="OLE_LINK20"/>
      <w:r w:rsidRPr="00B10C5F">
        <w:rPr>
          <w:rFonts w:ascii="Book Antiqua" w:eastAsia="Book Antiqua" w:hAnsi="Book Antiqua" w:cs="Book Antiqua"/>
          <w:color w:val="000000"/>
        </w:rPr>
        <w:t xml:space="preserve">Previous studies on </w:t>
      </w:r>
      <w:r w:rsidR="007166B3" w:rsidRPr="00B10C5F">
        <w:rPr>
          <w:rFonts w:ascii="Book Antiqua" w:eastAsia="Book Antiqua" w:hAnsi="Book Antiqua" w:cs="Book Antiqua"/>
          <w:color w:val="000000"/>
        </w:rPr>
        <w:t xml:space="preserve">laparoscopic common bile duct </w:t>
      </w:r>
      <w:r w:rsidR="00977660">
        <w:rPr>
          <w:rFonts w:ascii="Book Antiqua" w:eastAsia="Book Antiqua" w:hAnsi="Book Antiqua" w:cs="Book Antiqua"/>
          <w:color w:val="000000"/>
        </w:rPr>
        <w:t xml:space="preserve">(CBD) </w:t>
      </w:r>
      <w:r w:rsidR="007166B3" w:rsidRPr="00B10C5F">
        <w:rPr>
          <w:rFonts w:ascii="Book Antiqua" w:eastAsia="Book Antiqua" w:hAnsi="Book Antiqua" w:cs="Book Antiqua"/>
          <w:color w:val="000000"/>
        </w:rPr>
        <w:t>exploration (</w:t>
      </w:r>
      <w:r w:rsidRPr="00B10C5F">
        <w:rPr>
          <w:rFonts w:ascii="Book Antiqua" w:eastAsia="Book Antiqua" w:hAnsi="Book Antiqua" w:cs="Book Antiqua"/>
          <w:color w:val="000000"/>
        </w:rPr>
        <w:t>LCBDE</w:t>
      </w:r>
      <w:r w:rsidR="007166B3"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 in choledocholithiasis with small diameter have been limited. Although some studies have suggested that small </w:t>
      </w:r>
      <w:r w:rsidR="00977660">
        <w:rPr>
          <w:rFonts w:ascii="Book Antiqua" w:eastAsia="Book Antiqua" w:hAnsi="Book Antiqua" w:cs="Book Antiqua"/>
          <w:color w:val="000000"/>
        </w:rPr>
        <w:t>CBD</w:t>
      </w:r>
      <w:r w:rsidR="007166B3" w:rsidRPr="00B10C5F">
        <w:rPr>
          <w:rFonts w:ascii="Book Antiqua" w:eastAsia="Book Antiqua" w:hAnsi="Book Antiqua" w:cs="Book Antiqua"/>
          <w:color w:val="000000"/>
        </w:rPr>
        <w:t xml:space="preserve"> stone </w:t>
      </w:r>
      <w:r w:rsidRPr="00B10C5F">
        <w:rPr>
          <w:rFonts w:ascii="Book Antiqua" w:eastAsia="Book Antiqua" w:hAnsi="Book Antiqua" w:cs="Book Antiqua"/>
          <w:color w:val="000000"/>
        </w:rPr>
        <w:t xml:space="preserve">may be a significant risk factor for postoperative bile leak after LCBDE, the sample size of small CBD choledocholithiasis in these studies was relatively small. </w:t>
      </w:r>
      <w:r w:rsidR="0068247A">
        <w:rPr>
          <w:rFonts w:ascii="Book Antiqua" w:eastAsia="Book Antiqua" w:hAnsi="Book Antiqua" w:cs="Book Antiqua"/>
          <w:color w:val="000000"/>
        </w:rPr>
        <w:t>The goal of o</w:t>
      </w:r>
      <w:r w:rsidRPr="00B10C5F">
        <w:rPr>
          <w:rFonts w:ascii="Book Antiqua" w:eastAsia="Book Antiqua" w:hAnsi="Book Antiqua" w:cs="Book Antiqua"/>
          <w:color w:val="000000"/>
        </w:rPr>
        <w:t xml:space="preserve">ur study was to emphasize the safety and feasibility of LCBDE for choledocholithiasis with small CBD through large-sample analysis. The results showed that LCBDE for choledocholithiasis with small-diameter without acute cholangitis did not increase the postoperative biliary leak rate and the recurrence rate of </w:t>
      </w:r>
      <w:r w:rsidR="00977660">
        <w:rPr>
          <w:rFonts w:ascii="Book Antiqua" w:eastAsia="Book Antiqua" w:hAnsi="Book Antiqua" w:cs="Book Antiqua"/>
          <w:color w:val="000000"/>
        </w:rPr>
        <w:t>CBD</w:t>
      </w:r>
      <w:r w:rsidR="00720AF0" w:rsidRPr="00B10C5F">
        <w:rPr>
          <w:rFonts w:ascii="Book Antiqua" w:eastAsia="Book Antiqua" w:hAnsi="Book Antiqua" w:cs="Book Antiqua"/>
          <w:color w:val="000000"/>
        </w:rPr>
        <w:t xml:space="preserve"> stones</w:t>
      </w:r>
      <w:r w:rsidRPr="00B10C5F">
        <w:rPr>
          <w:rFonts w:ascii="Book Antiqua" w:eastAsia="Book Antiqua" w:hAnsi="Book Antiqua" w:cs="Book Antiqua"/>
          <w:color w:val="000000"/>
        </w:rPr>
        <w:t>.</w:t>
      </w:r>
    </w:p>
    <w:bookmarkEnd w:id="9"/>
    <w:bookmarkEnd w:id="10"/>
    <w:bookmarkEnd w:id="11"/>
    <w:p w14:paraId="20362A49" w14:textId="0D21FAB2" w:rsidR="00A77B3E" w:rsidRPr="00B10C5F" w:rsidRDefault="007166B3" w:rsidP="00B10C5F">
      <w:pPr>
        <w:adjustRightInd w:val="0"/>
        <w:snapToGrid w:val="0"/>
        <w:spacing w:line="360" w:lineRule="auto"/>
        <w:jc w:val="both"/>
        <w:rPr>
          <w:rFonts w:ascii="Book Antiqua" w:hAnsi="Book Antiqua"/>
        </w:rPr>
      </w:pPr>
      <w:r w:rsidRPr="00B10C5F">
        <w:rPr>
          <w:rFonts w:ascii="Book Antiqua" w:hAnsi="Book Antiqua"/>
        </w:rPr>
        <w:br w:type="page"/>
      </w:r>
      <w:r w:rsidR="008E015A" w:rsidRPr="00B10C5F">
        <w:rPr>
          <w:rFonts w:ascii="Book Antiqua" w:eastAsia="Book Antiqua" w:hAnsi="Book Antiqua" w:cs="Book Antiqua"/>
          <w:b/>
          <w:caps/>
          <w:color w:val="000000"/>
          <w:u w:val="single"/>
        </w:rPr>
        <w:lastRenderedPageBreak/>
        <w:t>INTRODUCTION</w:t>
      </w:r>
    </w:p>
    <w:p w14:paraId="59010158" w14:textId="1D47A569" w:rsidR="00A77B3E" w:rsidRPr="00B10C5F" w:rsidRDefault="008E015A" w:rsidP="00B10C5F">
      <w:pPr>
        <w:adjustRightInd w:val="0"/>
        <w:snapToGrid w:val="0"/>
        <w:spacing w:line="360" w:lineRule="auto"/>
        <w:jc w:val="both"/>
        <w:rPr>
          <w:rFonts w:ascii="Book Antiqua" w:hAnsi="Book Antiqua"/>
        </w:rPr>
      </w:pPr>
      <w:bookmarkStart w:id="12" w:name="OLE_LINK31"/>
      <w:bookmarkStart w:id="13" w:name="OLE_LINK32"/>
      <w:r w:rsidRPr="00B10C5F">
        <w:rPr>
          <w:rFonts w:ascii="Book Antiqua" w:eastAsia="Book Antiqua" w:hAnsi="Book Antiqua" w:cs="Book Antiqua"/>
          <w:color w:val="000000"/>
        </w:rPr>
        <w:t xml:space="preserve">Common bile duct </w:t>
      </w:r>
      <w:r w:rsidR="00977660">
        <w:rPr>
          <w:rFonts w:ascii="Book Antiqua" w:eastAsia="Book Antiqua" w:hAnsi="Book Antiqua" w:cs="Book Antiqua"/>
          <w:color w:val="000000"/>
        </w:rPr>
        <w:t xml:space="preserve">(CBD) </w:t>
      </w:r>
      <w:r w:rsidRPr="00B10C5F">
        <w:rPr>
          <w:rFonts w:ascii="Book Antiqua" w:eastAsia="Book Antiqua" w:hAnsi="Book Antiqua" w:cs="Book Antiqua"/>
          <w:color w:val="000000"/>
        </w:rPr>
        <w:t xml:space="preserve">stones (CBDS) </w:t>
      </w:r>
      <w:proofErr w:type="gramStart"/>
      <w:r w:rsidRPr="00B10C5F">
        <w:rPr>
          <w:rFonts w:ascii="Book Antiqua" w:eastAsia="Book Antiqua" w:hAnsi="Book Antiqua" w:cs="Book Antiqua"/>
          <w:color w:val="000000"/>
        </w:rPr>
        <w:t>is</w:t>
      </w:r>
      <w:proofErr w:type="gramEnd"/>
      <w:r w:rsidRPr="00B10C5F">
        <w:rPr>
          <w:rFonts w:ascii="Book Antiqua" w:eastAsia="Book Antiqua" w:hAnsi="Book Antiqua" w:cs="Book Antiqua"/>
          <w:color w:val="000000"/>
        </w:rPr>
        <w:t xml:space="preserve"> a common condition of the biliary tree</w:t>
      </w:r>
      <w:r w:rsidR="0068247A">
        <w:rPr>
          <w:rFonts w:ascii="Book Antiqua" w:eastAsia="Book Antiqua" w:hAnsi="Book Antiqua" w:cs="Book Antiqua"/>
          <w:color w:val="000000"/>
        </w:rPr>
        <w:t xml:space="preserve"> that</w:t>
      </w:r>
      <w:r w:rsidRPr="00B10C5F">
        <w:rPr>
          <w:rFonts w:ascii="Book Antiqua" w:eastAsia="Book Antiqua" w:hAnsi="Book Antiqua" w:cs="Book Antiqua"/>
          <w:color w:val="000000"/>
        </w:rPr>
        <w:t xml:space="preserve"> can cause serious complications such as cholangitis, pancreatitis</w:t>
      </w:r>
      <w:r w:rsidR="0068247A">
        <w:rPr>
          <w:rFonts w:ascii="Book Antiqua" w:eastAsia="Book Antiqua" w:hAnsi="Book Antiqua" w:cs="Book Antiqua"/>
          <w:color w:val="000000"/>
        </w:rPr>
        <w:t>,</w:t>
      </w:r>
      <w:r w:rsidRPr="00B10C5F">
        <w:rPr>
          <w:rFonts w:ascii="Book Antiqua" w:eastAsia="Book Antiqua" w:hAnsi="Book Antiqua" w:cs="Book Antiqua"/>
          <w:color w:val="000000"/>
        </w:rPr>
        <w:t xml:space="preserve"> and liver abscess. CBDS always requires surgical intervention, which primarily includes open choledochotomy, perioperative endoscopic sphincterotomy (EST), and laparoscopic </w:t>
      </w:r>
      <w:r w:rsidR="00977660">
        <w:rPr>
          <w:rFonts w:ascii="Book Antiqua" w:eastAsia="Book Antiqua" w:hAnsi="Book Antiqua" w:cs="Book Antiqua"/>
          <w:color w:val="000000"/>
        </w:rPr>
        <w:t>CBD</w:t>
      </w:r>
      <w:r w:rsidRPr="00B10C5F">
        <w:rPr>
          <w:rFonts w:ascii="Book Antiqua" w:eastAsia="Book Antiqua" w:hAnsi="Book Antiqua" w:cs="Book Antiqua"/>
          <w:color w:val="000000"/>
        </w:rPr>
        <w:t xml:space="preserve"> exploration (LCBDE</w:t>
      </w:r>
      <w:proofErr w:type="gramStart"/>
      <w:r w:rsidRPr="00B10C5F">
        <w:rPr>
          <w:rFonts w:ascii="Book Antiqua" w:eastAsia="Book Antiqua" w:hAnsi="Book Antiqua" w:cs="Book Antiqua"/>
          <w:color w:val="000000"/>
        </w:rPr>
        <w:t>)</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1</w:t>
      </w:r>
      <w:r w:rsidR="007166B3"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2]</w:t>
      </w:r>
      <w:r w:rsidRPr="00B10C5F">
        <w:rPr>
          <w:rFonts w:ascii="Book Antiqua" w:eastAsia="Book Antiqua" w:hAnsi="Book Antiqua" w:cs="Book Antiqua"/>
          <w:color w:val="000000"/>
        </w:rPr>
        <w:t xml:space="preserve">. Many studies have shown that conventional </w:t>
      </w:r>
      <w:r w:rsidR="007166B3" w:rsidRPr="00B10C5F">
        <w:rPr>
          <w:rFonts w:ascii="Book Antiqua" w:eastAsia="Book Antiqua" w:hAnsi="Book Antiqua" w:cs="Book Antiqua"/>
          <w:color w:val="000000"/>
        </w:rPr>
        <w:t>open choledochotomy</w:t>
      </w:r>
      <w:r w:rsidRPr="00B10C5F">
        <w:rPr>
          <w:rFonts w:ascii="Book Antiqua" w:eastAsia="Book Antiqua" w:hAnsi="Book Antiqua" w:cs="Book Antiqua"/>
          <w:color w:val="000000"/>
        </w:rPr>
        <w:t xml:space="preserve"> therapy for choledocholithiasis may lead to a wide range of adverse events and a long recovery </w:t>
      </w:r>
      <w:proofErr w:type="gramStart"/>
      <w:r w:rsidRPr="00B10C5F">
        <w:rPr>
          <w:rFonts w:ascii="Book Antiqua" w:eastAsia="Book Antiqua" w:hAnsi="Book Antiqua" w:cs="Book Antiqua"/>
          <w:color w:val="000000"/>
        </w:rPr>
        <w:t>time</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3</w:t>
      </w:r>
      <w:r w:rsidR="007166B3"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4]</w:t>
      </w:r>
      <w:r w:rsidRPr="00B10C5F">
        <w:rPr>
          <w:rFonts w:ascii="Book Antiqua" w:eastAsia="Book Antiqua" w:hAnsi="Book Antiqua" w:cs="Book Antiqua"/>
          <w:color w:val="000000"/>
        </w:rPr>
        <w:t xml:space="preserve">. With the development of endoscopic technology, EST combined with laparoscopic cholecystectomy (LC) has been widely used as a less invasive treatment for choledocholithiasis. However, the sphincter of Oddi’s destroyed by sphincterotomy may result in refluxing of duodenal juice, which may in turn lead to recurrence of CBDS, recurrent episodes of cholangitis, and even biliary </w:t>
      </w:r>
      <w:proofErr w:type="gramStart"/>
      <w:r w:rsidRPr="00B10C5F">
        <w:rPr>
          <w:rFonts w:ascii="Book Antiqua" w:eastAsia="Book Antiqua" w:hAnsi="Book Antiqua" w:cs="Book Antiqua"/>
          <w:color w:val="000000"/>
        </w:rPr>
        <w:t>malignancies</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5</w:t>
      </w:r>
      <w:r w:rsidR="007166B3"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7]</w:t>
      </w:r>
      <w:r w:rsidRPr="00B10C5F">
        <w:rPr>
          <w:rFonts w:ascii="Book Antiqua" w:eastAsia="Book Antiqua" w:hAnsi="Book Antiqua" w:cs="Book Antiqua"/>
          <w:color w:val="000000"/>
        </w:rPr>
        <w:t xml:space="preserve">. Ding </w:t>
      </w:r>
      <w:r w:rsidRPr="00B10C5F">
        <w:rPr>
          <w:rFonts w:ascii="Book Antiqua" w:eastAsia="Book Antiqua" w:hAnsi="Book Antiqua" w:cs="Book Antiqua"/>
          <w:i/>
          <w:iCs/>
          <w:color w:val="000000"/>
        </w:rPr>
        <w:t xml:space="preserve">et </w:t>
      </w:r>
      <w:proofErr w:type="gramStart"/>
      <w:r w:rsidRPr="00B10C5F">
        <w:rPr>
          <w:rFonts w:ascii="Book Antiqua" w:eastAsia="Book Antiqua" w:hAnsi="Book Antiqua" w:cs="Book Antiqua"/>
          <w:i/>
          <w:iCs/>
          <w:color w:val="000000"/>
        </w:rPr>
        <w:t>al</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8]</w:t>
      </w:r>
      <w:r w:rsidRPr="00B10C5F">
        <w:rPr>
          <w:rFonts w:ascii="Book Antiqua" w:eastAsia="Book Antiqua" w:hAnsi="Book Antiqua" w:cs="Book Antiqua"/>
          <w:color w:val="000000"/>
        </w:rPr>
        <w:t xml:space="preserve"> confirmed that compared with LCBDE, EST</w:t>
      </w:r>
      <w:r w:rsidR="009F50D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w:t>
      </w:r>
      <w:r w:rsidR="009F50D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LC has a higher recurrence rate of CBDS. In addition, EST is also associated with a series of complications such as pancreatitis, bleeding, perforation</w:t>
      </w:r>
      <w:r w:rsidR="0068247A">
        <w:rPr>
          <w:rFonts w:ascii="Book Antiqua" w:eastAsia="Book Antiqua" w:hAnsi="Book Antiqua" w:cs="Book Antiqua"/>
          <w:color w:val="000000"/>
        </w:rPr>
        <w:t>,</w:t>
      </w:r>
      <w:r w:rsidRPr="00B10C5F">
        <w:rPr>
          <w:rFonts w:ascii="Book Antiqua" w:eastAsia="Book Antiqua" w:hAnsi="Book Antiqua" w:cs="Book Antiqua"/>
          <w:color w:val="000000"/>
        </w:rPr>
        <w:t xml:space="preserve"> and even </w:t>
      </w:r>
      <w:proofErr w:type="gramStart"/>
      <w:r w:rsidRPr="00B10C5F">
        <w:rPr>
          <w:rFonts w:ascii="Book Antiqua" w:eastAsia="Book Antiqua" w:hAnsi="Book Antiqua" w:cs="Book Antiqua"/>
          <w:color w:val="000000"/>
        </w:rPr>
        <w:t>death</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9</w:t>
      </w:r>
      <w:r w:rsidR="007166B3"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10]</w:t>
      </w:r>
      <w:r w:rsidRPr="00B10C5F">
        <w:rPr>
          <w:rFonts w:ascii="Book Antiqua" w:eastAsia="Book Antiqua" w:hAnsi="Book Antiqua" w:cs="Book Antiqua"/>
          <w:color w:val="000000"/>
        </w:rPr>
        <w:t>. Recently, many studies have confirmed that LCBDE is a safe and cost effective option for CBDS, but these studies mainly focus</w:t>
      </w:r>
      <w:r w:rsidR="0068247A">
        <w:rPr>
          <w:rFonts w:ascii="Book Antiqua" w:eastAsia="Book Antiqua" w:hAnsi="Book Antiqua" w:cs="Book Antiqua"/>
          <w:color w:val="000000"/>
        </w:rPr>
        <w:t>ed</w:t>
      </w:r>
      <w:r w:rsidRPr="00B10C5F">
        <w:rPr>
          <w:rFonts w:ascii="Book Antiqua" w:eastAsia="Book Antiqua" w:hAnsi="Book Antiqua" w:cs="Book Antiqua"/>
          <w:color w:val="000000"/>
        </w:rPr>
        <w:t xml:space="preserve"> on the cases whose CBD </w:t>
      </w:r>
      <w:r w:rsidR="0068247A">
        <w:rPr>
          <w:rFonts w:ascii="Book Antiqua" w:eastAsia="Book Antiqua" w:hAnsi="Book Antiqua" w:cs="Book Antiqua"/>
          <w:color w:val="000000"/>
        </w:rPr>
        <w:t>wa</w:t>
      </w:r>
      <w:r w:rsidRPr="00B10C5F">
        <w:rPr>
          <w:rFonts w:ascii="Book Antiqua" w:eastAsia="Book Antiqua" w:hAnsi="Book Antiqua" w:cs="Book Antiqua"/>
          <w:color w:val="000000"/>
        </w:rPr>
        <w:t xml:space="preserve">s larger than 1.0 </w:t>
      </w:r>
      <w:proofErr w:type="gramStart"/>
      <w:r w:rsidRPr="00B10C5F">
        <w:rPr>
          <w:rFonts w:ascii="Book Antiqua" w:eastAsia="Book Antiqua" w:hAnsi="Book Antiqua" w:cs="Book Antiqua"/>
          <w:color w:val="000000"/>
        </w:rPr>
        <w:t>cm</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11</w:t>
      </w:r>
      <w:r w:rsidR="007166B3"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13]</w:t>
      </w:r>
      <w:r w:rsidRPr="00B10C5F">
        <w:rPr>
          <w:rFonts w:ascii="Book Antiqua" w:eastAsia="Book Antiqua" w:hAnsi="Book Antiqua" w:cs="Book Antiqua"/>
          <w:color w:val="000000"/>
        </w:rPr>
        <w:t xml:space="preserve">. However, whether it is feasible or safe to undergo LCBDE for those with small CBD (CBD diameter ≤ 8 mm) still remains controversial, </w:t>
      </w:r>
      <w:r w:rsidR="0068247A">
        <w:rPr>
          <w:rFonts w:ascii="Book Antiqua" w:eastAsia="Book Antiqua" w:hAnsi="Book Antiqua" w:cs="Book Antiqua"/>
          <w:color w:val="000000"/>
        </w:rPr>
        <w:t xml:space="preserve">and </w:t>
      </w:r>
      <w:r w:rsidRPr="00B10C5F">
        <w:rPr>
          <w:rFonts w:ascii="Book Antiqua" w:eastAsia="Book Antiqua" w:hAnsi="Book Antiqua" w:cs="Book Antiqua"/>
          <w:color w:val="000000"/>
        </w:rPr>
        <w:t xml:space="preserve">few studies have reported to support the feasibility and safety of LCBDE for choledocholithiasis with small </w:t>
      </w:r>
      <w:proofErr w:type="gramStart"/>
      <w:r w:rsidRPr="00B10C5F">
        <w:rPr>
          <w:rFonts w:ascii="Book Antiqua" w:eastAsia="Book Antiqua" w:hAnsi="Book Antiqua" w:cs="Book Antiqua"/>
          <w:color w:val="000000"/>
        </w:rPr>
        <w:t>CBD</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14</w:t>
      </w:r>
      <w:r w:rsidR="009F50D0"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15]</w:t>
      </w:r>
      <w:r w:rsidRPr="00B10C5F">
        <w:rPr>
          <w:rFonts w:ascii="Book Antiqua" w:eastAsia="Book Antiqua" w:hAnsi="Book Antiqua" w:cs="Book Antiqua"/>
          <w:color w:val="000000"/>
        </w:rPr>
        <w:t xml:space="preserve">. In this retrospective study, </w:t>
      </w:r>
      <w:r w:rsidR="0068247A">
        <w:rPr>
          <w:rFonts w:ascii="Book Antiqua" w:eastAsia="Book Antiqua" w:hAnsi="Book Antiqua" w:cs="Book Antiqua"/>
          <w:color w:val="000000"/>
        </w:rPr>
        <w:t>we</w:t>
      </w:r>
      <w:r w:rsidRPr="00B10C5F">
        <w:rPr>
          <w:rFonts w:ascii="Book Antiqua" w:eastAsia="Book Antiqua" w:hAnsi="Book Antiqua" w:cs="Book Antiqua"/>
          <w:color w:val="000000"/>
        </w:rPr>
        <w:t xml:space="preserve"> investigate</w:t>
      </w:r>
      <w:r w:rsidR="0068247A">
        <w:rPr>
          <w:rFonts w:ascii="Book Antiqua" w:eastAsia="Book Antiqua" w:hAnsi="Book Antiqua" w:cs="Book Antiqua"/>
          <w:color w:val="000000"/>
        </w:rPr>
        <w:t>d</w:t>
      </w:r>
      <w:r w:rsidRPr="00B10C5F">
        <w:rPr>
          <w:rFonts w:ascii="Book Antiqua" w:eastAsia="Book Antiqua" w:hAnsi="Book Antiqua" w:cs="Book Antiqua"/>
          <w:color w:val="000000"/>
        </w:rPr>
        <w:t xml:space="preserve"> the feasibility and safety of LCBDE for choledocholithiasis with small CBD.</w:t>
      </w:r>
    </w:p>
    <w:bookmarkEnd w:id="12"/>
    <w:bookmarkEnd w:id="13"/>
    <w:p w14:paraId="169D6A1C" w14:textId="77777777" w:rsidR="00A77B3E" w:rsidRPr="00B10C5F" w:rsidRDefault="00A77B3E" w:rsidP="00B10C5F">
      <w:pPr>
        <w:adjustRightInd w:val="0"/>
        <w:snapToGrid w:val="0"/>
        <w:spacing w:line="360" w:lineRule="auto"/>
        <w:jc w:val="both"/>
        <w:rPr>
          <w:rFonts w:ascii="Book Antiqua" w:hAnsi="Book Antiqua"/>
        </w:rPr>
      </w:pPr>
    </w:p>
    <w:p w14:paraId="2FFC5F2F"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aps/>
          <w:color w:val="000000"/>
          <w:u w:val="single"/>
        </w:rPr>
        <w:t>MATERIALS AND METHODS</w:t>
      </w:r>
    </w:p>
    <w:p w14:paraId="7FDC4B96" w14:textId="77777777" w:rsidR="00A77B3E" w:rsidRPr="00B10C5F" w:rsidRDefault="008E015A" w:rsidP="00B10C5F">
      <w:pPr>
        <w:adjustRightInd w:val="0"/>
        <w:snapToGrid w:val="0"/>
        <w:spacing w:line="360" w:lineRule="auto"/>
        <w:jc w:val="both"/>
        <w:rPr>
          <w:rFonts w:ascii="Book Antiqua" w:hAnsi="Book Antiqua"/>
          <w:i/>
          <w:iCs/>
        </w:rPr>
      </w:pPr>
      <w:bookmarkStart w:id="14" w:name="OLE_LINK29"/>
      <w:bookmarkStart w:id="15" w:name="OLE_LINK30"/>
      <w:r w:rsidRPr="00B10C5F">
        <w:rPr>
          <w:rFonts w:ascii="Book Antiqua" w:eastAsia="Book Antiqua" w:hAnsi="Book Antiqua" w:cs="Book Antiqua"/>
          <w:b/>
          <w:bCs/>
          <w:i/>
          <w:iCs/>
          <w:color w:val="000000"/>
        </w:rPr>
        <w:t>Patients</w:t>
      </w:r>
    </w:p>
    <w:p w14:paraId="414CBE91" w14:textId="3DC4F4E9" w:rsidR="00A77B3E" w:rsidRPr="00B10C5F" w:rsidRDefault="008E015A" w:rsidP="00B10C5F">
      <w:pPr>
        <w:adjustRightInd w:val="0"/>
        <w:snapToGrid w:val="0"/>
        <w:spacing w:line="360" w:lineRule="auto"/>
        <w:jc w:val="both"/>
        <w:rPr>
          <w:rFonts w:ascii="Book Antiqua" w:eastAsia="Book Antiqua" w:hAnsi="Book Antiqua" w:cs="Book Antiqua"/>
          <w:color w:val="000000"/>
        </w:rPr>
      </w:pPr>
      <w:r w:rsidRPr="00B10C5F">
        <w:rPr>
          <w:rFonts w:ascii="Book Antiqua" w:eastAsia="Book Antiqua" w:hAnsi="Book Antiqua" w:cs="Book Antiqua"/>
          <w:color w:val="000000"/>
        </w:rPr>
        <w:t xml:space="preserve">This was a retrospective study for 257 consecutive patients admitted to the Hepatobiliary and Pancreatic Surgery Department of Fujian Provincial Hospital who underwent LCBDE with primary CBD closure for choledocholithiasis during </w:t>
      </w:r>
      <w:r w:rsidRPr="00B10C5F">
        <w:rPr>
          <w:rFonts w:ascii="Book Antiqua" w:eastAsia="Book Antiqua" w:hAnsi="Book Antiqua" w:cs="Book Antiqua"/>
          <w:color w:val="000000"/>
        </w:rPr>
        <w:lastRenderedPageBreak/>
        <w:t xml:space="preserve">the 6-year period from January 2013 to December 2018. Preoperative </w:t>
      </w:r>
      <w:r w:rsidR="007166B3" w:rsidRPr="00B10C5F">
        <w:rPr>
          <w:rFonts w:ascii="Book Antiqua" w:eastAsia="Book Antiqua" w:hAnsi="Book Antiqua" w:cs="Book Antiqua"/>
          <w:color w:val="000000"/>
        </w:rPr>
        <w:t>computed tomography (</w:t>
      </w:r>
      <w:r w:rsidRPr="00B10C5F">
        <w:rPr>
          <w:rFonts w:ascii="Book Antiqua" w:eastAsia="Book Antiqua" w:hAnsi="Book Antiqua" w:cs="Book Antiqua"/>
          <w:color w:val="000000"/>
        </w:rPr>
        <w:t>CT</w:t>
      </w:r>
      <w:r w:rsidR="007166B3"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 or </w:t>
      </w:r>
      <w:r w:rsidR="007166B3" w:rsidRPr="00B10C5F">
        <w:rPr>
          <w:rFonts w:ascii="Book Antiqua" w:eastAsia="Book Antiqua" w:hAnsi="Book Antiqua" w:cs="Book Antiqua"/>
          <w:color w:val="000000"/>
        </w:rPr>
        <w:t>magnetic resonance cholangiopancreatography (</w:t>
      </w:r>
      <w:r w:rsidRPr="00B10C5F">
        <w:rPr>
          <w:rFonts w:ascii="Book Antiqua" w:eastAsia="Book Antiqua" w:hAnsi="Book Antiqua" w:cs="Book Antiqua"/>
          <w:color w:val="000000"/>
        </w:rPr>
        <w:t>MRCP</w:t>
      </w:r>
      <w:r w:rsidR="007166B3"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 examination was performed for all the patients to measure the most dilated part of the </w:t>
      </w:r>
      <w:proofErr w:type="spellStart"/>
      <w:r w:rsidRPr="00B10C5F">
        <w:rPr>
          <w:rFonts w:ascii="Book Antiqua" w:eastAsia="Book Antiqua" w:hAnsi="Book Antiqua" w:cs="Book Antiqua"/>
          <w:color w:val="000000"/>
        </w:rPr>
        <w:t>supraduodenal</w:t>
      </w:r>
      <w:proofErr w:type="spellEnd"/>
      <w:r w:rsidRPr="00B10C5F">
        <w:rPr>
          <w:rFonts w:ascii="Book Antiqua" w:eastAsia="Book Antiqua" w:hAnsi="Book Antiqua" w:cs="Book Antiqua"/>
          <w:color w:val="000000"/>
        </w:rPr>
        <w:t xml:space="preserve"> common bile duct. </w:t>
      </w:r>
      <w:r w:rsidR="0068247A">
        <w:rPr>
          <w:rFonts w:ascii="Book Antiqua" w:eastAsia="Book Antiqua" w:hAnsi="Book Antiqua" w:cs="Book Antiqua"/>
          <w:color w:val="000000"/>
        </w:rPr>
        <w:t>Based on</w:t>
      </w:r>
      <w:r w:rsidRPr="00B10C5F">
        <w:rPr>
          <w:rFonts w:ascii="Book Antiqua" w:eastAsia="Book Antiqua" w:hAnsi="Book Antiqua" w:cs="Book Antiqua"/>
          <w:color w:val="000000"/>
        </w:rPr>
        <w:t xml:space="preserve"> whether the diameter of CBD was larger than 8 mm, 257 patients were divided into large CBD group (</w:t>
      </w:r>
      <w:r w:rsidRPr="00B10C5F">
        <w:rPr>
          <w:rFonts w:ascii="Book Antiqua" w:eastAsia="Book Antiqua" w:hAnsi="Book Antiqua" w:cs="Book Antiqua"/>
          <w:i/>
          <w:iCs/>
          <w:color w:val="000000"/>
        </w:rPr>
        <w:t>n</w:t>
      </w:r>
      <w:r w:rsidRPr="00B10C5F">
        <w:rPr>
          <w:rFonts w:ascii="Book Antiqua" w:eastAsia="Book Antiqua" w:hAnsi="Book Antiqua" w:cs="Book Antiqua"/>
          <w:color w:val="000000"/>
        </w:rPr>
        <w:t xml:space="preserve"> = 146) and small CBD group (</w:t>
      </w:r>
      <w:r w:rsidRPr="00B10C5F">
        <w:rPr>
          <w:rFonts w:ascii="Book Antiqua" w:eastAsia="Book Antiqua" w:hAnsi="Book Antiqua" w:cs="Book Antiqua"/>
          <w:i/>
          <w:iCs/>
          <w:color w:val="000000"/>
        </w:rPr>
        <w:t>n</w:t>
      </w:r>
      <w:r w:rsidRPr="00B10C5F">
        <w:rPr>
          <w:rFonts w:ascii="Book Antiqua" w:eastAsia="Book Antiqua" w:hAnsi="Book Antiqua" w:cs="Book Antiqua"/>
          <w:color w:val="000000"/>
        </w:rPr>
        <w:t xml:space="preserve"> = 111). All surgeries were performed by experienced chief physicians. This study was approved by the institutional review board of the Fujian Provincial Hospital. All patients were given written or verbal informed consent prior to study inclusion.</w:t>
      </w:r>
    </w:p>
    <w:p w14:paraId="2554A1E6" w14:textId="77777777" w:rsidR="00720AF0" w:rsidRPr="00B10C5F" w:rsidRDefault="00720AF0" w:rsidP="00B10C5F">
      <w:pPr>
        <w:adjustRightInd w:val="0"/>
        <w:snapToGrid w:val="0"/>
        <w:spacing w:line="360" w:lineRule="auto"/>
        <w:jc w:val="both"/>
        <w:rPr>
          <w:rFonts w:ascii="Book Antiqua" w:hAnsi="Book Antiqua"/>
        </w:rPr>
      </w:pPr>
    </w:p>
    <w:p w14:paraId="45D9A686" w14:textId="036530BC" w:rsidR="00A77B3E" w:rsidRPr="00B10C5F" w:rsidRDefault="008E015A" w:rsidP="00B10C5F">
      <w:pPr>
        <w:adjustRightInd w:val="0"/>
        <w:snapToGrid w:val="0"/>
        <w:spacing w:line="360" w:lineRule="auto"/>
        <w:jc w:val="both"/>
        <w:rPr>
          <w:rFonts w:ascii="Book Antiqua" w:eastAsia="Book Antiqua" w:hAnsi="Book Antiqua" w:cs="Book Antiqua"/>
          <w:color w:val="000000"/>
        </w:rPr>
      </w:pPr>
      <w:r w:rsidRPr="00B10C5F">
        <w:rPr>
          <w:rFonts w:ascii="Book Antiqua" w:eastAsia="Book Antiqua" w:hAnsi="Book Antiqua" w:cs="Book Antiqua"/>
          <w:b/>
          <w:bCs/>
          <w:color w:val="000000"/>
        </w:rPr>
        <w:t>Inclusion criteria included:</w:t>
      </w:r>
      <w:r w:rsidRPr="00B10C5F">
        <w:rPr>
          <w:rFonts w:ascii="Book Antiqua" w:eastAsia="Book Antiqua" w:hAnsi="Book Antiqua" w:cs="Book Antiqua"/>
          <w:color w:val="000000"/>
        </w:rPr>
        <w:t xml:space="preserve"> (1) Patients were diagnosed with cholecystolithiasis complicated with choledocholithiasis by</w:t>
      </w:r>
      <w:r w:rsidR="007166B3"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CT or MRCP, and no intrahepatic bile duct stones were found</w:t>
      </w:r>
      <w:r w:rsidR="00545A60"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 (2) Patients without obstructive jaundice, and serum bilirubin level was &lt; 2 mg/dL</w:t>
      </w:r>
      <w:r w:rsidR="00545A60"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 (3) Child-Pugh A or B</w:t>
      </w:r>
      <w:r w:rsidR="00545A60"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 </w:t>
      </w:r>
      <w:r w:rsidR="007E4434" w:rsidRPr="00B10C5F">
        <w:rPr>
          <w:rFonts w:ascii="Book Antiqua" w:eastAsia="Book Antiqua" w:hAnsi="Book Antiqua" w:cs="Book Antiqua"/>
          <w:color w:val="000000"/>
        </w:rPr>
        <w:t xml:space="preserve">and </w:t>
      </w:r>
      <w:r w:rsidRPr="00B10C5F">
        <w:rPr>
          <w:rFonts w:ascii="Book Antiqua" w:eastAsia="Book Antiqua" w:hAnsi="Book Antiqua" w:cs="Book Antiqua"/>
          <w:color w:val="000000"/>
        </w:rPr>
        <w:t xml:space="preserve">(4) Cardiopulmonary </w:t>
      </w:r>
      <w:r w:rsidR="008133DE">
        <w:rPr>
          <w:rFonts w:ascii="Book Antiqua" w:eastAsia="Book Antiqua" w:hAnsi="Book Antiqua" w:cs="Book Antiqua"/>
          <w:color w:val="000000"/>
        </w:rPr>
        <w:t xml:space="preserve">system </w:t>
      </w:r>
      <w:r w:rsidRPr="00B10C5F">
        <w:rPr>
          <w:rFonts w:ascii="Book Antiqua" w:eastAsia="Book Antiqua" w:hAnsi="Book Antiqua" w:cs="Book Antiqua"/>
          <w:color w:val="000000"/>
        </w:rPr>
        <w:t xml:space="preserve">and other important organs functioned normally and were able to </w:t>
      </w:r>
      <w:r w:rsidR="008133DE">
        <w:rPr>
          <w:rFonts w:ascii="Book Antiqua" w:eastAsia="Book Antiqua" w:hAnsi="Book Antiqua" w:cs="Book Antiqua"/>
          <w:color w:val="000000"/>
        </w:rPr>
        <w:t>withstand</w:t>
      </w:r>
      <w:r w:rsidRPr="00B10C5F">
        <w:rPr>
          <w:rFonts w:ascii="Book Antiqua" w:eastAsia="Book Antiqua" w:hAnsi="Book Antiqua" w:cs="Book Antiqua"/>
          <w:color w:val="000000"/>
        </w:rPr>
        <w:t xml:space="preserve"> surgical treatment. </w:t>
      </w:r>
    </w:p>
    <w:p w14:paraId="3AD3A961" w14:textId="77777777" w:rsidR="00720AF0" w:rsidRPr="00B10C5F" w:rsidRDefault="00720AF0" w:rsidP="00B10C5F">
      <w:pPr>
        <w:adjustRightInd w:val="0"/>
        <w:snapToGrid w:val="0"/>
        <w:spacing w:line="360" w:lineRule="auto"/>
        <w:jc w:val="both"/>
        <w:rPr>
          <w:rFonts w:ascii="Book Antiqua" w:hAnsi="Book Antiqua"/>
        </w:rPr>
      </w:pPr>
    </w:p>
    <w:p w14:paraId="3CC53601" w14:textId="5C0B58FD"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Exclusion criteria included:</w:t>
      </w:r>
      <w:r w:rsidRPr="00B10C5F">
        <w:rPr>
          <w:rFonts w:ascii="Book Antiqua" w:eastAsia="Book Antiqua" w:hAnsi="Book Antiqua" w:cs="Book Antiqua"/>
          <w:color w:val="000000"/>
        </w:rPr>
        <w:t xml:space="preserve"> (1) Previous EST or biliary surgery</w:t>
      </w:r>
      <w:r w:rsidR="00545A60"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 (2) Patients with acute cholecystitis, cholangitis</w:t>
      </w:r>
      <w:r w:rsidR="008133DE">
        <w:rPr>
          <w:rFonts w:ascii="Book Antiqua" w:eastAsia="Book Antiqua" w:hAnsi="Book Antiqua" w:cs="Book Antiqua"/>
          <w:color w:val="000000"/>
        </w:rPr>
        <w:t>,</w:t>
      </w:r>
      <w:r w:rsidRPr="00B10C5F">
        <w:rPr>
          <w:rFonts w:ascii="Book Antiqua" w:eastAsia="Book Antiqua" w:hAnsi="Book Antiqua" w:cs="Book Antiqua"/>
          <w:color w:val="000000"/>
        </w:rPr>
        <w:t xml:space="preserve"> or pancreatitis</w:t>
      </w:r>
      <w:r w:rsidR="00545A60"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 (3) Patients with choledochal stenosis or Oddi sphincter dysfunction requir</w:t>
      </w:r>
      <w:r w:rsidR="008133DE">
        <w:rPr>
          <w:rFonts w:ascii="Book Antiqua" w:eastAsia="Book Antiqua" w:hAnsi="Book Antiqua" w:cs="Book Antiqua"/>
          <w:color w:val="000000"/>
        </w:rPr>
        <w:t>ing</w:t>
      </w:r>
      <w:r w:rsidRPr="00B10C5F">
        <w:rPr>
          <w:rFonts w:ascii="Book Antiqua" w:eastAsia="Book Antiqua" w:hAnsi="Book Antiqua" w:cs="Book Antiqua"/>
          <w:color w:val="000000"/>
        </w:rPr>
        <w:t xml:space="preserve"> </w:t>
      </w:r>
      <w:proofErr w:type="spellStart"/>
      <w:r w:rsidRPr="00B10C5F">
        <w:rPr>
          <w:rFonts w:ascii="Book Antiqua" w:eastAsia="Book Antiqua" w:hAnsi="Book Antiqua" w:cs="Book Antiqua"/>
          <w:color w:val="000000"/>
        </w:rPr>
        <w:t>choledochojejunostomy</w:t>
      </w:r>
      <w:proofErr w:type="spellEnd"/>
      <w:r w:rsidR="00545A60"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 </w:t>
      </w:r>
      <w:r w:rsidR="007E4434" w:rsidRPr="00B10C5F">
        <w:rPr>
          <w:rFonts w:ascii="Book Antiqua" w:eastAsia="Book Antiqua" w:hAnsi="Book Antiqua" w:cs="Book Antiqua"/>
          <w:color w:val="000000"/>
        </w:rPr>
        <w:t xml:space="preserve">and </w:t>
      </w:r>
      <w:r w:rsidRPr="00B10C5F">
        <w:rPr>
          <w:rFonts w:ascii="Book Antiqua" w:eastAsia="Book Antiqua" w:hAnsi="Book Antiqua" w:cs="Book Antiqua"/>
          <w:color w:val="000000"/>
        </w:rPr>
        <w:t xml:space="preserve">(4) Patients </w:t>
      </w:r>
      <w:r w:rsidR="00EA3B1C">
        <w:rPr>
          <w:rFonts w:ascii="Book Antiqua" w:eastAsia="Book Antiqua" w:hAnsi="Book Antiqua" w:cs="Book Antiqua"/>
          <w:color w:val="000000"/>
        </w:rPr>
        <w:t xml:space="preserve">who </w:t>
      </w:r>
      <w:r w:rsidRPr="00B10C5F">
        <w:rPr>
          <w:rFonts w:ascii="Book Antiqua" w:eastAsia="Book Antiqua" w:hAnsi="Book Antiqua" w:cs="Book Antiqua"/>
          <w:color w:val="000000"/>
        </w:rPr>
        <w:t>underwent T-tube drainage during the surgery.</w:t>
      </w:r>
    </w:p>
    <w:p w14:paraId="74B593B6" w14:textId="77777777" w:rsidR="00A77B3E" w:rsidRPr="00B10C5F" w:rsidRDefault="00A77B3E" w:rsidP="00B10C5F">
      <w:pPr>
        <w:adjustRightInd w:val="0"/>
        <w:snapToGrid w:val="0"/>
        <w:spacing w:line="360" w:lineRule="auto"/>
        <w:jc w:val="both"/>
        <w:rPr>
          <w:rFonts w:ascii="Book Antiqua" w:hAnsi="Book Antiqua"/>
        </w:rPr>
      </w:pPr>
    </w:p>
    <w:p w14:paraId="74F094AA" w14:textId="0FFCD531" w:rsidR="00A77B3E" w:rsidRPr="00B10C5F" w:rsidRDefault="008E015A" w:rsidP="00B10C5F">
      <w:pPr>
        <w:adjustRightInd w:val="0"/>
        <w:snapToGrid w:val="0"/>
        <w:spacing w:line="360" w:lineRule="auto"/>
        <w:jc w:val="both"/>
        <w:rPr>
          <w:rFonts w:ascii="Book Antiqua" w:hAnsi="Book Antiqua"/>
          <w:i/>
          <w:iCs/>
        </w:rPr>
      </w:pPr>
      <w:r w:rsidRPr="00B10C5F">
        <w:rPr>
          <w:rFonts w:ascii="Book Antiqua" w:eastAsia="Book Antiqua" w:hAnsi="Book Antiqua" w:cs="Book Antiqua"/>
          <w:b/>
          <w:bCs/>
          <w:i/>
          <w:iCs/>
          <w:color w:val="000000"/>
        </w:rPr>
        <w:t>Patient data collection</w:t>
      </w:r>
    </w:p>
    <w:p w14:paraId="4C843F29" w14:textId="3A61C0B2"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Medical records were retrospectively reviewed in respect to age, gender, underlying disease, liver function tests, CT or MRCP, operating time, intraoperative blood loss, whether converted to laparotomy, the postoperative hospital stay, postoperative complications, stone clearance rate, stone recurrence, and choledochal stenosis. Postoperative complications were defined as those that occurred within the first 30 d</w:t>
      </w:r>
      <w:r w:rsidR="009F50D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after surgery. Bile leak was defined as bilirubin </w:t>
      </w:r>
      <w:r w:rsidRPr="00B10C5F">
        <w:rPr>
          <w:rFonts w:ascii="Book Antiqua" w:eastAsia="Book Antiqua" w:hAnsi="Book Antiqua" w:cs="Book Antiqua"/>
          <w:color w:val="000000"/>
        </w:rPr>
        <w:lastRenderedPageBreak/>
        <w:t xml:space="preserve">concentration in the drain fluid at least </w:t>
      </w:r>
      <w:r w:rsidR="00EA3B1C">
        <w:rPr>
          <w:rFonts w:ascii="Book Antiqua" w:eastAsia="Book Antiqua" w:hAnsi="Book Antiqua" w:cs="Book Antiqua"/>
          <w:color w:val="000000"/>
        </w:rPr>
        <w:t>three</w:t>
      </w:r>
      <w:r w:rsidRPr="00B10C5F">
        <w:rPr>
          <w:rFonts w:ascii="Book Antiqua" w:eastAsia="Book Antiqua" w:hAnsi="Book Antiqua" w:cs="Book Antiqua"/>
          <w:color w:val="000000"/>
        </w:rPr>
        <w:t xml:space="preserve"> times the serum bilirubin concentration on or after postoperative day 3 or as the need for radiologic or operative intervention resulting from biliary collections or bile </w:t>
      </w:r>
      <w:proofErr w:type="gramStart"/>
      <w:r w:rsidRPr="00B10C5F">
        <w:rPr>
          <w:rFonts w:ascii="Book Antiqua" w:eastAsia="Book Antiqua" w:hAnsi="Book Antiqua" w:cs="Book Antiqua"/>
          <w:color w:val="000000"/>
        </w:rPr>
        <w:t>peritonitis</w:t>
      </w:r>
      <w:r w:rsidRPr="00B10C5F">
        <w:rPr>
          <w:rFonts w:ascii="Book Antiqua" w:eastAsia="Book Antiqua" w:hAnsi="Book Antiqua" w:cs="Book Antiqua"/>
          <w:color w:val="000000"/>
          <w:shd w:val="clear" w:color="auto" w:fill="FFFFFF"/>
          <w:vertAlign w:val="superscript"/>
        </w:rPr>
        <w:t>[</w:t>
      </w:r>
      <w:proofErr w:type="gramEnd"/>
      <w:r w:rsidRPr="00B10C5F">
        <w:rPr>
          <w:rFonts w:ascii="Book Antiqua" w:eastAsia="Book Antiqua" w:hAnsi="Book Antiqua" w:cs="Book Antiqua"/>
          <w:color w:val="000000"/>
          <w:shd w:val="clear" w:color="auto" w:fill="FFFFFF"/>
          <w:vertAlign w:val="superscript"/>
        </w:rPr>
        <w:t>16]</w:t>
      </w:r>
      <w:r w:rsidRPr="00B10C5F">
        <w:rPr>
          <w:rFonts w:ascii="Book Antiqua" w:eastAsia="Book Antiqua" w:hAnsi="Book Antiqua" w:cs="Book Antiqua"/>
          <w:color w:val="000000"/>
          <w:shd w:val="clear" w:color="auto" w:fill="FFFFFF"/>
        </w:rPr>
        <w:t>.</w:t>
      </w:r>
    </w:p>
    <w:p w14:paraId="0877D60C" w14:textId="77777777" w:rsidR="00A77B3E" w:rsidRPr="00B10C5F" w:rsidRDefault="00A77B3E" w:rsidP="00B10C5F">
      <w:pPr>
        <w:adjustRightInd w:val="0"/>
        <w:snapToGrid w:val="0"/>
        <w:spacing w:line="360" w:lineRule="auto"/>
        <w:jc w:val="both"/>
        <w:rPr>
          <w:rFonts w:ascii="Book Antiqua" w:hAnsi="Book Antiqua"/>
        </w:rPr>
      </w:pPr>
    </w:p>
    <w:p w14:paraId="785B4F24" w14:textId="77777777" w:rsidR="00A77B3E" w:rsidRPr="00B10C5F" w:rsidRDefault="008E015A" w:rsidP="00B10C5F">
      <w:pPr>
        <w:adjustRightInd w:val="0"/>
        <w:snapToGrid w:val="0"/>
        <w:spacing w:line="360" w:lineRule="auto"/>
        <w:jc w:val="both"/>
        <w:rPr>
          <w:rFonts w:ascii="Book Antiqua" w:hAnsi="Book Antiqua"/>
          <w:i/>
          <w:iCs/>
        </w:rPr>
      </w:pPr>
      <w:r w:rsidRPr="00B10C5F">
        <w:rPr>
          <w:rFonts w:ascii="Book Antiqua" w:eastAsia="Book Antiqua" w:hAnsi="Book Antiqua" w:cs="Book Antiqua"/>
          <w:b/>
          <w:bCs/>
          <w:i/>
          <w:iCs/>
          <w:color w:val="000000"/>
        </w:rPr>
        <w:t>Surgical procedure</w:t>
      </w:r>
    </w:p>
    <w:p w14:paraId="61F80E8A" w14:textId="16950369"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All procedures were performed by highly experienced laparoscopic biliary surgeons. Surgery was performed using a 4-trocars laparoscopic technique under general anesthesia. A 10-mm observation port was placed below the umbilical region, and a 12</w:t>
      </w:r>
      <w:r w:rsidR="009F50D0" w:rsidRPr="00B10C5F">
        <w:rPr>
          <w:rFonts w:ascii="Book Antiqua" w:eastAsia="Book Antiqua" w:hAnsi="Book Antiqua" w:cs="Book Antiqua"/>
          <w:color w:val="000000"/>
        </w:rPr>
        <w:t>-</w:t>
      </w:r>
      <w:r w:rsidRPr="00B10C5F">
        <w:rPr>
          <w:rFonts w:ascii="Book Antiqua" w:eastAsia="Book Antiqua" w:hAnsi="Book Antiqua" w:cs="Book Antiqua"/>
          <w:color w:val="000000"/>
        </w:rPr>
        <w:t>mm main operating port was placed below the xiphoid process while two 5-mm operating ports were placed below the costal margin of the right midline clavicle and the costal margin of the right axillary front, respectively. Firstly, the gallbladder triangle was dissected, and the cystic artery and the cystic duct were clipped with Hem-o-lock, respectively, and then dislocated. The gallbladder was then dissociated and removed. A longitudinal incision of approximately 8</w:t>
      </w:r>
      <w:r w:rsidR="00545A60"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10 mm was cut along the anterior wall of the CBD. The flexible </w:t>
      </w:r>
      <w:proofErr w:type="spellStart"/>
      <w:r w:rsidRPr="00B10C5F">
        <w:rPr>
          <w:rFonts w:ascii="Book Antiqua" w:eastAsia="Book Antiqua" w:hAnsi="Book Antiqua" w:cs="Book Antiqua"/>
          <w:color w:val="000000"/>
        </w:rPr>
        <w:t>choledochoscope</w:t>
      </w:r>
      <w:proofErr w:type="spellEnd"/>
      <w:r w:rsidRPr="00B10C5F">
        <w:rPr>
          <w:rFonts w:ascii="Book Antiqua" w:eastAsia="Book Antiqua" w:hAnsi="Book Antiqua" w:cs="Book Antiqua"/>
          <w:color w:val="000000"/>
        </w:rPr>
        <w:t xml:space="preserve"> (Olympus</w:t>
      </w:r>
      <w:r w:rsidR="00EA3B1C">
        <w:rPr>
          <w:rFonts w:ascii="Book Antiqua" w:eastAsia="Book Antiqua" w:hAnsi="Book Antiqua" w:cs="Book Antiqua"/>
          <w:color w:val="000000"/>
        </w:rPr>
        <w:t>, Tokyo, Japan</w:t>
      </w:r>
      <w:r w:rsidRPr="00B10C5F">
        <w:rPr>
          <w:rFonts w:ascii="Book Antiqua" w:eastAsia="Book Antiqua" w:hAnsi="Book Antiqua" w:cs="Book Antiqua"/>
          <w:color w:val="000000"/>
        </w:rPr>
        <w:t>) was inserted into CBD to explore the biliary tree including intrahepatic bile ducts and the distal CBD to confirm the number, size</w:t>
      </w:r>
      <w:r w:rsidR="00EA3B1C">
        <w:rPr>
          <w:rFonts w:ascii="Book Antiqua" w:eastAsia="Book Antiqua" w:hAnsi="Book Antiqua" w:cs="Book Antiqua"/>
          <w:color w:val="000000"/>
        </w:rPr>
        <w:t>,</w:t>
      </w:r>
      <w:r w:rsidRPr="00B10C5F">
        <w:rPr>
          <w:rFonts w:ascii="Book Antiqua" w:eastAsia="Book Antiqua" w:hAnsi="Book Antiqua" w:cs="Book Antiqua"/>
          <w:color w:val="000000"/>
        </w:rPr>
        <w:t xml:space="preserve"> and location of bile duct stones. The CBDS were extracted by a stone extractor (Olympus). For big stones, holmium laser lithotripsy was performed first to crush the stones, which were then extracted by a basket. After removing stones, </w:t>
      </w:r>
      <w:proofErr w:type="spellStart"/>
      <w:r w:rsidRPr="00B10C5F">
        <w:rPr>
          <w:rFonts w:ascii="Book Antiqua" w:eastAsia="Book Antiqua" w:hAnsi="Book Antiqua" w:cs="Book Antiqua"/>
          <w:color w:val="000000"/>
        </w:rPr>
        <w:t>choledochoscope</w:t>
      </w:r>
      <w:proofErr w:type="spellEnd"/>
      <w:r w:rsidRPr="00B10C5F">
        <w:rPr>
          <w:rFonts w:ascii="Book Antiqua" w:eastAsia="Book Antiqua" w:hAnsi="Book Antiqua" w:cs="Book Antiqua"/>
          <w:color w:val="000000"/>
        </w:rPr>
        <w:t xml:space="preserve"> was performed again to confirm the complete clearance of the stones. Finally, the incision in the anterior wall of the CBD was continuous</w:t>
      </w:r>
      <w:r w:rsidR="00EA3B1C">
        <w:rPr>
          <w:rFonts w:ascii="Book Antiqua" w:eastAsia="Book Antiqua" w:hAnsi="Book Antiqua" w:cs="Book Antiqua"/>
          <w:color w:val="000000"/>
        </w:rPr>
        <w:t>ly</w:t>
      </w:r>
      <w:r w:rsidRPr="00B10C5F">
        <w:rPr>
          <w:rFonts w:ascii="Book Antiqua" w:eastAsia="Book Antiqua" w:hAnsi="Book Antiqua" w:cs="Book Antiqua"/>
          <w:color w:val="000000"/>
        </w:rPr>
        <w:t xml:space="preserve"> sutured with 4-0 or 5-0 polydioxanone monofilament absorbable suture.</w:t>
      </w:r>
    </w:p>
    <w:p w14:paraId="0452A4B8" w14:textId="77777777" w:rsidR="00A77B3E" w:rsidRPr="00B10C5F" w:rsidRDefault="00A77B3E" w:rsidP="00B10C5F">
      <w:pPr>
        <w:adjustRightInd w:val="0"/>
        <w:snapToGrid w:val="0"/>
        <w:spacing w:line="360" w:lineRule="auto"/>
        <w:jc w:val="both"/>
        <w:rPr>
          <w:rFonts w:ascii="Book Antiqua" w:hAnsi="Book Antiqua"/>
        </w:rPr>
      </w:pPr>
    </w:p>
    <w:p w14:paraId="7185DF7D" w14:textId="77777777" w:rsidR="00A77B3E" w:rsidRPr="00B10C5F" w:rsidRDefault="008E015A" w:rsidP="00B10C5F">
      <w:pPr>
        <w:adjustRightInd w:val="0"/>
        <w:snapToGrid w:val="0"/>
        <w:spacing w:line="360" w:lineRule="auto"/>
        <w:jc w:val="both"/>
        <w:rPr>
          <w:rFonts w:ascii="Book Antiqua" w:hAnsi="Book Antiqua"/>
          <w:i/>
          <w:iCs/>
        </w:rPr>
      </w:pPr>
      <w:r w:rsidRPr="00B10C5F">
        <w:rPr>
          <w:rFonts w:ascii="Book Antiqua" w:eastAsia="Book Antiqua" w:hAnsi="Book Antiqua" w:cs="Book Antiqua"/>
          <w:b/>
          <w:bCs/>
          <w:i/>
          <w:iCs/>
          <w:color w:val="000000"/>
        </w:rPr>
        <w:t>Follow-up</w:t>
      </w:r>
    </w:p>
    <w:p w14:paraId="37DBA48A" w14:textId="369505A8"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All patients were routinely assessed for complications after surgery in the outpatient clinic</w:t>
      </w:r>
      <w:r w:rsidR="00EA3B1C">
        <w:rPr>
          <w:rFonts w:ascii="Book Antiqua" w:eastAsia="Book Antiqua" w:hAnsi="Book Antiqua" w:cs="Book Antiqua"/>
          <w:color w:val="000000"/>
        </w:rPr>
        <w:t xml:space="preserve"> using routine</w:t>
      </w:r>
      <w:r w:rsidRPr="00B10C5F">
        <w:rPr>
          <w:rFonts w:ascii="Book Antiqua" w:eastAsia="Book Antiqua" w:hAnsi="Book Antiqua" w:cs="Book Antiqua"/>
          <w:color w:val="000000"/>
        </w:rPr>
        <w:t xml:space="preserve"> blood </w:t>
      </w:r>
      <w:r w:rsidR="00EA3B1C">
        <w:rPr>
          <w:rFonts w:ascii="Book Antiqua" w:eastAsia="Book Antiqua" w:hAnsi="Book Antiqua" w:cs="Book Antiqua"/>
          <w:color w:val="000000"/>
        </w:rPr>
        <w:t>tests</w:t>
      </w:r>
      <w:r w:rsidRPr="00B10C5F">
        <w:rPr>
          <w:rFonts w:ascii="Book Antiqua" w:eastAsia="Book Antiqua" w:hAnsi="Book Antiqua" w:cs="Book Antiqua"/>
          <w:color w:val="000000"/>
        </w:rPr>
        <w:t>, liver function tests</w:t>
      </w:r>
      <w:r w:rsidR="00EA3B1C">
        <w:rPr>
          <w:rFonts w:ascii="Book Antiqua" w:eastAsia="Book Antiqua" w:hAnsi="Book Antiqua" w:cs="Book Antiqua"/>
          <w:color w:val="000000"/>
        </w:rPr>
        <w:t>,</w:t>
      </w:r>
      <w:r w:rsidRPr="00B10C5F">
        <w:rPr>
          <w:rFonts w:ascii="Book Antiqua" w:eastAsia="Book Antiqua" w:hAnsi="Book Antiqua" w:cs="Book Antiqua"/>
          <w:color w:val="000000"/>
        </w:rPr>
        <w:t xml:space="preserve"> and ultrasound, and MRCP was performed if necessary. Follow-up was conducted at 1 </w:t>
      </w:r>
      <w:proofErr w:type="spellStart"/>
      <w:r w:rsidRPr="00B10C5F">
        <w:rPr>
          <w:rFonts w:ascii="Book Antiqua" w:eastAsia="Book Antiqua" w:hAnsi="Book Antiqua" w:cs="Book Antiqua"/>
          <w:color w:val="000000"/>
        </w:rPr>
        <w:t>wk</w:t>
      </w:r>
      <w:proofErr w:type="spellEnd"/>
      <w:r w:rsidRPr="00B10C5F">
        <w:rPr>
          <w:rFonts w:ascii="Book Antiqua" w:eastAsia="Book Antiqua" w:hAnsi="Book Antiqua" w:cs="Book Antiqua"/>
          <w:color w:val="000000"/>
        </w:rPr>
        <w:t xml:space="preserve">, 3 </w:t>
      </w:r>
      <w:proofErr w:type="spellStart"/>
      <w:r w:rsidRPr="00B10C5F">
        <w:rPr>
          <w:rFonts w:ascii="Book Antiqua" w:eastAsia="Book Antiqua" w:hAnsi="Book Antiqua" w:cs="Book Antiqua"/>
          <w:color w:val="000000"/>
        </w:rPr>
        <w:t>mo</w:t>
      </w:r>
      <w:proofErr w:type="spellEnd"/>
      <w:r w:rsidRPr="00B10C5F">
        <w:rPr>
          <w:rFonts w:ascii="Book Antiqua" w:eastAsia="Book Antiqua" w:hAnsi="Book Antiqua" w:cs="Book Antiqua"/>
          <w:color w:val="000000"/>
        </w:rPr>
        <w:t xml:space="preserve">, 6 </w:t>
      </w:r>
      <w:proofErr w:type="spellStart"/>
      <w:r w:rsidRPr="00B10C5F">
        <w:rPr>
          <w:rFonts w:ascii="Book Antiqua" w:eastAsia="Book Antiqua" w:hAnsi="Book Antiqua" w:cs="Book Antiqua"/>
          <w:color w:val="000000"/>
        </w:rPr>
        <w:t>mo</w:t>
      </w:r>
      <w:proofErr w:type="spellEnd"/>
      <w:r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lastRenderedPageBreak/>
        <w:t>and 1 year postoperatively, followed by annual follow-up. The follow-up was performed until April 2019.</w:t>
      </w:r>
    </w:p>
    <w:p w14:paraId="00440BCB" w14:textId="77777777" w:rsidR="00A77B3E" w:rsidRPr="00B10C5F" w:rsidRDefault="00A77B3E" w:rsidP="00B10C5F">
      <w:pPr>
        <w:adjustRightInd w:val="0"/>
        <w:snapToGrid w:val="0"/>
        <w:spacing w:line="360" w:lineRule="auto"/>
        <w:jc w:val="both"/>
        <w:rPr>
          <w:rFonts w:ascii="Book Antiqua" w:hAnsi="Book Antiqua"/>
        </w:rPr>
      </w:pPr>
    </w:p>
    <w:p w14:paraId="4D850D10" w14:textId="77777777" w:rsidR="00A77B3E" w:rsidRPr="00B10C5F" w:rsidRDefault="008E015A" w:rsidP="00B10C5F">
      <w:pPr>
        <w:adjustRightInd w:val="0"/>
        <w:snapToGrid w:val="0"/>
        <w:spacing w:line="360" w:lineRule="auto"/>
        <w:jc w:val="both"/>
        <w:rPr>
          <w:rFonts w:ascii="Book Antiqua" w:hAnsi="Book Antiqua"/>
          <w:i/>
          <w:iCs/>
        </w:rPr>
      </w:pPr>
      <w:r w:rsidRPr="00B10C5F">
        <w:rPr>
          <w:rFonts w:ascii="Book Antiqua" w:eastAsia="Book Antiqua" w:hAnsi="Book Antiqua" w:cs="Book Antiqua"/>
          <w:b/>
          <w:bCs/>
          <w:i/>
          <w:iCs/>
          <w:color w:val="000000"/>
        </w:rPr>
        <w:t>Statistical analysis</w:t>
      </w:r>
    </w:p>
    <w:p w14:paraId="04530000" w14:textId="3535D2F9"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 xml:space="preserve">Propensity score matching (1:1) was designed to limit the influence of confounding factors when estimating treatment outcomes between the two groups. Statistical data were analyzed using the </w:t>
      </w:r>
      <w:r w:rsidR="00545A60" w:rsidRPr="00B10C5F">
        <w:rPr>
          <w:rFonts w:ascii="Book Antiqua" w:eastAsia="Book Antiqua" w:hAnsi="Book Antiqua" w:cs="Book Antiqua"/>
          <w:color w:val="000000"/>
        </w:rPr>
        <w:t>Statistic Package for Social Science</w:t>
      </w:r>
      <w:r w:rsidRPr="00B10C5F">
        <w:rPr>
          <w:rFonts w:ascii="Book Antiqua" w:eastAsia="Book Antiqua" w:hAnsi="Book Antiqua" w:cs="Book Antiqua"/>
          <w:color w:val="000000"/>
        </w:rPr>
        <w:t xml:space="preserve"> 22.0 statistical software</w:t>
      </w:r>
      <w:r w:rsidR="00EA3B1C">
        <w:rPr>
          <w:rFonts w:ascii="Book Antiqua" w:eastAsia="Book Antiqua" w:hAnsi="Book Antiqua" w:cs="Book Antiqua"/>
          <w:color w:val="000000"/>
        </w:rPr>
        <w:t xml:space="preserve"> (Armonk, NY, United States)</w:t>
      </w:r>
      <w:r w:rsidRPr="00B10C5F">
        <w:rPr>
          <w:rFonts w:ascii="Book Antiqua" w:eastAsia="Book Antiqua" w:hAnsi="Book Antiqua" w:cs="Book Antiqua"/>
          <w:color w:val="000000"/>
        </w:rPr>
        <w:t xml:space="preserve">. The continuous variables were expressed as means ± </w:t>
      </w:r>
      <w:r w:rsidR="00EA3B1C">
        <w:rPr>
          <w:rFonts w:ascii="Book Antiqua" w:eastAsia="Book Antiqua" w:hAnsi="Book Antiqua" w:cs="Book Antiqua"/>
          <w:color w:val="000000"/>
        </w:rPr>
        <w:t>standard deviation</w:t>
      </w:r>
      <w:r w:rsidRPr="00B10C5F">
        <w:rPr>
          <w:rFonts w:ascii="Book Antiqua" w:eastAsia="Book Antiqua" w:hAnsi="Book Antiqua" w:cs="Book Antiqua"/>
          <w:color w:val="000000"/>
        </w:rPr>
        <w:t xml:space="preserve"> or median (range), and the categorical variables were expressed using frequency distributions. Comparison of variables was carried out by chi-square test or Fisher exact test for categorical variables, and independent Student’s </w:t>
      </w:r>
      <w:r w:rsidRPr="00B10C5F">
        <w:rPr>
          <w:rFonts w:ascii="Book Antiqua" w:eastAsia="Book Antiqua" w:hAnsi="Book Antiqua" w:cs="Book Antiqua"/>
          <w:i/>
          <w:iCs/>
          <w:color w:val="000000"/>
        </w:rPr>
        <w:t>t</w:t>
      </w:r>
      <w:r w:rsidRPr="00B10C5F">
        <w:rPr>
          <w:rFonts w:ascii="Book Antiqua" w:eastAsia="Book Antiqua" w:hAnsi="Book Antiqua" w:cs="Book Antiqua"/>
          <w:color w:val="000000"/>
        </w:rPr>
        <w:t xml:space="preserve">-test for continuous variables. </w:t>
      </w:r>
      <w:r w:rsidR="00545A60" w:rsidRPr="00B10C5F">
        <w:rPr>
          <w:rFonts w:ascii="Book Antiqua" w:eastAsia="Book Antiqua" w:hAnsi="Book Antiqua" w:cs="Book Antiqua"/>
          <w:i/>
          <w:iCs/>
          <w:color w:val="000000"/>
        </w:rPr>
        <w:t>P</w:t>
      </w:r>
      <w:r w:rsidRPr="00B10C5F">
        <w:rPr>
          <w:rFonts w:ascii="Book Antiqua" w:eastAsia="Book Antiqua" w:hAnsi="Book Antiqua" w:cs="Book Antiqua"/>
          <w:color w:val="000000"/>
        </w:rPr>
        <w:t xml:space="preserve"> &lt; 0.05 was considered statistically significant.</w:t>
      </w:r>
    </w:p>
    <w:bookmarkEnd w:id="14"/>
    <w:bookmarkEnd w:id="15"/>
    <w:p w14:paraId="7F33B20C" w14:textId="77777777" w:rsidR="00A77B3E" w:rsidRPr="00B10C5F" w:rsidRDefault="00A77B3E" w:rsidP="00B10C5F">
      <w:pPr>
        <w:adjustRightInd w:val="0"/>
        <w:snapToGrid w:val="0"/>
        <w:spacing w:line="360" w:lineRule="auto"/>
        <w:jc w:val="both"/>
        <w:rPr>
          <w:rFonts w:ascii="Book Antiqua" w:hAnsi="Book Antiqua"/>
        </w:rPr>
      </w:pPr>
    </w:p>
    <w:p w14:paraId="7D428372"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aps/>
          <w:color w:val="000000"/>
          <w:u w:val="single"/>
        </w:rPr>
        <w:t>RESULTS</w:t>
      </w:r>
    </w:p>
    <w:p w14:paraId="7BB9ADD0" w14:textId="77777777" w:rsidR="00A77B3E" w:rsidRPr="00B10C5F" w:rsidRDefault="008E015A" w:rsidP="00B10C5F">
      <w:pPr>
        <w:adjustRightInd w:val="0"/>
        <w:snapToGrid w:val="0"/>
        <w:spacing w:line="360" w:lineRule="auto"/>
        <w:jc w:val="both"/>
        <w:rPr>
          <w:rFonts w:ascii="Book Antiqua" w:hAnsi="Book Antiqua"/>
          <w:i/>
          <w:iCs/>
        </w:rPr>
      </w:pPr>
      <w:bookmarkStart w:id="16" w:name="OLE_LINK27"/>
      <w:bookmarkStart w:id="17" w:name="OLE_LINK28"/>
      <w:r w:rsidRPr="00B10C5F">
        <w:rPr>
          <w:rFonts w:ascii="Book Antiqua" w:eastAsia="Book Antiqua" w:hAnsi="Book Antiqua" w:cs="Book Antiqua"/>
          <w:b/>
          <w:bCs/>
          <w:i/>
          <w:iCs/>
          <w:color w:val="000000"/>
        </w:rPr>
        <w:t>Patient characteristics</w:t>
      </w:r>
    </w:p>
    <w:p w14:paraId="1D4DF914" w14:textId="0C854D12"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A total of 257 cases were enrolled, and patients’ characteristics</w:t>
      </w:r>
      <w:r w:rsidR="009264D3">
        <w:rPr>
          <w:rFonts w:ascii="Book Antiqua" w:eastAsia="Book Antiqua" w:hAnsi="Book Antiqua" w:cs="Book Antiqua"/>
          <w:color w:val="000000"/>
        </w:rPr>
        <w:t>,</w:t>
      </w:r>
      <w:r w:rsidRPr="00B10C5F">
        <w:rPr>
          <w:rFonts w:ascii="Book Antiqua" w:eastAsia="Book Antiqua" w:hAnsi="Book Antiqua" w:cs="Book Antiqua"/>
          <w:color w:val="000000"/>
        </w:rPr>
        <w:t xml:space="preserve"> including baseline demographic data, clinical parameters</w:t>
      </w:r>
      <w:r w:rsidR="009264D3">
        <w:rPr>
          <w:rFonts w:ascii="Book Antiqua" w:eastAsia="Book Antiqua" w:hAnsi="Book Antiqua" w:cs="Book Antiqua"/>
          <w:color w:val="000000"/>
        </w:rPr>
        <w:t>,</w:t>
      </w:r>
      <w:r w:rsidRPr="00B10C5F">
        <w:rPr>
          <w:rFonts w:ascii="Book Antiqua" w:eastAsia="Book Antiqua" w:hAnsi="Book Antiqua" w:cs="Book Antiqua"/>
          <w:color w:val="000000"/>
        </w:rPr>
        <w:t xml:space="preserve"> and underlying diseases</w:t>
      </w:r>
      <w:r w:rsidR="009264D3">
        <w:rPr>
          <w:rFonts w:ascii="Book Antiqua" w:eastAsia="Book Antiqua" w:hAnsi="Book Antiqua" w:cs="Book Antiqua"/>
          <w:color w:val="000000"/>
        </w:rPr>
        <w:t>,</w:t>
      </w:r>
      <w:r w:rsidRPr="00B10C5F">
        <w:rPr>
          <w:rFonts w:ascii="Book Antiqua" w:eastAsia="Book Antiqua" w:hAnsi="Book Antiqua" w:cs="Book Antiqua"/>
          <w:color w:val="000000"/>
        </w:rPr>
        <w:t xml:space="preserve"> are shown in Table 1. There were 111 patients in the small CBD group (CBD diameter &lt; 8</w:t>
      </w:r>
      <w:r w:rsidR="00545A6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mm), including 50 males (45.05%) and 61 females (54.95%), with an average age of 57.6 ± 12.4 years. There were 146 patients in the large CBD group (CBD diameter ≥ 8mm), including 57 males (39.04%) and 89 females (60.96%), with an average age of 60.2 ± 14.6. The median common bile duct diameter </w:t>
      </w:r>
      <w:r w:rsidR="009264D3">
        <w:rPr>
          <w:rFonts w:ascii="Book Antiqua" w:eastAsia="Book Antiqua" w:hAnsi="Book Antiqua" w:cs="Book Antiqua"/>
          <w:color w:val="000000"/>
        </w:rPr>
        <w:t>wa</w:t>
      </w:r>
      <w:r w:rsidRPr="00B10C5F">
        <w:rPr>
          <w:rFonts w:ascii="Book Antiqua" w:eastAsia="Book Antiqua" w:hAnsi="Book Antiqua" w:cs="Book Antiqua"/>
          <w:color w:val="000000"/>
        </w:rPr>
        <w:t>s 0.6</w:t>
      </w:r>
      <w:r w:rsidR="00545A6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cm (0.2-2.0</w:t>
      </w:r>
      <w:r w:rsidR="007E4434"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cm) in </w:t>
      </w:r>
      <w:r w:rsidR="009264D3">
        <w:rPr>
          <w:rFonts w:ascii="Book Antiqua" w:eastAsia="Book Antiqua" w:hAnsi="Book Antiqua" w:cs="Book Antiqua"/>
          <w:color w:val="000000"/>
        </w:rPr>
        <w:t xml:space="preserve">the </w:t>
      </w:r>
      <w:r w:rsidRPr="00B10C5F">
        <w:rPr>
          <w:rFonts w:ascii="Book Antiqua" w:eastAsia="Book Antiqua" w:hAnsi="Book Antiqua" w:cs="Book Antiqua"/>
          <w:color w:val="000000"/>
        </w:rPr>
        <w:t>small CBD group and 1.0</w:t>
      </w:r>
      <w:r w:rsidR="00545A6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cm (0.3-3.0</w:t>
      </w:r>
      <w:r w:rsidR="00545A6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cm) in </w:t>
      </w:r>
      <w:r w:rsidR="009264D3">
        <w:rPr>
          <w:rFonts w:ascii="Book Antiqua" w:eastAsia="Book Antiqua" w:hAnsi="Book Antiqua" w:cs="Book Antiqua"/>
          <w:color w:val="000000"/>
        </w:rPr>
        <w:t xml:space="preserve">the </w:t>
      </w:r>
      <w:r w:rsidRPr="00B10C5F">
        <w:rPr>
          <w:rFonts w:ascii="Book Antiqua" w:eastAsia="Book Antiqua" w:hAnsi="Book Antiqua" w:cs="Book Antiqua"/>
          <w:color w:val="000000"/>
        </w:rPr>
        <w:t xml:space="preserve">large CBD group (Figure 1). Additionally, the diameter of CBD stones, </w:t>
      </w:r>
      <w:r w:rsidR="00A07793" w:rsidRPr="00B10C5F">
        <w:rPr>
          <w:rFonts w:ascii="Book Antiqua" w:hAnsi="Book Antiqua"/>
          <w:color w:val="000000" w:themeColor="text1"/>
        </w:rPr>
        <w:t>aspartate</w:t>
      </w:r>
      <w:r w:rsidR="00A07793"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aminotransferase</w:t>
      </w:r>
      <w:r w:rsidR="009264D3">
        <w:rPr>
          <w:rFonts w:ascii="Book Antiqua" w:eastAsia="Book Antiqua" w:hAnsi="Book Antiqua" w:cs="Book Antiqua"/>
          <w:color w:val="000000"/>
        </w:rPr>
        <w:t>,</w:t>
      </w:r>
      <w:r w:rsidR="00545A6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and glutamyl transpeptidase varied between the small CBD group and the large CBD group, and this difference was statistically significant (</w:t>
      </w:r>
      <w:r w:rsidR="00545A60" w:rsidRPr="00B10C5F">
        <w:rPr>
          <w:rFonts w:ascii="Book Antiqua" w:eastAsia="Book Antiqua" w:hAnsi="Book Antiqua" w:cs="Book Antiqua"/>
          <w:i/>
          <w:iCs/>
          <w:color w:val="000000"/>
        </w:rPr>
        <w:t>P</w:t>
      </w:r>
      <w:r w:rsidRPr="00B10C5F">
        <w:rPr>
          <w:rFonts w:ascii="Book Antiqua" w:eastAsia="Book Antiqua" w:hAnsi="Book Antiqua" w:cs="Book Antiqua"/>
          <w:color w:val="000000"/>
        </w:rPr>
        <w:t xml:space="preserve"> &lt; 0.05). The two groups were similar in terms of the other evaluated preoperative biochemical parameters and underlying diseases (</w:t>
      </w:r>
      <w:r w:rsidR="00545A60" w:rsidRPr="00B10C5F">
        <w:rPr>
          <w:rFonts w:ascii="Book Antiqua" w:eastAsia="Book Antiqua" w:hAnsi="Book Antiqua" w:cs="Book Antiqua"/>
          <w:i/>
          <w:iCs/>
          <w:color w:val="000000"/>
        </w:rPr>
        <w:t>P</w:t>
      </w:r>
      <w:r w:rsidRPr="00B10C5F">
        <w:rPr>
          <w:rFonts w:ascii="Book Antiqua" w:eastAsia="Book Antiqua" w:hAnsi="Book Antiqua" w:cs="Book Antiqua"/>
          <w:color w:val="000000"/>
        </w:rPr>
        <w:t xml:space="preserve"> &gt; 0.05).</w:t>
      </w:r>
    </w:p>
    <w:p w14:paraId="53593920" w14:textId="77777777" w:rsidR="00A77B3E" w:rsidRPr="00B10C5F" w:rsidRDefault="00A77B3E" w:rsidP="00B10C5F">
      <w:pPr>
        <w:adjustRightInd w:val="0"/>
        <w:snapToGrid w:val="0"/>
        <w:spacing w:line="360" w:lineRule="auto"/>
        <w:jc w:val="both"/>
        <w:rPr>
          <w:rFonts w:ascii="Book Antiqua" w:hAnsi="Book Antiqua"/>
        </w:rPr>
      </w:pPr>
    </w:p>
    <w:p w14:paraId="20F157B2" w14:textId="77777777" w:rsidR="00A77B3E" w:rsidRPr="00B10C5F" w:rsidRDefault="008E015A" w:rsidP="00B10C5F">
      <w:pPr>
        <w:adjustRightInd w:val="0"/>
        <w:snapToGrid w:val="0"/>
        <w:spacing w:line="360" w:lineRule="auto"/>
        <w:jc w:val="both"/>
        <w:rPr>
          <w:rFonts w:ascii="Book Antiqua" w:hAnsi="Book Antiqua"/>
          <w:i/>
          <w:iCs/>
        </w:rPr>
      </w:pPr>
      <w:r w:rsidRPr="00B10C5F">
        <w:rPr>
          <w:rFonts w:ascii="Book Antiqua" w:eastAsia="Book Antiqua" w:hAnsi="Book Antiqua" w:cs="Book Antiqua"/>
          <w:b/>
          <w:bCs/>
          <w:i/>
          <w:iCs/>
          <w:color w:val="000000"/>
        </w:rPr>
        <w:t>Comparison of outcomes between the small and large CBD groups</w:t>
      </w:r>
    </w:p>
    <w:p w14:paraId="65BDFDAF" w14:textId="53454383"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 xml:space="preserve">To adjust for differences in baseline clinical characteristics between the small and large </w:t>
      </w:r>
      <w:r w:rsidR="000205F3" w:rsidRPr="00B10C5F">
        <w:rPr>
          <w:rFonts w:ascii="Book Antiqua" w:eastAsia="Book Antiqua" w:hAnsi="Book Antiqua" w:cs="Book Antiqua"/>
          <w:color w:val="000000"/>
        </w:rPr>
        <w:t xml:space="preserve">CBD </w:t>
      </w:r>
      <w:r w:rsidRPr="00B10C5F">
        <w:rPr>
          <w:rFonts w:ascii="Book Antiqua" w:eastAsia="Book Antiqua" w:hAnsi="Book Antiqua" w:cs="Book Antiqua"/>
          <w:color w:val="000000"/>
        </w:rPr>
        <w:t>groups, propensity score matching (1:1) was performed as shown in Table 1. All clinical variables that can affect the outcomes were adjusted and compared after propensity score matching.</w:t>
      </w:r>
    </w:p>
    <w:p w14:paraId="0C0AD9E0" w14:textId="77777777" w:rsidR="00720AF0" w:rsidRPr="00B10C5F" w:rsidRDefault="00720AF0" w:rsidP="00B10C5F">
      <w:pPr>
        <w:adjustRightInd w:val="0"/>
        <w:snapToGrid w:val="0"/>
        <w:spacing w:line="360" w:lineRule="auto"/>
        <w:jc w:val="both"/>
        <w:rPr>
          <w:rFonts w:ascii="Book Antiqua" w:eastAsia="Book Antiqua" w:hAnsi="Book Antiqua" w:cs="Book Antiqua"/>
          <w:b/>
          <w:bCs/>
          <w:color w:val="000000"/>
        </w:rPr>
      </w:pPr>
    </w:p>
    <w:p w14:paraId="339E606C" w14:textId="70EA5652" w:rsidR="00A77B3E" w:rsidRPr="00B10C5F" w:rsidRDefault="008E015A" w:rsidP="00B10C5F">
      <w:pPr>
        <w:adjustRightInd w:val="0"/>
        <w:snapToGrid w:val="0"/>
        <w:spacing w:line="360" w:lineRule="auto"/>
        <w:jc w:val="both"/>
        <w:rPr>
          <w:rFonts w:ascii="Book Antiqua" w:eastAsia="Book Antiqua" w:hAnsi="Book Antiqua" w:cs="Book Antiqua"/>
          <w:color w:val="000000"/>
        </w:rPr>
      </w:pPr>
      <w:r w:rsidRPr="00B10C5F">
        <w:rPr>
          <w:rFonts w:ascii="Book Antiqua" w:eastAsia="Book Antiqua" w:hAnsi="Book Antiqua" w:cs="Book Antiqua"/>
          <w:b/>
          <w:bCs/>
          <w:color w:val="000000"/>
        </w:rPr>
        <w:t xml:space="preserve">Short-term outcomes: </w:t>
      </w:r>
      <w:r w:rsidRPr="00B10C5F">
        <w:rPr>
          <w:rFonts w:ascii="Book Antiqua" w:eastAsia="Book Antiqua" w:hAnsi="Book Antiqua" w:cs="Book Antiqua"/>
          <w:color w:val="000000"/>
        </w:rPr>
        <w:t>All surgeries were performed laparoscopically without conversion to laparotomy. The short-term follow-up results after propensity matching are summarized in Table 2. The mean operating time was 106.4 ± 27.7 min</w:t>
      </w:r>
      <w:r w:rsidR="00545A6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for the small CBD group and 114.7 ± 33.7 min for the large CBD group (</w:t>
      </w:r>
      <w:r w:rsidRPr="00B10C5F">
        <w:rPr>
          <w:rFonts w:ascii="Book Antiqua" w:eastAsia="Book Antiqua" w:hAnsi="Book Antiqua" w:cs="Book Antiqua"/>
          <w:i/>
          <w:iCs/>
          <w:color w:val="000000"/>
        </w:rPr>
        <w:t>P</w:t>
      </w:r>
      <w:r w:rsidRPr="00B10C5F">
        <w:rPr>
          <w:rFonts w:ascii="Book Antiqua" w:eastAsia="Book Antiqua" w:hAnsi="Book Antiqua" w:cs="Book Antiqua"/>
          <w:color w:val="000000"/>
        </w:rPr>
        <w:t xml:space="preserve"> = 0.073). The amount of intraoperative blood loss in the small CBD group was 20 (5-200) m</w:t>
      </w:r>
      <w:r w:rsidR="00545A60" w:rsidRPr="00B10C5F">
        <w:rPr>
          <w:rFonts w:ascii="Book Antiqua" w:eastAsia="Book Antiqua" w:hAnsi="Book Antiqua" w:cs="Book Antiqua"/>
          <w:color w:val="000000"/>
        </w:rPr>
        <w:t>L</w:t>
      </w:r>
      <w:r w:rsidRPr="00B10C5F">
        <w:rPr>
          <w:rFonts w:ascii="Book Antiqua" w:eastAsia="Book Antiqua" w:hAnsi="Book Antiqua" w:cs="Book Antiqua"/>
          <w:color w:val="000000"/>
        </w:rPr>
        <w:t>, while that in the large CBD group was 20 (5-200) m</w:t>
      </w:r>
      <w:r w:rsidR="00545A60" w:rsidRPr="00B10C5F">
        <w:rPr>
          <w:rFonts w:ascii="Book Antiqua" w:eastAsia="Book Antiqua" w:hAnsi="Book Antiqua" w:cs="Book Antiqua"/>
          <w:color w:val="000000"/>
        </w:rPr>
        <w:t>L</w:t>
      </w:r>
      <w:r w:rsidRPr="00B10C5F">
        <w:rPr>
          <w:rFonts w:ascii="Book Antiqua" w:eastAsia="Book Antiqua" w:hAnsi="Book Antiqua" w:cs="Book Antiqua"/>
          <w:color w:val="000000"/>
        </w:rPr>
        <w:t xml:space="preserve"> (</w:t>
      </w:r>
      <w:r w:rsidRPr="00B10C5F">
        <w:rPr>
          <w:rFonts w:ascii="Book Antiqua" w:eastAsia="Book Antiqua" w:hAnsi="Book Antiqua" w:cs="Book Antiqua"/>
          <w:i/>
          <w:iCs/>
          <w:color w:val="000000"/>
        </w:rPr>
        <w:t>P</w:t>
      </w:r>
      <w:r w:rsidRPr="00B10C5F">
        <w:rPr>
          <w:rFonts w:ascii="Book Antiqua" w:eastAsia="Book Antiqua" w:hAnsi="Book Antiqua" w:cs="Book Antiqua"/>
          <w:color w:val="000000"/>
        </w:rPr>
        <w:t xml:space="preserve"> = 0.168). </w:t>
      </w:r>
      <w:r w:rsidR="009264D3">
        <w:rPr>
          <w:rFonts w:ascii="Book Antiqua" w:eastAsia="Book Antiqua" w:hAnsi="Book Antiqua" w:cs="Book Antiqua"/>
          <w:color w:val="000000"/>
        </w:rPr>
        <w:t>Four</w:t>
      </w:r>
      <w:r w:rsidRPr="00B10C5F">
        <w:rPr>
          <w:rFonts w:ascii="Book Antiqua" w:eastAsia="Book Antiqua" w:hAnsi="Book Antiqua" w:cs="Book Antiqua"/>
          <w:color w:val="000000"/>
        </w:rPr>
        <w:t xml:space="preserve"> of 184 patients (2.17%) had residual stones, which were removed by EST after surgery. There was no significant difference in stone clearance rate (97.83%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97.83%, </w:t>
      </w:r>
      <w:r w:rsidRPr="00B10C5F">
        <w:rPr>
          <w:rFonts w:ascii="Book Antiqua" w:eastAsia="Book Antiqua" w:hAnsi="Book Antiqua" w:cs="Book Antiqua"/>
          <w:i/>
          <w:iCs/>
          <w:color w:val="000000"/>
        </w:rPr>
        <w:t>P</w:t>
      </w:r>
      <w:r w:rsidRPr="00B10C5F">
        <w:rPr>
          <w:rFonts w:ascii="Book Antiqua" w:eastAsia="Book Antiqua" w:hAnsi="Book Antiqua" w:cs="Book Antiqua"/>
          <w:color w:val="000000"/>
        </w:rPr>
        <w:t xml:space="preserve"> = 1.000), postoperative hospital </w:t>
      </w:r>
      <w:proofErr w:type="gramStart"/>
      <w:r w:rsidRPr="00B10C5F">
        <w:rPr>
          <w:rFonts w:ascii="Book Antiqua" w:eastAsia="Book Antiqua" w:hAnsi="Book Antiqua" w:cs="Book Antiqua"/>
          <w:color w:val="000000"/>
        </w:rPr>
        <w:t>stay</w:t>
      </w:r>
      <w:proofErr w:type="gramEnd"/>
      <w:r w:rsidRPr="00B10C5F">
        <w:rPr>
          <w:rFonts w:ascii="Book Antiqua" w:eastAsia="Book Antiqua" w:hAnsi="Book Antiqua" w:cs="Book Antiqua"/>
          <w:color w:val="000000"/>
        </w:rPr>
        <w:t xml:space="preserve"> (7.3 ± 3.7 d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7.7 ± 2.7 d, </w:t>
      </w:r>
      <w:r w:rsidRPr="00B10C5F">
        <w:rPr>
          <w:rFonts w:ascii="Book Antiqua" w:eastAsia="Book Antiqua" w:hAnsi="Book Antiqua" w:cs="Book Antiqua"/>
          <w:i/>
          <w:iCs/>
          <w:color w:val="000000"/>
        </w:rPr>
        <w:t>P</w:t>
      </w:r>
      <w:r w:rsidRPr="00B10C5F">
        <w:rPr>
          <w:rFonts w:ascii="Book Antiqua" w:eastAsia="Book Antiqua" w:hAnsi="Book Antiqua" w:cs="Book Antiqua"/>
          <w:color w:val="000000"/>
        </w:rPr>
        <w:t xml:space="preserve"> = 0.392), and postoperative bile leak (4.35%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7.61%, </w:t>
      </w:r>
      <w:r w:rsidRPr="00B10C5F">
        <w:rPr>
          <w:rFonts w:ascii="Book Antiqua" w:eastAsia="Book Antiqua" w:hAnsi="Book Antiqua" w:cs="Book Antiqua"/>
          <w:i/>
          <w:iCs/>
          <w:color w:val="000000"/>
        </w:rPr>
        <w:t>P</w:t>
      </w:r>
      <w:r w:rsidRPr="00B10C5F">
        <w:rPr>
          <w:rFonts w:ascii="Book Antiqua" w:eastAsia="Book Antiqua" w:hAnsi="Book Antiqua" w:cs="Book Antiqua"/>
          <w:color w:val="000000"/>
        </w:rPr>
        <w:t xml:space="preserve"> = 0.351) between the small CBD and large CBD groups. All patients with postoperative bile leak in both groups recovered through conservative management with drainage.</w:t>
      </w:r>
    </w:p>
    <w:p w14:paraId="25A958A9" w14:textId="77777777" w:rsidR="00720AF0" w:rsidRPr="00B10C5F" w:rsidRDefault="00720AF0" w:rsidP="00B10C5F">
      <w:pPr>
        <w:adjustRightInd w:val="0"/>
        <w:snapToGrid w:val="0"/>
        <w:spacing w:line="360" w:lineRule="auto"/>
        <w:jc w:val="both"/>
        <w:rPr>
          <w:rFonts w:ascii="Book Antiqua" w:hAnsi="Book Antiqua"/>
        </w:rPr>
      </w:pPr>
    </w:p>
    <w:p w14:paraId="5DE5EA32" w14:textId="55172AF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Long-term outcomes</w:t>
      </w:r>
      <w:r w:rsidRPr="005F3324">
        <w:rPr>
          <w:rFonts w:ascii="Book Antiqua" w:eastAsia="Book Antiqua" w:hAnsi="Book Antiqua" w:cs="Book Antiqua"/>
          <w:b/>
          <w:bCs/>
          <w:color w:val="000000"/>
        </w:rPr>
        <w:t>:</w:t>
      </w:r>
      <w:r w:rsidRPr="00B10C5F">
        <w:rPr>
          <w:rFonts w:ascii="Book Antiqua" w:eastAsia="Book Antiqua" w:hAnsi="Book Antiqua" w:cs="Book Antiqua"/>
          <w:color w:val="000000"/>
        </w:rPr>
        <w:t xml:space="preserve"> The long-term follow-up results after propensity matching are summarized in Table 3. Recurrent CBDS occurred in a total of </w:t>
      </w:r>
      <w:r w:rsidR="009264D3">
        <w:rPr>
          <w:rFonts w:ascii="Book Antiqua" w:eastAsia="Book Antiqua" w:hAnsi="Book Antiqua" w:cs="Book Antiqua"/>
          <w:color w:val="000000"/>
        </w:rPr>
        <w:t>eight</w:t>
      </w:r>
      <w:r w:rsidRPr="00B10C5F">
        <w:rPr>
          <w:rFonts w:ascii="Book Antiqua" w:eastAsia="Book Antiqua" w:hAnsi="Book Antiqua" w:cs="Book Antiqua"/>
          <w:color w:val="000000"/>
        </w:rPr>
        <w:t xml:space="preserve"> (4.35%) patients, among which</w:t>
      </w:r>
      <w:r w:rsidR="009264D3">
        <w:rPr>
          <w:rFonts w:ascii="Book Antiqua" w:eastAsia="Book Antiqua" w:hAnsi="Book Antiqua" w:cs="Book Antiqua"/>
          <w:color w:val="000000"/>
        </w:rPr>
        <w:t xml:space="preserve"> five</w:t>
      </w:r>
      <w:r w:rsidRPr="00B10C5F">
        <w:rPr>
          <w:rFonts w:ascii="Book Antiqua" w:eastAsia="Book Antiqua" w:hAnsi="Book Antiqua" w:cs="Book Antiqua"/>
          <w:color w:val="000000"/>
        </w:rPr>
        <w:t xml:space="preserve"> accepted EST to remove the recurrent CBDS, </w:t>
      </w:r>
      <w:r w:rsidR="009264D3">
        <w:rPr>
          <w:rFonts w:ascii="Book Antiqua" w:eastAsia="Book Antiqua" w:hAnsi="Book Antiqua" w:cs="Book Antiqua"/>
          <w:color w:val="000000"/>
        </w:rPr>
        <w:t>two</w:t>
      </w:r>
      <w:r w:rsidRPr="00B10C5F">
        <w:rPr>
          <w:rFonts w:ascii="Book Antiqua" w:eastAsia="Book Antiqua" w:hAnsi="Book Antiqua" w:cs="Book Antiqua"/>
          <w:color w:val="000000"/>
        </w:rPr>
        <w:t xml:space="preserve"> underwent surgical treatment, and </w:t>
      </w:r>
      <w:r w:rsidR="009264D3">
        <w:rPr>
          <w:rFonts w:ascii="Book Antiqua" w:eastAsia="Book Antiqua" w:hAnsi="Book Antiqua" w:cs="Book Antiqua"/>
          <w:color w:val="000000"/>
        </w:rPr>
        <w:t>one</w:t>
      </w:r>
      <w:r w:rsidRPr="00B10C5F">
        <w:rPr>
          <w:rFonts w:ascii="Book Antiqua" w:eastAsia="Book Antiqua" w:hAnsi="Book Antiqua" w:cs="Book Antiqua"/>
          <w:color w:val="000000"/>
        </w:rPr>
        <w:t xml:space="preserve"> refused any further treatment</w:t>
      </w:r>
      <w:r w:rsidR="009264D3">
        <w:rPr>
          <w:rFonts w:ascii="Book Antiqua" w:eastAsia="Book Antiqua" w:hAnsi="Book Antiqua" w:cs="Book Antiqua"/>
          <w:color w:val="000000"/>
        </w:rPr>
        <w:t>;</w:t>
      </w:r>
      <w:r w:rsidRPr="00B10C5F">
        <w:rPr>
          <w:rFonts w:ascii="Book Antiqua" w:eastAsia="Book Antiqua" w:hAnsi="Book Antiqua" w:cs="Book Antiqua"/>
          <w:color w:val="000000"/>
        </w:rPr>
        <w:t xml:space="preserve"> no symptoms were observed during the follow-up period. There was no significant difference in the recurrence rate between the small CBD group (2.17%, 2/92) and the large group (6.52%, 6/92) (</w:t>
      </w:r>
      <w:r w:rsidRPr="00B10C5F">
        <w:rPr>
          <w:rFonts w:ascii="Book Antiqua" w:eastAsia="Book Antiqua" w:hAnsi="Book Antiqua" w:cs="Book Antiqua"/>
          <w:i/>
          <w:iCs/>
          <w:color w:val="000000"/>
        </w:rPr>
        <w:t>P</w:t>
      </w:r>
      <w:r w:rsidRPr="00B10C5F">
        <w:rPr>
          <w:rFonts w:ascii="Book Antiqua" w:eastAsia="Book Antiqua" w:hAnsi="Book Antiqua" w:cs="Book Antiqua"/>
          <w:color w:val="000000"/>
        </w:rPr>
        <w:t xml:space="preserve"> = 0.278). No postoperative CBD stenosis case was observed in those patients.</w:t>
      </w:r>
    </w:p>
    <w:bookmarkEnd w:id="16"/>
    <w:bookmarkEnd w:id="17"/>
    <w:p w14:paraId="58566DA2" w14:textId="77777777" w:rsidR="00A77B3E" w:rsidRPr="00B10C5F" w:rsidRDefault="00A77B3E" w:rsidP="00B10C5F">
      <w:pPr>
        <w:adjustRightInd w:val="0"/>
        <w:snapToGrid w:val="0"/>
        <w:spacing w:line="360" w:lineRule="auto"/>
        <w:jc w:val="both"/>
        <w:rPr>
          <w:rFonts w:ascii="Book Antiqua" w:hAnsi="Book Antiqua"/>
        </w:rPr>
      </w:pPr>
    </w:p>
    <w:p w14:paraId="06B8C828"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aps/>
          <w:color w:val="000000"/>
          <w:u w:val="single"/>
        </w:rPr>
        <w:lastRenderedPageBreak/>
        <w:t>DISCUSSION</w:t>
      </w:r>
    </w:p>
    <w:p w14:paraId="5868FF2F" w14:textId="77777777" w:rsidR="00545A60" w:rsidRPr="00B10C5F" w:rsidRDefault="008E015A" w:rsidP="00B10C5F">
      <w:pPr>
        <w:adjustRightInd w:val="0"/>
        <w:snapToGrid w:val="0"/>
        <w:spacing w:line="360" w:lineRule="auto"/>
        <w:jc w:val="both"/>
        <w:rPr>
          <w:rFonts w:ascii="Book Antiqua" w:hAnsi="Book Antiqua"/>
        </w:rPr>
      </w:pPr>
      <w:bookmarkStart w:id="18" w:name="OLE_LINK23"/>
      <w:bookmarkStart w:id="19" w:name="OLE_LINK24"/>
      <w:r w:rsidRPr="00B10C5F">
        <w:rPr>
          <w:rFonts w:ascii="Book Antiqua" w:eastAsia="Book Antiqua" w:hAnsi="Book Antiqua" w:cs="Book Antiqua"/>
          <w:color w:val="000000"/>
        </w:rPr>
        <w:t>This study showed that there was no significant difference in surgery outcome or postoperative complications between small and large CBD groups, which confirmed that LCBDE is feasible and safe for choledocholithiasis with small CBD.</w:t>
      </w:r>
    </w:p>
    <w:p w14:paraId="211ADABF" w14:textId="0BB18C13" w:rsidR="00A77B3E" w:rsidRPr="00B10C5F" w:rsidRDefault="008E015A" w:rsidP="00B10C5F">
      <w:pPr>
        <w:adjustRightInd w:val="0"/>
        <w:snapToGrid w:val="0"/>
        <w:spacing w:line="360" w:lineRule="auto"/>
        <w:ind w:firstLineChars="100" w:firstLine="240"/>
        <w:jc w:val="both"/>
        <w:rPr>
          <w:rFonts w:ascii="Book Antiqua" w:hAnsi="Book Antiqua"/>
        </w:rPr>
      </w:pPr>
      <w:r w:rsidRPr="00B10C5F">
        <w:rPr>
          <w:rFonts w:ascii="Book Antiqua" w:eastAsia="Book Antiqua" w:hAnsi="Book Antiqua" w:cs="Book Antiqua"/>
          <w:color w:val="000000"/>
        </w:rPr>
        <w:t xml:space="preserve">Choledocholithiasis is one of the </w:t>
      </w:r>
      <w:r w:rsidR="009264D3">
        <w:rPr>
          <w:rFonts w:ascii="Book Antiqua" w:eastAsia="Book Antiqua" w:hAnsi="Book Antiqua" w:cs="Book Antiqua"/>
          <w:color w:val="000000"/>
        </w:rPr>
        <w:t xml:space="preserve">most </w:t>
      </w:r>
      <w:r w:rsidRPr="00B10C5F">
        <w:rPr>
          <w:rFonts w:ascii="Book Antiqua" w:eastAsia="Book Antiqua" w:hAnsi="Book Antiqua" w:cs="Book Antiqua"/>
          <w:color w:val="000000"/>
        </w:rPr>
        <w:t xml:space="preserve">common diseases in general surgery. With the improvement of living standards and the adjustment of diet structure, the incidence of choledocholithiasis increases year by </w:t>
      </w:r>
      <w:proofErr w:type="gramStart"/>
      <w:r w:rsidRPr="00B10C5F">
        <w:rPr>
          <w:rFonts w:ascii="Book Antiqua" w:eastAsia="Book Antiqua" w:hAnsi="Book Antiqua" w:cs="Book Antiqua"/>
          <w:color w:val="000000"/>
        </w:rPr>
        <w:t>year</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17</w:t>
      </w:r>
      <w:r w:rsidR="00545A60"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18]</w:t>
      </w:r>
      <w:r w:rsidRPr="00B10C5F">
        <w:rPr>
          <w:rFonts w:ascii="Book Antiqua" w:eastAsia="Book Antiqua" w:hAnsi="Book Antiqua" w:cs="Book Antiqua"/>
          <w:color w:val="000000"/>
        </w:rPr>
        <w:t xml:space="preserve">. Currently, the preferred less invasive treatment is preoperative EST or LCBDE, which is recommended by the British Society of </w:t>
      </w:r>
      <w:proofErr w:type="gramStart"/>
      <w:r w:rsidRPr="00B10C5F">
        <w:rPr>
          <w:rFonts w:ascii="Book Antiqua" w:eastAsia="Book Antiqua" w:hAnsi="Book Antiqua" w:cs="Book Antiqua"/>
          <w:color w:val="000000"/>
        </w:rPr>
        <w:t>Gastroenterology</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19]</w:t>
      </w:r>
      <w:r w:rsidRPr="00B10C5F">
        <w:rPr>
          <w:rFonts w:ascii="Book Antiqua" w:eastAsia="Book Antiqua" w:hAnsi="Book Antiqua" w:cs="Book Antiqua"/>
          <w:color w:val="000000"/>
        </w:rPr>
        <w:t>. However, EST is associated with a series of postoperative complications such as bleeding, pancreatitis, perforation</w:t>
      </w:r>
      <w:r w:rsidR="009264D3">
        <w:rPr>
          <w:rFonts w:ascii="Book Antiqua" w:eastAsia="Book Antiqua" w:hAnsi="Book Antiqua" w:cs="Book Antiqua"/>
          <w:color w:val="000000"/>
        </w:rPr>
        <w:t>,</w:t>
      </w:r>
      <w:r w:rsidRPr="00B10C5F">
        <w:rPr>
          <w:rFonts w:ascii="Book Antiqua" w:eastAsia="Book Antiqua" w:hAnsi="Book Antiqua" w:cs="Book Antiqua"/>
          <w:color w:val="000000"/>
        </w:rPr>
        <w:t xml:space="preserve"> and even death. The overall postoperative complication rate of EST reached 5</w:t>
      </w:r>
      <w:r w:rsidR="00545A60" w:rsidRPr="00B10C5F">
        <w:rPr>
          <w:rFonts w:ascii="Book Antiqua" w:eastAsia="Book Antiqua" w:hAnsi="Book Antiqua" w:cs="Book Antiqua"/>
          <w:color w:val="000000"/>
        </w:rPr>
        <w:t>%</w:t>
      </w:r>
      <w:r w:rsidR="00977660">
        <w:rPr>
          <w:rFonts w:ascii="Book Antiqua" w:eastAsia="Book Antiqua" w:hAnsi="Book Antiqua" w:cs="Book Antiqua"/>
          <w:color w:val="000000"/>
        </w:rPr>
        <w:t>-</w:t>
      </w:r>
      <w:r w:rsidRPr="00B10C5F">
        <w:rPr>
          <w:rFonts w:ascii="Book Antiqua" w:eastAsia="Book Antiqua" w:hAnsi="Book Antiqua" w:cs="Book Antiqua"/>
          <w:color w:val="000000"/>
        </w:rPr>
        <w:t>14%</w:t>
      </w:r>
      <w:r w:rsidR="009264D3">
        <w:rPr>
          <w:rFonts w:ascii="Book Antiqua" w:eastAsia="Book Antiqua" w:hAnsi="Book Antiqua" w:cs="Book Antiqua"/>
          <w:color w:val="000000"/>
        </w:rPr>
        <w:t>,</w:t>
      </w:r>
      <w:r w:rsidRPr="00B10C5F">
        <w:rPr>
          <w:rFonts w:ascii="Book Antiqua" w:eastAsia="Book Antiqua" w:hAnsi="Book Antiqua" w:cs="Book Antiqua"/>
          <w:color w:val="000000"/>
        </w:rPr>
        <w:t xml:space="preserve"> and the mortality rate was 0.3</w:t>
      </w:r>
      <w:r w:rsidR="00545A60" w:rsidRPr="00B10C5F">
        <w:rPr>
          <w:rFonts w:ascii="Book Antiqua" w:eastAsia="Book Antiqua" w:hAnsi="Book Antiqua" w:cs="Book Antiqua"/>
          <w:color w:val="000000"/>
        </w:rPr>
        <w:t>%</w:t>
      </w:r>
      <w:r w:rsidR="00977660">
        <w:rPr>
          <w:rFonts w:ascii="Book Antiqua" w:eastAsia="Book Antiqua" w:hAnsi="Book Antiqua" w:cs="Book Antiqua"/>
          <w:color w:val="000000"/>
        </w:rPr>
        <w:t>-</w:t>
      </w:r>
      <w:r w:rsidRPr="00B10C5F">
        <w:rPr>
          <w:rFonts w:ascii="Book Antiqua" w:eastAsia="Book Antiqua" w:hAnsi="Book Antiqua" w:cs="Book Antiqua"/>
          <w:color w:val="000000"/>
        </w:rPr>
        <w:t>2.3</w:t>
      </w:r>
      <w:proofErr w:type="gramStart"/>
      <w:r w:rsidRPr="00B10C5F">
        <w:rPr>
          <w:rFonts w:ascii="Book Antiqua" w:eastAsia="Book Antiqua" w:hAnsi="Book Antiqua" w:cs="Book Antiqua"/>
          <w:color w:val="000000"/>
        </w:rPr>
        <w:t>%</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20</w:t>
      </w:r>
      <w:r w:rsidR="00545A60"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22]</w:t>
      </w:r>
      <w:r w:rsidRPr="00B10C5F">
        <w:rPr>
          <w:rFonts w:ascii="Book Antiqua" w:eastAsia="Book Antiqua" w:hAnsi="Book Antiqua" w:cs="Book Antiqua"/>
          <w:color w:val="000000"/>
        </w:rPr>
        <w:t xml:space="preserve">. Some </w:t>
      </w:r>
      <w:proofErr w:type="gramStart"/>
      <w:r w:rsidRPr="00B10C5F">
        <w:rPr>
          <w:rFonts w:ascii="Book Antiqua" w:eastAsia="Book Antiqua" w:hAnsi="Book Antiqua" w:cs="Book Antiqua"/>
          <w:color w:val="000000"/>
        </w:rPr>
        <w:t>studies</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23</w:t>
      </w:r>
      <w:r w:rsidR="009F50D0"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24]</w:t>
      </w:r>
      <w:r w:rsidRPr="00B10C5F">
        <w:rPr>
          <w:rFonts w:ascii="Book Antiqua" w:eastAsia="Book Antiqua" w:hAnsi="Book Antiqua" w:cs="Book Antiqua"/>
          <w:color w:val="000000"/>
        </w:rPr>
        <w:t xml:space="preserve"> have shown that compared with two-stage perioperative EST and subsequent LC, single-stage LC</w:t>
      </w:r>
      <w:r w:rsidR="00EA4D5A"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w:t>
      </w:r>
      <w:r w:rsidR="00EA4D5A"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LCBDE can reduce the overall hospital stay and cost. Ding </w:t>
      </w:r>
      <w:r w:rsidRPr="00B10C5F">
        <w:rPr>
          <w:rFonts w:ascii="Book Antiqua" w:eastAsia="Book Antiqua" w:hAnsi="Book Antiqua" w:cs="Book Antiqua"/>
          <w:i/>
          <w:iCs/>
          <w:color w:val="000000"/>
        </w:rPr>
        <w:t xml:space="preserve">et </w:t>
      </w:r>
      <w:proofErr w:type="gramStart"/>
      <w:r w:rsidRPr="00B10C5F">
        <w:rPr>
          <w:rFonts w:ascii="Book Antiqua" w:eastAsia="Book Antiqua" w:hAnsi="Book Antiqua" w:cs="Book Antiqua"/>
          <w:i/>
          <w:iCs/>
          <w:color w:val="000000"/>
        </w:rPr>
        <w:t>al</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8]</w:t>
      </w:r>
      <w:r w:rsidRPr="00B10C5F">
        <w:rPr>
          <w:rFonts w:ascii="Book Antiqua" w:eastAsia="Book Antiqua" w:hAnsi="Book Antiqua" w:cs="Book Antiqua"/>
          <w:color w:val="000000"/>
        </w:rPr>
        <w:t xml:space="preserve"> indicated that the single-stage LC</w:t>
      </w:r>
      <w:r w:rsidR="00EA4D5A"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w:t>
      </w:r>
      <w:r w:rsidR="00EA4D5A"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LCBDE and two-stage preoperative EST followed by LC are equally effective in achieving initial CBDS clearance, but recurrent CBDS is more likely to occur in patients who had undergone two-stage treatment (9.47%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2.06%). This result may be due to the fact that EST disrupts the integrity of the Oddi sphincter, which will make it easier for the duodenal contents to reflux into the biliary system, lead</w:t>
      </w:r>
      <w:r w:rsidR="009264D3">
        <w:rPr>
          <w:rFonts w:ascii="Book Antiqua" w:eastAsia="Book Antiqua" w:hAnsi="Book Antiqua" w:cs="Book Antiqua"/>
          <w:color w:val="000000"/>
        </w:rPr>
        <w:t>ing</w:t>
      </w:r>
      <w:r w:rsidRPr="00B10C5F">
        <w:rPr>
          <w:rFonts w:ascii="Book Antiqua" w:eastAsia="Book Antiqua" w:hAnsi="Book Antiqua" w:cs="Book Antiqua"/>
          <w:color w:val="000000"/>
        </w:rPr>
        <w:t xml:space="preserve"> to bacterial colonization and the subsequent CBDS formation. Although no high-level evidence indicated that EST will cause atypia or malignancy, EST has been demonstrated to cause reactive and proliferative changes in the CBD biliary </w:t>
      </w:r>
      <w:proofErr w:type="gramStart"/>
      <w:r w:rsidRPr="00B10C5F">
        <w:rPr>
          <w:rFonts w:ascii="Book Antiqua" w:eastAsia="Book Antiqua" w:hAnsi="Book Antiqua" w:cs="Book Antiqua"/>
          <w:color w:val="000000"/>
        </w:rPr>
        <w:t>epithelium</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25]</w:t>
      </w:r>
      <w:r w:rsidRPr="00B10C5F">
        <w:rPr>
          <w:rFonts w:ascii="Book Antiqua" w:eastAsia="Book Antiqua" w:hAnsi="Book Antiqua" w:cs="Book Antiqua"/>
          <w:color w:val="000000"/>
        </w:rPr>
        <w:t>.</w:t>
      </w:r>
    </w:p>
    <w:p w14:paraId="1E469B58" w14:textId="231F7F1B" w:rsidR="00A77B3E" w:rsidRPr="00B10C5F" w:rsidRDefault="008E015A" w:rsidP="00B10C5F">
      <w:pPr>
        <w:adjustRightInd w:val="0"/>
        <w:snapToGrid w:val="0"/>
        <w:spacing w:line="360" w:lineRule="auto"/>
        <w:ind w:firstLineChars="100" w:firstLine="240"/>
        <w:jc w:val="both"/>
        <w:rPr>
          <w:rFonts w:ascii="Book Antiqua" w:hAnsi="Book Antiqua"/>
        </w:rPr>
      </w:pPr>
      <w:r w:rsidRPr="00B10C5F">
        <w:rPr>
          <w:rFonts w:ascii="Book Antiqua" w:eastAsia="Book Antiqua" w:hAnsi="Book Antiqua" w:cs="Book Antiqua"/>
          <w:color w:val="000000"/>
          <w:shd w:val="clear" w:color="auto" w:fill="FFFFFF"/>
        </w:rPr>
        <w:t xml:space="preserve">T-tube drainage has been widely used in laparoscopic choledochotomy in order to decompress the biliary tree, reduce the complications such as bile leak and CBD stenosis, and provide an access for postoperative trans-T–tube tract </w:t>
      </w:r>
      <w:proofErr w:type="spellStart"/>
      <w:r w:rsidRPr="00B10C5F">
        <w:rPr>
          <w:rFonts w:ascii="Book Antiqua" w:eastAsia="Book Antiqua" w:hAnsi="Book Antiqua" w:cs="Book Antiqua"/>
          <w:color w:val="000000"/>
          <w:shd w:val="clear" w:color="auto" w:fill="FFFFFF"/>
        </w:rPr>
        <w:t>choledochoscopy</w:t>
      </w:r>
      <w:proofErr w:type="spellEnd"/>
      <w:r w:rsidRPr="00B10C5F">
        <w:rPr>
          <w:rFonts w:ascii="Book Antiqua" w:eastAsia="Book Antiqua" w:hAnsi="Book Antiqua" w:cs="Book Antiqua"/>
          <w:color w:val="000000"/>
          <w:shd w:val="clear" w:color="auto" w:fill="FFFFFF"/>
        </w:rPr>
        <w:t xml:space="preserve"> to detect any residual stones and removal them. However, T-tube drainage is associated with a postoperative complication rate of around </w:t>
      </w:r>
      <w:r w:rsidRPr="00B10C5F">
        <w:rPr>
          <w:rFonts w:ascii="Book Antiqua" w:eastAsia="Book Antiqua" w:hAnsi="Book Antiqua" w:cs="Book Antiqua"/>
          <w:color w:val="000000"/>
          <w:shd w:val="clear" w:color="auto" w:fill="FFFFFF"/>
        </w:rPr>
        <w:lastRenderedPageBreak/>
        <w:t>10.5%-20%, including fluid and electrolyte imbalance, accidental T-tube displacements, bile leak and wound cellulites around the T-tube,</w:t>
      </w:r>
      <w:r w:rsidR="00BC33A7">
        <w:rPr>
          <w:rFonts w:ascii="Book Antiqua" w:eastAsia="Book Antiqua" w:hAnsi="Book Antiqua" w:cs="Book Antiqua"/>
          <w:color w:val="000000"/>
          <w:shd w:val="clear" w:color="auto" w:fill="FFFFFF"/>
        </w:rPr>
        <w:t xml:space="preserve"> and</w:t>
      </w:r>
      <w:r w:rsidRPr="00B10C5F">
        <w:rPr>
          <w:rFonts w:ascii="Book Antiqua" w:eastAsia="Book Antiqua" w:hAnsi="Book Antiqua" w:cs="Book Antiqua"/>
          <w:color w:val="000000"/>
          <w:shd w:val="clear" w:color="auto" w:fill="FFFFFF"/>
        </w:rPr>
        <w:t xml:space="preserve"> bile peritonitis after T-tube </w:t>
      </w:r>
      <w:proofErr w:type="gramStart"/>
      <w:r w:rsidRPr="00B10C5F">
        <w:rPr>
          <w:rFonts w:ascii="Book Antiqua" w:eastAsia="Book Antiqua" w:hAnsi="Book Antiqua" w:cs="Book Antiqua"/>
          <w:color w:val="000000"/>
          <w:shd w:val="clear" w:color="auto" w:fill="FFFFFF"/>
        </w:rPr>
        <w:t>removal</w:t>
      </w:r>
      <w:r w:rsidRPr="00B10C5F">
        <w:rPr>
          <w:rFonts w:ascii="Book Antiqua" w:eastAsia="Book Antiqua" w:hAnsi="Book Antiqua" w:cs="Book Antiqua"/>
          <w:color w:val="000000"/>
          <w:shd w:val="clear" w:color="auto" w:fill="FFFFFF"/>
          <w:vertAlign w:val="superscript"/>
        </w:rPr>
        <w:t>[</w:t>
      </w:r>
      <w:proofErr w:type="gramEnd"/>
      <w:r w:rsidRPr="00B10C5F">
        <w:rPr>
          <w:rFonts w:ascii="Book Antiqua" w:eastAsia="Book Antiqua" w:hAnsi="Book Antiqua" w:cs="Book Antiqua"/>
          <w:color w:val="000000"/>
          <w:shd w:val="clear" w:color="auto" w:fill="FFFFFF"/>
          <w:vertAlign w:val="superscript"/>
        </w:rPr>
        <w:t>26</w:t>
      </w:r>
      <w:r w:rsidR="00EA4D5A" w:rsidRPr="00B10C5F">
        <w:rPr>
          <w:rFonts w:ascii="Book Antiqua" w:eastAsia="Book Antiqua" w:hAnsi="Book Antiqua" w:cs="Book Antiqua"/>
          <w:color w:val="000000"/>
          <w:shd w:val="clear" w:color="auto" w:fill="FFFFFF"/>
          <w:vertAlign w:val="superscript"/>
        </w:rPr>
        <w:t>,</w:t>
      </w:r>
      <w:r w:rsidRPr="00B10C5F">
        <w:rPr>
          <w:rFonts w:ascii="Book Antiqua" w:eastAsia="Book Antiqua" w:hAnsi="Book Antiqua" w:cs="Book Antiqua"/>
          <w:color w:val="000000"/>
          <w:shd w:val="clear" w:color="auto" w:fill="FFFFFF"/>
          <w:vertAlign w:val="superscript"/>
        </w:rPr>
        <w:t>27]</w:t>
      </w:r>
      <w:r w:rsidRPr="00B10C5F">
        <w:rPr>
          <w:rFonts w:ascii="Book Antiqua" w:eastAsia="Book Antiqua" w:hAnsi="Book Antiqua" w:cs="Book Antiqua"/>
          <w:color w:val="000000"/>
          <w:shd w:val="clear" w:color="auto" w:fill="FFFFFF"/>
        </w:rPr>
        <w:t>.</w:t>
      </w:r>
      <w:r w:rsidRPr="00B10C5F">
        <w:rPr>
          <w:rFonts w:ascii="Book Antiqua" w:eastAsia="Book Antiqua" w:hAnsi="Book Antiqua" w:cs="Book Antiqua"/>
          <w:color w:val="000000"/>
        </w:rPr>
        <w:t xml:space="preserve"> An updated meta-analysis has shown that compared with primary CBD closure, planned T-tube insertion prolongs overall hospital stay and operating time without any evidence of </w:t>
      </w:r>
      <w:proofErr w:type="gramStart"/>
      <w:r w:rsidRPr="00B10C5F">
        <w:rPr>
          <w:rFonts w:ascii="Book Antiqua" w:eastAsia="Book Antiqua" w:hAnsi="Book Antiqua" w:cs="Book Antiqua"/>
          <w:color w:val="000000"/>
        </w:rPr>
        <w:t>benefit</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28]</w:t>
      </w:r>
      <w:r w:rsidRPr="00B10C5F">
        <w:rPr>
          <w:rFonts w:ascii="Book Antiqua" w:eastAsia="Book Antiqua" w:hAnsi="Book Antiqua" w:cs="Book Antiqua"/>
          <w:color w:val="000000"/>
        </w:rPr>
        <w:t xml:space="preserve">. Thus, among patients undergoing laparoscopic choledochotomy for CBDS, </w:t>
      </w:r>
      <w:r w:rsidRPr="00B10C5F">
        <w:rPr>
          <w:rFonts w:ascii="Book Antiqua" w:eastAsia="Book Antiqua" w:hAnsi="Book Antiqua" w:cs="Book Antiqua"/>
          <w:color w:val="000000"/>
          <w:shd w:val="clear" w:color="auto" w:fill="FFFFFF"/>
        </w:rPr>
        <w:t>T-tube drainage may not be necessary.</w:t>
      </w:r>
    </w:p>
    <w:p w14:paraId="15C23D2A" w14:textId="3DD02C58" w:rsidR="00A77B3E" w:rsidRPr="00B10C5F" w:rsidRDefault="008E015A" w:rsidP="00B10C5F">
      <w:pPr>
        <w:adjustRightInd w:val="0"/>
        <w:snapToGrid w:val="0"/>
        <w:spacing w:line="360" w:lineRule="auto"/>
        <w:ind w:firstLineChars="100" w:firstLine="240"/>
        <w:jc w:val="both"/>
        <w:rPr>
          <w:rFonts w:ascii="Book Antiqua" w:hAnsi="Book Antiqua"/>
        </w:rPr>
      </w:pPr>
      <w:r w:rsidRPr="00B10C5F">
        <w:rPr>
          <w:rFonts w:ascii="Book Antiqua" w:eastAsia="Book Antiqua" w:hAnsi="Book Antiqua" w:cs="Book Antiqua"/>
          <w:color w:val="000000"/>
        </w:rPr>
        <w:t xml:space="preserve">LCBDE can be carried out </w:t>
      </w:r>
      <w:r w:rsidRPr="00B10C5F">
        <w:rPr>
          <w:rFonts w:ascii="Book Antiqua" w:eastAsia="Book Antiqua" w:hAnsi="Book Antiqua" w:cs="Book Antiqua"/>
          <w:i/>
          <w:iCs/>
          <w:color w:val="000000"/>
        </w:rPr>
        <w:t>via</w:t>
      </w:r>
      <w:r w:rsidRPr="00B10C5F">
        <w:rPr>
          <w:rFonts w:ascii="Book Antiqua" w:eastAsia="Book Antiqua" w:hAnsi="Book Antiqua" w:cs="Book Antiqua"/>
          <w:color w:val="000000"/>
        </w:rPr>
        <w:t xml:space="preserve"> the transductal approach or </w:t>
      </w:r>
      <w:r w:rsidR="00B31488">
        <w:rPr>
          <w:rFonts w:ascii="Book Antiqua" w:eastAsia="Book Antiqua" w:hAnsi="Book Antiqua" w:cs="Book Antiqua"/>
          <w:color w:val="000000"/>
        </w:rPr>
        <w:t xml:space="preserve">the </w:t>
      </w:r>
      <w:proofErr w:type="spellStart"/>
      <w:r w:rsidRPr="00B10C5F">
        <w:rPr>
          <w:rFonts w:ascii="Book Antiqua" w:eastAsia="Book Antiqua" w:hAnsi="Book Antiqua" w:cs="Book Antiqua"/>
          <w:color w:val="000000"/>
        </w:rPr>
        <w:t>transcystic</w:t>
      </w:r>
      <w:proofErr w:type="spellEnd"/>
      <w:r w:rsidRPr="00B10C5F">
        <w:rPr>
          <w:rFonts w:ascii="Book Antiqua" w:eastAsia="Book Antiqua" w:hAnsi="Book Antiqua" w:cs="Book Antiqua"/>
          <w:color w:val="000000"/>
        </w:rPr>
        <w:t xml:space="preserve"> approach, the l</w:t>
      </w:r>
      <w:r w:rsidR="00B31488">
        <w:rPr>
          <w:rFonts w:ascii="Book Antiqua" w:eastAsia="Book Antiqua" w:hAnsi="Book Antiqua" w:cs="Book Antiqua"/>
          <w:color w:val="000000"/>
        </w:rPr>
        <w:t>a</w:t>
      </w:r>
      <w:r w:rsidRPr="00B10C5F">
        <w:rPr>
          <w:rFonts w:ascii="Book Antiqua" w:eastAsia="Book Antiqua" w:hAnsi="Book Antiqua" w:cs="Book Antiqua"/>
          <w:color w:val="000000"/>
        </w:rPr>
        <w:t xml:space="preserve">tter is known as laparoscopic </w:t>
      </w:r>
      <w:proofErr w:type="spellStart"/>
      <w:r w:rsidRPr="00B10C5F">
        <w:rPr>
          <w:rFonts w:ascii="Book Antiqua" w:eastAsia="Book Antiqua" w:hAnsi="Book Antiqua" w:cs="Book Antiqua"/>
          <w:color w:val="000000"/>
        </w:rPr>
        <w:t>transcystic</w:t>
      </w:r>
      <w:proofErr w:type="spellEnd"/>
      <w:r w:rsidRPr="00B10C5F">
        <w:rPr>
          <w:rFonts w:ascii="Book Antiqua" w:eastAsia="Book Antiqua" w:hAnsi="Book Antiqua" w:cs="Book Antiqua"/>
          <w:color w:val="000000"/>
        </w:rPr>
        <w:t xml:space="preserve"> common bile duct exploration (LTCBDE). This approach protects the integrity of the CBD and avoids suture repair after choledochotomy, which is thought to be associated with lower morbidity compared to </w:t>
      </w:r>
      <w:r w:rsidR="00B31488">
        <w:rPr>
          <w:rFonts w:ascii="Book Antiqua" w:eastAsia="Book Antiqua" w:hAnsi="Book Antiqua" w:cs="Book Antiqua"/>
          <w:color w:val="000000"/>
        </w:rPr>
        <w:t xml:space="preserve">the </w:t>
      </w:r>
      <w:r w:rsidRPr="00B10C5F">
        <w:rPr>
          <w:rFonts w:ascii="Book Antiqua" w:eastAsia="Book Antiqua" w:hAnsi="Book Antiqua" w:cs="Book Antiqua"/>
          <w:color w:val="000000"/>
        </w:rPr>
        <w:t xml:space="preserve">transductal approach. A study from </w:t>
      </w:r>
      <w:proofErr w:type="spellStart"/>
      <w:r w:rsidR="00720AF0" w:rsidRPr="00B10C5F">
        <w:rPr>
          <w:rFonts w:ascii="Book Antiqua" w:eastAsia="Book Antiqua" w:hAnsi="Book Antiqua" w:cs="Book Antiqua"/>
          <w:bCs/>
          <w:color w:val="000000"/>
        </w:rPr>
        <w:t>Tokumura</w:t>
      </w:r>
      <w:proofErr w:type="spellEnd"/>
      <w:r w:rsidRPr="00B10C5F">
        <w:rPr>
          <w:rFonts w:ascii="Book Antiqua" w:eastAsia="Book Antiqua" w:hAnsi="Book Antiqua" w:cs="Book Antiqua"/>
          <w:color w:val="000000"/>
        </w:rPr>
        <w:t xml:space="preserve"> </w:t>
      </w:r>
      <w:r w:rsidR="00720AF0" w:rsidRPr="00B10C5F">
        <w:rPr>
          <w:rFonts w:ascii="Book Antiqua" w:eastAsia="Book Antiqua" w:hAnsi="Book Antiqua" w:cs="Book Antiqua"/>
          <w:i/>
          <w:color w:val="000000"/>
        </w:rPr>
        <w:t xml:space="preserve">et </w:t>
      </w:r>
      <w:proofErr w:type="gramStart"/>
      <w:r w:rsidR="00720AF0" w:rsidRPr="00B10C5F">
        <w:rPr>
          <w:rFonts w:ascii="Book Antiqua" w:eastAsia="Book Antiqua" w:hAnsi="Book Antiqua" w:cs="Book Antiqua"/>
          <w:i/>
          <w:color w:val="000000"/>
        </w:rPr>
        <w:t>al</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29]</w:t>
      </w:r>
      <w:r w:rsidRPr="00B10C5F">
        <w:rPr>
          <w:rFonts w:ascii="Book Antiqua" w:eastAsia="Book Antiqua" w:hAnsi="Book Antiqua" w:cs="Book Antiqua"/>
          <w:color w:val="000000"/>
        </w:rPr>
        <w:t xml:space="preserve"> found only one bile leak in 91 patients (1%) with successful stone clearance using the </w:t>
      </w:r>
      <w:proofErr w:type="spellStart"/>
      <w:r w:rsidRPr="00B10C5F">
        <w:rPr>
          <w:rFonts w:ascii="Book Antiqua" w:eastAsia="Book Antiqua" w:hAnsi="Book Antiqua" w:cs="Book Antiqua"/>
          <w:color w:val="000000"/>
        </w:rPr>
        <w:t>transcystic</w:t>
      </w:r>
      <w:proofErr w:type="spellEnd"/>
      <w:r w:rsidRPr="00B10C5F">
        <w:rPr>
          <w:rFonts w:ascii="Book Antiqua" w:eastAsia="Book Antiqua" w:hAnsi="Book Antiqua" w:cs="Book Antiqua"/>
          <w:color w:val="000000"/>
        </w:rPr>
        <w:t xml:space="preserve"> approach. Another study from </w:t>
      </w:r>
      <w:proofErr w:type="spellStart"/>
      <w:r w:rsidRPr="00B10C5F">
        <w:rPr>
          <w:rFonts w:ascii="Book Antiqua" w:eastAsia="Book Antiqua" w:hAnsi="Book Antiqua" w:cs="Book Antiqua"/>
          <w:color w:val="000000"/>
        </w:rPr>
        <w:t>Waage</w:t>
      </w:r>
      <w:proofErr w:type="spellEnd"/>
      <w:r w:rsidR="00720AF0" w:rsidRPr="00B10C5F">
        <w:rPr>
          <w:rFonts w:ascii="Book Antiqua" w:eastAsia="Book Antiqua" w:hAnsi="Book Antiqua" w:cs="Book Antiqua"/>
          <w:color w:val="000000"/>
        </w:rPr>
        <w:t xml:space="preserve"> </w:t>
      </w:r>
      <w:r w:rsidR="00720AF0" w:rsidRPr="00B10C5F">
        <w:rPr>
          <w:rFonts w:ascii="Book Antiqua" w:eastAsia="Book Antiqua" w:hAnsi="Book Antiqua" w:cs="Book Antiqua"/>
          <w:i/>
          <w:color w:val="000000"/>
        </w:rPr>
        <w:t xml:space="preserve">et </w:t>
      </w:r>
      <w:proofErr w:type="gramStart"/>
      <w:r w:rsidR="00720AF0" w:rsidRPr="00B10C5F">
        <w:rPr>
          <w:rFonts w:ascii="Book Antiqua" w:eastAsia="Book Antiqua" w:hAnsi="Book Antiqua" w:cs="Book Antiqua"/>
          <w:i/>
          <w:color w:val="000000"/>
        </w:rPr>
        <w:t>al</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30]</w:t>
      </w:r>
      <w:r w:rsidRPr="00B10C5F">
        <w:rPr>
          <w:rFonts w:ascii="Book Antiqua" w:eastAsia="Book Antiqua" w:hAnsi="Book Antiqua" w:cs="Book Antiqua"/>
          <w:color w:val="000000"/>
        </w:rPr>
        <w:t xml:space="preserve"> found one bile leak in 110 patients (0.9%) using the </w:t>
      </w:r>
      <w:proofErr w:type="spellStart"/>
      <w:r w:rsidRPr="00B10C5F">
        <w:rPr>
          <w:rFonts w:ascii="Book Antiqua" w:eastAsia="Book Antiqua" w:hAnsi="Book Antiqua" w:cs="Book Antiqua"/>
          <w:color w:val="000000"/>
        </w:rPr>
        <w:t>transcystic</w:t>
      </w:r>
      <w:proofErr w:type="spellEnd"/>
      <w:r w:rsidRPr="00B10C5F">
        <w:rPr>
          <w:rFonts w:ascii="Book Antiqua" w:eastAsia="Book Antiqua" w:hAnsi="Book Antiqua" w:cs="Book Antiqua"/>
          <w:color w:val="000000"/>
        </w:rPr>
        <w:t xml:space="preserve"> approach. However, it should be pointed out that their study did not indicate the diameter of the CBD. In fact, it</w:t>
      </w:r>
      <w:r w:rsidR="00B31488">
        <w:rPr>
          <w:rFonts w:ascii="Book Antiqua" w:eastAsia="Book Antiqua" w:hAnsi="Book Antiqua" w:cs="Book Antiqua"/>
          <w:color w:val="000000"/>
        </w:rPr>
        <w:t xml:space="preserve"> i</w:t>
      </w:r>
      <w:r w:rsidRPr="00B10C5F">
        <w:rPr>
          <w:rFonts w:ascii="Book Antiqua" w:eastAsia="Book Antiqua" w:hAnsi="Book Antiqua" w:cs="Book Antiqua"/>
          <w:color w:val="000000"/>
        </w:rPr>
        <w:t>s very difficult to perform LTCBDE in choledocholithiasis with small CBD. For those patients, cystic duct is always smaller than 3</w:t>
      </w:r>
      <w:r w:rsidR="00B31488">
        <w:rPr>
          <w:rFonts w:ascii="Book Antiqua" w:eastAsia="Book Antiqua" w:hAnsi="Book Antiqua" w:cs="Book Antiqua"/>
          <w:color w:val="000000"/>
        </w:rPr>
        <w:t xml:space="preserve"> </w:t>
      </w:r>
      <w:r w:rsidRPr="00B10C5F">
        <w:rPr>
          <w:rFonts w:ascii="Book Antiqua" w:eastAsia="Book Antiqua" w:hAnsi="Book Antiqua" w:cs="Book Antiqua"/>
          <w:color w:val="000000"/>
        </w:rPr>
        <w:t>mm, making it difficult for the 5</w:t>
      </w:r>
      <w:r w:rsidR="00EA4D5A"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mm </w:t>
      </w:r>
      <w:proofErr w:type="spellStart"/>
      <w:r w:rsidRPr="00B10C5F">
        <w:rPr>
          <w:rFonts w:ascii="Book Antiqua" w:eastAsia="Book Antiqua" w:hAnsi="Book Antiqua" w:cs="Book Antiqua"/>
          <w:color w:val="000000"/>
        </w:rPr>
        <w:t>cholangioscope</w:t>
      </w:r>
      <w:proofErr w:type="spellEnd"/>
      <w:r w:rsidRPr="00B10C5F">
        <w:rPr>
          <w:rFonts w:ascii="Book Antiqua" w:eastAsia="Book Antiqua" w:hAnsi="Book Antiqua" w:cs="Book Antiqua"/>
          <w:color w:val="000000"/>
        </w:rPr>
        <w:t xml:space="preserve"> to pass through the cystic duct. Fang</w:t>
      </w:r>
      <w:r w:rsidR="00720AF0" w:rsidRPr="00B10C5F">
        <w:rPr>
          <w:rFonts w:ascii="Book Antiqua" w:eastAsia="Book Antiqua" w:hAnsi="Book Antiqua" w:cs="Book Antiqua"/>
          <w:color w:val="000000"/>
        </w:rPr>
        <w:t xml:space="preserve"> </w:t>
      </w:r>
      <w:r w:rsidR="00720AF0" w:rsidRPr="00B10C5F">
        <w:rPr>
          <w:rFonts w:ascii="Book Antiqua" w:eastAsia="Book Antiqua" w:hAnsi="Book Antiqua" w:cs="Book Antiqua"/>
          <w:i/>
          <w:color w:val="000000"/>
        </w:rPr>
        <w:t xml:space="preserve">et </w:t>
      </w:r>
      <w:proofErr w:type="gramStart"/>
      <w:r w:rsidR="00720AF0" w:rsidRPr="00B10C5F">
        <w:rPr>
          <w:rFonts w:ascii="Book Antiqua" w:eastAsia="Book Antiqua" w:hAnsi="Book Antiqua" w:cs="Book Antiqua"/>
          <w:i/>
          <w:color w:val="000000"/>
        </w:rPr>
        <w:t>al</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31]</w:t>
      </w:r>
      <w:r w:rsidRPr="00B10C5F">
        <w:rPr>
          <w:rFonts w:ascii="Book Antiqua" w:eastAsia="Book Antiqua" w:hAnsi="Book Antiqua" w:cs="Book Antiqua"/>
          <w:color w:val="000000"/>
        </w:rPr>
        <w:t xml:space="preserve"> successfully performed LTCBDE in 205 cases, but none of them was with small CBD. Thus, we </w:t>
      </w:r>
      <w:r w:rsidR="00B31488">
        <w:rPr>
          <w:rFonts w:ascii="Book Antiqua" w:eastAsia="Book Antiqua" w:hAnsi="Book Antiqua" w:cs="Book Antiqua"/>
          <w:color w:val="000000"/>
        </w:rPr>
        <w:t>believe</w:t>
      </w:r>
      <w:r w:rsidRPr="00B10C5F">
        <w:rPr>
          <w:rFonts w:ascii="Book Antiqua" w:eastAsia="Book Antiqua" w:hAnsi="Book Antiqua" w:cs="Book Antiqua"/>
          <w:color w:val="000000"/>
        </w:rPr>
        <w:t xml:space="preserve"> that LTCBDE is safe and efficacious for the management of choledocholithiasis with large CBD but</w:t>
      </w:r>
      <w:r w:rsidR="00B31488">
        <w:rPr>
          <w:rFonts w:ascii="Book Antiqua" w:eastAsia="Book Antiqua" w:hAnsi="Book Antiqua" w:cs="Book Antiqua"/>
          <w:color w:val="000000"/>
        </w:rPr>
        <w:t xml:space="preserve"> that it</w:t>
      </w:r>
      <w:r w:rsidRPr="00B10C5F">
        <w:rPr>
          <w:rFonts w:ascii="Book Antiqua" w:eastAsia="Book Antiqua" w:hAnsi="Book Antiqua" w:cs="Book Antiqua"/>
          <w:color w:val="000000"/>
        </w:rPr>
        <w:t xml:space="preserve"> might not be appropriate </w:t>
      </w:r>
      <w:r w:rsidR="00B31488">
        <w:rPr>
          <w:rFonts w:ascii="Book Antiqua" w:eastAsia="Book Antiqua" w:hAnsi="Book Antiqua" w:cs="Book Antiqua"/>
          <w:color w:val="000000"/>
        </w:rPr>
        <w:t>for</w:t>
      </w:r>
      <w:r w:rsidRPr="00B10C5F">
        <w:rPr>
          <w:rFonts w:ascii="Book Antiqua" w:eastAsia="Book Antiqua" w:hAnsi="Book Antiqua" w:cs="Book Antiqua"/>
          <w:color w:val="000000"/>
        </w:rPr>
        <w:t xml:space="preserve"> those with small CBD.</w:t>
      </w:r>
    </w:p>
    <w:p w14:paraId="57B11E97" w14:textId="7641F6BF" w:rsidR="00A77B3E" w:rsidRPr="00B10C5F" w:rsidRDefault="008E015A" w:rsidP="00B10C5F">
      <w:pPr>
        <w:adjustRightInd w:val="0"/>
        <w:snapToGrid w:val="0"/>
        <w:spacing w:line="360" w:lineRule="auto"/>
        <w:ind w:firstLineChars="100" w:firstLine="240"/>
        <w:jc w:val="both"/>
        <w:rPr>
          <w:rFonts w:ascii="Book Antiqua" w:hAnsi="Book Antiqua"/>
        </w:rPr>
      </w:pPr>
      <w:r w:rsidRPr="00B10C5F">
        <w:rPr>
          <w:rFonts w:ascii="Book Antiqua" w:eastAsia="Book Antiqua" w:hAnsi="Book Antiqua" w:cs="Book Antiqua"/>
          <w:color w:val="000000"/>
        </w:rPr>
        <w:t xml:space="preserve">Although more and more studies have confirmed that LCBDE is a safe and cost effective option for choledocholithiasis, these studies mainly focused on cases whose CBD was larger than 1.0 </w:t>
      </w:r>
      <w:proofErr w:type="gramStart"/>
      <w:r w:rsidRPr="00B10C5F">
        <w:rPr>
          <w:rFonts w:ascii="Book Antiqua" w:eastAsia="Book Antiqua" w:hAnsi="Book Antiqua" w:cs="Book Antiqua"/>
          <w:color w:val="000000"/>
        </w:rPr>
        <w:t>cm</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11</w:t>
      </w:r>
      <w:r w:rsidR="00EA4D5A"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13]</w:t>
      </w:r>
      <w:r w:rsidRPr="00B10C5F">
        <w:rPr>
          <w:rFonts w:ascii="Book Antiqua" w:eastAsia="Book Antiqua" w:hAnsi="Book Antiqua" w:cs="Book Antiqua"/>
          <w:color w:val="000000"/>
        </w:rPr>
        <w:t xml:space="preserve">. Whether it is feasible or safe to undergo LCBDE for those with small CBD still remains controversial. The controversy mainly focuses on the difficulty of CBD suture and its complications. It was </w:t>
      </w:r>
      <w:r w:rsidRPr="00B10C5F">
        <w:rPr>
          <w:rFonts w:ascii="Book Antiqua" w:eastAsia="Book Antiqua" w:hAnsi="Book Antiqua" w:cs="Book Antiqua"/>
          <w:color w:val="000000"/>
        </w:rPr>
        <w:lastRenderedPageBreak/>
        <w:t>believed that LCBDE for small CBD is more likely to lead to postoperative bile leak and CBD stenosis.</w:t>
      </w:r>
    </w:p>
    <w:p w14:paraId="40EF78BF" w14:textId="4F1F45A5" w:rsidR="00A77B3E" w:rsidRPr="00B10C5F" w:rsidRDefault="008E015A" w:rsidP="00B10C5F">
      <w:pPr>
        <w:adjustRightInd w:val="0"/>
        <w:snapToGrid w:val="0"/>
        <w:spacing w:line="360" w:lineRule="auto"/>
        <w:ind w:firstLineChars="100" w:firstLine="240"/>
        <w:jc w:val="both"/>
        <w:rPr>
          <w:rFonts w:ascii="Book Antiqua" w:hAnsi="Book Antiqua"/>
        </w:rPr>
      </w:pPr>
      <w:r w:rsidRPr="00B10C5F">
        <w:rPr>
          <w:rFonts w:ascii="Book Antiqua" w:eastAsia="Book Antiqua" w:hAnsi="Book Antiqua" w:cs="Book Antiqua"/>
          <w:color w:val="000000"/>
        </w:rPr>
        <w:t xml:space="preserve">Hua </w:t>
      </w:r>
      <w:r w:rsidRPr="00B10C5F">
        <w:rPr>
          <w:rFonts w:ascii="Book Antiqua" w:eastAsia="Book Antiqua" w:hAnsi="Book Antiqua" w:cs="Book Antiqua"/>
          <w:i/>
          <w:iCs/>
          <w:color w:val="000000"/>
        </w:rPr>
        <w:t xml:space="preserve">et </w:t>
      </w:r>
      <w:proofErr w:type="gramStart"/>
      <w:r w:rsidRPr="00B10C5F">
        <w:rPr>
          <w:rFonts w:ascii="Book Antiqua" w:eastAsia="Book Antiqua" w:hAnsi="Book Antiqua" w:cs="Book Antiqua"/>
          <w:i/>
          <w:iCs/>
          <w:color w:val="000000"/>
        </w:rPr>
        <w:t>al</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32]</w:t>
      </w:r>
      <w:r w:rsidRPr="00B10C5F">
        <w:rPr>
          <w:rFonts w:ascii="Book Antiqua" w:eastAsia="Book Antiqua" w:hAnsi="Book Antiqua" w:cs="Book Antiqua"/>
          <w:color w:val="000000"/>
        </w:rPr>
        <w:t xml:space="preserve"> show</w:t>
      </w:r>
      <w:r w:rsidR="00B31488">
        <w:rPr>
          <w:rFonts w:ascii="Book Antiqua" w:eastAsia="Book Antiqua" w:hAnsi="Book Antiqua" w:cs="Book Antiqua"/>
          <w:color w:val="000000"/>
        </w:rPr>
        <w:t>ed</w:t>
      </w:r>
      <w:r w:rsidRPr="00B10C5F">
        <w:rPr>
          <w:rFonts w:ascii="Book Antiqua" w:eastAsia="Book Antiqua" w:hAnsi="Book Antiqua" w:cs="Book Antiqua"/>
          <w:color w:val="000000"/>
        </w:rPr>
        <w:t xml:space="preserve"> that choledocholithiasis with a non-dilated CBD (CBD diameter &lt; 8 mm) was more likely to suffer postoperative bile leak than those with dilated CBD (CBD diameter ≥ 8 mm) (22.2%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3.0%). However, it should be noted that in their studies, the sample size of small CBD choledocholithiasis was small (only </w:t>
      </w:r>
      <w:r w:rsidR="00B31488">
        <w:rPr>
          <w:rFonts w:ascii="Book Antiqua" w:eastAsia="Book Antiqua" w:hAnsi="Book Antiqua" w:cs="Book Antiqua"/>
          <w:color w:val="000000"/>
        </w:rPr>
        <w:t>nine</w:t>
      </w:r>
      <w:r w:rsidRPr="00B10C5F">
        <w:rPr>
          <w:rFonts w:ascii="Book Antiqua" w:eastAsia="Book Antiqua" w:hAnsi="Book Antiqua" w:cs="Book Antiqua"/>
          <w:color w:val="000000"/>
        </w:rPr>
        <w:t xml:space="preserve"> cases). It was speculated that the reason for this result may be the lack of experience in LCBDE for choledocholithiasis with small CBD. Khaled </w:t>
      </w:r>
      <w:r w:rsidRPr="00B10C5F">
        <w:rPr>
          <w:rFonts w:ascii="Book Antiqua" w:eastAsia="Book Antiqua" w:hAnsi="Book Antiqua" w:cs="Book Antiqua"/>
          <w:i/>
          <w:iCs/>
          <w:color w:val="000000"/>
        </w:rPr>
        <w:t xml:space="preserve">et </w:t>
      </w:r>
      <w:proofErr w:type="gramStart"/>
      <w:r w:rsidRPr="00B10C5F">
        <w:rPr>
          <w:rFonts w:ascii="Book Antiqua" w:eastAsia="Book Antiqua" w:hAnsi="Book Antiqua" w:cs="Book Antiqua"/>
          <w:i/>
          <w:iCs/>
          <w:color w:val="000000"/>
        </w:rPr>
        <w:t>al</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33]</w:t>
      </w:r>
      <w:r w:rsidRPr="00B10C5F">
        <w:rPr>
          <w:rFonts w:ascii="Book Antiqua" w:eastAsia="Book Antiqua" w:hAnsi="Book Antiqua" w:cs="Book Antiqua"/>
          <w:color w:val="000000"/>
        </w:rPr>
        <w:t xml:space="preserve"> reported that there was a learning curve with the procedure of LCBDE, and the risk of bile leak was reduced with growing experience of the surgeon as the rate of bile leak was decreased from 3.5% (2/57) in the first 5 years to 1.5% (1/68) in the subsequent 5 years (the average CBD diameter was 9.4 mm). In our opinion, appropriate patient selection is essential to avoid postoperative bile leak for </w:t>
      </w:r>
      <w:hyperlink r:id="rId13" w:tgtFrame="_blank" w:history="1">
        <w:r w:rsidRPr="00B10C5F">
          <w:rPr>
            <w:rFonts w:ascii="Book Antiqua" w:eastAsia="Book Antiqua" w:hAnsi="Book Antiqua" w:cs="Book Antiqua"/>
            <w:color w:val="000000"/>
            <w:u w:color="0000EE"/>
          </w:rPr>
          <w:t>choledocholithiasis</w:t>
        </w:r>
      </w:hyperlink>
      <w:r w:rsidRPr="00B10C5F">
        <w:rPr>
          <w:rFonts w:ascii="Book Antiqua" w:eastAsia="Book Antiqua" w:hAnsi="Book Antiqua" w:cs="Book Antiqua"/>
          <w:color w:val="000000"/>
        </w:rPr>
        <w:t xml:space="preserve"> with small CBD. In patients with small CBD, inflammatory edema of the CBD wall is more likely to cause difficulty in suture if complicated with acute cholangitis</w:t>
      </w:r>
      <w:r w:rsidR="00B5475E">
        <w:rPr>
          <w:rFonts w:ascii="Book Antiqua" w:eastAsia="Book Antiqua" w:hAnsi="Book Antiqua" w:cs="Book Antiqua"/>
          <w:color w:val="000000"/>
        </w:rPr>
        <w:t>, a</w:t>
      </w:r>
      <w:r w:rsidRPr="00B10C5F">
        <w:rPr>
          <w:rFonts w:ascii="Book Antiqua" w:eastAsia="Book Antiqua" w:hAnsi="Book Antiqua" w:cs="Book Antiqua"/>
          <w:color w:val="000000"/>
        </w:rPr>
        <w:t xml:space="preserve">nd it will cause relaxation of </w:t>
      </w:r>
      <w:r w:rsidR="00B5475E">
        <w:rPr>
          <w:rFonts w:ascii="Book Antiqua" w:eastAsia="Book Antiqua" w:hAnsi="Book Antiqua" w:cs="Book Antiqua"/>
          <w:color w:val="000000"/>
        </w:rPr>
        <w:t xml:space="preserve">the </w:t>
      </w:r>
      <w:r w:rsidRPr="00B10C5F">
        <w:rPr>
          <w:rFonts w:ascii="Book Antiqua" w:eastAsia="Book Antiqua" w:hAnsi="Book Antiqua" w:cs="Book Antiqua"/>
          <w:color w:val="000000"/>
        </w:rPr>
        <w:t>suture when the inflammatory edema subsides after surgery. All of these causes would increase the risk of postoperative bile leak. In this study, all surge</w:t>
      </w:r>
      <w:r w:rsidR="00B5475E">
        <w:rPr>
          <w:rFonts w:ascii="Book Antiqua" w:eastAsia="Book Antiqua" w:hAnsi="Book Antiqua" w:cs="Book Antiqua"/>
          <w:color w:val="000000"/>
        </w:rPr>
        <w:t>ries</w:t>
      </w:r>
      <w:r w:rsidRPr="00B10C5F">
        <w:rPr>
          <w:rFonts w:ascii="Book Antiqua" w:eastAsia="Book Antiqua" w:hAnsi="Book Antiqua" w:cs="Book Antiqua"/>
          <w:color w:val="000000"/>
        </w:rPr>
        <w:t xml:space="preserve"> were performed by highly experienced general surgeons with a wealth of laparoscopic suture techniques, and those patients with acute cholangitis were excluded to reduce the effect of CBD wall edema. The overall postoperative bile leak rate was 5.8% in this study, which was comparable to that of 3.8</w:t>
      </w:r>
      <w:r w:rsidR="00EA4D5A" w:rsidRPr="00B10C5F">
        <w:rPr>
          <w:rFonts w:ascii="Book Antiqua" w:hAnsi="Book Antiqua" w:cs="Book Antiqua"/>
          <w:color w:val="000000"/>
          <w:lang w:eastAsia="zh-CN"/>
        </w:rPr>
        <w:t>%</w:t>
      </w:r>
      <w:r w:rsidR="00977660">
        <w:rPr>
          <w:rFonts w:ascii="Book Antiqua" w:eastAsia="Book Antiqua" w:hAnsi="Book Antiqua" w:cs="Book Antiqua"/>
          <w:color w:val="000000"/>
        </w:rPr>
        <w:t>-</w:t>
      </w:r>
      <w:r w:rsidRPr="00B10C5F">
        <w:rPr>
          <w:rFonts w:ascii="Book Antiqua" w:eastAsia="Book Antiqua" w:hAnsi="Book Antiqua" w:cs="Book Antiqua"/>
          <w:color w:val="000000"/>
        </w:rPr>
        <w:t xml:space="preserve">11.3% reported by </w:t>
      </w:r>
      <w:proofErr w:type="gramStart"/>
      <w:r w:rsidRPr="00B10C5F">
        <w:rPr>
          <w:rFonts w:ascii="Book Antiqua" w:eastAsia="Book Antiqua" w:hAnsi="Book Antiqua" w:cs="Book Antiqua"/>
          <w:color w:val="000000"/>
        </w:rPr>
        <w:t>others</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34</w:t>
      </w:r>
      <w:r w:rsidR="00EA4D5A"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37]</w:t>
      </w:r>
      <w:r w:rsidRPr="00B10C5F">
        <w:rPr>
          <w:rFonts w:ascii="Book Antiqua" w:eastAsia="Book Antiqua" w:hAnsi="Book Antiqua" w:cs="Book Antiqua"/>
          <w:color w:val="000000"/>
        </w:rPr>
        <w:t xml:space="preserve">. Besides, the bile leak rate was found to be 5.4% in patients with small CBD, which was not significantly different from those with large CBD (6.2%), and this is comparable to the bile leak rates of 5.8%-8.1% in patients with CBD ≥ 10 mm as reported </w:t>
      </w:r>
      <w:proofErr w:type="gramStart"/>
      <w:r w:rsidRPr="00B10C5F">
        <w:rPr>
          <w:rFonts w:ascii="Book Antiqua" w:eastAsia="Book Antiqua" w:hAnsi="Book Antiqua" w:cs="Book Antiqua"/>
          <w:color w:val="000000"/>
        </w:rPr>
        <w:t>previously</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35</w:t>
      </w:r>
      <w:r w:rsidR="00EA4D5A"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38]</w:t>
      </w:r>
      <w:r w:rsidRPr="00B10C5F">
        <w:rPr>
          <w:rFonts w:ascii="Book Antiqua" w:eastAsia="Book Antiqua" w:hAnsi="Book Antiqua" w:cs="Book Antiqua"/>
          <w:color w:val="000000"/>
        </w:rPr>
        <w:t xml:space="preserve">. Thus, it was believed that it is safe and feasible for small CBD patients to perform LCBDE and </w:t>
      </w:r>
      <w:r w:rsidR="00B5475E">
        <w:rPr>
          <w:rFonts w:ascii="Book Antiqua" w:eastAsia="Book Antiqua" w:hAnsi="Book Antiqua" w:cs="Book Antiqua"/>
          <w:color w:val="000000"/>
        </w:rPr>
        <w:t xml:space="preserve">that </w:t>
      </w:r>
      <w:r w:rsidRPr="00B10C5F">
        <w:rPr>
          <w:rFonts w:ascii="Book Antiqua" w:eastAsia="Book Antiqua" w:hAnsi="Book Antiqua" w:cs="Book Antiqua"/>
          <w:color w:val="000000"/>
        </w:rPr>
        <w:t xml:space="preserve">it will not increase the risk of postoperative bile leak as long as appropriate cases are selected. </w:t>
      </w:r>
    </w:p>
    <w:p w14:paraId="3DF814D3" w14:textId="68A66842" w:rsidR="00A77B3E" w:rsidRPr="00B10C5F" w:rsidRDefault="008E015A" w:rsidP="00B10C5F">
      <w:pPr>
        <w:adjustRightInd w:val="0"/>
        <w:snapToGrid w:val="0"/>
        <w:spacing w:line="360" w:lineRule="auto"/>
        <w:ind w:firstLineChars="200" w:firstLine="480"/>
        <w:jc w:val="both"/>
        <w:rPr>
          <w:rFonts w:ascii="Book Antiqua" w:hAnsi="Book Antiqua"/>
        </w:rPr>
      </w:pPr>
      <w:r w:rsidRPr="00B10C5F">
        <w:rPr>
          <w:rFonts w:ascii="Book Antiqua" w:eastAsia="Book Antiqua" w:hAnsi="Book Antiqua" w:cs="Book Antiqua"/>
          <w:color w:val="000000"/>
        </w:rPr>
        <w:lastRenderedPageBreak/>
        <w:t xml:space="preserve">Hua </w:t>
      </w:r>
      <w:r w:rsidRPr="00B10C5F">
        <w:rPr>
          <w:rFonts w:ascii="Book Antiqua" w:eastAsia="Book Antiqua" w:hAnsi="Book Antiqua" w:cs="Book Antiqua"/>
          <w:i/>
          <w:iCs/>
          <w:color w:val="000000"/>
        </w:rPr>
        <w:t xml:space="preserve">et </w:t>
      </w:r>
      <w:proofErr w:type="gramStart"/>
      <w:r w:rsidRPr="00B10C5F">
        <w:rPr>
          <w:rFonts w:ascii="Book Antiqua" w:eastAsia="Book Antiqua" w:hAnsi="Book Antiqua" w:cs="Book Antiqua"/>
          <w:i/>
          <w:iCs/>
          <w:color w:val="000000"/>
        </w:rPr>
        <w:t>al</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32]</w:t>
      </w:r>
      <w:r w:rsidRPr="00B10C5F">
        <w:rPr>
          <w:rFonts w:ascii="Book Antiqua" w:eastAsia="Book Antiqua" w:hAnsi="Book Antiqua" w:cs="Book Antiqua"/>
          <w:color w:val="000000"/>
        </w:rPr>
        <w:t xml:space="preserve"> found that CBDS clearance </w:t>
      </w:r>
      <w:r w:rsidR="00B5475E">
        <w:rPr>
          <w:rFonts w:ascii="Book Antiqua" w:eastAsia="Book Antiqua" w:hAnsi="Book Antiqua" w:cs="Book Antiqua"/>
          <w:color w:val="000000"/>
        </w:rPr>
        <w:t>is a</w:t>
      </w:r>
      <w:r w:rsidRPr="00B10C5F">
        <w:rPr>
          <w:rFonts w:ascii="Book Antiqua" w:eastAsia="Book Antiqua" w:hAnsi="Book Antiqua" w:cs="Book Antiqua"/>
          <w:color w:val="000000"/>
        </w:rPr>
        <w:t xml:space="preserve"> significant risk factor for bile leak. </w:t>
      </w:r>
      <w:r w:rsidR="00B5475E">
        <w:rPr>
          <w:rFonts w:ascii="Book Antiqua" w:eastAsia="Book Antiqua" w:hAnsi="Book Antiqua" w:cs="Book Antiqua"/>
          <w:color w:val="000000"/>
        </w:rPr>
        <w:t xml:space="preserve">With </w:t>
      </w:r>
      <w:r w:rsidRPr="00B10C5F">
        <w:rPr>
          <w:rFonts w:ascii="Book Antiqua" w:eastAsia="Book Antiqua" w:hAnsi="Book Antiqua" w:cs="Book Antiqua"/>
          <w:color w:val="000000"/>
        </w:rPr>
        <w:t>residual stones, intraluminal pressure in</w:t>
      </w:r>
      <w:r w:rsidR="00B5475E">
        <w:rPr>
          <w:rFonts w:ascii="Book Antiqua" w:eastAsia="Book Antiqua" w:hAnsi="Book Antiqua" w:cs="Book Antiqua"/>
          <w:color w:val="000000"/>
        </w:rPr>
        <w:t xml:space="preserve"> the</w:t>
      </w:r>
      <w:r w:rsidRPr="00B10C5F">
        <w:rPr>
          <w:rFonts w:ascii="Book Antiqua" w:eastAsia="Book Antiqua" w:hAnsi="Book Antiqua" w:cs="Book Antiqua"/>
          <w:color w:val="000000"/>
        </w:rPr>
        <w:t xml:space="preserve"> bile duct will increase, and bile fluid will leak from the suturing site. Lauter</w:t>
      </w:r>
      <w:r w:rsidRPr="00B10C5F">
        <w:rPr>
          <w:rFonts w:ascii="Book Antiqua" w:eastAsia="Book Antiqua" w:hAnsi="Book Antiqua" w:cs="Book Antiqua"/>
          <w:i/>
          <w:iCs/>
          <w:color w:val="000000"/>
        </w:rPr>
        <w:t xml:space="preserve"> et </w:t>
      </w:r>
      <w:proofErr w:type="gramStart"/>
      <w:r w:rsidRPr="00B10C5F">
        <w:rPr>
          <w:rFonts w:ascii="Book Antiqua" w:eastAsia="Book Antiqua" w:hAnsi="Book Antiqua" w:cs="Book Antiqua"/>
          <w:i/>
          <w:iCs/>
          <w:color w:val="000000"/>
        </w:rPr>
        <w:t>al</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39]</w:t>
      </w:r>
      <w:r w:rsidR="007E4434" w:rsidRPr="00B10C5F">
        <w:rPr>
          <w:rFonts w:ascii="Book Antiqua" w:eastAsia="Book Antiqua" w:hAnsi="Book Antiqua" w:cs="Book Antiqua"/>
          <w:color w:val="000000"/>
          <w:vertAlign w:val="superscript"/>
        </w:rPr>
        <w:t xml:space="preserve"> </w:t>
      </w:r>
      <w:r w:rsidRPr="00B10C5F">
        <w:rPr>
          <w:rFonts w:ascii="Book Antiqua" w:eastAsia="Book Antiqua" w:hAnsi="Book Antiqua" w:cs="Book Antiqua"/>
          <w:color w:val="000000"/>
        </w:rPr>
        <w:t xml:space="preserve">reported that 11 of 71 patients (15.5%) had residual stones after LCBDE. However, in our series, the rate of residual stones was 2.3%, which is lower than that in previously published series. This may be due to the development of </w:t>
      </w:r>
      <w:proofErr w:type="spellStart"/>
      <w:r w:rsidRPr="00B10C5F">
        <w:rPr>
          <w:rFonts w:ascii="Book Antiqua" w:eastAsia="Book Antiqua" w:hAnsi="Book Antiqua" w:cs="Book Antiqua"/>
          <w:color w:val="000000"/>
        </w:rPr>
        <w:t>choledochoscopy</w:t>
      </w:r>
      <w:proofErr w:type="spellEnd"/>
      <w:r w:rsidRPr="00B10C5F">
        <w:rPr>
          <w:rFonts w:ascii="Book Antiqua" w:eastAsia="Book Antiqua" w:hAnsi="Book Antiqua" w:cs="Book Antiqua"/>
          <w:color w:val="000000"/>
        </w:rPr>
        <w:t xml:space="preserve"> technology with optical magnification, direct visualization</w:t>
      </w:r>
      <w:r w:rsidR="00B5475E">
        <w:rPr>
          <w:rFonts w:ascii="Book Antiqua" w:eastAsia="Book Antiqua" w:hAnsi="Book Antiqua" w:cs="Book Antiqua"/>
          <w:color w:val="000000"/>
        </w:rPr>
        <w:t>,</w:t>
      </w:r>
      <w:r w:rsidRPr="00B10C5F">
        <w:rPr>
          <w:rFonts w:ascii="Book Antiqua" w:eastAsia="Book Antiqua" w:hAnsi="Book Antiqua" w:cs="Book Antiqua"/>
          <w:color w:val="000000"/>
        </w:rPr>
        <w:t xml:space="preserve"> and clearer vision. Besides, repeated confirmation before closing the CBD also increased the clearance rate of CBDS.</w:t>
      </w:r>
    </w:p>
    <w:p w14:paraId="7143A988" w14:textId="6A11918D" w:rsidR="00A77B3E" w:rsidRPr="00B10C5F" w:rsidRDefault="008E015A" w:rsidP="00B10C5F">
      <w:pPr>
        <w:adjustRightInd w:val="0"/>
        <w:snapToGrid w:val="0"/>
        <w:spacing w:line="360" w:lineRule="auto"/>
        <w:ind w:firstLineChars="100" w:firstLine="240"/>
        <w:jc w:val="both"/>
        <w:rPr>
          <w:rFonts w:ascii="Book Antiqua" w:hAnsi="Book Antiqua"/>
        </w:rPr>
      </w:pPr>
      <w:r w:rsidRPr="00B10C5F">
        <w:rPr>
          <w:rFonts w:ascii="Book Antiqua" w:eastAsia="Book Antiqua" w:hAnsi="Book Antiqua" w:cs="Book Antiqua"/>
          <w:color w:val="000000"/>
        </w:rPr>
        <w:t>As for postoperative choledochal stenosis, no evidence has shown that LCBDE with primary closure would increase the risk of choledochal stenosis, even in small CBD patients. Cai</w:t>
      </w:r>
      <w:r w:rsidRPr="00B10C5F">
        <w:rPr>
          <w:rFonts w:ascii="Book Antiqua" w:eastAsia="Book Antiqua" w:hAnsi="Book Antiqua" w:cs="Book Antiqua"/>
          <w:i/>
          <w:iCs/>
          <w:color w:val="000000"/>
        </w:rPr>
        <w:t xml:space="preserve"> et </w:t>
      </w:r>
      <w:proofErr w:type="gramStart"/>
      <w:r w:rsidRPr="00B10C5F">
        <w:rPr>
          <w:rFonts w:ascii="Book Antiqua" w:eastAsia="Book Antiqua" w:hAnsi="Book Antiqua" w:cs="Book Antiqua"/>
          <w:i/>
          <w:iCs/>
          <w:color w:val="000000"/>
        </w:rPr>
        <w:t>al</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40]</w:t>
      </w:r>
      <w:r w:rsidR="00EA4D5A" w:rsidRPr="00B10C5F">
        <w:rPr>
          <w:rFonts w:ascii="Book Antiqua" w:eastAsia="Book Antiqua" w:hAnsi="Book Antiqua" w:cs="Book Antiqua"/>
          <w:color w:val="000000"/>
          <w:vertAlign w:val="superscript"/>
        </w:rPr>
        <w:t xml:space="preserve"> </w:t>
      </w:r>
      <w:r w:rsidRPr="00B10C5F">
        <w:rPr>
          <w:rFonts w:ascii="Book Antiqua" w:eastAsia="Book Antiqua" w:hAnsi="Book Antiqua" w:cs="Book Antiqua"/>
          <w:color w:val="000000"/>
        </w:rPr>
        <w:t xml:space="preserve">showed that no postoperative choledochal stenosis was found in 223 patients with a median follow-up of 26 </w:t>
      </w:r>
      <w:proofErr w:type="spellStart"/>
      <w:r w:rsidRPr="00B10C5F">
        <w:rPr>
          <w:rFonts w:ascii="Book Antiqua" w:eastAsia="Book Antiqua" w:hAnsi="Book Antiqua" w:cs="Book Antiqua"/>
          <w:color w:val="000000"/>
        </w:rPr>
        <w:t>mo</w:t>
      </w:r>
      <w:proofErr w:type="spellEnd"/>
      <w:r w:rsidRPr="00B10C5F">
        <w:rPr>
          <w:rFonts w:ascii="Book Antiqua" w:eastAsia="Book Antiqua" w:hAnsi="Book Antiqua" w:cs="Book Antiqua"/>
          <w:color w:val="000000"/>
        </w:rPr>
        <w:t xml:space="preserve">, including 137 patients of primary closure and 102 patients of T-tube drainage. Khaled </w:t>
      </w:r>
      <w:r w:rsidRPr="00B10C5F">
        <w:rPr>
          <w:rFonts w:ascii="Book Antiqua" w:eastAsia="Book Antiqua" w:hAnsi="Book Antiqua" w:cs="Book Antiqua"/>
          <w:i/>
          <w:iCs/>
          <w:color w:val="000000"/>
        </w:rPr>
        <w:t xml:space="preserve">et </w:t>
      </w:r>
      <w:proofErr w:type="gramStart"/>
      <w:r w:rsidRPr="00B10C5F">
        <w:rPr>
          <w:rFonts w:ascii="Book Antiqua" w:eastAsia="Book Antiqua" w:hAnsi="Book Antiqua" w:cs="Book Antiqua"/>
          <w:i/>
          <w:iCs/>
          <w:color w:val="000000"/>
        </w:rPr>
        <w:t>al</w:t>
      </w:r>
      <w:r w:rsidRPr="00B10C5F">
        <w:rPr>
          <w:rFonts w:ascii="Book Antiqua" w:eastAsia="Book Antiqua" w:hAnsi="Book Antiqua" w:cs="Book Antiqua"/>
          <w:color w:val="000000"/>
          <w:vertAlign w:val="superscript"/>
        </w:rPr>
        <w:t>[</w:t>
      </w:r>
      <w:proofErr w:type="gramEnd"/>
      <w:r w:rsidRPr="00B10C5F">
        <w:rPr>
          <w:rFonts w:ascii="Book Antiqua" w:eastAsia="Book Antiqua" w:hAnsi="Book Antiqua" w:cs="Book Antiqua"/>
          <w:color w:val="000000"/>
          <w:vertAlign w:val="superscript"/>
        </w:rPr>
        <w:t>33]</w:t>
      </w:r>
      <w:r w:rsidR="00EA4D5A" w:rsidRPr="00B10C5F">
        <w:rPr>
          <w:rFonts w:ascii="Book Antiqua" w:eastAsia="Book Antiqua" w:hAnsi="Book Antiqua" w:cs="Book Antiqua"/>
          <w:color w:val="000000"/>
          <w:vertAlign w:val="superscript"/>
        </w:rPr>
        <w:t xml:space="preserve"> </w:t>
      </w:r>
      <w:r w:rsidRPr="00B10C5F">
        <w:rPr>
          <w:rFonts w:ascii="Book Antiqua" w:eastAsia="Book Antiqua" w:hAnsi="Book Antiqua" w:cs="Book Antiqua"/>
          <w:color w:val="000000"/>
        </w:rPr>
        <w:t xml:space="preserve">reported postoperative choledochal stenosis was found in </w:t>
      </w:r>
      <w:r w:rsidR="00B5475E">
        <w:rPr>
          <w:rFonts w:ascii="Book Antiqua" w:eastAsia="Book Antiqua" w:hAnsi="Book Antiqua" w:cs="Book Antiqua"/>
          <w:color w:val="000000"/>
        </w:rPr>
        <w:t>one</w:t>
      </w:r>
      <w:r w:rsidRPr="00B10C5F">
        <w:rPr>
          <w:rFonts w:ascii="Book Antiqua" w:eastAsia="Book Antiqua" w:hAnsi="Book Antiqua" w:cs="Book Antiqua"/>
          <w:color w:val="000000"/>
        </w:rPr>
        <w:t xml:space="preserve"> of 120 patients</w:t>
      </w:r>
      <w:r w:rsidR="00EA4D5A"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(0.8%)</w:t>
      </w:r>
      <w:r w:rsidR="00B5475E">
        <w:rPr>
          <w:rFonts w:ascii="Book Antiqua" w:eastAsia="Book Antiqua" w:hAnsi="Book Antiqua" w:cs="Book Antiqua"/>
          <w:color w:val="000000"/>
        </w:rPr>
        <w:t>,</w:t>
      </w:r>
      <w:r w:rsidRPr="00B10C5F">
        <w:rPr>
          <w:rFonts w:ascii="Book Antiqua" w:eastAsia="Book Antiqua" w:hAnsi="Book Antiqua" w:cs="Book Antiqua"/>
          <w:color w:val="000000"/>
        </w:rPr>
        <w:t xml:space="preserve"> with primary closure following LCBDE with a median follow-up of 39.2 </w:t>
      </w:r>
      <w:proofErr w:type="spellStart"/>
      <w:r w:rsidRPr="00B10C5F">
        <w:rPr>
          <w:rFonts w:ascii="Book Antiqua" w:eastAsia="Book Antiqua" w:hAnsi="Book Antiqua" w:cs="Book Antiqua"/>
          <w:color w:val="000000"/>
        </w:rPr>
        <w:t>mo</w:t>
      </w:r>
      <w:proofErr w:type="spellEnd"/>
      <w:r w:rsidR="00B5475E">
        <w:rPr>
          <w:rFonts w:ascii="Book Antiqua" w:eastAsia="Book Antiqua" w:hAnsi="Book Antiqua" w:cs="Book Antiqua"/>
          <w:color w:val="000000"/>
        </w:rPr>
        <w:t xml:space="preserve"> (</w:t>
      </w:r>
      <w:r w:rsidRPr="00B10C5F">
        <w:rPr>
          <w:rFonts w:ascii="Book Antiqua" w:eastAsia="Book Antiqua" w:hAnsi="Book Antiqua" w:cs="Book Antiqua"/>
          <w:color w:val="000000"/>
        </w:rPr>
        <w:t>mean CBD diameter was 9.4 mm</w:t>
      </w:r>
      <w:r w:rsidR="00B5475E">
        <w:rPr>
          <w:rFonts w:ascii="Book Antiqua" w:eastAsia="Book Antiqua" w:hAnsi="Book Antiqua" w:cs="Book Antiqua"/>
          <w:color w:val="000000"/>
        </w:rPr>
        <w:t>)</w:t>
      </w:r>
      <w:r w:rsidRPr="00B10C5F">
        <w:rPr>
          <w:rFonts w:ascii="Book Antiqua" w:eastAsia="Book Antiqua" w:hAnsi="Book Antiqua" w:cs="Book Antiqua"/>
          <w:color w:val="000000"/>
        </w:rPr>
        <w:t xml:space="preserve">. In this study, no postoperative choledochal stenosis was found in either </w:t>
      </w:r>
      <w:r w:rsidR="00B5475E">
        <w:rPr>
          <w:rFonts w:ascii="Book Antiqua" w:eastAsia="Book Antiqua" w:hAnsi="Book Antiqua" w:cs="Book Antiqua"/>
          <w:color w:val="000000"/>
        </w:rPr>
        <w:t xml:space="preserve">the </w:t>
      </w:r>
      <w:r w:rsidRPr="00B10C5F">
        <w:rPr>
          <w:rFonts w:ascii="Book Antiqua" w:eastAsia="Book Antiqua" w:hAnsi="Book Antiqua" w:cs="Book Antiqua"/>
          <w:color w:val="000000"/>
        </w:rPr>
        <w:t>small CBD group or</w:t>
      </w:r>
      <w:r w:rsidR="00B5475E">
        <w:rPr>
          <w:rFonts w:ascii="Book Antiqua" w:eastAsia="Book Antiqua" w:hAnsi="Book Antiqua" w:cs="Book Antiqua"/>
          <w:color w:val="000000"/>
        </w:rPr>
        <w:t xml:space="preserve"> the</w:t>
      </w:r>
      <w:r w:rsidRPr="00B10C5F">
        <w:rPr>
          <w:rFonts w:ascii="Book Antiqua" w:eastAsia="Book Antiqua" w:hAnsi="Book Antiqua" w:cs="Book Antiqua"/>
          <w:color w:val="000000"/>
        </w:rPr>
        <w:t xml:space="preserve"> large CBD group </w:t>
      </w:r>
      <w:r w:rsidRPr="00B10C5F">
        <w:rPr>
          <w:rFonts w:ascii="Book Antiqua" w:eastAsia="Book Antiqua" w:hAnsi="Book Antiqua" w:cs="Book Antiqua"/>
          <w:color w:val="000000"/>
          <w:shd w:val="clear" w:color="auto" w:fill="FFFFFF"/>
        </w:rPr>
        <w:t xml:space="preserve">with a </w:t>
      </w:r>
      <w:r w:rsidRPr="00B10C5F">
        <w:rPr>
          <w:rFonts w:ascii="Book Antiqua" w:eastAsia="Book Antiqua" w:hAnsi="Book Antiqua" w:cs="Book Antiqua"/>
          <w:color w:val="000000"/>
        </w:rPr>
        <w:t>mean</w:t>
      </w:r>
      <w:r w:rsidRPr="00B10C5F">
        <w:rPr>
          <w:rFonts w:ascii="Book Antiqua" w:eastAsia="Book Antiqua" w:hAnsi="Book Antiqua" w:cs="Book Antiqua"/>
          <w:color w:val="000000"/>
          <w:shd w:val="clear" w:color="auto" w:fill="FFFFFF"/>
        </w:rPr>
        <w:t xml:space="preserve"> </w:t>
      </w:r>
      <w:r w:rsidRPr="00B10C5F">
        <w:rPr>
          <w:rFonts w:ascii="Book Antiqua" w:eastAsia="Book Antiqua" w:hAnsi="Book Antiqua" w:cs="Book Antiqua"/>
          <w:color w:val="000000"/>
        </w:rPr>
        <w:t>follow-up</w:t>
      </w:r>
      <w:r w:rsidRPr="00B10C5F">
        <w:rPr>
          <w:rFonts w:ascii="Book Antiqua" w:eastAsia="Book Antiqua" w:hAnsi="Book Antiqua" w:cs="Book Antiqua"/>
          <w:color w:val="000000"/>
          <w:shd w:val="clear" w:color="auto" w:fill="FFFFFF"/>
        </w:rPr>
        <w:t xml:space="preserve"> period </w:t>
      </w:r>
      <w:r w:rsidRPr="00B10C5F">
        <w:rPr>
          <w:rFonts w:ascii="Book Antiqua" w:eastAsia="Book Antiqua" w:hAnsi="Book Antiqua" w:cs="Book Antiqua"/>
          <w:color w:val="000000"/>
        </w:rPr>
        <w:t>of</w:t>
      </w:r>
      <w:r w:rsidRPr="00B10C5F">
        <w:rPr>
          <w:rFonts w:ascii="Book Antiqua" w:eastAsia="Book Antiqua" w:hAnsi="Book Antiqua" w:cs="Book Antiqua"/>
          <w:color w:val="000000"/>
          <w:shd w:val="clear" w:color="auto" w:fill="FFFFFF"/>
        </w:rPr>
        <w:t xml:space="preserve"> </w:t>
      </w:r>
      <w:r w:rsidRPr="00B10C5F">
        <w:rPr>
          <w:rFonts w:ascii="Book Antiqua" w:eastAsia="Book Antiqua" w:hAnsi="Book Antiqua" w:cs="Book Antiqua"/>
          <w:color w:val="000000"/>
        </w:rPr>
        <w:t>39</w:t>
      </w:r>
      <w:r w:rsidRPr="00B10C5F">
        <w:rPr>
          <w:rFonts w:ascii="Book Antiqua" w:eastAsia="Book Antiqua" w:hAnsi="Book Antiqua" w:cs="Book Antiqua"/>
          <w:color w:val="000000"/>
          <w:shd w:val="clear" w:color="auto" w:fill="FFFFFF"/>
        </w:rPr>
        <w:t xml:space="preserve"> </w:t>
      </w:r>
      <w:r w:rsidRPr="00B10C5F">
        <w:rPr>
          <w:rFonts w:ascii="Book Antiqua" w:eastAsia="Book Antiqua" w:hAnsi="Book Antiqua" w:cs="Book Antiqua"/>
          <w:color w:val="000000"/>
        </w:rPr>
        <w:t xml:space="preserve">mo. Postoperative choledochal stenosis after LCBDE seems to </w:t>
      </w:r>
      <w:r w:rsidR="00B5475E">
        <w:rPr>
          <w:rFonts w:ascii="Book Antiqua" w:eastAsia="Book Antiqua" w:hAnsi="Book Antiqua" w:cs="Book Antiqua"/>
          <w:color w:val="000000"/>
        </w:rPr>
        <w:t xml:space="preserve">occur </w:t>
      </w:r>
      <w:r w:rsidRPr="00B10C5F">
        <w:rPr>
          <w:rFonts w:ascii="Book Antiqua" w:eastAsia="Book Antiqua" w:hAnsi="Book Antiqua" w:cs="Book Antiqua"/>
          <w:color w:val="000000"/>
        </w:rPr>
        <w:t>rarely regardless of the CBD diameter. These results revealed that the primary closure after LCBDE can be performed without increasing the risk of postoperative choledochal stenosis in patients with small CBD.</w:t>
      </w:r>
    </w:p>
    <w:p w14:paraId="4BCBC02A" w14:textId="71B4D1A5" w:rsidR="00A77B3E" w:rsidRPr="00B10C5F" w:rsidRDefault="008E015A" w:rsidP="00B10C5F">
      <w:pPr>
        <w:adjustRightInd w:val="0"/>
        <w:snapToGrid w:val="0"/>
        <w:spacing w:line="360" w:lineRule="auto"/>
        <w:ind w:firstLineChars="100" w:firstLine="240"/>
        <w:jc w:val="both"/>
        <w:rPr>
          <w:rFonts w:ascii="Book Antiqua" w:hAnsi="Book Antiqua"/>
        </w:rPr>
      </w:pPr>
      <w:r w:rsidRPr="00B10C5F">
        <w:rPr>
          <w:rFonts w:ascii="Book Antiqua" w:eastAsia="Book Antiqua" w:hAnsi="Book Antiqua" w:cs="Book Antiqua"/>
          <w:color w:val="000000"/>
        </w:rPr>
        <w:t>This study also ha</w:t>
      </w:r>
      <w:r w:rsidR="00B5475E">
        <w:rPr>
          <w:rFonts w:ascii="Book Antiqua" w:eastAsia="Book Antiqua" w:hAnsi="Book Antiqua" w:cs="Book Antiqua"/>
          <w:color w:val="000000"/>
        </w:rPr>
        <w:t>s</w:t>
      </w:r>
      <w:r w:rsidRPr="00B10C5F">
        <w:rPr>
          <w:rFonts w:ascii="Book Antiqua" w:eastAsia="Book Antiqua" w:hAnsi="Book Antiqua" w:cs="Book Antiqua"/>
          <w:color w:val="000000"/>
        </w:rPr>
        <w:t xml:space="preserve"> its limitations. Although the effects of confounding factors were adjusted by performing propensity score matching, due to its retrospective nature, there may be selection bias between the two groups. Additional randomized controlled trials are needed to </w:t>
      </w:r>
      <w:r w:rsidR="00B5475E">
        <w:rPr>
          <w:rFonts w:ascii="Book Antiqua" w:eastAsia="Book Antiqua" w:hAnsi="Book Antiqua" w:cs="Book Antiqua"/>
          <w:color w:val="000000"/>
        </w:rPr>
        <w:t xml:space="preserve">validate </w:t>
      </w:r>
      <w:r w:rsidRPr="00B10C5F">
        <w:rPr>
          <w:rFonts w:ascii="Book Antiqua" w:eastAsia="Book Antiqua" w:hAnsi="Book Antiqua" w:cs="Book Antiqua"/>
          <w:color w:val="000000"/>
        </w:rPr>
        <w:t>further these findings.</w:t>
      </w:r>
    </w:p>
    <w:bookmarkEnd w:id="18"/>
    <w:bookmarkEnd w:id="19"/>
    <w:p w14:paraId="6297EB8A" w14:textId="77777777" w:rsidR="00A77B3E" w:rsidRPr="00B10C5F" w:rsidRDefault="00A77B3E" w:rsidP="00B10C5F">
      <w:pPr>
        <w:adjustRightInd w:val="0"/>
        <w:snapToGrid w:val="0"/>
        <w:spacing w:line="360" w:lineRule="auto"/>
        <w:jc w:val="both"/>
        <w:rPr>
          <w:rFonts w:ascii="Book Antiqua" w:hAnsi="Book Antiqua"/>
        </w:rPr>
      </w:pPr>
    </w:p>
    <w:p w14:paraId="7933F6A1"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aps/>
          <w:color w:val="000000"/>
          <w:u w:val="single"/>
        </w:rPr>
        <w:t>CONCLUSION</w:t>
      </w:r>
    </w:p>
    <w:p w14:paraId="59897519" w14:textId="78252D7D" w:rsidR="00A77B3E" w:rsidRPr="00B10C5F" w:rsidRDefault="008E015A" w:rsidP="00B10C5F">
      <w:pPr>
        <w:adjustRightInd w:val="0"/>
        <w:snapToGrid w:val="0"/>
        <w:spacing w:line="360" w:lineRule="auto"/>
        <w:jc w:val="both"/>
        <w:rPr>
          <w:rFonts w:ascii="Book Antiqua" w:hAnsi="Book Antiqua"/>
        </w:rPr>
      </w:pPr>
      <w:bookmarkStart w:id="20" w:name="OLE_LINK25"/>
      <w:bookmarkStart w:id="21" w:name="OLE_LINK26"/>
      <w:r w:rsidRPr="00B10C5F">
        <w:rPr>
          <w:rFonts w:ascii="Book Antiqua" w:eastAsia="Book Antiqua" w:hAnsi="Book Antiqua" w:cs="Book Antiqua"/>
          <w:color w:val="000000"/>
        </w:rPr>
        <w:t xml:space="preserve">In summary, primary CBD closure following LCBDE + LC is a safe and effective approach </w:t>
      </w:r>
      <w:r w:rsidR="00B5475E">
        <w:rPr>
          <w:rFonts w:ascii="Book Antiqua" w:eastAsia="Book Antiqua" w:hAnsi="Book Antiqua" w:cs="Book Antiqua"/>
          <w:color w:val="000000"/>
        </w:rPr>
        <w:t>for</w:t>
      </w:r>
      <w:r w:rsidRPr="00B10C5F">
        <w:rPr>
          <w:rFonts w:ascii="Book Antiqua" w:eastAsia="Book Antiqua" w:hAnsi="Book Antiqua" w:cs="Book Antiqua"/>
          <w:color w:val="000000"/>
        </w:rPr>
        <w:t xml:space="preserve"> the management of choledocholithiasis with small CBD</w:t>
      </w:r>
      <w:r w:rsidR="00774773">
        <w:rPr>
          <w:rFonts w:ascii="Book Antiqua" w:eastAsia="Book Antiqua" w:hAnsi="Book Antiqua" w:cs="Book Antiqua"/>
          <w:color w:val="000000"/>
        </w:rPr>
        <w:t>,</w:t>
      </w:r>
      <w:r w:rsidRPr="00B10C5F">
        <w:rPr>
          <w:rFonts w:ascii="Book Antiqua" w:eastAsia="Book Antiqua" w:hAnsi="Book Antiqua" w:cs="Book Antiqua"/>
          <w:color w:val="000000"/>
        </w:rPr>
        <w:t xml:space="preserve"> as long as </w:t>
      </w:r>
      <w:r w:rsidRPr="00B10C5F">
        <w:rPr>
          <w:rFonts w:ascii="Book Antiqua" w:eastAsia="Book Antiqua" w:hAnsi="Book Antiqua" w:cs="Book Antiqua"/>
          <w:color w:val="000000"/>
        </w:rPr>
        <w:lastRenderedPageBreak/>
        <w:t>appropriate cases are selected</w:t>
      </w:r>
      <w:r w:rsidR="00774773">
        <w:rPr>
          <w:rFonts w:ascii="Book Antiqua" w:eastAsia="Book Antiqua" w:hAnsi="Book Antiqua" w:cs="Book Antiqua"/>
          <w:color w:val="000000"/>
        </w:rPr>
        <w:t>,</w:t>
      </w:r>
      <w:r w:rsidRPr="00B10C5F">
        <w:rPr>
          <w:rFonts w:ascii="Book Antiqua" w:eastAsia="Book Antiqua" w:hAnsi="Book Antiqua" w:cs="Book Antiqua"/>
          <w:color w:val="000000"/>
        </w:rPr>
        <w:t xml:space="preserve"> and </w:t>
      </w:r>
      <w:r w:rsidR="00B5475E">
        <w:rPr>
          <w:rFonts w:ascii="Book Antiqua" w:eastAsia="Book Antiqua" w:hAnsi="Book Antiqua" w:cs="Book Antiqua"/>
          <w:color w:val="000000"/>
        </w:rPr>
        <w:t>does</w:t>
      </w:r>
      <w:r w:rsidRPr="00B10C5F">
        <w:rPr>
          <w:rFonts w:ascii="Book Antiqua" w:eastAsia="Book Antiqua" w:hAnsi="Book Antiqua" w:cs="Book Antiqua"/>
          <w:color w:val="000000"/>
        </w:rPr>
        <w:t xml:space="preserve"> not increase the short-term or long-term complications compared with choledocholithiasis with large CBD.</w:t>
      </w:r>
    </w:p>
    <w:bookmarkEnd w:id="20"/>
    <w:bookmarkEnd w:id="21"/>
    <w:p w14:paraId="095E2E9B" w14:textId="77777777" w:rsidR="00A77B3E" w:rsidRPr="00B10C5F" w:rsidRDefault="00A77B3E" w:rsidP="00B10C5F">
      <w:pPr>
        <w:adjustRightInd w:val="0"/>
        <w:snapToGrid w:val="0"/>
        <w:spacing w:line="360" w:lineRule="auto"/>
        <w:jc w:val="both"/>
        <w:rPr>
          <w:rFonts w:ascii="Book Antiqua" w:hAnsi="Book Antiqua"/>
        </w:rPr>
      </w:pPr>
    </w:p>
    <w:p w14:paraId="7D2EA0B5"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aps/>
          <w:color w:val="000000"/>
          <w:u w:val="single"/>
        </w:rPr>
        <w:t>ARTICLE HIGHLIGHTS</w:t>
      </w:r>
    </w:p>
    <w:p w14:paraId="00D84CFF"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i/>
          <w:color w:val="000000"/>
        </w:rPr>
        <w:t>Research background</w:t>
      </w:r>
    </w:p>
    <w:p w14:paraId="050E9540" w14:textId="66C11534" w:rsidR="00A77B3E" w:rsidRPr="00B10C5F" w:rsidRDefault="00541F6E"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L</w:t>
      </w:r>
      <w:r w:rsidR="008E015A" w:rsidRPr="00B10C5F">
        <w:rPr>
          <w:rFonts w:ascii="Book Antiqua" w:eastAsia="Book Antiqua" w:hAnsi="Book Antiqua" w:cs="Book Antiqua"/>
          <w:color w:val="000000"/>
        </w:rPr>
        <w:t xml:space="preserve">aparoscopic common bile duct </w:t>
      </w:r>
      <w:r w:rsidR="00977660">
        <w:rPr>
          <w:rFonts w:ascii="Book Antiqua" w:eastAsia="Book Antiqua" w:hAnsi="Book Antiqua" w:cs="Book Antiqua"/>
          <w:color w:val="000000"/>
        </w:rPr>
        <w:t xml:space="preserve">(CBD) </w:t>
      </w:r>
      <w:r w:rsidR="008E015A" w:rsidRPr="00B10C5F">
        <w:rPr>
          <w:rFonts w:ascii="Book Antiqua" w:eastAsia="Book Antiqua" w:hAnsi="Book Antiqua" w:cs="Book Antiqua"/>
          <w:color w:val="000000"/>
        </w:rPr>
        <w:t xml:space="preserve">exploration (LCBDE) combined with cholecystectomy (LC) is </w:t>
      </w:r>
      <w:r w:rsidR="00B5475E">
        <w:rPr>
          <w:rFonts w:ascii="Book Antiqua" w:eastAsia="Book Antiqua" w:hAnsi="Book Antiqua" w:cs="Book Antiqua"/>
          <w:color w:val="000000"/>
        </w:rPr>
        <w:t>a</w:t>
      </w:r>
      <w:r w:rsidR="008E015A" w:rsidRPr="00B10C5F">
        <w:rPr>
          <w:rFonts w:ascii="Book Antiqua" w:eastAsia="Book Antiqua" w:hAnsi="Book Antiqua" w:cs="Book Antiqua"/>
          <w:color w:val="000000"/>
        </w:rPr>
        <w:t xml:space="preserve"> common therapeutic modality for the management of </w:t>
      </w:r>
      <w:r w:rsidR="00977660">
        <w:rPr>
          <w:rFonts w:ascii="Book Antiqua" w:eastAsia="Book Antiqua" w:hAnsi="Book Antiqua" w:cs="Book Antiqua"/>
          <w:color w:val="000000"/>
        </w:rPr>
        <w:t>CBD</w:t>
      </w:r>
      <w:r w:rsidR="008E015A" w:rsidRPr="00B10C5F">
        <w:rPr>
          <w:rFonts w:ascii="Book Antiqua" w:eastAsia="Book Antiqua" w:hAnsi="Book Antiqua" w:cs="Book Antiqua"/>
          <w:color w:val="000000"/>
        </w:rPr>
        <w:t xml:space="preserve"> stones (CBDS). Over time, LCBDE + LC is mainly </w:t>
      </w:r>
      <w:r w:rsidR="00B5475E">
        <w:rPr>
          <w:rFonts w:ascii="Book Antiqua" w:eastAsia="Book Antiqua" w:hAnsi="Book Antiqua" w:cs="Book Antiqua"/>
          <w:color w:val="000000"/>
        </w:rPr>
        <w:t>performed</w:t>
      </w:r>
      <w:r w:rsidR="00B5475E" w:rsidRPr="00B10C5F">
        <w:rPr>
          <w:rFonts w:ascii="Book Antiqua" w:eastAsia="Book Antiqua" w:hAnsi="Book Antiqua" w:cs="Book Antiqua"/>
          <w:color w:val="000000"/>
        </w:rPr>
        <w:t xml:space="preserve"> </w:t>
      </w:r>
      <w:r w:rsidR="008E015A" w:rsidRPr="00B10C5F">
        <w:rPr>
          <w:rFonts w:ascii="Book Antiqua" w:eastAsia="Book Antiqua" w:hAnsi="Book Antiqua" w:cs="Book Antiqua"/>
          <w:color w:val="000000"/>
        </w:rPr>
        <w:t xml:space="preserve">for choledocholithiasis with CBD diameter of larger than 10 mm. However, it remains unclear whether </w:t>
      </w:r>
      <w:r w:rsidR="007A4A0B" w:rsidRPr="00B10C5F">
        <w:rPr>
          <w:rFonts w:ascii="Book Antiqua" w:eastAsia="Book Antiqua" w:hAnsi="Book Antiqua" w:cs="Book Antiqua"/>
          <w:color w:val="000000"/>
        </w:rPr>
        <w:t>LCBDE</w:t>
      </w:r>
      <w:r w:rsidR="007A4A0B" w:rsidRPr="00B10C5F" w:rsidDel="007A4A0B">
        <w:rPr>
          <w:rFonts w:ascii="Book Antiqua" w:eastAsia="Book Antiqua" w:hAnsi="Book Antiqua" w:cs="Book Antiqua"/>
          <w:color w:val="000000"/>
        </w:rPr>
        <w:t xml:space="preserve"> </w:t>
      </w:r>
      <w:r w:rsidR="008E015A" w:rsidRPr="00B10C5F">
        <w:rPr>
          <w:rFonts w:ascii="Book Antiqua" w:eastAsia="Book Antiqua" w:hAnsi="Book Antiqua" w:cs="Book Antiqua"/>
          <w:color w:val="000000"/>
        </w:rPr>
        <w:t>is feasible or safe</w:t>
      </w:r>
      <w:r w:rsidR="00B5475E">
        <w:rPr>
          <w:rFonts w:ascii="Book Antiqua" w:eastAsia="Book Antiqua" w:hAnsi="Book Antiqua" w:cs="Book Antiqua"/>
          <w:color w:val="000000"/>
        </w:rPr>
        <w:t xml:space="preserve"> </w:t>
      </w:r>
      <w:r w:rsidR="00B5475E" w:rsidRPr="00B10C5F">
        <w:rPr>
          <w:rFonts w:ascii="Book Antiqua" w:eastAsia="Book Antiqua" w:hAnsi="Book Antiqua" w:cs="Book Antiqua"/>
          <w:color w:val="000000"/>
        </w:rPr>
        <w:t>for those with small CBD</w:t>
      </w:r>
      <w:r w:rsidR="00B5475E">
        <w:rPr>
          <w:rFonts w:ascii="Book Antiqua" w:eastAsia="Book Antiqua" w:hAnsi="Book Antiqua" w:cs="Book Antiqua"/>
          <w:color w:val="000000"/>
        </w:rPr>
        <w:t xml:space="preserve"> </w:t>
      </w:r>
      <w:r w:rsidR="00B5475E" w:rsidRPr="00B10C5F">
        <w:rPr>
          <w:rFonts w:ascii="Book Antiqua" w:eastAsia="Book Antiqua" w:hAnsi="Book Antiqua" w:cs="Book Antiqua"/>
          <w:color w:val="000000"/>
        </w:rPr>
        <w:t>(CBD diameter ≤ 8 mm)</w:t>
      </w:r>
      <w:r w:rsidR="008E015A" w:rsidRPr="00B10C5F">
        <w:rPr>
          <w:rFonts w:ascii="Book Antiqua" w:eastAsia="Book Antiqua" w:hAnsi="Book Antiqua" w:cs="Book Antiqua"/>
          <w:color w:val="000000"/>
        </w:rPr>
        <w:t>.</w:t>
      </w:r>
    </w:p>
    <w:p w14:paraId="1B807E16" w14:textId="77777777" w:rsidR="00A77B3E" w:rsidRPr="00B10C5F" w:rsidRDefault="00A77B3E" w:rsidP="00B10C5F">
      <w:pPr>
        <w:adjustRightInd w:val="0"/>
        <w:snapToGrid w:val="0"/>
        <w:spacing w:line="360" w:lineRule="auto"/>
        <w:jc w:val="both"/>
        <w:rPr>
          <w:rFonts w:ascii="Book Antiqua" w:hAnsi="Book Antiqua"/>
        </w:rPr>
      </w:pPr>
    </w:p>
    <w:p w14:paraId="2B71DC0E"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i/>
          <w:color w:val="000000"/>
        </w:rPr>
        <w:t>Research motivation</w:t>
      </w:r>
    </w:p>
    <w:p w14:paraId="4A13D945" w14:textId="69EC6824"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 xml:space="preserve">Some clinical practitioners </w:t>
      </w:r>
      <w:r w:rsidR="009379CC">
        <w:rPr>
          <w:rFonts w:ascii="Book Antiqua" w:eastAsia="Book Antiqua" w:hAnsi="Book Antiqua" w:cs="Book Antiqua"/>
          <w:color w:val="000000"/>
        </w:rPr>
        <w:t xml:space="preserve">have </w:t>
      </w:r>
      <w:r w:rsidRPr="00B10C5F">
        <w:rPr>
          <w:rFonts w:ascii="Book Antiqua" w:eastAsia="Book Antiqua" w:hAnsi="Book Antiqua" w:cs="Book Antiqua"/>
          <w:color w:val="000000"/>
        </w:rPr>
        <w:t>argued that LCBDE for small CBD may be more likely to lead to postoperative bile leak and CBD stenosis. We wanted to investigate these issues to help guide clinicians in efforts to</w:t>
      </w:r>
      <w:r w:rsidR="00774773">
        <w:rPr>
          <w:rFonts w:ascii="Book Antiqua" w:eastAsia="Book Antiqua" w:hAnsi="Book Antiqua" w:cs="Book Antiqua"/>
          <w:color w:val="000000"/>
        </w:rPr>
        <w:t xml:space="preserve"> improve management of</w:t>
      </w:r>
      <w:r w:rsidRPr="00B10C5F">
        <w:rPr>
          <w:rFonts w:ascii="Book Antiqua" w:eastAsia="Book Antiqua" w:hAnsi="Book Antiqua" w:cs="Book Antiqua"/>
          <w:color w:val="000000"/>
        </w:rPr>
        <w:t xml:space="preserve"> CBDS, especially for those with small CBD.</w:t>
      </w:r>
    </w:p>
    <w:p w14:paraId="7682F588" w14:textId="77777777" w:rsidR="00A77B3E" w:rsidRPr="00B10C5F" w:rsidRDefault="00A77B3E" w:rsidP="00B10C5F">
      <w:pPr>
        <w:adjustRightInd w:val="0"/>
        <w:snapToGrid w:val="0"/>
        <w:spacing w:line="360" w:lineRule="auto"/>
        <w:jc w:val="both"/>
        <w:rPr>
          <w:rFonts w:ascii="Book Antiqua" w:hAnsi="Book Antiqua"/>
        </w:rPr>
      </w:pPr>
    </w:p>
    <w:p w14:paraId="19125340"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i/>
          <w:color w:val="000000"/>
        </w:rPr>
        <w:t>Research objectives</w:t>
      </w:r>
    </w:p>
    <w:p w14:paraId="6F108701"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 xml:space="preserve">The retrospective study is aimed to compare the clinical outcomes of large CBD group </w:t>
      </w:r>
      <w:r w:rsidRPr="00B10C5F">
        <w:rPr>
          <w:rFonts w:ascii="Book Antiqua" w:eastAsia="Book Antiqua" w:hAnsi="Book Antiqua" w:cs="Book Antiqua"/>
          <w:i/>
          <w:iCs/>
          <w:color w:val="000000"/>
        </w:rPr>
        <w:t xml:space="preserve">vs </w:t>
      </w:r>
      <w:r w:rsidRPr="00B10C5F">
        <w:rPr>
          <w:rFonts w:ascii="Book Antiqua" w:eastAsia="Book Antiqua" w:hAnsi="Book Antiqua" w:cs="Book Antiqua"/>
          <w:color w:val="000000"/>
        </w:rPr>
        <w:t>small CBD group to investigate the feasibility and safety of LCBDE for choledocholithiasis with small CBD.</w:t>
      </w:r>
    </w:p>
    <w:p w14:paraId="68181983" w14:textId="77777777" w:rsidR="00A77B3E" w:rsidRPr="00B10C5F" w:rsidRDefault="00A77B3E" w:rsidP="00B10C5F">
      <w:pPr>
        <w:adjustRightInd w:val="0"/>
        <w:snapToGrid w:val="0"/>
        <w:spacing w:line="360" w:lineRule="auto"/>
        <w:jc w:val="both"/>
        <w:rPr>
          <w:rFonts w:ascii="Book Antiqua" w:hAnsi="Book Antiqua"/>
        </w:rPr>
      </w:pPr>
    </w:p>
    <w:p w14:paraId="7F97A302"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i/>
          <w:color w:val="000000"/>
        </w:rPr>
        <w:t>Research methods</w:t>
      </w:r>
    </w:p>
    <w:p w14:paraId="77557D8F" w14:textId="626399EF" w:rsidR="00A77B3E" w:rsidRPr="00B10C5F" w:rsidRDefault="008E015A" w:rsidP="00B10C5F">
      <w:pPr>
        <w:adjustRightInd w:val="0"/>
        <w:snapToGrid w:val="0"/>
        <w:spacing w:line="360" w:lineRule="auto"/>
        <w:jc w:val="both"/>
        <w:rPr>
          <w:rFonts w:ascii="Book Antiqua" w:hAnsi="Book Antiqua"/>
        </w:rPr>
      </w:pPr>
      <w:bookmarkStart w:id="22" w:name="OLE_LINK21"/>
      <w:bookmarkStart w:id="23" w:name="OLE_LINK22"/>
      <w:r w:rsidRPr="00B10C5F">
        <w:rPr>
          <w:rFonts w:ascii="Book Antiqua" w:eastAsia="Book Antiqua" w:hAnsi="Book Antiqua" w:cs="Book Antiqua"/>
          <w:color w:val="000000"/>
        </w:rPr>
        <w:t xml:space="preserve">This study includes 257 patients with cholecystolithiasis who met the criteria. The short-term and long-term clinical outcomes were compared between the large CBD group and </w:t>
      </w:r>
      <w:r w:rsidR="00774773">
        <w:rPr>
          <w:rFonts w:ascii="Book Antiqua" w:eastAsia="Book Antiqua" w:hAnsi="Book Antiqua" w:cs="Book Antiqua"/>
          <w:color w:val="000000"/>
        </w:rPr>
        <w:t xml:space="preserve">the </w:t>
      </w:r>
      <w:r w:rsidRPr="00B10C5F">
        <w:rPr>
          <w:rFonts w:ascii="Book Antiqua" w:eastAsia="Book Antiqua" w:hAnsi="Book Antiqua" w:cs="Book Antiqua"/>
          <w:color w:val="000000"/>
        </w:rPr>
        <w:t>small CBD group. Propensity score matching (1:1) was performed to adjust for the effects of confounding factors.</w:t>
      </w:r>
    </w:p>
    <w:bookmarkEnd w:id="22"/>
    <w:bookmarkEnd w:id="23"/>
    <w:p w14:paraId="25BEBE47" w14:textId="77777777" w:rsidR="00A77B3E" w:rsidRPr="00B10C5F" w:rsidRDefault="00A77B3E" w:rsidP="00B10C5F">
      <w:pPr>
        <w:adjustRightInd w:val="0"/>
        <w:snapToGrid w:val="0"/>
        <w:spacing w:line="360" w:lineRule="auto"/>
        <w:jc w:val="both"/>
        <w:rPr>
          <w:rFonts w:ascii="Book Antiqua" w:hAnsi="Book Antiqua"/>
        </w:rPr>
      </w:pPr>
    </w:p>
    <w:p w14:paraId="21966FDA"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i/>
          <w:color w:val="000000"/>
        </w:rPr>
        <w:lastRenderedPageBreak/>
        <w:t>Research results</w:t>
      </w:r>
    </w:p>
    <w:p w14:paraId="234DD1AB" w14:textId="5A6E961F"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 xml:space="preserve">There was no significant difference in operating time, intraoperative blood loss, conversion to laparotomy, </w:t>
      </w:r>
      <w:r w:rsidR="00774773">
        <w:rPr>
          <w:rFonts w:ascii="Book Antiqua" w:eastAsia="Book Antiqua" w:hAnsi="Book Antiqua" w:cs="Book Antiqua"/>
          <w:color w:val="000000"/>
        </w:rPr>
        <w:t xml:space="preserve">and </w:t>
      </w:r>
      <w:r w:rsidRPr="00B10C5F">
        <w:rPr>
          <w:rFonts w:ascii="Book Antiqua" w:eastAsia="Book Antiqua" w:hAnsi="Book Antiqua" w:cs="Book Antiqua"/>
          <w:color w:val="000000"/>
        </w:rPr>
        <w:t>rate of residual CBDS between large CBD group and small CBD group. LCBDE for small CBD would not increase the risk of postoperative bile leak and CBD stenosis compared with large CBD.</w:t>
      </w:r>
    </w:p>
    <w:p w14:paraId="7B714DEE" w14:textId="77777777" w:rsidR="00A77B3E" w:rsidRPr="00B10C5F" w:rsidRDefault="00A77B3E" w:rsidP="00B10C5F">
      <w:pPr>
        <w:adjustRightInd w:val="0"/>
        <w:snapToGrid w:val="0"/>
        <w:spacing w:line="360" w:lineRule="auto"/>
        <w:jc w:val="both"/>
        <w:rPr>
          <w:rFonts w:ascii="Book Antiqua" w:hAnsi="Book Antiqua"/>
        </w:rPr>
      </w:pPr>
    </w:p>
    <w:p w14:paraId="44C7A83C"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i/>
          <w:color w:val="000000"/>
        </w:rPr>
        <w:t>Research conclusions</w:t>
      </w:r>
    </w:p>
    <w:p w14:paraId="3A8DDA8B" w14:textId="59BA70CA"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Primary CBD closure following LCBDE + LC is a safe and effective approach to the management of choledocholithiasis with small CBD</w:t>
      </w:r>
      <w:r w:rsidR="00774773">
        <w:rPr>
          <w:rFonts w:ascii="Book Antiqua" w:eastAsia="Book Antiqua" w:hAnsi="Book Antiqua" w:cs="Book Antiqua"/>
          <w:color w:val="000000"/>
        </w:rPr>
        <w:t>,</w:t>
      </w:r>
      <w:r w:rsidRPr="00B10C5F">
        <w:rPr>
          <w:rFonts w:ascii="Book Antiqua" w:eastAsia="Book Antiqua" w:hAnsi="Book Antiqua" w:cs="Book Antiqua"/>
          <w:color w:val="000000"/>
        </w:rPr>
        <w:t xml:space="preserve"> as long as appropriate cases are selected, and </w:t>
      </w:r>
      <w:r w:rsidR="00774773">
        <w:rPr>
          <w:rFonts w:ascii="Book Antiqua" w:eastAsia="Book Antiqua" w:hAnsi="Book Antiqua" w:cs="Book Antiqua"/>
          <w:color w:val="000000"/>
        </w:rPr>
        <w:t>does</w:t>
      </w:r>
      <w:r w:rsidR="00774773"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not increase the short-term or long-term complications compared with choledocholithiasis with large CBD.</w:t>
      </w:r>
    </w:p>
    <w:p w14:paraId="6F05CAAE" w14:textId="77777777" w:rsidR="00A77B3E" w:rsidRPr="00B10C5F" w:rsidRDefault="00A77B3E" w:rsidP="00B10C5F">
      <w:pPr>
        <w:adjustRightInd w:val="0"/>
        <w:snapToGrid w:val="0"/>
        <w:spacing w:line="360" w:lineRule="auto"/>
        <w:jc w:val="both"/>
        <w:rPr>
          <w:rFonts w:ascii="Book Antiqua" w:hAnsi="Book Antiqua"/>
        </w:rPr>
      </w:pPr>
    </w:p>
    <w:p w14:paraId="4C3D5A4A"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i/>
          <w:color w:val="000000"/>
        </w:rPr>
        <w:t>Research perspectives</w:t>
      </w:r>
    </w:p>
    <w:p w14:paraId="68BDA412" w14:textId="6085EE04"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LCBDE</w:t>
      </w:r>
      <w:r w:rsidR="00EA4D5A"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LC can be performed safely for choledocholithiasis with small CBD without increasing the risk of postoperative bile leak and CBD stenosis. Additional randomized controlled trials are needed to</w:t>
      </w:r>
      <w:r w:rsidR="00774773">
        <w:rPr>
          <w:rFonts w:ascii="Book Antiqua" w:eastAsia="Book Antiqua" w:hAnsi="Book Antiqua" w:cs="Book Antiqua"/>
          <w:color w:val="000000"/>
        </w:rPr>
        <w:t xml:space="preserve"> validate</w:t>
      </w:r>
      <w:r w:rsidRPr="00B10C5F">
        <w:rPr>
          <w:rFonts w:ascii="Book Antiqua" w:eastAsia="Book Antiqua" w:hAnsi="Book Antiqua" w:cs="Book Antiqua"/>
          <w:color w:val="000000"/>
        </w:rPr>
        <w:t xml:space="preserve"> further these findings</w:t>
      </w:r>
      <w:r w:rsidR="00541F6E" w:rsidRPr="00B10C5F">
        <w:rPr>
          <w:rFonts w:ascii="Book Antiqua" w:eastAsia="Book Antiqua" w:hAnsi="Book Antiqua" w:cs="Book Antiqua"/>
          <w:color w:val="000000"/>
        </w:rPr>
        <w:t>.</w:t>
      </w:r>
    </w:p>
    <w:p w14:paraId="4E4C228D" w14:textId="77777777" w:rsidR="00A77B3E" w:rsidRPr="00B10C5F" w:rsidRDefault="00A77B3E" w:rsidP="00B10C5F">
      <w:pPr>
        <w:adjustRightInd w:val="0"/>
        <w:snapToGrid w:val="0"/>
        <w:spacing w:line="360" w:lineRule="auto"/>
        <w:jc w:val="both"/>
        <w:rPr>
          <w:rFonts w:ascii="Book Antiqua" w:hAnsi="Book Antiqua"/>
        </w:rPr>
      </w:pPr>
    </w:p>
    <w:p w14:paraId="59D65729"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aps/>
          <w:color w:val="000000"/>
          <w:u w:val="single"/>
        </w:rPr>
        <w:t>ACKNOWLEDGEMENTS</w:t>
      </w:r>
    </w:p>
    <w:p w14:paraId="0EDA94DE"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We are grateful to all the participants and colleagues for their contributions.</w:t>
      </w:r>
    </w:p>
    <w:p w14:paraId="728DBB5F" w14:textId="77777777" w:rsidR="00A77B3E" w:rsidRPr="00B10C5F" w:rsidRDefault="00A77B3E" w:rsidP="00B10C5F">
      <w:pPr>
        <w:adjustRightInd w:val="0"/>
        <w:snapToGrid w:val="0"/>
        <w:spacing w:line="360" w:lineRule="auto"/>
        <w:jc w:val="both"/>
        <w:rPr>
          <w:rFonts w:ascii="Book Antiqua" w:hAnsi="Book Antiqua"/>
        </w:rPr>
      </w:pPr>
    </w:p>
    <w:p w14:paraId="0FF068F1" w14:textId="47F91A2F"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REFERENCES</w:t>
      </w:r>
    </w:p>
    <w:p w14:paraId="300C64D2"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 </w:t>
      </w:r>
      <w:r w:rsidRPr="00B10C5F">
        <w:rPr>
          <w:rFonts w:ascii="Book Antiqua" w:eastAsia="Book Antiqua" w:hAnsi="Book Antiqua" w:cs="Book Antiqua"/>
          <w:b/>
          <w:bCs/>
          <w:color w:val="000000"/>
        </w:rPr>
        <w:t>Pitt HA</w:t>
      </w:r>
      <w:r w:rsidRPr="00B10C5F">
        <w:rPr>
          <w:rFonts w:ascii="Book Antiqua" w:eastAsia="Book Antiqua" w:hAnsi="Book Antiqua" w:cs="Book Antiqua"/>
          <w:color w:val="000000"/>
        </w:rPr>
        <w:t xml:space="preserve">. Role of open choledochotomy in the treatment of choledocholithiasis. </w:t>
      </w:r>
      <w:r w:rsidRPr="00B10C5F">
        <w:rPr>
          <w:rFonts w:ascii="Book Antiqua" w:eastAsia="Book Antiqua" w:hAnsi="Book Antiqua" w:cs="Book Antiqua"/>
          <w:i/>
          <w:iCs/>
          <w:color w:val="000000"/>
        </w:rPr>
        <w:t>Am J Surg</w:t>
      </w:r>
      <w:r w:rsidRPr="00B10C5F">
        <w:rPr>
          <w:rFonts w:ascii="Book Antiqua" w:eastAsia="Book Antiqua" w:hAnsi="Book Antiqua" w:cs="Book Antiqua"/>
          <w:color w:val="000000"/>
        </w:rPr>
        <w:t xml:space="preserve"> 1993; </w:t>
      </w:r>
      <w:r w:rsidRPr="00B10C5F">
        <w:rPr>
          <w:rFonts w:ascii="Book Antiqua" w:eastAsia="Book Antiqua" w:hAnsi="Book Antiqua" w:cs="Book Antiqua"/>
          <w:b/>
          <w:bCs/>
          <w:color w:val="000000"/>
        </w:rPr>
        <w:t>165</w:t>
      </w:r>
      <w:r w:rsidRPr="00B10C5F">
        <w:rPr>
          <w:rFonts w:ascii="Book Antiqua" w:eastAsia="Book Antiqua" w:hAnsi="Book Antiqua" w:cs="Book Antiqua"/>
          <w:color w:val="000000"/>
        </w:rPr>
        <w:t>: 483-486 [PMID: 8480887 DOI: 10.1016/s0002-9610(05)80946-8]</w:t>
      </w:r>
    </w:p>
    <w:p w14:paraId="66848C80"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 </w:t>
      </w:r>
      <w:r w:rsidRPr="00B10C5F">
        <w:rPr>
          <w:rFonts w:ascii="Book Antiqua" w:eastAsia="Book Antiqua" w:hAnsi="Book Antiqua" w:cs="Book Antiqua"/>
          <w:b/>
          <w:bCs/>
          <w:color w:val="000000"/>
        </w:rPr>
        <w:t>Hanif F</w:t>
      </w:r>
      <w:r w:rsidRPr="00B10C5F">
        <w:rPr>
          <w:rFonts w:ascii="Book Antiqua" w:eastAsia="Book Antiqua" w:hAnsi="Book Antiqua" w:cs="Book Antiqua"/>
          <w:color w:val="000000"/>
        </w:rPr>
        <w:t xml:space="preserve">, Ahmed Z, </w:t>
      </w:r>
      <w:proofErr w:type="spellStart"/>
      <w:r w:rsidRPr="00B10C5F">
        <w:rPr>
          <w:rFonts w:ascii="Book Antiqua" w:eastAsia="Book Antiqua" w:hAnsi="Book Antiqua" w:cs="Book Antiqua"/>
          <w:color w:val="000000"/>
        </w:rPr>
        <w:t>Samie</w:t>
      </w:r>
      <w:proofErr w:type="spellEnd"/>
      <w:r w:rsidRPr="00B10C5F">
        <w:rPr>
          <w:rFonts w:ascii="Book Antiqua" w:eastAsia="Book Antiqua" w:hAnsi="Book Antiqua" w:cs="Book Antiqua"/>
          <w:color w:val="000000"/>
        </w:rPr>
        <w:t xml:space="preserve"> MA, Nassar AH. Laparoscopic </w:t>
      </w:r>
      <w:proofErr w:type="spellStart"/>
      <w:r w:rsidRPr="00B10C5F">
        <w:rPr>
          <w:rFonts w:ascii="Book Antiqua" w:eastAsia="Book Antiqua" w:hAnsi="Book Antiqua" w:cs="Book Antiqua"/>
          <w:color w:val="000000"/>
        </w:rPr>
        <w:t>transcystic</w:t>
      </w:r>
      <w:proofErr w:type="spellEnd"/>
      <w:r w:rsidRPr="00B10C5F">
        <w:rPr>
          <w:rFonts w:ascii="Book Antiqua" w:eastAsia="Book Antiqua" w:hAnsi="Book Antiqua" w:cs="Book Antiqua"/>
          <w:color w:val="000000"/>
        </w:rPr>
        <w:t xml:space="preserve"> bile duct exploration: the treatment of first choice for common bile duct stones. </w:t>
      </w:r>
      <w:r w:rsidRPr="00B10C5F">
        <w:rPr>
          <w:rFonts w:ascii="Book Antiqua" w:eastAsia="Book Antiqua" w:hAnsi="Book Antiqua" w:cs="Book Antiqua"/>
          <w:i/>
          <w:iCs/>
          <w:color w:val="000000"/>
        </w:rPr>
        <w:t xml:space="preserve">Surg </w:t>
      </w:r>
      <w:proofErr w:type="spellStart"/>
      <w:r w:rsidRPr="00B10C5F">
        <w:rPr>
          <w:rFonts w:ascii="Book Antiqua" w:eastAsia="Book Antiqua" w:hAnsi="Book Antiqua" w:cs="Book Antiqua"/>
          <w:i/>
          <w:iCs/>
          <w:color w:val="000000"/>
        </w:rPr>
        <w:t>Endosc</w:t>
      </w:r>
      <w:proofErr w:type="spellEnd"/>
      <w:r w:rsidRPr="00B10C5F">
        <w:rPr>
          <w:rFonts w:ascii="Book Antiqua" w:eastAsia="Book Antiqua" w:hAnsi="Book Antiqua" w:cs="Book Antiqua"/>
          <w:color w:val="000000"/>
        </w:rPr>
        <w:t xml:space="preserve"> 2010; </w:t>
      </w:r>
      <w:r w:rsidRPr="00B10C5F">
        <w:rPr>
          <w:rFonts w:ascii="Book Antiqua" w:eastAsia="Book Antiqua" w:hAnsi="Book Antiqua" w:cs="Book Antiqua"/>
          <w:b/>
          <w:bCs/>
          <w:color w:val="000000"/>
        </w:rPr>
        <w:t>24</w:t>
      </w:r>
      <w:r w:rsidRPr="00B10C5F">
        <w:rPr>
          <w:rFonts w:ascii="Book Antiqua" w:eastAsia="Book Antiqua" w:hAnsi="Book Antiqua" w:cs="Book Antiqua"/>
          <w:color w:val="000000"/>
        </w:rPr>
        <w:t>: 1552-1556 [PMID: 20044767 DOI: 10.1007/s00464-009-0809-4]</w:t>
      </w:r>
    </w:p>
    <w:p w14:paraId="060EFDE5"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 </w:t>
      </w:r>
      <w:r w:rsidRPr="00B10C5F">
        <w:rPr>
          <w:rFonts w:ascii="Book Antiqua" w:eastAsia="Book Antiqua" w:hAnsi="Book Antiqua" w:cs="Book Antiqua"/>
          <w:b/>
          <w:bCs/>
          <w:color w:val="000000"/>
        </w:rPr>
        <w:t>Zhu QD</w:t>
      </w:r>
      <w:r w:rsidRPr="00B10C5F">
        <w:rPr>
          <w:rFonts w:ascii="Book Antiqua" w:eastAsia="Book Antiqua" w:hAnsi="Book Antiqua" w:cs="Book Antiqua"/>
          <w:color w:val="000000"/>
        </w:rPr>
        <w:t xml:space="preserve">, Tao CL, Zhou MT, Yu ZP, Shi HQ, Zhang QY. Primary closure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T-tube drainage after common bile duct exploration for choledocholithiasis. </w:t>
      </w:r>
      <w:proofErr w:type="spellStart"/>
      <w:r w:rsidRPr="00B10C5F">
        <w:rPr>
          <w:rFonts w:ascii="Book Antiqua" w:eastAsia="Book Antiqua" w:hAnsi="Book Antiqua" w:cs="Book Antiqua"/>
          <w:i/>
          <w:iCs/>
          <w:color w:val="000000"/>
        </w:rPr>
        <w:lastRenderedPageBreak/>
        <w:t>Langenbecks</w:t>
      </w:r>
      <w:proofErr w:type="spellEnd"/>
      <w:r w:rsidRPr="00B10C5F">
        <w:rPr>
          <w:rFonts w:ascii="Book Antiqua" w:eastAsia="Book Antiqua" w:hAnsi="Book Antiqua" w:cs="Book Antiqua"/>
          <w:i/>
          <w:iCs/>
          <w:color w:val="000000"/>
        </w:rPr>
        <w:t xml:space="preserve"> Arch Surg</w:t>
      </w:r>
      <w:r w:rsidRPr="00B10C5F">
        <w:rPr>
          <w:rFonts w:ascii="Book Antiqua" w:eastAsia="Book Antiqua" w:hAnsi="Book Antiqua" w:cs="Book Antiqua"/>
          <w:color w:val="000000"/>
        </w:rPr>
        <w:t xml:space="preserve"> 2011; </w:t>
      </w:r>
      <w:r w:rsidRPr="00B10C5F">
        <w:rPr>
          <w:rFonts w:ascii="Book Antiqua" w:eastAsia="Book Antiqua" w:hAnsi="Book Antiqua" w:cs="Book Antiqua"/>
          <w:b/>
          <w:bCs/>
          <w:color w:val="000000"/>
        </w:rPr>
        <w:t>396</w:t>
      </w:r>
      <w:r w:rsidRPr="00B10C5F">
        <w:rPr>
          <w:rFonts w:ascii="Book Antiqua" w:eastAsia="Book Antiqua" w:hAnsi="Book Antiqua" w:cs="Book Antiqua"/>
          <w:color w:val="000000"/>
        </w:rPr>
        <w:t>: 53-62 [PMID: 20582601 DOI: 10.1007/s00423-010-0660-z]</w:t>
      </w:r>
    </w:p>
    <w:p w14:paraId="082EE32E"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4 </w:t>
      </w:r>
      <w:proofErr w:type="spellStart"/>
      <w:r w:rsidRPr="00B10C5F">
        <w:rPr>
          <w:rFonts w:ascii="Book Antiqua" w:eastAsia="Book Antiqua" w:hAnsi="Book Antiqua" w:cs="Book Antiqua"/>
          <w:b/>
          <w:bCs/>
          <w:color w:val="000000"/>
        </w:rPr>
        <w:t>Tham</w:t>
      </w:r>
      <w:proofErr w:type="spellEnd"/>
      <w:r w:rsidRPr="00B10C5F">
        <w:rPr>
          <w:rFonts w:ascii="Book Antiqua" w:eastAsia="Book Antiqua" w:hAnsi="Book Antiqua" w:cs="Book Antiqua"/>
          <w:b/>
          <w:bCs/>
          <w:color w:val="000000"/>
        </w:rPr>
        <w:t xml:space="preserve"> TC</w:t>
      </w:r>
      <w:r w:rsidRPr="00B10C5F">
        <w:rPr>
          <w:rFonts w:ascii="Book Antiqua" w:eastAsia="Book Antiqua" w:hAnsi="Book Antiqua" w:cs="Book Antiqua"/>
          <w:color w:val="000000"/>
        </w:rPr>
        <w:t xml:space="preserve">, </w:t>
      </w:r>
      <w:proofErr w:type="spellStart"/>
      <w:r w:rsidRPr="00B10C5F">
        <w:rPr>
          <w:rFonts w:ascii="Book Antiqua" w:eastAsia="Book Antiqua" w:hAnsi="Book Antiqua" w:cs="Book Antiqua"/>
          <w:color w:val="000000"/>
        </w:rPr>
        <w:t>Carr</w:t>
      </w:r>
      <w:proofErr w:type="spellEnd"/>
      <w:r w:rsidRPr="00B10C5F">
        <w:rPr>
          <w:rFonts w:ascii="Book Antiqua" w:eastAsia="Book Antiqua" w:hAnsi="Book Antiqua" w:cs="Book Antiqua"/>
          <w:color w:val="000000"/>
        </w:rPr>
        <w:t xml:space="preserve">-Locke DL, Collins JS. Endoscopic sphincterotomy in the young patient: is there cause for concern? </w:t>
      </w:r>
      <w:r w:rsidRPr="00B10C5F">
        <w:rPr>
          <w:rFonts w:ascii="Book Antiqua" w:eastAsia="Book Antiqua" w:hAnsi="Book Antiqua" w:cs="Book Antiqua"/>
          <w:i/>
          <w:iCs/>
          <w:color w:val="000000"/>
        </w:rPr>
        <w:t>Gut</w:t>
      </w:r>
      <w:r w:rsidRPr="00B10C5F">
        <w:rPr>
          <w:rFonts w:ascii="Book Antiqua" w:eastAsia="Book Antiqua" w:hAnsi="Book Antiqua" w:cs="Book Antiqua"/>
          <w:color w:val="000000"/>
        </w:rPr>
        <w:t xml:space="preserve"> 1997; </w:t>
      </w:r>
      <w:r w:rsidRPr="00B10C5F">
        <w:rPr>
          <w:rFonts w:ascii="Book Antiqua" w:eastAsia="Book Antiqua" w:hAnsi="Book Antiqua" w:cs="Book Antiqua"/>
          <w:b/>
          <w:bCs/>
          <w:color w:val="000000"/>
        </w:rPr>
        <w:t>40</w:t>
      </w:r>
      <w:r w:rsidRPr="00B10C5F">
        <w:rPr>
          <w:rFonts w:ascii="Book Antiqua" w:eastAsia="Book Antiqua" w:hAnsi="Book Antiqua" w:cs="Book Antiqua"/>
          <w:color w:val="000000"/>
        </w:rPr>
        <w:t>: 697-700 [PMID: 9245919 DOI: 10.1136/gut.40.6.697]</w:t>
      </w:r>
    </w:p>
    <w:p w14:paraId="09CE1CE7"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5 </w:t>
      </w:r>
      <w:proofErr w:type="spellStart"/>
      <w:r w:rsidRPr="00B10C5F">
        <w:rPr>
          <w:rFonts w:ascii="Book Antiqua" w:eastAsia="Book Antiqua" w:hAnsi="Book Antiqua" w:cs="Book Antiqua"/>
          <w:b/>
          <w:bCs/>
          <w:color w:val="000000"/>
        </w:rPr>
        <w:t>Natsui</w:t>
      </w:r>
      <w:proofErr w:type="spellEnd"/>
      <w:r w:rsidRPr="00B10C5F">
        <w:rPr>
          <w:rFonts w:ascii="Book Antiqua" w:eastAsia="Book Antiqua" w:hAnsi="Book Antiqua" w:cs="Book Antiqua"/>
          <w:b/>
          <w:bCs/>
          <w:color w:val="000000"/>
        </w:rPr>
        <w:t xml:space="preserve"> M</w:t>
      </w:r>
      <w:r w:rsidRPr="00B10C5F">
        <w:rPr>
          <w:rFonts w:ascii="Book Antiqua" w:eastAsia="Book Antiqua" w:hAnsi="Book Antiqua" w:cs="Book Antiqua"/>
          <w:color w:val="000000"/>
        </w:rPr>
        <w:t xml:space="preserve">, Saito Y, Abe S, Iwanaga A, </w:t>
      </w:r>
      <w:proofErr w:type="spellStart"/>
      <w:r w:rsidRPr="00B10C5F">
        <w:rPr>
          <w:rFonts w:ascii="Book Antiqua" w:eastAsia="Book Antiqua" w:hAnsi="Book Antiqua" w:cs="Book Antiqua"/>
          <w:color w:val="000000"/>
        </w:rPr>
        <w:t>Ikarashi</w:t>
      </w:r>
      <w:proofErr w:type="spellEnd"/>
      <w:r w:rsidRPr="00B10C5F">
        <w:rPr>
          <w:rFonts w:ascii="Book Antiqua" w:eastAsia="Book Antiqua" w:hAnsi="Book Antiqua" w:cs="Book Antiqua"/>
          <w:color w:val="000000"/>
        </w:rPr>
        <w:t xml:space="preserve"> S, Nozawa Y, </w:t>
      </w:r>
      <w:proofErr w:type="spellStart"/>
      <w:r w:rsidRPr="00B10C5F">
        <w:rPr>
          <w:rFonts w:ascii="Book Antiqua" w:eastAsia="Book Antiqua" w:hAnsi="Book Antiqua" w:cs="Book Antiqua"/>
          <w:color w:val="000000"/>
        </w:rPr>
        <w:t>Nakadaira</w:t>
      </w:r>
      <w:proofErr w:type="spellEnd"/>
      <w:r w:rsidRPr="00B10C5F">
        <w:rPr>
          <w:rFonts w:ascii="Book Antiqua" w:eastAsia="Book Antiqua" w:hAnsi="Book Antiqua" w:cs="Book Antiqua"/>
          <w:color w:val="000000"/>
        </w:rPr>
        <w:t xml:space="preserve"> H. Long-term outcomes of endoscopic papillary balloon dilation and endoscopic sphincterotomy for bile duct stones. </w:t>
      </w:r>
      <w:r w:rsidRPr="00B10C5F">
        <w:rPr>
          <w:rFonts w:ascii="Book Antiqua" w:eastAsia="Book Antiqua" w:hAnsi="Book Antiqua" w:cs="Book Antiqua"/>
          <w:i/>
          <w:iCs/>
          <w:color w:val="000000"/>
        </w:rPr>
        <w:t xml:space="preserve">Dig </w:t>
      </w:r>
      <w:proofErr w:type="spellStart"/>
      <w:r w:rsidRPr="00B10C5F">
        <w:rPr>
          <w:rFonts w:ascii="Book Antiqua" w:eastAsia="Book Antiqua" w:hAnsi="Book Antiqua" w:cs="Book Antiqua"/>
          <w:i/>
          <w:iCs/>
          <w:color w:val="000000"/>
        </w:rPr>
        <w:t>Endosc</w:t>
      </w:r>
      <w:proofErr w:type="spellEnd"/>
      <w:r w:rsidRPr="00B10C5F">
        <w:rPr>
          <w:rFonts w:ascii="Book Antiqua" w:eastAsia="Book Antiqua" w:hAnsi="Book Antiqua" w:cs="Book Antiqua"/>
          <w:color w:val="000000"/>
        </w:rPr>
        <w:t xml:space="preserve"> 2013; </w:t>
      </w:r>
      <w:r w:rsidRPr="00B10C5F">
        <w:rPr>
          <w:rFonts w:ascii="Book Antiqua" w:eastAsia="Book Antiqua" w:hAnsi="Book Antiqua" w:cs="Book Antiqua"/>
          <w:b/>
          <w:bCs/>
          <w:color w:val="000000"/>
        </w:rPr>
        <w:t>25</w:t>
      </w:r>
      <w:r w:rsidRPr="00B10C5F">
        <w:rPr>
          <w:rFonts w:ascii="Book Antiqua" w:eastAsia="Book Antiqua" w:hAnsi="Book Antiqua" w:cs="Book Antiqua"/>
          <w:color w:val="000000"/>
        </w:rPr>
        <w:t>: 313-321 [PMID: 23611478 DOI: 10.1111/j.1443-1661.</w:t>
      </w:r>
      <w:proofErr w:type="gramStart"/>
      <w:r w:rsidRPr="00B10C5F">
        <w:rPr>
          <w:rFonts w:ascii="Book Antiqua" w:eastAsia="Book Antiqua" w:hAnsi="Book Antiqua" w:cs="Book Antiqua"/>
          <w:color w:val="000000"/>
        </w:rPr>
        <w:t>2012.01393.x</w:t>
      </w:r>
      <w:proofErr w:type="gramEnd"/>
      <w:r w:rsidRPr="00B10C5F">
        <w:rPr>
          <w:rFonts w:ascii="Book Antiqua" w:eastAsia="Book Antiqua" w:hAnsi="Book Antiqua" w:cs="Book Antiqua"/>
          <w:color w:val="000000"/>
        </w:rPr>
        <w:t>]</w:t>
      </w:r>
    </w:p>
    <w:p w14:paraId="43377E71"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6 </w:t>
      </w:r>
      <w:r w:rsidRPr="00B10C5F">
        <w:rPr>
          <w:rFonts w:ascii="Book Antiqua" w:eastAsia="Book Antiqua" w:hAnsi="Book Antiqua" w:cs="Book Antiqua"/>
          <w:b/>
          <w:bCs/>
          <w:color w:val="000000"/>
        </w:rPr>
        <w:t>Li T</w:t>
      </w:r>
      <w:r w:rsidRPr="00B10C5F">
        <w:rPr>
          <w:rFonts w:ascii="Book Antiqua" w:eastAsia="Book Antiqua" w:hAnsi="Book Antiqua" w:cs="Book Antiqua"/>
          <w:color w:val="000000"/>
        </w:rPr>
        <w:t xml:space="preserve">, Wen J, </w:t>
      </w:r>
      <w:proofErr w:type="spellStart"/>
      <w:r w:rsidRPr="00B10C5F">
        <w:rPr>
          <w:rFonts w:ascii="Book Antiqua" w:eastAsia="Book Antiqua" w:hAnsi="Book Antiqua" w:cs="Book Antiqua"/>
          <w:color w:val="000000"/>
        </w:rPr>
        <w:t>Bie</w:t>
      </w:r>
      <w:proofErr w:type="spellEnd"/>
      <w:r w:rsidRPr="00B10C5F">
        <w:rPr>
          <w:rFonts w:ascii="Book Antiqua" w:eastAsia="Book Antiqua" w:hAnsi="Book Antiqua" w:cs="Book Antiqua"/>
          <w:color w:val="000000"/>
        </w:rPr>
        <w:t xml:space="preserve"> L, Gong B. Comparison of the Long-Term Outcomes of Endoscopic Papillary Large Balloon Dilation Alone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Endoscopic Sphincterotomy for Removal of Bile Duct Stones. </w:t>
      </w:r>
      <w:r w:rsidRPr="00B10C5F">
        <w:rPr>
          <w:rFonts w:ascii="Book Antiqua" w:eastAsia="Book Antiqua" w:hAnsi="Book Antiqua" w:cs="Book Antiqua"/>
          <w:i/>
          <w:iCs/>
          <w:color w:val="000000"/>
        </w:rPr>
        <w:t xml:space="preserve">Gastroenterol Res </w:t>
      </w:r>
      <w:proofErr w:type="spellStart"/>
      <w:r w:rsidRPr="00B10C5F">
        <w:rPr>
          <w:rFonts w:ascii="Book Antiqua" w:eastAsia="Book Antiqua" w:hAnsi="Book Antiqua" w:cs="Book Antiqua"/>
          <w:i/>
          <w:iCs/>
          <w:color w:val="000000"/>
        </w:rPr>
        <w:t>Pract</w:t>
      </w:r>
      <w:proofErr w:type="spellEnd"/>
      <w:r w:rsidRPr="00B10C5F">
        <w:rPr>
          <w:rFonts w:ascii="Book Antiqua" w:eastAsia="Book Antiqua" w:hAnsi="Book Antiqua" w:cs="Book Antiqua"/>
          <w:color w:val="000000"/>
        </w:rPr>
        <w:t xml:space="preserve"> 2018; </w:t>
      </w:r>
      <w:r w:rsidRPr="00B10C5F">
        <w:rPr>
          <w:rFonts w:ascii="Book Antiqua" w:eastAsia="Book Antiqua" w:hAnsi="Book Antiqua" w:cs="Book Antiqua"/>
          <w:b/>
          <w:bCs/>
          <w:color w:val="000000"/>
        </w:rPr>
        <w:t>2018</w:t>
      </w:r>
      <w:r w:rsidRPr="00B10C5F">
        <w:rPr>
          <w:rFonts w:ascii="Book Antiqua" w:eastAsia="Book Antiqua" w:hAnsi="Book Antiqua" w:cs="Book Antiqua"/>
          <w:color w:val="000000"/>
        </w:rPr>
        <w:t>: 6430701 [PMID: 30057600 DOI: 10.1155/2018/6430701]</w:t>
      </w:r>
    </w:p>
    <w:p w14:paraId="42FA9B8E"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7 </w:t>
      </w:r>
      <w:r w:rsidRPr="00B10C5F">
        <w:rPr>
          <w:rFonts w:ascii="Book Antiqua" w:eastAsia="Book Antiqua" w:hAnsi="Book Antiqua" w:cs="Book Antiqua"/>
          <w:b/>
          <w:bCs/>
          <w:color w:val="000000"/>
        </w:rPr>
        <w:t>Ando T</w:t>
      </w:r>
      <w:r w:rsidRPr="00B10C5F">
        <w:rPr>
          <w:rFonts w:ascii="Book Antiqua" w:eastAsia="Book Antiqua" w:hAnsi="Book Antiqua" w:cs="Book Antiqua"/>
          <w:color w:val="000000"/>
        </w:rPr>
        <w:t xml:space="preserve">, </w:t>
      </w:r>
      <w:proofErr w:type="spellStart"/>
      <w:r w:rsidRPr="00B10C5F">
        <w:rPr>
          <w:rFonts w:ascii="Book Antiqua" w:eastAsia="Book Antiqua" w:hAnsi="Book Antiqua" w:cs="Book Antiqua"/>
          <w:color w:val="000000"/>
        </w:rPr>
        <w:t>Tsuyuguchi</w:t>
      </w:r>
      <w:proofErr w:type="spellEnd"/>
      <w:r w:rsidRPr="00B10C5F">
        <w:rPr>
          <w:rFonts w:ascii="Book Antiqua" w:eastAsia="Book Antiqua" w:hAnsi="Book Antiqua" w:cs="Book Antiqua"/>
          <w:color w:val="000000"/>
        </w:rPr>
        <w:t xml:space="preserve"> T, </w:t>
      </w:r>
      <w:proofErr w:type="spellStart"/>
      <w:r w:rsidRPr="00B10C5F">
        <w:rPr>
          <w:rFonts w:ascii="Book Antiqua" w:eastAsia="Book Antiqua" w:hAnsi="Book Antiqua" w:cs="Book Antiqua"/>
          <w:color w:val="000000"/>
        </w:rPr>
        <w:t>Okugawa</w:t>
      </w:r>
      <w:proofErr w:type="spellEnd"/>
      <w:r w:rsidRPr="00B10C5F">
        <w:rPr>
          <w:rFonts w:ascii="Book Antiqua" w:eastAsia="Book Antiqua" w:hAnsi="Book Antiqua" w:cs="Book Antiqua"/>
          <w:color w:val="000000"/>
        </w:rPr>
        <w:t xml:space="preserve"> T, Saito M, Ishihara T, Yamaguchi T, </w:t>
      </w:r>
      <w:proofErr w:type="spellStart"/>
      <w:r w:rsidRPr="00B10C5F">
        <w:rPr>
          <w:rFonts w:ascii="Book Antiqua" w:eastAsia="Book Antiqua" w:hAnsi="Book Antiqua" w:cs="Book Antiqua"/>
          <w:color w:val="000000"/>
        </w:rPr>
        <w:t>Saisho</w:t>
      </w:r>
      <w:proofErr w:type="spellEnd"/>
      <w:r w:rsidRPr="00B10C5F">
        <w:rPr>
          <w:rFonts w:ascii="Book Antiqua" w:eastAsia="Book Antiqua" w:hAnsi="Book Antiqua" w:cs="Book Antiqua"/>
          <w:color w:val="000000"/>
        </w:rPr>
        <w:t xml:space="preserve"> H. Risk factors for recurrent bile duct stones after endoscopic papillotomy. </w:t>
      </w:r>
      <w:r w:rsidRPr="00B10C5F">
        <w:rPr>
          <w:rFonts w:ascii="Book Antiqua" w:eastAsia="Book Antiqua" w:hAnsi="Book Antiqua" w:cs="Book Antiqua"/>
          <w:i/>
          <w:iCs/>
          <w:color w:val="000000"/>
        </w:rPr>
        <w:t>Gut</w:t>
      </w:r>
      <w:r w:rsidRPr="00B10C5F">
        <w:rPr>
          <w:rFonts w:ascii="Book Antiqua" w:eastAsia="Book Antiqua" w:hAnsi="Book Antiqua" w:cs="Book Antiqua"/>
          <w:color w:val="000000"/>
        </w:rPr>
        <w:t xml:space="preserve"> 2003; </w:t>
      </w:r>
      <w:r w:rsidRPr="00B10C5F">
        <w:rPr>
          <w:rFonts w:ascii="Book Antiqua" w:eastAsia="Book Antiqua" w:hAnsi="Book Antiqua" w:cs="Book Antiqua"/>
          <w:b/>
          <w:bCs/>
          <w:color w:val="000000"/>
        </w:rPr>
        <w:t>52</w:t>
      </w:r>
      <w:r w:rsidRPr="00B10C5F">
        <w:rPr>
          <w:rFonts w:ascii="Book Antiqua" w:eastAsia="Book Antiqua" w:hAnsi="Book Antiqua" w:cs="Book Antiqua"/>
          <w:color w:val="000000"/>
        </w:rPr>
        <w:t>: 116-121 [PMID: 12477771 DOI: 10.1136/gut.52.1.116]</w:t>
      </w:r>
    </w:p>
    <w:p w14:paraId="232E5CA5"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8 </w:t>
      </w:r>
      <w:r w:rsidRPr="00B10C5F">
        <w:rPr>
          <w:rFonts w:ascii="Book Antiqua" w:eastAsia="Book Antiqua" w:hAnsi="Book Antiqua" w:cs="Book Antiqua"/>
          <w:b/>
          <w:bCs/>
          <w:color w:val="000000"/>
        </w:rPr>
        <w:t>Ding G</w:t>
      </w:r>
      <w:r w:rsidRPr="00B10C5F">
        <w:rPr>
          <w:rFonts w:ascii="Book Antiqua" w:eastAsia="Book Antiqua" w:hAnsi="Book Antiqua" w:cs="Book Antiqua"/>
          <w:color w:val="000000"/>
        </w:rPr>
        <w:t xml:space="preserve">, Cai W, Qin M. Single-stage vs. two-stage management for concomitant gallstones and common bile duct stones: a prospective randomized trial with long-term follow-up. </w:t>
      </w:r>
      <w:r w:rsidRPr="00B10C5F">
        <w:rPr>
          <w:rFonts w:ascii="Book Antiqua" w:eastAsia="Book Antiqua" w:hAnsi="Book Antiqua" w:cs="Book Antiqua"/>
          <w:i/>
          <w:iCs/>
          <w:color w:val="000000"/>
        </w:rPr>
        <w:t xml:space="preserve">J </w:t>
      </w:r>
      <w:proofErr w:type="spellStart"/>
      <w:r w:rsidRPr="00B10C5F">
        <w:rPr>
          <w:rFonts w:ascii="Book Antiqua" w:eastAsia="Book Antiqua" w:hAnsi="Book Antiqua" w:cs="Book Antiqua"/>
          <w:i/>
          <w:iCs/>
          <w:color w:val="000000"/>
        </w:rPr>
        <w:t>Gastrointest</w:t>
      </w:r>
      <w:proofErr w:type="spellEnd"/>
      <w:r w:rsidRPr="00B10C5F">
        <w:rPr>
          <w:rFonts w:ascii="Book Antiqua" w:eastAsia="Book Antiqua" w:hAnsi="Book Antiqua" w:cs="Book Antiqua"/>
          <w:i/>
          <w:iCs/>
          <w:color w:val="000000"/>
        </w:rPr>
        <w:t xml:space="preserve"> Surg</w:t>
      </w:r>
      <w:r w:rsidRPr="00B10C5F">
        <w:rPr>
          <w:rFonts w:ascii="Book Antiqua" w:eastAsia="Book Antiqua" w:hAnsi="Book Antiqua" w:cs="Book Antiqua"/>
          <w:color w:val="000000"/>
        </w:rPr>
        <w:t xml:space="preserve"> 2014; </w:t>
      </w:r>
      <w:r w:rsidRPr="00B10C5F">
        <w:rPr>
          <w:rFonts w:ascii="Book Antiqua" w:eastAsia="Book Antiqua" w:hAnsi="Book Antiqua" w:cs="Book Antiqua"/>
          <w:b/>
          <w:bCs/>
          <w:color w:val="000000"/>
        </w:rPr>
        <w:t>18</w:t>
      </w:r>
      <w:r w:rsidRPr="00B10C5F">
        <w:rPr>
          <w:rFonts w:ascii="Book Antiqua" w:eastAsia="Book Antiqua" w:hAnsi="Book Antiqua" w:cs="Book Antiqua"/>
          <w:color w:val="000000"/>
        </w:rPr>
        <w:t>: 947-951 [PMID: 24493296 DOI: 10.1007/s11605-014-2467-7]</w:t>
      </w:r>
    </w:p>
    <w:p w14:paraId="44A4F969"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9 </w:t>
      </w:r>
      <w:r w:rsidRPr="00B10C5F">
        <w:rPr>
          <w:rFonts w:ascii="Book Antiqua" w:eastAsia="Book Antiqua" w:hAnsi="Book Antiqua" w:cs="Book Antiqua"/>
          <w:b/>
          <w:bCs/>
          <w:color w:val="000000"/>
        </w:rPr>
        <w:t>Zhao ZH</w:t>
      </w:r>
      <w:r w:rsidRPr="00B10C5F">
        <w:rPr>
          <w:rFonts w:ascii="Book Antiqua" w:eastAsia="Book Antiqua" w:hAnsi="Book Antiqua" w:cs="Book Antiqua"/>
          <w:color w:val="000000"/>
        </w:rPr>
        <w:t xml:space="preserve">, Hu LH, Ren HB, Zhao AJ, Qian YY, Sun XT, </w:t>
      </w:r>
      <w:proofErr w:type="spellStart"/>
      <w:r w:rsidRPr="00B10C5F">
        <w:rPr>
          <w:rFonts w:ascii="Book Antiqua" w:eastAsia="Book Antiqua" w:hAnsi="Book Antiqua" w:cs="Book Antiqua"/>
          <w:color w:val="000000"/>
        </w:rPr>
        <w:t>Su</w:t>
      </w:r>
      <w:proofErr w:type="spellEnd"/>
      <w:r w:rsidRPr="00B10C5F">
        <w:rPr>
          <w:rFonts w:ascii="Book Antiqua" w:eastAsia="Book Antiqua" w:hAnsi="Book Antiqua" w:cs="Book Antiqua"/>
          <w:color w:val="000000"/>
        </w:rPr>
        <w:t xml:space="preserve"> S, Zhu SG, Yu J, Zou WB, Guo XR, Wang L, Li ZS, Liao Z. Incidence and risk factors for post-ERCP pancreatitis in chronic pancreatitis. </w:t>
      </w:r>
      <w:proofErr w:type="spellStart"/>
      <w:r w:rsidRPr="00B10C5F">
        <w:rPr>
          <w:rFonts w:ascii="Book Antiqua" w:eastAsia="Book Antiqua" w:hAnsi="Book Antiqua" w:cs="Book Antiqua"/>
          <w:i/>
          <w:iCs/>
          <w:color w:val="000000"/>
        </w:rPr>
        <w:t>Gastrointest</w:t>
      </w:r>
      <w:proofErr w:type="spellEnd"/>
      <w:r w:rsidRPr="00B10C5F">
        <w:rPr>
          <w:rFonts w:ascii="Book Antiqua" w:eastAsia="Book Antiqua" w:hAnsi="Book Antiqua" w:cs="Book Antiqua"/>
          <w:i/>
          <w:iCs/>
          <w:color w:val="000000"/>
        </w:rPr>
        <w:t xml:space="preserve"> </w:t>
      </w:r>
      <w:proofErr w:type="spellStart"/>
      <w:r w:rsidRPr="00B10C5F">
        <w:rPr>
          <w:rFonts w:ascii="Book Antiqua" w:eastAsia="Book Antiqua" w:hAnsi="Book Antiqua" w:cs="Book Antiqua"/>
          <w:i/>
          <w:iCs/>
          <w:color w:val="000000"/>
        </w:rPr>
        <w:t>Endosc</w:t>
      </w:r>
      <w:proofErr w:type="spellEnd"/>
      <w:r w:rsidRPr="00B10C5F">
        <w:rPr>
          <w:rFonts w:ascii="Book Antiqua" w:eastAsia="Book Antiqua" w:hAnsi="Book Antiqua" w:cs="Book Antiqua"/>
          <w:color w:val="000000"/>
        </w:rPr>
        <w:t xml:space="preserve"> 2017; </w:t>
      </w:r>
      <w:r w:rsidRPr="00B10C5F">
        <w:rPr>
          <w:rFonts w:ascii="Book Antiqua" w:eastAsia="Book Antiqua" w:hAnsi="Book Antiqua" w:cs="Book Antiqua"/>
          <w:b/>
          <w:bCs/>
          <w:color w:val="000000"/>
        </w:rPr>
        <w:t>86</w:t>
      </w:r>
      <w:r w:rsidRPr="00B10C5F">
        <w:rPr>
          <w:rFonts w:ascii="Book Antiqua" w:eastAsia="Book Antiqua" w:hAnsi="Book Antiqua" w:cs="Book Antiqua"/>
          <w:color w:val="000000"/>
        </w:rPr>
        <w:t>: 519-524.e1 [PMID: 28062312 DOI: 10.1016/j.gie.2016.12.020]</w:t>
      </w:r>
    </w:p>
    <w:p w14:paraId="08011853"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10 </w:t>
      </w:r>
      <w:proofErr w:type="spellStart"/>
      <w:r w:rsidRPr="00B10C5F">
        <w:rPr>
          <w:rFonts w:ascii="Book Antiqua" w:eastAsia="Book Antiqua" w:hAnsi="Book Antiqua" w:cs="Book Antiqua"/>
          <w:b/>
          <w:bCs/>
          <w:color w:val="000000"/>
        </w:rPr>
        <w:t>Lyu</w:t>
      </w:r>
      <w:proofErr w:type="spellEnd"/>
      <w:r w:rsidRPr="00B10C5F">
        <w:rPr>
          <w:rFonts w:ascii="Book Antiqua" w:eastAsia="Book Antiqua" w:hAnsi="Book Antiqua" w:cs="Book Antiqua"/>
          <w:b/>
          <w:bCs/>
          <w:color w:val="000000"/>
        </w:rPr>
        <w:t xml:space="preserve"> Y</w:t>
      </w:r>
      <w:r w:rsidRPr="00B10C5F">
        <w:rPr>
          <w:rFonts w:ascii="Book Antiqua" w:eastAsia="Book Antiqua" w:hAnsi="Book Antiqua" w:cs="Book Antiqua"/>
          <w:color w:val="000000"/>
        </w:rPr>
        <w:t xml:space="preserve">, Cheng Y, Wang B, Xu Y, Du W. What is impact of nonsteroidal anti-inflammatory drugs in the prevention of post-endoscopic retrograde cholangiopancreatography pancreatitis: a meta-analysis of randomized controlled trials. </w:t>
      </w:r>
      <w:r w:rsidRPr="00B10C5F">
        <w:rPr>
          <w:rFonts w:ascii="Book Antiqua" w:eastAsia="Book Antiqua" w:hAnsi="Book Antiqua" w:cs="Book Antiqua"/>
          <w:i/>
          <w:iCs/>
          <w:color w:val="000000"/>
        </w:rPr>
        <w:t>BMC Gastroenterol</w:t>
      </w:r>
      <w:r w:rsidRPr="00B10C5F">
        <w:rPr>
          <w:rFonts w:ascii="Book Antiqua" w:eastAsia="Book Antiqua" w:hAnsi="Book Antiqua" w:cs="Book Antiqua"/>
          <w:color w:val="000000"/>
        </w:rPr>
        <w:t xml:space="preserve"> 2018; </w:t>
      </w:r>
      <w:r w:rsidRPr="00B10C5F">
        <w:rPr>
          <w:rFonts w:ascii="Book Antiqua" w:eastAsia="Book Antiqua" w:hAnsi="Book Antiqua" w:cs="Book Antiqua"/>
          <w:b/>
          <w:bCs/>
          <w:color w:val="000000"/>
        </w:rPr>
        <w:t>18</w:t>
      </w:r>
      <w:r w:rsidRPr="00B10C5F">
        <w:rPr>
          <w:rFonts w:ascii="Book Antiqua" w:eastAsia="Book Antiqua" w:hAnsi="Book Antiqua" w:cs="Book Antiqua"/>
          <w:color w:val="000000"/>
        </w:rPr>
        <w:t>: 106 [PMID: 29973142 DOI: 10.1186/s12876-018-0837-4]</w:t>
      </w:r>
    </w:p>
    <w:p w14:paraId="2D0EE033"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lastRenderedPageBreak/>
        <w:t xml:space="preserve">11 </w:t>
      </w:r>
      <w:r w:rsidRPr="00B10C5F">
        <w:rPr>
          <w:rFonts w:ascii="Book Antiqua" w:eastAsia="Book Antiqua" w:hAnsi="Book Antiqua" w:cs="Book Antiqua"/>
          <w:b/>
          <w:bCs/>
          <w:color w:val="000000"/>
        </w:rPr>
        <w:t>Wu X</w:t>
      </w:r>
      <w:r w:rsidRPr="00B10C5F">
        <w:rPr>
          <w:rFonts w:ascii="Book Antiqua" w:eastAsia="Book Antiqua" w:hAnsi="Book Antiqua" w:cs="Book Antiqua"/>
          <w:color w:val="000000"/>
        </w:rPr>
        <w:t xml:space="preserve">, Huang ZJ, Zhong JY, Ran YH, Ma ML, Zhang HW. Laparoscopic common bile duct exploration with primary closure is safe for management of choledocholithiasis in elderly patients. </w:t>
      </w:r>
      <w:r w:rsidRPr="00B10C5F">
        <w:rPr>
          <w:rFonts w:ascii="Book Antiqua" w:eastAsia="Book Antiqua" w:hAnsi="Book Antiqua" w:cs="Book Antiqua"/>
          <w:i/>
          <w:iCs/>
          <w:color w:val="000000"/>
        </w:rPr>
        <w:t xml:space="preserve">Hepatobiliary </w:t>
      </w:r>
      <w:proofErr w:type="spellStart"/>
      <w:r w:rsidRPr="00B10C5F">
        <w:rPr>
          <w:rFonts w:ascii="Book Antiqua" w:eastAsia="Book Antiqua" w:hAnsi="Book Antiqua" w:cs="Book Antiqua"/>
          <w:i/>
          <w:iCs/>
          <w:color w:val="000000"/>
        </w:rPr>
        <w:t>Pancreat</w:t>
      </w:r>
      <w:proofErr w:type="spellEnd"/>
      <w:r w:rsidRPr="00B10C5F">
        <w:rPr>
          <w:rFonts w:ascii="Book Antiqua" w:eastAsia="Book Antiqua" w:hAnsi="Book Antiqua" w:cs="Book Antiqua"/>
          <w:i/>
          <w:iCs/>
          <w:color w:val="000000"/>
        </w:rPr>
        <w:t xml:space="preserve"> Dis Int</w:t>
      </w:r>
      <w:r w:rsidRPr="00B10C5F">
        <w:rPr>
          <w:rFonts w:ascii="Book Antiqua" w:eastAsia="Book Antiqua" w:hAnsi="Book Antiqua" w:cs="Book Antiqua"/>
          <w:color w:val="000000"/>
        </w:rPr>
        <w:t xml:space="preserve"> 2019; </w:t>
      </w:r>
      <w:r w:rsidRPr="00B10C5F">
        <w:rPr>
          <w:rFonts w:ascii="Book Antiqua" w:eastAsia="Book Antiqua" w:hAnsi="Book Antiqua" w:cs="Book Antiqua"/>
          <w:b/>
          <w:bCs/>
          <w:color w:val="000000"/>
        </w:rPr>
        <w:t>18</w:t>
      </w:r>
      <w:r w:rsidRPr="00B10C5F">
        <w:rPr>
          <w:rFonts w:ascii="Book Antiqua" w:eastAsia="Book Antiqua" w:hAnsi="Book Antiqua" w:cs="Book Antiqua"/>
          <w:color w:val="000000"/>
        </w:rPr>
        <w:t>: 557-561 [PMID: 31474445 DOI: 10.1016/j.hbpd.2019.07.005]</w:t>
      </w:r>
    </w:p>
    <w:p w14:paraId="2EBBD946"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12 </w:t>
      </w:r>
      <w:r w:rsidRPr="00B10C5F">
        <w:rPr>
          <w:rFonts w:ascii="Book Antiqua" w:eastAsia="Book Antiqua" w:hAnsi="Book Antiqua" w:cs="Book Antiqua"/>
          <w:b/>
          <w:bCs/>
          <w:color w:val="000000"/>
        </w:rPr>
        <w:t>Salama AF</w:t>
      </w:r>
      <w:r w:rsidRPr="00B10C5F">
        <w:rPr>
          <w:rFonts w:ascii="Book Antiqua" w:eastAsia="Book Antiqua" w:hAnsi="Book Antiqua" w:cs="Book Antiqua"/>
          <w:color w:val="000000"/>
        </w:rPr>
        <w:t xml:space="preserve">, Abd </w:t>
      </w:r>
      <w:proofErr w:type="spellStart"/>
      <w:r w:rsidRPr="00B10C5F">
        <w:rPr>
          <w:rFonts w:ascii="Book Antiqua" w:eastAsia="Book Antiqua" w:hAnsi="Book Antiqua" w:cs="Book Antiqua"/>
          <w:color w:val="000000"/>
        </w:rPr>
        <w:t>Ellatif</w:t>
      </w:r>
      <w:proofErr w:type="spellEnd"/>
      <w:r w:rsidRPr="00B10C5F">
        <w:rPr>
          <w:rFonts w:ascii="Book Antiqua" w:eastAsia="Book Antiqua" w:hAnsi="Book Antiqua" w:cs="Book Antiqua"/>
          <w:color w:val="000000"/>
        </w:rPr>
        <w:t xml:space="preserve"> ME, Abd </w:t>
      </w:r>
      <w:proofErr w:type="spellStart"/>
      <w:r w:rsidRPr="00B10C5F">
        <w:rPr>
          <w:rFonts w:ascii="Book Antiqua" w:eastAsia="Book Antiqua" w:hAnsi="Book Antiqua" w:cs="Book Antiqua"/>
          <w:color w:val="000000"/>
        </w:rPr>
        <w:t>Elaziz</w:t>
      </w:r>
      <w:proofErr w:type="spellEnd"/>
      <w:r w:rsidRPr="00B10C5F">
        <w:rPr>
          <w:rFonts w:ascii="Book Antiqua" w:eastAsia="Book Antiqua" w:hAnsi="Book Antiqua" w:cs="Book Antiqua"/>
          <w:color w:val="000000"/>
        </w:rPr>
        <w:t xml:space="preserve"> H, Magdy A, </w:t>
      </w:r>
      <w:proofErr w:type="spellStart"/>
      <w:r w:rsidRPr="00B10C5F">
        <w:rPr>
          <w:rFonts w:ascii="Book Antiqua" w:eastAsia="Book Antiqua" w:hAnsi="Book Antiqua" w:cs="Book Antiqua"/>
          <w:color w:val="000000"/>
        </w:rPr>
        <w:t>Rizk</w:t>
      </w:r>
      <w:proofErr w:type="spellEnd"/>
      <w:r w:rsidRPr="00B10C5F">
        <w:rPr>
          <w:rFonts w:ascii="Book Antiqua" w:eastAsia="Book Antiqua" w:hAnsi="Book Antiqua" w:cs="Book Antiqua"/>
          <w:color w:val="000000"/>
        </w:rPr>
        <w:t xml:space="preserve"> H, Basheer M, Jamal W, </w:t>
      </w:r>
      <w:proofErr w:type="spellStart"/>
      <w:r w:rsidRPr="00B10C5F">
        <w:rPr>
          <w:rFonts w:ascii="Book Antiqua" w:eastAsia="Book Antiqua" w:hAnsi="Book Antiqua" w:cs="Book Antiqua"/>
          <w:color w:val="000000"/>
        </w:rPr>
        <w:t>Dawoud</w:t>
      </w:r>
      <w:proofErr w:type="spellEnd"/>
      <w:r w:rsidRPr="00B10C5F">
        <w:rPr>
          <w:rFonts w:ascii="Book Antiqua" w:eastAsia="Book Antiqua" w:hAnsi="Book Antiqua" w:cs="Book Antiqua"/>
          <w:color w:val="000000"/>
        </w:rPr>
        <w:t xml:space="preserve"> I, El </w:t>
      </w:r>
      <w:proofErr w:type="spellStart"/>
      <w:r w:rsidRPr="00B10C5F">
        <w:rPr>
          <w:rFonts w:ascii="Book Antiqua" w:eastAsia="Book Antiqua" w:hAnsi="Book Antiqua" w:cs="Book Antiqua"/>
          <w:color w:val="000000"/>
        </w:rPr>
        <w:t>Nakeeb</w:t>
      </w:r>
      <w:proofErr w:type="spellEnd"/>
      <w:r w:rsidRPr="00B10C5F">
        <w:rPr>
          <w:rFonts w:ascii="Book Antiqua" w:eastAsia="Book Antiqua" w:hAnsi="Book Antiqua" w:cs="Book Antiqua"/>
          <w:color w:val="000000"/>
        </w:rPr>
        <w:t xml:space="preserve"> A. Preliminary experience with laparoscopic common bile duct exploration. </w:t>
      </w:r>
      <w:r w:rsidRPr="00B10C5F">
        <w:rPr>
          <w:rFonts w:ascii="Book Antiqua" w:eastAsia="Book Antiqua" w:hAnsi="Book Antiqua" w:cs="Book Antiqua"/>
          <w:i/>
          <w:iCs/>
          <w:color w:val="000000"/>
        </w:rPr>
        <w:t>BMC Surg</w:t>
      </w:r>
      <w:r w:rsidRPr="00B10C5F">
        <w:rPr>
          <w:rFonts w:ascii="Book Antiqua" w:eastAsia="Book Antiqua" w:hAnsi="Book Antiqua" w:cs="Book Antiqua"/>
          <w:color w:val="000000"/>
        </w:rPr>
        <w:t xml:space="preserve"> 2017; </w:t>
      </w:r>
      <w:r w:rsidRPr="00B10C5F">
        <w:rPr>
          <w:rFonts w:ascii="Book Antiqua" w:eastAsia="Book Antiqua" w:hAnsi="Book Antiqua" w:cs="Book Antiqua"/>
          <w:b/>
          <w:bCs/>
          <w:color w:val="000000"/>
        </w:rPr>
        <w:t>17</w:t>
      </w:r>
      <w:r w:rsidRPr="00B10C5F">
        <w:rPr>
          <w:rFonts w:ascii="Book Antiqua" w:eastAsia="Book Antiqua" w:hAnsi="Book Antiqua" w:cs="Book Antiqua"/>
          <w:color w:val="000000"/>
        </w:rPr>
        <w:t>: 32 [PMID: 28359270 DOI: 10.1186/s12893-017-0225-y]</w:t>
      </w:r>
    </w:p>
    <w:p w14:paraId="778B169D"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13 </w:t>
      </w:r>
      <w:r w:rsidRPr="00B10C5F">
        <w:rPr>
          <w:rFonts w:ascii="Book Antiqua" w:eastAsia="Book Antiqua" w:hAnsi="Book Antiqua" w:cs="Book Antiqua"/>
          <w:b/>
          <w:bCs/>
          <w:color w:val="000000"/>
        </w:rPr>
        <w:t>Liu WS</w:t>
      </w:r>
      <w:r w:rsidRPr="00B10C5F">
        <w:rPr>
          <w:rFonts w:ascii="Book Antiqua" w:eastAsia="Book Antiqua" w:hAnsi="Book Antiqua" w:cs="Book Antiqua"/>
          <w:color w:val="000000"/>
        </w:rPr>
        <w:t xml:space="preserve">, Zou Y, Yang B, Jiang Y, Sun DL. Laparoscopic Exploration Can Salvage Recurrent Common Bile Duct Stone after Cholecystectomy. </w:t>
      </w:r>
      <w:r w:rsidRPr="00B10C5F">
        <w:rPr>
          <w:rFonts w:ascii="Book Antiqua" w:eastAsia="Book Antiqua" w:hAnsi="Book Antiqua" w:cs="Book Antiqua"/>
          <w:i/>
          <w:iCs/>
          <w:color w:val="000000"/>
        </w:rPr>
        <w:t>Am Surg</w:t>
      </w:r>
      <w:r w:rsidRPr="00B10C5F">
        <w:rPr>
          <w:rFonts w:ascii="Book Antiqua" w:eastAsia="Book Antiqua" w:hAnsi="Book Antiqua" w:cs="Book Antiqua"/>
          <w:color w:val="000000"/>
        </w:rPr>
        <w:t xml:space="preserve"> 2017; </w:t>
      </w:r>
      <w:r w:rsidRPr="00B10C5F">
        <w:rPr>
          <w:rFonts w:ascii="Book Antiqua" w:eastAsia="Book Antiqua" w:hAnsi="Book Antiqua" w:cs="Book Antiqua"/>
          <w:b/>
          <w:bCs/>
          <w:color w:val="000000"/>
        </w:rPr>
        <w:t>83</w:t>
      </w:r>
      <w:r w:rsidRPr="00B10C5F">
        <w:rPr>
          <w:rFonts w:ascii="Book Antiqua" w:eastAsia="Book Antiqua" w:hAnsi="Book Antiqua" w:cs="Book Antiqua"/>
          <w:color w:val="000000"/>
        </w:rPr>
        <w:t>: 1343-1346 [PMID: 29336751]</w:t>
      </w:r>
    </w:p>
    <w:p w14:paraId="2DEF6A1D" w14:textId="7EC32EB6"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14 </w:t>
      </w:r>
      <w:r w:rsidRPr="00B10C5F">
        <w:rPr>
          <w:rFonts w:ascii="Book Antiqua" w:eastAsia="Book Antiqua" w:hAnsi="Book Antiqua" w:cs="Book Antiqua"/>
          <w:b/>
          <w:bCs/>
          <w:color w:val="000000"/>
        </w:rPr>
        <w:t>Chen AP</w:t>
      </w:r>
      <w:r w:rsidRPr="00977660">
        <w:rPr>
          <w:rFonts w:ascii="Book Antiqua" w:eastAsia="Book Antiqua" w:hAnsi="Book Antiqua" w:cs="Book Antiqua"/>
          <w:color w:val="000000"/>
        </w:rPr>
        <w:t>,</w:t>
      </w:r>
      <w:r w:rsidRPr="00B10C5F">
        <w:rPr>
          <w:rFonts w:ascii="Book Antiqua" w:eastAsia="Book Antiqua" w:hAnsi="Book Antiqua" w:cs="Book Antiqua"/>
          <w:color w:val="000000"/>
        </w:rPr>
        <w:t xml:space="preserve"> Zhao C, Chen DF, Wang SM, Xiao H, Wen YQ. Laparoscopic choledocholithotomy for thin </w:t>
      </w:r>
      <w:proofErr w:type="spellStart"/>
      <w:r w:rsidRPr="00B10C5F">
        <w:rPr>
          <w:rFonts w:ascii="Book Antiqua" w:eastAsia="Book Antiqua" w:hAnsi="Book Antiqua" w:cs="Book Antiqua"/>
          <w:color w:val="000000"/>
        </w:rPr>
        <w:t>choledochus</w:t>
      </w:r>
      <w:proofErr w:type="spellEnd"/>
      <w:r w:rsidRPr="00B10C5F">
        <w:rPr>
          <w:rFonts w:ascii="Book Antiqua" w:eastAsia="Book Antiqua" w:hAnsi="Book Antiqua" w:cs="Book Antiqua"/>
          <w:color w:val="000000"/>
        </w:rPr>
        <w:t xml:space="preserve">. </w:t>
      </w:r>
      <w:proofErr w:type="spellStart"/>
      <w:r w:rsidR="0046613E" w:rsidRPr="00B10C5F">
        <w:rPr>
          <w:rFonts w:ascii="Book Antiqua" w:eastAsia="Book Antiqua" w:hAnsi="Book Antiqua" w:cs="Book Antiqua"/>
          <w:i/>
          <w:color w:val="000000"/>
        </w:rPr>
        <w:t>Zhongguo</w:t>
      </w:r>
      <w:proofErr w:type="spellEnd"/>
      <w:r w:rsidR="0046613E" w:rsidRPr="00B10C5F">
        <w:rPr>
          <w:rFonts w:ascii="Book Antiqua" w:eastAsia="Book Antiqua" w:hAnsi="Book Antiqua" w:cs="Book Antiqua"/>
          <w:i/>
          <w:color w:val="000000"/>
        </w:rPr>
        <w:t xml:space="preserve"> </w:t>
      </w:r>
      <w:proofErr w:type="spellStart"/>
      <w:r w:rsidR="0046613E" w:rsidRPr="00B10C5F">
        <w:rPr>
          <w:rFonts w:ascii="Book Antiqua" w:eastAsia="Book Antiqua" w:hAnsi="Book Antiqua" w:cs="Book Antiqua"/>
          <w:i/>
          <w:color w:val="000000"/>
        </w:rPr>
        <w:t>Shiyong</w:t>
      </w:r>
      <w:proofErr w:type="spellEnd"/>
      <w:r w:rsidR="0046613E" w:rsidRPr="00B10C5F">
        <w:rPr>
          <w:rFonts w:ascii="Book Antiqua" w:eastAsia="Book Antiqua" w:hAnsi="Book Antiqua" w:cs="Book Antiqua"/>
          <w:i/>
          <w:color w:val="000000"/>
        </w:rPr>
        <w:t xml:space="preserve"> </w:t>
      </w:r>
      <w:proofErr w:type="spellStart"/>
      <w:r w:rsidR="0046613E" w:rsidRPr="00B10C5F">
        <w:rPr>
          <w:rFonts w:ascii="Book Antiqua" w:eastAsia="Book Antiqua" w:hAnsi="Book Antiqua" w:cs="Book Antiqua"/>
          <w:i/>
          <w:color w:val="000000"/>
        </w:rPr>
        <w:t>Waike</w:t>
      </w:r>
      <w:proofErr w:type="spellEnd"/>
      <w:r w:rsidR="0046613E" w:rsidRPr="00B10C5F">
        <w:rPr>
          <w:rFonts w:ascii="Book Antiqua" w:eastAsia="Book Antiqua" w:hAnsi="Book Antiqua" w:cs="Book Antiqua"/>
          <w:i/>
          <w:color w:val="000000"/>
        </w:rPr>
        <w:t xml:space="preserve"> </w:t>
      </w:r>
      <w:proofErr w:type="spellStart"/>
      <w:r w:rsidR="0046613E" w:rsidRPr="00B10C5F">
        <w:rPr>
          <w:rFonts w:ascii="Book Antiqua" w:eastAsia="Book Antiqua" w:hAnsi="Book Antiqua" w:cs="Book Antiqua"/>
          <w:i/>
          <w:color w:val="000000"/>
        </w:rPr>
        <w:t>Zazhi</w:t>
      </w:r>
      <w:proofErr w:type="spellEnd"/>
      <w:r w:rsidR="0046613E" w:rsidRPr="00B10C5F">
        <w:rPr>
          <w:rFonts w:ascii="Book Antiqua" w:eastAsia="Book Antiqua" w:hAnsi="Book Antiqua" w:cs="Book Antiqua"/>
          <w:i/>
          <w:color w:val="000000"/>
        </w:rPr>
        <w:t xml:space="preserve"> </w:t>
      </w:r>
      <w:r w:rsidRPr="00B10C5F">
        <w:rPr>
          <w:rFonts w:ascii="Book Antiqua" w:eastAsia="Book Antiqua" w:hAnsi="Book Antiqua" w:cs="Book Antiqua"/>
          <w:color w:val="000000"/>
        </w:rPr>
        <w:t xml:space="preserve">2005; </w:t>
      </w:r>
      <w:r w:rsidRPr="00B10C5F">
        <w:rPr>
          <w:rFonts w:ascii="Book Antiqua" w:eastAsia="Book Antiqua" w:hAnsi="Book Antiqua" w:cs="Book Antiqua"/>
          <w:b/>
          <w:color w:val="000000"/>
        </w:rPr>
        <w:t>25</w:t>
      </w:r>
      <w:r w:rsidRPr="00B10C5F">
        <w:rPr>
          <w:rFonts w:ascii="Book Antiqua" w:eastAsia="Book Antiqua" w:hAnsi="Book Antiqua" w:cs="Book Antiqua"/>
          <w:color w:val="000000"/>
        </w:rPr>
        <w:t>: 673-674 [</w:t>
      </w:r>
      <w:r w:rsidRPr="00B10C5F">
        <w:rPr>
          <w:rFonts w:ascii="Book Antiqua" w:eastAsia="Book Antiqua" w:hAnsi="Book Antiqua" w:cs="Book Antiqua"/>
          <w:caps/>
          <w:color w:val="000000"/>
        </w:rPr>
        <w:t>doi</w:t>
      </w:r>
      <w:r w:rsidRPr="00B10C5F">
        <w:rPr>
          <w:rFonts w:ascii="Book Antiqua" w:eastAsia="Book Antiqua" w:hAnsi="Book Antiqua" w:cs="Book Antiqua"/>
          <w:color w:val="000000"/>
        </w:rPr>
        <w:t>:</w:t>
      </w:r>
      <w:r w:rsidR="0046613E"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10.3321/j.issn:1005-2208.2005.11.014]</w:t>
      </w:r>
    </w:p>
    <w:p w14:paraId="54C6B5B9" w14:textId="3C680FB8"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15 </w:t>
      </w:r>
      <w:r w:rsidRPr="00B10C5F">
        <w:rPr>
          <w:rFonts w:ascii="Book Antiqua" w:eastAsia="Book Antiqua" w:hAnsi="Book Antiqua" w:cs="Book Antiqua"/>
          <w:b/>
          <w:bCs/>
          <w:color w:val="000000"/>
        </w:rPr>
        <w:t>Peng J</w:t>
      </w:r>
      <w:r w:rsidRPr="00977660">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Ma JL, Hao JH, Lan H. Laparoscopic common bile duct exploration with primary closure for the treatment of small-diameter choledocholithiasis. </w:t>
      </w:r>
      <w:proofErr w:type="spellStart"/>
      <w:r w:rsidR="0046613E" w:rsidRPr="00B10C5F">
        <w:rPr>
          <w:rFonts w:ascii="Book Antiqua" w:eastAsia="Book Antiqua" w:hAnsi="Book Antiqua" w:cs="Book Antiqua"/>
          <w:i/>
          <w:color w:val="000000"/>
        </w:rPr>
        <w:t>Gandanyi</w:t>
      </w:r>
      <w:proofErr w:type="spellEnd"/>
      <w:r w:rsidR="0046613E" w:rsidRPr="00B10C5F">
        <w:rPr>
          <w:rFonts w:ascii="Book Antiqua" w:eastAsia="Book Antiqua" w:hAnsi="Book Antiqua" w:cs="Book Antiqua"/>
          <w:i/>
          <w:color w:val="000000"/>
        </w:rPr>
        <w:t xml:space="preserve"> </w:t>
      </w:r>
      <w:proofErr w:type="spellStart"/>
      <w:r w:rsidR="0046613E" w:rsidRPr="00B10C5F">
        <w:rPr>
          <w:rFonts w:ascii="Book Antiqua" w:eastAsia="Book Antiqua" w:hAnsi="Book Antiqua" w:cs="Book Antiqua"/>
          <w:i/>
          <w:color w:val="000000"/>
        </w:rPr>
        <w:t>Waike</w:t>
      </w:r>
      <w:proofErr w:type="spellEnd"/>
      <w:r w:rsidR="0046613E" w:rsidRPr="00B10C5F">
        <w:rPr>
          <w:rFonts w:ascii="Book Antiqua" w:eastAsia="Book Antiqua" w:hAnsi="Book Antiqua" w:cs="Book Antiqua"/>
          <w:i/>
          <w:color w:val="000000"/>
        </w:rPr>
        <w:t xml:space="preserve"> </w:t>
      </w:r>
      <w:proofErr w:type="spellStart"/>
      <w:r w:rsidR="0046613E" w:rsidRPr="00B10C5F">
        <w:rPr>
          <w:rFonts w:ascii="Book Antiqua" w:eastAsia="Book Antiqua" w:hAnsi="Book Antiqua" w:cs="Book Antiqua"/>
          <w:i/>
          <w:color w:val="000000"/>
        </w:rPr>
        <w:t>Zazhi</w:t>
      </w:r>
      <w:proofErr w:type="spellEnd"/>
      <w:r w:rsidR="0046613E"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2015; </w:t>
      </w:r>
      <w:r w:rsidR="0046613E" w:rsidRPr="00B10C5F">
        <w:rPr>
          <w:rFonts w:ascii="Book Antiqua" w:eastAsia="Book Antiqua" w:hAnsi="Book Antiqua" w:cs="Book Antiqua"/>
          <w:b/>
          <w:color w:val="000000"/>
        </w:rPr>
        <w:t>27</w:t>
      </w:r>
      <w:r w:rsidRPr="00977660">
        <w:rPr>
          <w:rFonts w:ascii="Book Antiqua" w:eastAsia="Book Antiqua" w:hAnsi="Book Antiqua" w:cs="Book Antiqua"/>
          <w:bCs/>
          <w:color w:val="000000"/>
        </w:rPr>
        <w:t>:</w:t>
      </w:r>
      <w:r w:rsidRPr="00B10C5F">
        <w:rPr>
          <w:rFonts w:ascii="Book Antiqua" w:eastAsia="Book Antiqua" w:hAnsi="Book Antiqua" w:cs="Book Antiqua"/>
          <w:color w:val="000000"/>
        </w:rPr>
        <w:t xml:space="preserve"> 519-520 [</w:t>
      </w:r>
      <w:bookmarkStart w:id="24" w:name="OLE_LINK8"/>
      <w:bookmarkStart w:id="25" w:name="OLE_LINK9"/>
      <w:r w:rsidRPr="00B10C5F">
        <w:rPr>
          <w:rFonts w:ascii="Book Antiqua" w:eastAsia="Book Antiqua" w:hAnsi="Book Antiqua" w:cs="Book Antiqua"/>
          <w:color w:val="000000"/>
        </w:rPr>
        <w:t>DOI: 10.11952/j.issn.1007-1954.2015.06.020</w:t>
      </w:r>
      <w:bookmarkEnd w:id="24"/>
      <w:bookmarkEnd w:id="25"/>
      <w:r w:rsidRPr="00B10C5F">
        <w:rPr>
          <w:rFonts w:ascii="Book Antiqua" w:eastAsia="Book Antiqua" w:hAnsi="Book Antiqua" w:cs="Book Antiqua"/>
          <w:color w:val="000000"/>
        </w:rPr>
        <w:t>]</w:t>
      </w:r>
    </w:p>
    <w:p w14:paraId="66365638"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16 </w:t>
      </w:r>
      <w:r w:rsidRPr="00B10C5F">
        <w:rPr>
          <w:rFonts w:ascii="Book Antiqua" w:eastAsia="Book Antiqua" w:hAnsi="Book Antiqua" w:cs="Book Antiqua"/>
          <w:b/>
          <w:bCs/>
          <w:color w:val="000000"/>
        </w:rPr>
        <w:t>Koch M</w:t>
      </w:r>
      <w:r w:rsidRPr="00B10C5F">
        <w:rPr>
          <w:rFonts w:ascii="Book Antiqua" w:eastAsia="Book Antiqua" w:hAnsi="Book Antiqua" w:cs="Book Antiqua"/>
          <w:color w:val="000000"/>
        </w:rPr>
        <w:t xml:space="preserve">, Garden OJ, Padbury R, </w:t>
      </w:r>
      <w:proofErr w:type="spellStart"/>
      <w:r w:rsidRPr="00B10C5F">
        <w:rPr>
          <w:rFonts w:ascii="Book Antiqua" w:eastAsia="Book Antiqua" w:hAnsi="Book Antiqua" w:cs="Book Antiqua"/>
          <w:color w:val="000000"/>
        </w:rPr>
        <w:t>Rahbari</w:t>
      </w:r>
      <w:proofErr w:type="spellEnd"/>
      <w:r w:rsidRPr="00B10C5F">
        <w:rPr>
          <w:rFonts w:ascii="Book Antiqua" w:eastAsia="Book Antiqua" w:hAnsi="Book Antiqua" w:cs="Book Antiqua"/>
          <w:color w:val="000000"/>
        </w:rPr>
        <w:t xml:space="preserve"> NN, Adam R, </w:t>
      </w:r>
      <w:proofErr w:type="spellStart"/>
      <w:r w:rsidRPr="00B10C5F">
        <w:rPr>
          <w:rFonts w:ascii="Book Antiqua" w:eastAsia="Book Antiqua" w:hAnsi="Book Antiqua" w:cs="Book Antiqua"/>
          <w:color w:val="000000"/>
        </w:rPr>
        <w:t>Capussotti</w:t>
      </w:r>
      <w:proofErr w:type="spellEnd"/>
      <w:r w:rsidRPr="00B10C5F">
        <w:rPr>
          <w:rFonts w:ascii="Book Antiqua" w:eastAsia="Book Antiqua" w:hAnsi="Book Antiqua" w:cs="Book Antiqua"/>
          <w:color w:val="000000"/>
        </w:rPr>
        <w:t xml:space="preserve"> L, Fan ST, Yokoyama Y, Crawford M, Makuuchi M, </w:t>
      </w:r>
      <w:proofErr w:type="spellStart"/>
      <w:r w:rsidRPr="00B10C5F">
        <w:rPr>
          <w:rFonts w:ascii="Book Antiqua" w:eastAsia="Book Antiqua" w:hAnsi="Book Antiqua" w:cs="Book Antiqua"/>
          <w:color w:val="000000"/>
        </w:rPr>
        <w:t>Christophi</w:t>
      </w:r>
      <w:proofErr w:type="spellEnd"/>
      <w:r w:rsidRPr="00B10C5F">
        <w:rPr>
          <w:rFonts w:ascii="Book Antiqua" w:eastAsia="Book Antiqua" w:hAnsi="Book Antiqua" w:cs="Book Antiqua"/>
          <w:color w:val="000000"/>
        </w:rPr>
        <w:t xml:space="preserve"> C, Banting S, Brooke-Smith M, </w:t>
      </w:r>
      <w:proofErr w:type="spellStart"/>
      <w:r w:rsidRPr="00B10C5F">
        <w:rPr>
          <w:rFonts w:ascii="Book Antiqua" w:eastAsia="Book Antiqua" w:hAnsi="Book Antiqua" w:cs="Book Antiqua"/>
          <w:color w:val="000000"/>
        </w:rPr>
        <w:t>Usatoff</w:t>
      </w:r>
      <w:proofErr w:type="spellEnd"/>
      <w:r w:rsidRPr="00B10C5F">
        <w:rPr>
          <w:rFonts w:ascii="Book Antiqua" w:eastAsia="Book Antiqua" w:hAnsi="Book Antiqua" w:cs="Book Antiqua"/>
          <w:color w:val="000000"/>
        </w:rPr>
        <w:t xml:space="preserve"> V, </w:t>
      </w:r>
      <w:proofErr w:type="spellStart"/>
      <w:r w:rsidRPr="00B10C5F">
        <w:rPr>
          <w:rFonts w:ascii="Book Antiqua" w:eastAsia="Book Antiqua" w:hAnsi="Book Antiqua" w:cs="Book Antiqua"/>
          <w:color w:val="000000"/>
        </w:rPr>
        <w:t>Nagino</w:t>
      </w:r>
      <w:proofErr w:type="spellEnd"/>
      <w:r w:rsidRPr="00B10C5F">
        <w:rPr>
          <w:rFonts w:ascii="Book Antiqua" w:eastAsia="Book Antiqua" w:hAnsi="Book Antiqua" w:cs="Book Antiqua"/>
          <w:color w:val="000000"/>
        </w:rPr>
        <w:t xml:space="preserve"> M, </w:t>
      </w:r>
      <w:proofErr w:type="spellStart"/>
      <w:r w:rsidRPr="00B10C5F">
        <w:rPr>
          <w:rFonts w:ascii="Book Antiqua" w:eastAsia="Book Antiqua" w:hAnsi="Book Antiqua" w:cs="Book Antiqua"/>
          <w:color w:val="000000"/>
        </w:rPr>
        <w:t>Maddern</w:t>
      </w:r>
      <w:proofErr w:type="spellEnd"/>
      <w:r w:rsidRPr="00B10C5F">
        <w:rPr>
          <w:rFonts w:ascii="Book Antiqua" w:eastAsia="Book Antiqua" w:hAnsi="Book Antiqua" w:cs="Book Antiqua"/>
          <w:color w:val="000000"/>
        </w:rPr>
        <w:t xml:space="preserve"> G, Hugh TJ, </w:t>
      </w:r>
      <w:proofErr w:type="spellStart"/>
      <w:r w:rsidRPr="00B10C5F">
        <w:rPr>
          <w:rFonts w:ascii="Book Antiqua" w:eastAsia="Book Antiqua" w:hAnsi="Book Antiqua" w:cs="Book Antiqua"/>
          <w:color w:val="000000"/>
        </w:rPr>
        <w:t>Vauthey</w:t>
      </w:r>
      <w:proofErr w:type="spellEnd"/>
      <w:r w:rsidRPr="00B10C5F">
        <w:rPr>
          <w:rFonts w:ascii="Book Antiqua" w:eastAsia="Book Antiqua" w:hAnsi="Book Antiqua" w:cs="Book Antiqua"/>
          <w:color w:val="000000"/>
        </w:rPr>
        <w:t xml:space="preserve"> JN, Greig P, Rees M, </w:t>
      </w:r>
      <w:proofErr w:type="spellStart"/>
      <w:r w:rsidRPr="00B10C5F">
        <w:rPr>
          <w:rFonts w:ascii="Book Antiqua" w:eastAsia="Book Antiqua" w:hAnsi="Book Antiqua" w:cs="Book Antiqua"/>
          <w:color w:val="000000"/>
        </w:rPr>
        <w:t>Nimura</w:t>
      </w:r>
      <w:proofErr w:type="spellEnd"/>
      <w:r w:rsidRPr="00B10C5F">
        <w:rPr>
          <w:rFonts w:ascii="Book Antiqua" w:eastAsia="Book Antiqua" w:hAnsi="Book Antiqua" w:cs="Book Antiqua"/>
          <w:color w:val="000000"/>
        </w:rPr>
        <w:t xml:space="preserve"> Y, </w:t>
      </w:r>
      <w:proofErr w:type="spellStart"/>
      <w:r w:rsidRPr="00B10C5F">
        <w:rPr>
          <w:rFonts w:ascii="Book Antiqua" w:eastAsia="Book Antiqua" w:hAnsi="Book Antiqua" w:cs="Book Antiqua"/>
          <w:color w:val="000000"/>
        </w:rPr>
        <w:t>Figueras</w:t>
      </w:r>
      <w:proofErr w:type="spellEnd"/>
      <w:r w:rsidRPr="00B10C5F">
        <w:rPr>
          <w:rFonts w:ascii="Book Antiqua" w:eastAsia="Book Antiqua" w:hAnsi="Book Antiqua" w:cs="Book Antiqua"/>
          <w:color w:val="000000"/>
        </w:rPr>
        <w:t xml:space="preserve"> J, DeMatteo RP, </w:t>
      </w:r>
      <w:proofErr w:type="spellStart"/>
      <w:r w:rsidRPr="00B10C5F">
        <w:rPr>
          <w:rFonts w:ascii="Book Antiqua" w:eastAsia="Book Antiqua" w:hAnsi="Book Antiqua" w:cs="Book Antiqua"/>
          <w:color w:val="000000"/>
        </w:rPr>
        <w:t>Büchler</w:t>
      </w:r>
      <w:proofErr w:type="spellEnd"/>
      <w:r w:rsidRPr="00B10C5F">
        <w:rPr>
          <w:rFonts w:ascii="Book Antiqua" w:eastAsia="Book Antiqua" w:hAnsi="Book Antiqua" w:cs="Book Antiqua"/>
          <w:color w:val="000000"/>
        </w:rPr>
        <w:t xml:space="preserve"> MW, Weitz J. Bile leakage after hepatobiliary and pancreatic surgery: a definition and grading of severity by the International Study Group of Liver Surgery. </w:t>
      </w:r>
      <w:r w:rsidRPr="00B10C5F">
        <w:rPr>
          <w:rFonts w:ascii="Book Antiqua" w:eastAsia="Book Antiqua" w:hAnsi="Book Antiqua" w:cs="Book Antiqua"/>
          <w:i/>
          <w:iCs/>
          <w:color w:val="000000"/>
        </w:rPr>
        <w:t>Surgery</w:t>
      </w:r>
      <w:r w:rsidRPr="00B10C5F">
        <w:rPr>
          <w:rFonts w:ascii="Book Antiqua" w:eastAsia="Book Antiqua" w:hAnsi="Book Antiqua" w:cs="Book Antiqua"/>
          <w:color w:val="000000"/>
        </w:rPr>
        <w:t xml:space="preserve"> 2011; </w:t>
      </w:r>
      <w:r w:rsidRPr="00B10C5F">
        <w:rPr>
          <w:rFonts w:ascii="Book Antiqua" w:eastAsia="Book Antiqua" w:hAnsi="Book Antiqua" w:cs="Book Antiqua"/>
          <w:b/>
          <w:bCs/>
          <w:color w:val="000000"/>
        </w:rPr>
        <w:t>149</w:t>
      </w:r>
      <w:r w:rsidRPr="00B10C5F">
        <w:rPr>
          <w:rFonts w:ascii="Book Antiqua" w:eastAsia="Book Antiqua" w:hAnsi="Book Antiqua" w:cs="Book Antiqua"/>
          <w:color w:val="000000"/>
        </w:rPr>
        <w:t>: 680-688 [PMID: 21316725 DOI: 10.1016/j.surg.2010.12.002]</w:t>
      </w:r>
    </w:p>
    <w:p w14:paraId="4D967E48"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17 </w:t>
      </w:r>
      <w:proofErr w:type="spellStart"/>
      <w:r w:rsidRPr="00B10C5F">
        <w:rPr>
          <w:rFonts w:ascii="Book Antiqua" w:eastAsia="Book Antiqua" w:hAnsi="Book Antiqua" w:cs="Book Antiqua"/>
          <w:b/>
          <w:bCs/>
          <w:color w:val="000000"/>
        </w:rPr>
        <w:t>Tazuma</w:t>
      </w:r>
      <w:proofErr w:type="spellEnd"/>
      <w:r w:rsidRPr="00B10C5F">
        <w:rPr>
          <w:rFonts w:ascii="Book Antiqua" w:eastAsia="Book Antiqua" w:hAnsi="Book Antiqua" w:cs="Book Antiqua"/>
          <w:b/>
          <w:bCs/>
          <w:color w:val="000000"/>
        </w:rPr>
        <w:t xml:space="preserve"> S</w:t>
      </w:r>
      <w:r w:rsidRPr="00B10C5F">
        <w:rPr>
          <w:rFonts w:ascii="Book Antiqua" w:eastAsia="Book Antiqua" w:hAnsi="Book Antiqua" w:cs="Book Antiqua"/>
          <w:color w:val="000000"/>
        </w:rPr>
        <w:t xml:space="preserve">, </w:t>
      </w:r>
      <w:proofErr w:type="spellStart"/>
      <w:r w:rsidRPr="00B10C5F">
        <w:rPr>
          <w:rFonts w:ascii="Book Antiqua" w:eastAsia="Book Antiqua" w:hAnsi="Book Antiqua" w:cs="Book Antiqua"/>
          <w:color w:val="000000"/>
        </w:rPr>
        <w:t>Unno</w:t>
      </w:r>
      <w:proofErr w:type="spellEnd"/>
      <w:r w:rsidRPr="00B10C5F">
        <w:rPr>
          <w:rFonts w:ascii="Book Antiqua" w:eastAsia="Book Antiqua" w:hAnsi="Book Antiqua" w:cs="Book Antiqua"/>
          <w:color w:val="000000"/>
        </w:rPr>
        <w:t xml:space="preserve"> M, Igarashi Y, Inui K, Uchiyama K, Kai M, </w:t>
      </w:r>
      <w:proofErr w:type="spellStart"/>
      <w:r w:rsidRPr="00B10C5F">
        <w:rPr>
          <w:rFonts w:ascii="Book Antiqua" w:eastAsia="Book Antiqua" w:hAnsi="Book Antiqua" w:cs="Book Antiqua"/>
          <w:color w:val="000000"/>
        </w:rPr>
        <w:t>Tsuyuguchi</w:t>
      </w:r>
      <w:proofErr w:type="spellEnd"/>
      <w:r w:rsidRPr="00B10C5F">
        <w:rPr>
          <w:rFonts w:ascii="Book Antiqua" w:eastAsia="Book Antiqua" w:hAnsi="Book Antiqua" w:cs="Book Antiqua"/>
          <w:color w:val="000000"/>
        </w:rPr>
        <w:t xml:space="preserve"> T, </w:t>
      </w:r>
      <w:proofErr w:type="spellStart"/>
      <w:r w:rsidRPr="00B10C5F">
        <w:rPr>
          <w:rFonts w:ascii="Book Antiqua" w:eastAsia="Book Antiqua" w:hAnsi="Book Antiqua" w:cs="Book Antiqua"/>
          <w:color w:val="000000"/>
        </w:rPr>
        <w:t>Maguchi</w:t>
      </w:r>
      <w:proofErr w:type="spellEnd"/>
      <w:r w:rsidRPr="00B10C5F">
        <w:rPr>
          <w:rFonts w:ascii="Book Antiqua" w:eastAsia="Book Antiqua" w:hAnsi="Book Antiqua" w:cs="Book Antiqua"/>
          <w:color w:val="000000"/>
        </w:rPr>
        <w:t xml:space="preserve"> H, Mori T, Yamaguchi K, </w:t>
      </w:r>
      <w:proofErr w:type="spellStart"/>
      <w:r w:rsidRPr="00B10C5F">
        <w:rPr>
          <w:rFonts w:ascii="Book Antiqua" w:eastAsia="Book Antiqua" w:hAnsi="Book Antiqua" w:cs="Book Antiqua"/>
          <w:color w:val="000000"/>
        </w:rPr>
        <w:t>Ryozawa</w:t>
      </w:r>
      <w:proofErr w:type="spellEnd"/>
      <w:r w:rsidRPr="00B10C5F">
        <w:rPr>
          <w:rFonts w:ascii="Book Antiqua" w:eastAsia="Book Antiqua" w:hAnsi="Book Antiqua" w:cs="Book Antiqua"/>
          <w:color w:val="000000"/>
        </w:rPr>
        <w:t xml:space="preserve"> S, </w:t>
      </w:r>
      <w:proofErr w:type="spellStart"/>
      <w:r w:rsidRPr="00B10C5F">
        <w:rPr>
          <w:rFonts w:ascii="Book Antiqua" w:eastAsia="Book Antiqua" w:hAnsi="Book Antiqua" w:cs="Book Antiqua"/>
          <w:color w:val="000000"/>
        </w:rPr>
        <w:t>Nimura</w:t>
      </w:r>
      <w:proofErr w:type="spellEnd"/>
      <w:r w:rsidRPr="00B10C5F">
        <w:rPr>
          <w:rFonts w:ascii="Book Antiqua" w:eastAsia="Book Antiqua" w:hAnsi="Book Antiqua" w:cs="Book Antiqua"/>
          <w:color w:val="000000"/>
        </w:rPr>
        <w:t xml:space="preserve"> Y, Fujita N, Kubota K, </w:t>
      </w:r>
      <w:proofErr w:type="spellStart"/>
      <w:r w:rsidRPr="00B10C5F">
        <w:rPr>
          <w:rFonts w:ascii="Book Antiqua" w:eastAsia="Book Antiqua" w:hAnsi="Book Antiqua" w:cs="Book Antiqua"/>
          <w:color w:val="000000"/>
        </w:rPr>
        <w:t>Shoda</w:t>
      </w:r>
      <w:proofErr w:type="spellEnd"/>
      <w:r w:rsidRPr="00B10C5F">
        <w:rPr>
          <w:rFonts w:ascii="Book Antiqua" w:eastAsia="Book Antiqua" w:hAnsi="Book Antiqua" w:cs="Book Antiqua"/>
          <w:color w:val="000000"/>
        </w:rPr>
        <w:t xml:space="preserve"> J, Tabata M, Mine T, Sugano K, Watanabe M, </w:t>
      </w:r>
      <w:proofErr w:type="spellStart"/>
      <w:r w:rsidRPr="00B10C5F">
        <w:rPr>
          <w:rFonts w:ascii="Book Antiqua" w:eastAsia="Book Antiqua" w:hAnsi="Book Antiqua" w:cs="Book Antiqua"/>
          <w:color w:val="000000"/>
        </w:rPr>
        <w:t>Shimosegawa</w:t>
      </w:r>
      <w:proofErr w:type="spellEnd"/>
      <w:r w:rsidRPr="00B10C5F">
        <w:rPr>
          <w:rFonts w:ascii="Book Antiqua" w:eastAsia="Book Antiqua" w:hAnsi="Book Antiqua" w:cs="Book Antiqua"/>
          <w:color w:val="000000"/>
        </w:rPr>
        <w:t xml:space="preserve"> T. Evidence-based clinical practice guidelines for cholelithiasis 2016. </w:t>
      </w:r>
      <w:r w:rsidRPr="00B10C5F">
        <w:rPr>
          <w:rFonts w:ascii="Book Antiqua" w:eastAsia="Book Antiqua" w:hAnsi="Book Antiqua" w:cs="Book Antiqua"/>
          <w:i/>
          <w:iCs/>
          <w:color w:val="000000"/>
        </w:rPr>
        <w:t>J Gastroenterol</w:t>
      </w:r>
      <w:r w:rsidRPr="00B10C5F">
        <w:rPr>
          <w:rFonts w:ascii="Book Antiqua" w:eastAsia="Book Antiqua" w:hAnsi="Book Antiqua" w:cs="Book Antiqua"/>
          <w:color w:val="000000"/>
        </w:rPr>
        <w:t xml:space="preserve"> 2017; </w:t>
      </w:r>
      <w:r w:rsidRPr="00B10C5F">
        <w:rPr>
          <w:rFonts w:ascii="Book Antiqua" w:eastAsia="Book Antiqua" w:hAnsi="Book Antiqua" w:cs="Book Antiqua"/>
          <w:b/>
          <w:bCs/>
          <w:color w:val="000000"/>
        </w:rPr>
        <w:t>52</w:t>
      </w:r>
      <w:r w:rsidRPr="00B10C5F">
        <w:rPr>
          <w:rFonts w:ascii="Book Antiqua" w:eastAsia="Book Antiqua" w:hAnsi="Book Antiqua" w:cs="Book Antiqua"/>
          <w:color w:val="000000"/>
        </w:rPr>
        <w:t>: 276-300 [PMID: 27942871 DOI: 10.1007/s00535-016-1289-7]</w:t>
      </w:r>
    </w:p>
    <w:p w14:paraId="21776521"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lastRenderedPageBreak/>
        <w:t xml:space="preserve">18 </w:t>
      </w:r>
      <w:r w:rsidRPr="00B10C5F">
        <w:rPr>
          <w:rFonts w:ascii="Book Antiqua" w:eastAsia="Book Antiqua" w:hAnsi="Book Antiqua" w:cs="Book Antiqua"/>
          <w:b/>
          <w:bCs/>
          <w:color w:val="000000"/>
        </w:rPr>
        <w:t>Helton WS</w:t>
      </w:r>
      <w:r w:rsidRPr="00B10C5F">
        <w:rPr>
          <w:rFonts w:ascii="Book Antiqua" w:eastAsia="Book Antiqua" w:hAnsi="Book Antiqua" w:cs="Book Antiqua"/>
          <w:color w:val="000000"/>
        </w:rPr>
        <w:t xml:space="preserve">, </w:t>
      </w:r>
      <w:proofErr w:type="spellStart"/>
      <w:r w:rsidRPr="00B10C5F">
        <w:rPr>
          <w:rFonts w:ascii="Book Antiqua" w:eastAsia="Book Antiqua" w:hAnsi="Book Antiqua" w:cs="Book Antiqua"/>
          <w:color w:val="000000"/>
        </w:rPr>
        <w:t>Ayloo</w:t>
      </w:r>
      <w:proofErr w:type="spellEnd"/>
      <w:r w:rsidRPr="00B10C5F">
        <w:rPr>
          <w:rFonts w:ascii="Book Antiqua" w:eastAsia="Book Antiqua" w:hAnsi="Book Antiqua" w:cs="Book Antiqua"/>
          <w:color w:val="000000"/>
        </w:rPr>
        <w:t xml:space="preserve"> S. Technical Aspects of Bile Duct Evaluation and Exploration: An Update. </w:t>
      </w:r>
      <w:r w:rsidRPr="00B10C5F">
        <w:rPr>
          <w:rFonts w:ascii="Book Antiqua" w:eastAsia="Book Antiqua" w:hAnsi="Book Antiqua" w:cs="Book Antiqua"/>
          <w:i/>
          <w:iCs/>
          <w:color w:val="000000"/>
        </w:rPr>
        <w:t>Surg Clin North Am</w:t>
      </w:r>
      <w:r w:rsidRPr="00B10C5F">
        <w:rPr>
          <w:rFonts w:ascii="Book Antiqua" w:eastAsia="Book Antiqua" w:hAnsi="Book Antiqua" w:cs="Book Antiqua"/>
          <w:color w:val="000000"/>
        </w:rPr>
        <w:t xml:space="preserve"> 2019; </w:t>
      </w:r>
      <w:r w:rsidRPr="00B10C5F">
        <w:rPr>
          <w:rFonts w:ascii="Book Antiqua" w:eastAsia="Book Antiqua" w:hAnsi="Book Antiqua" w:cs="Book Antiqua"/>
          <w:b/>
          <w:bCs/>
          <w:color w:val="000000"/>
        </w:rPr>
        <w:t>99</w:t>
      </w:r>
      <w:r w:rsidRPr="00B10C5F">
        <w:rPr>
          <w:rFonts w:ascii="Book Antiqua" w:eastAsia="Book Antiqua" w:hAnsi="Book Antiqua" w:cs="Book Antiqua"/>
          <w:color w:val="000000"/>
        </w:rPr>
        <w:t>: 259-282 [PMID: 30846034 DOI: 10.1016/j.suc.2018.12.007]</w:t>
      </w:r>
    </w:p>
    <w:p w14:paraId="7C6F55B6"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19 </w:t>
      </w:r>
      <w:r w:rsidRPr="00B10C5F">
        <w:rPr>
          <w:rFonts w:ascii="Book Antiqua" w:eastAsia="Book Antiqua" w:hAnsi="Book Antiqua" w:cs="Book Antiqua"/>
          <w:b/>
          <w:bCs/>
          <w:color w:val="000000"/>
        </w:rPr>
        <w:t>Williams E</w:t>
      </w:r>
      <w:r w:rsidRPr="00B10C5F">
        <w:rPr>
          <w:rFonts w:ascii="Book Antiqua" w:eastAsia="Book Antiqua" w:hAnsi="Book Antiqua" w:cs="Book Antiqua"/>
          <w:color w:val="000000"/>
        </w:rPr>
        <w:t xml:space="preserve">, </w:t>
      </w:r>
      <w:proofErr w:type="spellStart"/>
      <w:r w:rsidRPr="00B10C5F">
        <w:rPr>
          <w:rFonts w:ascii="Book Antiqua" w:eastAsia="Book Antiqua" w:hAnsi="Book Antiqua" w:cs="Book Antiqua"/>
          <w:color w:val="000000"/>
        </w:rPr>
        <w:t>Beckingham</w:t>
      </w:r>
      <w:proofErr w:type="spellEnd"/>
      <w:r w:rsidRPr="00B10C5F">
        <w:rPr>
          <w:rFonts w:ascii="Book Antiqua" w:eastAsia="Book Antiqua" w:hAnsi="Book Antiqua" w:cs="Book Antiqua"/>
          <w:color w:val="000000"/>
        </w:rPr>
        <w:t xml:space="preserve"> I, El Sayed G, </w:t>
      </w:r>
      <w:proofErr w:type="spellStart"/>
      <w:r w:rsidRPr="00B10C5F">
        <w:rPr>
          <w:rFonts w:ascii="Book Antiqua" w:eastAsia="Book Antiqua" w:hAnsi="Book Antiqua" w:cs="Book Antiqua"/>
          <w:color w:val="000000"/>
        </w:rPr>
        <w:t>Gurusamy</w:t>
      </w:r>
      <w:proofErr w:type="spellEnd"/>
      <w:r w:rsidRPr="00B10C5F">
        <w:rPr>
          <w:rFonts w:ascii="Book Antiqua" w:eastAsia="Book Antiqua" w:hAnsi="Book Antiqua" w:cs="Book Antiqua"/>
          <w:color w:val="000000"/>
        </w:rPr>
        <w:t xml:space="preserve"> K, </w:t>
      </w:r>
      <w:proofErr w:type="spellStart"/>
      <w:r w:rsidRPr="00B10C5F">
        <w:rPr>
          <w:rFonts w:ascii="Book Antiqua" w:eastAsia="Book Antiqua" w:hAnsi="Book Antiqua" w:cs="Book Antiqua"/>
          <w:color w:val="000000"/>
        </w:rPr>
        <w:t>Sturgess</w:t>
      </w:r>
      <w:proofErr w:type="spellEnd"/>
      <w:r w:rsidRPr="00B10C5F">
        <w:rPr>
          <w:rFonts w:ascii="Book Antiqua" w:eastAsia="Book Antiqua" w:hAnsi="Book Antiqua" w:cs="Book Antiqua"/>
          <w:color w:val="000000"/>
        </w:rPr>
        <w:t xml:space="preserve"> R, Webster G, Young T. Updated guideline on the management of common bile duct stones (CBDS). </w:t>
      </w:r>
      <w:r w:rsidRPr="00B10C5F">
        <w:rPr>
          <w:rFonts w:ascii="Book Antiqua" w:eastAsia="Book Antiqua" w:hAnsi="Book Antiqua" w:cs="Book Antiqua"/>
          <w:i/>
          <w:iCs/>
          <w:color w:val="000000"/>
        </w:rPr>
        <w:t>Gut</w:t>
      </w:r>
      <w:r w:rsidRPr="00B10C5F">
        <w:rPr>
          <w:rFonts w:ascii="Book Antiqua" w:eastAsia="Book Antiqua" w:hAnsi="Book Antiqua" w:cs="Book Antiqua"/>
          <w:color w:val="000000"/>
        </w:rPr>
        <w:t xml:space="preserve"> 2017; </w:t>
      </w:r>
      <w:r w:rsidRPr="00B10C5F">
        <w:rPr>
          <w:rFonts w:ascii="Book Antiqua" w:eastAsia="Book Antiqua" w:hAnsi="Book Antiqua" w:cs="Book Antiqua"/>
          <w:b/>
          <w:bCs/>
          <w:color w:val="000000"/>
        </w:rPr>
        <w:t>66</w:t>
      </w:r>
      <w:r w:rsidRPr="00B10C5F">
        <w:rPr>
          <w:rFonts w:ascii="Book Antiqua" w:eastAsia="Book Antiqua" w:hAnsi="Book Antiqua" w:cs="Book Antiqua"/>
          <w:color w:val="000000"/>
        </w:rPr>
        <w:t>: 765-782 [PMID: 28122906 DOI: 10.1136/gutjnl-2016-312317]</w:t>
      </w:r>
    </w:p>
    <w:p w14:paraId="56382632"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20 </w:t>
      </w:r>
      <w:proofErr w:type="spellStart"/>
      <w:r w:rsidRPr="00B10C5F">
        <w:rPr>
          <w:rFonts w:ascii="Book Antiqua" w:eastAsia="Book Antiqua" w:hAnsi="Book Antiqua" w:cs="Book Antiqua"/>
          <w:b/>
          <w:bCs/>
          <w:color w:val="000000"/>
        </w:rPr>
        <w:t>Dasari</w:t>
      </w:r>
      <w:proofErr w:type="spellEnd"/>
      <w:r w:rsidRPr="00B10C5F">
        <w:rPr>
          <w:rFonts w:ascii="Book Antiqua" w:eastAsia="Book Antiqua" w:hAnsi="Book Antiqua" w:cs="Book Antiqua"/>
          <w:b/>
          <w:bCs/>
          <w:color w:val="000000"/>
        </w:rPr>
        <w:t xml:space="preserve"> BV</w:t>
      </w:r>
      <w:r w:rsidRPr="00B10C5F">
        <w:rPr>
          <w:rFonts w:ascii="Book Antiqua" w:eastAsia="Book Antiqua" w:hAnsi="Book Antiqua" w:cs="Book Antiqua"/>
          <w:color w:val="000000"/>
        </w:rPr>
        <w:t xml:space="preserve">, Tan CJ, </w:t>
      </w:r>
      <w:proofErr w:type="spellStart"/>
      <w:r w:rsidRPr="00B10C5F">
        <w:rPr>
          <w:rFonts w:ascii="Book Antiqua" w:eastAsia="Book Antiqua" w:hAnsi="Book Antiqua" w:cs="Book Antiqua"/>
          <w:color w:val="000000"/>
        </w:rPr>
        <w:t>Gurusamy</w:t>
      </w:r>
      <w:proofErr w:type="spellEnd"/>
      <w:r w:rsidRPr="00B10C5F">
        <w:rPr>
          <w:rFonts w:ascii="Book Antiqua" w:eastAsia="Book Antiqua" w:hAnsi="Book Antiqua" w:cs="Book Antiqua"/>
          <w:color w:val="000000"/>
        </w:rPr>
        <w:t xml:space="preserve"> KS, Martin DJ, Kirk G, McKie L, Diamond T, Taylor MA. Surgical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endoscopic treatment of bile duct stones. </w:t>
      </w:r>
      <w:r w:rsidRPr="00B10C5F">
        <w:rPr>
          <w:rFonts w:ascii="Book Antiqua" w:eastAsia="Book Antiqua" w:hAnsi="Book Antiqua" w:cs="Book Antiqua"/>
          <w:i/>
          <w:iCs/>
          <w:color w:val="000000"/>
        </w:rPr>
        <w:t>Cochrane Database Syst Rev</w:t>
      </w:r>
      <w:r w:rsidRPr="00B10C5F">
        <w:rPr>
          <w:rFonts w:ascii="Book Antiqua" w:eastAsia="Book Antiqua" w:hAnsi="Book Antiqua" w:cs="Book Antiqua"/>
          <w:color w:val="000000"/>
        </w:rPr>
        <w:t xml:space="preserve"> 2013: CD003327 [PMID: 24338858 DOI: 10.1002/14651858.CD003327.pub4]</w:t>
      </w:r>
    </w:p>
    <w:p w14:paraId="431E2867"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21 </w:t>
      </w:r>
      <w:proofErr w:type="spellStart"/>
      <w:r w:rsidRPr="00B10C5F">
        <w:rPr>
          <w:rFonts w:ascii="Book Antiqua" w:eastAsia="Book Antiqua" w:hAnsi="Book Antiqua" w:cs="Book Antiqua"/>
          <w:b/>
          <w:bCs/>
          <w:color w:val="000000"/>
        </w:rPr>
        <w:t>Costi</w:t>
      </w:r>
      <w:proofErr w:type="spellEnd"/>
      <w:r w:rsidRPr="00B10C5F">
        <w:rPr>
          <w:rFonts w:ascii="Book Antiqua" w:eastAsia="Book Antiqua" w:hAnsi="Book Antiqua" w:cs="Book Antiqua"/>
          <w:b/>
          <w:bCs/>
          <w:color w:val="000000"/>
        </w:rPr>
        <w:t xml:space="preserve"> R</w:t>
      </w:r>
      <w:r w:rsidRPr="00B10C5F">
        <w:rPr>
          <w:rFonts w:ascii="Book Antiqua" w:eastAsia="Book Antiqua" w:hAnsi="Book Antiqua" w:cs="Book Antiqua"/>
          <w:color w:val="000000"/>
        </w:rPr>
        <w:t xml:space="preserve">, Gnocchi A, Di Mario F, </w:t>
      </w:r>
      <w:proofErr w:type="spellStart"/>
      <w:r w:rsidRPr="00B10C5F">
        <w:rPr>
          <w:rFonts w:ascii="Book Antiqua" w:eastAsia="Book Antiqua" w:hAnsi="Book Antiqua" w:cs="Book Antiqua"/>
          <w:color w:val="000000"/>
        </w:rPr>
        <w:t>Sarli</w:t>
      </w:r>
      <w:proofErr w:type="spellEnd"/>
      <w:r w:rsidRPr="00B10C5F">
        <w:rPr>
          <w:rFonts w:ascii="Book Antiqua" w:eastAsia="Book Antiqua" w:hAnsi="Book Antiqua" w:cs="Book Antiqua"/>
          <w:color w:val="000000"/>
        </w:rPr>
        <w:t xml:space="preserve"> L. Diagnosis and management of choledocholithiasis in the golden age of imaging, endoscopy and laparoscopy. </w:t>
      </w:r>
      <w:r w:rsidRPr="00B10C5F">
        <w:rPr>
          <w:rFonts w:ascii="Book Antiqua" w:eastAsia="Book Antiqua" w:hAnsi="Book Antiqua" w:cs="Book Antiqua"/>
          <w:i/>
          <w:iCs/>
          <w:color w:val="000000"/>
        </w:rPr>
        <w:t>World J Gastroenterol</w:t>
      </w:r>
      <w:r w:rsidRPr="00B10C5F">
        <w:rPr>
          <w:rFonts w:ascii="Book Antiqua" w:eastAsia="Book Antiqua" w:hAnsi="Book Antiqua" w:cs="Book Antiqua"/>
          <w:color w:val="000000"/>
        </w:rPr>
        <w:t xml:space="preserve"> 2014; </w:t>
      </w:r>
      <w:r w:rsidRPr="00B10C5F">
        <w:rPr>
          <w:rFonts w:ascii="Book Antiqua" w:eastAsia="Book Antiqua" w:hAnsi="Book Antiqua" w:cs="Book Antiqua"/>
          <w:b/>
          <w:bCs/>
          <w:color w:val="000000"/>
        </w:rPr>
        <w:t>20</w:t>
      </w:r>
      <w:r w:rsidRPr="00B10C5F">
        <w:rPr>
          <w:rFonts w:ascii="Book Antiqua" w:eastAsia="Book Antiqua" w:hAnsi="Book Antiqua" w:cs="Book Antiqua"/>
          <w:color w:val="000000"/>
        </w:rPr>
        <w:t>: 13382-13401 [PMID: 25309071 DOI: 10.3748/</w:t>
      </w:r>
      <w:proofErr w:type="gramStart"/>
      <w:r w:rsidRPr="00B10C5F">
        <w:rPr>
          <w:rFonts w:ascii="Book Antiqua" w:eastAsia="Book Antiqua" w:hAnsi="Book Antiqua" w:cs="Book Antiqua"/>
          <w:color w:val="000000"/>
        </w:rPr>
        <w:t>wjg.v20.i</w:t>
      </w:r>
      <w:proofErr w:type="gramEnd"/>
      <w:r w:rsidRPr="00B10C5F">
        <w:rPr>
          <w:rFonts w:ascii="Book Antiqua" w:eastAsia="Book Antiqua" w:hAnsi="Book Antiqua" w:cs="Book Antiqua"/>
          <w:color w:val="000000"/>
        </w:rPr>
        <w:t>37.13382]</w:t>
      </w:r>
    </w:p>
    <w:p w14:paraId="7700C1E5"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22 </w:t>
      </w:r>
      <w:r w:rsidRPr="00B10C5F">
        <w:rPr>
          <w:rFonts w:ascii="Book Antiqua" w:eastAsia="Book Antiqua" w:hAnsi="Book Antiqua" w:cs="Book Antiqua"/>
          <w:b/>
          <w:bCs/>
          <w:color w:val="000000"/>
        </w:rPr>
        <w:t>Feng Y</w:t>
      </w:r>
      <w:r w:rsidRPr="00B10C5F">
        <w:rPr>
          <w:rFonts w:ascii="Book Antiqua" w:eastAsia="Book Antiqua" w:hAnsi="Book Antiqua" w:cs="Book Antiqua"/>
          <w:color w:val="000000"/>
        </w:rPr>
        <w:t xml:space="preserve">, Zhu H, Chen X, Xu S, Cheng W, Ni J, Shi R. Comparison of endoscopic papillary large balloon dilation and endoscopic sphincterotomy for retrieval of choledocholithiasis: a meta-analysis of randomized controlled trials. </w:t>
      </w:r>
      <w:r w:rsidRPr="00B10C5F">
        <w:rPr>
          <w:rFonts w:ascii="Book Antiqua" w:eastAsia="Book Antiqua" w:hAnsi="Book Antiqua" w:cs="Book Antiqua"/>
          <w:i/>
          <w:iCs/>
          <w:color w:val="000000"/>
        </w:rPr>
        <w:t>J Gastroenterol</w:t>
      </w:r>
      <w:r w:rsidRPr="00B10C5F">
        <w:rPr>
          <w:rFonts w:ascii="Book Antiqua" w:eastAsia="Book Antiqua" w:hAnsi="Book Antiqua" w:cs="Book Antiqua"/>
          <w:color w:val="000000"/>
        </w:rPr>
        <w:t xml:space="preserve"> 2012; </w:t>
      </w:r>
      <w:r w:rsidRPr="00B10C5F">
        <w:rPr>
          <w:rFonts w:ascii="Book Antiqua" w:eastAsia="Book Antiqua" w:hAnsi="Book Antiqua" w:cs="Book Antiqua"/>
          <w:b/>
          <w:bCs/>
          <w:color w:val="000000"/>
        </w:rPr>
        <w:t>47</w:t>
      </w:r>
      <w:r w:rsidRPr="00B10C5F">
        <w:rPr>
          <w:rFonts w:ascii="Book Antiqua" w:eastAsia="Book Antiqua" w:hAnsi="Book Antiqua" w:cs="Book Antiqua"/>
          <w:color w:val="000000"/>
        </w:rPr>
        <w:t>: 655-663 [PMID: 22361862 DOI: 10.1007/s00535-012-0528-9]</w:t>
      </w:r>
    </w:p>
    <w:p w14:paraId="731B5D28"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23 </w:t>
      </w:r>
      <w:r w:rsidRPr="00B10C5F">
        <w:rPr>
          <w:rFonts w:ascii="Book Antiqua" w:eastAsia="Book Antiqua" w:hAnsi="Book Antiqua" w:cs="Book Antiqua"/>
          <w:b/>
          <w:bCs/>
          <w:color w:val="000000"/>
        </w:rPr>
        <w:t>Zhu HY</w:t>
      </w:r>
      <w:r w:rsidRPr="00B10C5F">
        <w:rPr>
          <w:rFonts w:ascii="Book Antiqua" w:eastAsia="Book Antiqua" w:hAnsi="Book Antiqua" w:cs="Book Antiqua"/>
          <w:color w:val="000000"/>
        </w:rPr>
        <w:t xml:space="preserve">, Xu M, Shen HJ, Yang C, Li F, Li KW, Shi WJ, Ji F. A meta-analysis of single-stage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two-stage management for concomitant gallstones and common bile duct stones. </w:t>
      </w:r>
      <w:r w:rsidRPr="00B10C5F">
        <w:rPr>
          <w:rFonts w:ascii="Book Antiqua" w:eastAsia="Book Antiqua" w:hAnsi="Book Antiqua" w:cs="Book Antiqua"/>
          <w:i/>
          <w:iCs/>
          <w:color w:val="000000"/>
        </w:rPr>
        <w:t>Clin Res Hepatol Gastroenterol</w:t>
      </w:r>
      <w:r w:rsidRPr="00B10C5F">
        <w:rPr>
          <w:rFonts w:ascii="Book Antiqua" w:eastAsia="Book Antiqua" w:hAnsi="Book Antiqua" w:cs="Book Antiqua"/>
          <w:color w:val="000000"/>
        </w:rPr>
        <w:t xml:space="preserve"> 2015; </w:t>
      </w:r>
      <w:r w:rsidRPr="00B10C5F">
        <w:rPr>
          <w:rFonts w:ascii="Book Antiqua" w:eastAsia="Book Antiqua" w:hAnsi="Book Antiqua" w:cs="Book Antiqua"/>
          <w:b/>
          <w:bCs/>
          <w:color w:val="000000"/>
        </w:rPr>
        <w:t>39</w:t>
      </w:r>
      <w:r w:rsidRPr="00B10C5F">
        <w:rPr>
          <w:rFonts w:ascii="Book Antiqua" w:eastAsia="Book Antiqua" w:hAnsi="Book Antiqua" w:cs="Book Antiqua"/>
          <w:color w:val="000000"/>
        </w:rPr>
        <w:t>: 584-593 [PMID: 25936687 DOI: 10.1016/j.clinre.2015.02.002]</w:t>
      </w:r>
    </w:p>
    <w:p w14:paraId="7BD1C82E"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24 </w:t>
      </w:r>
      <w:r w:rsidRPr="00B10C5F">
        <w:rPr>
          <w:rFonts w:ascii="Book Antiqua" w:eastAsia="Book Antiqua" w:hAnsi="Book Antiqua" w:cs="Book Antiqua"/>
          <w:b/>
          <w:bCs/>
          <w:color w:val="000000"/>
        </w:rPr>
        <w:t>Mattila A</w:t>
      </w:r>
      <w:r w:rsidRPr="00B10C5F">
        <w:rPr>
          <w:rFonts w:ascii="Book Antiqua" w:eastAsia="Book Antiqua" w:hAnsi="Book Antiqua" w:cs="Book Antiqua"/>
          <w:color w:val="000000"/>
        </w:rPr>
        <w:t xml:space="preserve">, </w:t>
      </w:r>
      <w:proofErr w:type="spellStart"/>
      <w:r w:rsidRPr="00B10C5F">
        <w:rPr>
          <w:rFonts w:ascii="Book Antiqua" w:eastAsia="Book Antiqua" w:hAnsi="Book Antiqua" w:cs="Book Antiqua"/>
          <w:color w:val="000000"/>
        </w:rPr>
        <w:t>Mrena</w:t>
      </w:r>
      <w:proofErr w:type="spellEnd"/>
      <w:r w:rsidRPr="00B10C5F">
        <w:rPr>
          <w:rFonts w:ascii="Book Antiqua" w:eastAsia="Book Antiqua" w:hAnsi="Book Antiqua" w:cs="Book Antiqua"/>
          <w:color w:val="000000"/>
        </w:rPr>
        <w:t xml:space="preserve"> J, </w:t>
      </w:r>
      <w:proofErr w:type="spellStart"/>
      <w:r w:rsidRPr="00B10C5F">
        <w:rPr>
          <w:rFonts w:ascii="Book Antiqua" w:eastAsia="Book Antiqua" w:hAnsi="Book Antiqua" w:cs="Book Antiqua"/>
          <w:color w:val="000000"/>
        </w:rPr>
        <w:t>Kellokumpu</w:t>
      </w:r>
      <w:proofErr w:type="spellEnd"/>
      <w:r w:rsidRPr="00B10C5F">
        <w:rPr>
          <w:rFonts w:ascii="Book Antiqua" w:eastAsia="Book Antiqua" w:hAnsi="Book Antiqua" w:cs="Book Antiqua"/>
          <w:color w:val="000000"/>
        </w:rPr>
        <w:t xml:space="preserve"> I. Cost-analysis and effectiveness of one-stage laparoscopic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two-stage </w:t>
      </w:r>
      <w:proofErr w:type="spellStart"/>
      <w:r w:rsidRPr="00B10C5F">
        <w:rPr>
          <w:rFonts w:ascii="Book Antiqua" w:eastAsia="Book Antiqua" w:hAnsi="Book Antiqua" w:cs="Book Antiqua"/>
          <w:color w:val="000000"/>
        </w:rPr>
        <w:t>endolaparoscopic</w:t>
      </w:r>
      <w:proofErr w:type="spellEnd"/>
      <w:r w:rsidRPr="00B10C5F">
        <w:rPr>
          <w:rFonts w:ascii="Book Antiqua" w:eastAsia="Book Antiqua" w:hAnsi="Book Antiqua" w:cs="Book Antiqua"/>
          <w:color w:val="000000"/>
        </w:rPr>
        <w:t xml:space="preserve"> management of </w:t>
      </w:r>
      <w:proofErr w:type="spellStart"/>
      <w:r w:rsidRPr="00B10C5F">
        <w:rPr>
          <w:rFonts w:ascii="Book Antiqua" w:eastAsia="Book Antiqua" w:hAnsi="Book Antiqua" w:cs="Book Antiqua"/>
          <w:color w:val="000000"/>
        </w:rPr>
        <w:t>cholecystocholedocholithiasis</w:t>
      </w:r>
      <w:proofErr w:type="spellEnd"/>
      <w:r w:rsidRPr="00B10C5F">
        <w:rPr>
          <w:rFonts w:ascii="Book Antiqua" w:eastAsia="Book Antiqua" w:hAnsi="Book Antiqua" w:cs="Book Antiqua"/>
          <w:color w:val="000000"/>
        </w:rPr>
        <w:t xml:space="preserve">: a retrospective cohort study. </w:t>
      </w:r>
      <w:r w:rsidRPr="00B10C5F">
        <w:rPr>
          <w:rFonts w:ascii="Book Antiqua" w:eastAsia="Book Antiqua" w:hAnsi="Book Antiqua" w:cs="Book Antiqua"/>
          <w:i/>
          <w:iCs/>
          <w:color w:val="000000"/>
        </w:rPr>
        <w:t>BMC Surg</w:t>
      </w:r>
      <w:r w:rsidRPr="00B10C5F">
        <w:rPr>
          <w:rFonts w:ascii="Book Antiqua" w:eastAsia="Book Antiqua" w:hAnsi="Book Antiqua" w:cs="Book Antiqua"/>
          <w:color w:val="000000"/>
        </w:rPr>
        <w:t xml:space="preserve"> 2017; </w:t>
      </w:r>
      <w:r w:rsidRPr="00B10C5F">
        <w:rPr>
          <w:rFonts w:ascii="Book Antiqua" w:eastAsia="Book Antiqua" w:hAnsi="Book Antiqua" w:cs="Book Antiqua"/>
          <w:b/>
          <w:bCs/>
          <w:color w:val="000000"/>
        </w:rPr>
        <w:t>17</w:t>
      </w:r>
      <w:r w:rsidRPr="00B10C5F">
        <w:rPr>
          <w:rFonts w:ascii="Book Antiqua" w:eastAsia="Book Antiqua" w:hAnsi="Book Antiqua" w:cs="Book Antiqua"/>
          <w:color w:val="000000"/>
        </w:rPr>
        <w:t>: 79 [PMID: 28683735 DOI: 10.1186/s12893-017-0274-2]</w:t>
      </w:r>
    </w:p>
    <w:p w14:paraId="39F98845"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25 </w:t>
      </w:r>
      <w:proofErr w:type="spellStart"/>
      <w:r w:rsidRPr="00B10C5F">
        <w:rPr>
          <w:rFonts w:ascii="Book Antiqua" w:eastAsia="Book Antiqua" w:hAnsi="Book Antiqua" w:cs="Book Antiqua"/>
          <w:b/>
          <w:bCs/>
          <w:color w:val="000000"/>
        </w:rPr>
        <w:t>Kalaitzis</w:t>
      </w:r>
      <w:proofErr w:type="spellEnd"/>
      <w:r w:rsidRPr="00B10C5F">
        <w:rPr>
          <w:rFonts w:ascii="Book Antiqua" w:eastAsia="Book Antiqua" w:hAnsi="Book Antiqua" w:cs="Book Antiqua"/>
          <w:b/>
          <w:bCs/>
          <w:color w:val="000000"/>
        </w:rPr>
        <w:t xml:space="preserve"> J</w:t>
      </w:r>
      <w:r w:rsidRPr="00B10C5F">
        <w:rPr>
          <w:rFonts w:ascii="Book Antiqua" w:eastAsia="Book Antiqua" w:hAnsi="Book Antiqua" w:cs="Book Antiqua"/>
          <w:color w:val="000000"/>
        </w:rPr>
        <w:t xml:space="preserve">, </w:t>
      </w:r>
      <w:proofErr w:type="spellStart"/>
      <w:r w:rsidRPr="00B10C5F">
        <w:rPr>
          <w:rFonts w:ascii="Book Antiqua" w:eastAsia="Book Antiqua" w:hAnsi="Book Antiqua" w:cs="Book Antiqua"/>
          <w:color w:val="000000"/>
        </w:rPr>
        <w:t>Vezakis</w:t>
      </w:r>
      <w:proofErr w:type="spellEnd"/>
      <w:r w:rsidRPr="00B10C5F">
        <w:rPr>
          <w:rFonts w:ascii="Book Antiqua" w:eastAsia="Book Antiqua" w:hAnsi="Book Antiqua" w:cs="Book Antiqua"/>
          <w:color w:val="000000"/>
        </w:rPr>
        <w:t xml:space="preserve"> A, </w:t>
      </w:r>
      <w:proofErr w:type="spellStart"/>
      <w:r w:rsidRPr="00B10C5F">
        <w:rPr>
          <w:rFonts w:ascii="Book Antiqua" w:eastAsia="Book Antiqua" w:hAnsi="Book Antiqua" w:cs="Book Antiqua"/>
          <w:color w:val="000000"/>
        </w:rPr>
        <w:t>Fragulidis</w:t>
      </w:r>
      <w:proofErr w:type="spellEnd"/>
      <w:r w:rsidRPr="00B10C5F">
        <w:rPr>
          <w:rFonts w:ascii="Book Antiqua" w:eastAsia="Book Antiqua" w:hAnsi="Book Antiqua" w:cs="Book Antiqua"/>
          <w:color w:val="000000"/>
        </w:rPr>
        <w:t xml:space="preserve"> G, </w:t>
      </w:r>
      <w:proofErr w:type="spellStart"/>
      <w:r w:rsidRPr="00B10C5F">
        <w:rPr>
          <w:rFonts w:ascii="Book Antiqua" w:eastAsia="Book Antiqua" w:hAnsi="Book Antiqua" w:cs="Book Antiqua"/>
          <w:color w:val="000000"/>
        </w:rPr>
        <w:t>Anagnostopoulou</w:t>
      </w:r>
      <w:proofErr w:type="spellEnd"/>
      <w:r w:rsidRPr="00B10C5F">
        <w:rPr>
          <w:rFonts w:ascii="Book Antiqua" w:eastAsia="Book Antiqua" w:hAnsi="Book Antiqua" w:cs="Book Antiqua"/>
          <w:color w:val="000000"/>
        </w:rPr>
        <w:t xml:space="preserve"> I, </w:t>
      </w:r>
      <w:proofErr w:type="spellStart"/>
      <w:r w:rsidRPr="00B10C5F">
        <w:rPr>
          <w:rFonts w:ascii="Book Antiqua" w:eastAsia="Book Antiqua" w:hAnsi="Book Antiqua" w:cs="Book Antiqua"/>
          <w:color w:val="000000"/>
        </w:rPr>
        <w:t>Rizos</w:t>
      </w:r>
      <w:proofErr w:type="spellEnd"/>
      <w:r w:rsidRPr="00B10C5F">
        <w:rPr>
          <w:rFonts w:ascii="Book Antiqua" w:eastAsia="Book Antiqua" w:hAnsi="Book Antiqua" w:cs="Book Antiqua"/>
          <w:color w:val="000000"/>
        </w:rPr>
        <w:t xml:space="preserve"> S, </w:t>
      </w:r>
      <w:proofErr w:type="spellStart"/>
      <w:r w:rsidRPr="00B10C5F">
        <w:rPr>
          <w:rFonts w:ascii="Book Antiqua" w:eastAsia="Book Antiqua" w:hAnsi="Book Antiqua" w:cs="Book Antiqua"/>
          <w:color w:val="000000"/>
        </w:rPr>
        <w:t>Papalambros</w:t>
      </w:r>
      <w:proofErr w:type="spellEnd"/>
      <w:r w:rsidRPr="00B10C5F">
        <w:rPr>
          <w:rFonts w:ascii="Book Antiqua" w:eastAsia="Book Antiqua" w:hAnsi="Book Antiqua" w:cs="Book Antiqua"/>
          <w:color w:val="000000"/>
        </w:rPr>
        <w:t xml:space="preserve"> E, </w:t>
      </w:r>
      <w:proofErr w:type="spellStart"/>
      <w:r w:rsidRPr="00B10C5F">
        <w:rPr>
          <w:rFonts w:ascii="Book Antiqua" w:eastAsia="Book Antiqua" w:hAnsi="Book Antiqua" w:cs="Book Antiqua"/>
          <w:color w:val="000000"/>
        </w:rPr>
        <w:t>Polydorou</w:t>
      </w:r>
      <w:proofErr w:type="spellEnd"/>
      <w:r w:rsidRPr="00B10C5F">
        <w:rPr>
          <w:rFonts w:ascii="Book Antiqua" w:eastAsia="Book Antiqua" w:hAnsi="Book Antiqua" w:cs="Book Antiqua"/>
          <w:color w:val="000000"/>
        </w:rPr>
        <w:t xml:space="preserve"> A. Effects of endoscopic sphincterotomy on biliary epithelium: a case-control study. </w:t>
      </w:r>
      <w:r w:rsidRPr="00B10C5F">
        <w:rPr>
          <w:rFonts w:ascii="Book Antiqua" w:eastAsia="Book Antiqua" w:hAnsi="Book Antiqua" w:cs="Book Antiqua"/>
          <w:i/>
          <w:iCs/>
          <w:color w:val="000000"/>
        </w:rPr>
        <w:t>World J Gastroenterol</w:t>
      </w:r>
      <w:r w:rsidRPr="00B10C5F">
        <w:rPr>
          <w:rFonts w:ascii="Book Antiqua" w:eastAsia="Book Antiqua" w:hAnsi="Book Antiqua" w:cs="Book Antiqua"/>
          <w:color w:val="000000"/>
        </w:rPr>
        <w:t xml:space="preserve"> 2012; </w:t>
      </w:r>
      <w:r w:rsidRPr="00B10C5F">
        <w:rPr>
          <w:rFonts w:ascii="Book Antiqua" w:eastAsia="Book Antiqua" w:hAnsi="Book Antiqua" w:cs="Book Antiqua"/>
          <w:b/>
          <w:bCs/>
          <w:color w:val="000000"/>
        </w:rPr>
        <w:t>18</w:t>
      </w:r>
      <w:r w:rsidRPr="00B10C5F">
        <w:rPr>
          <w:rFonts w:ascii="Book Antiqua" w:eastAsia="Book Antiqua" w:hAnsi="Book Antiqua" w:cs="Book Antiqua"/>
          <w:color w:val="000000"/>
        </w:rPr>
        <w:t>: 794-799 [PMID: 22371639 DOI: 10.3748/</w:t>
      </w:r>
      <w:proofErr w:type="gramStart"/>
      <w:r w:rsidRPr="00B10C5F">
        <w:rPr>
          <w:rFonts w:ascii="Book Antiqua" w:eastAsia="Book Antiqua" w:hAnsi="Book Antiqua" w:cs="Book Antiqua"/>
          <w:color w:val="000000"/>
        </w:rPr>
        <w:t>wjg.v18.i</w:t>
      </w:r>
      <w:proofErr w:type="gramEnd"/>
      <w:r w:rsidRPr="00B10C5F">
        <w:rPr>
          <w:rFonts w:ascii="Book Antiqua" w:eastAsia="Book Antiqua" w:hAnsi="Book Antiqua" w:cs="Book Antiqua"/>
          <w:color w:val="000000"/>
        </w:rPr>
        <w:t>8.794]</w:t>
      </w:r>
    </w:p>
    <w:p w14:paraId="34ED86C6"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lastRenderedPageBreak/>
        <w:t xml:space="preserve">26 </w:t>
      </w:r>
      <w:proofErr w:type="spellStart"/>
      <w:r w:rsidRPr="00B10C5F">
        <w:rPr>
          <w:rFonts w:ascii="Book Antiqua" w:eastAsia="Book Antiqua" w:hAnsi="Book Antiqua" w:cs="Book Antiqua"/>
          <w:b/>
          <w:bCs/>
          <w:color w:val="000000"/>
        </w:rPr>
        <w:t>Cuschieri</w:t>
      </w:r>
      <w:proofErr w:type="spellEnd"/>
      <w:r w:rsidRPr="00B10C5F">
        <w:rPr>
          <w:rFonts w:ascii="Book Antiqua" w:eastAsia="Book Antiqua" w:hAnsi="Book Antiqua" w:cs="Book Antiqua"/>
          <w:b/>
          <w:bCs/>
          <w:color w:val="000000"/>
        </w:rPr>
        <w:t xml:space="preserve"> A</w:t>
      </w:r>
      <w:r w:rsidRPr="00B10C5F">
        <w:rPr>
          <w:rFonts w:ascii="Book Antiqua" w:eastAsia="Book Antiqua" w:hAnsi="Book Antiqua" w:cs="Book Antiqua"/>
          <w:color w:val="000000"/>
        </w:rPr>
        <w:t xml:space="preserve">, Croce E, </w:t>
      </w:r>
      <w:proofErr w:type="spellStart"/>
      <w:r w:rsidRPr="00B10C5F">
        <w:rPr>
          <w:rFonts w:ascii="Book Antiqua" w:eastAsia="Book Antiqua" w:hAnsi="Book Antiqua" w:cs="Book Antiqua"/>
          <w:color w:val="000000"/>
        </w:rPr>
        <w:t>Faggioni</w:t>
      </w:r>
      <w:proofErr w:type="spellEnd"/>
      <w:r w:rsidRPr="00B10C5F">
        <w:rPr>
          <w:rFonts w:ascii="Book Antiqua" w:eastAsia="Book Antiqua" w:hAnsi="Book Antiqua" w:cs="Book Antiqua"/>
          <w:color w:val="000000"/>
        </w:rPr>
        <w:t xml:space="preserve"> A, </w:t>
      </w:r>
      <w:proofErr w:type="spellStart"/>
      <w:r w:rsidRPr="00B10C5F">
        <w:rPr>
          <w:rFonts w:ascii="Book Antiqua" w:eastAsia="Book Antiqua" w:hAnsi="Book Antiqua" w:cs="Book Antiqua"/>
          <w:color w:val="000000"/>
        </w:rPr>
        <w:t>Jakimowicz</w:t>
      </w:r>
      <w:proofErr w:type="spellEnd"/>
      <w:r w:rsidRPr="00B10C5F">
        <w:rPr>
          <w:rFonts w:ascii="Book Antiqua" w:eastAsia="Book Antiqua" w:hAnsi="Book Antiqua" w:cs="Book Antiqua"/>
          <w:color w:val="000000"/>
        </w:rPr>
        <w:t xml:space="preserve"> J, Lacy A, </w:t>
      </w:r>
      <w:proofErr w:type="spellStart"/>
      <w:r w:rsidRPr="00B10C5F">
        <w:rPr>
          <w:rFonts w:ascii="Book Antiqua" w:eastAsia="Book Antiqua" w:hAnsi="Book Antiqua" w:cs="Book Antiqua"/>
          <w:color w:val="000000"/>
        </w:rPr>
        <w:t>Lezoche</w:t>
      </w:r>
      <w:proofErr w:type="spellEnd"/>
      <w:r w:rsidRPr="00B10C5F">
        <w:rPr>
          <w:rFonts w:ascii="Book Antiqua" w:eastAsia="Book Antiqua" w:hAnsi="Book Antiqua" w:cs="Book Antiqua"/>
          <w:color w:val="000000"/>
        </w:rPr>
        <w:t xml:space="preserve"> E, </w:t>
      </w:r>
      <w:proofErr w:type="spellStart"/>
      <w:r w:rsidRPr="00B10C5F">
        <w:rPr>
          <w:rFonts w:ascii="Book Antiqua" w:eastAsia="Book Antiqua" w:hAnsi="Book Antiqua" w:cs="Book Antiqua"/>
          <w:color w:val="000000"/>
        </w:rPr>
        <w:t>Morino</w:t>
      </w:r>
      <w:proofErr w:type="spellEnd"/>
      <w:r w:rsidRPr="00B10C5F">
        <w:rPr>
          <w:rFonts w:ascii="Book Antiqua" w:eastAsia="Book Antiqua" w:hAnsi="Book Antiqua" w:cs="Book Antiqua"/>
          <w:color w:val="000000"/>
        </w:rPr>
        <w:t xml:space="preserve"> M, Ribeiro VM, </w:t>
      </w:r>
      <w:proofErr w:type="spellStart"/>
      <w:r w:rsidRPr="00B10C5F">
        <w:rPr>
          <w:rFonts w:ascii="Book Antiqua" w:eastAsia="Book Antiqua" w:hAnsi="Book Antiqua" w:cs="Book Antiqua"/>
          <w:color w:val="000000"/>
        </w:rPr>
        <w:t>Toouli</w:t>
      </w:r>
      <w:proofErr w:type="spellEnd"/>
      <w:r w:rsidRPr="00B10C5F">
        <w:rPr>
          <w:rFonts w:ascii="Book Antiqua" w:eastAsia="Book Antiqua" w:hAnsi="Book Antiqua" w:cs="Book Antiqua"/>
          <w:color w:val="000000"/>
        </w:rPr>
        <w:t xml:space="preserve"> J, Visa J, </w:t>
      </w:r>
      <w:proofErr w:type="spellStart"/>
      <w:r w:rsidRPr="00B10C5F">
        <w:rPr>
          <w:rFonts w:ascii="Book Antiqua" w:eastAsia="Book Antiqua" w:hAnsi="Book Antiqua" w:cs="Book Antiqua"/>
          <w:color w:val="000000"/>
        </w:rPr>
        <w:t>Wayand</w:t>
      </w:r>
      <w:proofErr w:type="spellEnd"/>
      <w:r w:rsidRPr="00B10C5F">
        <w:rPr>
          <w:rFonts w:ascii="Book Antiqua" w:eastAsia="Book Antiqua" w:hAnsi="Book Antiqua" w:cs="Book Antiqua"/>
          <w:color w:val="000000"/>
        </w:rPr>
        <w:t xml:space="preserve"> W. EAES ductal stone study. Preliminary findings of multi-center prospective randomized trial comparing two-stage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single-stage management. </w:t>
      </w:r>
      <w:r w:rsidRPr="00B10C5F">
        <w:rPr>
          <w:rFonts w:ascii="Book Antiqua" w:eastAsia="Book Antiqua" w:hAnsi="Book Antiqua" w:cs="Book Antiqua"/>
          <w:i/>
          <w:iCs/>
          <w:color w:val="000000"/>
        </w:rPr>
        <w:t xml:space="preserve">Surg </w:t>
      </w:r>
      <w:proofErr w:type="spellStart"/>
      <w:r w:rsidRPr="00B10C5F">
        <w:rPr>
          <w:rFonts w:ascii="Book Antiqua" w:eastAsia="Book Antiqua" w:hAnsi="Book Antiqua" w:cs="Book Antiqua"/>
          <w:i/>
          <w:iCs/>
          <w:color w:val="000000"/>
        </w:rPr>
        <w:t>Endosc</w:t>
      </w:r>
      <w:proofErr w:type="spellEnd"/>
      <w:r w:rsidRPr="00B10C5F">
        <w:rPr>
          <w:rFonts w:ascii="Book Antiqua" w:eastAsia="Book Antiqua" w:hAnsi="Book Antiqua" w:cs="Book Antiqua"/>
          <w:color w:val="000000"/>
        </w:rPr>
        <w:t xml:space="preserve"> 1996; </w:t>
      </w:r>
      <w:r w:rsidRPr="00B10C5F">
        <w:rPr>
          <w:rFonts w:ascii="Book Antiqua" w:eastAsia="Book Antiqua" w:hAnsi="Book Antiqua" w:cs="Book Antiqua"/>
          <w:b/>
          <w:bCs/>
          <w:color w:val="000000"/>
        </w:rPr>
        <w:t>10</w:t>
      </w:r>
      <w:r w:rsidRPr="00B10C5F">
        <w:rPr>
          <w:rFonts w:ascii="Book Antiqua" w:eastAsia="Book Antiqua" w:hAnsi="Book Antiqua" w:cs="Book Antiqua"/>
          <w:color w:val="000000"/>
        </w:rPr>
        <w:t>: 1130-1135 [PMID: 8939828 DOI: 10.1007/s004649900264]</w:t>
      </w:r>
    </w:p>
    <w:p w14:paraId="17582D41"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27 </w:t>
      </w:r>
      <w:r w:rsidRPr="00B10C5F">
        <w:rPr>
          <w:rFonts w:ascii="Book Antiqua" w:eastAsia="Book Antiqua" w:hAnsi="Book Antiqua" w:cs="Book Antiqua"/>
          <w:b/>
          <w:bCs/>
          <w:color w:val="000000"/>
        </w:rPr>
        <w:t>Martin IJ</w:t>
      </w:r>
      <w:r w:rsidRPr="00B10C5F">
        <w:rPr>
          <w:rFonts w:ascii="Book Antiqua" w:eastAsia="Book Antiqua" w:hAnsi="Book Antiqua" w:cs="Book Antiqua"/>
          <w:color w:val="000000"/>
        </w:rPr>
        <w:t xml:space="preserve">, Bailey IS, Rhodes M, O'Rourke N, Nathanson L, Fielding G. Towards T-tube free laparoscopic bile duct exploration: a methodologic evolution during 300 consecutive procedures. </w:t>
      </w:r>
      <w:r w:rsidRPr="00B10C5F">
        <w:rPr>
          <w:rFonts w:ascii="Book Antiqua" w:eastAsia="Book Antiqua" w:hAnsi="Book Antiqua" w:cs="Book Antiqua"/>
          <w:i/>
          <w:iCs/>
          <w:color w:val="000000"/>
        </w:rPr>
        <w:t>Ann Surg</w:t>
      </w:r>
      <w:r w:rsidRPr="00B10C5F">
        <w:rPr>
          <w:rFonts w:ascii="Book Antiqua" w:eastAsia="Book Antiqua" w:hAnsi="Book Antiqua" w:cs="Book Antiqua"/>
          <w:color w:val="000000"/>
        </w:rPr>
        <w:t xml:space="preserve"> 1998; </w:t>
      </w:r>
      <w:r w:rsidRPr="00B10C5F">
        <w:rPr>
          <w:rFonts w:ascii="Book Antiqua" w:eastAsia="Book Antiqua" w:hAnsi="Book Antiqua" w:cs="Book Antiqua"/>
          <w:b/>
          <w:bCs/>
          <w:color w:val="000000"/>
        </w:rPr>
        <w:t>228</w:t>
      </w:r>
      <w:r w:rsidRPr="00B10C5F">
        <w:rPr>
          <w:rFonts w:ascii="Book Antiqua" w:eastAsia="Book Antiqua" w:hAnsi="Book Antiqua" w:cs="Book Antiqua"/>
          <w:color w:val="000000"/>
        </w:rPr>
        <w:t>: 29-34 [PMID: 9671063 DOI: 10.1097/00000658-199807000-00005]</w:t>
      </w:r>
    </w:p>
    <w:p w14:paraId="2CCCC97E"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28 </w:t>
      </w:r>
      <w:proofErr w:type="spellStart"/>
      <w:r w:rsidRPr="00B10C5F">
        <w:rPr>
          <w:rFonts w:ascii="Book Antiqua" w:eastAsia="Book Antiqua" w:hAnsi="Book Antiqua" w:cs="Book Antiqua"/>
          <w:b/>
          <w:bCs/>
          <w:color w:val="000000"/>
        </w:rPr>
        <w:t>Gurusamy</w:t>
      </w:r>
      <w:proofErr w:type="spellEnd"/>
      <w:r w:rsidRPr="00B10C5F">
        <w:rPr>
          <w:rFonts w:ascii="Book Antiqua" w:eastAsia="Book Antiqua" w:hAnsi="Book Antiqua" w:cs="Book Antiqua"/>
          <w:b/>
          <w:bCs/>
          <w:color w:val="000000"/>
        </w:rPr>
        <w:t xml:space="preserve"> KS</w:t>
      </w:r>
      <w:r w:rsidRPr="00B10C5F">
        <w:rPr>
          <w:rFonts w:ascii="Book Antiqua" w:eastAsia="Book Antiqua" w:hAnsi="Book Antiqua" w:cs="Book Antiqua"/>
          <w:color w:val="000000"/>
        </w:rPr>
        <w:t xml:space="preserve">, </w:t>
      </w:r>
      <w:proofErr w:type="spellStart"/>
      <w:r w:rsidRPr="00B10C5F">
        <w:rPr>
          <w:rFonts w:ascii="Book Antiqua" w:eastAsia="Book Antiqua" w:hAnsi="Book Antiqua" w:cs="Book Antiqua"/>
          <w:color w:val="000000"/>
        </w:rPr>
        <w:t>Koti</w:t>
      </w:r>
      <w:proofErr w:type="spellEnd"/>
      <w:r w:rsidRPr="00B10C5F">
        <w:rPr>
          <w:rFonts w:ascii="Book Antiqua" w:eastAsia="Book Antiqua" w:hAnsi="Book Antiqua" w:cs="Book Antiqua"/>
          <w:color w:val="000000"/>
        </w:rPr>
        <w:t xml:space="preserve"> R, Davidson BR. T-tube drainage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primary closure after laparoscopic common bile duct exploration. </w:t>
      </w:r>
      <w:r w:rsidRPr="00B10C5F">
        <w:rPr>
          <w:rFonts w:ascii="Book Antiqua" w:eastAsia="Book Antiqua" w:hAnsi="Book Antiqua" w:cs="Book Antiqua"/>
          <w:i/>
          <w:iCs/>
          <w:color w:val="000000"/>
        </w:rPr>
        <w:t>Cochrane Database Syst Rev</w:t>
      </w:r>
      <w:r w:rsidRPr="00B10C5F">
        <w:rPr>
          <w:rFonts w:ascii="Book Antiqua" w:eastAsia="Book Antiqua" w:hAnsi="Book Antiqua" w:cs="Book Antiqua"/>
          <w:color w:val="000000"/>
        </w:rPr>
        <w:t xml:space="preserve"> 2013: CD005641 [PMID: 23794201 DOI: 10.1002/14651858.CD005641.pub3]</w:t>
      </w:r>
    </w:p>
    <w:p w14:paraId="475AA710"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29 </w:t>
      </w:r>
      <w:proofErr w:type="spellStart"/>
      <w:r w:rsidRPr="00B10C5F">
        <w:rPr>
          <w:rFonts w:ascii="Book Antiqua" w:eastAsia="Book Antiqua" w:hAnsi="Book Antiqua" w:cs="Book Antiqua"/>
          <w:b/>
          <w:bCs/>
          <w:color w:val="000000"/>
        </w:rPr>
        <w:t>Tokumura</w:t>
      </w:r>
      <w:proofErr w:type="spellEnd"/>
      <w:r w:rsidRPr="00B10C5F">
        <w:rPr>
          <w:rFonts w:ascii="Book Antiqua" w:eastAsia="Book Antiqua" w:hAnsi="Book Antiqua" w:cs="Book Antiqua"/>
          <w:b/>
          <w:bCs/>
          <w:color w:val="000000"/>
        </w:rPr>
        <w:t xml:space="preserve"> H</w:t>
      </w:r>
      <w:r w:rsidRPr="00B10C5F">
        <w:rPr>
          <w:rFonts w:ascii="Book Antiqua" w:eastAsia="Book Antiqua" w:hAnsi="Book Antiqua" w:cs="Book Antiqua"/>
          <w:color w:val="000000"/>
        </w:rPr>
        <w:t xml:space="preserve">, </w:t>
      </w:r>
      <w:proofErr w:type="spellStart"/>
      <w:r w:rsidRPr="00B10C5F">
        <w:rPr>
          <w:rFonts w:ascii="Book Antiqua" w:eastAsia="Book Antiqua" w:hAnsi="Book Antiqua" w:cs="Book Antiqua"/>
          <w:color w:val="000000"/>
        </w:rPr>
        <w:t>Umezawa</w:t>
      </w:r>
      <w:proofErr w:type="spellEnd"/>
      <w:r w:rsidRPr="00B10C5F">
        <w:rPr>
          <w:rFonts w:ascii="Book Antiqua" w:eastAsia="Book Antiqua" w:hAnsi="Book Antiqua" w:cs="Book Antiqua"/>
          <w:color w:val="000000"/>
        </w:rPr>
        <w:t xml:space="preserve"> A, Cao H, Sakamoto N, </w:t>
      </w:r>
      <w:proofErr w:type="spellStart"/>
      <w:r w:rsidRPr="00B10C5F">
        <w:rPr>
          <w:rFonts w:ascii="Book Antiqua" w:eastAsia="Book Antiqua" w:hAnsi="Book Antiqua" w:cs="Book Antiqua"/>
          <w:color w:val="000000"/>
        </w:rPr>
        <w:t>Imaoka</w:t>
      </w:r>
      <w:proofErr w:type="spellEnd"/>
      <w:r w:rsidRPr="00B10C5F">
        <w:rPr>
          <w:rFonts w:ascii="Book Antiqua" w:eastAsia="Book Antiqua" w:hAnsi="Book Antiqua" w:cs="Book Antiqua"/>
          <w:color w:val="000000"/>
        </w:rPr>
        <w:t xml:space="preserve"> Y, </w:t>
      </w:r>
      <w:proofErr w:type="spellStart"/>
      <w:r w:rsidRPr="00B10C5F">
        <w:rPr>
          <w:rFonts w:ascii="Book Antiqua" w:eastAsia="Book Antiqua" w:hAnsi="Book Antiqua" w:cs="Book Antiqua"/>
          <w:color w:val="000000"/>
        </w:rPr>
        <w:t>Ouchi</w:t>
      </w:r>
      <w:proofErr w:type="spellEnd"/>
      <w:r w:rsidRPr="00B10C5F">
        <w:rPr>
          <w:rFonts w:ascii="Book Antiqua" w:eastAsia="Book Antiqua" w:hAnsi="Book Antiqua" w:cs="Book Antiqua"/>
          <w:color w:val="000000"/>
        </w:rPr>
        <w:t xml:space="preserve"> A, Yamamoto K. Laparoscopic management of common bile duct stones: </w:t>
      </w:r>
      <w:proofErr w:type="spellStart"/>
      <w:r w:rsidRPr="00B10C5F">
        <w:rPr>
          <w:rFonts w:ascii="Book Antiqua" w:eastAsia="Book Antiqua" w:hAnsi="Book Antiqua" w:cs="Book Antiqua"/>
          <w:color w:val="000000"/>
        </w:rPr>
        <w:t>transcystic</w:t>
      </w:r>
      <w:proofErr w:type="spellEnd"/>
      <w:r w:rsidRPr="00B10C5F">
        <w:rPr>
          <w:rFonts w:ascii="Book Antiqua" w:eastAsia="Book Antiqua" w:hAnsi="Book Antiqua" w:cs="Book Antiqua"/>
          <w:color w:val="000000"/>
        </w:rPr>
        <w:t xml:space="preserve"> approach and choledochotomy. </w:t>
      </w:r>
      <w:r w:rsidRPr="00B10C5F">
        <w:rPr>
          <w:rFonts w:ascii="Book Antiqua" w:eastAsia="Book Antiqua" w:hAnsi="Book Antiqua" w:cs="Book Antiqua"/>
          <w:i/>
          <w:iCs/>
          <w:color w:val="000000"/>
        </w:rPr>
        <w:t xml:space="preserve">J Hepatobiliary </w:t>
      </w:r>
      <w:proofErr w:type="spellStart"/>
      <w:r w:rsidRPr="00B10C5F">
        <w:rPr>
          <w:rFonts w:ascii="Book Antiqua" w:eastAsia="Book Antiqua" w:hAnsi="Book Antiqua" w:cs="Book Antiqua"/>
          <w:i/>
          <w:iCs/>
          <w:color w:val="000000"/>
        </w:rPr>
        <w:t>Pancreat</w:t>
      </w:r>
      <w:proofErr w:type="spellEnd"/>
      <w:r w:rsidRPr="00B10C5F">
        <w:rPr>
          <w:rFonts w:ascii="Book Antiqua" w:eastAsia="Book Antiqua" w:hAnsi="Book Antiqua" w:cs="Book Antiqua"/>
          <w:i/>
          <w:iCs/>
          <w:color w:val="000000"/>
        </w:rPr>
        <w:t xml:space="preserve"> Surg</w:t>
      </w:r>
      <w:r w:rsidRPr="00B10C5F">
        <w:rPr>
          <w:rFonts w:ascii="Book Antiqua" w:eastAsia="Book Antiqua" w:hAnsi="Book Antiqua" w:cs="Book Antiqua"/>
          <w:color w:val="000000"/>
        </w:rPr>
        <w:t xml:space="preserve"> 2002; </w:t>
      </w:r>
      <w:r w:rsidRPr="00B10C5F">
        <w:rPr>
          <w:rFonts w:ascii="Book Antiqua" w:eastAsia="Book Antiqua" w:hAnsi="Book Antiqua" w:cs="Book Antiqua"/>
          <w:b/>
          <w:bCs/>
          <w:color w:val="000000"/>
        </w:rPr>
        <w:t>9</w:t>
      </w:r>
      <w:r w:rsidRPr="00B10C5F">
        <w:rPr>
          <w:rFonts w:ascii="Book Antiqua" w:eastAsia="Book Antiqua" w:hAnsi="Book Antiqua" w:cs="Book Antiqua"/>
          <w:color w:val="000000"/>
        </w:rPr>
        <w:t>: 206-212 [PMID: 12140608 DOI: 10.1007/s005340200020]</w:t>
      </w:r>
    </w:p>
    <w:p w14:paraId="7BC7E4CE"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30 </w:t>
      </w:r>
      <w:proofErr w:type="spellStart"/>
      <w:r w:rsidRPr="00B10C5F">
        <w:rPr>
          <w:rFonts w:ascii="Book Antiqua" w:eastAsia="Book Antiqua" w:hAnsi="Book Antiqua" w:cs="Book Antiqua"/>
          <w:b/>
          <w:bCs/>
          <w:color w:val="000000"/>
        </w:rPr>
        <w:t>Waage</w:t>
      </w:r>
      <w:proofErr w:type="spellEnd"/>
      <w:r w:rsidRPr="00B10C5F">
        <w:rPr>
          <w:rFonts w:ascii="Book Antiqua" w:eastAsia="Book Antiqua" w:hAnsi="Book Antiqua" w:cs="Book Antiqua"/>
          <w:b/>
          <w:bCs/>
          <w:color w:val="000000"/>
        </w:rPr>
        <w:t xml:space="preserve"> A</w:t>
      </w:r>
      <w:r w:rsidRPr="00B10C5F">
        <w:rPr>
          <w:rFonts w:ascii="Book Antiqua" w:eastAsia="Book Antiqua" w:hAnsi="Book Antiqua" w:cs="Book Antiqua"/>
          <w:color w:val="000000"/>
        </w:rPr>
        <w:t xml:space="preserve">, </w:t>
      </w:r>
      <w:proofErr w:type="spellStart"/>
      <w:r w:rsidRPr="00B10C5F">
        <w:rPr>
          <w:rFonts w:ascii="Book Antiqua" w:eastAsia="Book Antiqua" w:hAnsi="Book Antiqua" w:cs="Book Antiqua"/>
          <w:color w:val="000000"/>
        </w:rPr>
        <w:t>Strömberg</w:t>
      </w:r>
      <w:proofErr w:type="spellEnd"/>
      <w:r w:rsidRPr="00B10C5F">
        <w:rPr>
          <w:rFonts w:ascii="Book Antiqua" w:eastAsia="Book Antiqua" w:hAnsi="Book Antiqua" w:cs="Book Antiqua"/>
          <w:color w:val="000000"/>
        </w:rPr>
        <w:t xml:space="preserve"> C, </w:t>
      </w:r>
      <w:proofErr w:type="spellStart"/>
      <w:r w:rsidRPr="00B10C5F">
        <w:rPr>
          <w:rFonts w:ascii="Book Antiqua" w:eastAsia="Book Antiqua" w:hAnsi="Book Antiqua" w:cs="Book Antiqua"/>
          <w:color w:val="000000"/>
        </w:rPr>
        <w:t>Leijonmarck</w:t>
      </w:r>
      <w:proofErr w:type="spellEnd"/>
      <w:r w:rsidRPr="00B10C5F">
        <w:rPr>
          <w:rFonts w:ascii="Book Antiqua" w:eastAsia="Book Antiqua" w:hAnsi="Book Antiqua" w:cs="Book Antiqua"/>
          <w:color w:val="000000"/>
        </w:rPr>
        <w:t xml:space="preserve"> CE, Arvidsson D. Long-term results from laparoscopic common bile duct exploration. </w:t>
      </w:r>
      <w:r w:rsidRPr="00B10C5F">
        <w:rPr>
          <w:rFonts w:ascii="Book Antiqua" w:eastAsia="Book Antiqua" w:hAnsi="Book Antiqua" w:cs="Book Antiqua"/>
          <w:i/>
          <w:iCs/>
          <w:color w:val="000000"/>
        </w:rPr>
        <w:t xml:space="preserve">Surg </w:t>
      </w:r>
      <w:proofErr w:type="spellStart"/>
      <w:r w:rsidRPr="00B10C5F">
        <w:rPr>
          <w:rFonts w:ascii="Book Antiqua" w:eastAsia="Book Antiqua" w:hAnsi="Book Antiqua" w:cs="Book Antiqua"/>
          <w:i/>
          <w:iCs/>
          <w:color w:val="000000"/>
        </w:rPr>
        <w:t>Endosc</w:t>
      </w:r>
      <w:proofErr w:type="spellEnd"/>
      <w:r w:rsidRPr="00B10C5F">
        <w:rPr>
          <w:rFonts w:ascii="Book Antiqua" w:eastAsia="Book Antiqua" w:hAnsi="Book Antiqua" w:cs="Book Antiqua"/>
          <w:color w:val="000000"/>
        </w:rPr>
        <w:t xml:space="preserve"> 2003; </w:t>
      </w:r>
      <w:r w:rsidRPr="00B10C5F">
        <w:rPr>
          <w:rFonts w:ascii="Book Antiqua" w:eastAsia="Book Antiqua" w:hAnsi="Book Antiqua" w:cs="Book Antiqua"/>
          <w:b/>
          <w:bCs/>
          <w:color w:val="000000"/>
        </w:rPr>
        <w:t>17</w:t>
      </w:r>
      <w:r w:rsidRPr="00B10C5F">
        <w:rPr>
          <w:rFonts w:ascii="Book Antiqua" w:eastAsia="Book Antiqua" w:hAnsi="Book Antiqua" w:cs="Book Antiqua"/>
          <w:color w:val="000000"/>
        </w:rPr>
        <w:t>: 1181-1185 [PMID: 12739114 DOI: 10.1007/s00464-002-8937-0]</w:t>
      </w:r>
    </w:p>
    <w:p w14:paraId="3EA1A46D"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31 </w:t>
      </w:r>
      <w:r w:rsidRPr="00B10C5F">
        <w:rPr>
          <w:rFonts w:ascii="Book Antiqua" w:eastAsia="Book Antiqua" w:hAnsi="Book Antiqua" w:cs="Book Antiqua"/>
          <w:b/>
          <w:bCs/>
          <w:color w:val="000000"/>
        </w:rPr>
        <w:t>Fang L</w:t>
      </w:r>
      <w:r w:rsidRPr="00B10C5F">
        <w:rPr>
          <w:rFonts w:ascii="Book Antiqua" w:eastAsia="Book Antiqua" w:hAnsi="Book Antiqua" w:cs="Book Antiqua"/>
          <w:color w:val="000000"/>
        </w:rPr>
        <w:t xml:space="preserve">, Wang J, Dai WC, Liang B, Chen HM, Fu XW, Zheng BB, Lei J, Huang CW, Zou SB. Laparoscopic </w:t>
      </w:r>
      <w:proofErr w:type="spellStart"/>
      <w:r w:rsidRPr="00B10C5F">
        <w:rPr>
          <w:rFonts w:ascii="Book Antiqua" w:eastAsia="Book Antiqua" w:hAnsi="Book Antiqua" w:cs="Book Antiqua"/>
          <w:color w:val="000000"/>
        </w:rPr>
        <w:t>transcystic</w:t>
      </w:r>
      <w:proofErr w:type="spellEnd"/>
      <w:r w:rsidRPr="00B10C5F">
        <w:rPr>
          <w:rFonts w:ascii="Book Antiqua" w:eastAsia="Book Antiqua" w:hAnsi="Book Antiqua" w:cs="Book Antiqua"/>
          <w:color w:val="000000"/>
        </w:rPr>
        <w:t xml:space="preserve"> common bile duct exploration: surgical indications and procedure strategies. </w:t>
      </w:r>
      <w:r w:rsidRPr="00B10C5F">
        <w:rPr>
          <w:rFonts w:ascii="Book Antiqua" w:eastAsia="Book Antiqua" w:hAnsi="Book Antiqua" w:cs="Book Antiqua"/>
          <w:i/>
          <w:iCs/>
          <w:color w:val="000000"/>
        </w:rPr>
        <w:t xml:space="preserve">Surg </w:t>
      </w:r>
      <w:proofErr w:type="spellStart"/>
      <w:r w:rsidRPr="00B10C5F">
        <w:rPr>
          <w:rFonts w:ascii="Book Antiqua" w:eastAsia="Book Antiqua" w:hAnsi="Book Antiqua" w:cs="Book Antiqua"/>
          <w:i/>
          <w:iCs/>
          <w:color w:val="000000"/>
        </w:rPr>
        <w:t>Endosc</w:t>
      </w:r>
      <w:proofErr w:type="spellEnd"/>
      <w:r w:rsidRPr="00B10C5F">
        <w:rPr>
          <w:rFonts w:ascii="Book Antiqua" w:eastAsia="Book Antiqua" w:hAnsi="Book Antiqua" w:cs="Book Antiqua"/>
          <w:color w:val="000000"/>
        </w:rPr>
        <w:t xml:space="preserve"> 2018; </w:t>
      </w:r>
      <w:r w:rsidRPr="00B10C5F">
        <w:rPr>
          <w:rFonts w:ascii="Book Antiqua" w:eastAsia="Book Antiqua" w:hAnsi="Book Antiqua" w:cs="Book Antiqua"/>
          <w:b/>
          <w:bCs/>
          <w:color w:val="000000"/>
        </w:rPr>
        <w:t>32</w:t>
      </w:r>
      <w:r w:rsidRPr="00B10C5F">
        <w:rPr>
          <w:rFonts w:ascii="Book Antiqua" w:eastAsia="Book Antiqua" w:hAnsi="Book Antiqua" w:cs="Book Antiqua"/>
          <w:color w:val="000000"/>
        </w:rPr>
        <w:t>: 4742-4748 [PMID: 30298446 DOI: 10.1007/s00464-018-6195-z]</w:t>
      </w:r>
    </w:p>
    <w:p w14:paraId="5A2DD186"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32 </w:t>
      </w:r>
      <w:r w:rsidRPr="00B10C5F">
        <w:rPr>
          <w:rFonts w:ascii="Book Antiqua" w:eastAsia="Book Antiqua" w:hAnsi="Book Antiqua" w:cs="Book Antiqua"/>
          <w:b/>
          <w:bCs/>
          <w:color w:val="000000"/>
        </w:rPr>
        <w:t>Hua J</w:t>
      </w:r>
      <w:r w:rsidRPr="00B10C5F">
        <w:rPr>
          <w:rFonts w:ascii="Book Antiqua" w:eastAsia="Book Antiqua" w:hAnsi="Book Antiqua" w:cs="Book Antiqua"/>
          <w:color w:val="000000"/>
        </w:rPr>
        <w:t xml:space="preserve">, Meng H, Yao L, Gong J, Xu B, Yang T, Sun W, Wang Y, Mao Y, Zhang T, Zhou B, Song Z. Five hundred consecutive laparoscopic common bile duct explorations: 5-year experience at a single institution. </w:t>
      </w:r>
      <w:r w:rsidRPr="00B10C5F">
        <w:rPr>
          <w:rFonts w:ascii="Book Antiqua" w:eastAsia="Book Antiqua" w:hAnsi="Book Antiqua" w:cs="Book Antiqua"/>
          <w:i/>
          <w:iCs/>
          <w:color w:val="000000"/>
        </w:rPr>
        <w:t xml:space="preserve">Surg </w:t>
      </w:r>
      <w:proofErr w:type="spellStart"/>
      <w:r w:rsidRPr="00B10C5F">
        <w:rPr>
          <w:rFonts w:ascii="Book Antiqua" w:eastAsia="Book Antiqua" w:hAnsi="Book Antiqua" w:cs="Book Antiqua"/>
          <w:i/>
          <w:iCs/>
          <w:color w:val="000000"/>
        </w:rPr>
        <w:t>Endosc</w:t>
      </w:r>
      <w:proofErr w:type="spellEnd"/>
      <w:r w:rsidRPr="00B10C5F">
        <w:rPr>
          <w:rFonts w:ascii="Book Antiqua" w:eastAsia="Book Antiqua" w:hAnsi="Book Antiqua" w:cs="Book Antiqua"/>
          <w:color w:val="000000"/>
        </w:rPr>
        <w:t xml:space="preserve"> 2017; </w:t>
      </w:r>
      <w:r w:rsidRPr="00B10C5F">
        <w:rPr>
          <w:rFonts w:ascii="Book Antiqua" w:eastAsia="Book Antiqua" w:hAnsi="Book Antiqua" w:cs="Book Antiqua"/>
          <w:b/>
          <w:bCs/>
          <w:color w:val="000000"/>
        </w:rPr>
        <w:t>31</w:t>
      </w:r>
      <w:r w:rsidRPr="00B10C5F">
        <w:rPr>
          <w:rFonts w:ascii="Book Antiqua" w:eastAsia="Book Antiqua" w:hAnsi="Book Antiqua" w:cs="Book Antiqua"/>
          <w:color w:val="000000"/>
        </w:rPr>
        <w:t>: 3581-3589 [PMID: 28039642 DOI: 10.1007/s00464-016-5388-6]</w:t>
      </w:r>
    </w:p>
    <w:p w14:paraId="2ACBD90C"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33 </w:t>
      </w:r>
      <w:r w:rsidRPr="00B10C5F">
        <w:rPr>
          <w:rFonts w:ascii="Book Antiqua" w:eastAsia="Book Antiqua" w:hAnsi="Book Antiqua" w:cs="Book Antiqua"/>
          <w:b/>
          <w:bCs/>
          <w:color w:val="000000"/>
        </w:rPr>
        <w:t>Khaled YS</w:t>
      </w:r>
      <w:r w:rsidRPr="00B10C5F">
        <w:rPr>
          <w:rFonts w:ascii="Book Antiqua" w:eastAsia="Book Antiqua" w:hAnsi="Book Antiqua" w:cs="Book Antiqua"/>
          <w:color w:val="000000"/>
        </w:rPr>
        <w:t xml:space="preserve">, </w:t>
      </w:r>
      <w:proofErr w:type="spellStart"/>
      <w:r w:rsidRPr="00B10C5F">
        <w:rPr>
          <w:rFonts w:ascii="Book Antiqua" w:eastAsia="Book Antiqua" w:hAnsi="Book Antiqua" w:cs="Book Antiqua"/>
          <w:color w:val="000000"/>
        </w:rPr>
        <w:t>Malde</w:t>
      </w:r>
      <w:proofErr w:type="spellEnd"/>
      <w:r w:rsidRPr="00B10C5F">
        <w:rPr>
          <w:rFonts w:ascii="Book Antiqua" w:eastAsia="Book Antiqua" w:hAnsi="Book Antiqua" w:cs="Book Antiqua"/>
          <w:color w:val="000000"/>
        </w:rPr>
        <w:t xml:space="preserve"> DJ, de Souza C, Kalia A, </w:t>
      </w:r>
      <w:proofErr w:type="spellStart"/>
      <w:r w:rsidRPr="00B10C5F">
        <w:rPr>
          <w:rFonts w:ascii="Book Antiqua" w:eastAsia="Book Antiqua" w:hAnsi="Book Antiqua" w:cs="Book Antiqua"/>
          <w:color w:val="000000"/>
        </w:rPr>
        <w:t>Ammori</w:t>
      </w:r>
      <w:proofErr w:type="spellEnd"/>
      <w:r w:rsidRPr="00B10C5F">
        <w:rPr>
          <w:rFonts w:ascii="Book Antiqua" w:eastAsia="Book Antiqua" w:hAnsi="Book Antiqua" w:cs="Book Antiqua"/>
          <w:color w:val="000000"/>
        </w:rPr>
        <w:t xml:space="preserve"> BJ. Laparoscopic bile duct exploration </w:t>
      </w:r>
      <w:r w:rsidRPr="00B10C5F">
        <w:rPr>
          <w:rFonts w:ascii="Book Antiqua" w:eastAsia="Book Antiqua" w:hAnsi="Book Antiqua" w:cs="Book Antiqua"/>
          <w:i/>
          <w:iCs/>
          <w:color w:val="000000"/>
        </w:rPr>
        <w:t>via</w:t>
      </w:r>
      <w:r w:rsidRPr="00B10C5F">
        <w:rPr>
          <w:rFonts w:ascii="Book Antiqua" w:eastAsia="Book Antiqua" w:hAnsi="Book Antiqua" w:cs="Book Antiqua"/>
          <w:color w:val="000000"/>
        </w:rPr>
        <w:t xml:space="preserve"> choledochotomy followed by primary duct closure is feasible and </w:t>
      </w:r>
      <w:r w:rsidRPr="00B10C5F">
        <w:rPr>
          <w:rFonts w:ascii="Book Antiqua" w:eastAsia="Book Antiqua" w:hAnsi="Book Antiqua" w:cs="Book Antiqua"/>
          <w:color w:val="000000"/>
        </w:rPr>
        <w:lastRenderedPageBreak/>
        <w:t xml:space="preserve">safe for the treatment of choledocholithiasis. </w:t>
      </w:r>
      <w:r w:rsidRPr="00B10C5F">
        <w:rPr>
          <w:rFonts w:ascii="Book Antiqua" w:eastAsia="Book Antiqua" w:hAnsi="Book Antiqua" w:cs="Book Antiqua"/>
          <w:i/>
          <w:iCs/>
          <w:color w:val="000000"/>
        </w:rPr>
        <w:t xml:space="preserve">Surg </w:t>
      </w:r>
      <w:proofErr w:type="spellStart"/>
      <w:r w:rsidRPr="00B10C5F">
        <w:rPr>
          <w:rFonts w:ascii="Book Antiqua" w:eastAsia="Book Antiqua" w:hAnsi="Book Antiqua" w:cs="Book Antiqua"/>
          <w:i/>
          <w:iCs/>
          <w:color w:val="000000"/>
        </w:rPr>
        <w:t>Endosc</w:t>
      </w:r>
      <w:proofErr w:type="spellEnd"/>
      <w:r w:rsidRPr="00B10C5F">
        <w:rPr>
          <w:rFonts w:ascii="Book Antiqua" w:eastAsia="Book Antiqua" w:hAnsi="Book Antiqua" w:cs="Book Antiqua"/>
          <w:color w:val="000000"/>
        </w:rPr>
        <w:t xml:space="preserve"> 2013; </w:t>
      </w:r>
      <w:r w:rsidRPr="00B10C5F">
        <w:rPr>
          <w:rFonts w:ascii="Book Antiqua" w:eastAsia="Book Antiqua" w:hAnsi="Book Antiqua" w:cs="Book Antiqua"/>
          <w:b/>
          <w:bCs/>
          <w:color w:val="000000"/>
        </w:rPr>
        <w:t>27</w:t>
      </w:r>
      <w:r w:rsidRPr="00B10C5F">
        <w:rPr>
          <w:rFonts w:ascii="Book Antiqua" w:eastAsia="Book Antiqua" w:hAnsi="Book Antiqua" w:cs="Book Antiqua"/>
          <w:color w:val="000000"/>
        </w:rPr>
        <w:t>: 4164-4170 [PMID: 23719974 DOI: 10.1007/s00464-013-3015-3]</w:t>
      </w:r>
    </w:p>
    <w:p w14:paraId="69527341"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34 </w:t>
      </w:r>
      <w:r w:rsidRPr="00B10C5F">
        <w:rPr>
          <w:rFonts w:ascii="Book Antiqua" w:eastAsia="Book Antiqua" w:hAnsi="Book Antiqua" w:cs="Book Antiqua"/>
          <w:b/>
          <w:bCs/>
          <w:color w:val="000000"/>
        </w:rPr>
        <w:t>Hua J</w:t>
      </w:r>
      <w:r w:rsidRPr="00B10C5F">
        <w:rPr>
          <w:rFonts w:ascii="Book Antiqua" w:eastAsia="Book Antiqua" w:hAnsi="Book Antiqua" w:cs="Book Antiqua"/>
          <w:color w:val="000000"/>
        </w:rPr>
        <w:t xml:space="preserve">, Lin S, Qian D, He Z, Zhang T, Song Z. Primary closure and rate of bile leak following laparoscopic common bile duct exploration </w:t>
      </w:r>
      <w:r w:rsidRPr="00B10C5F">
        <w:rPr>
          <w:rFonts w:ascii="Book Antiqua" w:eastAsia="Book Antiqua" w:hAnsi="Book Antiqua" w:cs="Book Antiqua"/>
          <w:i/>
          <w:iCs/>
          <w:color w:val="000000"/>
        </w:rPr>
        <w:t>via</w:t>
      </w:r>
      <w:r w:rsidRPr="00B10C5F">
        <w:rPr>
          <w:rFonts w:ascii="Book Antiqua" w:eastAsia="Book Antiqua" w:hAnsi="Book Antiqua" w:cs="Book Antiqua"/>
          <w:color w:val="000000"/>
        </w:rPr>
        <w:t xml:space="preserve"> choledochotomy. </w:t>
      </w:r>
      <w:r w:rsidRPr="00B10C5F">
        <w:rPr>
          <w:rFonts w:ascii="Book Antiqua" w:eastAsia="Book Antiqua" w:hAnsi="Book Antiqua" w:cs="Book Antiqua"/>
          <w:i/>
          <w:iCs/>
          <w:color w:val="000000"/>
        </w:rPr>
        <w:t>Dig Surg</w:t>
      </w:r>
      <w:r w:rsidRPr="00B10C5F">
        <w:rPr>
          <w:rFonts w:ascii="Book Antiqua" w:eastAsia="Book Antiqua" w:hAnsi="Book Antiqua" w:cs="Book Antiqua"/>
          <w:color w:val="000000"/>
        </w:rPr>
        <w:t xml:space="preserve"> 2015; </w:t>
      </w:r>
      <w:r w:rsidRPr="00B10C5F">
        <w:rPr>
          <w:rFonts w:ascii="Book Antiqua" w:eastAsia="Book Antiqua" w:hAnsi="Book Antiqua" w:cs="Book Antiqua"/>
          <w:b/>
          <w:bCs/>
          <w:color w:val="000000"/>
        </w:rPr>
        <w:t>32</w:t>
      </w:r>
      <w:r w:rsidRPr="00B10C5F">
        <w:rPr>
          <w:rFonts w:ascii="Book Antiqua" w:eastAsia="Book Antiqua" w:hAnsi="Book Antiqua" w:cs="Book Antiqua"/>
          <w:color w:val="000000"/>
        </w:rPr>
        <w:t>: 1-8 [PMID: 25613528 DOI: 10.1159/000368326]</w:t>
      </w:r>
    </w:p>
    <w:p w14:paraId="1B1C72E9"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35 </w:t>
      </w:r>
      <w:r w:rsidRPr="00B10C5F">
        <w:rPr>
          <w:rFonts w:ascii="Book Antiqua" w:eastAsia="Book Antiqua" w:hAnsi="Book Antiqua" w:cs="Book Antiqua"/>
          <w:b/>
          <w:bCs/>
          <w:color w:val="000000"/>
        </w:rPr>
        <w:t>Liu D</w:t>
      </w:r>
      <w:r w:rsidRPr="00B10C5F">
        <w:rPr>
          <w:rFonts w:ascii="Book Antiqua" w:eastAsia="Book Antiqua" w:hAnsi="Book Antiqua" w:cs="Book Antiqua"/>
          <w:color w:val="000000"/>
        </w:rPr>
        <w:t xml:space="preserve">, Cao F, Liu J, Xu D, Wang Y, Li F. Risk factors for bile leakage after primary closure following laparoscopic common bile duct exploration: a retrospective cohort study. </w:t>
      </w:r>
      <w:r w:rsidRPr="00B10C5F">
        <w:rPr>
          <w:rFonts w:ascii="Book Antiqua" w:eastAsia="Book Antiqua" w:hAnsi="Book Antiqua" w:cs="Book Antiqua"/>
          <w:i/>
          <w:iCs/>
          <w:color w:val="000000"/>
        </w:rPr>
        <w:t>BMC Surg</w:t>
      </w:r>
      <w:r w:rsidRPr="00B10C5F">
        <w:rPr>
          <w:rFonts w:ascii="Book Antiqua" w:eastAsia="Book Antiqua" w:hAnsi="Book Antiqua" w:cs="Book Antiqua"/>
          <w:color w:val="000000"/>
        </w:rPr>
        <w:t xml:space="preserve"> 2017; </w:t>
      </w:r>
      <w:r w:rsidRPr="00B10C5F">
        <w:rPr>
          <w:rFonts w:ascii="Book Antiqua" w:eastAsia="Book Antiqua" w:hAnsi="Book Antiqua" w:cs="Book Antiqua"/>
          <w:b/>
          <w:bCs/>
          <w:color w:val="000000"/>
        </w:rPr>
        <w:t>17</w:t>
      </w:r>
      <w:r w:rsidRPr="00B10C5F">
        <w:rPr>
          <w:rFonts w:ascii="Book Antiqua" w:eastAsia="Book Antiqua" w:hAnsi="Book Antiqua" w:cs="Book Antiqua"/>
          <w:color w:val="000000"/>
        </w:rPr>
        <w:t>: 1 [PMID: 28056934 DOI: 10.1186/s12893-016-0201-y]</w:t>
      </w:r>
    </w:p>
    <w:p w14:paraId="2D711682"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36 </w:t>
      </w:r>
      <w:r w:rsidRPr="00B10C5F">
        <w:rPr>
          <w:rFonts w:ascii="Book Antiqua" w:eastAsia="Book Antiqua" w:hAnsi="Book Antiqua" w:cs="Book Antiqua"/>
          <w:b/>
          <w:bCs/>
          <w:color w:val="000000"/>
        </w:rPr>
        <w:t>He MY</w:t>
      </w:r>
      <w:r w:rsidRPr="00B10C5F">
        <w:rPr>
          <w:rFonts w:ascii="Book Antiqua" w:eastAsia="Book Antiqua" w:hAnsi="Book Antiqua" w:cs="Book Antiqua"/>
          <w:color w:val="000000"/>
        </w:rPr>
        <w:t xml:space="preserve">, Zhou XD, Chen H, Zheng P, Zhang FZ, Ren WW. Various approaches of laparoscopic common bile duct exploration plus primary duct closure for choledocholithiasis: A systematic review and meta-analysis. </w:t>
      </w:r>
      <w:r w:rsidRPr="00B10C5F">
        <w:rPr>
          <w:rFonts w:ascii="Book Antiqua" w:eastAsia="Book Antiqua" w:hAnsi="Book Antiqua" w:cs="Book Antiqua"/>
          <w:i/>
          <w:iCs/>
          <w:color w:val="000000"/>
        </w:rPr>
        <w:t xml:space="preserve">Hepatobiliary </w:t>
      </w:r>
      <w:proofErr w:type="spellStart"/>
      <w:r w:rsidRPr="00B10C5F">
        <w:rPr>
          <w:rFonts w:ascii="Book Antiqua" w:eastAsia="Book Antiqua" w:hAnsi="Book Antiqua" w:cs="Book Antiqua"/>
          <w:i/>
          <w:iCs/>
          <w:color w:val="000000"/>
        </w:rPr>
        <w:t>Pancreat</w:t>
      </w:r>
      <w:proofErr w:type="spellEnd"/>
      <w:r w:rsidRPr="00B10C5F">
        <w:rPr>
          <w:rFonts w:ascii="Book Antiqua" w:eastAsia="Book Antiqua" w:hAnsi="Book Antiqua" w:cs="Book Antiqua"/>
          <w:i/>
          <w:iCs/>
          <w:color w:val="000000"/>
        </w:rPr>
        <w:t xml:space="preserve"> Dis Int</w:t>
      </w:r>
      <w:r w:rsidRPr="00B10C5F">
        <w:rPr>
          <w:rFonts w:ascii="Book Antiqua" w:eastAsia="Book Antiqua" w:hAnsi="Book Antiqua" w:cs="Book Antiqua"/>
          <w:color w:val="000000"/>
        </w:rPr>
        <w:t xml:space="preserve"> 2018; </w:t>
      </w:r>
      <w:r w:rsidRPr="00B10C5F">
        <w:rPr>
          <w:rFonts w:ascii="Book Antiqua" w:eastAsia="Book Antiqua" w:hAnsi="Book Antiqua" w:cs="Book Antiqua"/>
          <w:b/>
          <w:bCs/>
          <w:color w:val="000000"/>
        </w:rPr>
        <w:t>17</w:t>
      </w:r>
      <w:r w:rsidRPr="00B10C5F">
        <w:rPr>
          <w:rFonts w:ascii="Book Antiqua" w:eastAsia="Book Antiqua" w:hAnsi="Book Antiqua" w:cs="Book Antiqua"/>
          <w:color w:val="000000"/>
        </w:rPr>
        <w:t>: 183-191 [PMID: 29627156 DOI: 10.1016/j.hbpd.2018.03.009]</w:t>
      </w:r>
    </w:p>
    <w:p w14:paraId="6679461A"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37 </w:t>
      </w:r>
      <w:r w:rsidRPr="00B10C5F">
        <w:rPr>
          <w:rFonts w:ascii="Book Antiqua" w:eastAsia="Book Antiqua" w:hAnsi="Book Antiqua" w:cs="Book Antiqua"/>
          <w:b/>
          <w:bCs/>
          <w:color w:val="000000"/>
        </w:rPr>
        <w:t>Yin Z</w:t>
      </w:r>
      <w:r w:rsidRPr="00B10C5F">
        <w:rPr>
          <w:rFonts w:ascii="Book Antiqua" w:eastAsia="Book Antiqua" w:hAnsi="Book Antiqua" w:cs="Book Antiqua"/>
          <w:color w:val="000000"/>
        </w:rPr>
        <w:t xml:space="preserve">, Xu K, Sun J, Zhang J, Xiao Z, Wang J, </w:t>
      </w:r>
      <w:proofErr w:type="spellStart"/>
      <w:r w:rsidRPr="00B10C5F">
        <w:rPr>
          <w:rFonts w:ascii="Book Antiqua" w:eastAsia="Book Antiqua" w:hAnsi="Book Antiqua" w:cs="Book Antiqua"/>
          <w:color w:val="000000"/>
        </w:rPr>
        <w:t>Niu</w:t>
      </w:r>
      <w:proofErr w:type="spellEnd"/>
      <w:r w:rsidRPr="00B10C5F">
        <w:rPr>
          <w:rFonts w:ascii="Book Antiqua" w:eastAsia="Book Antiqua" w:hAnsi="Book Antiqua" w:cs="Book Antiqua"/>
          <w:color w:val="000000"/>
        </w:rPr>
        <w:t xml:space="preserve"> H, Zhao Q, Lin S, Li Y. Is the end of the T-tube drainage era in laparoscopic choledochotomy for common bile duct stones is coming? A systematic review and meta-analysis. </w:t>
      </w:r>
      <w:r w:rsidRPr="00B10C5F">
        <w:rPr>
          <w:rFonts w:ascii="Book Antiqua" w:eastAsia="Book Antiqua" w:hAnsi="Book Antiqua" w:cs="Book Antiqua"/>
          <w:i/>
          <w:iCs/>
          <w:color w:val="000000"/>
        </w:rPr>
        <w:t>Ann Surg</w:t>
      </w:r>
      <w:r w:rsidRPr="00B10C5F">
        <w:rPr>
          <w:rFonts w:ascii="Book Antiqua" w:eastAsia="Book Antiqua" w:hAnsi="Book Antiqua" w:cs="Book Antiqua"/>
          <w:color w:val="000000"/>
        </w:rPr>
        <w:t xml:space="preserve"> 2013; </w:t>
      </w:r>
      <w:r w:rsidRPr="00B10C5F">
        <w:rPr>
          <w:rFonts w:ascii="Book Antiqua" w:eastAsia="Book Antiqua" w:hAnsi="Book Antiqua" w:cs="Book Antiqua"/>
          <w:b/>
          <w:bCs/>
          <w:color w:val="000000"/>
        </w:rPr>
        <w:t>257</w:t>
      </w:r>
      <w:r w:rsidRPr="00B10C5F">
        <w:rPr>
          <w:rFonts w:ascii="Book Antiqua" w:eastAsia="Book Antiqua" w:hAnsi="Book Antiqua" w:cs="Book Antiqua"/>
          <w:color w:val="000000"/>
        </w:rPr>
        <w:t>: 54-66 [PMID: 23059495 DOI: 10.1097/SLA.0b013e318268314b]</w:t>
      </w:r>
    </w:p>
    <w:p w14:paraId="55833B38"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38 </w:t>
      </w:r>
      <w:r w:rsidRPr="00B10C5F">
        <w:rPr>
          <w:rFonts w:ascii="Book Antiqua" w:eastAsia="Book Antiqua" w:hAnsi="Book Antiqua" w:cs="Book Antiqua"/>
          <w:b/>
          <w:bCs/>
          <w:color w:val="000000"/>
        </w:rPr>
        <w:t>Wen SQ</w:t>
      </w:r>
      <w:r w:rsidRPr="00B10C5F">
        <w:rPr>
          <w:rFonts w:ascii="Book Antiqua" w:eastAsia="Book Antiqua" w:hAnsi="Book Antiqua" w:cs="Book Antiqua"/>
          <w:color w:val="000000"/>
        </w:rPr>
        <w:t xml:space="preserve">, Hu QH, Wan M, Tai S, </w:t>
      </w:r>
      <w:proofErr w:type="spellStart"/>
      <w:r w:rsidRPr="00B10C5F">
        <w:rPr>
          <w:rFonts w:ascii="Book Antiqua" w:eastAsia="Book Antiqua" w:hAnsi="Book Antiqua" w:cs="Book Antiqua"/>
          <w:color w:val="000000"/>
        </w:rPr>
        <w:t>Xie</w:t>
      </w:r>
      <w:proofErr w:type="spellEnd"/>
      <w:r w:rsidRPr="00B10C5F">
        <w:rPr>
          <w:rFonts w:ascii="Book Antiqua" w:eastAsia="Book Antiqua" w:hAnsi="Book Antiqua" w:cs="Book Antiqua"/>
          <w:color w:val="000000"/>
        </w:rPr>
        <w:t xml:space="preserve"> XY, Wu Q, Yang SL, Liao GQ. Appropriate Patient Selection Is Essential for the Success of Primary Closure After Laparoscopic Common Bile Duct Exploration. </w:t>
      </w:r>
      <w:r w:rsidRPr="00B10C5F">
        <w:rPr>
          <w:rFonts w:ascii="Book Antiqua" w:eastAsia="Book Antiqua" w:hAnsi="Book Antiqua" w:cs="Book Antiqua"/>
          <w:i/>
          <w:iCs/>
          <w:color w:val="000000"/>
        </w:rPr>
        <w:t>Dig Dis Sci</w:t>
      </w:r>
      <w:r w:rsidRPr="00B10C5F">
        <w:rPr>
          <w:rFonts w:ascii="Book Antiqua" w:eastAsia="Book Antiqua" w:hAnsi="Book Antiqua" w:cs="Book Antiqua"/>
          <w:color w:val="000000"/>
        </w:rPr>
        <w:t xml:space="preserve"> 2017; </w:t>
      </w:r>
      <w:r w:rsidRPr="00B10C5F">
        <w:rPr>
          <w:rFonts w:ascii="Book Antiqua" w:eastAsia="Book Antiqua" w:hAnsi="Book Antiqua" w:cs="Book Antiqua"/>
          <w:b/>
          <w:bCs/>
          <w:color w:val="000000"/>
        </w:rPr>
        <w:t>62</w:t>
      </w:r>
      <w:r w:rsidRPr="00B10C5F">
        <w:rPr>
          <w:rFonts w:ascii="Book Antiqua" w:eastAsia="Book Antiqua" w:hAnsi="Book Antiqua" w:cs="Book Antiqua"/>
          <w:color w:val="000000"/>
        </w:rPr>
        <w:t>: 1321-1326 [PMID: 28251501 DOI: 10.1007/s10620-017-4507-0]</w:t>
      </w:r>
    </w:p>
    <w:p w14:paraId="2683C323"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39 </w:t>
      </w:r>
      <w:r w:rsidRPr="00B10C5F">
        <w:rPr>
          <w:rFonts w:ascii="Book Antiqua" w:eastAsia="Book Antiqua" w:hAnsi="Book Antiqua" w:cs="Book Antiqua"/>
          <w:b/>
          <w:bCs/>
          <w:color w:val="000000"/>
        </w:rPr>
        <w:t>Lauter DM</w:t>
      </w:r>
      <w:r w:rsidRPr="00B10C5F">
        <w:rPr>
          <w:rFonts w:ascii="Book Antiqua" w:eastAsia="Book Antiqua" w:hAnsi="Book Antiqua" w:cs="Book Antiqua"/>
          <w:color w:val="000000"/>
        </w:rPr>
        <w:t xml:space="preserve">, </w:t>
      </w:r>
      <w:proofErr w:type="spellStart"/>
      <w:r w:rsidRPr="00B10C5F">
        <w:rPr>
          <w:rFonts w:ascii="Book Antiqua" w:eastAsia="Book Antiqua" w:hAnsi="Book Antiqua" w:cs="Book Antiqua"/>
          <w:color w:val="000000"/>
        </w:rPr>
        <w:t>Froines</w:t>
      </w:r>
      <w:proofErr w:type="spellEnd"/>
      <w:r w:rsidRPr="00B10C5F">
        <w:rPr>
          <w:rFonts w:ascii="Book Antiqua" w:eastAsia="Book Antiqua" w:hAnsi="Book Antiqua" w:cs="Book Antiqua"/>
          <w:color w:val="000000"/>
        </w:rPr>
        <w:t xml:space="preserve"> EJ. Laparoscopic common duct exploration in the management of choledocholithiasis. </w:t>
      </w:r>
      <w:r w:rsidRPr="00B10C5F">
        <w:rPr>
          <w:rFonts w:ascii="Book Antiqua" w:eastAsia="Book Antiqua" w:hAnsi="Book Antiqua" w:cs="Book Antiqua"/>
          <w:i/>
          <w:iCs/>
          <w:color w:val="000000"/>
        </w:rPr>
        <w:t>Am J Surg</w:t>
      </w:r>
      <w:r w:rsidRPr="00B10C5F">
        <w:rPr>
          <w:rFonts w:ascii="Book Antiqua" w:eastAsia="Book Antiqua" w:hAnsi="Book Antiqua" w:cs="Book Antiqua"/>
          <w:color w:val="000000"/>
        </w:rPr>
        <w:t xml:space="preserve"> 2000; </w:t>
      </w:r>
      <w:r w:rsidRPr="00B10C5F">
        <w:rPr>
          <w:rFonts w:ascii="Book Antiqua" w:eastAsia="Book Antiqua" w:hAnsi="Book Antiqua" w:cs="Book Antiqua"/>
          <w:b/>
          <w:bCs/>
          <w:color w:val="000000"/>
        </w:rPr>
        <w:t>179</w:t>
      </w:r>
      <w:r w:rsidRPr="00B10C5F">
        <w:rPr>
          <w:rFonts w:ascii="Book Antiqua" w:eastAsia="Book Antiqua" w:hAnsi="Book Antiqua" w:cs="Book Antiqua"/>
          <w:color w:val="000000"/>
        </w:rPr>
        <w:t>: 372-374 [PMID: 10930482 DOI: 10.1016/s0002-9610(00)00368-8]</w:t>
      </w:r>
    </w:p>
    <w:p w14:paraId="27E1EFDB"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40 </w:t>
      </w:r>
      <w:r w:rsidRPr="00B10C5F">
        <w:rPr>
          <w:rFonts w:ascii="Book Antiqua" w:eastAsia="Book Antiqua" w:hAnsi="Book Antiqua" w:cs="Book Antiqua"/>
          <w:b/>
          <w:bCs/>
          <w:color w:val="000000"/>
        </w:rPr>
        <w:t>Cai H</w:t>
      </w:r>
      <w:r w:rsidRPr="00B10C5F">
        <w:rPr>
          <w:rFonts w:ascii="Book Antiqua" w:eastAsia="Book Antiqua" w:hAnsi="Book Antiqua" w:cs="Book Antiqua"/>
          <w:color w:val="000000"/>
        </w:rPr>
        <w:t xml:space="preserve">, Sun D, Sun Y, Bai J, Zhao H, Miao Y. Primary closure following laparoscopic common bile duct exploration combined with intraoperative cholangiography and </w:t>
      </w:r>
      <w:proofErr w:type="spellStart"/>
      <w:r w:rsidRPr="00B10C5F">
        <w:rPr>
          <w:rFonts w:ascii="Book Antiqua" w:eastAsia="Book Antiqua" w:hAnsi="Book Antiqua" w:cs="Book Antiqua"/>
          <w:color w:val="000000"/>
        </w:rPr>
        <w:t>choledochoscopy</w:t>
      </w:r>
      <w:proofErr w:type="spellEnd"/>
      <w:r w:rsidRPr="00B10C5F">
        <w:rPr>
          <w:rFonts w:ascii="Book Antiqua" w:eastAsia="Book Antiqua" w:hAnsi="Book Antiqua" w:cs="Book Antiqua"/>
          <w:color w:val="000000"/>
        </w:rPr>
        <w:t xml:space="preserve">. </w:t>
      </w:r>
      <w:r w:rsidRPr="00B10C5F">
        <w:rPr>
          <w:rFonts w:ascii="Book Antiqua" w:eastAsia="Book Antiqua" w:hAnsi="Book Antiqua" w:cs="Book Antiqua"/>
          <w:i/>
          <w:iCs/>
          <w:color w:val="000000"/>
        </w:rPr>
        <w:t>World J Surg</w:t>
      </w:r>
      <w:r w:rsidRPr="00B10C5F">
        <w:rPr>
          <w:rFonts w:ascii="Book Antiqua" w:eastAsia="Book Antiqua" w:hAnsi="Book Antiqua" w:cs="Book Antiqua"/>
          <w:color w:val="000000"/>
        </w:rPr>
        <w:t xml:space="preserve"> 2012; </w:t>
      </w:r>
      <w:r w:rsidRPr="00B10C5F">
        <w:rPr>
          <w:rFonts w:ascii="Book Antiqua" w:eastAsia="Book Antiqua" w:hAnsi="Book Antiqua" w:cs="Book Antiqua"/>
          <w:b/>
          <w:bCs/>
          <w:color w:val="000000"/>
        </w:rPr>
        <w:t>36</w:t>
      </w:r>
      <w:r w:rsidRPr="00B10C5F">
        <w:rPr>
          <w:rFonts w:ascii="Book Antiqua" w:eastAsia="Book Antiqua" w:hAnsi="Book Antiqua" w:cs="Book Antiqua"/>
          <w:color w:val="000000"/>
        </w:rPr>
        <w:t>: 164-170 [PMID: 22086256 DOI: 10.1007/s00268-011-1346-6]</w:t>
      </w:r>
    </w:p>
    <w:p w14:paraId="65001941" w14:textId="1DA9A374" w:rsidR="00541F6E" w:rsidRPr="00B10C5F" w:rsidRDefault="00541F6E" w:rsidP="00B10C5F">
      <w:pPr>
        <w:adjustRightInd w:val="0"/>
        <w:snapToGrid w:val="0"/>
        <w:spacing w:line="360" w:lineRule="auto"/>
        <w:jc w:val="both"/>
        <w:rPr>
          <w:rFonts w:ascii="Book Antiqua" w:hAnsi="Book Antiqua"/>
        </w:rPr>
        <w:sectPr w:rsidR="00541F6E" w:rsidRPr="00B10C5F" w:rsidSect="00720AF0">
          <w:type w:val="continuous"/>
          <w:pgSz w:w="12240" w:h="15840"/>
          <w:pgMar w:top="1440" w:right="1800" w:bottom="1440" w:left="1800" w:header="720" w:footer="720" w:gutter="0"/>
          <w:cols w:space="720"/>
          <w:docGrid w:linePitch="360"/>
        </w:sectPr>
      </w:pPr>
    </w:p>
    <w:p w14:paraId="4FD5D1C4" w14:textId="342B448A" w:rsidR="00A77B3E" w:rsidRPr="00B10C5F" w:rsidRDefault="001024C4"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br w:type="page"/>
      </w:r>
      <w:r w:rsidR="008E015A" w:rsidRPr="00B10C5F">
        <w:rPr>
          <w:rFonts w:ascii="Book Antiqua" w:eastAsia="Book Antiqua" w:hAnsi="Book Antiqua" w:cs="Book Antiqua"/>
          <w:b/>
          <w:color w:val="000000"/>
        </w:rPr>
        <w:lastRenderedPageBreak/>
        <w:t>Footnotes</w:t>
      </w:r>
    </w:p>
    <w:p w14:paraId="58DD2F68"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Institutional review board statement: </w:t>
      </w:r>
      <w:r w:rsidRPr="00B10C5F">
        <w:rPr>
          <w:rFonts w:ascii="Book Antiqua" w:eastAsia="Book Antiqua" w:hAnsi="Book Antiqua" w:cs="Book Antiqua"/>
          <w:color w:val="000000"/>
        </w:rPr>
        <w:t>This study was approved by the institutional review board of the Fujian Provincial Hospital</w:t>
      </w:r>
    </w:p>
    <w:p w14:paraId="38709581" w14:textId="77777777" w:rsidR="00A77B3E" w:rsidRPr="00B10C5F" w:rsidRDefault="00A77B3E" w:rsidP="00B10C5F">
      <w:pPr>
        <w:adjustRightInd w:val="0"/>
        <w:snapToGrid w:val="0"/>
        <w:spacing w:line="360" w:lineRule="auto"/>
        <w:jc w:val="both"/>
        <w:rPr>
          <w:rFonts w:ascii="Book Antiqua" w:hAnsi="Book Antiqua"/>
        </w:rPr>
      </w:pPr>
    </w:p>
    <w:p w14:paraId="52243ED8"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Informed consent statement: </w:t>
      </w:r>
      <w:r w:rsidRPr="00B10C5F">
        <w:rPr>
          <w:rFonts w:ascii="Book Antiqua" w:eastAsia="Book Antiqua" w:hAnsi="Book Antiqua" w:cs="Book Antiqua"/>
          <w:color w:val="000000"/>
        </w:rPr>
        <w:t>All involved persons provided written or verbal informed consent prior to study inclusion.</w:t>
      </w:r>
    </w:p>
    <w:p w14:paraId="538BBB29" w14:textId="77777777" w:rsidR="00A77B3E" w:rsidRPr="00B10C5F" w:rsidRDefault="00A77B3E" w:rsidP="00B10C5F">
      <w:pPr>
        <w:adjustRightInd w:val="0"/>
        <w:snapToGrid w:val="0"/>
        <w:spacing w:line="360" w:lineRule="auto"/>
        <w:jc w:val="both"/>
        <w:rPr>
          <w:rFonts w:ascii="Book Antiqua" w:hAnsi="Book Antiqua"/>
        </w:rPr>
      </w:pPr>
    </w:p>
    <w:p w14:paraId="3297F3CE"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Conflict-of-interest statement: </w:t>
      </w:r>
      <w:r w:rsidRPr="00B10C5F">
        <w:rPr>
          <w:rFonts w:ascii="Book Antiqua" w:eastAsia="Book Antiqua" w:hAnsi="Book Antiqua" w:cs="Book Antiqua"/>
          <w:color w:val="000000"/>
        </w:rPr>
        <w:t xml:space="preserve">No benefits in any form have been received or will be received from a commercial party related directly or indirectly to the subject of this article. </w:t>
      </w:r>
    </w:p>
    <w:p w14:paraId="0A70EC7F" w14:textId="77777777" w:rsidR="00A77B3E" w:rsidRPr="00B10C5F" w:rsidRDefault="00A77B3E" w:rsidP="00B10C5F">
      <w:pPr>
        <w:adjustRightInd w:val="0"/>
        <w:snapToGrid w:val="0"/>
        <w:spacing w:line="360" w:lineRule="auto"/>
        <w:jc w:val="both"/>
        <w:rPr>
          <w:rFonts w:ascii="Book Antiqua" w:hAnsi="Book Antiqua"/>
        </w:rPr>
      </w:pPr>
    </w:p>
    <w:p w14:paraId="292D82A1" w14:textId="7AF143E9"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Data sharing statement: </w:t>
      </w:r>
      <w:r w:rsidRPr="00B10C5F">
        <w:rPr>
          <w:rFonts w:ascii="Book Antiqua" w:eastAsia="Book Antiqua" w:hAnsi="Book Antiqua" w:cs="Book Antiqua"/>
          <w:color w:val="000000"/>
        </w:rPr>
        <w:t xml:space="preserve">Technical appendix, statistical code, and dataset available from the corresponding author at </w:t>
      </w:r>
      <w:hyperlink r:id="rId14" w:history="1">
        <w:r w:rsidRPr="00B10C5F">
          <w:rPr>
            <w:rFonts w:ascii="Book Antiqua" w:eastAsia="Book Antiqua" w:hAnsi="Book Antiqua" w:cs="Book Antiqua"/>
            <w:color w:val="000000"/>
            <w:u w:color="0000FF"/>
          </w:rPr>
          <w:t>yanmaolin74@163.com</w:t>
        </w:r>
      </w:hyperlink>
      <w:r w:rsidR="001024C4" w:rsidRPr="00B10C5F">
        <w:rPr>
          <w:rFonts w:ascii="Book Antiqua" w:eastAsia="Book Antiqua" w:hAnsi="Book Antiqua" w:cs="Book Antiqua"/>
          <w:color w:val="000000"/>
          <w:u w:color="0000FF"/>
        </w:rPr>
        <w:t>.</w:t>
      </w:r>
    </w:p>
    <w:p w14:paraId="00BC477A" w14:textId="77777777" w:rsidR="00A77B3E" w:rsidRPr="00B10C5F" w:rsidRDefault="00A77B3E" w:rsidP="00B10C5F">
      <w:pPr>
        <w:adjustRightInd w:val="0"/>
        <w:snapToGrid w:val="0"/>
        <w:spacing w:line="360" w:lineRule="auto"/>
        <w:jc w:val="both"/>
        <w:rPr>
          <w:rFonts w:ascii="Book Antiqua" w:hAnsi="Book Antiqua"/>
        </w:rPr>
      </w:pPr>
    </w:p>
    <w:p w14:paraId="520ECC1D"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Open-Access: </w:t>
      </w:r>
      <w:r w:rsidRPr="00B10C5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0C5F">
        <w:rPr>
          <w:rFonts w:ascii="Book Antiqua" w:eastAsia="Book Antiqua" w:hAnsi="Book Antiqua" w:cs="Book Antiqua"/>
          <w:color w:val="000000"/>
        </w:rPr>
        <w:t>NonCommercial</w:t>
      </w:r>
      <w:proofErr w:type="spellEnd"/>
      <w:r w:rsidRPr="00B10C5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B9689A" w14:textId="77777777" w:rsidR="00A77B3E" w:rsidRPr="00B10C5F" w:rsidRDefault="00A77B3E" w:rsidP="00B10C5F">
      <w:pPr>
        <w:adjustRightInd w:val="0"/>
        <w:snapToGrid w:val="0"/>
        <w:spacing w:line="360" w:lineRule="auto"/>
        <w:jc w:val="both"/>
        <w:rPr>
          <w:rFonts w:ascii="Book Antiqua" w:hAnsi="Book Antiqua"/>
        </w:rPr>
      </w:pPr>
    </w:p>
    <w:p w14:paraId="0FEEA8C0" w14:textId="20A0A119"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 xml:space="preserve">Manuscript source: </w:t>
      </w:r>
      <w:r w:rsidRPr="00B10C5F">
        <w:rPr>
          <w:rFonts w:ascii="Book Antiqua" w:eastAsia="Book Antiqua" w:hAnsi="Book Antiqua" w:cs="Book Antiqua"/>
          <w:color w:val="000000"/>
        </w:rPr>
        <w:t xml:space="preserve">Unsolicited </w:t>
      </w:r>
      <w:r w:rsidR="001024C4" w:rsidRPr="00B10C5F">
        <w:rPr>
          <w:rFonts w:ascii="Book Antiqua" w:eastAsia="Book Antiqua" w:hAnsi="Book Antiqua" w:cs="Book Antiqua"/>
          <w:color w:val="000000"/>
        </w:rPr>
        <w:t>manuscript</w:t>
      </w:r>
    </w:p>
    <w:p w14:paraId="51CC8831" w14:textId="77777777" w:rsidR="00A77B3E" w:rsidRPr="00B10C5F" w:rsidRDefault="00A77B3E" w:rsidP="00B10C5F">
      <w:pPr>
        <w:adjustRightInd w:val="0"/>
        <w:snapToGrid w:val="0"/>
        <w:spacing w:line="360" w:lineRule="auto"/>
        <w:jc w:val="both"/>
        <w:rPr>
          <w:rFonts w:ascii="Book Antiqua" w:hAnsi="Book Antiqua"/>
        </w:rPr>
      </w:pPr>
    </w:p>
    <w:p w14:paraId="2E91B3B7"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 xml:space="preserve">Peer-review started: </w:t>
      </w:r>
      <w:r w:rsidRPr="00B10C5F">
        <w:rPr>
          <w:rFonts w:ascii="Book Antiqua" w:eastAsia="Book Antiqua" w:hAnsi="Book Antiqua" w:cs="Book Antiqua"/>
          <w:color w:val="000000"/>
        </w:rPr>
        <w:t>December 5, 2020</w:t>
      </w:r>
    </w:p>
    <w:p w14:paraId="26A84D3F"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 xml:space="preserve">First decision: </w:t>
      </w:r>
      <w:r w:rsidRPr="00B10C5F">
        <w:rPr>
          <w:rFonts w:ascii="Book Antiqua" w:eastAsia="Book Antiqua" w:hAnsi="Book Antiqua" w:cs="Book Antiqua"/>
          <w:color w:val="000000"/>
        </w:rPr>
        <w:t>December 21, 2020</w:t>
      </w:r>
    </w:p>
    <w:p w14:paraId="21A83498"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 xml:space="preserve">Article in press: </w:t>
      </w:r>
    </w:p>
    <w:p w14:paraId="4CF6625E" w14:textId="77777777" w:rsidR="00A77B3E" w:rsidRPr="00B10C5F" w:rsidRDefault="00A77B3E" w:rsidP="00B10C5F">
      <w:pPr>
        <w:adjustRightInd w:val="0"/>
        <w:snapToGrid w:val="0"/>
        <w:spacing w:line="360" w:lineRule="auto"/>
        <w:jc w:val="both"/>
        <w:rPr>
          <w:rFonts w:ascii="Book Antiqua" w:hAnsi="Book Antiqua"/>
        </w:rPr>
      </w:pPr>
    </w:p>
    <w:p w14:paraId="23287E00" w14:textId="6163BA9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 xml:space="preserve">Specialty type: </w:t>
      </w:r>
      <w:r w:rsidRPr="00B10C5F">
        <w:rPr>
          <w:rFonts w:ascii="Book Antiqua" w:eastAsia="Book Antiqua" w:hAnsi="Book Antiqua" w:cs="Book Antiqua"/>
          <w:color w:val="000000"/>
        </w:rPr>
        <w:t xml:space="preserve">Gastroenterology and </w:t>
      </w:r>
      <w:r w:rsidR="001024C4" w:rsidRPr="00B10C5F">
        <w:rPr>
          <w:rFonts w:ascii="Book Antiqua" w:eastAsia="Book Antiqua" w:hAnsi="Book Antiqua" w:cs="Book Antiqua"/>
          <w:color w:val="000000"/>
        </w:rPr>
        <w:t>hepatology</w:t>
      </w:r>
    </w:p>
    <w:p w14:paraId="63769546"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lastRenderedPageBreak/>
        <w:t xml:space="preserve">Country/Territory of origin: </w:t>
      </w:r>
      <w:r w:rsidRPr="00B10C5F">
        <w:rPr>
          <w:rFonts w:ascii="Book Antiqua" w:eastAsia="Book Antiqua" w:hAnsi="Book Antiqua" w:cs="Book Antiqua"/>
          <w:color w:val="000000"/>
        </w:rPr>
        <w:t>China</w:t>
      </w:r>
    </w:p>
    <w:p w14:paraId="57497F03"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Peer-review report’s scientific quality classification</w:t>
      </w:r>
    </w:p>
    <w:p w14:paraId="399A751A"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Grade A (Excellent): 0</w:t>
      </w:r>
    </w:p>
    <w:p w14:paraId="758B2635"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Grade B (Very good): 0</w:t>
      </w:r>
    </w:p>
    <w:p w14:paraId="7645AF32"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Grade C (Good): C, C</w:t>
      </w:r>
    </w:p>
    <w:p w14:paraId="6A5EF963"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Grade D (Fair): 0</w:t>
      </w:r>
    </w:p>
    <w:p w14:paraId="58923E47"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Grade E (Poor): 0</w:t>
      </w:r>
    </w:p>
    <w:p w14:paraId="7D6C1889" w14:textId="77777777" w:rsidR="00A77B3E" w:rsidRPr="00B10C5F" w:rsidRDefault="00A77B3E" w:rsidP="00B10C5F">
      <w:pPr>
        <w:adjustRightInd w:val="0"/>
        <w:snapToGrid w:val="0"/>
        <w:spacing w:line="360" w:lineRule="auto"/>
        <w:jc w:val="both"/>
        <w:rPr>
          <w:rFonts w:ascii="Book Antiqua" w:hAnsi="Book Antiqua"/>
        </w:rPr>
      </w:pPr>
    </w:p>
    <w:p w14:paraId="66D5DBB6" w14:textId="0D08FA3B" w:rsidR="00EA4D5A" w:rsidRPr="00B10C5F" w:rsidRDefault="008E015A" w:rsidP="00B10C5F">
      <w:pPr>
        <w:adjustRightInd w:val="0"/>
        <w:snapToGrid w:val="0"/>
        <w:spacing w:line="360" w:lineRule="auto"/>
        <w:jc w:val="both"/>
        <w:rPr>
          <w:rFonts w:ascii="Book Antiqua" w:eastAsia="Book Antiqua" w:hAnsi="Book Antiqua" w:cs="Book Antiqua"/>
          <w:b/>
          <w:color w:val="000000"/>
        </w:rPr>
        <w:sectPr w:rsidR="00EA4D5A" w:rsidRPr="00B10C5F" w:rsidSect="00720AF0">
          <w:type w:val="continuous"/>
          <w:pgSz w:w="12240" w:h="15840"/>
          <w:pgMar w:top="1440" w:right="1800" w:bottom="1440" w:left="1800" w:header="720" w:footer="720" w:gutter="0"/>
          <w:cols w:space="720"/>
          <w:docGrid w:linePitch="360"/>
        </w:sectPr>
      </w:pPr>
      <w:r w:rsidRPr="00B10C5F">
        <w:rPr>
          <w:rFonts w:ascii="Book Antiqua" w:eastAsia="Book Antiqua" w:hAnsi="Book Antiqua" w:cs="Book Antiqua"/>
          <w:b/>
          <w:color w:val="000000"/>
        </w:rPr>
        <w:t xml:space="preserve">P-Reviewer: </w:t>
      </w:r>
      <w:proofErr w:type="spellStart"/>
      <w:r w:rsidRPr="00B10C5F">
        <w:rPr>
          <w:rFonts w:ascii="Book Antiqua" w:eastAsia="Book Antiqua" w:hAnsi="Book Antiqua" w:cs="Book Antiqua"/>
          <w:color w:val="000000"/>
        </w:rPr>
        <w:t>Aktekin</w:t>
      </w:r>
      <w:proofErr w:type="spellEnd"/>
      <w:r w:rsidRPr="00B10C5F">
        <w:rPr>
          <w:rFonts w:ascii="Book Antiqua" w:eastAsia="Book Antiqua" w:hAnsi="Book Antiqua" w:cs="Book Antiqua"/>
          <w:color w:val="000000"/>
        </w:rPr>
        <w:t xml:space="preserve"> A, Ruiz-</w:t>
      </w:r>
      <w:proofErr w:type="spellStart"/>
      <w:r w:rsidRPr="00B10C5F">
        <w:rPr>
          <w:rFonts w:ascii="Book Antiqua" w:eastAsia="Book Antiqua" w:hAnsi="Book Antiqua" w:cs="Book Antiqua"/>
          <w:color w:val="000000"/>
        </w:rPr>
        <w:t>Jasbon</w:t>
      </w:r>
      <w:proofErr w:type="spellEnd"/>
      <w:r w:rsidRPr="00B10C5F">
        <w:rPr>
          <w:rFonts w:ascii="Book Antiqua" w:eastAsia="Book Antiqua" w:hAnsi="Book Antiqua" w:cs="Book Antiqua"/>
          <w:color w:val="000000"/>
        </w:rPr>
        <w:t xml:space="preserve"> F</w:t>
      </w:r>
      <w:r w:rsidRPr="00B10C5F">
        <w:rPr>
          <w:rFonts w:ascii="Book Antiqua" w:eastAsia="Book Antiqua" w:hAnsi="Book Antiqua" w:cs="Book Antiqua"/>
          <w:b/>
          <w:color w:val="000000"/>
        </w:rPr>
        <w:t xml:space="preserve"> S-Editor: </w:t>
      </w:r>
      <w:r w:rsidR="001024C4" w:rsidRPr="00B10C5F">
        <w:rPr>
          <w:rFonts w:ascii="Book Antiqua" w:eastAsia="Book Antiqua" w:hAnsi="Book Antiqua" w:cs="Book Antiqua"/>
          <w:color w:val="000000"/>
        </w:rPr>
        <w:t>Zhang L</w:t>
      </w:r>
      <w:r w:rsidRPr="00B10C5F">
        <w:rPr>
          <w:rFonts w:ascii="Book Antiqua" w:eastAsia="Book Antiqua" w:hAnsi="Book Antiqua" w:cs="Book Antiqua"/>
          <w:b/>
          <w:color w:val="000000"/>
        </w:rPr>
        <w:t xml:space="preserve"> L-Editor:</w:t>
      </w:r>
      <w:r w:rsidR="004F4CE6">
        <w:rPr>
          <w:rFonts w:ascii="Book Antiqua" w:eastAsia="Book Antiqua" w:hAnsi="Book Antiqua" w:cs="Book Antiqua"/>
          <w:b/>
          <w:color w:val="000000"/>
        </w:rPr>
        <w:t xml:space="preserve"> </w:t>
      </w:r>
      <w:r w:rsidR="004F4CE6">
        <w:rPr>
          <w:rFonts w:ascii="Book Antiqua" w:eastAsia="Book Antiqua" w:hAnsi="Book Antiqua" w:cs="Book Antiqua"/>
          <w:bCs/>
          <w:color w:val="000000"/>
        </w:rPr>
        <w:t>Filipodia</w:t>
      </w:r>
      <w:r w:rsidRPr="00B10C5F">
        <w:rPr>
          <w:rFonts w:ascii="Book Antiqua" w:eastAsia="Book Antiqua" w:hAnsi="Book Antiqua" w:cs="Book Antiqua"/>
          <w:b/>
          <w:color w:val="000000"/>
        </w:rPr>
        <w:t xml:space="preserve"> P-Editor: </w:t>
      </w:r>
    </w:p>
    <w:p w14:paraId="36F62B71" w14:textId="0154E298" w:rsidR="00A77B3E" w:rsidRPr="00B10C5F" w:rsidRDefault="001024C4" w:rsidP="00B10C5F">
      <w:pPr>
        <w:adjustRightInd w:val="0"/>
        <w:snapToGrid w:val="0"/>
        <w:spacing w:line="360" w:lineRule="auto"/>
        <w:jc w:val="both"/>
        <w:rPr>
          <w:rFonts w:ascii="Book Antiqua" w:hAnsi="Book Antiqua"/>
          <w:b/>
          <w:bCs/>
        </w:rPr>
      </w:pPr>
      <w:r w:rsidRPr="00B10C5F">
        <w:rPr>
          <w:rStyle w:val="dxflgroupboxcaptionoffice2010blue"/>
          <w:rFonts w:ascii="Book Antiqua" w:hAnsi="Book Antiqua"/>
          <w:b/>
          <w:bCs/>
        </w:rPr>
        <w:br w:type="page"/>
      </w:r>
      <w:r w:rsidR="00D35ED0" w:rsidRPr="00B10C5F">
        <w:rPr>
          <w:rStyle w:val="dxflgroupboxcaptionoffice2010blue"/>
          <w:rFonts w:ascii="Book Antiqua" w:hAnsi="Book Antiqua"/>
          <w:b/>
          <w:bCs/>
        </w:rPr>
        <w:lastRenderedPageBreak/>
        <w:t>Figure Legends</w:t>
      </w:r>
    </w:p>
    <w:p w14:paraId="152CB587" w14:textId="2B569056" w:rsidR="00D35ED0" w:rsidRPr="00B10C5F" w:rsidRDefault="00D35ED0" w:rsidP="00B10C5F">
      <w:pPr>
        <w:adjustRightInd w:val="0"/>
        <w:snapToGrid w:val="0"/>
        <w:spacing w:line="360" w:lineRule="auto"/>
        <w:jc w:val="both"/>
        <w:rPr>
          <w:rFonts w:ascii="Book Antiqua" w:hAnsi="Book Antiqua"/>
          <w:b/>
          <w:bCs/>
        </w:rPr>
      </w:pPr>
      <w:r w:rsidRPr="00B10C5F">
        <w:rPr>
          <w:rFonts w:ascii="Book Antiqua" w:hAnsi="Book Antiqua"/>
          <w:noProof/>
          <w:lang w:eastAsia="zh-CN"/>
        </w:rPr>
        <w:drawing>
          <wp:inline distT="0" distB="0" distL="0" distR="0" wp14:anchorId="32EC1087" wp14:editId="025522D2">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43275"/>
                    </a:xfrm>
                    <a:prstGeom prst="rect">
                      <a:avLst/>
                    </a:prstGeom>
                  </pic:spPr>
                </pic:pic>
              </a:graphicData>
            </a:graphic>
          </wp:inline>
        </w:drawing>
      </w:r>
    </w:p>
    <w:p w14:paraId="0287F0FB" w14:textId="2C7456B1" w:rsidR="001024C4" w:rsidRDefault="00EA4D5A" w:rsidP="00B10C5F">
      <w:pPr>
        <w:adjustRightInd w:val="0"/>
        <w:snapToGrid w:val="0"/>
        <w:spacing w:line="360" w:lineRule="auto"/>
        <w:jc w:val="both"/>
        <w:rPr>
          <w:rFonts w:ascii="Book Antiqua" w:hAnsi="Book Antiqua"/>
          <w:lang w:eastAsia="zh-CN"/>
        </w:rPr>
      </w:pPr>
      <w:r w:rsidRPr="00B10C5F">
        <w:rPr>
          <w:rFonts w:ascii="Book Antiqua" w:hAnsi="Book Antiqua"/>
          <w:b/>
          <w:bCs/>
        </w:rPr>
        <w:t>Figure 1</w:t>
      </w:r>
      <w:r w:rsidR="00D35ED0" w:rsidRPr="00B10C5F">
        <w:rPr>
          <w:rFonts w:ascii="Book Antiqua" w:hAnsi="Book Antiqua"/>
          <w:b/>
          <w:bCs/>
        </w:rPr>
        <w:t xml:space="preserve"> </w:t>
      </w:r>
      <w:r w:rsidRPr="00B10C5F">
        <w:rPr>
          <w:rFonts w:ascii="Book Antiqua" w:hAnsi="Book Antiqua"/>
          <w:b/>
          <w:bCs/>
        </w:rPr>
        <w:t>Stone size of patients</w:t>
      </w:r>
      <w:r w:rsidR="00D35ED0" w:rsidRPr="00B10C5F">
        <w:rPr>
          <w:rFonts w:ascii="Book Antiqua" w:hAnsi="Book Antiqua"/>
          <w:b/>
          <w:bCs/>
          <w:lang w:eastAsia="zh-CN"/>
        </w:rPr>
        <w:t>.</w:t>
      </w:r>
      <w:r w:rsidR="00977660">
        <w:rPr>
          <w:rFonts w:ascii="Book Antiqua" w:hAnsi="Book Antiqua"/>
          <w:b/>
          <w:bCs/>
          <w:lang w:eastAsia="zh-CN"/>
        </w:rPr>
        <w:t xml:space="preserve"> </w:t>
      </w:r>
      <w:r w:rsidR="00977660" w:rsidRPr="00977660">
        <w:rPr>
          <w:rFonts w:ascii="Book Antiqua" w:hAnsi="Book Antiqua"/>
          <w:lang w:eastAsia="zh-CN"/>
        </w:rPr>
        <w:t xml:space="preserve">CBD: </w:t>
      </w:r>
      <w:r w:rsidR="00977660">
        <w:rPr>
          <w:rFonts w:ascii="Book Antiqua" w:hAnsi="Book Antiqua"/>
          <w:lang w:eastAsia="zh-CN"/>
        </w:rPr>
        <w:t xml:space="preserve">Common bile duct. </w:t>
      </w:r>
    </w:p>
    <w:p w14:paraId="30858EC7" w14:textId="7393A759" w:rsidR="00977660" w:rsidRPr="00B10C5F" w:rsidRDefault="00977660" w:rsidP="00B10C5F">
      <w:pPr>
        <w:adjustRightInd w:val="0"/>
        <w:snapToGrid w:val="0"/>
        <w:spacing w:line="360" w:lineRule="auto"/>
        <w:jc w:val="both"/>
        <w:rPr>
          <w:rFonts w:ascii="Book Antiqua" w:hAnsi="Book Antiqua"/>
          <w:b/>
          <w:bCs/>
          <w:lang w:eastAsia="zh-CN"/>
        </w:rPr>
        <w:sectPr w:rsidR="00977660" w:rsidRPr="00B10C5F" w:rsidSect="00720AF0">
          <w:type w:val="continuous"/>
          <w:pgSz w:w="12240" w:h="15840"/>
          <w:pgMar w:top="1440" w:right="1800" w:bottom="1440" w:left="1800" w:header="720" w:footer="720" w:gutter="0"/>
          <w:cols w:space="720"/>
          <w:docGrid w:linePitch="360"/>
        </w:sectPr>
      </w:pPr>
    </w:p>
    <w:p w14:paraId="2FBD92C9" w14:textId="77777777" w:rsidR="00D35ED0" w:rsidRPr="00B10C5F" w:rsidRDefault="00D35ED0" w:rsidP="00B10C5F">
      <w:pPr>
        <w:adjustRightInd w:val="0"/>
        <w:snapToGrid w:val="0"/>
        <w:spacing w:line="360" w:lineRule="auto"/>
        <w:jc w:val="both"/>
        <w:rPr>
          <w:rFonts w:ascii="Book Antiqua" w:hAnsi="Book Antiqua"/>
          <w:b/>
          <w:bCs/>
        </w:rPr>
      </w:pPr>
      <w:r w:rsidRPr="00B10C5F">
        <w:rPr>
          <w:rFonts w:ascii="Book Antiqua" w:hAnsi="Book Antiqua"/>
          <w:b/>
          <w:bCs/>
        </w:rPr>
        <w:lastRenderedPageBreak/>
        <w:t>Table 1 Baseline clinical characteristics of patients with common bile duct stones</w:t>
      </w:r>
    </w:p>
    <w:tbl>
      <w:tblPr>
        <w:tblStyle w:val="1"/>
        <w:tblW w:w="1343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276"/>
        <w:gridCol w:w="1843"/>
        <w:gridCol w:w="1842"/>
        <w:gridCol w:w="1418"/>
        <w:gridCol w:w="2410"/>
        <w:gridCol w:w="1984"/>
        <w:gridCol w:w="1276"/>
      </w:tblGrid>
      <w:tr w:rsidR="00D35ED0" w:rsidRPr="00B10C5F" w14:paraId="51809190" w14:textId="77777777" w:rsidTr="00127D06">
        <w:trPr>
          <w:trHeight w:val="497"/>
        </w:trPr>
        <w:tc>
          <w:tcPr>
            <w:tcW w:w="2660" w:type="dxa"/>
            <w:gridSpan w:val="2"/>
            <w:tcBorders>
              <w:bottom w:val="single" w:sz="4" w:space="0" w:color="auto"/>
            </w:tcBorders>
          </w:tcPr>
          <w:p w14:paraId="16B4F9DF" w14:textId="77777777" w:rsidR="00D35ED0" w:rsidRPr="00B10C5F" w:rsidRDefault="00D35ED0" w:rsidP="00B10C5F">
            <w:pPr>
              <w:adjustRightInd w:val="0"/>
              <w:snapToGrid w:val="0"/>
              <w:ind w:firstLineChars="0" w:firstLine="0"/>
              <w:rPr>
                <w:rFonts w:ascii="Book Antiqua" w:hAnsi="Book Antiqua"/>
                <w:color w:val="000000" w:themeColor="text1"/>
              </w:rPr>
            </w:pPr>
            <w:bookmarkStart w:id="26" w:name="_Hlk40699603"/>
          </w:p>
        </w:tc>
        <w:tc>
          <w:tcPr>
            <w:tcW w:w="5103" w:type="dxa"/>
            <w:gridSpan w:val="3"/>
            <w:tcBorders>
              <w:bottom w:val="single" w:sz="4" w:space="0" w:color="auto"/>
            </w:tcBorders>
          </w:tcPr>
          <w:p w14:paraId="37E2931D" w14:textId="43CC2FE4" w:rsidR="00D35ED0" w:rsidRPr="00B10C5F" w:rsidRDefault="00D35ED0" w:rsidP="00B10C5F">
            <w:pPr>
              <w:adjustRightInd w:val="0"/>
              <w:snapToGrid w:val="0"/>
              <w:ind w:firstLineChars="0" w:firstLine="0"/>
              <w:rPr>
                <w:rFonts w:ascii="Book Antiqua" w:hAnsi="Book Antiqua"/>
                <w:b/>
                <w:bCs/>
                <w:color w:val="000000" w:themeColor="text1"/>
              </w:rPr>
            </w:pPr>
            <w:r w:rsidRPr="00B10C5F">
              <w:rPr>
                <w:rFonts w:ascii="Book Antiqua" w:hAnsi="Book Antiqua"/>
                <w:b/>
                <w:bCs/>
                <w:color w:val="000000" w:themeColor="text1"/>
              </w:rPr>
              <w:t>Before matching</w:t>
            </w:r>
            <w:r w:rsidR="004E2D87">
              <w:rPr>
                <w:rFonts w:ascii="Book Antiqua" w:hAnsi="Book Antiqua"/>
                <w:b/>
                <w:bCs/>
                <w:color w:val="000000" w:themeColor="text1"/>
              </w:rPr>
              <w:t>,</w:t>
            </w:r>
            <w:r w:rsidRPr="00B10C5F">
              <w:rPr>
                <w:rFonts w:ascii="Book Antiqua" w:hAnsi="Book Antiqua"/>
                <w:b/>
                <w:bCs/>
                <w:color w:val="000000" w:themeColor="text1"/>
              </w:rPr>
              <w:t xml:space="preserve"> </w:t>
            </w:r>
            <w:r w:rsidRPr="00B10C5F">
              <w:rPr>
                <w:rFonts w:ascii="Book Antiqua" w:hAnsi="Book Antiqua"/>
                <w:b/>
                <w:bCs/>
                <w:i/>
                <w:iCs/>
                <w:color w:val="000000" w:themeColor="text1"/>
              </w:rPr>
              <w:t xml:space="preserve">n </w:t>
            </w:r>
            <w:r w:rsidRPr="00B10C5F">
              <w:rPr>
                <w:rFonts w:ascii="Book Antiqua" w:hAnsi="Book Antiqua"/>
                <w:b/>
                <w:bCs/>
                <w:color w:val="000000" w:themeColor="text1"/>
              </w:rPr>
              <w:t>= 257</w:t>
            </w:r>
          </w:p>
        </w:tc>
        <w:tc>
          <w:tcPr>
            <w:tcW w:w="5670" w:type="dxa"/>
            <w:gridSpan w:val="3"/>
            <w:tcBorders>
              <w:bottom w:val="single" w:sz="4" w:space="0" w:color="auto"/>
            </w:tcBorders>
          </w:tcPr>
          <w:p w14:paraId="0A3294BB" w14:textId="0030144C"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color w:val="000000" w:themeColor="text1"/>
              </w:rPr>
              <w:t>After matching</w:t>
            </w:r>
            <w:r w:rsidR="004E2D87">
              <w:rPr>
                <w:rFonts w:ascii="Book Antiqua" w:hAnsi="Book Antiqua"/>
                <w:b/>
                <w:bCs/>
                <w:color w:val="000000" w:themeColor="text1"/>
              </w:rPr>
              <w:t>,</w:t>
            </w:r>
            <w:r w:rsidRPr="00B10C5F">
              <w:rPr>
                <w:rFonts w:ascii="Book Antiqua" w:hAnsi="Book Antiqua"/>
                <w:b/>
                <w:bCs/>
                <w:color w:val="000000" w:themeColor="text1"/>
              </w:rPr>
              <w:t xml:space="preserve"> </w:t>
            </w:r>
            <w:r w:rsidRPr="00B10C5F">
              <w:rPr>
                <w:rFonts w:ascii="Book Antiqua" w:hAnsi="Book Antiqua"/>
                <w:b/>
                <w:bCs/>
                <w:i/>
                <w:iCs/>
                <w:color w:val="000000" w:themeColor="text1"/>
              </w:rPr>
              <w:t>n</w:t>
            </w:r>
            <w:r w:rsidRPr="00B10C5F">
              <w:rPr>
                <w:rFonts w:ascii="Book Antiqua" w:hAnsi="Book Antiqua"/>
                <w:b/>
                <w:bCs/>
                <w:color w:val="000000" w:themeColor="text1"/>
              </w:rPr>
              <w:t xml:space="preserve"> = 184</w:t>
            </w:r>
          </w:p>
        </w:tc>
      </w:tr>
      <w:tr w:rsidR="00127D06" w:rsidRPr="00B10C5F" w14:paraId="03C8B314" w14:textId="77777777" w:rsidTr="00127D06">
        <w:trPr>
          <w:trHeight w:val="505"/>
        </w:trPr>
        <w:tc>
          <w:tcPr>
            <w:tcW w:w="2660" w:type="dxa"/>
            <w:gridSpan w:val="2"/>
            <w:tcBorders>
              <w:top w:val="single" w:sz="4" w:space="0" w:color="auto"/>
              <w:bottom w:val="single" w:sz="4" w:space="0" w:color="auto"/>
            </w:tcBorders>
          </w:tcPr>
          <w:p w14:paraId="4C5D3407"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1843" w:type="dxa"/>
            <w:tcBorders>
              <w:top w:val="single" w:sz="4" w:space="0" w:color="auto"/>
              <w:bottom w:val="single" w:sz="4" w:space="0" w:color="auto"/>
            </w:tcBorders>
          </w:tcPr>
          <w:p w14:paraId="2EA1CDE8" w14:textId="18001E2F" w:rsidR="00D35ED0" w:rsidRPr="00B10C5F" w:rsidRDefault="00D35ED0" w:rsidP="00B10C5F">
            <w:pPr>
              <w:adjustRightInd w:val="0"/>
              <w:snapToGrid w:val="0"/>
              <w:ind w:firstLineChars="0" w:firstLine="0"/>
              <w:rPr>
                <w:rFonts w:ascii="Book Antiqua" w:hAnsi="Book Antiqua"/>
                <w:b/>
                <w:bCs/>
                <w:color w:val="000000" w:themeColor="text1"/>
              </w:rPr>
            </w:pPr>
            <w:r w:rsidRPr="00B10C5F">
              <w:rPr>
                <w:rFonts w:ascii="Book Antiqua" w:hAnsi="Book Antiqua"/>
                <w:b/>
                <w:bCs/>
                <w:color w:val="000000" w:themeColor="text1"/>
              </w:rPr>
              <w:t>Large CBD</w:t>
            </w:r>
            <w:r w:rsidR="004E2D87">
              <w:rPr>
                <w:rFonts w:ascii="Book Antiqua" w:hAnsi="Book Antiqua"/>
                <w:b/>
                <w:bCs/>
                <w:color w:val="000000" w:themeColor="text1"/>
              </w:rPr>
              <w:t xml:space="preserve">, </w:t>
            </w:r>
            <w:r w:rsidRPr="00B10C5F">
              <w:rPr>
                <w:rFonts w:ascii="Book Antiqua" w:hAnsi="Book Antiqua"/>
                <w:b/>
                <w:bCs/>
                <w:i/>
                <w:iCs/>
                <w:color w:val="000000" w:themeColor="text1"/>
              </w:rPr>
              <w:t>n</w:t>
            </w:r>
            <w:r w:rsidRPr="00B10C5F">
              <w:rPr>
                <w:rFonts w:ascii="Book Antiqua" w:hAnsi="Book Antiqua"/>
                <w:b/>
                <w:bCs/>
                <w:color w:val="000000" w:themeColor="text1"/>
              </w:rPr>
              <w:t xml:space="preserve"> = 146</w:t>
            </w:r>
          </w:p>
        </w:tc>
        <w:tc>
          <w:tcPr>
            <w:tcW w:w="1842" w:type="dxa"/>
            <w:tcBorders>
              <w:top w:val="single" w:sz="4" w:space="0" w:color="auto"/>
              <w:bottom w:val="single" w:sz="4" w:space="0" w:color="auto"/>
            </w:tcBorders>
          </w:tcPr>
          <w:p w14:paraId="1064FD33" w14:textId="31A830E9" w:rsidR="00D35ED0" w:rsidRPr="00B10C5F" w:rsidRDefault="00D35ED0" w:rsidP="00B10C5F">
            <w:pPr>
              <w:adjustRightInd w:val="0"/>
              <w:snapToGrid w:val="0"/>
              <w:ind w:firstLineChars="0" w:firstLine="0"/>
              <w:rPr>
                <w:rFonts w:ascii="Book Antiqua" w:hAnsi="Book Antiqua"/>
                <w:b/>
                <w:bCs/>
                <w:color w:val="000000" w:themeColor="text1"/>
              </w:rPr>
            </w:pPr>
            <w:r w:rsidRPr="00B10C5F">
              <w:rPr>
                <w:rFonts w:ascii="Book Antiqua" w:hAnsi="Book Antiqua"/>
                <w:b/>
                <w:bCs/>
                <w:color w:val="000000" w:themeColor="text1"/>
              </w:rPr>
              <w:t>Small CBD</w:t>
            </w:r>
            <w:r w:rsidR="004E2D87">
              <w:rPr>
                <w:rFonts w:ascii="Book Antiqua" w:hAnsi="Book Antiqua"/>
                <w:b/>
                <w:bCs/>
                <w:color w:val="000000" w:themeColor="text1"/>
              </w:rPr>
              <w:t>,</w:t>
            </w:r>
            <w:r w:rsidRPr="00B10C5F">
              <w:rPr>
                <w:rFonts w:ascii="Book Antiqua" w:hAnsi="Book Antiqua"/>
                <w:b/>
                <w:bCs/>
                <w:color w:val="000000" w:themeColor="text1"/>
              </w:rPr>
              <w:t xml:space="preserve"> </w:t>
            </w:r>
            <w:r w:rsidRPr="00B10C5F">
              <w:rPr>
                <w:rFonts w:ascii="Book Antiqua" w:hAnsi="Book Antiqua"/>
                <w:b/>
                <w:bCs/>
                <w:i/>
                <w:iCs/>
                <w:color w:val="000000" w:themeColor="text1"/>
              </w:rPr>
              <w:t>n</w:t>
            </w:r>
            <w:r w:rsidRPr="00B10C5F">
              <w:rPr>
                <w:rFonts w:ascii="Book Antiqua" w:hAnsi="Book Antiqua"/>
                <w:b/>
                <w:bCs/>
                <w:color w:val="000000" w:themeColor="text1"/>
              </w:rPr>
              <w:t xml:space="preserve"> = 111</w:t>
            </w:r>
          </w:p>
        </w:tc>
        <w:tc>
          <w:tcPr>
            <w:tcW w:w="1418" w:type="dxa"/>
            <w:tcBorders>
              <w:top w:val="single" w:sz="4" w:space="0" w:color="auto"/>
              <w:bottom w:val="single" w:sz="4" w:space="0" w:color="auto"/>
            </w:tcBorders>
          </w:tcPr>
          <w:p w14:paraId="0D523EAF" w14:textId="366AFF24" w:rsidR="00D35ED0" w:rsidRPr="00B10C5F" w:rsidRDefault="00D35ED0" w:rsidP="00B10C5F">
            <w:pPr>
              <w:adjustRightInd w:val="0"/>
              <w:snapToGrid w:val="0"/>
              <w:ind w:firstLineChars="0" w:firstLine="0"/>
              <w:rPr>
                <w:rFonts w:ascii="Book Antiqua" w:hAnsi="Book Antiqua"/>
                <w:b/>
                <w:bCs/>
                <w:i/>
                <w:iCs/>
                <w:color w:val="000000" w:themeColor="text1"/>
              </w:rPr>
            </w:pPr>
            <w:r w:rsidRPr="00B10C5F">
              <w:rPr>
                <w:rFonts w:ascii="Book Antiqua" w:hAnsi="Book Antiqua"/>
                <w:b/>
                <w:bCs/>
                <w:i/>
                <w:iCs/>
                <w:color w:val="000000" w:themeColor="text1"/>
              </w:rPr>
              <w:t>P</w:t>
            </w:r>
            <w:r w:rsidR="001024C4" w:rsidRPr="00B10C5F">
              <w:rPr>
                <w:rFonts w:ascii="Book Antiqua" w:hAnsi="Book Antiqua"/>
                <w:b/>
                <w:bCs/>
                <w:i/>
                <w:iCs/>
                <w:color w:val="000000" w:themeColor="text1"/>
              </w:rPr>
              <w:t xml:space="preserve"> </w:t>
            </w:r>
            <w:r w:rsidR="001024C4" w:rsidRPr="00B10C5F">
              <w:rPr>
                <w:rFonts w:ascii="Book Antiqua" w:hAnsi="Book Antiqua"/>
                <w:b/>
                <w:bCs/>
                <w:iCs/>
                <w:color w:val="000000" w:themeColor="text1"/>
              </w:rPr>
              <w:t>value</w:t>
            </w:r>
          </w:p>
        </w:tc>
        <w:tc>
          <w:tcPr>
            <w:tcW w:w="2410" w:type="dxa"/>
            <w:tcBorders>
              <w:top w:val="single" w:sz="4" w:space="0" w:color="auto"/>
              <w:bottom w:val="single" w:sz="4" w:space="0" w:color="auto"/>
            </w:tcBorders>
          </w:tcPr>
          <w:p w14:paraId="273B790C" w14:textId="097CDCD4" w:rsidR="00D35ED0" w:rsidRPr="00B10C5F" w:rsidRDefault="00D35ED0" w:rsidP="00B10C5F">
            <w:pPr>
              <w:adjustRightInd w:val="0"/>
              <w:snapToGrid w:val="0"/>
              <w:ind w:firstLineChars="0" w:firstLine="0"/>
              <w:rPr>
                <w:rFonts w:ascii="Book Antiqua" w:hAnsi="Book Antiqua"/>
                <w:b/>
                <w:bCs/>
                <w:color w:val="000000" w:themeColor="text1"/>
              </w:rPr>
            </w:pPr>
            <w:r w:rsidRPr="00B10C5F">
              <w:rPr>
                <w:rFonts w:ascii="Book Antiqua" w:hAnsi="Book Antiqua"/>
                <w:b/>
                <w:bCs/>
                <w:color w:val="000000" w:themeColor="text1"/>
              </w:rPr>
              <w:t>Large CBD</w:t>
            </w:r>
            <w:r w:rsidR="004E2D87">
              <w:rPr>
                <w:rFonts w:ascii="Book Antiqua" w:hAnsi="Book Antiqua"/>
                <w:b/>
                <w:bCs/>
                <w:color w:val="000000" w:themeColor="text1"/>
              </w:rPr>
              <w:t>,</w:t>
            </w:r>
            <w:r w:rsidRPr="00B10C5F">
              <w:rPr>
                <w:rFonts w:ascii="Book Antiqua" w:hAnsi="Book Antiqua"/>
                <w:b/>
                <w:bCs/>
                <w:color w:val="000000" w:themeColor="text1"/>
              </w:rPr>
              <w:t xml:space="preserve"> </w:t>
            </w:r>
            <w:r w:rsidRPr="00B10C5F">
              <w:rPr>
                <w:rFonts w:ascii="Book Antiqua" w:hAnsi="Book Antiqua"/>
                <w:b/>
                <w:bCs/>
                <w:i/>
                <w:iCs/>
                <w:color w:val="000000" w:themeColor="text1"/>
              </w:rPr>
              <w:t>n</w:t>
            </w:r>
            <w:r w:rsidRPr="00B10C5F">
              <w:rPr>
                <w:rFonts w:ascii="Book Antiqua" w:hAnsi="Book Antiqua"/>
                <w:b/>
                <w:bCs/>
                <w:color w:val="000000" w:themeColor="text1"/>
              </w:rPr>
              <w:t xml:space="preserve"> = 92</w:t>
            </w:r>
          </w:p>
        </w:tc>
        <w:tc>
          <w:tcPr>
            <w:tcW w:w="1984" w:type="dxa"/>
            <w:tcBorders>
              <w:top w:val="single" w:sz="4" w:space="0" w:color="auto"/>
              <w:bottom w:val="single" w:sz="4" w:space="0" w:color="auto"/>
            </w:tcBorders>
          </w:tcPr>
          <w:p w14:paraId="2F9F810D" w14:textId="59B445A2" w:rsidR="00D35ED0" w:rsidRPr="00B10C5F" w:rsidRDefault="00D35ED0" w:rsidP="00B10C5F">
            <w:pPr>
              <w:adjustRightInd w:val="0"/>
              <w:snapToGrid w:val="0"/>
              <w:ind w:firstLineChars="0" w:firstLine="0"/>
              <w:rPr>
                <w:rFonts w:ascii="Book Antiqua" w:hAnsi="Book Antiqua"/>
                <w:b/>
                <w:bCs/>
                <w:color w:val="000000" w:themeColor="text1"/>
              </w:rPr>
            </w:pPr>
            <w:r w:rsidRPr="00B10C5F">
              <w:rPr>
                <w:rFonts w:ascii="Book Antiqua" w:hAnsi="Book Antiqua"/>
                <w:b/>
                <w:bCs/>
                <w:color w:val="000000" w:themeColor="text1"/>
              </w:rPr>
              <w:t>Small CBD</w:t>
            </w:r>
            <w:r w:rsidR="004E2D87">
              <w:rPr>
                <w:rFonts w:ascii="Book Antiqua" w:hAnsi="Book Antiqua"/>
                <w:b/>
                <w:bCs/>
                <w:color w:val="000000" w:themeColor="text1"/>
              </w:rPr>
              <w:t>,</w:t>
            </w:r>
            <w:r w:rsidRPr="00B10C5F">
              <w:rPr>
                <w:rFonts w:ascii="Book Antiqua" w:hAnsi="Book Antiqua"/>
                <w:b/>
                <w:bCs/>
                <w:color w:val="000000" w:themeColor="text1"/>
              </w:rPr>
              <w:t xml:space="preserve"> </w:t>
            </w:r>
            <w:r w:rsidRPr="00B10C5F">
              <w:rPr>
                <w:rFonts w:ascii="Book Antiqua" w:hAnsi="Book Antiqua"/>
                <w:b/>
                <w:bCs/>
                <w:i/>
                <w:iCs/>
                <w:color w:val="000000" w:themeColor="text1"/>
              </w:rPr>
              <w:t>n</w:t>
            </w:r>
            <w:r w:rsidRPr="00B10C5F">
              <w:rPr>
                <w:rFonts w:ascii="Book Antiqua" w:hAnsi="Book Antiqua"/>
                <w:b/>
                <w:bCs/>
                <w:color w:val="000000" w:themeColor="text1"/>
              </w:rPr>
              <w:t xml:space="preserve"> = 92</w:t>
            </w:r>
          </w:p>
        </w:tc>
        <w:tc>
          <w:tcPr>
            <w:tcW w:w="1276" w:type="dxa"/>
            <w:tcBorders>
              <w:top w:val="single" w:sz="4" w:space="0" w:color="auto"/>
              <w:bottom w:val="single" w:sz="4" w:space="0" w:color="auto"/>
            </w:tcBorders>
          </w:tcPr>
          <w:p w14:paraId="15269256" w14:textId="704B6FB9" w:rsidR="00D35ED0" w:rsidRPr="00B10C5F" w:rsidRDefault="00D35ED0" w:rsidP="00B10C5F">
            <w:pPr>
              <w:adjustRightInd w:val="0"/>
              <w:snapToGrid w:val="0"/>
              <w:ind w:firstLineChars="0" w:firstLine="0"/>
              <w:rPr>
                <w:rFonts w:ascii="Book Antiqua" w:hAnsi="Book Antiqua"/>
                <w:b/>
                <w:bCs/>
                <w:i/>
                <w:iCs/>
              </w:rPr>
            </w:pPr>
            <w:r w:rsidRPr="00B10C5F">
              <w:rPr>
                <w:rFonts w:ascii="Book Antiqua" w:hAnsi="Book Antiqua"/>
                <w:b/>
                <w:bCs/>
                <w:i/>
                <w:iCs/>
              </w:rPr>
              <w:t>P</w:t>
            </w:r>
            <w:r w:rsidR="001024C4" w:rsidRPr="00B10C5F">
              <w:rPr>
                <w:rFonts w:ascii="Book Antiqua" w:hAnsi="Book Antiqua"/>
                <w:b/>
                <w:bCs/>
                <w:iCs/>
                <w:color w:val="000000" w:themeColor="text1"/>
              </w:rPr>
              <w:t xml:space="preserve"> value</w:t>
            </w:r>
          </w:p>
        </w:tc>
      </w:tr>
      <w:tr w:rsidR="001024C4" w:rsidRPr="00B10C5F" w14:paraId="18716BCC" w14:textId="77777777" w:rsidTr="00127D06">
        <w:trPr>
          <w:trHeight w:val="388"/>
        </w:trPr>
        <w:tc>
          <w:tcPr>
            <w:tcW w:w="1384" w:type="dxa"/>
            <w:tcBorders>
              <w:top w:val="single" w:sz="4" w:space="0" w:color="auto"/>
            </w:tcBorders>
          </w:tcPr>
          <w:p w14:paraId="458AC4D5"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Gender</w:t>
            </w:r>
          </w:p>
        </w:tc>
        <w:tc>
          <w:tcPr>
            <w:tcW w:w="1276" w:type="dxa"/>
            <w:tcBorders>
              <w:top w:val="single" w:sz="4" w:space="0" w:color="auto"/>
            </w:tcBorders>
          </w:tcPr>
          <w:p w14:paraId="77ADEC8D" w14:textId="324B814D" w:rsidR="00D35ED0" w:rsidRPr="00B10C5F" w:rsidRDefault="001024C4"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Male</w:t>
            </w:r>
          </w:p>
        </w:tc>
        <w:tc>
          <w:tcPr>
            <w:tcW w:w="1843" w:type="dxa"/>
            <w:tcBorders>
              <w:top w:val="single" w:sz="4" w:space="0" w:color="auto"/>
            </w:tcBorders>
          </w:tcPr>
          <w:p w14:paraId="6658E0DF"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57</w:t>
            </w:r>
          </w:p>
        </w:tc>
        <w:tc>
          <w:tcPr>
            <w:tcW w:w="1842" w:type="dxa"/>
            <w:tcBorders>
              <w:top w:val="single" w:sz="4" w:space="0" w:color="auto"/>
            </w:tcBorders>
          </w:tcPr>
          <w:p w14:paraId="7AB7AA64"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50</w:t>
            </w:r>
          </w:p>
        </w:tc>
        <w:tc>
          <w:tcPr>
            <w:tcW w:w="1418" w:type="dxa"/>
            <w:tcBorders>
              <w:top w:val="single" w:sz="4" w:space="0" w:color="auto"/>
            </w:tcBorders>
          </w:tcPr>
          <w:p w14:paraId="7310C74B"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0.333</w:t>
            </w:r>
          </w:p>
        </w:tc>
        <w:tc>
          <w:tcPr>
            <w:tcW w:w="2410" w:type="dxa"/>
            <w:tcBorders>
              <w:top w:val="single" w:sz="4" w:space="0" w:color="auto"/>
            </w:tcBorders>
          </w:tcPr>
          <w:p w14:paraId="65BA89F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34</w:t>
            </w:r>
          </w:p>
        </w:tc>
        <w:tc>
          <w:tcPr>
            <w:tcW w:w="1984" w:type="dxa"/>
            <w:tcBorders>
              <w:top w:val="single" w:sz="4" w:space="0" w:color="auto"/>
            </w:tcBorders>
          </w:tcPr>
          <w:p w14:paraId="404AF2F0"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37</w:t>
            </w:r>
          </w:p>
        </w:tc>
        <w:tc>
          <w:tcPr>
            <w:tcW w:w="1276" w:type="dxa"/>
            <w:tcBorders>
              <w:top w:val="single" w:sz="4" w:space="0" w:color="auto"/>
            </w:tcBorders>
          </w:tcPr>
          <w:p w14:paraId="1656BBDB"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0.650</w:t>
            </w:r>
          </w:p>
        </w:tc>
      </w:tr>
      <w:tr w:rsidR="001024C4" w:rsidRPr="00B10C5F" w14:paraId="161A78C7" w14:textId="77777777" w:rsidTr="0003271D">
        <w:trPr>
          <w:trHeight w:val="557"/>
        </w:trPr>
        <w:tc>
          <w:tcPr>
            <w:tcW w:w="1384" w:type="dxa"/>
          </w:tcPr>
          <w:p w14:paraId="52411D2B"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1276" w:type="dxa"/>
          </w:tcPr>
          <w:p w14:paraId="2708CCF8" w14:textId="0D225305" w:rsidR="00D35ED0" w:rsidRPr="00B10C5F" w:rsidRDefault="001024C4"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Female</w:t>
            </w:r>
          </w:p>
        </w:tc>
        <w:tc>
          <w:tcPr>
            <w:tcW w:w="1843" w:type="dxa"/>
          </w:tcPr>
          <w:p w14:paraId="17AC1179"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89</w:t>
            </w:r>
          </w:p>
        </w:tc>
        <w:tc>
          <w:tcPr>
            <w:tcW w:w="1842" w:type="dxa"/>
          </w:tcPr>
          <w:p w14:paraId="3F271E75"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61</w:t>
            </w:r>
          </w:p>
        </w:tc>
        <w:tc>
          <w:tcPr>
            <w:tcW w:w="1418" w:type="dxa"/>
          </w:tcPr>
          <w:p w14:paraId="5AC83DA0"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2410" w:type="dxa"/>
          </w:tcPr>
          <w:p w14:paraId="4EF11C2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58</w:t>
            </w:r>
          </w:p>
        </w:tc>
        <w:tc>
          <w:tcPr>
            <w:tcW w:w="1984" w:type="dxa"/>
          </w:tcPr>
          <w:p w14:paraId="12D12B9B"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55</w:t>
            </w:r>
          </w:p>
        </w:tc>
        <w:tc>
          <w:tcPr>
            <w:tcW w:w="1276" w:type="dxa"/>
          </w:tcPr>
          <w:p w14:paraId="7D829852" w14:textId="77777777" w:rsidR="00D35ED0" w:rsidRPr="00B10C5F" w:rsidRDefault="00D35ED0" w:rsidP="00B10C5F">
            <w:pPr>
              <w:adjustRightInd w:val="0"/>
              <w:snapToGrid w:val="0"/>
              <w:ind w:firstLineChars="0" w:firstLine="0"/>
              <w:rPr>
                <w:rFonts w:ascii="Book Antiqua" w:hAnsi="Book Antiqua"/>
              </w:rPr>
            </w:pPr>
          </w:p>
        </w:tc>
      </w:tr>
      <w:tr w:rsidR="00127D06" w:rsidRPr="00B10C5F" w14:paraId="020AF257" w14:textId="77777777" w:rsidTr="00127D06">
        <w:trPr>
          <w:trHeight w:val="538"/>
        </w:trPr>
        <w:tc>
          <w:tcPr>
            <w:tcW w:w="2660" w:type="dxa"/>
            <w:gridSpan w:val="2"/>
          </w:tcPr>
          <w:p w14:paraId="394A42C1" w14:textId="7DA804E5"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 xml:space="preserve">Age </w:t>
            </w:r>
            <w:r w:rsidR="002B70C3">
              <w:rPr>
                <w:rFonts w:ascii="Book Antiqua" w:hAnsi="Book Antiqua"/>
                <w:color w:val="000000" w:themeColor="text1"/>
              </w:rPr>
              <w:t xml:space="preserve">in </w:t>
            </w:r>
            <w:proofErr w:type="spellStart"/>
            <w:r w:rsidRPr="00B10C5F">
              <w:rPr>
                <w:rFonts w:ascii="Book Antiqua" w:hAnsi="Book Antiqua"/>
                <w:color w:val="000000" w:themeColor="text1"/>
              </w:rPr>
              <w:t>y</w:t>
            </w:r>
            <w:r w:rsidR="007E4434" w:rsidRPr="00B10C5F">
              <w:rPr>
                <w:rFonts w:ascii="Book Antiqua" w:hAnsi="Book Antiqua"/>
                <w:color w:val="000000" w:themeColor="text1"/>
              </w:rPr>
              <w:t>r</w:t>
            </w:r>
            <w:proofErr w:type="spellEnd"/>
          </w:p>
        </w:tc>
        <w:tc>
          <w:tcPr>
            <w:tcW w:w="1843" w:type="dxa"/>
          </w:tcPr>
          <w:p w14:paraId="35BE26AE" w14:textId="0A1AB218"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60.2 ± 14.6</w:t>
            </w:r>
          </w:p>
        </w:tc>
        <w:tc>
          <w:tcPr>
            <w:tcW w:w="1842" w:type="dxa"/>
          </w:tcPr>
          <w:p w14:paraId="5ADEAFA9"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57.6 ± 12.4</w:t>
            </w:r>
          </w:p>
        </w:tc>
        <w:tc>
          <w:tcPr>
            <w:tcW w:w="1418" w:type="dxa"/>
          </w:tcPr>
          <w:p w14:paraId="2C05C70E"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0.138</w:t>
            </w:r>
          </w:p>
        </w:tc>
        <w:tc>
          <w:tcPr>
            <w:tcW w:w="2410" w:type="dxa"/>
          </w:tcPr>
          <w:p w14:paraId="74B223B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59.3 ± 15.3</w:t>
            </w:r>
          </w:p>
        </w:tc>
        <w:tc>
          <w:tcPr>
            <w:tcW w:w="1984" w:type="dxa"/>
          </w:tcPr>
          <w:p w14:paraId="71106C0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57.7 ± 12.1</w:t>
            </w:r>
          </w:p>
        </w:tc>
        <w:tc>
          <w:tcPr>
            <w:tcW w:w="1276" w:type="dxa"/>
          </w:tcPr>
          <w:p w14:paraId="1E0D5F3A"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0.443</w:t>
            </w:r>
          </w:p>
        </w:tc>
      </w:tr>
      <w:tr w:rsidR="00127D06" w:rsidRPr="00B10C5F" w14:paraId="595830E2" w14:textId="77777777" w:rsidTr="00127D06">
        <w:trPr>
          <w:trHeight w:val="535"/>
        </w:trPr>
        <w:tc>
          <w:tcPr>
            <w:tcW w:w="2660" w:type="dxa"/>
            <w:gridSpan w:val="2"/>
          </w:tcPr>
          <w:p w14:paraId="78FFA4E8" w14:textId="3336EE29" w:rsidR="00D35ED0" w:rsidRPr="00B10C5F" w:rsidRDefault="00D35ED0" w:rsidP="00B10C5F">
            <w:pPr>
              <w:adjustRightInd w:val="0"/>
              <w:snapToGrid w:val="0"/>
              <w:ind w:firstLineChars="0" w:firstLine="0"/>
              <w:rPr>
                <w:rFonts w:ascii="Book Antiqua" w:hAnsi="Book Antiqua"/>
                <w:color w:val="000000" w:themeColor="text1"/>
              </w:rPr>
            </w:pPr>
            <w:proofErr w:type="spellStart"/>
            <w:r w:rsidRPr="00B10C5F">
              <w:rPr>
                <w:rFonts w:ascii="Book Antiqua" w:hAnsi="Book Antiqua"/>
                <w:color w:val="000000" w:themeColor="text1"/>
              </w:rPr>
              <w:t>TB</w:t>
            </w:r>
            <w:r w:rsidR="005722AE" w:rsidRPr="00B10C5F">
              <w:rPr>
                <w:rFonts w:ascii="Book Antiqua" w:hAnsi="Book Antiqua"/>
                <w:color w:val="000000" w:themeColor="text1"/>
              </w:rPr>
              <w:t>il</w:t>
            </w:r>
            <w:proofErr w:type="spellEnd"/>
            <w:r w:rsidRPr="00B10C5F">
              <w:rPr>
                <w:rFonts w:ascii="Book Antiqua" w:hAnsi="Book Antiqua"/>
                <w:color w:val="000000" w:themeColor="text1"/>
              </w:rPr>
              <w:t xml:space="preserve"> </w:t>
            </w:r>
            <w:r w:rsidR="002B70C3">
              <w:rPr>
                <w:rFonts w:ascii="Book Antiqua" w:hAnsi="Book Antiqua"/>
                <w:color w:val="000000" w:themeColor="text1"/>
              </w:rPr>
              <w:t xml:space="preserve">in </w:t>
            </w:r>
            <w:proofErr w:type="spellStart"/>
            <w:r w:rsidRPr="00B10C5F">
              <w:rPr>
                <w:rFonts w:ascii="Book Antiqua" w:hAnsi="Book Antiqua"/>
                <w:color w:val="000000" w:themeColor="text1"/>
              </w:rPr>
              <w:t>μmol</w:t>
            </w:r>
            <w:proofErr w:type="spellEnd"/>
            <w:r w:rsidRPr="00B10C5F">
              <w:rPr>
                <w:rFonts w:ascii="Book Antiqua" w:hAnsi="Book Antiqua"/>
                <w:color w:val="000000" w:themeColor="text1"/>
              </w:rPr>
              <w:t>/L</w:t>
            </w:r>
          </w:p>
        </w:tc>
        <w:tc>
          <w:tcPr>
            <w:tcW w:w="1843" w:type="dxa"/>
          </w:tcPr>
          <w:p w14:paraId="0266460F"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13.6 (1.6-34.02)</w:t>
            </w:r>
          </w:p>
        </w:tc>
        <w:tc>
          <w:tcPr>
            <w:tcW w:w="1842" w:type="dxa"/>
          </w:tcPr>
          <w:p w14:paraId="289A558A"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15.6 (4.1-33.7)</w:t>
            </w:r>
          </w:p>
        </w:tc>
        <w:tc>
          <w:tcPr>
            <w:tcW w:w="1418" w:type="dxa"/>
          </w:tcPr>
          <w:p w14:paraId="43D0496E"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0.227</w:t>
            </w:r>
          </w:p>
        </w:tc>
        <w:tc>
          <w:tcPr>
            <w:tcW w:w="2410" w:type="dxa"/>
          </w:tcPr>
          <w:p w14:paraId="289DD794"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12.7 (2.1-34.02)</w:t>
            </w:r>
          </w:p>
        </w:tc>
        <w:tc>
          <w:tcPr>
            <w:tcW w:w="1984" w:type="dxa"/>
          </w:tcPr>
          <w:p w14:paraId="4A6421B5"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13.5 (4.15-33.7)</w:t>
            </w:r>
          </w:p>
        </w:tc>
        <w:tc>
          <w:tcPr>
            <w:tcW w:w="1276" w:type="dxa"/>
          </w:tcPr>
          <w:p w14:paraId="7E6DE78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0.39</w:t>
            </w:r>
          </w:p>
        </w:tc>
      </w:tr>
      <w:tr w:rsidR="00127D06" w:rsidRPr="00B10C5F" w14:paraId="40E1D580" w14:textId="77777777" w:rsidTr="00127D06">
        <w:trPr>
          <w:trHeight w:val="535"/>
        </w:trPr>
        <w:tc>
          <w:tcPr>
            <w:tcW w:w="2660" w:type="dxa"/>
            <w:gridSpan w:val="2"/>
          </w:tcPr>
          <w:p w14:paraId="27583E45" w14:textId="17A5CCF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 xml:space="preserve">ALT </w:t>
            </w:r>
            <w:r w:rsidR="002B70C3">
              <w:rPr>
                <w:rFonts w:ascii="Book Antiqua" w:hAnsi="Book Antiqua"/>
                <w:color w:val="000000" w:themeColor="text1"/>
              </w:rPr>
              <w:t xml:space="preserve">in </w:t>
            </w:r>
            <w:r w:rsidRPr="00B10C5F">
              <w:rPr>
                <w:rFonts w:ascii="Book Antiqua" w:hAnsi="Book Antiqua"/>
                <w:color w:val="000000" w:themeColor="text1"/>
              </w:rPr>
              <w:t>U/L</w:t>
            </w:r>
          </w:p>
        </w:tc>
        <w:tc>
          <w:tcPr>
            <w:tcW w:w="1843" w:type="dxa"/>
          </w:tcPr>
          <w:p w14:paraId="7F59B3AE"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48.5 (7-609)</w:t>
            </w:r>
          </w:p>
        </w:tc>
        <w:tc>
          <w:tcPr>
            <w:tcW w:w="1842" w:type="dxa"/>
          </w:tcPr>
          <w:p w14:paraId="2F4F1984"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43 (6-626)</w:t>
            </w:r>
          </w:p>
        </w:tc>
        <w:tc>
          <w:tcPr>
            <w:tcW w:w="1418" w:type="dxa"/>
          </w:tcPr>
          <w:p w14:paraId="0892A7CF"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0.364</w:t>
            </w:r>
          </w:p>
        </w:tc>
        <w:tc>
          <w:tcPr>
            <w:tcW w:w="2410" w:type="dxa"/>
          </w:tcPr>
          <w:p w14:paraId="7D3C754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33 (7-609)</w:t>
            </w:r>
          </w:p>
        </w:tc>
        <w:tc>
          <w:tcPr>
            <w:tcW w:w="1984" w:type="dxa"/>
          </w:tcPr>
          <w:p w14:paraId="136C372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51 (6-626)</w:t>
            </w:r>
          </w:p>
        </w:tc>
        <w:tc>
          <w:tcPr>
            <w:tcW w:w="1276" w:type="dxa"/>
          </w:tcPr>
          <w:p w14:paraId="398BBD1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0.152</w:t>
            </w:r>
          </w:p>
        </w:tc>
      </w:tr>
      <w:tr w:rsidR="00127D06" w:rsidRPr="00B10C5F" w14:paraId="5C30DE6D" w14:textId="77777777" w:rsidTr="00127D06">
        <w:trPr>
          <w:trHeight w:val="535"/>
        </w:trPr>
        <w:tc>
          <w:tcPr>
            <w:tcW w:w="2660" w:type="dxa"/>
            <w:gridSpan w:val="2"/>
          </w:tcPr>
          <w:p w14:paraId="32C8678B" w14:textId="0AC6C20A"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 xml:space="preserve">AST </w:t>
            </w:r>
            <w:r w:rsidR="002B70C3">
              <w:rPr>
                <w:rFonts w:ascii="Book Antiqua" w:hAnsi="Book Antiqua"/>
                <w:color w:val="000000" w:themeColor="text1"/>
              </w:rPr>
              <w:t xml:space="preserve">in </w:t>
            </w:r>
            <w:r w:rsidRPr="00B10C5F">
              <w:rPr>
                <w:rFonts w:ascii="Book Antiqua" w:hAnsi="Book Antiqua"/>
                <w:color w:val="000000" w:themeColor="text1"/>
              </w:rPr>
              <w:t>U/L</w:t>
            </w:r>
          </w:p>
        </w:tc>
        <w:tc>
          <w:tcPr>
            <w:tcW w:w="1843" w:type="dxa"/>
          </w:tcPr>
          <w:p w14:paraId="4D390361"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30 (10-881)</w:t>
            </w:r>
          </w:p>
        </w:tc>
        <w:tc>
          <w:tcPr>
            <w:tcW w:w="1842" w:type="dxa"/>
          </w:tcPr>
          <w:p w14:paraId="1F438FCF"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23 (10-308)</w:t>
            </w:r>
          </w:p>
        </w:tc>
        <w:tc>
          <w:tcPr>
            <w:tcW w:w="1418" w:type="dxa"/>
          </w:tcPr>
          <w:p w14:paraId="7DF0BD6E"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0.012</w:t>
            </w:r>
          </w:p>
        </w:tc>
        <w:tc>
          <w:tcPr>
            <w:tcW w:w="2410" w:type="dxa"/>
          </w:tcPr>
          <w:p w14:paraId="17A01EDF"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26 (10-486)</w:t>
            </w:r>
          </w:p>
        </w:tc>
        <w:tc>
          <w:tcPr>
            <w:tcW w:w="1984" w:type="dxa"/>
          </w:tcPr>
          <w:p w14:paraId="74CD18DD"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24 (10-308.8)</w:t>
            </w:r>
          </w:p>
        </w:tc>
        <w:tc>
          <w:tcPr>
            <w:tcW w:w="1276" w:type="dxa"/>
          </w:tcPr>
          <w:p w14:paraId="7B3FDDE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0.729</w:t>
            </w:r>
          </w:p>
        </w:tc>
      </w:tr>
      <w:tr w:rsidR="00127D06" w:rsidRPr="00B10C5F" w14:paraId="75D33D2F" w14:textId="77777777" w:rsidTr="00127D06">
        <w:trPr>
          <w:trHeight w:val="535"/>
        </w:trPr>
        <w:tc>
          <w:tcPr>
            <w:tcW w:w="2660" w:type="dxa"/>
            <w:gridSpan w:val="2"/>
          </w:tcPr>
          <w:p w14:paraId="59D1F102" w14:textId="7E94E000"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 xml:space="preserve">GTP </w:t>
            </w:r>
            <w:r w:rsidR="002B70C3">
              <w:rPr>
                <w:rFonts w:ascii="Book Antiqua" w:hAnsi="Book Antiqua"/>
                <w:color w:val="000000" w:themeColor="text1"/>
              </w:rPr>
              <w:t xml:space="preserve">in </w:t>
            </w:r>
            <w:r w:rsidRPr="00B10C5F">
              <w:rPr>
                <w:rFonts w:ascii="Book Antiqua" w:hAnsi="Book Antiqua"/>
                <w:color w:val="000000" w:themeColor="text1"/>
              </w:rPr>
              <w:t>U/L</w:t>
            </w:r>
          </w:p>
        </w:tc>
        <w:tc>
          <w:tcPr>
            <w:tcW w:w="1843" w:type="dxa"/>
          </w:tcPr>
          <w:p w14:paraId="6617CBC4"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265 (11-2135)</w:t>
            </w:r>
          </w:p>
        </w:tc>
        <w:tc>
          <w:tcPr>
            <w:tcW w:w="1842" w:type="dxa"/>
          </w:tcPr>
          <w:p w14:paraId="39F10993"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171 (10-1539)</w:t>
            </w:r>
          </w:p>
        </w:tc>
        <w:tc>
          <w:tcPr>
            <w:tcW w:w="1418" w:type="dxa"/>
          </w:tcPr>
          <w:p w14:paraId="6F093167"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0.037</w:t>
            </w:r>
          </w:p>
        </w:tc>
        <w:tc>
          <w:tcPr>
            <w:tcW w:w="2410" w:type="dxa"/>
          </w:tcPr>
          <w:p w14:paraId="4EB936ED"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101 (11-1240)</w:t>
            </w:r>
          </w:p>
        </w:tc>
        <w:tc>
          <w:tcPr>
            <w:tcW w:w="1984" w:type="dxa"/>
          </w:tcPr>
          <w:p w14:paraId="327CFB57"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186.5 (10-1539)</w:t>
            </w:r>
          </w:p>
        </w:tc>
        <w:tc>
          <w:tcPr>
            <w:tcW w:w="1276" w:type="dxa"/>
          </w:tcPr>
          <w:p w14:paraId="7FC2F8E4"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0.076</w:t>
            </w:r>
          </w:p>
        </w:tc>
      </w:tr>
      <w:tr w:rsidR="001024C4" w:rsidRPr="00B10C5F" w14:paraId="0BDF1539" w14:textId="77777777" w:rsidTr="00127D06">
        <w:trPr>
          <w:trHeight w:val="377"/>
        </w:trPr>
        <w:tc>
          <w:tcPr>
            <w:tcW w:w="1384" w:type="dxa"/>
          </w:tcPr>
          <w:p w14:paraId="43DF25BE"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Number of stone</w:t>
            </w:r>
          </w:p>
        </w:tc>
        <w:tc>
          <w:tcPr>
            <w:tcW w:w="1276" w:type="dxa"/>
          </w:tcPr>
          <w:p w14:paraId="62B7B2A1" w14:textId="4BC1E3B1" w:rsidR="00D35ED0" w:rsidRPr="00B10C5F" w:rsidRDefault="001024C4"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Single</w:t>
            </w:r>
          </w:p>
        </w:tc>
        <w:tc>
          <w:tcPr>
            <w:tcW w:w="1843" w:type="dxa"/>
          </w:tcPr>
          <w:p w14:paraId="3C4CA4B4"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52</w:t>
            </w:r>
          </w:p>
        </w:tc>
        <w:tc>
          <w:tcPr>
            <w:tcW w:w="1842" w:type="dxa"/>
          </w:tcPr>
          <w:p w14:paraId="63575B8A"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40</w:t>
            </w:r>
          </w:p>
        </w:tc>
        <w:tc>
          <w:tcPr>
            <w:tcW w:w="1418" w:type="dxa"/>
          </w:tcPr>
          <w:p w14:paraId="295FA84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0.945</w:t>
            </w:r>
          </w:p>
        </w:tc>
        <w:tc>
          <w:tcPr>
            <w:tcW w:w="2410" w:type="dxa"/>
          </w:tcPr>
          <w:p w14:paraId="55C7A241"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34</w:t>
            </w:r>
          </w:p>
        </w:tc>
        <w:tc>
          <w:tcPr>
            <w:tcW w:w="1984" w:type="dxa"/>
          </w:tcPr>
          <w:p w14:paraId="66A8781E"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32</w:t>
            </w:r>
          </w:p>
        </w:tc>
        <w:tc>
          <w:tcPr>
            <w:tcW w:w="1276" w:type="dxa"/>
          </w:tcPr>
          <w:p w14:paraId="6815154D"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0.759</w:t>
            </w:r>
          </w:p>
        </w:tc>
      </w:tr>
      <w:tr w:rsidR="001024C4" w:rsidRPr="00B10C5F" w14:paraId="32D71A5B" w14:textId="77777777" w:rsidTr="00127D06">
        <w:trPr>
          <w:trHeight w:val="377"/>
        </w:trPr>
        <w:tc>
          <w:tcPr>
            <w:tcW w:w="1384" w:type="dxa"/>
          </w:tcPr>
          <w:p w14:paraId="083DF4EA"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1276" w:type="dxa"/>
          </w:tcPr>
          <w:p w14:paraId="4BE97A3E" w14:textId="4E44284F" w:rsidR="00D35ED0" w:rsidRPr="00B10C5F" w:rsidRDefault="001024C4"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Multiple</w:t>
            </w:r>
          </w:p>
        </w:tc>
        <w:tc>
          <w:tcPr>
            <w:tcW w:w="1843" w:type="dxa"/>
          </w:tcPr>
          <w:p w14:paraId="57037011"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94</w:t>
            </w:r>
          </w:p>
        </w:tc>
        <w:tc>
          <w:tcPr>
            <w:tcW w:w="1842" w:type="dxa"/>
          </w:tcPr>
          <w:p w14:paraId="39EF2A5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71</w:t>
            </w:r>
          </w:p>
        </w:tc>
        <w:tc>
          <w:tcPr>
            <w:tcW w:w="1418" w:type="dxa"/>
          </w:tcPr>
          <w:p w14:paraId="27376614"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2410" w:type="dxa"/>
          </w:tcPr>
          <w:p w14:paraId="1353E263"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58</w:t>
            </w:r>
          </w:p>
        </w:tc>
        <w:tc>
          <w:tcPr>
            <w:tcW w:w="1984" w:type="dxa"/>
          </w:tcPr>
          <w:p w14:paraId="1420B0A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60</w:t>
            </w:r>
          </w:p>
        </w:tc>
        <w:tc>
          <w:tcPr>
            <w:tcW w:w="1276" w:type="dxa"/>
          </w:tcPr>
          <w:p w14:paraId="4524E0F6" w14:textId="77777777" w:rsidR="00D35ED0" w:rsidRPr="00B10C5F" w:rsidRDefault="00D35ED0" w:rsidP="00B10C5F">
            <w:pPr>
              <w:adjustRightInd w:val="0"/>
              <w:snapToGrid w:val="0"/>
              <w:ind w:firstLineChars="0" w:firstLine="0"/>
              <w:rPr>
                <w:rFonts w:ascii="Book Antiqua" w:hAnsi="Book Antiqua"/>
              </w:rPr>
            </w:pPr>
          </w:p>
        </w:tc>
      </w:tr>
      <w:tr w:rsidR="001024C4" w:rsidRPr="00B10C5F" w14:paraId="5C3EB953" w14:textId="77777777" w:rsidTr="00127D06">
        <w:trPr>
          <w:trHeight w:val="535"/>
        </w:trPr>
        <w:tc>
          <w:tcPr>
            <w:tcW w:w="1384" w:type="dxa"/>
          </w:tcPr>
          <w:p w14:paraId="011AD880" w14:textId="49425A5D"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color w:val="000000" w:themeColor="text1"/>
              </w:rPr>
              <w:t xml:space="preserve">Diameter of stones </w:t>
            </w:r>
            <w:r w:rsidR="002B70C3">
              <w:rPr>
                <w:rFonts w:ascii="Book Antiqua" w:hAnsi="Book Antiqua"/>
                <w:color w:val="000000" w:themeColor="text1"/>
              </w:rPr>
              <w:t xml:space="preserve">in </w:t>
            </w:r>
            <w:r w:rsidRPr="00B10C5F">
              <w:rPr>
                <w:rFonts w:ascii="Book Antiqua" w:hAnsi="Book Antiqua"/>
                <w:color w:val="000000" w:themeColor="text1"/>
              </w:rPr>
              <w:t>cm</w:t>
            </w:r>
          </w:p>
        </w:tc>
        <w:tc>
          <w:tcPr>
            <w:tcW w:w="1276" w:type="dxa"/>
          </w:tcPr>
          <w:p w14:paraId="7DF045E4"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1843" w:type="dxa"/>
          </w:tcPr>
          <w:p w14:paraId="05B64028"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 (0.3-3.0)</w:t>
            </w:r>
          </w:p>
        </w:tc>
        <w:tc>
          <w:tcPr>
            <w:tcW w:w="1842" w:type="dxa"/>
          </w:tcPr>
          <w:p w14:paraId="3BC7F50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0.6 (0.2-2.0)</w:t>
            </w:r>
          </w:p>
        </w:tc>
        <w:tc>
          <w:tcPr>
            <w:tcW w:w="1418" w:type="dxa"/>
          </w:tcPr>
          <w:p w14:paraId="010F033B"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0.000</w:t>
            </w:r>
          </w:p>
        </w:tc>
        <w:tc>
          <w:tcPr>
            <w:tcW w:w="2410" w:type="dxa"/>
          </w:tcPr>
          <w:p w14:paraId="37FB961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 (0.3-2.5)</w:t>
            </w:r>
          </w:p>
        </w:tc>
        <w:tc>
          <w:tcPr>
            <w:tcW w:w="1984" w:type="dxa"/>
          </w:tcPr>
          <w:p w14:paraId="49B90DC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0.6 (0.2-1.7)</w:t>
            </w:r>
          </w:p>
        </w:tc>
        <w:tc>
          <w:tcPr>
            <w:tcW w:w="1276" w:type="dxa"/>
          </w:tcPr>
          <w:p w14:paraId="5B51628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0.000</w:t>
            </w:r>
          </w:p>
        </w:tc>
      </w:tr>
      <w:tr w:rsidR="001024C4" w:rsidRPr="00B10C5F" w14:paraId="33E836A6" w14:textId="77777777" w:rsidTr="00127D06">
        <w:trPr>
          <w:trHeight w:val="535"/>
        </w:trPr>
        <w:tc>
          <w:tcPr>
            <w:tcW w:w="1384" w:type="dxa"/>
          </w:tcPr>
          <w:p w14:paraId="6D5899E3" w14:textId="4D8E2308" w:rsidR="00D35ED0" w:rsidRPr="00B10C5F" w:rsidRDefault="00A07793" w:rsidP="00B10C5F">
            <w:pPr>
              <w:adjustRightInd w:val="0"/>
              <w:snapToGrid w:val="0"/>
              <w:ind w:firstLineChars="0" w:firstLine="0"/>
              <w:rPr>
                <w:rFonts w:ascii="Book Antiqua" w:hAnsi="Book Antiqua"/>
                <w:color w:val="000000" w:themeColor="text1"/>
              </w:rPr>
            </w:pPr>
            <w:r w:rsidRPr="00B10C5F">
              <w:rPr>
                <w:rFonts w:ascii="Book Antiqua" w:hAnsi="Book Antiqua"/>
              </w:rPr>
              <w:lastRenderedPageBreak/>
              <w:t>Hyp</w:t>
            </w:r>
            <w:r w:rsidR="001024C4" w:rsidRPr="00B10C5F">
              <w:rPr>
                <w:rFonts w:ascii="Book Antiqua" w:hAnsi="Book Antiqua"/>
              </w:rPr>
              <w:t>ertension</w:t>
            </w:r>
          </w:p>
        </w:tc>
        <w:tc>
          <w:tcPr>
            <w:tcW w:w="1276" w:type="dxa"/>
          </w:tcPr>
          <w:p w14:paraId="7B149984"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No</w:t>
            </w:r>
          </w:p>
        </w:tc>
        <w:tc>
          <w:tcPr>
            <w:tcW w:w="1843" w:type="dxa"/>
          </w:tcPr>
          <w:p w14:paraId="60524720"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116</w:t>
            </w:r>
          </w:p>
        </w:tc>
        <w:tc>
          <w:tcPr>
            <w:tcW w:w="1842" w:type="dxa"/>
          </w:tcPr>
          <w:p w14:paraId="4F7F7F4D"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77</w:t>
            </w:r>
          </w:p>
        </w:tc>
        <w:tc>
          <w:tcPr>
            <w:tcW w:w="1418" w:type="dxa"/>
          </w:tcPr>
          <w:p w14:paraId="69437D4B"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0.064</w:t>
            </w:r>
          </w:p>
        </w:tc>
        <w:tc>
          <w:tcPr>
            <w:tcW w:w="2410" w:type="dxa"/>
          </w:tcPr>
          <w:p w14:paraId="5D2A9BA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72</w:t>
            </w:r>
          </w:p>
        </w:tc>
        <w:tc>
          <w:tcPr>
            <w:tcW w:w="1984" w:type="dxa"/>
          </w:tcPr>
          <w:p w14:paraId="46A26E1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67</w:t>
            </w:r>
          </w:p>
        </w:tc>
        <w:tc>
          <w:tcPr>
            <w:tcW w:w="1276" w:type="dxa"/>
          </w:tcPr>
          <w:p w14:paraId="606593E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0.391</w:t>
            </w:r>
          </w:p>
        </w:tc>
      </w:tr>
      <w:tr w:rsidR="001024C4" w:rsidRPr="00B10C5F" w14:paraId="4CBB933D" w14:textId="77777777" w:rsidTr="00127D06">
        <w:trPr>
          <w:trHeight w:val="535"/>
        </w:trPr>
        <w:tc>
          <w:tcPr>
            <w:tcW w:w="1384" w:type="dxa"/>
          </w:tcPr>
          <w:p w14:paraId="6E855272"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1276" w:type="dxa"/>
          </w:tcPr>
          <w:p w14:paraId="0BB8DEF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Yes</w:t>
            </w:r>
          </w:p>
        </w:tc>
        <w:tc>
          <w:tcPr>
            <w:tcW w:w="1843" w:type="dxa"/>
          </w:tcPr>
          <w:p w14:paraId="4E4DA36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30</w:t>
            </w:r>
          </w:p>
        </w:tc>
        <w:tc>
          <w:tcPr>
            <w:tcW w:w="1842" w:type="dxa"/>
          </w:tcPr>
          <w:p w14:paraId="1381CCA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34</w:t>
            </w:r>
          </w:p>
        </w:tc>
        <w:tc>
          <w:tcPr>
            <w:tcW w:w="1418" w:type="dxa"/>
          </w:tcPr>
          <w:p w14:paraId="75950BA4"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2410" w:type="dxa"/>
          </w:tcPr>
          <w:p w14:paraId="71EC7EC6"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20</w:t>
            </w:r>
          </w:p>
        </w:tc>
        <w:tc>
          <w:tcPr>
            <w:tcW w:w="1984" w:type="dxa"/>
          </w:tcPr>
          <w:p w14:paraId="18C856DC"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25</w:t>
            </w:r>
          </w:p>
        </w:tc>
        <w:tc>
          <w:tcPr>
            <w:tcW w:w="1276" w:type="dxa"/>
          </w:tcPr>
          <w:p w14:paraId="58B9032C" w14:textId="77777777" w:rsidR="00D35ED0" w:rsidRPr="00B10C5F" w:rsidRDefault="00D35ED0" w:rsidP="00B10C5F">
            <w:pPr>
              <w:adjustRightInd w:val="0"/>
              <w:snapToGrid w:val="0"/>
              <w:ind w:firstLineChars="0" w:firstLine="0"/>
              <w:rPr>
                <w:rFonts w:ascii="Book Antiqua" w:hAnsi="Book Antiqua"/>
              </w:rPr>
            </w:pPr>
          </w:p>
        </w:tc>
      </w:tr>
      <w:tr w:rsidR="001024C4" w:rsidRPr="00B10C5F" w14:paraId="734FADF8" w14:textId="77777777" w:rsidTr="00127D06">
        <w:trPr>
          <w:trHeight w:val="535"/>
        </w:trPr>
        <w:tc>
          <w:tcPr>
            <w:tcW w:w="1384" w:type="dxa"/>
          </w:tcPr>
          <w:p w14:paraId="530C6659"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rPr>
              <w:t>Diabetes</w:t>
            </w:r>
          </w:p>
        </w:tc>
        <w:tc>
          <w:tcPr>
            <w:tcW w:w="1276" w:type="dxa"/>
          </w:tcPr>
          <w:p w14:paraId="1DBF4059"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No</w:t>
            </w:r>
          </w:p>
        </w:tc>
        <w:tc>
          <w:tcPr>
            <w:tcW w:w="1843" w:type="dxa"/>
          </w:tcPr>
          <w:p w14:paraId="4D144BE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132</w:t>
            </w:r>
          </w:p>
        </w:tc>
        <w:tc>
          <w:tcPr>
            <w:tcW w:w="1842" w:type="dxa"/>
          </w:tcPr>
          <w:p w14:paraId="1EB0D841"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97</w:t>
            </w:r>
          </w:p>
        </w:tc>
        <w:tc>
          <w:tcPr>
            <w:tcW w:w="1418" w:type="dxa"/>
          </w:tcPr>
          <w:p w14:paraId="0164E85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0.441</w:t>
            </w:r>
          </w:p>
        </w:tc>
        <w:tc>
          <w:tcPr>
            <w:tcW w:w="2410" w:type="dxa"/>
          </w:tcPr>
          <w:p w14:paraId="17322A53"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83</w:t>
            </w:r>
          </w:p>
        </w:tc>
        <w:tc>
          <w:tcPr>
            <w:tcW w:w="1984" w:type="dxa"/>
          </w:tcPr>
          <w:p w14:paraId="7A8E6806"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82</w:t>
            </w:r>
          </w:p>
        </w:tc>
        <w:tc>
          <w:tcPr>
            <w:tcW w:w="1276" w:type="dxa"/>
          </w:tcPr>
          <w:p w14:paraId="4439AA8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0.809</w:t>
            </w:r>
          </w:p>
        </w:tc>
      </w:tr>
      <w:tr w:rsidR="001024C4" w:rsidRPr="00B10C5F" w14:paraId="201C5588" w14:textId="77777777" w:rsidTr="00127D06">
        <w:trPr>
          <w:trHeight w:val="535"/>
        </w:trPr>
        <w:tc>
          <w:tcPr>
            <w:tcW w:w="1384" w:type="dxa"/>
          </w:tcPr>
          <w:p w14:paraId="52D1F462"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1276" w:type="dxa"/>
          </w:tcPr>
          <w:p w14:paraId="5B994604"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Yes</w:t>
            </w:r>
          </w:p>
        </w:tc>
        <w:tc>
          <w:tcPr>
            <w:tcW w:w="1843" w:type="dxa"/>
          </w:tcPr>
          <w:p w14:paraId="221FEF4E"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14</w:t>
            </w:r>
          </w:p>
        </w:tc>
        <w:tc>
          <w:tcPr>
            <w:tcW w:w="1842" w:type="dxa"/>
          </w:tcPr>
          <w:p w14:paraId="3E2C53BC"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14</w:t>
            </w:r>
          </w:p>
        </w:tc>
        <w:tc>
          <w:tcPr>
            <w:tcW w:w="1418" w:type="dxa"/>
          </w:tcPr>
          <w:p w14:paraId="45952951"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2410" w:type="dxa"/>
          </w:tcPr>
          <w:p w14:paraId="065ECFFC"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9</w:t>
            </w:r>
          </w:p>
        </w:tc>
        <w:tc>
          <w:tcPr>
            <w:tcW w:w="1984" w:type="dxa"/>
          </w:tcPr>
          <w:p w14:paraId="7E5DBBED"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10</w:t>
            </w:r>
          </w:p>
        </w:tc>
        <w:tc>
          <w:tcPr>
            <w:tcW w:w="1276" w:type="dxa"/>
          </w:tcPr>
          <w:p w14:paraId="6CFF7AF1" w14:textId="77777777" w:rsidR="00D35ED0" w:rsidRPr="00B10C5F" w:rsidRDefault="00D35ED0" w:rsidP="00B10C5F">
            <w:pPr>
              <w:adjustRightInd w:val="0"/>
              <w:snapToGrid w:val="0"/>
              <w:ind w:firstLineChars="0" w:firstLine="0"/>
              <w:rPr>
                <w:rFonts w:ascii="Book Antiqua" w:hAnsi="Book Antiqua"/>
              </w:rPr>
            </w:pPr>
          </w:p>
        </w:tc>
      </w:tr>
      <w:tr w:rsidR="001024C4" w:rsidRPr="00B10C5F" w14:paraId="1DEE821E" w14:textId="77777777" w:rsidTr="00127D06">
        <w:trPr>
          <w:trHeight w:val="535"/>
        </w:trPr>
        <w:tc>
          <w:tcPr>
            <w:tcW w:w="1384" w:type="dxa"/>
          </w:tcPr>
          <w:p w14:paraId="7A09FE1F"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rPr>
              <w:t>Heart disease</w:t>
            </w:r>
          </w:p>
        </w:tc>
        <w:tc>
          <w:tcPr>
            <w:tcW w:w="1276" w:type="dxa"/>
          </w:tcPr>
          <w:p w14:paraId="6C66E28C"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No</w:t>
            </w:r>
          </w:p>
        </w:tc>
        <w:tc>
          <w:tcPr>
            <w:tcW w:w="1843" w:type="dxa"/>
          </w:tcPr>
          <w:p w14:paraId="420DF54B"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134</w:t>
            </w:r>
          </w:p>
        </w:tc>
        <w:tc>
          <w:tcPr>
            <w:tcW w:w="1842" w:type="dxa"/>
          </w:tcPr>
          <w:p w14:paraId="2C880F65"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102</w:t>
            </w:r>
          </w:p>
        </w:tc>
        <w:tc>
          <w:tcPr>
            <w:tcW w:w="1418" w:type="dxa"/>
          </w:tcPr>
          <w:p w14:paraId="7AC364AA"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0.974</w:t>
            </w:r>
          </w:p>
        </w:tc>
        <w:tc>
          <w:tcPr>
            <w:tcW w:w="2410" w:type="dxa"/>
          </w:tcPr>
          <w:p w14:paraId="34F9B8D5"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85</w:t>
            </w:r>
          </w:p>
        </w:tc>
        <w:tc>
          <w:tcPr>
            <w:tcW w:w="1984" w:type="dxa"/>
          </w:tcPr>
          <w:p w14:paraId="6B348C95"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83</w:t>
            </w:r>
          </w:p>
        </w:tc>
        <w:tc>
          <w:tcPr>
            <w:tcW w:w="1276" w:type="dxa"/>
          </w:tcPr>
          <w:p w14:paraId="5A021BBA"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0.601</w:t>
            </w:r>
          </w:p>
        </w:tc>
      </w:tr>
      <w:tr w:rsidR="001024C4" w:rsidRPr="00B10C5F" w14:paraId="3B51D06B" w14:textId="77777777" w:rsidTr="00127D06">
        <w:trPr>
          <w:trHeight w:val="535"/>
        </w:trPr>
        <w:tc>
          <w:tcPr>
            <w:tcW w:w="1384" w:type="dxa"/>
          </w:tcPr>
          <w:p w14:paraId="620280AE"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1276" w:type="dxa"/>
          </w:tcPr>
          <w:p w14:paraId="150F6D81"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Yes</w:t>
            </w:r>
          </w:p>
        </w:tc>
        <w:tc>
          <w:tcPr>
            <w:tcW w:w="1843" w:type="dxa"/>
          </w:tcPr>
          <w:p w14:paraId="0BE89C9F"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12</w:t>
            </w:r>
          </w:p>
        </w:tc>
        <w:tc>
          <w:tcPr>
            <w:tcW w:w="1842" w:type="dxa"/>
          </w:tcPr>
          <w:p w14:paraId="75CD406C"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9</w:t>
            </w:r>
          </w:p>
        </w:tc>
        <w:tc>
          <w:tcPr>
            <w:tcW w:w="1418" w:type="dxa"/>
          </w:tcPr>
          <w:p w14:paraId="5E2D6612"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2410" w:type="dxa"/>
          </w:tcPr>
          <w:p w14:paraId="0EB19DAE"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7</w:t>
            </w:r>
          </w:p>
        </w:tc>
        <w:tc>
          <w:tcPr>
            <w:tcW w:w="1984" w:type="dxa"/>
          </w:tcPr>
          <w:p w14:paraId="4EFAC73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9</w:t>
            </w:r>
          </w:p>
        </w:tc>
        <w:tc>
          <w:tcPr>
            <w:tcW w:w="1276" w:type="dxa"/>
          </w:tcPr>
          <w:p w14:paraId="05B9933A" w14:textId="77777777" w:rsidR="00D35ED0" w:rsidRPr="00B10C5F" w:rsidRDefault="00D35ED0" w:rsidP="00B10C5F">
            <w:pPr>
              <w:adjustRightInd w:val="0"/>
              <w:snapToGrid w:val="0"/>
              <w:ind w:firstLineChars="0" w:firstLine="0"/>
              <w:rPr>
                <w:rFonts w:ascii="Book Antiqua" w:hAnsi="Book Antiqua"/>
              </w:rPr>
            </w:pPr>
          </w:p>
        </w:tc>
      </w:tr>
      <w:tr w:rsidR="001024C4" w:rsidRPr="00B10C5F" w14:paraId="680ED2E1" w14:textId="77777777" w:rsidTr="00127D06">
        <w:trPr>
          <w:trHeight w:val="535"/>
        </w:trPr>
        <w:tc>
          <w:tcPr>
            <w:tcW w:w="1384" w:type="dxa"/>
          </w:tcPr>
          <w:p w14:paraId="4CB56320"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rPr>
              <w:t>Pulmonary disease</w:t>
            </w:r>
          </w:p>
        </w:tc>
        <w:tc>
          <w:tcPr>
            <w:tcW w:w="1276" w:type="dxa"/>
          </w:tcPr>
          <w:p w14:paraId="65A89CB0"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No</w:t>
            </w:r>
          </w:p>
        </w:tc>
        <w:tc>
          <w:tcPr>
            <w:tcW w:w="1843" w:type="dxa"/>
          </w:tcPr>
          <w:p w14:paraId="108FF284"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144</w:t>
            </w:r>
          </w:p>
        </w:tc>
        <w:tc>
          <w:tcPr>
            <w:tcW w:w="1842" w:type="dxa"/>
          </w:tcPr>
          <w:p w14:paraId="7D577EFA"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107</w:t>
            </w:r>
          </w:p>
        </w:tc>
        <w:tc>
          <w:tcPr>
            <w:tcW w:w="1418" w:type="dxa"/>
          </w:tcPr>
          <w:p w14:paraId="20AF3289"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0.449</w:t>
            </w:r>
          </w:p>
        </w:tc>
        <w:tc>
          <w:tcPr>
            <w:tcW w:w="2410" w:type="dxa"/>
          </w:tcPr>
          <w:p w14:paraId="7C327307"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90</w:t>
            </w:r>
          </w:p>
        </w:tc>
        <w:tc>
          <w:tcPr>
            <w:tcW w:w="1984" w:type="dxa"/>
          </w:tcPr>
          <w:p w14:paraId="3673DBC3"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90</w:t>
            </w:r>
          </w:p>
        </w:tc>
        <w:tc>
          <w:tcPr>
            <w:tcW w:w="1276" w:type="dxa"/>
          </w:tcPr>
          <w:p w14:paraId="15C2AA6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1.000</w:t>
            </w:r>
          </w:p>
        </w:tc>
      </w:tr>
      <w:tr w:rsidR="001024C4" w:rsidRPr="00B10C5F" w14:paraId="2D86F9CA" w14:textId="77777777" w:rsidTr="00127D06">
        <w:trPr>
          <w:trHeight w:val="535"/>
        </w:trPr>
        <w:tc>
          <w:tcPr>
            <w:tcW w:w="1384" w:type="dxa"/>
          </w:tcPr>
          <w:p w14:paraId="1BBCEFCF"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1276" w:type="dxa"/>
          </w:tcPr>
          <w:p w14:paraId="3A48AB85"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Yes</w:t>
            </w:r>
          </w:p>
        </w:tc>
        <w:tc>
          <w:tcPr>
            <w:tcW w:w="1843" w:type="dxa"/>
          </w:tcPr>
          <w:p w14:paraId="10E8E68F"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w:t>
            </w:r>
          </w:p>
        </w:tc>
        <w:tc>
          <w:tcPr>
            <w:tcW w:w="1842" w:type="dxa"/>
          </w:tcPr>
          <w:p w14:paraId="51E1BC3D"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4</w:t>
            </w:r>
          </w:p>
        </w:tc>
        <w:tc>
          <w:tcPr>
            <w:tcW w:w="1418" w:type="dxa"/>
          </w:tcPr>
          <w:p w14:paraId="5BFF4427"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2410" w:type="dxa"/>
          </w:tcPr>
          <w:p w14:paraId="6AE67DC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w:t>
            </w:r>
          </w:p>
        </w:tc>
        <w:tc>
          <w:tcPr>
            <w:tcW w:w="1984" w:type="dxa"/>
          </w:tcPr>
          <w:p w14:paraId="27736367"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w:t>
            </w:r>
          </w:p>
        </w:tc>
        <w:tc>
          <w:tcPr>
            <w:tcW w:w="1276" w:type="dxa"/>
          </w:tcPr>
          <w:p w14:paraId="10B93DDD" w14:textId="77777777" w:rsidR="00D35ED0" w:rsidRPr="00B10C5F" w:rsidRDefault="00D35ED0" w:rsidP="00B10C5F">
            <w:pPr>
              <w:adjustRightInd w:val="0"/>
              <w:snapToGrid w:val="0"/>
              <w:ind w:firstLineChars="0" w:firstLine="0"/>
              <w:rPr>
                <w:rFonts w:ascii="Book Antiqua" w:hAnsi="Book Antiqua"/>
              </w:rPr>
            </w:pPr>
          </w:p>
        </w:tc>
      </w:tr>
      <w:tr w:rsidR="001024C4" w:rsidRPr="00B10C5F" w14:paraId="7F622BB5" w14:textId="77777777" w:rsidTr="00127D06">
        <w:trPr>
          <w:trHeight w:val="535"/>
        </w:trPr>
        <w:tc>
          <w:tcPr>
            <w:tcW w:w="1384" w:type="dxa"/>
          </w:tcPr>
          <w:p w14:paraId="2E297E3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rPr>
              <w:t>Cerebrovascular disease</w:t>
            </w:r>
          </w:p>
        </w:tc>
        <w:tc>
          <w:tcPr>
            <w:tcW w:w="1276" w:type="dxa"/>
          </w:tcPr>
          <w:p w14:paraId="08DB066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No</w:t>
            </w:r>
          </w:p>
        </w:tc>
        <w:tc>
          <w:tcPr>
            <w:tcW w:w="1843" w:type="dxa"/>
          </w:tcPr>
          <w:p w14:paraId="559166C6"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142</w:t>
            </w:r>
          </w:p>
        </w:tc>
        <w:tc>
          <w:tcPr>
            <w:tcW w:w="1842" w:type="dxa"/>
          </w:tcPr>
          <w:p w14:paraId="46208D1A"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108</w:t>
            </w:r>
          </w:p>
        </w:tc>
        <w:tc>
          <w:tcPr>
            <w:tcW w:w="1418" w:type="dxa"/>
          </w:tcPr>
          <w:p w14:paraId="69D1E9BF"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1.000</w:t>
            </w:r>
          </w:p>
        </w:tc>
        <w:tc>
          <w:tcPr>
            <w:tcW w:w="2410" w:type="dxa"/>
          </w:tcPr>
          <w:p w14:paraId="3501334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90</w:t>
            </w:r>
          </w:p>
        </w:tc>
        <w:tc>
          <w:tcPr>
            <w:tcW w:w="1984" w:type="dxa"/>
          </w:tcPr>
          <w:p w14:paraId="0A19246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90</w:t>
            </w:r>
          </w:p>
        </w:tc>
        <w:tc>
          <w:tcPr>
            <w:tcW w:w="1276" w:type="dxa"/>
          </w:tcPr>
          <w:p w14:paraId="019655B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1.000</w:t>
            </w:r>
          </w:p>
        </w:tc>
      </w:tr>
      <w:tr w:rsidR="001024C4" w:rsidRPr="00B10C5F" w14:paraId="3EAC1C81" w14:textId="77777777" w:rsidTr="00127D06">
        <w:trPr>
          <w:trHeight w:val="535"/>
        </w:trPr>
        <w:tc>
          <w:tcPr>
            <w:tcW w:w="1384" w:type="dxa"/>
          </w:tcPr>
          <w:p w14:paraId="7433B8BC"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1276" w:type="dxa"/>
          </w:tcPr>
          <w:p w14:paraId="7F4304F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Yes</w:t>
            </w:r>
          </w:p>
        </w:tc>
        <w:tc>
          <w:tcPr>
            <w:tcW w:w="1843" w:type="dxa"/>
          </w:tcPr>
          <w:p w14:paraId="4921B37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4</w:t>
            </w:r>
          </w:p>
        </w:tc>
        <w:tc>
          <w:tcPr>
            <w:tcW w:w="1842" w:type="dxa"/>
          </w:tcPr>
          <w:p w14:paraId="2CEEF0AA"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3</w:t>
            </w:r>
          </w:p>
        </w:tc>
        <w:tc>
          <w:tcPr>
            <w:tcW w:w="1418" w:type="dxa"/>
          </w:tcPr>
          <w:p w14:paraId="65937D13"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2410" w:type="dxa"/>
          </w:tcPr>
          <w:p w14:paraId="66324181"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w:t>
            </w:r>
          </w:p>
        </w:tc>
        <w:tc>
          <w:tcPr>
            <w:tcW w:w="1984" w:type="dxa"/>
          </w:tcPr>
          <w:p w14:paraId="3107D884"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w:t>
            </w:r>
          </w:p>
        </w:tc>
        <w:tc>
          <w:tcPr>
            <w:tcW w:w="1276" w:type="dxa"/>
          </w:tcPr>
          <w:p w14:paraId="150A13F3" w14:textId="77777777" w:rsidR="00D35ED0" w:rsidRPr="00B10C5F" w:rsidRDefault="00D35ED0" w:rsidP="00B10C5F">
            <w:pPr>
              <w:adjustRightInd w:val="0"/>
              <w:snapToGrid w:val="0"/>
              <w:ind w:firstLineChars="0" w:firstLine="0"/>
              <w:rPr>
                <w:rFonts w:ascii="Book Antiqua" w:hAnsi="Book Antiqua"/>
              </w:rPr>
            </w:pPr>
          </w:p>
        </w:tc>
      </w:tr>
    </w:tbl>
    <w:bookmarkEnd w:id="26"/>
    <w:p w14:paraId="45E0B29B" w14:textId="0F6497F3" w:rsidR="001024C4" w:rsidRPr="00B10C5F" w:rsidRDefault="002B70C3" w:rsidP="00B10C5F">
      <w:pPr>
        <w:adjustRightInd w:val="0"/>
        <w:snapToGrid w:val="0"/>
        <w:spacing w:line="360" w:lineRule="auto"/>
        <w:jc w:val="both"/>
        <w:rPr>
          <w:rFonts w:ascii="Book Antiqua" w:hAnsi="Book Antiqua"/>
          <w:color w:val="000000" w:themeColor="text1"/>
        </w:rPr>
      </w:pPr>
      <w:r w:rsidRPr="00B10C5F">
        <w:rPr>
          <w:rFonts w:ascii="Book Antiqua" w:hAnsi="Book Antiqua"/>
          <w:color w:val="000000" w:themeColor="text1"/>
        </w:rPr>
        <w:t xml:space="preserve">ALT: Alanine aminotransferase; AST: Aspartate aminotransferase; </w:t>
      </w:r>
      <w:r w:rsidR="00112107" w:rsidRPr="00B10C5F">
        <w:rPr>
          <w:rFonts w:ascii="Book Antiqua" w:hAnsi="Book Antiqua"/>
          <w:lang w:eastAsia="zh-CN"/>
        </w:rPr>
        <w:t>CBD:</w:t>
      </w:r>
      <w:r w:rsidR="001024C4" w:rsidRPr="00B10C5F">
        <w:rPr>
          <w:rFonts w:ascii="Book Antiqua" w:eastAsia="Book Antiqua" w:hAnsi="Book Antiqua" w:cs="Book Antiqua"/>
          <w:color w:val="000000"/>
        </w:rPr>
        <w:t xml:space="preserve"> Common bile duct; </w:t>
      </w:r>
      <w:r w:rsidRPr="00B10C5F">
        <w:rPr>
          <w:rFonts w:ascii="Book Antiqua" w:hAnsi="Book Antiqua"/>
          <w:color w:val="000000" w:themeColor="text1"/>
        </w:rPr>
        <w:t>GTP:</w:t>
      </w:r>
      <w:r w:rsidRPr="00B10C5F">
        <w:rPr>
          <w:rFonts w:ascii="Book Antiqua" w:eastAsia="Book Antiqua" w:hAnsi="Book Antiqua" w:cs="Book Antiqua"/>
          <w:color w:val="000000"/>
        </w:rPr>
        <w:t xml:space="preserve"> Glutamyl transpeptidase</w:t>
      </w:r>
      <w:r>
        <w:rPr>
          <w:rFonts w:ascii="Book Antiqua" w:eastAsia="Book Antiqua" w:hAnsi="Book Antiqua" w:cs="Book Antiqua"/>
          <w:color w:val="000000"/>
        </w:rPr>
        <w:t>;</w:t>
      </w:r>
      <w:r w:rsidRPr="00B10C5F">
        <w:rPr>
          <w:rFonts w:ascii="Book Antiqua" w:hAnsi="Book Antiqua"/>
          <w:color w:val="000000" w:themeColor="text1"/>
        </w:rPr>
        <w:t xml:space="preserve"> </w:t>
      </w:r>
      <w:proofErr w:type="spellStart"/>
      <w:r w:rsidR="001024C4" w:rsidRPr="00B10C5F">
        <w:rPr>
          <w:rFonts w:ascii="Book Antiqua" w:hAnsi="Book Antiqua"/>
          <w:color w:val="000000" w:themeColor="text1"/>
        </w:rPr>
        <w:t>TB</w:t>
      </w:r>
      <w:r w:rsidR="00A07793" w:rsidRPr="00B10C5F">
        <w:rPr>
          <w:rFonts w:ascii="Book Antiqua" w:hAnsi="Book Antiqua"/>
          <w:color w:val="000000" w:themeColor="text1"/>
        </w:rPr>
        <w:t>il</w:t>
      </w:r>
      <w:proofErr w:type="spellEnd"/>
      <w:r w:rsidR="001024C4" w:rsidRPr="00B10C5F">
        <w:rPr>
          <w:rFonts w:ascii="Book Antiqua" w:hAnsi="Book Antiqua"/>
          <w:color w:val="000000" w:themeColor="text1"/>
        </w:rPr>
        <w:t>:</w:t>
      </w:r>
      <w:r w:rsidR="00A07793" w:rsidRPr="00B10C5F">
        <w:rPr>
          <w:rFonts w:ascii="Book Antiqua" w:hAnsi="Book Antiqua"/>
          <w:color w:val="000000" w:themeColor="text1"/>
        </w:rPr>
        <w:t xml:space="preserve"> Total bilirubin</w:t>
      </w:r>
      <w:r w:rsidR="00127D06" w:rsidRPr="00B10C5F">
        <w:rPr>
          <w:rFonts w:ascii="Book Antiqua" w:hAnsi="Book Antiqua"/>
          <w:color w:val="000000" w:themeColor="text1"/>
        </w:rPr>
        <w:t>.</w:t>
      </w:r>
    </w:p>
    <w:p w14:paraId="6B24123C" w14:textId="2842AE1F" w:rsidR="001024C4" w:rsidRPr="00B10C5F" w:rsidRDefault="001024C4" w:rsidP="00B10C5F">
      <w:pPr>
        <w:adjustRightInd w:val="0"/>
        <w:snapToGrid w:val="0"/>
        <w:spacing w:line="360" w:lineRule="auto"/>
        <w:jc w:val="both"/>
        <w:rPr>
          <w:rFonts w:ascii="Book Antiqua" w:hAnsi="Book Antiqua" w:cs="Book Antiqua"/>
          <w:color w:val="000000"/>
          <w:lang w:eastAsia="zh-CN"/>
        </w:rPr>
        <w:sectPr w:rsidR="001024C4" w:rsidRPr="00B10C5F" w:rsidSect="00720AF0">
          <w:headerReference w:type="even" r:id="rId16"/>
          <w:headerReference w:type="default" r:id="rId17"/>
          <w:footerReference w:type="even" r:id="rId18"/>
          <w:footerReference w:type="default" r:id="rId19"/>
          <w:headerReference w:type="first" r:id="rId20"/>
          <w:footerReference w:type="first" r:id="rId21"/>
          <w:type w:val="continuous"/>
          <w:pgSz w:w="16838" w:h="11906" w:orient="landscape"/>
          <w:pgMar w:top="1440" w:right="1800" w:bottom="1440" w:left="1800" w:header="851" w:footer="992" w:gutter="0"/>
          <w:cols w:space="425"/>
          <w:docGrid w:type="lines" w:linePitch="312"/>
        </w:sectPr>
      </w:pPr>
      <w:r w:rsidRPr="00B10C5F">
        <w:rPr>
          <w:rFonts w:ascii="Book Antiqua" w:hAnsi="Book Antiqua" w:cs="Book Antiqua"/>
          <w:color w:val="000000"/>
          <w:lang w:eastAsia="zh-CN"/>
        </w:rPr>
        <w:t xml:space="preserve"> </w:t>
      </w:r>
    </w:p>
    <w:p w14:paraId="7FD26BCB" w14:textId="0EC32C8F" w:rsidR="00D35ED0" w:rsidRPr="00B10C5F" w:rsidRDefault="001024C4" w:rsidP="00B10C5F">
      <w:pPr>
        <w:adjustRightInd w:val="0"/>
        <w:snapToGrid w:val="0"/>
        <w:spacing w:line="360" w:lineRule="auto"/>
        <w:jc w:val="both"/>
        <w:rPr>
          <w:rFonts w:ascii="Book Antiqua" w:hAnsi="Book Antiqua"/>
          <w:b/>
          <w:bCs/>
        </w:rPr>
      </w:pPr>
      <w:r w:rsidRPr="00B10C5F">
        <w:rPr>
          <w:rFonts w:ascii="Book Antiqua" w:hAnsi="Book Antiqua"/>
          <w:b/>
          <w:bCs/>
        </w:rPr>
        <w:br w:type="page"/>
      </w:r>
      <w:r w:rsidR="00D35ED0" w:rsidRPr="00B10C5F">
        <w:rPr>
          <w:rFonts w:ascii="Book Antiqua" w:hAnsi="Book Antiqua"/>
          <w:b/>
          <w:bCs/>
        </w:rPr>
        <w:lastRenderedPageBreak/>
        <w:t xml:space="preserve">Table 2 Safety profile and procedure-related short-term outcomes of the small </w:t>
      </w:r>
      <w:r w:rsidR="00112107" w:rsidRPr="00B10C5F">
        <w:rPr>
          <w:rFonts w:ascii="Book Antiqua" w:eastAsia="Book Antiqua" w:hAnsi="Book Antiqua" w:cs="Book Antiqua"/>
          <w:b/>
          <w:bCs/>
          <w:color w:val="000000"/>
        </w:rPr>
        <w:t>common bile duct</w:t>
      </w:r>
      <w:r w:rsidR="00D35ED0" w:rsidRPr="00B10C5F">
        <w:rPr>
          <w:rFonts w:ascii="Book Antiqua" w:hAnsi="Book Antiqua"/>
          <w:b/>
          <w:bCs/>
        </w:rPr>
        <w:t xml:space="preserve"> and large </w:t>
      </w:r>
      <w:r w:rsidR="00112107" w:rsidRPr="00B10C5F">
        <w:rPr>
          <w:rFonts w:ascii="Book Antiqua" w:eastAsia="Book Antiqua" w:hAnsi="Book Antiqua" w:cs="Book Antiqua"/>
          <w:b/>
          <w:bCs/>
          <w:color w:val="000000"/>
        </w:rPr>
        <w:t>common bile duct</w:t>
      </w:r>
      <w:r w:rsidR="00D35ED0" w:rsidRPr="00B10C5F">
        <w:rPr>
          <w:rFonts w:ascii="Book Antiqua" w:hAnsi="Book Antiqua"/>
          <w:b/>
          <w:bCs/>
        </w:rPr>
        <w:t xml:space="preserve"> groups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1062"/>
        <w:gridCol w:w="2065"/>
        <w:gridCol w:w="1854"/>
        <w:gridCol w:w="1141"/>
        <w:gridCol w:w="1987"/>
        <w:gridCol w:w="1667"/>
        <w:gridCol w:w="883"/>
      </w:tblGrid>
      <w:tr w:rsidR="00D35ED0" w:rsidRPr="00B10C5F" w14:paraId="44C90DAD" w14:textId="77777777" w:rsidTr="00127D06">
        <w:trPr>
          <w:trHeight w:val="395"/>
        </w:trPr>
        <w:tc>
          <w:tcPr>
            <w:tcW w:w="2712" w:type="dxa"/>
            <w:tcBorders>
              <w:bottom w:val="single" w:sz="4" w:space="0" w:color="auto"/>
            </w:tcBorders>
          </w:tcPr>
          <w:p w14:paraId="467E46FA" w14:textId="77777777" w:rsidR="00D35ED0" w:rsidRPr="00B10C5F" w:rsidRDefault="00D35ED0" w:rsidP="00B10C5F">
            <w:pPr>
              <w:adjustRightInd w:val="0"/>
              <w:snapToGrid w:val="0"/>
              <w:ind w:firstLineChars="0" w:firstLine="0"/>
              <w:rPr>
                <w:rFonts w:ascii="Book Antiqua" w:hAnsi="Book Antiqua"/>
              </w:rPr>
            </w:pPr>
          </w:p>
        </w:tc>
        <w:tc>
          <w:tcPr>
            <w:tcW w:w="1136" w:type="dxa"/>
            <w:tcBorders>
              <w:bottom w:val="single" w:sz="4" w:space="0" w:color="auto"/>
            </w:tcBorders>
          </w:tcPr>
          <w:p w14:paraId="7575C4F3" w14:textId="77777777" w:rsidR="00D35ED0" w:rsidRPr="00B10C5F" w:rsidRDefault="00D35ED0" w:rsidP="00B10C5F">
            <w:pPr>
              <w:adjustRightInd w:val="0"/>
              <w:snapToGrid w:val="0"/>
              <w:ind w:firstLineChars="0" w:firstLine="0"/>
              <w:rPr>
                <w:rFonts w:ascii="Book Antiqua" w:hAnsi="Book Antiqua"/>
                <w:b/>
                <w:bCs/>
              </w:rPr>
            </w:pPr>
          </w:p>
        </w:tc>
        <w:tc>
          <w:tcPr>
            <w:tcW w:w="5466" w:type="dxa"/>
            <w:gridSpan w:val="3"/>
            <w:tcBorders>
              <w:bottom w:val="single" w:sz="4" w:space="0" w:color="auto"/>
            </w:tcBorders>
          </w:tcPr>
          <w:p w14:paraId="4211A034" w14:textId="4AF27CB2"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Before matching</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257</w:t>
            </w:r>
          </w:p>
        </w:tc>
        <w:tc>
          <w:tcPr>
            <w:tcW w:w="4860" w:type="dxa"/>
            <w:gridSpan w:val="3"/>
            <w:tcBorders>
              <w:bottom w:val="single" w:sz="4" w:space="0" w:color="auto"/>
            </w:tcBorders>
          </w:tcPr>
          <w:p w14:paraId="393BC388" w14:textId="3929A6B5"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After matching</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 xml:space="preserve">n </w:t>
            </w:r>
            <w:r w:rsidRPr="00B10C5F">
              <w:rPr>
                <w:rFonts w:ascii="Book Antiqua" w:hAnsi="Book Antiqua"/>
                <w:b/>
                <w:bCs/>
              </w:rPr>
              <w:t xml:space="preserve">= </w:t>
            </w:r>
            <w:r w:rsidRPr="00B10C5F">
              <w:rPr>
                <w:rFonts w:ascii="Book Antiqua" w:hAnsi="Book Antiqua"/>
                <w:b/>
                <w:bCs/>
                <w:color w:val="000000" w:themeColor="text1"/>
              </w:rPr>
              <w:t>184</w:t>
            </w:r>
          </w:p>
        </w:tc>
      </w:tr>
      <w:tr w:rsidR="00D35ED0" w:rsidRPr="00B10C5F" w14:paraId="27F89B2D" w14:textId="77777777" w:rsidTr="00127D06">
        <w:trPr>
          <w:trHeight w:val="395"/>
        </w:trPr>
        <w:tc>
          <w:tcPr>
            <w:tcW w:w="2712" w:type="dxa"/>
            <w:tcBorders>
              <w:top w:val="single" w:sz="4" w:space="0" w:color="auto"/>
              <w:bottom w:val="single" w:sz="4" w:space="0" w:color="auto"/>
            </w:tcBorders>
          </w:tcPr>
          <w:p w14:paraId="701E7472" w14:textId="77777777" w:rsidR="00D35ED0" w:rsidRPr="00B10C5F" w:rsidRDefault="00D35ED0" w:rsidP="00B10C5F">
            <w:pPr>
              <w:adjustRightInd w:val="0"/>
              <w:snapToGrid w:val="0"/>
              <w:ind w:firstLineChars="0" w:firstLine="0"/>
              <w:rPr>
                <w:rFonts w:ascii="Book Antiqua" w:hAnsi="Book Antiqua"/>
              </w:rPr>
            </w:pPr>
          </w:p>
        </w:tc>
        <w:tc>
          <w:tcPr>
            <w:tcW w:w="1136" w:type="dxa"/>
            <w:tcBorders>
              <w:top w:val="single" w:sz="4" w:space="0" w:color="auto"/>
              <w:bottom w:val="single" w:sz="4" w:space="0" w:color="auto"/>
            </w:tcBorders>
          </w:tcPr>
          <w:p w14:paraId="5B662802" w14:textId="77777777" w:rsidR="00D35ED0" w:rsidRPr="00B10C5F" w:rsidRDefault="00D35ED0" w:rsidP="00B10C5F">
            <w:pPr>
              <w:adjustRightInd w:val="0"/>
              <w:snapToGrid w:val="0"/>
              <w:ind w:firstLineChars="0" w:firstLine="0"/>
              <w:rPr>
                <w:rFonts w:ascii="Book Antiqua" w:hAnsi="Book Antiqua"/>
                <w:b/>
                <w:bCs/>
              </w:rPr>
            </w:pPr>
          </w:p>
        </w:tc>
        <w:tc>
          <w:tcPr>
            <w:tcW w:w="2261" w:type="dxa"/>
            <w:tcBorders>
              <w:top w:val="single" w:sz="4" w:space="0" w:color="auto"/>
              <w:bottom w:val="single" w:sz="4" w:space="0" w:color="auto"/>
            </w:tcBorders>
          </w:tcPr>
          <w:p w14:paraId="7919B275" w14:textId="61DDAF87"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Large CBD</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146</w:t>
            </w:r>
          </w:p>
        </w:tc>
        <w:tc>
          <w:tcPr>
            <w:tcW w:w="2012" w:type="dxa"/>
            <w:tcBorders>
              <w:top w:val="single" w:sz="4" w:space="0" w:color="auto"/>
              <w:bottom w:val="single" w:sz="4" w:space="0" w:color="auto"/>
            </w:tcBorders>
          </w:tcPr>
          <w:p w14:paraId="69E03B9F" w14:textId="75322F51"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Small CBD</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111</w:t>
            </w:r>
          </w:p>
        </w:tc>
        <w:tc>
          <w:tcPr>
            <w:tcW w:w="1193" w:type="dxa"/>
            <w:tcBorders>
              <w:top w:val="single" w:sz="4" w:space="0" w:color="auto"/>
              <w:bottom w:val="single" w:sz="4" w:space="0" w:color="auto"/>
            </w:tcBorders>
          </w:tcPr>
          <w:p w14:paraId="5A5C2C2F" w14:textId="6F24687D" w:rsidR="00D35ED0" w:rsidRPr="00B10C5F" w:rsidRDefault="00D35ED0" w:rsidP="00B10C5F">
            <w:pPr>
              <w:adjustRightInd w:val="0"/>
              <w:snapToGrid w:val="0"/>
              <w:ind w:firstLineChars="0" w:firstLine="0"/>
              <w:rPr>
                <w:rFonts w:ascii="Book Antiqua" w:hAnsi="Book Antiqua"/>
                <w:b/>
                <w:bCs/>
                <w:i/>
                <w:iCs/>
              </w:rPr>
            </w:pPr>
            <w:r w:rsidRPr="00B10C5F">
              <w:rPr>
                <w:rFonts w:ascii="Book Antiqua" w:hAnsi="Book Antiqua"/>
                <w:b/>
                <w:bCs/>
                <w:i/>
                <w:iCs/>
              </w:rPr>
              <w:t>P</w:t>
            </w:r>
            <w:r w:rsidR="00127D06" w:rsidRPr="00B10C5F">
              <w:rPr>
                <w:rFonts w:ascii="Book Antiqua" w:hAnsi="Book Antiqua"/>
                <w:b/>
                <w:bCs/>
                <w:i/>
                <w:iCs/>
              </w:rPr>
              <w:t xml:space="preserve"> </w:t>
            </w:r>
            <w:r w:rsidR="00127D06" w:rsidRPr="00B10C5F">
              <w:rPr>
                <w:rFonts w:ascii="Book Antiqua" w:hAnsi="Book Antiqua"/>
                <w:b/>
                <w:bCs/>
                <w:iCs/>
              </w:rPr>
              <w:t>value</w:t>
            </w:r>
          </w:p>
        </w:tc>
        <w:tc>
          <w:tcPr>
            <w:tcW w:w="2170" w:type="dxa"/>
            <w:tcBorders>
              <w:top w:val="single" w:sz="4" w:space="0" w:color="auto"/>
              <w:bottom w:val="single" w:sz="4" w:space="0" w:color="auto"/>
            </w:tcBorders>
          </w:tcPr>
          <w:p w14:paraId="1D17F6B8" w14:textId="4FF75738"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Large CBD</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92</w:t>
            </w:r>
          </w:p>
        </w:tc>
        <w:tc>
          <w:tcPr>
            <w:tcW w:w="1796" w:type="dxa"/>
            <w:tcBorders>
              <w:top w:val="single" w:sz="4" w:space="0" w:color="auto"/>
              <w:bottom w:val="single" w:sz="4" w:space="0" w:color="auto"/>
            </w:tcBorders>
          </w:tcPr>
          <w:p w14:paraId="3B60BD0C" w14:textId="664293AF"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Small CBD</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92</w:t>
            </w:r>
          </w:p>
        </w:tc>
        <w:tc>
          <w:tcPr>
            <w:tcW w:w="894" w:type="dxa"/>
            <w:tcBorders>
              <w:top w:val="single" w:sz="4" w:space="0" w:color="auto"/>
              <w:bottom w:val="single" w:sz="4" w:space="0" w:color="auto"/>
            </w:tcBorders>
          </w:tcPr>
          <w:p w14:paraId="094144C9" w14:textId="7A09224E" w:rsidR="00D35ED0" w:rsidRPr="00B10C5F" w:rsidRDefault="00D35ED0" w:rsidP="00B10C5F">
            <w:pPr>
              <w:adjustRightInd w:val="0"/>
              <w:snapToGrid w:val="0"/>
              <w:ind w:firstLineChars="0" w:firstLine="0"/>
              <w:rPr>
                <w:rFonts w:ascii="Book Antiqua" w:hAnsi="Book Antiqua"/>
                <w:b/>
                <w:bCs/>
                <w:i/>
                <w:iCs/>
              </w:rPr>
            </w:pPr>
            <w:r w:rsidRPr="00B10C5F">
              <w:rPr>
                <w:rFonts w:ascii="Book Antiqua" w:hAnsi="Book Antiqua"/>
                <w:b/>
                <w:bCs/>
                <w:i/>
                <w:iCs/>
              </w:rPr>
              <w:t>P</w:t>
            </w:r>
            <w:r w:rsidR="00127D06" w:rsidRPr="00B10C5F">
              <w:rPr>
                <w:rFonts w:ascii="Book Antiqua" w:hAnsi="Book Antiqua"/>
                <w:b/>
                <w:bCs/>
                <w:i/>
                <w:iCs/>
              </w:rPr>
              <w:t xml:space="preserve"> </w:t>
            </w:r>
            <w:r w:rsidR="00127D06" w:rsidRPr="00B10C5F">
              <w:rPr>
                <w:rFonts w:ascii="Book Antiqua" w:hAnsi="Book Antiqua"/>
                <w:b/>
                <w:bCs/>
                <w:iCs/>
              </w:rPr>
              <w:t>value</w:t>
            </w:r>
          </w:p>
        </w:tc>
      </w:tr>
      <w:tr w:rsidR="00D35ED0" w:rsidRPr="00B10C5F" w14:paraId="5900DBE6" w14:textId="77777777" w:rsidTr="00127D06">
        <w:trPr>
          <w:trHeight w:val="395"/>
        </w:trPr>
        <w:tc>
          <w:tcPr>
            <w:tcW w:w="2712" w:type="dxa"/>
            <w:tcBorders>
              <w:top w:val="single" w:sz="4" w:space="0" w:color="auto"/>
            </w:tcBorders>
          </w:tcPr>
          <w:p w14:paraId="0765E41E" w14:textId="665F7E79"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Operating time </w:t>
            </w:r>
            <w:r w:rsidR="00302D08">
              <w:rPr>
                <w:rFonts w:ascii="Book Antiqua" w:hAnsi="Book Antiqua"/>
                <w:color w:val="000000" w:themeColor="text1"/>
              </w:rPr>
              <w:t xml:space="preserve">in </w:t>
            </w:r>
            <w:r w:rsidRPr="00B10C5F">
              <w:rPr>
                <w:rFonts w:ascii="Book Antiqua" w:hAnsi="Book Antiqua"/>
              </w:rPr>
              <w:t>min</w:t>
            </w:r>
          </w:p>
        </w:tc>
        <w:tc>
          <w:tcPr>
            <w:tcW w:w="1136" w:type="dxa"/>
            <w:tcBorders>
              <w:top w:val="single" w:sz="4" w:space="0" w:color="auto"/>
            </w:tcBorders>
          </w:tcPr>
          <w:p w14:paraId="6AED1369" w14:textId="77777777" w:rsidR="00D35ED0" w:rsidRPr="00B10C5F" w:rsidRDefault="00D35ED0" w:rsidP="00B10C5F">
            <w:pPr>
              <w:adjustRightInd w:val="0"/>
              <w:snapToGrid w:val="0"/>
              <w:ind w:firstLineChars="0" w:firstLine="0"/>
              <w:rPr>
                <w:rFonts w:ascii="Book Antiqua" w:hAnsi="Book Antiqua"/>
              </w:rPr>
            </w:pPr>
          </w:p>
        </w:tc>
        <w:tc>
          <w:tcPr>
            <w:tcW w:w="2261" w:type="dxa"/>
            <w:tcBorders>
              <w:top w:val="single" w:sz="4" w:space="0" w:color="auto"/>
            </w:tcBorders>
          </w:tcPr>
          <w:p w14:paraId="240E8C0C"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115.7 ± 32.0</w:t>
            </w:r>
          </w:p>
        </w:tc>
        <w:tc>
          <w:tcPr>
            <w:tcW w:w="2012" w:type="dxa"/>
            <w:tcBorders>
              <w:top w:val="single" w:sz="4" w:space="0" w:color="auto"/>
            </w:tcBorders>
          </w:tcPr>
          <w:p w14:paraId="5D1F673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107.2 ± 28.3</w:t>
            </w:r>
          </w:p>
        </w:tc>
        <w:tc>
          <w:tcPr>
            <w:tcW w:w="1193" w:type="dxa"/>
            <w:tcBorders>
              <w:top w:val="single" w:sz="4" w:space="0" w:color="auto"/>
            </w:tcBorders>
          </w:tcPr>
          <w:p w14:paraId="18C7DEC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0.379</w:t>
            </w:r>
          </w:p>
        </w:tc>
        <w:tc>
          <w:tcPr>
            <w:tcW w:w="2170" w:type="dxa"/>
            <w:tcBorders>
              <w:top w:val="single" w:sz="4" w:space="0" w:color="auto"/>
            </w:tcBorders>
          </w:tcPr>
          <w:p w14:paraId="46B9854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114.7 ± 33.7</w:t>
            </w:r>
          </w:p>
        </w:tc>
        <w:tc>
          <w:tcPr>
            <w:tcW w:w="1796" w:type="dxa"/>
            <w:tcBorders>
              <w:top w:val="single" w:sz="4" w:space="0" w:color="auto"/>
            </w:tcBorders>
          </w:tcPr>
          <w:p w14:paraId="563AD59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106.4 </w:t>
            </w:r>
            <w:r w:rsidRPr="00B10C5F">
              <w:rPr>
                <w:rFonts w:ascii="Book Antiqua" w:hAnsi="Book Antiqua"/>
                <w:color w:val="000000" w:themeColor="text1"/>
              </w:rPr>
              <w:t xml:space="preserve">± </w:t>
            </w:r>
            <w:r w:rsidRPr="00B10C5F">
              <w:rPr>
                <w:rFonts w:ascii="Book Antiqua" w:hAnsi="Book Antiqua"/>
              </w:rPr>
              <w:t>27.7</w:t>
            </w:r>
          </w:p>
        </w:tc>
        <w:tc>
          <w:tcPr>
            <w:tcW w:w="894" w:type="dxa"/>
            <w:tcBorders>
              <w:top w:val="single" w:sz="4" w:space="0" w:color="auto"/>
            </w:tcBorders>
          </w:tcPr>
          <w:p w14:paraId="2A21427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0.073</w:t>
            </w:r>
          </w:p>
        </w:tc>
      </w:tr>
      <w:tr w:rsidR="00D35ED0" w:rsidRPr="00B10C5F" w14:paraId="63EEA42D" w14:textId="77777777" w:rsidTr="00127D06">
        <w:trPr>
          <w:trHeight w:val="395"/>
        </w:trPr>
        <w:tc>
          <w:tcPr>
            <w:tcW w:w="2712" w:type="dxa"/>
          </w:tcPr>
          <w:p w14:paraId="1100F7A0" w14:textId="777C9DEB"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Intraoperative blood loss </w:t>
            </w:r>
            <w:r w:rsidR="00302D08">
              <w:rPr>
                <w:rFonts w:ascii="Book Antiqua" w:hAnsi="Book Antiqua"/>
                <w:color w:val="000000" w:themeColor="text1"/>
              </w:rPr>
              <w:t xml:space="preserve">in </w:t>
            </w:r>
            <w:r w:rsidR="00127D06" w:rsidRPr="00B10C5F">
              <w:rPr>
                <w:rFonts w:ascii="Book Antiqua" w:hAnsi="Book Antiqua"/>
              </w:rPr>
              <w:t>mL</w:t>
            </w:r>
          </w:p>
        </w:tc>
        <w:tc>
          <w:tcPr>
            <w:tcW w:w="1136" w:type="dxa"/>
          </w:tcPr>
          <w:p w14:paraId="6D286C45" w14:textId="77777777" w:rsidR="00D35ED0" w:rsidRPr="00B10C5F" w:rsidRDefault="00D35ED0" w:rsidP="00B10C5F">
            <w:pPr>
              <w:adjustRightInd w:val="0"/>
              <w:snapToGrid w:val="0"/>
              <w:ind w:firstLineChars="0" w:firstLine="0"/>
              <w:rPr>
                <w:rFonts w:ascii="Book Antiqua" w:hAnsi="Book Antiqua"/>
              </w:rPr>
            </w:pPr>
          </w:p>
        </w:tc>
        <w:tc>
          <w:tcPr>
            <w:tcW w:w="2261" w:type="dxa"/>
          </w:tcPr>
          <w:p w14:paraId="42CE8748"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20 </w:t>
            </w:r>
            <w:r w:rsidRPr="00B10C5F">
              <w:rPr>
                <w:rFonts w:ascii="Book Antiqua" w:hAnsi="Book Antiqua"/>
                <w:color w:val="000000" w:themeColor="text1"/>
              </w:rPr>
              <w:t>(</w:t>
            </w:r>
            <w:r w:rsidRPr="00B10C5F">
              <w:rPr>
                <w:rFonts w:ascii="Book Antiqua" w:hAnsi="Book Antiqua"/>
              </w:rPr>
              <w:t>5-200)</w:t>
            </w:r>
          </w:p>
        </w:tc>
        <w:tc>
          <w:tcPr>
            <w:tcW w:w="2012" w:type="dxa"/>
          </w:tcPr>
          <w:p w14:paraId="0828A48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20 </w:t>
            </w:r>
            <w:r w:rsidRPr="00B10C5F">
              <w:rPr>
                <w:rFonts w:ascii="Book Antiqua" w:hAnsi="Book Antiqua"/>
                <w:color w:val="000000" w:themeColor="text1"/>
              </w:rPr>
              <w:t>(</w:t>
            </w:r>
            <w:r w:rsidRPr="00B10C5F">
              <w:rPr>
                <w:rFonts w:ascii="Book Antiqua" w:hAnsi="Book Antiqua"/>
              </w:rPr>
              <w:t>5-200)</w:t>
            </w:r>
          </w:p>
        </w:tc>
        <w:tc>
          <w:tcPr>
            <w:tcW w:w="1193" w:type="dxa"/>
          </w:tcPr>
          <w:p w14:paraId="1A3BD06B"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0.028</w:t>
            </w:r>
          </w:p>
        </w:tc>
        <w:tc>
          <w:tcPr>
            <w:tcW w:w="2170" w:type="dxa"/>
          </w:tcPr>
          <w:p w14:paraId="03B74D6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20 </w:t>
            </w:r>
            <w:r w:rsidRPr="00B10C5F">
              <w:rPr>
                <w:rFonts w:ascii="Book Antiqua" w:hAnsi="Book Antiqua"/>
                <w:color w:val="000000" w:themeColor="text1"/>
              </w:rPr>
              <w:t>(</w:t>
            </w:r>
            <w:r w:rsidRPr="00B10C5F">
              <w:rPr>
                <w:rFonts w:ascii="Book Antiqua" w:hAnsi="Book Antiqua"/>
              </w:rPr>
              <w:t>5-200)</w:t>
            </w:r>
          </w:p>
        </w:tc>
        <w:tc>
          <w:tcPr>
            <w:tcW w:w="1796" w:type="dxa"/>
          </w:tcPr>
          <w:p w14:paraId="2A21023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20 </w:t>
            </w:r>
            <w:r w:rsidRPr="00B10C5F">
              <w:rPr>
                <w:rFonts w:ascii="Book Antiqua" w:hAnsi="Book Antiqua"/>
                <w:color w:val="000000" w:themeColor="text1"/>
              </w:rPr>
              <w:t>(</w:t>
            </w:r>
            <w:r w:rsidRPr="00B10C5F">
              <w:rPr>
                <w:rFonts w:ascii="Book Antiqua" w:hAnsi="Book Antiqua"/>
              </w:rPr>
              <w:t>5-200)</w:t>
            </w:r>
          </w:p>
        </w:tc>
        <w:tc>
          <w:tcPr>
            <w:tcW w:w="894" w:type="dxa"/>
          </w:tcPr>
          <w:p w14:paraId="4F5DFE3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0.168</w:t>
            </w:r>
          </w:p>
        </w:tc>
      </w:tr>
      <w:tr w:rsidR="00D35ED0" w:rsidRPr="00B10C5F" w14:paraId="2FF3D6C7" w14:textId="77777777" w:rsidTr="00127D06">
        <w:trPr>
          <w:trHeight w:val="395"/>
        </w:trPr>
        <w:tc>
          <w:tcPr>
            <w:tcW w:w="2712" w:type="dxa"/>
          </w:tcPr>
          <w:p w14:paraId="551D398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Convert to laparotomy</w:t>
            </w:r>
          </w:p>
        </w:tc>
        <w:tc>
          <w:tcPr>
            <w:tcW w:w="1136" w:type="dxa"/>
          </w:tcPr>
          <w:p w14:paraId="5D34A81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No</w:t>
            </w:r>
          </w:p>
        </w:tc>
        <w:tc>
          <w:tcPr>
            <w:tcW w:w="2261" w:type="dxa"/>
          </w:tcPr>
          <w:p w14:paraId="48214F1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145</w:t>
            </w:r>
          </w:p>
        </w:tc>
        <w:tc>
          <w:tcPr>
            <w:tcW w:w="2012" w:type="dxa"/>
          </w:tcPr>
          <w:p w14:paraId="40E45CA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111</w:t>
            </w:r>
          </w:p>
        </w:tc>
        <w:tc>
          <w:tcPr>
            <w:tcW w:w="1193" w:type="dxa"/>
          </w:tcPr>
          <w:p w14:paraId="13C2719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1.000</w:t>
            </w:r>
          </w:p>
        </w:tc>
        <w:tc>
          <w:tcPr>
            <w:tcW w:w="2170" w:type="dxa"/>
          </w:tcPr>
          <w:p w14:paraId="258BA2CA"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92</w:t>
            </w:r>
          </w:p>
        </w:tc>
        <w:tc>
          <w:tcPr>
            <w:tcW w:w="1796" w:type="dxa"/>
          </w:tcPr>
          <w:p w14:paraId="78F0F46C"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92</w:t>
            </w:r>
          </w:p>
        </w:tc>
        <w:tc>
          <w:tcPr>
            <w:tcW w:w="894" w:type="dxa"/>
          </w:tcPr>
          <w:p w14:paraId="4EDDD9A8"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63C868A3" w14:textId="77777777" w:rsidTr="00127D06">
        <w:trPr>
          <w:trHeight w:val="395"/>
        </w:trPr>
        <w:tc>
          <w:tcPr>
            <w:tcW w:w="2712" w:type="dxa"/>
          </w:tcPr>
          <w:p w14:paraId="3883547A" w14:textId="77777777" w:rsidR="00D35ED0" w:rsidRPr="00B10C5F" w:rsidRDefault="00D35ED0" w:rsidP="00B10C5F">
            <w:pPr>
              <w:adjustRightInd w:val="0"/>
              <w:snapToGrid w:val="0"/>
              <w:ind w:firstLineChars="0" w:firstLine="0"/>
              <w:rPr>
                <w:rFonts w:ascii="Book Antiqua" w:hAnsi="Book Antiqua"/>
              </w:rPr>
            </w:pPr>
          </w:p>
        </w:tc>
        <w:tc>
          <w:tcPr>
            <w:tcW w:w="1136" w:type="dxa"/>
          </w:tcPr>
          <w:p w14:paraId="214CB16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Yes</w:t>
            </w:r>
          </w:p>
        </w:tc>
        <w:tc>
          <w:tcPr>
            <w:tcW w:w="2261" w:type="dxa"/>
          </w:tcPr>
          <w:p w14:paraId="163E712C"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w:t>
            </w:r>
          </w:p>
        </w:tc>
        <w:tc>
          <w:tcPr>
            <w:tcW w:w="2012" w:type="dxa"/>
          </w:tcPr>
          <w:p w14:paraId="748853A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1193" w:type="dxa"/>
          </w:tcPr>
          <w:p w14:paraId="2CFE80D1" w14:textId="77777777" w:rsidR="00D35ED0" w:rsidRPr="00B10C5F" w:rsidRDefault="00D35ED0" w:rsidP="00B10C5F">
            <w:pPr>
              <w:adjustRightInd w:val="0"/>
              <w:snapToGrid w:val="0"/>
              <w:ind w:firstLineChars="0" w:firstLine="0"/>
              <w:rPr>
                <w:rFonts w:ascii="Book Antiqua" w:hAnsi="Book Antiqua"/>
              </w:rPr>
            </w:pPr>
          </w:p>
        </w:tc>
        <w:tc>
          <w:tcPr>
            <w:tcW w:w="2170" w:type="dxa"/>
          </w:tcPr>
          <w:p w14:paraId="3AA0A6AC"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1796" w:type="dxa"/>
          </w:tcPr>
          <w:p w14:paraId="4026D8AB"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894" w:type="dxa"/>
          </w:tcPr>
          <w:p w14:paraId="2D52FD33"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2B7B31A8" w14:textId="77777777" w:rsidTr="00127D06">
        <w:trPr>
          <w:trHeight w:val="395"/>
        </w:trPr>
        <w:tc>
          <w:tcPr>
            <w:tcW w:w="2712" w:type="dxa"/>
          </w:tcPr>
          <w:p w14:paraId="1A6330A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Successful stone clearance</w:t>
            </w:r>
          </w:p>
        </w:tc>
        <w:tc>
          <w:tcPr>
            <w:tcW w:w="1136" w:type="dxa"/>
          </w:tcPr>
          <w:p w14:paraId="6A4D23D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No</w:t>
            </w:r>
          </w:p>
        </w:tc>
        <w:tc>
          <w:tcPr>
            <w:tcW w:w="2261" w:type="dxa"/>
          </w:tcPr>
          <w:p w14:paraId="2C6403E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2</w:t>
            </w:r>
          </w:p>
        </w:tc>
        <w:tc>
          <w:tcPr>
            <w:tcW w:w="2012" w:type="dxa"/>
          </w:tcPr>
          <w:p w14:paraId="13F5D1B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4</w:t>
            </w:r>
          </w:p>
        </w:tc>
        <w:tc>
          <w:tcPr>
            <w:tcW w:w="1193" w:type="dxa"/>
          </w:tcPr>
          <w:p w14:paraId="587B207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0.449</w:t>
            </w:r>
          </w:p>
        </w:tc>
        <w:tc>
          <w:tcPr>
            <w:tcW w:w="2170" w:type="dxa"/>
          </w:tcPr>
          <w:p w14:paraId="0698430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2</w:t>
            </w:r>
          </w:p>
        </w:tc>
        <w:tc>
          <w:tcPr>
            <w:tcW w:w="1796" w:type="dxa"/>
          </w:tcPr>
          <w:p w14:paraId="1A5125D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2</w:t>
            </w:r>
          </w:p>
        </w:tc>
        <w:tc>
          <w:tcPr>
            <w:tcW w:w="894" w:type="dxa"/>
          </w:tcPr>
          <w:p w14:paraId="3624591B"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1.000</w:t>
            </w:r>
          </w:p>
        </w:tc>
      </w:tr>
      <w:tr w:rsidR="00D35ED0" w:rsidRPr="00B10C5F" w14:paraId="3CB6AEAF" w14:textId="77777777" w:rsidTr="00127D06">
        <w:trPr>
          <w:trHeight w:val="395"/>
        </w:trPr>
        <w:tc>
          <w:tcPr>
            <w:tcW w:w="2712" w:type="dxa"/>
          </w:tcPr>
          <w:p w14:paraId="302CD37F" w14:textId="77777777" w:rsidR="00D35ED0" w:rsidRPr="00B10C5F" w:rsidRDefault="00D35ED0" w:rsidP="00B10C5F">
            <w:pPr>
              <w:adjustRightInd w:val="0"/>
              <w:snapToGrid w:val="0"/>
              <w:ind w:firstLineChars="0" w:firstLine="0"/>
              <w:rPr>
                <w:rFonts w:ascii="Book Antiqua" w:hAnsi="Book Antiqua"/>
              </w:rPr>
            </w:pPr>
          </w:p>
        </w:tc>
        <w:tc>
          <w:tcPr>
            <w:tcW w:w="1136" w:type="dxa"/>
          </w:tcPr>
          <w:p w14:paraId="42BA8455"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Yes</w:t>
            </w:r>
          </w:p>
        </w:tc>
        <w:tc>
          <w:tcPr>
            <w:tcW w:w="2261" w:type="dxa"/>
          </w:tcPr>
          <w:p w14:paraId="08737884"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144</w:t>
            </w:r>
          </w:p>
        </w:tc>
        <w:tc>
          <w:tcPr>
            <w:tcW w:w="2012" w:type="dxa"/>
          </w:tcPr>
          <w:p w14:paraId="50E305F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107</w:t>
            </w:r>
          </w:p>
        </w:tc>
        <w:tc>
          <w:tcPr>
            <w:tcW w:w="1193" w:type="dxa"/>
          </w:tcPr>
          <w:p w14:paraId="3067CBEA" w14:textId="77777777" w:rsidR="00D35ED0" w:rsidRPr="00B10C5F" w:rsidRDefault="00D35ED0" w:rsidP="00B10C5F">
            <w:pPr>
              <w:adjustRightInd w:val="0"/>
              <w:snapToGrid w:val="0"/>
              <w:ind w:firstLineChars="0" w:firstLine="0"/>
              <w:rPr>
                <w:rFonts w:ascii="Book Antiqua" w:hAnsi="Book Antiqua"/>
              </w:rPr>
            </w:pPr>
          </w:p>
        </w:tc>
        <w:tc>
          <w:tcPr>
            <w:tcW w:w="2170" w:type="dxa"/>
          </w:tcPr>
          <w:p w14:paraId="19068FED"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90</w:t>
            </w:r>
          </w:p>
        </w:tc>
        <w:tc>
          <w:tcPr>
            <w:tcW w:w="1796" w:type="dxa"/>
          </w:tcPr>
          <w:p w14:paraId="2BCC284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90</w:t>
            </w:r>
          </w:p>
        </w:tc>
        <w:tc>
          <w:tcPr>
            <w:tcW w:w="894" w:type="dxa"/>
          </w:tcPr>
          <w:p w14:paraId="5230FF15"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25DE1AEA" w14:textId="77777777" w:rsidTr="00127D06">
        <w:tc>
          <w:tcPr>
            <w:tcW w:w="2712" w:type="dxa"/>
          </w:tcPr>
          <w:p w14:paraId="4758322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Bile leakage</w:t>
            </w:r>
          </w:p>
        </w:tc>
        <w:tc>
          <w:tcPr>
            <w:tcW w:w="1136" w:type="dxa"/>
          </w:tcPr>
          <w:p w14:paraId="1D8A214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No</w:t>
            </w:r>
          </w:p>
        </w:tc>
        <w:tc>
          <w:tcPr>
            <w:tcW w:w="2261" w:type="dxa"/>
          </w:tcPr>
          <w:p w14:paraId="572B38F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137</w:t>
            </w:r>
          </w:p>
        </w:tc>
        <w:tc>
          <w:tcPr>
            <w:tcW w:w="2012" w:type="dxa"/>
          </w:tcPr>
          <w:p w14:paraId="30365BD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105</w:t>
            </w:r>
          </w:p>
        </w:tc>
        <w:tc>
          <w:tcPr>
            <w:tcW w:w="1193" w:type="dxa"/>
          </w:tcPr>
          <w:p w14:paraId="306D17D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0.797</w:t>
            </w:r>
          </w:p>
        </w:tc>
        <w:tc>
          <w:tcPr>
            <w:tcW w:w="2170" w:type="dxa"/>
          </w:tcPr>
          <w:p w14:paraId="6438BF24"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85</w:t>
            </w:r>
          </w:p>
        </w:tc>
        <w:tc>
          <w:tcPr>
            <w:tcW w:w="1796" w:type="dxa"/>
          </w:tcPr>
          <w:p w14:paraId="7009A3B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88</w:t>
            </w:r>
          </w:p>
        </w:tc>
        <w:tc>
          <w:tcPr>
            <w:tcW w:w="894" w:type="dxa"/>
          </w:tcPr>
          <w:p w14:paraId="3CDA82F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0.351</w:t>
            </w:r>
          </w:p>
        </w:tc>
      </w:tr>
      <w:tr w:rsidR="00D35ED0" w:rsidRPr="00B10C5F" w14:paraId="01A84AE3" w14:textId="77777777" w:rsidTr="00127D06">
        <w:tc>
          <w:tcPr>
            <w:tcW w:w="2712" w:type="dxa"/>
          </w:tcPr>
          <w:p w14:paraId="54BB41CC" w14:textId="77777777" w:rsidR="00D35ED0" w:rsidRPr="00B10C5F" w:rsidRDefault="00D35ED0" w:rsidP="00B10C5F">
            <w:pPr>
              <w:adjustRightInd w:val="0"/>
              <w:snapToGrid w:val="0"/>
              <w:ind w:firstLineChars="0" w:firstLine="0"/>
              <w:rPr>
                <w:rFonts w:ascii="Book Antiqua" w:hAnsi="Book Antiqua"/>
              </w:rPr>
            </w:pPr>
          </w:p>
        </w:tc>
        <w:tc>
          <w:tcPr>
            <w:tcW w:w="1136" w:type="dxa"/>
          </w:tcPr>
          <w:p w14:paraId="2ED8113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Yes</w:t>
            </w:r>
          </w:p>
        </w:tc>
        <w:tc>
          <w:tcPr>
            <w:tcW w:w="2261" w:type="dxa"/>
          </w:tcPr>
          <w:p w14:paraId="321855B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w:t>
            </w:r>
          </w:p>
        </w:tc>
        <w:tc>
          <w:tcPr>
            <w:tcW w:w="2012" w:type="dxa"/>
          </w:tcPr>
          <w:p w14:paraId="6A9D7AA3"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6</w:t>
            </w:r>
          </w:p>
        </w:tc>
        <w:tc>
          <w:tcPr>
            <w:tcW w:w="1193" w:type="dxa"/>
          </w:tcPr>
          <w:p w14:paraId="3676B6A7" w14:textId="77777777" w:rsidR="00D35ED0" w:rsidRPr="00B10C5F" w:rsidRDefault="00D35ED0" w:rsidP="00B10C5F">
            <w:pPr>
              <w:adjustRightInd w:val="0"/>
              <w:snapToGrid w:val="0"/>
              <w:ind w:firstLineChars="0" w:firstLine="0"/>
              <w:rPr>
                <w:rFonts w:ascii="Book Antiqua" w:hAnsi="Book Antiqua"/>
              </w:rPr>
            </w:pPr>
          </w:p>
        </w:tc>
        <w:tc>
          <w:tcPr>
            <w:tcW w:w="2170" w:type="dxa"/>
          </w:tcPr>
          <w:p w14:paraId="0349ECA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7</w:t>
            </w:r>
          </w:p>
        </w:tc>
        <w:tc>
          <w:tcPr>
            <w:tcW w:w="1796" w:type="dxa"/>
          </w:tcPr>
          <w:p w14:paraId="460971A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4</w:t>
            </w:r>
          </w:p>
        </w:tc>
        <w:tc>
          <w:tcPr>
            <w:tcW w:w="894" w:type="dxa"/>
          </w:tcPr>
          <w:p w14:paraId="735AE8F7"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32253D6F" w14:textId="77777777" w:rsidTr="00127D06">
        <w:tc>
          <w:tcPr>
            <w:tcW w:w="2712" w:type="dxa"/>
          </w:tcPr>
          <w:p w14:paraId="304DA36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Bleeding</w:t>
            </w:r>
          </w:p>
        </w:tc>
        <w:tc>
          <w:tcPr>
            <w:tcW w:w="1136" w:type="dxa"/>
          </w:tcPr>
          <w:p w14:paraId="2D81B3E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No</w:t>
            </w:r>
          </w:p>
        </w:tc>
        <w:tc>
          <w:tcPr>
            <w:tcW w:w="2261" w:type="dxa"/>
          </w:tcPr>
          <w:p w14:paraId="63E081D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145</w:t>
            </w:r>
          </w:p>
        </w:tc>
        <w:tc>
          <w:tcPr>
            <w:tcW w:w="2012" w:type="dxa"/>
          </w:tcPr>
          <w:p w14:paraId="36E13B0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111</w:t>
            </w:r>
          </w:p>
        </w:tc>
        <w:tc>
          <w:tcPr>
            <w:tcW w:w="1193" w:type="dxa"/>
          </w:tcPr>
          <w:p w14:paraId="79A1721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1.000</w:t>
            </w:r>
          </w:p>
        </w:tc>
        <w:tc>
          <w:tcPr>
            <w:tcW w:w="2170" w:type="dxa"/>
          </w:tcPr>
          <w:p w14:paraId="41A40A85"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91</w:t>
            </w:r>
          </w:p>
        </w:tc>
        <w:tc>
          <w:tcPr>
            <w:tcW w:w="1796" w:type="dxa"/>
          </w:tcPr>
          <w:p w14:paraId="4D346283"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92</w:t>
            </w:r>
          </w:p>
        </w:tc>
        <w:tc>
          <w:tcPr>
            <w:tcW w:w="894" w:type="dxa"/>
          </w:tcPr>
          <w:p w14:paraId="6DB41F64"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1.000</w:t>
            </w:r>
          </w:p>
        </w:tc>
      </w:tr>
      <w:tr w:rsidR="00D35ED0" w:rsidRPr="00B10C5F" w14:paraId="79BE7659" w14:textId="77777777" w:rsidTr="00127D06">
        <w:tc>
          <w:tcPr>
            <w:tcW w:w="2712" w:type="dxa"/>
          </w:tcPr>
          <w:p w14:paraId="59B299C6" w14:textId="77777777" w:rsidR="00D35ED0" w:rsidRPr="00B10C5F" w:rsidRDefault="00D35ED0" w:rsidP="00B10C5F">
            <w:pPr>
              <w:adjustRightInd w:val="0"/>
              <w:snapToGrid w:val="0"/>
              <w:ind w:firstLineChars="0" w:firstLine="0"/>
              <w:rPr>
                <w:rFonts w:ascii="Book Antiqua" w:hAnsi="Book Antiqua"/>
              </w:rPr>
            </w:pPr>
          </w:p>
        </w:tc>
        <w:tc>
          <w:tcPr>
            <w:tcW w:w="1136" w:type="dxa"/>
          </w:tcPr>
          <w:p w14:paraId="33C2219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Yes</w:t>
            </w:r>
          </w:p>
        </w:tc>
        <w:tc>
          <w:tcPr>
            <w:tcW w:w="2261" w:type="dxa"/>
          </w:tcPr>
          <w:p w14:paraId="398F5D78"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w:t>
            </w:r>
          </w:p>
        </w:tc>
        <w:tc>
          <w:tcPr>
            <w:tcW w:w="2012" w:type="dxa"/>
          </w:tcPr>
          <w:p w14:paraId="4C01A69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1193" w:type="dxa"/>
          </w:tcPr>
          <w:p w14:paraId="76612BE6" w14:textId="77777777" w:rsidR="00D35ED0" w:rsidRPr="00B10C5F" w:rsidRDefault="00D35ED0" w:rsidP="00B10C5F">
            <w:pPr>
              <w:adjustRightInd w:val="0"/>
              <w:snapToGrid w:val="0"/>
              <w:ind w:firstLineChars="0" w:firstLine="0"/>
              <w:rPr>
                <w:rFonts w:ascii="Book Antiqua" w:hAnsi="Book Antiqua"/>
              </w:rPr>
            </w:pPr>
          </w:p>
        </w:tc>
        <w:tc>
          <w:tcPr>
            <w:tcW w:w="2170" w:type="dxa"/>
          </w:tcPr>
          <w:p w14:paraId="08DDFB1D"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w:t>
            </w:r>
          </w:p>
        </w:tc>
        <w:tc>
          <w:tcPr>
            <w:tcW w:w="1796" w:type="dxa"/>
          </w:tcPr>
          <w:p w14:paraId="46F73205"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894" w:type="dxa"/>
          </w:tcPr>
          <w:p w14:paraId="1446C349"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592145B6" w14:textId="77777777" w:rsidTr="00127D06">
        <w:tc>
          <w:tcPr>
            <w:tcW w:w="2712" w:type="dxa"/>
          </w:tcPr>
          <w:p w14:paraId="1ACF2254"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Abdominal infection</w:t>
            </w:r>
          </w:p>
        </w:tc>
        <w:tc>
          <w:tcPr>
            <w:tcW w:w="1136" w:type="dxa"/>
          </w:tcPr>
          <w:p w14:paraId="1764BCD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No</w:t>
            </w:r>
          </w:p>
        </w:tc>
        <w:tc>
          <w:tcPr>
            <w:tcW w:w="2261" w:type="dxa"/>
          </w:tcPr>
          <w:p w14:paraId="0EAE6E03"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138</w:t>
            </w:r>
          </w:p>
        </w:tc>
        <w:tc>
          <w:tcPr>
            <w:tcW w:w="2012" w:type="dxa"/>
          </w:tcPr>
          <w:p w14:paraId="54BF290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106</w:t>
            </w:r>
          </w:p>
        </w:tc>
        <w:tc>
          <w:tcPr>
            <w:tcW w:w="1193" w:type="dxa"/>
          </w:tcPr>
          <w:p w14:paraId="4494E2E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0.724</w:t>
            </w:r>
          </w:p>
        </w:tc>
        <w:tc>
          <w:tcPr>
            <w:tcW w:w="2170" w:type="dxa"/>
          </w:tcPr>
          <w:p w14:paraId="1ED0B193"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85</w:t>
            </w:r>
          </w:p>
        </w:tc>
        <w:tc>
          <w:tcPr>
            <w:tcW w:w="1796" w:type="dxa"/>
          </w:tcPr>
          <w:p w14:paraId="4739141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88</w:t>
            </w:r>
          </w:p>
        </w:tc>
        <w:tc>
          <w:tcPr>
            <w:tcW w:w="894" w:type="dxa"/>
          </w:tcPr>
          <w:p w14:paraId="73C49F54"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0.351</w:t>
            </w:r>
          </w:p>
        </w:tc>
      </w:tr>
      <w:tr w:rsidR="00D35ED0" w:rsidRPr="00B10C5F" w14:paraId="642C4DB0" w14:textId="77777777" w:rsidTr="00127D06">
        <w:tc>
          <w:tcPr>
            <w:tcW w:w="2712" w:type="dxa"/>
          </w:tcPr>
          <w:p w14:paraId="6C7C3C0B" w14:textId="77777777" w:rsidR="00D35ED0" w:rsidRPr="00B10C5F" w:rsidRDefault="00D35ED0" w:rsidP="00B10C5F">
            <w:pPr>
              <w:adjustRightInd w:val="0"/>
              <w:snapToGrid w:val="0"/>
              <w:ind w:firstLineChars="0" w:firstLine="0"/>
              <w:rPr>
                <w:rFonts w:ascii="Book Antiqua" w:hAnsi="Book Antiqua"/>
              </w:rPr>
            </w:pPr>
          </w:p>
        </w:tc>
        <w:tc>
          <w:tcPr>
            <w:tcW w:w="1136" w:type="dxa"/>
          </w:tcPr>
          <w:p w14:paraId="75186588"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Yes</w:t>
            </w:r>
          </w:p>
        </w:tc>
        <w:tc>
          <w:tcPr>
            <w:tcW w:w="2261" w:type="dxa"/>
          </w:tcPr>
          <w:p w14:paraId="43FC1635"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8</w:t>
            </w:r>
          </w:p>
        </w:tc>
        <w:tc>
          <w:tcPr>
            <w:tcW w:w="2012" w:type="dxa"/>
          </w:tcPr>
          <w:p w14:paraId="38ECB63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5</w:t>
            </w:r>
          </w:p>
        </w:tc>
        <w:tc>
          <w:tcPr>
            <w:tcW w:w="1193" w:type="dxa"/>
          </w:tcPr>
          <w:p w14:paraId="6C170FFA" w14:textId="77777777" w:rsidR="00D35ED0" w:rsidRPr="00B10C5F" w:rsidRDefault="00D35ED0" w:rsidP="00B10C5F">
            <w:pPr>
              <w:adjustRightInd w:val="0"/>
              <w:snapToGrid w:val="0"/>
              <w:ind w:firstLineChars="0" w:firstLine="0"/>
              <w:rPr>
                <w:rFonts w:ascii="Book Antiqua" w:hAnsi="Book Antiqua"/>
              </w:rPr>
            </w:pPr>
          </w:p>
        </w:tc>
        <w:tc>
          <w:tcPr>
            <w:tcW w:w="2170" w:type="dxa"/>
          </w:tcPr>
          <w:p w14:paraId="4BCCEC45"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7</w:t>
            </w:r>
          </w:p>
        </w:tc>
        <w:tc>
          <w:tcPr>
            <w:tcW w:w="1796" w:type="dxa"/>
          </w:tcPr>
          <w:p w14:paraId="0F90F60D"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4</w:t>
            </w:r>
          </w:p>
        </w:tc>
        <w:tc>
          <w:tcPr>
            <w:tcW w:w="894" w:type="dxa"/>
          </w:tcPr>
          <w:p w14:paraId="473C022D"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5D1B09AA" w14:textId="77777777" w:rsidTr="00127D06">
        <w:tc>
          <w:tcPr>
            <w:tcW w:w="2712" w:type="dxa"/>
          </w:tcPr>
          <w:p w14:paraId="12AD54D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Pneumonia</w:t>
            </w:r>
          </w:p>
        </w:tc>
        <w:tc>
          <w:tcPr>
            <w:tcW w:w="1136" w:type="dxa"/>
          </w:tcPr>
          <w:p w14:paraId="1E9DB32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No</w:t>
            </w:r>
          </w:p>
        </w:tc>
        <w:tc>
          <w:tcPr>
            <w:tcW w:w="2261" w:type="dxa"/>
          </w:tcPr>
          <w:p w14:paraId="22ED8A6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138</w:t>
            </w:r>
          </w:p>
        </w:tc>
        <w:tc>
          <w:tcPr>
            <w:tcW w:w="2012" w:type="dxa"/>
          </w:tcPr>
          <w:p w14:paraId="0DE23DC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110</w:t>
            </w:r>
          </w:p>
        </w:tc>
        <w:tc>
          <w:tcPr>
            <w:tcW w:w="1193" w:type="dxa"/>
          </w:tcPr>
          <w:p w14:paraId="3B679D0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0.102</w:t>
            </w:r>
          </w:p>
        </w:tc>
        <w:tc>
          <w:tcPr>
            <w:tcW w:w="2170" w:type="dxa"/>
          </w:tcPr>
          <w:p w14:paraId="110105AB"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86</w:t>
            </w:r>
          </w:p>
        </w:tc>
        <w:tc>
          <w:tcPr>
            <w:tcW w:w="1796" w:type="dxa"/>
          </w:tcPr>
          <w:p w14:paraId="6F4333F4"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91</w:t>
            </w:r>
          </w:p>
        </w:tc>
        <w:tc>
          <w:tcPr>
            <w:tcW w:w="894" w:type="dxa"/>
          </w:tcPr>
          <w:p w14:paraId="002D18B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0.123</w:t>
            </w:r>
          </w:p>
        </w:tc>
      </w:tr>
      <w:tr w:rsidR="00D35ED0" w:rsidRPr="00B10C5F" w14:paraId="5684C746" w14:textId="77777777" w:rsidTr="00127D06">
        <w:tc>
          <w:tcPr>
            <w:tcW w:w="2712" w:type="dxa"/>
          </w:tcPr>
          <w:p w14:paraId="714E9406" w14:textId="77777777" w:rsidR="00D35ED0" w:rsidRPr="00B10C5F" w:rsidRDefault="00D35ED0" w:rsidP="00B10C5F">
            <w:pPr>
              <w:adjustRightInd w:val="0"/>
              <w:snapToGrid w:val="0"/>
              <w:ind w:firstLineChars="0" w:firstLine="0"/>
              <w:rPr>
                <w:rFonts w:ascii="Book Antiqua" w:hAnsi="Book Antiqua"/>
              </w:rPr>
            </w:pPr>
          </w:p>
        </w:tc>
        <w:tc>
          <w:tcPr>
            <w:tcW w:w="1136" w:type="dxa"/>
          </w:tcPr>
          <w:p w14:paraId="6E91AD8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Yes</w:t>
            </w:r>
          </w:p>
        </w:tc>
        <w:tc>
          <w:tcPr>
            <w:tcW w:w="2261" w:type="dxa"/>
          </w:tcPr>
          <w:p w14:paraId="65BAFDEA"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8</w:t>
            </w:r>
          </w:p>
        </w:tc>
        <w:tc>
          <w:tcPr>
            <w:tcW w:w="2012" w:type="dxa"/>
          </w:tcPr>
          <w:p w14:paraId="51ABED2C"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w:t>
            </w:r>
          </w:p>
        </w:tc>
        <w:tc>
          <w:tcPr>
            <w:tcW w:w="1193" w:type="dxa"/>
          </w:tcPr>
          <w:p w14:paraId="4BB691CB" w14:textId="77777777" w:rsidR="00D35ED0" w:rsidRPr="00B10C5F" w:rsidRDefault="00D35ED0" w:rsidP="00B10C5F">
            <w:pPr>
              <w:adjustRightInd w:val="0"/>
              <w:snapToGrid w:val="0"/>
              <w:ind w:firstLineChars="0" w:firstLine="0"/>
              <w:rPr>
                <w:rFonts w:ascii="Book Antiqua" w:hAnsi="Book Antiqua"/>
              </w:rPr>
            </w:pPr>
          </w:p>
        </w:tc>
        <w:tc>
          <w:tcPr>
            <w:tcW w:w="2170" w:type="dxa"/>
          </w:tcPr>
          <w:p w14:paraId="3603E64C"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6</w:t>
            </w:r>
          </w:p>
        </w:tc>
        <w:tc>
          <w:tcPr>
            <w:tcW w:w="1796" w:type="dxa"/>
          </w:tcPr>
          <w:p w14:paraId="4EA6CB5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w:t>
            </w:r>
          </w:p>
        </w:tc>
        <w:tc>
          <w:tcPr>
            <w:tcW w:w="894" w:type="dxa"/>
          </w:tcPr>
          <w:p w14:paraId="6FD4EC93"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3D1102A8" w14:textId="77777777" w:rsidTr="00127D06">
        <w:tc>
          <w:tcPr>
            <w:tcW w:w="2712" w:type="dxa"/>
          </w:tcPr>
          <w:p w14:paraId="3EDDBCA5"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Incision infection</w:t>
            </w:r>
          </w:p>
        </w:tc>
        <w:tc>
          <w:tcPr>
            <w:tcW w:w="1136" w:type="dxa"/>
          </w:tcPr>
          <w:p w14:paraId="5B9AD53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No</w:t>
            </w:r>
          </w:p>
        </w:tc>
        <w:tc>
          <w:tcPr>
            <w:tcW w:w="2261" w:type="dxa"/>
          </w:tcPr>
          <w:p w14:paraId="5DF27F9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140</w:t>
            </w:r>
          </w:p>
        </w:tc>
        <w:tc>
          <w:tcPr>
            <w:tcW w:w="2012" w:type="dxa"/>
          </w:tcPr>
          <w:p w14:paraId="3B14965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110</w:t>
            </w:r>
          </w:p>
        </w:tc>
        <w:tc>
          <w:tcPr>
            <w:tcW w:w="1193" w:type="dxa"/>
          </w:tcPr>
          <w:p w14:paraId="1FD7ADEB"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0.239</w:t>
            </w:r>
          </w:p>
        </w:tc>
        <w:tc>
          <w:tcPr>
            <w:tcW w:w="2170" w:type="dxa"/>
          </w:tcPr>
          <w:p w14:paraId="3037D9F4"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88</w:t>
            </w:r>
          </w:p>
        </w:tc>
        <w:tc>
          <w:tcPr>
            <w:tcW w:w="1796" w:type="dxa"/>
          </w:tcPr>
          <w:p w14:paraId="69B1275A"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92</w:t>
            </w:r>
          </w:p>
        </w:tc>
        <w:tc>
          <w:tcPr>
            <w:tcW w:w="894" w:type="dxa"/>
          </w:tcPr>
          <w:p w14:paraId="4C3F8CF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0.129</w:t>
            </w:r>
          </w:p>
        </w:tc>
      </w:tr>
      <w:tr w:rsidR="00D35ED0" w:rsidRPr="00B10C5F" w14:paraId="30ACA8F8" w14:textId="77777777" w:rsidTr="00127D06">
        <w:tc>
          <w:tcPr>
            <w:tcW w:w="2712" w:type="dxa"/>
          </w:tcPr>
          <w:p w14:paraId="509FAFB6" w14:textId="77777777" w:rsidR="00D35ED0" w:rsidRPr="00B10C5F" w:rsidRDefault="00D35ED0" w:rsidP="00B10C5F">
            <w:pPr>
              <w:adjustRightInd w:val="0"/>
              <w:snapToGrid w:val="0"/>
              <w:ind w:firstLineChars="0" w:firstLine="0"/>
              <w:rPr>
                <w:rFonts w:ascii="Book Antiqua" w:hAnsi="Book Antiqua"/>
              </w:rPr>
            </w:pPr>
          </w:p>
        </w:tc>
        <w:tc>
          <w:tcPr>
            <w:tcW w:w="1136" w:type="dxa"/>
          </w:tcPr>
          <w:p w14:paraId="1924BA4D"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Yes</w:t>
            </w:r>
          </w:p>
        </w:tc>
        <w:tc>
          <w:tcPr>
            <w:tcW w:w="2261" w:type="dxa"/>
          </w:tcPr>
          <w:p w14:paraId="310BE60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6</w:t>
            </w:r>
          </w:p>
        </w:tc>
        <w:tc>
          <w:tcPr>
            <w:tcW w:w="2012" w:type="dxa"/>
          </w:tcPr>
          <w:p w14:paraId="3083798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w:t>
            </w:r>
          </w:p>
        </w:tc>
        <w:tc>
          <w:tcPr>
            <w:tcW w:w="1193" w:type="dxa"/>
          </w:tcPr>
          <w:p w14:paraId="3ED9D642" w14:textId="77777777" w:rsidR="00D35ED0" w:rsidRPr="00B10C5F" w:rsidRDefault="00D35ED0" w:rsidP="00B10C5F">
            <w:pPr>
              <w:adjustRightInd w:val="0"/>
              <w:snapToGrid w:val="0"/>
              <w:ind w:firstLineChars="0" w:firstLine="0"/>
              <w:rPr>
                <w:rFonts w:ascii="Book Antiqua" w:hAnsi="Book Antiqua"/>
              </w:rPr>
            </w:pPr>
          </w:p>
        </w:tc>
        <w:tc>
          <w:tcPr>
            <w:tcW w:w="2170" w:type="dxa"/>
          </w:tcPr>
          <w:p w14:paraId="45FD6DE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4</w:t>
            </w:r>
          </w:p>
        </w:tc>
        <w:tc>
          <w:tcPr>
            <w:tcW w:w="1796" w:type="dxa"/>
          </w:tcPr>
          <w:p w14:paraId="266D2AA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894" w:type="dxa"/>
          </w:tcPr>
          <w:p w14:paraId="450A214F"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7B36D4B9" w14:textId="77777777" w:rsidTr="00127D06">
        <w:trPr>
          <w:trHeight w:val="417"/>
        </w:trPr>
        <w:tc>
          <w:tcPr>
            <w:tcW w:w="2712" w:type="dxa"/>
          </w:tcPr>
          <w:p w14:paraId="6ADB00B1" w14:textId="146C3D5D"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Postoperative hospital </w:t>
            </w:r>
            <w:proofErr w:type="gramStart"/>
            <w:r w:rsidRPr="00B10C5F">
              <w:rPr>
                <w:rFonts w:ascii="Book Antiqua" w:hAnsi="Book Antiqua"/>
              </w:rPr>
              <w:t>stay</w:t>
            </w:r>
            <w:proofErr w:type="gramEnd"/>
            <w:r w:rsidRPr="00B10C5F">
              <w:rPr>
                <w:rFonts w:ascii="Book Antiqua" w:hAnsi="Book Antiqua"/>
              </w:rPr>
              <w:t xml:space="preserve"> </w:t>
            </w:r>
            <w:r w:rsidR="00302D08">
              <w:rPr>
                <w:rFonts w:ascii="Book Antiqua" w:hAnsi="Book Antiqua"/>
              </w:rPr>
              <w:t xml:space="preserve">in </w:t>
            </w:r>
            <w:r w:rsidRPr="00B10C5F">
              <w:rPr>
                <w:rFonts w:ascii="Book Antiqua" w:hAnsi="Book Antiqua"/>
              </w:rPr>
              <w:t>d</w:t>
            </w:r>
          </w:p>
        </w:tc>
        <w:tc>
          <w:tcPr>
            <w:tcW w:w="1136" w:type="dxa"/>
          </w:tcPr>
          <w:p w14:paraId="6EB674E4" w14:textId="77777777" w:rsidR="00D35ED0" w:rsidRPr="00B10C5F" w:rsidRDefault="00D35ED0" w:rsidP="00B10C5F">
            <w:pPr>
              <w:adjustRightInd w:val="0"/>
              <w:snapToGrid w:val="0"/>
              <w:ind w:firstLineChars="0" w:firstLine="0"/>
              <w:rPr>
                <w:rFonts w:ascii="Book Antiqua" w:hAnsi="Book Antiqua"/>
              </w:rPr>
            </w:pPr>
          </w:p>
        </w:tc>
        <w:tc>
          <w:tcPr>
            <w:tcW w:w="2261" w:type="dxa"/>
          </w:tcPr>
          <w:p w14:paraId="68AF52ED"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7.7 ± 2.7</w:t>
            </w:r>
          </w:p>
        </w:tc>
        <w:tc>
          <w:tcPr>
            <w:tcW w:w="2012" w:type="dxa"/>
          </w:tcPr>
          <w:p w14:paraId="290D30E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7.4 ± 3.6</w:t>
            </w:r>
          </w:p>
        </w:tc>
        <w:tc>
          <w:tcPr>
            <w:tcW w:w="1193" w:type="dxa"/>
          </w:tcPr>
          <w:p w14:paraId="7A1AE45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0.406</w:t>
            </w:r>
          </w:p>
        </w:tc>
        <w:tc>
          <w:tcPr>
            <w:tcW w:w="2170" w:type="dxa"/>
          </w:tcPr>
          <w:p w14:paraId="74B6BB3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7.7 </w:t>
            </w:r>
            <w:r w:rsidRPr="00B10C5F">
              <w:rPr>
                <w:rFonts w:ascii="Book Antiqua" w:hAnsi="Book Antiqua"/>
                <w:color w:val="000000" w:themeColor="text1"/>
              </w:rPr>
              <w:t>± 2.7</w:t>
            </w:r>
          </w:p>
        </w:tc>
        <w:tc>
          <w:tcPr>
            <w:tcW w:w="1796" w:type="dxa"/>
          </w:tcPr>
          <w:p w14:paraId="21381BB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7.3 </w:t>
            </w:r>
            <w:r w:rsidRPr="00B10C5F">
              <w:rPr>
                <w:rFonts w:ascii="Book Antiqua" w:hAnsi="Book Antiqua"/>
                <w:color w:val="000000" w:themeColor="text1"/>
              </w:rPr>
              <w:t>± 3.7</w:t>
            </w:r>
          </w:p>
        </w:tc>
        <w:tc>
          <w:tcPr>
            <w:tcW w:w="894" w:type="dxa"/>
          </w:tcPr>
          <w:p w14:paraId="008B4DDD"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0.392</w:t>
            </w:r>
          </w:p>
        </w:tc>
      </w:tr>
    </w:tbl>
    <w:p w14:paraId="689DC60D" w14:textId="4AC9BBD6" w:rsidR="00D35ED0" w:rsidRPr="00B10C5F" w:rsidRDefault="00112107" w:rsidP="00B10C5F">
      <w:pPr>
        <w:adjustRightInd w:val="0"/>
        <w:snapToGrid w:val="0"/>
        <w:spacing w:line="360" w:lineRule="auto"/>
        <w:jc w:val="both"/>
        <w:rPr>
          <w:rFonts w:ascii="Book Antiqua" w:eastAsia="Book Antiqua" w:hAnsi="Book Antiqua" w:cs="Book Antiqua"/>
          <w:color w:val="000000"/>
        </w:rPr>
      </w:pPr>
      <w:r w:rsidRPr="00B10C5F">
        <w:rPr>
          <w:rFonts w:ascii="Book Antiqua" w:hAnsi="Book Antiqua" w:cs="Book Antiqua"/>
          <w:color w:val="000000"/>
          <w:lang w:eastAsia="zh-CN"/>
        </w:rPr>
        <w:t>CBD:</w:t>
      </w:r>
      <w:r w:rsidR="007E4434" w:rsidRPr="00B10C5F">
        <w:rPr>
          <w:rFonts w:ascii="Book Antiqua" w:hAnsi="Book Antiqua" w:cs="Book Antiqua"/>
          <w:color w:val="000000"/>
          <w:lang w:eastAsia="zh-CN"/>
        </w:rPr>
        <w:t xml:space="preserve"> </w:t>
      </w:r>
      <w:r w:rsidRPr="00B10C5F">
        <w:rPr>
          <w:rFonts w:ascii="Book Antiqua" w:eastAsia="Book Antiqua" w:hAnsi="Book Antiqua" w:cs="Book Antiqua"/>
          <w:color w:val="000000"/>
        </w:rPr>
        <w:t>Common</w:t>
      </w:r>
      <w:r w:rsidR="007E4434"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bile</w:t>
      </w:r>
      <w:r w:rsidR="007E4434"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duct.</w:t>
      </w:r>
    </w:p>
    <w:p w14:paraId="52C09343" w14:textId="77777777" w:rsidR="00127D06" w:rsidRPr="00B10C5F" w:rsidRDefault="00127D06" w:rsidP="00B10C5F">
      <w:pPr>
        <w:adjustRightInd w:val="0"/>
        <w:snapToGrid w:val="0"/>
        <w:spacing w:line="360" w:lineRule="auto"/>
        <w:jc w:val="both"/>
        <w:rPr>
          <w:rFonts w:ascii="Book Antiqua" w:hAnsi="Book Antiqua"/>
        </w:rPr>
        <w:sectPr w:rsidR="00127D06" w:rsidRPr="00B10C5F" w:rsidSect="00720AF0">
          <w:type w:val="continuous"/>
          <w:pgSz w:w="16838" w:h="11906" w:orient="landscape"/>
          <w:pgMar w:top="1440" w:right="1800" w:bottom="1440" w:left="1800" w:header="851" w:footer="992" w:gutter="0"/>
          <w:cols w:space="425"/>
          <w:docGrid w:type="lines" w:linePitch="312"/>
        </w:sectPr>
      </w:pPr>
    </w:p>
    <w:p w14:paraId="07C3C056" w14:textId="709114C5" w:rsidR="00D35ED0" w:rsidRPr="00B10C5F" w:rsidRDefault="001024C4" w:rsidP="00B10C5F">
      <w:pPr>
        <w:adjustRightInd w:val="0"/>
        <w:snapToGrid w:val="0"/>
        <w:spacing w:line="360" w:lineRule="auto"/>
        <w:jc w:val="both"/>
        <w:rPr>
          <w:rFonts w:ascii="Book Antiqua" w:hAnsi="Book Antiqua"/>
          <w:b/>
          <w:bCs/>
        </w:rPr>
      </w:pPr>
      <w:r w:rsidRPr="00B10C5F">
        <w:rPr>
          <w:rFonts w:ascii="Book Antiqua" w:hAnsi="Book Antiqua"/>
          <w:b/>
          <w:bCs/>
        </w:rPr>
        <w:lastRenderedPageBreak/>
        <w:br w:type="page"/>
      </w:r>
      <w:r w:rsidR="00D35ED0" w:rsidRPr="00B10C5F">
        <w:rPr>
          <w:rFonts w:ascii="Book Antiqua" w:hAnsi="Book Antiqua"/>
          <w:b/>
          <w:bCs/>
        </w:rPr>
        <w:lastRenderedPageBreak/>
        <w:t xml:space="preserve">Table 3 Procedure-related long-term outcomes of the small </w:t>
      </w:r>
      <w:r w:rsidR="00112107" w:rsidRPr="00B10C5F">
        <w:rPr>
          <w:rFonts w:ascii="Book Antiqua" w:eastAsia="Book Antiqua" w:hAnsi="Book Antiqua" w:cs="Book Antiqua"/>
          <w:b/>
          <w:bCs/>
          <w:color w:val="000000"/>
        </w:rPr>
        <w:t>common bile duct</w:t>
      </w:r>
      <w:r w:rsidR="00D35ED0" w:rsidRPr="00B10C5F">
        <w:rPr>
          <w:rFonts w:ascii="Book Antiqua" w:hAnsi="Book Antiqua"/>
          <w:b/>
          <w:bCs/>
        </w:rPr>
        <w:t xml:space="preserve"> and large </w:t>
      </w:r>
      <w:r w:rsidR="00112107" w:rsidRPr="00B10C5F">
        <w:rPr>
          <w:rFonts w:ascii="Book Antiqua" w:eastAsia="Book Antiqua" w:hAnsi="Book Antiqua" w:cs="Book Antiqua"/>
          <w:b/>
          <w:bCs/>
          <w:color w:val="000000"/>
        </w:rPr>
        <w:t>common bile duct</w:t>
      </w:r>
      <w:r w:rsidR="00D35ED0" w:rsidRPr="00B10C5F">
        <w:rPr>
          <w:rFonts w:ascii="Book Antiqua" w:hAnsi="Book Antiqua"/>
          <w:b/>
          <w:bCs/>
        </w:rPr>
        <w:t xml:space="preserve"> groups</w:t>
      </w:r>
    </w:p>
    <w:tbl>
      <w:tblPr>
        <w:tblStyle w:val="a7"/>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739"/>
        <w:gridCol w:w="1164"/>
        <w:gridCol w:w="1138"/>
        <w:gridCol w:w="890"/>
        <w:gridCol w:w="1265"/>
        <w:gridCol w:w="1278"/>
        <w:gridCol w:w="985"/>
      </w:tblGrid>
      <w:tr w:rsidR="00D35ED0" w:rsidRPr="00B10C5F" w14:paraId="482F2491" w14:textId="77777777" w:rsidTr="009F50D0">
        <w:tc>
          <w:tcPr>
            <w:tcW w:w="2728" w:type="dxa"/>
            <w:gridSpan w:val="2"/>
            <w:tcBorders>
              <w:top w:val="single" w:sz="4" w:space="0" w:color="auto"/>
              <w:bottom w:val="nil"/>
            </w:tcBorders>
          </w:tcPr>
          <w:p w14:paraId="7BB6597D" w14:textId="77777777" w:rsidR="00D35ED0" w:rsidRPr="00B10C5F" w:rsidRDefault="00D35ED0" w:rsidP="00B10C5F">
            <w:pPr>
              <w:adjustRightInd w:val="0"/>
              <w:snapToGrid w:val="0"/>
              <w:ind w:firstLineChars="0" w:firstLine="0"/>
              <w:rPr>
                <w:rFonts w:ascii="Book Antiqua" w:hAnsi="Book Antiqua"/>
              </w:rPr>
            </w:pPr>
          </w:p>
        </w:tc>
        <w:tc>
          <w:tcPr>
            <w:tcW w:w="4966" w:type="dxa"/>
            <w:gridSpan w:val="3"/>
            <w:tcBorders>
              <w:top w:val="single" w:sz="4" w:space="0" w:color="auto"/>
              <w:bottom w:val="single" w:sz="4" w:space="0" w:color="auto"/>
            </w:tcBorders>
          </w:tcPr>
          <w:p w14:paraId="1D93FDBC" w14:textId="5E681E97"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Before matching</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257</w:t>
            </w:r>
          </w:p>
        </w:tc>
        <w:tc>
          <w:tcPr>
            <w:tcW w:w="6170" w:type="dxa"/>
            <w:gridSpan w:val="3"/>
            <w:tcBorders>
              <w:top w:val="single" w:sz="4" w:space="0" w:color="auto"/>
              <w:bottom w:val="single" w:sz="4" w:space="0" w:color="auto"/>
            </w:tcBorders>
          </w:tcPr>
          <w:p w14:paraId="5179C95F" w14:textId="1BAD5719"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After matching</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w:t>
            </w:r>
            <w:r w:rsidRPr="00B10C5F">
              <w:rPr>
                <w:rFonts w:ascii="Book Antiqua" w:hAnsi="Book Antiqua"/>
                <w:b/>
                <w:bCs/>
                <w:color w:val="000000" w:themeColor="text1"/>
              </w:rPr>
              <w:t>184</w:t>
            </w:r>
          </w:p>
        </w:tc>
      </w:tr>
      <w:tr w:rsidR="00D35ED0" w:rsidRPr="00B10C5F" w14:paraId="364C2887" w14:textId="77777777" w:rsidTr="009F50D0">
        <w:tc>
          <w:tcPr>
            <w:tcW w:w="2728" w:type="dxa"/>
            <w:gridSpan w:val="2"/>
            <w:tcBorders>
              <w:top w:val="nil"/>
              <w:bottom w:val="single" w:sz="4" w:space="0" w:color="auto"/>
            </w:tcBorders>
          </w:tcPr>
          <w:p w14:paraId="539AAD76" w14:textId="77777777" w:rsidR="00D35ED0" w:rsidRPr="00B10C5F" w:rsidRDefault="00D35ED0" w:rsidP="00B10C5F">
            <w:pPr>
              <w:adjustRightInd w:val="0"/>
              <w:snapToGrid w:val="0"/>
              <w:ind w:firstLineChars="0" w:firstLine="0"/>
              <w:rPr>
                <w:rFonts w:ascii="Book Antiqua" w:hAnsi="Book Antiqua"/>
              </w:rPr>
            </w:pPr>
          </w:p>
        </w:tc>
        <w:tc>
          <w:tcPr>
            <w:tcW w:w="2023" w:type="dxa"/>
            <w:tcBorders>
              <w:top w:val="single" w:sz="4" w:space="0" w:color="auto"/>
              <w:bottom w:val="single" w:sz="4" w:space="0" w:color="auto"/>
            </w:tcBorders>
          </w:tcPr>
          <w:p w14:paraId="6FFD5916" w14:textId="7E33BA6E"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Large CBD</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146</w:t>
            </w:r>
          </w:p>
        </w:tc>
        <w:tc>
          <w:tcPr>
            <w:tcW w:w="1863" w:type="dxa"/>
            <w:tcBorders>
              <w:top w:val="single" w:sz="4" w:space="0" w:color="auto"/>
              <w:bottom w:val="single" w:sz="4" w:space="0" w:color="auto"/>
            </w:tcBorders>
          </w:tcPr>
          <w:p w14:paraId="654F9D4C" w14:textId="5F34D4A1"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Small CBD</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111</w:t>
            </w:r>
          </w:p>
        </w:tc>
        <w:tc>
          <w:tcPr>
            <w:tcW w:w="1080" w:type="dxa"/>
            <w:tcBorders>
              <w:top w:val="single" w:sz="4" w:space="0" w:color="auto"/>
              <w:bottom w:val="single" w:sz="4" w:space="0" w:color="auto"/>
            </w:tcBorders>
          </w:tcPr>
          <w:p w14:paraId="3A5253A3" w14:textId="02FEB94E" w:rsidR="00D35ED0" w:rsidRPr="00B10C5F" w:rsidRDefault="00D35ED0" w:rsidP="00B10C5F">
            <w:pPr>
              <w:adjustRightInd w:val="0"/>
              <w:snapToGrid w:val="0"/>
              <w:ind w:firstLineChars="0" w:firstLine="0"/>
              <w:rPr>
                <w:rFonts w:ascii="Book Antiqua" w:hAnsi="Book Antiqua"/>
                <w:b/>
                <w:bCs/>
                <w:i/>
                <w:iCs/>
              </w:rPr>
            </w:pPr>
            <w:r w:rsidRPr="00B10C5F">
              <w:rPr>
                <w:rFonts w:ascii="Book Antiqua" w:hAnsi="Book Antiqua"/>
                <w:b/>
                <w:bCs/>
                <w:i/>
                <w:iCs/>
              </w:rPr>
              <w:t>P</w:t>
            </w:r>
            <w:r w:rsidR="00127D06" w:rsidRPr="00B10C5F">
              <w:rPr>
                <w:rFonts w:ascii="Book Antiqua" w:hAnsi="Book Antiqua"/>
                <w:b/>
                <w:bCs/>
                <w:i/>
                <w:iCs/>
              </w:rPr>
              <w:t xml:space="preserve"> </w:t>
            </w:r>
            <w:r w:rsidR="00127D06" w:rsidRPr="00B10C5F">
              <w:rPr>
                <w:rFonts w:ascii="Book Antiqua" w:hAnsi="Book Antiqua"/>
                <w:b/>
                <w:bCs/>
                <w:iCs/>
              </w:rPr>
              <w:t>value</w:t>
            </w:r>
          </w:p>
        </w:tc>
        <w:tc>
          <w:tcPr>
            <w:tcW w:w="2386" w:type="dxa"/>
            <w:tcBorders>
              <w:top w:val="single" w:sz="4" w:space="0" w:color="auto"/>
              <w:bottom w:val="single" w:sz="4" w:space="0" w:color="auto"/>
            </w:tcBorders>
          </w:tcPr>
          <w:p w14:paraId="035F64B1" w14:textId="62354797"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Large CBD</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92</w:t>
            </w:r>
          </w:p>
        </w:tc>
        <w:tc>
          <w:tcPr>
            <w:tcW w:w="2364" w:type="dxa"/>
            <w:tcBorders>
              <w:top w:val="single" w:sz="4" w:space="0" w:color="auto"/>
              <w:bottom w:val="single" w:sz="4" w:space="0" w:color="auto"/>
            </w:tcBorders>
          </w:tcPr>
          <w:p w14:paraId="7DA690EC" w14:textId="2854CD95"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Small CBD</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92</w:t>
            </w:r>
          </w:p>
        </w:tc>
        <w:tc>
          <w:tcPr>
            <w:tcW w:w="1420" w:type="dxa"/>
            <w:tcBorders>
              <w:top w:val="single" w:sz="4" w:space="0" w:color="auto"/>
              <w:bottom w:val="single" w:sz="4" w:space="0" w:color="auto"/>
            </w:tcBorders>
          </w:tcPr>
          <w:p w14:paraId="7A129788" w14:textId="233A5A05" w:rsidR="00D35ED0" w:rsidRPr="00B10C5F" w:rsidRDefault="00D35ED0" w:rsidP="00B10C5F">
            <w:pPr>
              <w:adjustRightInd w:val="0"/>
              <w:snapToGrid w:val="0"/>
              <w:ind w:firstLineChars="0" w:firstLine="0"/>
              <w:rPr>
                <w:rFonts w:ascii="Book Antiqua" w:hAnsi="Book Antiqua"/>
                <w:b/>
                <w:bCs/>
                <w:i/>
                <w:iCs/>
              </w:rPr>
            </w:pPr>
            <w:r w:rsidRPr="00B10C5F">
              <w:rPr>
                <w:rFonts w:ascii="Book Antiqua" w:hAnsi="Book Antiqua"/>
                <w:b/>
                <w:bCs/>
                <w:i/>
                <w:iCs/>
              </w:rPr>
              <w:t>P</w:t>
            </w:r>
            <w:r w:rsidR="00127D06" w:rsidRPr="00B10C5F">
              <w:rPr>
                <w:rFonts w:ascii="Book Antiqua" w:hAnsi="Book Antiqua"/>
                <w:b/>
                <w:bCs/>
                <w:iCs/>
              </w:rPr>
              <w:t xml:space="preserve"> value</w:t>
            </w:r>
          </w:p>
        </w:tc>
      </w:tr>
      <w:tr w:rsidR="00D35ED0" w:rsidRPr="00B10C5F" w14:paraId="4F4B633C" w14:textId="77777777" w:rsidTr="009F50D0">
        <w:tc>
          <w:tcPr>
            <w:tcW w:w="1614" w:type="dxa"/>
            <w:vMerge w:val="restart"/>
            <w:tcBorders>
              <w:top w:val="single" w:sz="4" w:space="0" w:color="auto"/>
            </w:tcBorders>
          </w:tcPr>
          <w:p w14:paraId="22BBA115" w14:textId="53A56504"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Choledochal </w:t>
            </w:r>
            <w:r w:rsidR="00127D06" w:rsidRPr="00B10C5F">
              <w:rPr>
                <w:rFonts w:ascii="Book Antiqua" w:hAnsi="Book Antiqua"/>
              </w:rPr>
              <w:t>Stenosis</w:t>
            </w:r>
          </w:p>
        </w:tc>
        <w:tc>
          <w:tcPr>
            <w:tcW w:w="1114" w:type="dxa"/>
            <w:tcBorders>
              <w:top w:val="single" w:sz="4" w:space="0" w:color="auto"/>
            </w:tcBorders>
          </w:tcPr>
          <w:p w14:paraId="131F548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No</w:t>
            </w:r>
          </w:p>
        </w:tc>
        <w:tc>
          <w:tcPr>
            <w:tcW w:w="2023" w:type="dxa"/>
            <w:tcBorders>
              <w:top w:val="single" w:sz="4" w:space="0" w:color="auto"/>
            </w:tcBorders>
          </w:tcPr>
          <w:p w14:paraId="33FABE33"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146</w:t>
            </w:r>
          </w:p>
        </w:tc>
        <w:tc>
          <w:tcPr>
            <w:tcW w:w="1863" w:type="dxa"/>
            <w:tcBorders>
              <w:top w:val="single" w:sz="4" w:space="0" w:color="auto"/>
            </w:tcBorders>
          </w:tcPr>
          <w:p w14:paraId="355F675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111</w:t>
            </w:r>
          </w:p>
        </w:tc>
        <w:tc>
          <w:tcPr>
            <w:tcW w:w="1080" w:type="dxa"/>
            <w:tcBorders>
              <w:top w:val="single" w:sz="4" w:space="0" w:color="auto"/>
            </w:tcBorders>
          </w:tcPr>
          <w:p w14:paraId="280D6DDF" w14:textId="77777777" w:rsidR="00D35ED0" w:rsidRPr="00B10C5F" w:rsidRDefault="00D35ED0" w:rsidP="00B10C5F">
            <w:pPr>
              <w:adjustRightInd w:val="0"/>
              <w:snapToGrid w:val="0"/>
              <w:ind w:firstLineChars="0" w:firstLine="0"/>
              <w:rPr>
                <w:rFonts w:ascii="Book Antiqua" w:hAnsi="Book Antiqua"/>
              </w:rPr>
            </w:pPr>
          </w:p>
        </w:tc>
        <w:tc>
          <w:tcPr>
            <w:tcW w:w="2386" w:type="dxa"/>
            <w:tcBorders>
              <w:top w:val="single" w:sz="4" w:space="0" w:color="auto"/>
            </w:tcBorders>
          </w:tcPr>
          <w:p w14:paraId="263CCCF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92</w:t>
            </w:r>
          </w:p>
        </w:tc>
        <w:tc>
          <w:tcPr>
            <w:tcW w:w="2364" w:type="dxa"/>
            <w:tcBorders>
              <w:top w:val="single" w:sz="4" w:space="0" w:color="auto"/>
            </w:tcBorders>
          </w:tcPr>
          <w:p w14:paraId="059102F8"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92</w:t>
            </w:r>
          </w:p>
        </w:tc>
        <w:tc>
          <w:tcPr>
            <w:tcW w:w="1420" w:type="dxa"/>
            <w:tcBorders>
              <w:top w:val="single" w:sz="4" w:space="0" w:color="auto"/>
            </w:tcBorders>
          </w:tcPr>
          <w:p w14:paraId="272B9DA4"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009C7F0F" w14:textId="77777777" w:rsidTr="009F50D0">
        <w:tc>
          <w:tcPr>
            <w:tcW w:w="1614" w:type="dxa"/>
            <w:vMerge/>
          </w:tcPr>
          <w:p w14:paraId="1A2AD9A7" w14:textId="77777777" w:rsidR="00D35ED0" w:rsidRPr="00B10C5F" w:rsidRDefault="00D35ED0" w:rsidP="00B10C5F">
            <w:pPr>
              <w:adjustRightInd w:val="0"/>
              <w:snapToGrid w:val="0"/>
              <w:ind w:firstLineChars="0" w:firstLine="0"/>
              <w:rPr>
                <w:rFonts w:ascii="Book Antiqua" w:hAnsi="Book Antiqua"/>
              </w:rPr>
            </w:pPr>
          </w:p>
        </w:tc>
        <w:tc>
          <w:tcPr>
            <w:tcW w:w="1114" w:type="dxa"/>
          </w:tcPr>
          <w:p w14:paraId="78ECA1D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Yes</w:t>
            </w:r>
          </w:p>
        </w:tc>
        <w:tc>
          <w:tcPr>
            <w:tcW w:w="2023" w:type="dxa"/>
          </w:tcPr>
          <w:p w14:paraId="290AEFC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1863" w:type="dxa"/>
          </w:tcPr>
          <w:p w14:paraId="239DAA98"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1080" w:type="dxa"/>
          </w:tcPr>
          <w:p w14:paraId="72A64203" w14:textId="77777777" w:rsidR="00D35ED0" w:rsidRPr="00B10C5F" w:rsidRDefault="00D35ED0" w:rsidP="00B10C5F">
            <w:pPr>
              <w:adjustRightInd w:val="0"/>
              <w:snapToGrid w:val="0"/>
              <w:ind w:firstLineChars="0" w:firstLine="0"/>
              <w:rPr>
                <w:rFonts w:ascii="Book Antiqua" w:hAnsi="Book Antiqua"/>
              </w:rPr>
            </w:pPr>
          </w:p>
        </w:tc>
        <w:tc>
          <w:tcPr>
            <w:tcW w:w="2386" w:type="dxa"/>
          </w:tcPr>
          <w:p w14:paraId="6F3F612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2364" w:type="dxa"/>
          </w:tcPr>
          <w:p w14:paraId="6D7EFCF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1420" w:type="dxa"/>
          </w:tcPr>
          <w:p w14:paraId="3BBA996B"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6848C191" w14:textId="77777777" w:rsidTr="009F50D0">
        <w:tc>
          <w:tcPr>
            <w:tcW w:w="1614" w:type="dxa"/>
            <w:vMerge w:val="restart"/>
          </w:tcPr>
          <w:p w14:paraId="0EC3061E" w14:textId="152EB83E"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Stone </w:t>
            </w:r>
            <w:r w:rsidR="00127D06" w:rsidRPr="00B10C5F">
              <w:rPr>
                <w:rFonts w:ascii="Book Antiqua" w:hAnsi="Book Antiqua"/>
              </w:rPr>
              <w:t>Recurrence</w:t>
            </w:r>
          </w:p>
        </w:tc>
        <w:tc>
          <w:tcPr>
            <w:tcW w:w="1114" w:type="dxa"/>
          </w:tcPr>
          <w:p w14:paraId="6ACE720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No</w:t>
            </w:r>
          </w:p>
        </w:tc>
        <w:tc>
          <w:tcPr>
            <w:tcW w:w="2023" w:type="dxa"/>
          </w:tcPr>
          <w:p w14:paraId="0CFA8188"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136</w:t>
            </w:r>
          </w:p>
        </w:tc>
        <w:tc>
          <w:tcPr>
            <w:tcW w:w="1863" w:type="dxa"/>
          </w:tcPr>
          <w:p w14:paraId="0147F2A3"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109</w:t>
            </w:r>
          </w:p>
        </w:tc>
        <w:tc>
          <w:tcPr>
            <w:tcW w:w="1080" w:type="dxa"/>
          </w:tcPr>
          <w:p w14:paraId="4033FB7B"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0.057</w:t>
            </w:r>
          </w:p>
        </w:tc>
        <w:tc>
          <w:tcPr>
            <w:tcW w:w="2386" w:type="dxa"/>
          </w:tcPr>
          <w:p w14:paraId="2543743B"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86</w:t>
            </w:r>
          </w:p>
        </w:tc>
        <w:tc>
          <w:tcPr>
            <w:tcW w:w="2364" w:type="dxa"/>
          </w:tcPr>
          <w:p w14:paraId="27CEB28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90</w:t>
            </w:r>
          </w:p>
        </w:tc>
        <w:tc>
          <w:tcPr>
            <w:tcW w:w="1420" w:type="dxa"/>
          </w:tcPr>
          <w:p w14:paraId="3FA2EC1C"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0.278</w:t>
            </w:r>
          </w:p>
        </w:tc>
      </w:tr>
      <w:tr w:rsidR="00D35ED0" w:rsidRPr="00B10C5F" w14:paraId="09F9D500" w14:textId="77777777" w:rsidTr="009F50D0">
        <w:tc>
          <w:tcPr>
            <w:tcW w:w="1614" w:type="dxa"/>
            <w:vMerge/>
          </w:tcPr>
          <w:p w14:paraId="4A36B7E2" w14:textId="77777777" w:rsidR="00D35ED0" w:rsidRPr="00B10C5F" w:rsidRDefault="00D35ED0" w:rsidP="00B10C5F">
            <w:pPr>
              <w:adjustRightInd w:val="0"/>
              <w:snapToGrid w:val="0"/>
              <w:ind w:firstLineChars="0" w:firstLine="0"/>
              <w:rPr>
                <w:rFonts w:ascii="Book Antiqua" w:hAnsi="Book Antiqua"/>
              </w:rPr>
            </w:pPr>
          </w:p>
        </w:tc>
        <w:tc>
          <w:tcPr>
            <w:tcW w:w="1114" w:type="dxa"/>
          </w:tcPr>
          <w:p w14:paraId="30393BA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Yes</w:t>
            </w:r>
          </w:p>
        </w:tc>
        <w:tc>
          <w:tcPr>
            <w:tcW w:w="2023" w:type="dxa"/>
          </w:tcPr>
          <w:p w14:paraId="1EB18A3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w:t>
            </w:r>
          </w:p>
        </w:tc>
        <w:tc>
          <w:tcPr>
            <w:tcW w:w="1863" w:type="dxa"/>
          </w:tcPr>
          <w:p w14:paraId="1C10746A"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2</w:t>
            </w:r>
          </w:p>
        </w:tc>
        <w:tc>
          <w:tcPr>
            <w:tcW w:w="1080" w:type="dxa"/>
          </w:tcPr>
          <w:p w14:paraId="3E4ED9D4" w14:textId="77777777" w:rsidR="00D35ED0" w:rsidRPr="00B10C5F" w:rsidRDefault="00D35ED0" w:rsidP="00B10C5F">
            <w:pPr>
              <w:adjustRightInd w:val="0"/>
              <w:snapToGrid w:val="0"/>
              <w:ind w:firstLineChars="0" w:firstLine="0"/>
              <w:rPr>
                <w:rFonts w:ascii="Book Antiqua" w:hAnsi="Book Antiqua"/>
              </w:rPr>
            </w:pPr>
          </w:p>
        </w:tc>
        <w:tc>
          <w:tcPr>
            <w:tcW w:w="2386" w:type="dxa"/>
          </w:tcPr>
          <w:p w14:paraId="7207734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6</w:t>
            </w:r>
          </w:p>
        </w:tc>
        <w:tc>
          <w:tcPr>
            <w:tcW w:w="2364" w:type="dxa"/>
          </w:tcPr>
          <w:p w14:paraId="22DD6B44"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2</w:t>
            </w:r>
          </w:p>
        </w:tc>
        <w:tc>
          <w:tcPr>
            <w:tcW w:w="1420" w:type="dxa"/>
          </w:tcPr>
          <w:p w14:paraId="2368E3DA" w14:textId="77777777" w:rsidR="00D35ED0" w:rsidRPr="00B10C5F" w:rsidRDefault="00D35ED0" w:rsidP="00B10C5F">
            <w:pPr>
              <w:adjustRightInd w:val="0"/>
              <w:snapToGrid w:val="0"/>
              <w:ind w:firstLineChars="0" w:firstLine="0"/>
              <w:rPr>
                <w:rFonts w:ascii="Book Antiqua" w:hAnsi="Book Antiqua"/>
              </w:rPr>
            </w:pPr>
          </w:p>
        </w:tc>
      </w:tr>
    </w:tbl>
    <w:p w14:paraId="379A4A4F" w14:textId="0FFD2A2E" w:rsidR="00EA4D5A" w:rsidRDefault="00112107" w:rsidP="00B10C5F">
      <w:pPr>
        <w:adjustRightInd w:val="0"/>
        <w:snapToGrid w:val="0"/>
        <w:spacing w:line="360" w:lineRule="auto"/>
        <w:jc w:val="both"/>
        <w:rPr>
          <w:rFonts w:ascii="Book Antiqua" w:eastAsia="Book Antiqua" w:hAnsi="Book Antiqua" w:cs="Book Antiqua"/>
          <w:color w:val="000000"/>
        </w:rPr>
      </w:pPr>
      <w:r w:rsidRPr="00B10C5F">
        <w:rPr>
          <w:rFonts w:ascii="Book Antiqua" w:hAnsi="Book Antiqua"/>
          <w:lang w:eastAsia="zh-CN"/>
        </w:rPr>
        <w:t>CBD:</w:t>
      </w:r>
      <w:r w:rsidRPr="00B10C5F">
        <w:rPr>
          <w:rFonts w:ascii="Book Antiqua" w:eastAsia="Book Antiqua" w:hAnsi="Book Antiqua" w:cs="Book Antiqua"/>
          <w:color w:val="000000"/>
        </w:rPr>
        <w:t xml:space="preserve"> Common bile duct.</w:t>
      </w:r>
    </w:p>
    <w:p w14:paraId="7E47D430" w14:textId="72DA1D38" w:rsidR="00F513C7" w:rsidRDefault="00F513C7">
      <w:pPr>
        <w:rPr>
          <w:rFonts w:ascii="Book Antiqua" w:hAnsi="Book Antiqua"/>
          <w:lang w:eastAsia="zh-CN"/>
        </w:rPr>
      </w:pPr>
      <w:r>
        <w:rPr>
          <w:rFonts w:ascii="Book Antiqua" w:hAnsi="Book Antiqua"/>
          <w:lang w:eastAsia="zh-CN"/>
        </w:rPr>
        <w:br w:type="page"/>
      </w:r>
    </w:p>
    <w:p w14:paraId="2ACF8334" w14:textId="77777777" w:rsidR="00F513C7" w:rsidRDefault="00F513C7" w:rsidP="00F513C7">
      <w:pPr>
        <w:jc w:val="center"/>
        <w:rPr>
          <w:rFonts w:ascii="Book Antiqua" w:hAnsi="Book Antiqua"/>
          <w:lang w:eastAsia="zh-CN"/>
        </w:rPr>
      </w:pPr>
    </w:p>
    <w:p w14:paraId="75E92386" w14:textId="77777777" w:rsidR="00F513C7" w:rsidRDefault="00F513C7" w:rsidP="00F513C7">
      <w:pPr>
        <w:jc w:val="center"/>
        <w:rPr>
          <w:rFonts w:ascii="Book Antiqua" w:hAnsi="Book Antiqua"/>
          <w:lang w:eastAsia="zh-CN"/>
        </w:rPr>
      </w:pPr>
    </w:p>
    <w:p w14:paraId="0C04D062" w14:textId="77777777" w:rsidR="00F513C7" w:rsidRDefault="00F513C7" w:rsidP="00F513C7">
      <w:pPr>
        <w:jc w:val="center"/>
        <w:rPr>
          <w:rFonts w:ascii="Book Antiqua" w:hAnsi="Book Antiqua"/>
          <w:lang w:eastAsia="zh-CN"/>
        </w:rPr>
      </w:pPr>
    </w:p>
    <w:p w14:paraId="2FBAE717" w14:textId="77777777" w:rsidR="00F513C7" w:rsidRDefault="00F513C7" w:rsidP="00F513C7">
      <w:pPr>
        <w:jc w:val="center"/>
        <w:rPr>
          <w:rFonts w:ascii="Book Antiqua" w:hAnsi="Book Antiqua"/>
          <w:lang w:eastAsia="zh-CN"/>
        </w:rPr>
      </w:pPr>
    </w:p>
    <w:p w14:paraId="30402CA2" w14:textId="77777777" w:rsidR="00F513C7" w:rsidRDefault="00F513C7" w:rsidP="00F513C7">
      <w:pPr>
        <w:jc w:val="center"/>
        <w:rPr>
          <w:rFonts w:ascii="Book Antiqua" w:hAnsi="Book Antiqua"/>
          <w:lang w:eastAsia="zh-CN"/>
        </w:rPr>
      </w:pPr>
    </w:p>
    <w:p w14:paraId="28FCFD13" w14:textId="74FB1F05" w:rsidR="00F513C7" w:rsidRDefault="00F513C7" w:rsidP="00F513C7">
      <w:pPr>
        <w:jc w:val="center"/>
        <w:rPr>
          <w:rFonts w:ascii="Book Antiqua" w:hAnsi="Book Antiqua"/>
          <w:lang w:eastAsia="zh-CN"/>
        </w:rPr>
      </w:pPr>
      <w:r>
        <w:rPr>
          <w:rFonts w:ascii="Book Antiqua" w:hAnsi="Book Antiqua"/>
          <w:noProof/>
          <w:lang w:eastAsia="zh-CN"/>
        </w:rPr>
        <w:drawing>
          <wp:inline distT="0" distB="0" distL="0" distR="0" wp14:anchorId="54E7081C" wp14:editId="1CCCB9A8">
            <wp:extent cx="2494280" cy="1440815"/>
            <wp:effectExtent l="0" t="0" r="127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0C857A8D" w14:textId="77777777" w:rsidR="00F513C7" w:rsidRDefault="00F513C7" w:rsidP="00F513C7">
      <w:pPr>
        <w:jc w:val="center"/>
        <w:rPr>
          <w:rFonts w:ascii="Book Antiqua" w:hAnsi="Book Antiqua"/>
          <w:lang w:eastAsia="zh-CN"/>
        </w:rPr>
      </w:pPr>
    </w:p>
    <w:p w14:paraId="77BB32FC" w14:textId="77777777" w:rsidR="00F513C7" w:rsidRDefault="00F513C7" w:rsidP="00F513C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39FDD7D" w14:textId="77777777" w:rsidR="00F513C7" w:rsidRDefault="00F513C7" w:rsidP="00F513C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700ECA4" w14:textId="77777777" w:rsidR="00F513C7" w:rsidRDefault="00F513C7" w:rsidP="00F513C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982F617" w14:textId="77777777" w:rsidR="00F513C7" w:rsidRDefault="00F513C7" w:rsidP="00F513C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027B822" w14:textId="77777777" w:rsidR="00F513C7" w:rsidRDefault="00F513C7" w:rsidP="00F513C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ECFB9C8" w14:textId="77777777" w:rsidR="00F513C7" w:rsidRDefault="00F513C7" w:rsidP="00F513C7">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21707CC" w14:textId="77777777" w:rsidR="00F513C7" w:rsidRDefault="00F513C7" w:rsidP="00F513C7">
      <w:pPr>
        <w:jc w:val="center"/>
        <w:rPr>
          <w:rFonts w:ascii="Book Antiqua" w:hAnsi="Book Antiqua"/>
          <w:lang w:eastAsia="zh-CN"/>
        </w:rPr>
      </w:pPr>
    </w:p>
    <w:p w14:paraId="1892E44B" w14:textId="77777777" w:rsidR="00F513C7" w:rsidRDefault="00F513C7" w:rsidP="00F513C7">
      <w:pPr>
        <w:jc w:val="center"/>
        <w:rPr>
          <w:rFonts w:ascii="Book Antiqua" w:hAnsi="Book Antiqua"/>
          <w:lang w:eastAsia="zh-CN"/>
        </w:rPr>
      </w:pPr>
    </w:p>
    <w:p w14:paraId="564CDA26" w14:textId="77777777" w:rsidR="00F513C7" w:rsidRDefault="00F513C7" w:rsidP="00F513C7">
      <w:pPr>
        <w:jc w:val="center"/>
        <w:rPr>
          <w:rFonts w:ascii="Book Antiqua" w:hAnsi="Book Antiqua"/>
          <w:lang w:eastAsia="zh-CN"/>
        </w:rPr>
      </w:pPr>
    </w:p>
    <w:p w14:paraId="5D59D9E4" w14:textId="5E5DB22D" w:rsidR="00F513C7" w:rsidRDefault="00F513C7" w:rsidP="00F513C7">
      <w:pPr>
        <w:jc w:val="center"/>
        <w:rPr>
          <w:rFonts w:ascii="Book Antiqua" w:hAnsi="Book Antiqua"/>
          <w:lang w:eastAsia="zh-CN"/>
        </w:rPr>
      </w:pPr>
      <w:r>
        <w:rPr>
          <w:rFonts w:ascii="Book Antiqua" w:hAnsi="Book Antiqua"/>
          <w:noProof/>
          <w:lang w:eastAsia="zh-CN"/>
        </w:rPr>
        <w:drawing>
          <wp:inline distT="0" distB="0" distL="0" distR="0" wp14:anchorId="3E2EF73C" wp14:editId="2CCD630D">
            <wp:extent cx="1448435"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5B08E3DB" w14:textId="77777777" w:rsidR="00F513C7" w:rsidRDefault="00F513C7" w:rsidP="00F513C7">
      <w:pPr>
        <w:jc w:val="center"/>
        <w:rPr>
          <w:rFonts w:ascii="Book Antiqua" w:hAnsi="Book Antiqua"/>
          <w:lang w:eastAsia="zh-CN"/>
        </w:rPr>
      </w:pPr>
    </w:p>
    <w:p w14:paraId="7F1A3533" w14:textId="77777777" w:rsidR="00F513C7" w:rsidRDefault="00F513C7" w:rsidP="00F513C7">
      <w:pPr>
        <w:jc w:val="center"/>
        <w:rPr>
          <w:rFonts w:ascii="Book Antiqua" w:hAnsi="Book Antiqua"/>
          <w:lang w:eastAsia="zh-CN"/>
        </w:rPr>
      </w:pPr>
    </w:p>
    <w:p w14:paraId="2B77F444" w14:textId="77777777" w:rsidR="00F513C7" w:rsidRDefault="00F513C7" w:rsidP="00F513C7">
      <w:pPr>
        <w:jc w:val="center"/>
        <w:rPr>
          <w:rFonts w:ascii="Book Antiqua" w:hAnsi="Book Antiqua"/>
          <w:lang w:eastAsia="zh-CN"/>
        </w:rPr>
      </w:pPr>
    </w:p>
    <w:p w14:paraId="33E2AF98" w14:textId="77777777" w:rsidR="00F513C7" w:rsidRDefault="00F513C7" w:rsidP="00F513C7">
      <w:pPr>
        <w:jc w:val="center"/>
        <w:rPr>
          <w:rFonts w:ascii="Book Antiqua" w:hAnsi="Book Antiqua"/>
          <w:lang w:eastAsia="zh-CN"/>
        </w:rPr>
      </w:pPr>
    </w:p>
    <w:p w14:paraId="1A771A5C" w14:textId="77777777" w:rsidR="00F513C7" w:rsidRDefault="00F513C7" w:rsidP="00F513C7">
      <w:pPr>
        <w:jc w:val="center"/>
        <w:rPr>
          <w:rFonts w:ascii="Book Antiqua" w:hAnsi="Book Antiqua"/>
          <w:lang w:eastAsia="zh-CN"/>
        </w:rPr>
      </w:pPr>
    </w:p>
    <w:p w14:paraId="663B017A" w14:textId="77777777" w:rsidR="00F513C7" w:rsidRDefault="00F513C7" w:rsidP="00F513C7">
      <w:pPr>
        <w:jc w:val="center"/>
        <w:rPr>
          <w:rFonts w:ascii="Book Antiqua" w:hAnsi="Book Antiqua"/>
          <w:lang w:eastAsia="zh-CN"/>
        </w:rPr>
      </w:pPr>
    </w:p>
    <w:p w14:paraId="00B49F28" w14:textId="77777777" w:rsidR="00F513C7" w:rsidRDefault="00F513C7" w:rsidP="00F513C7">
      <w:pPr>
        <w:jc w:val="center"/>
        <w:rPr>
          <w:rFonts w:ascii="Book Antiqua" w:hAnsi="Book Antiqua"/>
          <w:lang w:eastAsia="zh-CN"/>
        </w:rPr>
      </w:pPr>
    </w:p>
    <w:p w14:paraId="2C4A8259" w14:textId="77777777" w:rsidR="00F513C7" w:rsidRDefault="00F513C7" w:rsidP="00F513C7">
      <w:pPr>
        <w:jc w:val="center"/>
        <w:rPr>
          <w:rFonts w:ascii="Book Antiqua" w:hAnsi="Book Antiqua"/>
          <w:lang w:eastAsia="zh-CN"/>
        </w:rPr>
      </w:pPr>
    </w:p>
    <w:p w14:paraId="41774861" w14:textId="77777777" w:rsidR="00F513C7" w:rsidRDefault="00F513C7" w:rsidP="00F513C7">
      <w:pPr>
        <w:jc w:val="center"/>
        <w:rPr>
          <w:rFonts w:ascii="Book Antiqua" w:hAnsi="Book Antiqua"/>
          <w:lang w:eastAsia="zh-CN"/>
        </w:rPr>
      </w:pPr>
    </w:p>
    <w:p w14:paraId="1820917D" w14:textId="77777777" w:rsidR="00F513C7" w:rsidRDefault="00F513C7" w:rsidP="00F513C7">
      <w:pPr>
        <w:jc w:val="right"/>
        <w:rPr>
          <w:rFonts w:ascii="Book Antiqua" w:hAnsi="Book Antiqua"/>
          <w:color w:val="000000" w:themeColor="text1"/>
          <w:lang w:eastAsia="zh-CN"/>
        </w:rPr>
      </w:pPr>
    </w:p>
    <w:p w14:paraId="347A14EB" w14:textId="77777777" w:rsidR="00F513C7" w:rsidRDefault="00F513C7" w:rsidP="00F513C7">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49FE47B" w14:textId="77777777" w:rsidR="003058AC" w:rsidRPr="00F513C7" w:rsidRDefault="003058AC" w:rsidP="005F3324">
      <w:pPr>
        <w:rPr>
          <w:rFonts w:ascii="Book Antiqua" w:hAnsi="Book Antiqua"/>
          <w:lang w:eastAsia="zh-CN"/>
        </w:rPr>
      </w:pPr>
    </w:p>
    <w:p w14:paraId="245E48E3" w14:textId="58C5F222" w:rsidR="003058AC" w:rsidRPr="003058AC" w:rsidRDefault="003058AC" w:rsidP="005F3324">
      <w:pPr>
        <w:tabs>
          <w:tab w:val="left" w:pos="8952"/>
        </w:tabs>
        <w:rPr>
          <w:rFonts w:ascii="Book Antiqua" w:hAnsi="Book Antiqua"/>
          <w:lang w:eastAsia="zh-CN"/>
        </w:rPr>
      </w:pPr>
    </w:p>
    <w:sectPr w:rsidR="003058AC" w:rsidRPr="003058AC" w:rsidSect="00F513C7">
      <w:pgSz w:w="11906" w:h="16838" w:code="9"/>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7FA22" w14:textId="77777777" w:rsidR="0028193C" w:rsidRDefault="0028193C">
      <w:r>
        <w:separator/>
      </w:r>
    </w:p>
  </w:endnote>
  <w:endnote w:type="continuationSeparator" w:id="0">
    <w:p w14:paraId="5E560DAA" w14:textId="77777777" w:rsidR="0028193C" w:rsidRDefault="0028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2073925449"/>
      <w:docPartObj>
        <w:docPartGallery w:val="Page Numbers (Bottom of Page)"/>
        <w:docPartUnique/>
      </w:docPartObj>
    </w:sdtPr>
    <w:sdtEndPr>
      <w:rPr>
        <w:rStyle w:val="aa"/>
      </w:rPr>
    </w:sdtEndPr>
    <w:sdtContent>
      <w:p w14:paraId="72DA09F1" w14:textId="206AD737" w:rsidR="000D233F" w:rsidRDefault="000D233F" w:rsidP="0034206A">
        <w:pPr>
          <w:pStyle w:val="a3"/>
          <w:framePr w:wrap="none" w:vAnchor="text" w:hAnchor="margin" w:xAlign="right" w:y="1"/>
          <w:ind w:firstLine="360"/>
          <w:rPr>
            <w:rStyle w:val="aa"/>
          </w:rPr>
        </w:pPr>
        <w:r>
          <w:rPr>
            <w:rStyle w:val="aa"/>
          </w:rPr>
          <w:fldChar w:fldCharType="begin"/>
        </w:r>
        <w:r>
          <w:rPr>
            <w:rStyle w:val="aa"/>
          </w:rPr>
          <w:instrText xml:space="preserve"> PAGE </w:instrText>
        </w:r>
        <w:r>
          <w:rPr>
            <w:rStyle w:val="aa"/>
          </w:rPr>
          <w:fldChar w:fldCharType="end"/>
        </w:r>
      </w:p>
    </w:sdtContent>
  </w:sdt>
  <w:p w14:paraId="02D4D988" w14:textId="77777777" w:rsidR="009F40E5" w:rsidRDefault="009F40E5" w:rsidP="005F3324">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888764804"/>
      <w:docPartObj>
        <w:docPartGallery w:val="Page Numbers (Bottom of Page)"/>
        <w:docPartUnique/>
      </w:docPartObj>
    </w:sdtPr>
    <w:sdtEndPr>
      <w:rPr>
        <w:rStyle w:val="aa"/>
      </w:rPr>
    </w:sdtEndPr>
    <w:sdtContent>
      <w:p w14:paraId="0CD0269A" w14:textId="543EB24A" w:rsidR="000D233F" w:rsidRDefault="000D233F" w:rsidP="0034206A">
        <w:pPr>
          <w:pStyle w:val="a3"/>
          <w:framePr w:wrap="none" w:vAnchor="text" w:hAnchor="margin" w:xAlign="right" w:y="1"/>
          <w:ind w:firstLine="360"/>
          <w:rPr>
            <w:rStyle w:val="aa"/>
          </w:rPr>
        </w:pPr>
        <w:r w:rsidRPr="005F3324">
          <w:rPr>
            <w:rStyle w:val="aa"/>
            <w:rFonts w:ascii="Book Antiqua" w:hAnsi="Book Antiqua"/>
            <w:sz w:val="24"/>
            <w:szCs w:val="24"/>
          </w:rPr>
          <w:fldChar w:fldCharType="begin"/>
        </w:r>
        <w:r w:rsidRPr="005F3324">
          <w:rPr>
            <w:rStyle w:val="aa"/>
            <w:rFonts w:ascii="Book Antiqua" w:hAnsi="Book Antiqua"/>
            <w:sz w:val="24"/>
            <w:szCs w:val="24"/>
          </w:rPr>
          <w:instrText xml:space="preserve"> PAGE </w:instrText>
        </w:r>
        <w:r w:rsidRPr="005F3324">
          <w:rPr>
            <w:rStyle w:val="aa"/>
            <w:rFonts w:ascii="Book Antiqua" w:hAnsi="Book Antiqua"/>
            <w:sz w:val="24"/>
            <w:szCs w:val="24"/>
          </w:rPr>
          <w:fldChar w:fldCharType="separate"/>
        </w:r>
        <w:r w:rsidRPr="005F3324">
          <w:rPr>
            <w:rStyle w:val="aa"/>
            <w:rFonts w:ascii="Book Antiqua" w:hAnsi="Book Antiqua"/>
            <w:noProof/>
            <w:sz w:val="24"/>
            <w:szCs w:val="24"/>
          </w:rPr>
          <w:t>2</w:t>
        </w:r>
        <w:r w:rsidRPr="005F3324">
          <w:rPr>
            <w:rStyle w:val="aa"/>
            <w:rFonts w:ascii="Book Antiqua" w:hAnsi="Book Antiqua"/>
            <w:sz w:val="24"/>
            <w:szCs w:val="24"/>
          </w:rPr>
          <w:fldChar w:fldCharType="end"/>
        </w:r>
        <w:r w:rsidRPr="005F3324">
          <w:rPr>
            <w:rStyle w:val="aa"/>
            <w:rFonts w:ascii="Book Antiqua" w:hAnsi="Book Antiqua"/>
            <w:sz w:val="24"/>
            <w:szCs w:val="24"/>
          </w:rPr>
          <w:t xml:space="preserve"> / 29</w:t>
        </w:r>
      </w:p>
    </w:sdtContent>
  </w:sdt>
  <w:p w14:paraId="206D9815" w14:textId="77777777" w:rsidR="009F40E5" w:rsidRPr="009F40E5" w:rsidRDefault="009F40E5" w:rsidP="005F3324">
    <w:pPr>
      <w:pStyle w:val="a3"/>
      <w:ind w:right="360" w:firstLine="360"/>
      <w:rPr>
        <w:rFonts w:ascii="Book Antiqua" w:hAnsi="Book Antiq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E4807" w14:textId="77777777" w:rsidR="009F40E5" w:rsidRDefault="009F40E5">
    <w:pPr>
      <w:pStyle w:val="a3"/>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B436" w14:textId="77777777" w:rsidR="009F40E5" w:rsidRDefault="009F40E5">
    <w:pPr>
      <w:pStyle w:val="a3"/>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90797246"/>
      <w:docPartObj>
        <w:docPartGallery w:val="Page Numbers (Bottom of Page)"/>
        <w:docPartUnique/>
      </w:docPartObj>
    </w:sdtPr>
    <w:sdtEndPr>
      <w:rPr>
        <w:noProof/>
      </w:rPr>
    </w:sdtEndPr>
    <w:sdtContent>
      <w:p w14:paraId="64FB8C04" w14:textId="0F14BA60" w:rsidR="00774773" w:rsidRPr="005F3324" w:rsidRDefault="00774773">
        <w:pPr>
          <w:pStyle w:val="a3"/>
          <w:ind w:firstLine="480"/>
          <w:jc w:val="right"/>
          <w:rPr>
            <w:rFonts w:ascii="Book Antiqua" w:hAnsi="Book Antiqua"/>
            <w:sz w:val="24"/>
            <w:szCs w:val="24"/>
          </w:rPr>
        </w:pPr>
        <w:r w:rsidRPr="005F3324">
          <w:rPr>
            <w:rFonts w:ascii="Book Antiqua" w:hAnsi="Book Antiqua"/>
            <w:sz w:val="24"/>
            <w:szCs w:val="24"/>
          </w:rPr>
          <w:fldChar w:fldCharType="begin"/>
        </w:r>
        <w:r w:rsidRPr="005F3324">
          <w:rPr>
            <w:rFonts w:ascii="Book Antiqua" w:hAnsi="Book Antiqua"/>
            <w:sz w:val="24"/>
            <w:szCs w:val="24"/>
          </w:rPr>
          <w:instrText xml:space="preserve"> PAGE   \* MERGEFORMAT </w:instrText>
        </w:r>
        <w:r w:rsidRPr="005F3324">
          <w:rPr>
            <w:rFonts w:ascii="Book Antiqua" w:hAnsi="Book Antiqua"/>
            <w:sz w:val="24"/>
            <w:szCs w:val="24"/>
          </w:rPr>
          <w:fldChar w:fldCharType="separate"/>
        </w:r>
        <w:r w:rsidRPr="005F3324">
          <w:rPr>
            <w:rFonts w:ascii="Book Antiqua" w:hAnsi="Book Antiqua"/>
            <w:noProof/>
            <w:sz w:val="24"/>
            <w:szCs w:val="24"/>
          </w:rPr>
          <w:t>2</w:t>
        </w:r>
        <w:r w:rsidRPr="005F3324">
          <w:rPr>
            <w:rFonts w:ascii="Book Antiqua" w:hAnsi="Book Antiqua"/>
            <w:noProof/>
            <w:sz w:val="24"/>
            <w:szCs w:val="24"/>
          </w:rPr>
          <w:fldChar w:fldCharType="end"/>
        </w:r>
        <w:r w:rsidRPr="005F3324">
          <w:rPr>
            <w:rFonts w:ascii="Book Antiqua" w:hAnsi="Book Antiqua"/>
            <w:noProof/>
            <w:sz w:val="24"/>
            <w:szCs w:val="24"/>
          </w:rPr>
          <w:t xml:space="preserve"> / </w:t>
        </w:r>
        <w:r w:rsidR="00302D08">
          <w:rPr>
            <w:rFonts w:ascii="Book Antiqua" w:hAnsi="Book Antiqua"/>
            <w:noProof/>
            <w:sz w:val="24"/>
            <w:szCs w:val="24"/>
          </w:rPr>
          <w:t>29</w:t>
        </w:r>
      </w:p>
    </w:sdtContent>
  </w:sdt>
  <w:p w14:paraId="5CA39962" w14:textId="77777777" w:rsidR="009F40E5" w:rsidRDefault="009F40E5">
    <w:pPr>
      <w:pStyle w:val="a3"/>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7693" w14:textId="77777777" w:rsidR="009F40E5" w:rsidRDefault="009F40E5">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327D7" w14:textId="77777777" w:rsidR="0028193C" w:rsidRDefault="0028193C">
      <w:r>
        <w:separator/>
      </w:r>
    </w:p>
  </w:footnote>
  <w:footnote w:type="continuationSeparator" w:id="0">
    <w:p w14:paraId="1FC6D74C" w14:textId="77777777" w:rsidR="0028193C" w:rsidRDefault="00281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14A0" w14:textId="77777777" w:rsidR="009F40E5" w:rsidRDefault="009F40E5">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FA6E" w14:textId="6821635F" w:rsidR="009F40E5" w:rsidRDefault="000D233F" w:rsidP="005F3324">
    <w:pPr>
      <w:pStyle w:val="a5"/>
      <w:pBdr>
        <w:bottom w:val="none" w:sz="0" w:space="0" w:color="auto"/>
      </w:pBdr>
      <w:tabs>
        <w:tab w:val="left" w:pos="2214"/>
      </w:tabs>
      <w:ind w:firstLine="360"/>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4DF5" w14:textId="77777777" w:rsidR="009F40E5" w:rsidRDefault="009F40E5">
    <w:pPr>
      <w:pStyle w:val="a5"/>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1F622" w14:textId="77777777" w:rsidR="009F40E5" w:rsidRDefault="009F40E5">
    <w:pPr>
      <w:pStyle w:val="a5"/>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BB14" w14:textId="77777777" w:rsidR="009F40E5" w:rsidRDefault="009F40E5" w:rsidP="005F3324">
    <w:pPr>
      <w:pStyle w:val="a5"/>
      <w:pBdr>
        <w:bottom w:val="none" w:sz="0" w:space="0" w:color="auto"/>
      </w:pBdr>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815A7" w14:textId="77777777" w:rsidR="009F40E5" w:rsidRDefault="009F40E5">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5F3"/>
    <w:rsid w:val="0003271D"/>
    <w:rsid w:val="000D233F"/>
    <w:rsid w:val="00101999"/>
    <w:rsid w:val="001024C4"/>
    <w:rsid w:val="00112107"/>
    <w:rsid w:val="001224D8"/>
    <w:rsid w:val="00127D06"/>
    <w:rsid w:val="001B5332"/>
    <w:rsid w:val="002454EE"/>
    <w:rsid w:val="0028193C"/>
    <w:rsid w:val="002B70C3"/>
    <w:rsid w:val="00302D08"/>
    <w:rsid w:val="003058AC"/>
    <w:rsid w:val="003200A3"/>
    <w:rsid w:val="00350398"/>
    <w:rsid w:val="003947B3"/>
    <w:rsid w:val="003A47F9"/>
    <w:rsid w:val="0044425A"/>
    <w:rsid w:val="00456B71"/>
    <w:rsid w:val="0046613E"/>
    <w:rsid w:val="004E2D87"/>
    <w:rsid w:val="004F4CE6"/>
    <w:rsid w:val="00541F6E"/>
    <w:rsid w:val="00545A60"/>
    <w:rsid w:val="005722AE"/>
    <w:rsid w:val="005831D8"/>
    <w:rsid w:val="0059259D"/>
    <w:rsid w:val="005F04EA"/>
    <w:rsid w:val="005F3324"/>
    <w:rsid w:val="0068247A"/>
    <w:rsid w:val="006D498D"/>
    <w:rsid w:val="007166B3"/>
    <w:rsid w:val="00720AF0"/>
    <w:rsid w:val="00774773"/>
    <w:rsid w:val="007821E9"/>
    <w:rsid w:val="007A4458"/>
    <w:rsid w:val="007A4A0B"/>
    <w:rsid w:val="007C0895"/>
    <w:rsid w:val="007E4434"/>
    <w:rsid w:val="0080080E"/>
    <w:rsid w:val="008133DE"/>
    <w:rsid w:val="008926E5"/>
    <w:rsid w:val="008E015A"/>
    <w:rsid w:val="009264D3"/>
    <w:rsid w:val="009379CC"/>
    <w:rsid w:val="00951CB4"/>
    <w:rsid w:val="00977660"/>
    <w:rsid w:val="009F40E5"/>
    <w:rsid w:val="009F50D0"/>
    <w:rsid w:val="00A069A9"/>
    <w:rsid w:val="00A07793"/>
    <w:rsid w:val="00A6662C"/>
    <w:rsid w:val="00A77B3E"/>
    <w:rsid w:val="00B035AF"/>
    <w:rsid w:val="00B10C5F"/>
    <w:rsid w:val="00B265ED"/>
    <w:rsid w:val="00B31488"/>
    <w:rsid w:val="00B5475E"/>
    <w:rsid w:val="00B70312"/>
    <w:rsid w:val="00BA7F98"/>
    <w:rsid w:val="00BC33A7"/>
    <w:rsid w:val="00BF5377"/>
    <w:rsid w:val="00CA2A55"/>
    <w:rsid w:val="00CC766C"/>
    <w:rsid w:val="00CF7D28"/>
    <w:rsid w:val="00D02DA2"/>
    <w:rsid w:val="00D11BCD"/>
    <w:rsid w:val="00D35ED0"/>
    <w:rsid w:val="00DF3E13"/>
    <w:rsid w:val="00E25DD9"/>
    <w:rsid w:val="00E96696"/>
    <w:rsid w:val="00EA3B1C"/>
    <w:rsid w:val="00EA4D5A"/>
    <w:rsid w:val="00F144FE"/>
    <w:rsid w:val="00F513C7"/>
    <w:rsid w:val="00F76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42635"/>
  <w15:docId w15:val="{0FBD1074-3A1D-453A-A188-A27BF970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dxebaseoffice2010blue">
    <w:name w:val="dxebase_office2010blue"/>
    <w:basedOn w:val="a0"/>
    <w:rsid w:val="007166B3"/>
  </w:style>
  <w:style w:type="paragraph" w:styleId="a3">
    <w:name w:val="footer"/>
    <w:basedOn w:val="a"/>
    <w:link w:val="a4"/>
    <w:uiPriority w:val="99"/>
    <w:unhideWhenUsed/>
    <w:qFormat/>
    <w:rsid w:val="00D35ED0"/>
    <w:pPr>
      <w:tabs>
        <w:tab w:val="center" w:pos="4153"/>
        <w:tab w:val="right" w:pos="8306"/>
      </w:tabs>
      <w:snapToGrid w:val="0"/>
      <w:spacing w:line="360" w:lineRule="auto"/>
      <w:ind w:firstLineChars="200" w:firstLine="200"/>
    </w:pPr>
    <w:rPr>
      <w:rFonts w:asciiTheme="minorHAnsi" w:hAnsiTheme="minorHAnsi" w:cstheme="minorBidi"/>
      <w:kern w:val="2"/>
      <w:sz w:val="18"/>
      <w:szCs w:val="18"/>
      <w:lang w:eastAsia="zh-CN"/>
    </w:rPr>
  </w:style>
  <w:style w:type="character" w:customStyle="1" w:styleId="a4">
    <w:name w:val="页脚 字符"/>
    <w:basedOn w:val="a0"/>
    <w:link w:val="a3"/>
    <w:uiPriority w:val="99"/>
    <w:qFormat/>
    <w:rsid w:val="00D35ED0"/>
    <w:rPr>
      <w:rFonts w:asciiTheme="minorHAnsi" w:hAnsiTheme="minorHAnsi" w:cstheme="minorBidi"/>
      <w:kern w:val="2"/>
      <w:sz w:val="18"/>
      <w:szCs w:val="18"/>
      <w:lang w:eastAsia="zh-CN"/>
    </w:rPr>
  </w:style>
  <w:style w:type="paragraph" w:styleId="a5">
    <w:name w:val="header"/>
    <w:basedOn w:val="a"/>
    <w:link w:val="a6"/>
    <w:uiPriority w:val="99"/>
    <w:unhideWhenUsed/>
    <w:qFormat/>
    <w:rsid w:val="00D35ED0"/>
    <w:pPr>
      <w:pBdr>
        <w:bottom w:val="single" w:sz="6" w:space="1" w:color="auto"/>
      </w:pBdr>
      <w:tabs>
        <w:tab w:val="center" w:pos="4153"/>
        <w:tab w:val="right" w:pos="8306"/>
      </w:tabs>
      <w:snapToGrid w:val="0"/>
      <w:spacing w:line="360" w:lineRule="auto"/>
      <w:ind w:firstLineChars="200" w:firstLine="200"/>
      <w:jc w:val="center"/>
    </w:pPr>
    <w:rPr>
      <w:rFonts w:asciiTheme="minorHAnsi" w:hAnsiTheme="minorHAnsi" w:cstheme="minorBidi"/>
      <w:kern w:val="2"/>
      <w:sz w:val="18"/>
      <w:szCs w:val="18"/>
      <w:lang w:eastAsia="zh-CN"/>
    </w:rPr>
  </w:style>
  <w:style w:type="character" w:customStyle="1" w:styleId="a6">
    <w:name w:val="页眉 字符"/>
    <w:basedOn w:val="a0"/>
    <w:link w:val="a5"/>
    <w:uiPriority w:val="99"/>
    <w:qFormat/>
    <w:rsid w:val="00D35ED0"/>
    <w:rPr>
      <w:rFonts w:asciiTheme="minorHAnsi" w:hAnsiTheme="minorHAnsi" w:cstheme="minorBidi"/>
      <w:kern w:val="2"/>
      <w:sz w:val="18"/>
      <w:szCs w:val="18"/>
      <w:lang w:eastAsia="zh-CN"/>
    </w:rPr>
  </w:style>
  <w:style w:type="table" w:styleId="a7">
    <w:name w:val="Table Grid"/>
    <w:basedOn w:val="a1"/>
    <w:uiPriority w:val="39"/>
    <w:qFormat/>
    <w:rsid w:val="00D35ED0"/>
    <w:pPr>
      <w:spacing w:line="360" w:lineRule="auto"/>
      <w:ind w:firstLineChars="200" w:firstLine="20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浅色1"/>
    <w:basedOn w:val="a1"/>
    <w:uiPriority w:val="40"/>
    <w:rsid w:val="00D35ED0"/>
    <w:pPr>
      <w:spacing w:line="360" w:lineRule="auto"/>
      <w:ind w:firstLineChars="200" w:firstLine="200"/>
      <w:jc w:val="both"/>
    </w:pPr>
    <w:rPr>
      <w:rFonts w:asciiTheme="minorHAnsi" w:hAnsiTheme="minorHAnsi" w:cstheme="minorBid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xflgroupboxcaptionoffice2010blue">
    <w:name w:val="dxflgroupboxcaption_office2010blue"/>
    <w:basedOn w:val="a0"/>
    <w:rsid w:val="00D35ED0"/>
  </w:style>
  <w:style w:type="paragraph" w:styleId="a8">
    <w:name w:val="Balloon Text"/>
    <w:basedOn w:val="a"/>
    <w:link w:val="a9"/>
    <w:semiHidden/>
    <w:unhideWhenUsed/>
    <w:rsid w:val="0003271D"/>
    <w:rPr>
      <w:sz w:val="18"/>
      <w:szCs w:val="18"/>
    </w:rPr>
  </w:style>
  <w:style w:type="character" w:customStyle="1" w:styleId="a9">
    <w:name w:val="批注框文本 字符"/>
    <w:basedOn w:val="a0"/>
    <w:link w:val="a8"/>
    <w:semiHidden/>
    <w:rsid w:val="0003271D"/>
    <w:rPr>
      <w:sz w:val="18"/>
      <w:szCs w:val="18"/>
    </w:rPr>
  </w:style>
  <w:style w:type="character" w:styleId="aa">
    <w:name w:val="page number"/>
    <w:basedOn w:val="a0"/>
    <w:semiHidden/>
    <w:unhideWhenUsed/>
    <w:rsid w:val="000D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789049">
      <w:bodyDiv w:val="1"/>
      <w:marLeft w:val="0"/>
      <w:marRight w:val="0"/>
      <w:marTop w:val="0"/>
      <w:marBottom w:val="0"/>
      <w:divBdr>
        <w:top w:val="none" w:sz="0" w:space="0" w:color="auto"/>
        <w:left w:val="none" w:sz="0" w:space="0" w:color="auto"/>
        <w:bottom w:val="none" w:sz="0" w:space="0" w:color="auto"/>
        <w:right w:val="none" w:sz="0" w:space="0" w:color="auto"/>
      </w:divBdr>
    </w:div>
    <w:div w:id="727144530">
      <w:bodyDiv w:val="1"/>
      <w:marLeft w:val="0"/>
      <w:marRight w:val="0"/>
      <w:marTop w:val="0"/>
      <w:marBottom w:val="0"/>
      <w:divBdr>
        <w:top w:val="none" w:sz="0" w:space="0" w:color="auto"/>
        <w:left w:val="none" w:sz="0" w:space="0" w:color="auto"/>
        <w:bottom w:val="none" w:sz="0" w:space="0" w:color="auto"/>
        <w:right w:val="none" w:sz="0" w:space="0" w:color="auto"/>
      </w:divBdr>
    </w:div>
    <w:div w:id="1535077199">
      <w:bodyDiv w:val="1"/>
      <w:marLeft w:val="0"/>
      <w:marRight w:val="0"/>
      <w:marTop w:val="0"/>
      <w:marBottom w:val="0"/>
      <w:divBdr>
        <w:top w:val="none" w:sz="0" w:space="0" w:color="auto"/>
        <w:left w:val="none" w:sz="0" w:space="0" w:color="auto"/>
        <w:bottom w:val="none" w:sz="0" w:space="0" w:color="auto"/>
        <w:right w:val="none" w:sz="0" w:space="0" w:color="auto"/>
      </w:divBdr>
    </w:div>
    <w:div w:id="2074355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about:blank"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ACC5-7860-4094-A806-A6FD87D5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6145</Words>
  <Characters>35029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 Jia-Hui</cp:lastModifiedBy>
  <cp:revision>7</cp:revision>
  <dcterms:created xsi:type="dcterms:W3CDTF">2021-01-31T20:59:00Z</dcterms:created>
  <dcterms:modified xsi:type="dcterms:W3CDTF">2021-03-04T06:13:00Z</dcterms:modified>
</cp:coreProperties>
</file>