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AE99" w14:textId="7EA4A2D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17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17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171AE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3513E1D9" w14:textId="152700D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61431</w:t>
      </w:r>
    </w:p>
    <w:p w14:paraId="56CC197F" w14:textId="6C0B9FC5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EFB0AE7" w14:textId="77777777" w:rsidR="00A77B3E" w:rsidRDefault="00A77B3E">
      <w:pPr>
        <w:spacing w:line="360" w:lineRule="auto"/>
        <w:jc w:val="both"/>
      </w:pPr>
    </w:p>
    <w:p w14:paraId="2FDE4418" w14:textId="578346C9" w:rsidR="00A77B3E" w:rsidRDefault="00B04D4C">
      <w:pPr>
        <w:spacing w:line="360" w:lineRule="auto"/>
        <w:jc w:val="both"/>
      </w:pPr>
      <w:bookmarkStart w:id="0" w:name="OLE_LINK59"/>
      <w:bookmarkStart w:id="1" w:name="OLE_LINK60"/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CE71013" w14:textId="5230321E" w:rsidR="00A77B3E" w:rsidRDefault="00B04D4C">
      <w:pPr>
        <w:spacing w:line="360" w:lineRule="auto"/>
        <w:jc w:val="both"/>
      </w:pPr>
      <w:bookmarkStart w:id="2" w:name="OLE_LINK75"/>
      <w:bookmarkStart w:id="3" w:name="OLE_LINK78"/>
      <w:bookmarkStart w:id="4" w:name="OLE_LINK79"/>
      <w:bookmarkEnd w:id="0"/>
      <w:bookmarkEnd w:id="1"/>
      <w:r>
        <w:rPr>
          <w:rFonts w:ascii="Book Antiqua" w:eastAsia="Book Antiqua" w:hAnsi="Book Antiqua" w:cs="Book Antiqua"/>
          <w:b/>
          <w:color w:val="000000"/>
        </w:rPr>
        <w:t>Impact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donor-specific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antibodies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long-term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graft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survival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with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pediatric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transplantation</w:t>
      </w:r>
    </w:p>
    <w:bookmarkEnd w:id="2"/>
    <w:bookmarkEnd w:id="3"/>
    <w:bookmarkEnd w:id="4"/>
    <w:p w14:paraId="4760B46B" w14:textId="77777777" w:rsidR="00A77B3E" w:rsidRDefault="00A77B3E">
      <w:pPr>
        <w:spacing w:line="360" w:lineRule="auto"/>
        <w:jc w:val="both"/>
      </w:pPr>
    </w:p>
    <w:p w14:paraId="63F64F1A" w14:textId="3CB3CCC2" w:rsidR="00A77B3E" w:rsidRPr="00082E34" w:rsidRDefault="00B04D4C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Schotters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312318">
        <w:rPr>
          <w:rFonts w:ascii="Book Antiqua" w:hAnsi="Book Antiqua" w:cs="Book Antiqua" w:hint="eastAsia"/>
          <w:color w:val="000000"/>
          <w:lang w:eastAsia="zh-CN"/>
        </w:rPr>
        <w:t>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1"/>
      <w:bookmarkStart w:id="6" w:name="OLE_LINK12"/>
      <w:bookmarkStart w:id="7" w:name="OLE_LINK77"/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82E34">
        <w:rPr>
          <w:rFonts w:ascii="Book Antiqua" w:hAnsi="Book Antiqua" w:cs="Book Antiqua" w:hint="eastAsia"/>
          <w:color w:val="000000"/>
          <w:lang w:eastAsia="zh-CN"/>
        </w:rPr>
        <w:t>(long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2E34">
        <w:rPr>
          <w:rFonts w:ascii="Book Antiqua" w:hAnsi="Book Antiqua" w:cs="Book Antiqua" w:hint="eastAsia"/>
          <w:color w:val="000000"/>
          <w:lang w:eastAsia="zh-CN"/>
        </w:rPr>
        <w:t>term)</w:t>
      </w:r>
      <w:bookmarkEnd w:id="5"/>
      <w:bookmarkEnd w:id="6"/>
      <w:bookmarkEnd w:id="7"/>
    </w:p>
    <w:p w14:paraId="7B45774D" w14:textId="77777777" w:rsidR="00A77B3E" w:rsidRDefault="00A77B3E">
      <w:pPr>
        <w:spacing w:line="360" w:lineRule="auto"/>
        <w:jc w:val="both"/>
      </w:pPr>
    </w:p>
    <w:p w14:paraId="32FEC387" w14:textId="6FE66F6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Felicitas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Leonie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Schotters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Beime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Andrea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Briem</w:t>
      </w:r>
      <w:proofErr w:type="spellEnd"/>
      <w:r>
        <w:rPr>
          <w:rFonts w:ascii="Book Antiqua" w:eastAsia="Book Antiqua" w:hAnsi="Book Antiqua" w:cs="Book Antiqua"/>
          <w:color w:val="000000"/>
        </w:rPr>
        <w:t>-Richter,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Herden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Enke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Freya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Grabhorn</w:t>
      </w:r>
      <w:proofErr w:type="spellEnd"/>
    </w:p>
    <w:p w14:paraId="729FE3F0" w14:textId="77777777" w:rsidR="00A77B3E" w:rsidRDefault="00A77B3E">
      <w:pPr>
        <w:spacing w:line="360" w:lineRule="auto"/>
        <w:jc w:val="both"/>
      </w:pPr>
    </w:p>
    <w:p w14:paraId="7AF85C7B" w14:textId="6A181256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Felicitas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Leonie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Schotters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Jan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Beime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Briem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-Richter,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Enke</w:t>
      </w:r>
      <w:proofErr w:type="spellEnd"/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Freya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Grabhorn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28"/>
      <w:bookmarkStart w:id="9" w:name="OLE_LINK40"/>
      <w:bookmarkStart w:id="10" w:name="OLE_LINK47"/>
      <w:bookmarkStart w:id="11" w:name="OLE_LINK48"/>
      <w:r>
        <w:rPr>
          <w:rFonts w:ascii="Book Antiqua" w:eastAsia="Book Antiqua" w:hAnsi="Book Antiqua" w:cs="Book Antiqua"/>
          <w:color w:val="000000"/>
        </w:rPr>
        <w:t>Department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Hepatology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Transplantation</w:t>
      </w:r>
      <w:bookmarkEnd w:id="8"/>
      <w:bookmarkEnd w:id="9"/>
      <w:bookmarkEnd w:id="10"/>
      <w:bookmarkEnd w:id="11"/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Hamburg-Eppendorf,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Hamburg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20246,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6"/>
      <w:bookmarkStart w:id="13" w:name="OLE_LINK27"/>
      <w:r>
        <w:rPr>
          <w:rFonts w:ascii="Book Antiqua" w:eastAsia="Book Antiqua" w:hAnsi="Book Antiqua" w:cs="Book Antiqua"/>
          <w:color w:val="000000"/>
        </w:rPr>
        <w:t>Germany</w:t>
      </w:r>
      <w:bookmarkEnd w:id="12"/>
      <w:bookmarkEnd w:id="13"/>
    </w:p>
    <w:p w14:paraId="2500C2E9" w14:textId="77777777" w:rsidR="00A77B3E" w:rsidRDefault="00A77B3E">
      <w:pPr>
        <w:spacing w:line="360" w:lineRule="auto"/>
        <w:jc w:val="both"/>
      </w:pPr>
    </w:p>
    <w:p w14:paraId="29423199" w14:textId="297FFAE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Binder,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41"/>
      <w:r w:rsidR="007F42C4" w:rsidRPr="007F42C4">
        <w:rPr>
          <w:rFonts w:ascii="Book Antiqua" w:eastAsia="Book Antiqua" w:hAnsi="Book Antiqua" w:cs="Book Antiqua"/>
          <w:color w:val="000000"/>
        </w:rPr>
        <w:t>Human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F42C4">
        <w:rPr>
          <w:rFonts w:ascii="Book Antiqua" w:eastAsia="Book Antiqua" w:hAnsi="Book Antiqua" w:cs="Book Antiqua"/>
          <w:color w:val="000000"/>
        </w:rPr>
        <w:t>Leucocyte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F42C4">
        <w:rPr>
          <w:rFonts w:ascii="Book Antiqua" w:eastAsia="Book Antiqua" w:hAnsi="Book Antiqua" w:cs="Book Antiqua"/>
          <w:color w:val="000000"/>
        </w:rPr>
        <w:t>Antigen</w:t>
      </w:r>
      <w:bookmarkEnd w:id="14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12318">
        <w:rPr>
          <w:rFonts w:ascii="Book Antiqua" w:eastAsia="Book Antiqua" w:hAnsi="Book Antiqua" w:cs="Book Antiqua"/>
          <w:color w:val="000000"/>
        </w:rPr>
        <w:t>edicine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Rostock,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Rostock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18057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6B7582F6" w14:textId="77777777" w:rsidR="00A77B3E" w:rsidRDefault="00A77B3E">
      <w:pPr>
        <w:spacing w:line="360" w:lineRule="auto"/>
        <w:jc w:val="both"/>
      </w:pPr>
    </w:p>
    <w:p w14:paraId="162E030B" w14:textId="4DBF7B7D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Uta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Herden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71AE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312318">
        <w:rPr>
          <w:rFonts w:ascii="Book Antiqua" w:eastAsia="Book Antiqua" w:hAnsi="Book Antiqua" w:cs="Book Antiqua"/>
          <w:color w:val="000000"/>
        </w:rPr>
        <w:t>mburg-Eppendorf,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Hamburg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20246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7E377138" w14:textId="77777777" w:rsidR="00A77B3E" w:rsidRDefault="00A77B3E">
      <w:pPr>
        <w:spacing w:line="360" w:lineRule="auto"/>
        <w:jc w:val="both"/>
      </w:pPr>
    </w:p>
    <w:p w14:paraId="2FFF6256" w14:textId="1B8EAE8A" w:rsidR="00A77B3E" w:rsidRDefault="00B04D4C">
      <w:pPr>
        <w:spacing w:line="360" w:lineRule="auto"/>
        <w:jc w:val="both"/>
      </w:pPr>
      <w:r w:rsidRPr="0031231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8"/>
      <w:bookmarkStart w:id="16" w:name="OLE_LINK76"/>
      <w:proofErr w:type="spellStart"/>
      <w:r w:rsidR="00312318">
        <w:rPr>
          <w:rFonts w:ascii="Book Antiqua" w:eastAsia="Book Antiqua" w:hAnsi="Book Antiqua" w:cs="Book Antiqua"/>
          <w:color w:val="000000"/>
        </w:rPr>
        <w:t>Schotters</w:t>
      </w:r>
      <w:proofErr w:type="spellEnd"/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FL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participated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design,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data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collection,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data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analysis,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created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figures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tables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wrote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paper</w:t>
      </w:r>
      <w:r w:rsidR="0031231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hint="eastAsia"/>
          <w:lang w:eastAsia="zh-CN"/>
        </w:rPr>
        <w:t xml:space="preserve"> </w:t>
      </w:r>
      <w:proofErr w:type="spellStart"/>
      <w:r w:rsidRPr="00312318">
        <w:rPr>
          <w:rFonts w:ascii="Book Antiqua" w:eastAsia="Book Antiqua" w:hAnsi="Book Antiqua" w:cs="Book Antiqua"/>
          <w:color w:val="000000"/>
        </w:rPr>
        <w:t>Beime</w:t>
      </w:r>
      <w:proofErr w:type="spellEnd"/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J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critical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revision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partici</w:t>
      </w:r>
      <w:r w:rsidR="00312318">
        <w:rPr>
          <w:rFonts w:ascii="Book Antiqua" w:eastAsia="Book Antiqua" w:hAnsi="Book Antiqua" w:cs="Book Antiqua"/>
          <w:color w:val="000000"/>
        </w:rPr>
        <w:t>pated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writing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manuscript</w:t>
      </w:r>
      <w:r w:rsidR="0031231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2318">
        <w:rPr>
          <w:rFonts w:ascii="Book Antiqua" w:eastAsia="Book Antiqua" w:hAnsi="Book Antiqua" w:cs="Book Antiqua"/>
          <w:color w:val="000000"/>
        </w:rPr>
        <w:t>Briem</w:t>
      </w:r>
      <w:proofErr w:type="spellEnd"/>
      <w:r w:rsidRPr="00312318">
        <w:rPr>
          <w:rFonts w:ascii="Book Antiqua" w:eastAsia="Book Antiqua" w:hAnsi="Book Antiqua" w:cs="Book Antiqua"/>
          <w:color w:val="000000"/>
        </w:rPr>
        <w:t>-Richter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participated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design</w:t>
      </w:r>
      <w:r w:rsidR="0031231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Binder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critical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revi</w:t>
      </w:r>
      <w:r w:rsidR="00312318">
        <w:rPr>
          <w:rFonts w:ascii="Book Antiqua" w:eastAsia="Book Antiqua" w:hAnsi="Book Antiqua" w:cs="Book Antiqua"/>
          <w:color w:val="000000"/>
        </w:rPr>
        <w:t>sion</w:t>
      </w:r>
      <w:r w:rsidR="0031231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12318">
        <w:rPr>
          <w:rFonts w:ascii="Book Antiqua" w:eastAsia="Book Antiqua" w:hAnsi="Book Antiqua" w:cs="Book Antiqua"/>
          <w:color w:val="000000"/>
        </w:rPr>
        <w:t>Herden</w:t>
      </w:r>
      <w:proofErr w:type="spellEnd"/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U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critical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revision</w:t>
      </w:r>
      <w:r w:rsidR="0031231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312318">
        <w:rPr>
          <w:rFonts w:ascii="Book Antiqua" w:eastAsia="Book Antiqua" w:hAnsi="Book Antiqua" w:cs="Book Antiqua"/>
          <w:color w:val="000000"/>
        </w:rPr>
        <w:t>Grabhorn</w:t>
      </w:r>
      <w:proofErr w:type="spellEnd"/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>
        <w:rPr>
          <w:rFonts w:ascii="Book Antiqua" w:hAnsi="Book Antiqua" w:cs="Book Antiqua" w:hint="eastAsia"/>
          <w:color w:val="000000"/>
          <w:lang w:eastAsia="zh-CN"/>
        </w:rPr>
        <w:t>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participated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design,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writing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manuscript,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performance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supervised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312318">
        <w:rPr>
          <w:rFonts w:ascii="Book Antiqua" w:eastAsia="Book Antiqua" w:hAnsi="Book Antiqua" w:cs="Book Antiqua"/>
          <w:color w:val="000000"/>
        </w:rPr>
        <w:t>report.</w:t>
      </w:r>
    </w:p>
    <w:bookmarkEnd w:id="15"/>
    <w:bookmarkEnd w:id="16"/>
    <w:p w14:paraId="736C53C8" w14:textId="77777777" w:rsidR="00A77B3E" w:rsidRDefault="00A77B3E">
      <w:pPr>
        <w:spacing w:line="360" w:lineRule="auto"/>
        <w:jc w:val="both"/>
      </w:pPr>
    </w:p>
    <w:p w14:paraId="1DD717FE" w14:textId="2FFF49B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Enke</w:t>
      </w:r>
      <w:proofErr w:type="spellEnd"/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Freya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Grabhorn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Hepatology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312318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Hamburg-Eppendorf,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Martinistraße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Hamburg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20246,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A2E8F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>grabhorn@uke.de</w:t>
      </w:r>
    </w:p>
    <w:p w14:paraId="5FC03A52" w14:textId="77777777" w:rsidR="00A77B3E" w:rsidRDefault="00A77B3E">
      <w:pPr>
        <w:spacing w:line="360" w:lineRule="auto"/>
        <w:jc w:val="both"/>
      </w:pPr>
    </w:p>
    <w:p w14:paraId="6C8A4DD4" w14:textId="4A6945E1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0D8A964" w14:textId="650674CB" w:rsidR="00A77B3E" w:rsidRPr="00312318" w:rsidRDefault="00B04D4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71A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2318" w:rsidRPr="00312318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E171A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12318" w:rsidRPr="00312318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E171AE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12318" w:rsidRPr="00312318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2E7200B" w14:textId="4494ADA6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5D35" w:rsidRPr="00ED5D35">
        <w:rPr>
          <w:rFonts w:ascii="Book Antiqua" w:eastAsia="Book Antiqua" w:hAnsi="Book Antiqua" w:cs="Book Antiqua"/>
          <w:color w:val="000000"/>
        </w:rPr>
        <w:t>May 21, 2021</w:t>
      </w:r>
    </w:p>
    <w:p w14:paraId="57C5211C" w14:textId="392FE1DF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094043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2920B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595E3B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E80B3AE" w14:textId="0D60A9F3" w:rsidR="00A77B3E" w:rsidRDefault="00B04D4C">
      <w:pPr>
        <w:spacing w:line="360" w:lineRule="auto"/>
        <w:jc w:val="both"/>
      </w:pPr>
      <w:bookmarkStart w:id="17" w:name="OLE_LINK80"/>
      <w:bookmarkStart w:id="18" w:name="OLE_LINK81"/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antibod</w:t>
      </w:r>
      <w:r w:rsidR="00877AF8">
        <w:rPr>
          <w:rFonts w:ascii="Book Antiqua" w:hAnsi="Book Antiqua" w:cs="Book Antiqua" w:hint="eastAsia"/>
          <w:color w:val="000000"/>
          <w:lang w:eastAsia="zh-CN"/>
        </w:rPr>
        <w:t>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(DSA)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</w:p>
    <w:bookmarkEnd w:id="17"/>
    <w:bookmarkEnd w:id="18"/>
    <w:p w14:paraId="2A7A0788" w14:textId="77777777" w:rsidR="00A77B3E" w:rsidRDefault="00A77B3E">
      <w:pPr>
        <w:spacing w:line="360" w:lineRule="auto"/>
        <w:jc w:val="both"/>
      </w:pPr>
    </w:p>
    <w:p w14:paraId="267FC6D9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EFC2F87" w14:textId="643813B2" w:rsidR="00A77B3E" w:rsidRDefault="00B04D4C">
      <w:pPr>
        <w:spacing w:line="360" w:lineRule="auto"/>
        <w:jc w:val="both"/>
      </w:pPr>
      <w:bookmarkStart w:id="19" w:name="OLE_LINK82"/>
      <w:bookmarkStart w:id="20" w:name="OLE_LINK83"/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19"/>
    <w:bookmarkEnd w:id="20"/>
    <w:p w14:paraId="7BB80676" w14:textId="77777777" w:rsidR="00A77B3E" w:rsidRDefault="00A77B3E">
      <w:pPr>
        <w:spacing w:line="360" w:lineRule="auto"/>
        <w:jc w:val="both"/>
      </w:pPr>
    </w:p>
    <w:p w14:paraId="5DDCD474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BCF3C14" w14:textId="5C561E83" w:rsidR="00A77B3E" w:rsidRDefault="00B04D4C">
      <w:pPr>
        <w:spacing w:line="360" w:lineRule="auto"/>
        <w:jc w:val="both"/>
      </w:pPr>
      <w:bookmarkStart w:id="21" w:name="OLE_LINK84"/>
      <w:bookmarkStart w:id="22" w:name="OLE_LINK85"/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9"/>
      <w:bookmarkStart w:id="24" w:name="OLE_LINK20"/>
      <w:r w:rsidR="00877AF8" w:rsidRPr="00877AF8">
        <w:rPr>
          <w:rFonts w:ascii="Book Antiqua" w:hAnsi="Book Antiqua" w:cs="Book Antiqua"/>
          <w:color w:val="000000"/>
          <w:lang w:eastAsia="zh-CN"/>
        </w:rPr>
        <w:t>liver</w:t>
      </w:r>
      <w:r w:rsidR="00E171AE">
        <w:rPr>
          <w:rFonts w:ascii="Book Antiqua" w:hAnsi="Book Antiqua" w:cs="Book Antiqua"/>
          <w:color w:val="000000"/>
          <w:lang w:eastAsia="zh-CN"/>
        </w:rPr>
        <w:t xml:space="preserve"> </w:t>
      </w:r>
      <w:r w:rsidR="00877AF8" w:rsidRPr="00877AF8">
        <w:rPr>
          <w:rFonts w:ascii="Book Antiqua" w:hAnsi="Book Antiqua" w:cs="Book Antiqua"/>
          <w:color w:val="000000"/>
          <w:lang w:eastAsia="zh-CN"/>
        </w:rPr>
        <w:t>transplantation</w:t>
      </w:r>
      <w:r w:rsidR="00E171AE">
        <w:rPr>
          <w:rFonts w:ascii="Book Antiqua" w:hAnsi="Book Antiqua" w:cs="Book Antiqua"/>
          <w:color w:val="000000"/>
          <w:lang w:eastAsia="zh-CN"/>
        </w:rPr>
        <w:t xml:space="preserve"> </w:t>
      </w:r>
      <w:r w:rsidR="00877AF8" w:rsidRPr="00877AF8">
        <w:rPr>
          <w:rFonts w:ascii="Book Antiqua" w:hAnsi="Book Antiqua" w:cs="Book Antiqua"/>
          <w:color w:val="000000"/>
          <w:lang w:eastAsia="zh-CN"/>
        </w:rPr>
        <w:t>(LT)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recipients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Luminex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</w:p>
    <w:bookmarkEnd w:id="21"/>
    <w:bookmarkEnd w:id="22"/>
    <w:p w14:paraId="5840D894" w14:textId="77777777" w:rsidR="00A77B3E" w:rsidRDefault="00A77B3E">
      <w:pPr>
        <w:spacing w:line="360" w:lineRule="auto"/>
        <w:jc w:val="both"/>
      </w:pPr>
    </w:p>
    <w:p w14:paraId="4AC195C8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F9C08B2" w14:textId="7200AA82" w:rsidR="00A77B3E" w:rsidRDefault="00B04D4C">
      <w:pPr>
        <w:spacing w:line="360" w:lineRule="auto"/>
        <w:jc w:val="both"/>
      </w:pPr>
      <w:bookmarkStart w:id="25" w:name="OLE_LINK86"/>
      <w:bookmarkStart w:id="26" w:name="OLE_LINK87"/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77AF8" w:rsidRPr="00877AF8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E171A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DQ2,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DQ7,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hAnsi="Book Antiqua" w:cs="Book Antiqua" w:hint="eastAsia"/>
          <w:color w:val="000000"/>
          <w:lang w:eastAsia="zh-CN"/>
        </w:rPr>
        <w:t>M</w:t>
      </w:r>
      <w:r w:rsidR="00567BB3" w:rsidRPr="00567BB3">
        <w:rPr>
          <w:rFonts w:ascii="Book Antiqua" w:eastAsia="Book Antiqua" w:hAnsi="Book Antiqua" w:cs="Book Antiqua"/>
          <w:color w:val="000000"/>
        </w:rPr>
        <w:t>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567BB3">
        <w:rPr>
          <w:rFonts w:ascii="Book Antiqua" w:eastAsia="Book Antiqua" w:hAnsi="Book Antiqua" w:cs="Book Antiqua"/>
          <w:color w:val="000000"/>
        </w:rPr>
        <w:t>fluorescence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567BB3">
        <w:rPr>
          <w:rFonts w:ascii="Book Antiqua" w:eastAsia="Book Antiqua" w:hAnsi="Book Antiqua" w:cs="Book Antiqua"/>
          <w:color w:val="000000"/>
        </w:rPr>
        <w:t>intensity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bookmarkEnd w:id="25"/>
    <w:bookmarkEnd w:id="26"/>
    <w:p w14:paraId="20069C36" w14:textId="77777777" w:rsidR="00A77B3E" w:rsidRDefault="00A77B3E">
      <w:pPr>
        <w:spacing w:line="360" w:lineRule="auto"/>
        <w:jc w:val="both"/>
      </w:pPr>
    </w:p>
    <w:p w14:paraId="38A38DB9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80BE55" w14:textId="7E60DD11" w:rsidR="00A77B3E" w:rsidRDefault="00B04D4C">
      <w:pPr>
        <w:spacing w:line="360" w:lineRule="auto"/>
        <w:jc w:val="both"/>
      </w:pPr>
      <w:bookmarkStart w:id="27" w:name="OLE_LINK88"/>
      <w:bookmarkStart w:id="28" w:name="OLE_LINK89"/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combination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2259DE"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2259DE">
        <w:rPr>
          <w:rFonts w:ascii="Book Antiqua" w:eastAsia="Book Antiqua" w:hAnsi="Book Antiqua" w:cs="Book Antiqua"/>
          <w:color w:val="000000"/>
        </w:rPr>
        <w:t>antibody-mediated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2259DE"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</w:p>
    <w:bookmarkEnd w:id="27"/>
    <w:bookmarkEnd w:id="28"/>
    <w:p w14:paraId="6712B1B2" w14:textId="77777777" w:rsidR="00A77B3E" w:rsidRDefault="00A77B3E">
      <w:pPr>
        <w:spacing w:line="360" w:lineRule="auto"/>
        <w:jc w:val="both"/>
      </w:pPr>
    </w:p>
    <w:p w14:paraId="5337EC61" w14:textId="66749C4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61"/>
      <w:bookmarkStart w:id="30" w:name="OLE_LINK62"/>
      <w:bookmarkStart w:id="31" w:name="OLE_LINK67"/>
      <w:r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>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Fluoroimmunoassay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</w:p>
    <w:bookmarkEnd w:id="29"/>
    <w:bookmarkEnd w:id="30"/>
    <w:bookmarkEnd w:id="31"/>
    <w:p w14:paraId="2374229A" w14:textId="77777777" w:rsidR="00A77B3E" w:rsidRDefault="00A77B3E">
      <w:pPr>
        <w:spacing w:line="360" w:lineRule="auto"/>
        <w:jc w:val="both"/>
      </w:pPr>
    </w:p>
    <w:p w14:paraId="39602DDC" w14:textId="43825C6B" w:rsidR="00A77B3E" w:rsidRDefault="00B04D4C">
      <w:pPr>
        <w:spacing w:line="360" w:lineRule="auto"/>
        <w:jc w:val="both"/>
      </w:pPr>
      <w:bookmarkStart w:id="32" w:name="OLE_LINK63"/>
      <w:bookmarkStart w:id="33" w:name="OLE_LINK64"/>
      <w:r w:rsidRPr="006D7DA8">
        <w:rPr>
          <w:rFonts w:ascii="Book Antiqua" w:eastAsia="Book Antiqua" w:hAnsi="Book Antiqua" w:cs="Book Antiqua"/>
          <w:color w:val="000000"/>
          <w:lang w:val="de-DE"/>
        </w:rPr>
        <w:t>Schotters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FL,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Beime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J,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Briem-Richter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A,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Binder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T,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Herden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U,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Grabhorn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6D7DA8">
        <w:rPr>
          <w:rFonts w:ascii="Book Antiqua" w:eastAsia="Book Antiqua" w:hAnsi="Book Antiqua" w:cs="Book Antiqua"/>
          <w:color w:val="000000"/>
          <w:lang w:val="de-DE"/>
        </w:rPr>
        <w:t>EF.</w:t>
      </w:r>
      <w:r w:rsidR="00E171AE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32"/>
    <w:bookmarkEnd w:id="33"/>
    <w:p w14:paraId="39CC2870" w14:textId="77777777" w:rsidR="00A77B3E" w:rsidRDefault="00A77B3E">
      <w:pPr>
        <w:spacing w:line="360" w:lineRule="auto"/>
        <w:jc w:val="both"/>
      </w:pPr>
    </w:p>
    <w:p w14:paraId="68383085" w14:textId="3B21AD5F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65"/>
      <w:bookmarkStart w:id="35" w:name="OLE_LINK66"/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This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was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retrospective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study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to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evaluate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the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impact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bookmarkStart w:id="36" w:name="OLE_LINK17"/>
      <w:bookmarkStart w:id="37" w:name="OLE_LINK18"/>
      <w:r w:rsidR="00877AF8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(DSAs)</w:t>
      </w:r>
      <w:bookmarkEnd w:id="36"/>
      <w:bookmarkEnd w:id="37"/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survival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pediatric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877AF8">
        <w:rPr>
          <w:rFonts w:ascii="Book Antiqua" w:eastAsia="Book Antiqua" w:hAnsi="Book Antiqua" w:cs="Book Antiqua"/>
          <w:color w:val="000000"/>
        </w:rPr>
        <w:t>transplantation</w:t>
      </w:r>
      <w:r w:rsidR="00877AF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fibrosis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and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loss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was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significantly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higher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DSAs.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Screening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should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included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follow-ups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to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avoid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delayed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identification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risk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loss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(rejection),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and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may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even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more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relevant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early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histological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signs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possible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allograft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dysfunction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(fibrosis).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Moreover,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may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poor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candidates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reduction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722A9">
        <w:rPr>
          <w:rFonts w:ascii="Book Antiqua" w:hAnsi="Book Antiqua" w:cs="Book Antiqua" w:hint="eastAsia"/>
          <w:color w:val="000000"/>
          <w:lang w:eastAsia="zh-CN"/>
        </w:rPr>
        <w:t>i</w:t>
      </w:r>
      <w:r w:rsidR="00B722A9">
        <w:rPr>
          <w:rFonts w:ascii="Book Antiqua" w:eastAsia="Book Antiqua" w:hAnsi="Book Antiqua" w:cs="Book Antiqua"/>
          <w:color w:val="000000"/>
        </w:rPr>
        <w:t>nitial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722A9">
        <w:rPr>
          <w:rFonts w:ascii="Book Antiqua" w:eastAsia="Book Antiqua" w:hAnsi="Book Antiqua" w:cs="Book Antiqua"/>
          <w:color w:val="000000"/>
        </w:rPr>
        <w:t>immunosuppression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or</w:t>
      </w:r>
      <w:r w:rsidR="00E171AE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even</w:t>
      </w:r>
      <w:r w:rsidR="00E171AE">
        <w:rPr>
          <w:rStyle w:val="MsoHyperlink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MsoHyperlink0"/>
          <w:rFonts w:ascii="Book Antiqua" w:eastAsia="Book Antiqua" w:hAnsi="Book Antiqua" w:cs="Book Antiqua"/>
          <w:color w:val="000000"/>
        </w:rPr>
        <w:t>weaning.</w:t>
      </w:r>
      <w:bookmarkEnd w:id="34"/>
      <w:bookmarkEnd w:id="35"/>
    </w:p>
    <w:p w14:paraId="6C3A14DC" w14:textId="77777777" w:rsidR="00B722A9" w:rsidRDefault="00B722A9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50DB31F" w14:textId="5945F7A3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99D9876" w14:textId="7F10A7BD" w:rsidR="00A77B3E" w:rsidRPr="00A45D5E" w:rsidRDefault="00B04D4C">
      <w:pPr>
        <w:spacing w:line="360" w:lineRule="auto"/>
        <w:jc w:val="both"/>
        <w:rPr>
          <w:lang w:eastAsia="zh-CN"/>
        </w:rPr>
      </w:pPr>
      <w:bookmarkStart w:id="38" w:name="OLE_LINK90"/>
      <w:bookmarkStart w:id="39" w:name="OLE_LINK91"/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bookmarkStart w:id="40" w:name="OLE_LINK21"/>
      <w:bookmarkStart w:id="41" w:name="OLE_LINK22"/>
      <w:bookmarkStart w:id="42" w:name="OLE_LINK1"/>
      <w:bookmarkStart w:id="43" w:name="OLE_LINK2"/>
      <w:bookmarkStart w:id="44" w:name="OLE_LINK5"/>
      <w:r w:rsidR="00A45D5E">
        <w:rPr>
          <w:rFonts w:ascii="Book Antiqua" w:eastAsia="Book Antiqua" w:hAnsi="Book Antiqua" w:cs="Book Antiqua"/>
          <w:color w:val="000000"/>
        </w:rPr>
        <w:t>human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5D5E">
        <w:rPr>
          <w:rFonts w:ascii="Book Antiqua" w:eastAsia="Book Antiqua" w:hAnsi="Book Antiqua" w:cs="Book Antiqua"/>
          <w:color w:val="000000"/>
        </w:rPr>
        <w:t>leucocyte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5D5E">
        <w:rPr>
          <w:rFonts w:ascii="Book Antiqua" w:eastAsia="Book Antiqua" w:hAnsi="Book Antiqua" w:cs="Book Antiqua"/>
          <w:color w:val="000000"/>
        </w:rPr>
        <w:t>antigen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40"/>
      <w:bookmarkEnd w:id="41"/>
      <w:r w:rsidR="00A45D5E">
        <w:rPr>
          <w:rFonts w:ascii="Book Antiqua" w:eastAsia="Book Antiqua" w:hAnsi="Book Antiqua" w:cs="Book Antiqua"/>
          <w:color w:val="000000"/>
        </w:rPr>
        <w:t>(HLA)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(DSAs)</w:t>
      </w:r>
      <w:bookmarkEnd w:id="42"/>
      <w:bookmarkEnd w:id="43"/>
      <w:bookmarkEnd w:id="44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crucial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 w:rsidR="00A45D5E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3"/>
      <w:bookmarkStart w:id="46" w:name="OLE_LINK4"/>
      <w:bookmarkStart w:id="47" w:name="OLE_LINK6"/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(LT)</w:t>
      </w:r>
      <w:bookmarkEnd w:id="45"/>
      <w:bookmarkEnd w:id="46"/>
      <w:bookmarkEnd w:id="47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A45D5E">
        <w:rPr>
          <w:rFonts w:ascii="Book Antiqua" w:hAnsi="Book Antiqua" w:cs="Book Antiqua" w:hint="eastAsia"/>
          <w:color w:val="000000"/>
          <w:lang w:eastAsia="zh-CN"/>
        </w:rPr>
        <w:t>,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 w:rsidR="00A45D5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DEEA56F" w14:textId="7B03D0DC" w:rsidR="00A77B3E" w:rsidRPr="00A45D5E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allografts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A45D5E">
        <w:rPr>
          <w:rFonts w:ascii="Book Antiqua" w:hAnsi="Book Antiqua" w:cs="Book Antiqua" w:hint="eastAsia"/>
          <w:color w:val="000000"/>
          <w:lang w:eastAsia="zh-CN"/>
        </w:rPr>
        <w:t>,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9"/>
      <w:bookmarkStart w:id="49" w:name="OLE_LINK10"/>
      <w:r>
        <w:rPr>
          <w:rFonts w:ascii="Book Antiqua" w:eastAsia="Book Antiqua" w:hAnsi="Book Antiqua" w:cs="Book Antiqua"/>
          <w:color w:val="000000"/>
        </w:rPr>
        <w:t>HLA</w:t>
      </w:r>
      <w:bookmarkEnd w:id="48"/>
      <w:bookmarkEnd w:id="49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A45D5E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perivenular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venule,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A45D5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74D6080" w14:textId="3D345CDF" w:rsidR="00A77B3E" w:rsidRPr="00A45D5E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perivenular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[15-18]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venopathy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25"/>
      <w:bookmarkStart w:id="51" w:name="OLE_LINK26"/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bookmarkEnd w:id="50"/>
      <w:bookmarkEnd w:id="51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cAMR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A45D5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A45D5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E7BEBCA" w14:textId="02F297AD" w:rsidR="00A77B3E" w:rsidRPr="00A45D5E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Demetris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10,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21-23]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2" w:name="OLE_LINK23"/>
      <w:bookmarkStart w:id="53" w:name="OLE_LINK24"/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bookmarkEnd w:id="52"/>
      <w:bookmarkEnd w:id="53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alloreactivity.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45D5E">
        <w:rPr>
          <w:rFonts w:ascii="Book Antiqua" w:eastAsia="Book Antiqua" w:hAnsi="Book Antiqua" w:cs="Book Antiqua"/>
          <w:color w:val="000000"/>
        </w:rPr>
        <w:t>TCMR</w:t>
      </w:r>
      <w:r>
        <w:rPr>
          <w:rFonts w:ascii="Book Antiqua" w:eastAsia="Book Antiqua" w:hAnsi="Book Antiqua" w:cs="Book Antiqua"/>
          <w:color w:val="000000"/>
        </w:rPr>
        <w:t>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arteriopathy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obliterative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arteriopathy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ductopenia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necroinflammation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specimens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A45D5E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O’Leary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ductopenia,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</w:p>
    <w:p w14:paraId="13115D55" w14:textId="55C61100" w:rsidR="00A77B3E" w:rsidRPr="00A45D5E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Initially,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3"/>
      <w:r>
        <w:rPr>
          <w:rFonts w:ascii="Book Antiqua" w:eastAsia="Book Antiqua" w:hAnsi="Book Antiqua" w:cs="Book Antiqua"/>
          <w:color w:val="000000"/>
        </w:rPr>
        <w:t>ABO-incompatible</w:t>
      </w:r>
      <w:bookmarkEnd w:id="54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ABO-compatible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19,25,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TCMR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TCMR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increasing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(second-hit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hypothesis)</w:t>
      </w:r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>
        <w:rPr>
          <w:rFonts w:ascii="Book Antiqua" w:eastAsia="Book Antiqua" w:hAnsi="Book Antiqua" w:cs="Book Antiqua"/>
          <w:color w:val="000000"/>
          <w:szCs w:val="30"/>
          <w:vertAlign w:val="superscript"/>
        </w:rPr>
        <w:t>10,23,24,27,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A45D5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C363B28" w14:textId="22963689" w:rsidR="00A77B3E" w:rsidRDefault="00B04D4C" w:rsidP="00A45D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</w:p>
    <w:bookmarkEnd w:id="38"/>
    <w:bookmarkEnd w:id="39"/>
    <w:p w14:paraId="678826A0" w14:textId="77777777" w:rsidR="00A77B3E" w:rsidRDefault="00A77B3E">
      <w:pPr>
        <w:spacing w:line="360" w:lineRule="auto"/>
        <w:jc w:val="both"/>
      </w:pPr>
    </w:p>
    <w:p w14:paraId="6D3EB1B2" w14:textId="38F30CCD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17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17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933F73F" w14:textId="306AE782" w:rsidR="00A77B3E" w:rsidRDefault="00B04D4C">
      <w:pPr>
        <w:spacing w:line="360" w:lineRule="auto"/>
        <w:jc w:val="both"/>
      </w:pPr>
      <w:bookmarkStart w:id="55" w:name="OLE_LINK92"/>
      <w:bookmarkStart w:id="56" w:name="OLE_LINK93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79A0EFD8" w14:textId="3D4C0EB7" w:rsidR="00A77B3E" w:rsidRDefault="00A45D5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765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tertiary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center.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started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2013,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mostly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ELISA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technique.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cross-sectional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chart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analysis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coming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check-ups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department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between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2013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2017.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charts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checked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measurement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Luminex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technique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(single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antigen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bead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assay)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most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sensitive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test,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complete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values.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included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123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present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exclusions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change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residency,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follow-up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transplant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centers,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missing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missing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Luminex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deaths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within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first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year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LT.</w:t>
      </w:r>
    </w:p>
    <w:p w14:paraId="2E1E2802" w14:textId="1E9A3497" w:rsidR="00A77B3E" w:rsidRDefault="00B04D4C" w:rsidP="00A45D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(44.7%)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(55.3%)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atresia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8.1%),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Alagille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7.3%)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reduced-size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70.7%);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retransplanted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(21.1%),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(6.5%)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(1.6%).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E171A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details.</w:t>
      </w:r>
    </w:p>
    <w:p w14:paraId="55F195FD" w14:textId="4FE2E81D" w:rsidR="00A77B3E" w:rsidRDefault="00B04D4C" w:rsidP="00A45D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Yearly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(including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3013ECC5" w14:textId="1793D9A5" w:rsidR="00A77B3E" w:rsidRDefault="00B04D4C" w:rsidP="00A45D5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5D5E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</w:p>
    <w:p w14:paraId="076EFD96" w14:textId="77777777" w:rsidR="00A77B3E" w:rsidRDefault="00A77B3E">
      <w:pPr>
        <w:spacing w:line="360" w:lineRule="auto"/>
        <w:jc w:val="both"/>
      </w:pPr>
    </w:p>
    <w:p w14:paraId="480329ED" w14:textId="5E2D824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Histological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graft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</w:p>
    <w:p w14:paraId="3C6C390C" w14:textId="3EF02056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A46222">
        <w:rPr>
          <w:rFonts w:ascii="Book Antiqua" w:eastAsia="Book Antiqua" w:hAnsi="Book Antiqua" w:cs="Book Antiqua"/>
          <w:color w:val="000000"/>
        </w:rPr>
        <w:t>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assessed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Table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Desmet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Banff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pathologists.</w:t>
      </w:r>
    </w:p>
    <w:p w14:paraId="1ED553EF" w14:textId="77777777" w:rsidR="00A77B3E" w:rsidRDefault="00A77B3E">
      <w:pPr>
        <w:spacing w:line="360" w:lineRule="auto"/>
        <w:jc w:val="both"/>
      </w:pPr>
    </w:p>
    <w:p w14:paraId="7901B1BE" w14:textId="0B574211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HLA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typing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567BB3">
        <w:rPr>
          <w:rFonts w:ascii="Book Antiqua" w:eastAsia="Book Antiqua" w:hAnsi="Book Antiqua" w:cs="Book Antiqua"/>
          <w:b/>
          <w:bCs/>
          <w:i/>
          <w:iCs/>
          <w:color w:val="000000"/>
        </w:rPr>
        <w:t>luminex</w:t>
      </w:r>
      <w:proofErr w:type="spellEnd"/>
    </w:p>
    <w:p w14:paraId="510CAF86" w14:textId="7BA6DC39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paper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7BB3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Lambda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LABScreen</w:t>
      </w:r>
      <w:proofErr w:type="spellEnd"/>
      <w:r w:rsidRPr="00E171AE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anti-HLA-antibodies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67BB3">
        <w:rPr>
          <w:rFonts w:ascii="Book Antiqua" w:eastAsia="Book Antiqua" w:hAnsi="Book Antiqua" w:cs="Book Antiqua"/>
          <w:color w:val="000000"/>
        </w:rPr>
        <w:t>A,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-B,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567BB3">
        <w:rPr>
          <w:rFonts w:ascii="Book Antiqua" w:eastAsia="Book Antiqua" w:hAnsi="Book Antiqua" w:cs="Book Antiqua"/>
          <w:color w:val="000000"/>
        </w:rPr>
        <w:t>Cw</w:t>
      </w:r>
      <w:proofErr w:type="spellEnd"/>
      <w:r w:rsidR="00567BB3"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-DR,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-DQ,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-DP).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Normalized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14"/>
      <w:bookmarkStart w:id="58" w:name="OLE_LINK15"/>
      <w:bookmarkStart w:id="59" w:name="OLE_LINK54"/>
      <w:r>
        <w:rPr>
          <w:rFonts w:ascii="Book Antiqua" w:eastAsia="Book Antiqua" w:hAnsi="Book Antiqua" w:cs="Book Antiqua"/>
          <w:color w:val="000000"/>
        </w:rPr>
        <w:t>mean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bookmarkEnd w:id="57"/>
      <w:bookmarkEnd w:id="58"/>
      <w:bookmarkEnd w:id="59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(MFI)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500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</w:p>
    <w:p w14:paraId="6EB677ED" w14:textId="77777777" w:rsidR="00A77B3E" w:rsidRDefault="00A77B3E">
      <w:pPr>
        <w:spacing w:line="360" w:lineRule="auto"/>
        <w:jc w:val="both"/>
      </w:pPr>
    </w:p>
    <w:p w14:paraId="6923AD8A" w14:textId="0EA2EB65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8C57D73" w14:textId="792E4915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Pr="00E171AE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non-Gaussian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Cramer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171AE">
        <w:rPr>
          <w:rFonts w:ascii="Book Antiqua" w:eastAsia="Book Antiqua" w:hAnsi="Book Antiqua" w:cs="Book Antiqua"/>
          <w:i/>
          <w:iCs/>
          <w:color w:val="000000"/>
        </w:rPr>
        <w:t>U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E171A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567BB3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value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67BB3">
        <w:rPr>
          <w:rFonts w:ascii="Book Antiqua" w:eastAsia="Book Antiqua" w:hAnsi="Book Antiqua" w:cs="Book Antiqua"/>
          <w:color w:val="000000"/>
        </w:rPr>
        <w:t>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evaluation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odds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ratios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95%</w:t>
      </w:r>
      <w:r w:rsidR="00567BB3">
        <w:rPr>
          <w:rFonts w:ascii="Book Antiqua" w:hAnsi="Book Antiqua" w:cs="Book Antiqua" w:hint="eastAsia"/>
          <w:color w:val="000000"/>
          <w:lang w:eastAsia="zh-CN"/>
        </w:rPr>
        <w:t>CI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567BB3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67BB3" w:rsidRPr="00567BB3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B6A50FC" w14:textId="77777777" w:rsidR="00A77B3E" w:rsidRDefault="00A77B3E">
      <w:pPr>
        <w:spacing w:line="360" w:lineRule="auto"/>
        <w:jc w:val="both"/>
      </w:pPr>
    </w:p>
    <w:p w14:paraId="68B1B3D4" w14:textId="6BA2910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formation</w:t>
      </w:r>
    </w:p>
    <w:p w14:paraId="044CB598" w14:textId="72C830F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DSA-negative,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color w:val="000000"/>
          <w:lang w:eastAsia="zh-CN"/>
        </w:rPr>
        <w:t>≥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</w:t>
      </w:r>
      <w:r w:rsidR="00567BB3">
        <w:rPr>
          <w:rFonts w:ascii="Book Antiqua" w:eastAsia="Book Antiqua" w:hAnsi="Book Antiqua" w:cs="Book Antiqua"/>
          <w:color w:val="000000"/>
        </w:rPr>
        <w:t>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10000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hAnsi="Book Antiqua" w:cs="Book Antiqua" w:hint="eastAsia"/>
          <w:color w:val="000000"/>
          <w:lang w:eastAsia="zh-CN"/>
        </w:rPr>
        <w:t>(</w:t>
      </w:r>
      <w:r w:rsidRPr="00567BB3">
        <w:rPr>
          <w:rFonts w:ascii="Book Antiqua" w:eastAsia="Book Antiqua" w:hAnsi="Book Antiqua" w:cs="Book Antiqua"/>
          <w:i/>
          <w:color w:val="000000"/>
        </w:rPr>
        <w:t>n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)</w:t>
      </w:r>
      <w:r w:rsidR="00567BB3">
        <w:rPr>
          <w:rFonts w:ascii="Book Antiqua" w:hAnsi="Book Antiqua" w:cs="Book Antiqua" w:hint="eastAsia"/>
          <w:color w:val="000000"/>
          <w:lang w:eastAsia="zh-CN"/>
        </w:rPr>
        <w:t>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lower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000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1500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67BB3">
        <w:rPr>
          <w:rFonts w:ascii="Book Antiqua" w:hAnsi="Book Antiqua" w:cs="Book Antiqua" w:hint="eastAsia"/>
          <w:color w:val="000000"/>
          <w:lang w:eastAsia="zh-CN"/>
        </w:rPr>
        <w:t>(</w:t>
      </w:r>
      <w:r w:rsidRPr="00567BB3">
        <w:rPr>
          <w:rFonts w:ascii="Book Antiqua" w:eastAsia="Book Antiqua" w:hAnsi="Book Antiqua" w:cs="Book Antiqua"/>
          <w:i/>
          <w:color w:val="000000"/>
        </w:rPr>
        <w:t>n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)</w:t>
      </w:r>
      <w:r w:rsidR="00567BB3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DF3913" w14:textId="4E4F5197" w:rsidR="00A77B3E" w:rsidRDefault="00B04D4C" w:rsidP="00567B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6DE2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479D51DD" w14:textId="77777777" w:rsidR="00A77B3E" w:rsidRDefault="00A77B3E">
      <w:pPr>
        <w:spacing w:line="360" w:lineRule="auto"/>
        <w:jc w:val="both"/>
      </w:pPr>
    </w:p>
    <w:p w14:paraId="795A5B75" w14:textId="35C46E9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Immunosuppressive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</w:t>
      </w:r>
    </w:p>
    <w:p w14:paraId="1A737EFC" w14:textId="0EDB63EF" w:rsidR="00A77B3E" w:rsidRDefault="00B04D4C">
      <w:pPr>
        <w:spacing w:line="360" w:lineRule="auto"/>
        <w:jc w:val="both"/>
      </w:pPr>
      <w:bookmarkStart w:id="60" w:name="OLE_LINK7"/>
      <w:bookmarkStart w:id="61" w:name="OLE_LINK8"/>
      <w:r>
        <w:rPr>
          <w:rFonts w:ascii="Book Antiqua" w:eastAsia="Book Antiqua" w:hAnsi="Book Antiqua" w:cs="Book Antiqua"/>
          <w:color w:val="000000"/>
        </w:rPr>
        <w:t>Initial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bookmarkEnd w:id="60"/>
      <w:bookmarkEnd w:id="61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53.7%;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56.5%)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46222">
        <w:rPr>
          <w:rFonts w:ascii="Book Antiqua" w:eastAsia="Book Antiqua" w:hAnsi="Book Antiqua" w:cs="Book Antiqua"/>
          <w:color w:val="000000"/>
        </w:rPr>
        <w:t>formation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provided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Table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</w:p>
    <w:bookmarkEnd w:id="55"/>
    <w:bookmarkEnd w:id="56"/>
    <w:p w14:paraId="5BDB372D" w14:textId="77777777" w:rsidR="00A77B3E" w:rsidRDefault="00A77B3E">
      <w:pPr>
        <w:spacing w:line="360" w:lineRule="auto"/>
        <w:jc w:val="both"/>
      </w:pPr>
    </w:p>
    <w:p w14:paraId="03E0AAF1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D0AA11D" w14:textId="313EA904" w:rsidR="00A77B3E" w:rsidRDefault="00B04D4C">
      <w:pPr>
        <w:spacing w:line="360" w:lineRule="auto"/>
        <w:jc w:val="both"/>
      </w:pPr>
      <w:bookmarkStart w:id="62" w:name="OLE_LINK94"/>
      <w:bookmarkStart w:id="63" w:name="OLE_LINK95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HLA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DSAs</w:t>
      </w:r>
    </w:p>
    <w:p w14:paraId="7BD3ACE6" w14:textId="0E6A78F0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74.1%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43.9%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(minimum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>
        <w:rPr>
          <w:rFonts w:ascii="Book Antiqua" w:hAnsi="Book Antiqua" w:cs="Book Antiqua" w:hint="eastAsia"/>
          <w:color w:val="000000"/>
          <w:lang w:eastAsia="zh-CN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(minimum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1.4).</w:t>
      </w:r>
    </w:p>
    <w:p w14:paraId="029CEBD2" w14:textId="24AFE781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14.8%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</w:p>
    <w:p w14:paraId="590F78EE" w14:textId="3A6D701A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DP-HLA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46.3%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14.5%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</w:t>
      </w:r>
      <w:r w:rsidR="00092125">
        <w:rPr>
          <w:rFonts w:ascii="Book Antiqua" w:eastAsia="Book Antiqua" w:hAnsi="Book Antiqua" w:cs="Book Antiqua"/>
          <w:color w:val="000000"/>
        </w:rPr>
        <w:t>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>
        <w:rPr>
          <w:rFonts w:ascii="Book Antiqua" w:eastAsia="Book Antiqua" w:hAnsi="Book Antiqua" w:cs="Book Antiqua"/>
          <w:color w:val="000000"/>
        </w:rPr>
        <w:t>(Figure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19F31A8" w14:textId="77777777" w:rsidR="00A77B3E" w:rsidRDefault="00A77B3E">
      <w:pPr>
        <w:spacing w:line="360" w:lineRule="auto"/>
        <w:jc w:val="both"/>
      </w:pPr>
    </w:p>
    <w:p w14:paraId="1340D9CB" w14:textId="22DCA1D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biopsies</w:t>
      </w:r>
    </w:p>
    <w:p w14:paraId="39EFF978" w14:textId="104D8039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(67.3%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092125">
        <w:rPr>
          <w:rFonts w:ascii="Book Antiqua" w:eastAsia="Book Antiqua" w:hAnsi="Book Antiqua" w:cs="Book Antiqua"/>
          <w:i/>
          <w:color w:val="000000"/>
        </w:rPr>
        <w:t>vs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(16.3%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092125">
        <w:rPr>
          <w:rFonts w:ascii="Book Antiqua" w:eastAsia="Book Antiqua" w:hAnsi="Book Antiqua" w:cs="Book Antiqua"/>
          <w:i/>
          <w:color w:val="000000"/>
        </w:rPr>
        <w:t>vs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10.7%).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(PFIC2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6423753" w14:textId="119C0996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Comparing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perivenular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lesions/</w:t>
      </w:r>
      <w:proofErr w:type="spellStart"/>
      <w:r>
        <w:rPr>
          <w:rFonts w:ascii="Book Antiqua" w:eastAsia="Book Antiqua" w:hAnsi="Book Antiqua" w:cs="Book Antiqua"/>
          <w:color w:val="000000"/>
        </w:rPr>
        <w:t>ductulopenia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HLA-DSAs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92125" w:rsidRPr="00092125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DQ7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92125" w:rsidRPr="00092125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92125" w:rsidRPr="00092125">
        <w:rPr>
          <w:rFonts w:ascii="Book Antiqua" w:eastAsia="Book Antiqua" w:hAnsi="Book Antiqua" w:cs="Book Antiqua"/>
          <w:i/>
          <w:color w:val="000000"/>
        </w:rPr>
        <w:t>P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86CD1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F2),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(F1)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55156F9" w14:textId="59B7683F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(F3),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endothelitis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eastAsia="Book Antiqua" w:hAnsi="Book Antiqua" w:cs="Book Antiqua"/>
          <w:color w:val="000000"/>
        </w:rPr>
        <w:t>(Table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46222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C8276E8" w14:textId="37B0619D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Correlation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DR52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</w:p>
    <w:p w14:paraId="44188436" w14:textId="268EC76E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Overall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(Mantel-Cox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B94F4F7" w14:textId="0D057E39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921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-20%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γGT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GLDH-elevation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921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-66%.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(albumin,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092125">
        <w:rPr>
          <w:rFonts w:ascii="Book Antiqua" w:eastAsia="Book Antiqua" w:hAnsi="Book Antiqua" w:cs="Book Antiqua"/>
          <w:color w:val="000000"/>
        </w:rPr>
        <w:t>international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092125">
        <w:rPr>
          <w:rFonts w:ascii="Book Antiqua" w:eastAsia="Book Antiqua" w:hAnsi="Book Antiqua" w:cs="Book Antiqua"/>
          <w:color w:val="000000"/>
        </w:rPr>
        <w:t>normalized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092125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1C869068" w14:textId="2CEF0DE2" w:rsidR="00A77B3E" w:rsidRDefault="00B04D4C" w:rsidP="0009212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CNI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MMF.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γGT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(DQ2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DQ7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715EB62D" w14:textId="734B0586" w:rsidR="00A77B3E" w:rsidRDefault="00B04D4C" w:rsidP="00F61A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597FD8BA" w14:textId="77777777" w:rsidR="00A77B3E" w:rsidRDefault="00A77B3E">
      <w:pPr>
        <w:spacing w:line="360" w:lineRule="auto"/>
        <w:jc w:val="both"/>
      </w:pPr>
    </w:p>
    <w:p w14:paraId="18AA457E" w14:textId="4D026EC2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Influence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DSA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number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MFI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5738B828" w14:textId="727D436F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Mantel-Cox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35FDB804" w14:textId="3451BDEE" w:rsidR="00A77B3E" w:rsidRDefault="00B04D4C" w:rsidP="00F61A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ranged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1668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31309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(cumulated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1678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181;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hAnsi="Book Antiqua" w:cs="Book Antiqua" w:hint="eastAsia"/>
          <w:color w:val="000000"/>
          <w:lang w:eastAsia="zh-CN"/>
        </w:rPr>
        <w:t>=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333).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</w:t>
      </w:r>
      <w:r w:rsidR="00F61ACF">
        <w:rPr>
          <w:rFonts w:ascii="Book Antiqua" w:eastAsia="Book Antiqua" w:hAnsi="Book Antiqua" w:cs="Book Antiqua"/>
          <w:color w:val="000000"/>
        </w:rPr>
        <w:t>ced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(MFI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&gt;10</w:t>
      </w:r>
      <w:r>
        <w:rPr>
          <w:rFonts w:ascii="Book Antiqua" w:eastAsia="Book Antiqua" w:hAnsi="Book Antiqua" w:cs="Book Antiqua"/>
          <w:color w:val="000000"/>
        </w:rPr>
        <w:t>000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i/>
          <w:color w:val="000000"/>
        </w:rPr>
        <w:t>vs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500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000).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(Mantel-Cox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618930FE" w14:textId="77777777" w:rsidR="00A77B3E" w:rsidRDefault="00A77B3E">
      <w:pPr>
        <w:spacing w:line="360" w:lineRule="auto"/>
        <w:jc w:val="both"/>
      </w:pPr>
    </w:p>
    <w:p w14:paraId="67295B4F" w14:textId="0B9AF0A9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DSA-influence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171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re-LT</w:t>
      </w:r>
    </w:p>
    <w:p w14:paraId="38A0DA23" w14:textId="7FB6ACB3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Comparing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i/>
          <w:color w:val="000000"/>
        </w:rPr>
        <w:t>vs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0.018).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79.9%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61.1%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0.04).</w:t>
      </w:r>
    </w:p>
    <w:bookmarkEnd w:id="62"/>
    <w:bookmarkEnd w:id="63"/>
    <w:p w14:paraId="0DDD54E6" w14:textId="77777777" w:rsidR="00A77B3E" w:rsidRDefault="00A77B3E">
      <w:pPr>
        <w:spacing w:line="360" w:lineRule="auto"/>
        <w:jc w:val="both"/>
      </w:pPr>
    </w:p>
    <w:p w14:paraId="7F0EA968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0860146" w14:textId="77777777" w:rsidR="00A77B3E" w:rsidRDefault="00B04D4C">
      <w:pPr>
        <w:spacing w:line="360" w:lineRule="auto"/>
        <w:jc w:val="both"/>
      </w:pPr>
      <w:bookmarkStart w:id="64" w:name="OLE_LINK96"/>
      <w:bookmarkStart w:id="65" w:name="OLE_LINK97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Rejection</w:t>
      </w:r>
    </w:p>
    <w:p w14:paraId="5FEBDC6E" w14:textId="249D7461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</w:t>
      </w:r>
      <w:r w:rsidR="00F61ACF">
        <w:rPr>
          <w:rFonts w:ascii="Book Antiqua" w:eastAsia="Book Antiqua" w:hAnsi="Book Antiqua" w:cs="Book Antiqua"/>
          <w:color w:val="000000"/>
        </w:rPr>
        <w:t>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described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later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>
        <w:rPr>
          <w:rFonts w:ascii="Book Antiqua" w:eastAsia="Book Antiqua" w:hAnsi="Book Antiqua" w:cs="Book Antiqua"/>
          <w:color w:val="000000"/>
        </w:rPr>
        <w:t>Wozniak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F61ACF">
        <w:rPr>
          <w:rFonts w:ascii="Book Antiqua" w:eastAsia="Book Antiqua" w:hAnsi="Book Antiqua" w:cs="Book Antiqua"/>
          <w:i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F61ACF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7674477E" w14:textId="0F5472A6" w:rsidR="00A77B3E" w:rsidRDefault="00B04D4C" w:rsidP="00F61A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O’Leary’s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reaffirming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biopsy-proven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Even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received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impaired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exhibited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histological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rejection.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shows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correlating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aberration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parameters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CR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reliable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procedure.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Ohlsson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61A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1ACF" w:rsidRPr="00F61A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1ACF" w:rsidRPr="00F61ACF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recently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confirmed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value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detecting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silent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immune-mediated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injuries,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regularly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associated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F61ACF">
        <w:rPr>
          <w:rFonts w:ascii="Book Antiqua" w:eastAsia="Book Antiqua" w:hAnsi="Book Antiqua" w:cs="Book Antiqua"/>
          <w:color w:val="000000"/>
        </w:rPr>
        <w:t>DSAs.</w:t>
      </w:r>
    </w:p>
    <w:p w14:paraId="65E79D50" w14:textId="4F0B59E4" w:rsidR="00A77B3E" w:rsidRDefault="00B04D4C" w:rsidP="00F61AC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re-LT)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0.015).</w:t>
      </w:r>
    </w:p>
    <w:p w14:paraId="018AFFAD" w14:textId="1528E712" w:rsidR="00A77B3E" w:rsidRPr="00ED547B" w:rsidRDefault="00B04D4C" w:rsidP="00ED547B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Couchonnal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547B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Wozniak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DQ-DSAs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high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(threshold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547B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000)</w:t>
      </w:r>
      <w:r w:rsidR="00ED547B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C7F3BC1" w14:textId="1E0C5BD2" w:rsidR="00A77B3E" w:rsidRDefault="00ED547B" w:rsidP="00ED54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04D4C">
        <w:rPr>
          <w:rFonts w:ascii="Book Antiqua" w:eastAsia="Book Antiqua" w:hAnsi="Book Antiqua" w:cs="Book Antiqua"/>
          <w:color w:val="000000"/>
        </w:rPr>
        <w:t>000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identify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strong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effects,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statistically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significant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biopsy-proven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need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re</w:t>
      </w:r>
      <w:r w:rsidR="00E171AE">
        <w:rPr>
          <w:rFonts w:ascii="Book Antiqua" w:eastAsia="Book Antiqua" w:hAnsi="Book Antiqua" w:cs="Book Antiqua"/>
          <w:color w:val="000000"/>
        </w:rPr>
        <w:t>-</w:t>
      </w:r>
      <w:r w:rsidR="00B04D4C">
        <w:rPr>
          <w:rFonts w:ascii="Book Antiqua" w:eastAsia="Book Antiqua" w:hAnsi="Book Antiqua" w:cs="Book Antiqua"/>
          <w:color w:val="000000"/>
        </w:rPr>
        <w:t>transplantation.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However,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anti-HLA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anti-HLA-DQ2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-DQ8-antibodies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correlated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therefore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support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Demetris’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‘second-hit’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hypothesis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regard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probable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HLA-DSAs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influence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TCMR,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4D4C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probably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need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4D4C">
        <w:rPr>
          <w:rFonts w:ascii="Book Antiqua" w:eastAsia="Book Antiqua" w:hAnsi="Book Antiqua" w:cs="Book Antiqua"/>
          <w:color w:val="000000"/>
        </w:rPr>
        <w:t>reLT</w:t>
      </w:r>
      <w:proofErr w:type="spellEnd"/>
      <w:r w:rsidR="00B04D4C"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supported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significant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influence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analysis.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anti-HLA-DQ2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-DQ8-antibodies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screening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markers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needs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assessed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further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prospective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B04D4C">
        <w:rPr>
          <w:rFonts w:ascii="Book Antiqua" w:eastAsia="Book Antiqua" w:hAnsi="Book Antiqua" w:cs="Book Antiqua"/>
          <w:color w:val="000000"/>
        </w:rPr>
        <w:t>studies.</w:t>
      </w:r>
    </w:p>
    <w:p w14:paraId="482445E3" w14:textId="77777777" w:rsidR="00A77B3E" w:rsidRDefault="00A77B3E">
      <w:pPr>
        <w:spacing w:line="360" w:lineRule="auto"/>
        <w:jc w:val="both"/>
      </w:pPr>
    </w:p>
    <w:p w14:paraId="3299F48D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Fibrosis</w:t>
      </w:r>
    </w:p>
    <w:p w14:paraId="57478BF4" w14:textId="7F9D2C3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5-10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post-LT.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trough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alloreactivity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</w:t>
      </w:r>
      <w:r w:rsidR="00ED547B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ED547B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 w:rsidR="00ED547B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Briem</w:t>
      </w:r>
      <w:proofErr w:type="spellEnd"/>
      <w:r>
        <w:rPr>
          <w:rFonts w:ascii="Book Antiqua" w:eastAsia="Book Antiqua" w:hAnsi="Book Antiqua" w:cs="Book Antiqua"/>
          <w:color w:val="000000"/>
        </w:rPr>
        <w:t>-Richter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ED547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31]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perivenular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perisinusoidal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alloreactivity;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</w:p>
    <w:p w14:paraId="6ED0FB76" w14:textId="4401D2F7" w:rsidR="00A77B3E" w:rsidRDefault="00B04D4C" w:rsidP="00ED54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Correlation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i/>
          <w:color w:val="000000"/>
        </w:rPr>
        <w:t>vs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0).</w:t>
      </w:r>
    </w:p>
    <w:p w14:paraId="624BC651" w14:textId="7AF3613A" w:rsidR="00A77B3E" w:rsidRDefault="00B04D4C" w:rsidP="00ED54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anti-HLA-DQ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HLA-DQ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alleles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DQ2,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DQ7,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DQ8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DQ9.</w:t>
      </w:r>
    </w:p>
    <w:p w14:paraId="1003F35C" w14:textId="77777777" w:rsidR="00A77B3E" w:rsidRDefault="00A77B3E">
      <w:pPr>
        <w:spacing w:line="360" w:lineRule="auto"/>
        <w:jc w:val="both"/>
      </w:pPr>
    </w:p>
    <w:p w14:paraId="029BD369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2F0A2575" w14:textId="0EF315D1" w:rsidR="00A77B3E" w:rsidRDefault="00B04D4C">
      <w:pPr>
        <w:spacing w:line="360" w:lineRule="auto"/>
        <w:jc w:val="both"/>
      </w:pPr>
      <w:r w:rsidRPr="00ED547B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biopsy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every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participant,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argue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selection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poorer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performance,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leading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correlation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CR.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However,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general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poor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performance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still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relatively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small,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reversing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suspected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overall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representative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selection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population.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limitations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incomplete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alleles,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errors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sampling,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missing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donor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typing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general,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which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exclusion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participants.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Also,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C4d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staining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were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taken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prior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updated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Banff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criteria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2016,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fully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included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evaluation.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parts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general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restrictions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studies,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plan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conduct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trial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assess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new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issues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raised.</w:t>
      </w:r>
    </w:p>
    <w:bookmarkEnd w:id="64"/>
    <w:bookmarkEnd w:id="65"/>
    <w:p w14:paraId="334BC9D5" w14:textId="77777777" w:rsidR="00A77B3E" w:rsidRDefault="00A77B3E">
      <w:pPr>
        <w:spacing w:line="360" w:lineRule="auto"/>
        <w:jc w:val="both"/>
      </w:pPr>
    </w:p>
    <w:p w14:paraId="7D8AB011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916526" w14:textId="32D20C8A" w:rsidR="00A77B3E" w:rsidRDefault="00B04D4C">
      <w:pPr>
        <w:spacing w:line="360" w:lineRule="auto"/>
        <w:jc w:val="both"/>
      </w:pPr>
      <w:bookmarkStart w:id="66" w:name="OLE_LINK98"/>
      <w:bookmarkStart w:id="67" w:name="OLE_LINK99"/>
      <w:r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underestimated.</w:t>
      </w:r>
    </w:p>
    <w:p w14:paraId="00E24F15" w14:textId="43DB03F2" w:rsidR="00A77B3E" w:rsidRPr="00ED547B" w:rsidRDefault="00B04D4C" w:rsidP="00ED547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Screening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(rejection),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(fibrosis).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weaning.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results,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DSA,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selected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should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considered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additional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including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assessment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Banff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D547B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criteria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C4d-staining,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since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routine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laboratory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parameters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sufficiently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accurate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monitoring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status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cannot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identify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silent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immune-mediated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injuries.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latter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detected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ultrasound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elastography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subject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future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trial.</w:t>
      </w:r>
    </w:p>
    <w:p w14:paraId="050077CE" w14:textId="3220C68F" w:rsidR="00A77B3E" w:rsidRDefault="00B04D4C" w:rsidP="00ED547B">
      <w:pPr>
        <w:spacing w:line="360" w:lineRule="auto"/>
        <w:ind w:firstLineChars="100" w:firstLine="240"/>
        <w:jc w:val="both"/>
      </w:pPr>
      <w:r w:rsidRPr="00ED547B">
        <w:rPr>
          <w:rFonts w:ascii="Book Antiqua" w:eastAsia="Book Antiqua" w:hAnsi="Book Antiqua" w:cs="Book Antiqua"/>
          <w:color w:val="000000"/>
        </w:rPr>
        <w:t>Since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common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ED547B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(-DQ,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-DR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-DP).</w:t>
      </w:r>
    </w:p>
    <w:bookmarkEnd w:id="66"/>
    <w:bookmarkEnd w:id="67"/>
    <w:p w14:paraId="7E00BC87" w14:textId="77777777" w:rsidR="00A77B3E" w:rsidRDefault="00A77B3E">
      <w:pPr>
        <w:spacing w:line="360" w:lineRule="auto"/>
        <w:jc w:val="both"/>
      </w:pPr>
    </w:p>
    <w:p w14:paraId="7D4D7032" w14:textId="04C79423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171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F42C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ED6375C" w14:textId="1EE6CE33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B168E61" w14:textId="1CC6FDF0" w:rsidR="00A77B3E" w:rsidRPr="007F42C4" w:rsidRDefault="00B04D4C">
      <w:pPr>
        <w:spacing w:line="360" w:lineRule="auto"/>
        <w:jc w:val="both"/>
      </w:pPr>
      <w:bookmarkStart w:id="68" w:name="OLE_LINK100"/>
      <w:bookmarkStart w:id="69" w:name="OLE_LINK101"/>
      <w:r w:rsidRPr="007F42C4"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(DSAs)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found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previously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small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patients,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but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statistical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significance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unclear.</w:t>
      </w:r>
    </w:p>
    <w:bookmarkEnd w:id="68"/>
    <w:bookmarkEnd w:id="69"/>
    <w:p w14:paraId="4B60DD6E" w14:textId="77777777" w:rsidR="00A77B3E" w:rsidRPr="007F42C4" w:rsidRDefault="00A77B3E">
      <w:pPr>
        <w:spacing w:line="360" w:lineRule="auto"/>
        <w:jc w:val="both"/>
      </w:pPr>
    </w:p>
    <w:p w14:paraId="5E1B95A8" w14:textId="5152D68A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3493FEC" w14:textId="5E3713B0" w:rsidR="00A77B3E" w:rsidRPr="007F42C4" w:rsidRDefault="00B04D4C">
      <w:pPr>
        <w:spacing w:line="360" w:lineRule="auto"/>
        <w:jc w:val="both"/>
      </w:pPr>
      <w:bookmarkStart w:id="70" w:name="OLE_LINK102"/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aim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clarify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importance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long-term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larger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patients.</w:t>
      </w:r>
    </w:p>
    <w:bookmarkEnd w:id="70"/>
    <w:p w14:paraId="0C261E2C" w14:textId="77777777" w:rsidR="00A77B3E" w:rsidRPr="007F42C4" w:rsidRDefault="00A77B3E">
      <w:pPr>
        <w:spacing w:line="360" w:lineRule="auto"/>
        <w:jc w:val="both"/>
      </w:pPr>
    </w:p>
    <w:p w14:paraId="2D6044DE" w14:textId="7AB0A166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13ECC0B" w14:textId="08F9A3DF" w:rsidR="00A77B3E" w:rsidRPr="007F42C4" w:rsidRDefault="00B04D4C">
      <w:pPr>
        <w:spacing w:line="360" w:lineRule="auto"/>
        <w:jc w:val="both"/>
      </w:pPr>
      <w:bookmarkStart w:id="71" w:name="OLE_LINK103"/>
      <w:bookmarkStart w:id="72" w:name="OLE_LINK104"/>
      <w:bookmarkStart w:id="73" w:name="OLE_LINK105"/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objective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emphasize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importance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comprehensive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follow-up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examinations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clinical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practice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877AF8">
        <w:rPr>
          <w:rFonts w:ascii="Book Antiqua" w:hAnsi="Book Antiqua" w:cs="Book Antiqua"/>
          <w:color w:val="000000"/>
          <w:lang w:eastAsia="zh-CN"/>
        </w:rPr>
        <w:t>liver</w:t>
      </w:r>
      <w:r w:rsidR="00E171AE">
        <w:rPr>
          <w:rFonts w:ascii="Book Antiqua" w:hAnsi="Book Antiqua" w:cs="Book Antiqua"/>
          <w:color w:val="000000"/>
          <w:lang w:eastAsia="zh-CN"/>
        </w:rPr>
        <w:t xml:space="preserve"> </w:t>
      </w:r>
      <w:r w:rsidR="007F42C4" w:rsidRPr="00877AF8">
        <w:rPr>
          <w:rFonts w:ascii="Book Antiqua" w:hAnsi="Book Antiqua" w:cs="Book Antiqua"/>
          <w:color w:val="000000"/>
          <w:lang w:eastAsia="zh-CN"/>
        </w:rPr>
        <w:t>transplantation</w:t>
      </w:r>
      <w:r w:rsidR="00E171AE">
        <w:rPr>
          <w:rFonts w:ascii="Book Antiqua" w:hAnsi="Book Antiqua" w:cs="Book Antiqua"/>
          <w:color w:val="000000"/>
          <w:lang w:eastAsia="zh-CN"/>
        </w:rPr>
        <w:t xml:space="preserve"> </w:t>
      </w:r>
      <w:r w:rsidR="007F42C4" w:rsidRPr="00877AF8">
        <w:rPr>
          <w:rFonts w:ascii="Book Antiqua" w:hAnsi="Book Antiqua" w:cs="Book Antiqua"/>
          <w:color w:val="000000"/>
          <w:lang w:eastAsia="zh-CN"/>
        </w:rPr>
        <w:t>(LT)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contribute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optimizing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standardizing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follow-ups.</w:t>
      </w:r>
    </w:p>
    <w:bookmarkEnd w:id="71"/>
    <w:bookmarkEnd w:id="72"/>
    <w:bookmarkEnd w:id="73"/>
    <w:p w14:paraId="4126A234" w14:textId="77777777" w:rsidR="00A77B3E" w:rsidRPr="007F42C4" w:rsidRDefault="00A77B3E">
      <w:pPr>
        <w:spacing w:line="360" w:lineRule="auto"/>
        <w:jc w:val="both"/>
      </w:pPr>
    </w:p>
    <w:p w14:paraId="0229876D" w14:textId="2B5077A2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E3D0E9B" w14:textId="7F6089E0" w:rsidR="00A77B3E" w:rsidRPr="007F42C4" w:rsidRDefault="00B04D4C">
      <w:pPr>
        <w:spacing w:line="360" w:lineRule="auto"/>
        <w:jc w:val="both"/>
      </w:pPr>
      <w:bookmarkStart w:id="74" w:name="OLE_LINK106"/>
      <w:bookmarkStart w:id="75" w:name="OLE_LINK107"/>
      <w:bookmarkStart w:id="76" w:name="OLE_LINK108"/>
      <w:r w:rsidRPr="007F42C4"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cross-sectional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retrospective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cohort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compared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outcomes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two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groups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LT.</w:t>
      </w:r>
    </w:p>
    <w:bookmarkEnd w:id="74"/>
    <w:bookmarkEnd w:id="75"/>
    <w:bookmarkEnd w:id="76"/>
    <w:p w14:paraId="57661804" w14:textId="77777777" w:rsidR="00A77B3E" w:rsidRPr="007F42C4" w:rsidRDefault="00A77B3E">
      <w:pPr>
        <w:spacing w:line="360" w:lineRule="auto"/>
        <w:jc w:val="both"/>
      </w:pPr>
    </w:p>
    <w:p w14:paraId="02B43BC8" w14:textId="2D164BD9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7661177" w14:textId="5AF09EBD" w:rsidR="00A77B3E" w:rsidRPr="007F42C4" w:rsidRDefault="00B04D4C">
      <w:pPr>
        <w:spacing w:line="360" w:lineRule="auto"/>
        <w:jc w:val="both"/>
      </w:pPr>
      <w:bookmarkStart w:id="77" w:name="OLE_LINK109"/>
      <w:bookmarkStart w:id="78" w:name="OLE_LINK110"/>
      <w:r w:rsidRPr="007F42C4"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showed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significantly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impact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allograft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presence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human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leucocyte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antigen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class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associated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rejection</w:t>
      </w:r>
      <w:r w:rsidRPr="007F42C4"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>
        <w:rPr>
          <w:rFonts w:ascii="Book Antiqua" w:eastAsia="Book Antiqua" w:hAnsi="Book Antiqua" w:cs="Book Antiqua"/>
          <w:color w:val="000000"/>
        </w:rPr>
        <w:t>chronic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>
        <w:rPr>
          <w:rFonts w:ascii="Book Antiqua" w:eastAsia="Book Antiqua" w:hAnsi="Book Antiqua" w:cs="Book Antiqua"/>
          <w:color w:val="000000"/>
        </w:rPr>
        <w:t>antibody-mediated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2259DE">
        <w:rPr>
          <w:rFonts w:ascii="Book Antiqua" w:eastAsia="Book Antiqua" w:hAnsi="Book Antiqua" w:cs="Book Antiqua"/>
          <w:color w:val="000000"/>
        </w:rPr>
        <w:t>rejection</w:t>
      </w:r>
      <w:r w:rsidRPr="007F42C4"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fibrosis,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failure,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loss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re-LT.</w:t>
      </w:r>
    </w:p>
    <w:bookmarkEnd w:id="77"/>
    <w:bookmarkEnd w:id="78"/>
    <w:p w14:paraId="01B8E9B7" w14:textId="77777777" w:rsidR="00A77B3E" w:rsidRPr="007F42C4" w:rsidRDefault="00A77B3E">
      <w:pPr>
        <w:spacing w:line="360" w:lineRule="auto"/>
        <w:jc w:val="both"/>
      </w:pPr>
    </w:p>
    <w:p w14:paraId="2DEAAFAE" w14:textId="4F1CCDFA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626169" w14:textId="367A5765" w:rsidR="00A77B3E" w:rsidRPr="007F42C4" w:rsidRDefault="00B04D4C">
      <w:pPr>
        <w:spacing w:line="360" w:lineRule="auto"/>
        <w:jc w:val="both"/>
      </w:pPr>
      <w:bookmarkStart w:id="79" w:name="OLE_LINK111"/>
      <w:bookmarkStart w:id="80" w:name="OLE_LINK112"/>
      <w:r w:rsidRPr="007F42C4">
        <w:rPr>
          <w:rFonts w:ascii="Book Antiqua" w:eastAsia="Book Antiqua" w:hAnsi="Book Antiqua" w:cs="Book Antiqua"/>
          <w:color w:val="000000"/>
        </w:rPr>
        <w:t>Screening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protocol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liver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biopsies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including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C4d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immunostaining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should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standard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practice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follow-ups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after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pediatric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LT.</w:t>
      </w:r>
    </w:p>
    <w:bookmarkEnd w:id="79"/>
    <w:bookmarkEnd w:id="80"/>
    <w:p w14:paraId="1C3FB04B" w14:textId="77777777" w:rsidR="00A77B3E" w:rsidRPr="007F42C4" w:rsidRDefault="00A77B3E">
      <w:pPr>
        <w:spacing w:line="360" w:lineRule="auto"/>
        <w:jc w:val="both"/>
      </w:pPr>
    </w:p>
    <w:p w14:paraId="525AFB19" w14:textId="0BE6D8A0" w:rsidR="00A77B3E" w:rsidRPr="007F42C4" w:rsidRDefault="00B04D4C">
      <w:pPr>
        <w:spacing w:line="360" w:lineRule="auto"/>
        <w:jc w:val="both"/>
      </w:pPr>
      <w:r w:rsidRPr="007F42C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75FBD5C" w14:textId="28F77737" w:rsidR="00A77B3E" w:rsidRDefault="00B04D4C">
      <w:pPr>
        <w:spacing w:line="360" w:lineRule="auto"/>
        <w:jc w:val="both"/>
      </w:pPr>
      <w:bookmarkStart w:id="81" w:name="OLE_LINK113"/>
      <w:bookmarkStart w:id="82" w:name="OLE_LINK114"/>
      <w:r w:rsidRPr="007F42C4">
        <w:rPr>
          <w:rFonts w:ascii="Book Antiqua" w:eastAsia="Book Antiqua" w:hAnsi="Book Antiqua" w:cs="Book Antiqua"/>
          <w:color w:val="000000"/>
        </w:rPr>
        <w:t>Further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prospective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studies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should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conducted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explore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whether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certain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DQ-DSAs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could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used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serological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marker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7F42C4">
        <w:rPr>
          <w:rFonts w:ascii="Book Antiqua" w:eastAsia="Book Antiqua" w:hAnsi="Book Antiqua" w:cs="Book Antiqua"/>
          <w:color w:val="000000"/>
        </w:rPr>
        <w:t>loss.</w:t>
      </w:r>
    </w:p>
    <w:bookmarkEnd w:id="81"/>
    <w:bookmarkEnd w:id="82"/>
    <w:p w14:paraId="7EF02CA3" w14:textId="77777777" w:rsidR="00A77B3E" w:rsidRPr="00521A5D" w:rsidRDefault="00A77B3E" w:rsidP="00521A5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D6E96" w14:textId="77777777" w:rsidR="00A77B3E" w:rsidRPr="00521A5D" w:rsidRDefault="00B04D4C" w:rsidP="00521A5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A5D">
        <w:rPr>
          <w:rFonts w:ascii="Book Antiqua" w:eastAsia="Book Antiqua" w:hAnsi="Book Antiqua" w:cs="Book Antiqua"/>
          <w:b/>
        </w:rPr>
        <w:t>REFERENCES</w:t>
      </w:r>
    </w:p>
    <w:p w14:paraId="354D3CF9" w14:textId="61A00ABA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3" w:name="OLE_LINK115"/>
      <w:bookmarkStart w:id="84" w:name="OLE_LINK116"/>
      <w:bookmarkStart w:id="85" w:name="OLE_LINK117"/>
      <w:r w:rsidRPr="00521A5D">
        <w:rPr>
          <w:rFonts w:ascii="Book Antiqua" w:hAnsi="Book Antiqua"/>
        </w:rPr>
        <w:t>1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Hollander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SA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Mills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Berry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Fedrigo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McElhinney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DB,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Almond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Rosenthal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Pathological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heart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lastRenderedPageBreak/>
        <w:t>recipients: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Immunologic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risk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factors,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hemodynamic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significance,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outcomes.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Pediatr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22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e13197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29729067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10.1111/petr.13197]</w:t>
      </w:r>
    </w:p>
    <w:p w14:paraId="6F28EF53" w14:textId="37ED72A1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A2E8F">
        <w:rPr>
          <w:rFonts w:ascii="Book Antiqua" w:hAnsi="Book Antiqua"/>
          <w:lang w:val="de-DE"/>
        </w:rPr>
        <w:t>2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b/>
          <w:bCs/>
          <w:lang w:val="de-DE"/>
        </w:rPr>
        <w:t>Engen</w:t>
      </w:r>
      <w:r w:rsidR="00E171AE">
        <w:rPr>
          <w:rFonts w:ascii="Book Antiqua" w:hAnsi="Book Antiqua"/>
          <w:b/>
          <w:bCs/>
          <w:lang w:val="de-DE"/>
        </w:rPr>
        <w:t xml:space="preserve"> </w:t>
      </w:r>
      <w:r w:rsidRPr="000A2E8F">
        <w:rPr>
          <w:rFonts w:ascii="Book Antiqua" w:hAnsi="Book Antiqua"/>
          <w:b/>
          <w:bCs/>
          <w:lang w:val="de-DE"/>
        </w:rPr>
        <w:t>RM</w:t>
      </w:r>
      <w:r w:rsidRPr="000A2E8F">
        <w:rPr>
          <w:rFonts w:ascii="Book Antiqua" w:hAnsi="Book Antiqua"/>
          <w:lang w:val="de-DE"/>
        </w:rPr>
        <w:t>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Park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GE,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Schumacher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CS,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Gimferrer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I,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Warner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P,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Finn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LS,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Weiss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NS,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Smith</w:t>
      </w:r>
      <w:r w:rsidR="00E171AE">
        <w:rPr>
          <w:rFonts w:ascii="Book Antiqua" w:hAnsi="Book Antiqua"/>
          <w:lang w:val="de-DE"/>
        </w:rPr>
        <w:t xml:space="preserve"> </w:t>
      </w:r>
      <w:r w:rsidRPr="000A2E8F">
        <w:rPr>
          <w:rFonts w:ascii="Book Antiqua" w:hAnsi="Book Antiqua"/>
          <w:lang w:val="de-DE"/>
        </w:rPr>
        <w:t>JM.</w:t>
      </w:r>
      <w:r w:rsidR="00E171AE">
        <w:rPr>
          <w:rFonts w:ascii="Book Antiqua" w:hAnsi="Book Antiqua"/>
          <w:lang w:val="de-DE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Surveillance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Outcomes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Kidney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102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2072-2079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86" w:name="OLE_LINK29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29863579</w:t>
      </w:r>
      <w:bookmarkEnd w:id="86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10.1097/TP.0000000000002310]</w:t>
      </w:r>
    </w:p>
    <w:p w14:paraId="10723F50" w14:textId="43AD09FE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3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Barten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MJ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Schulz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Beiras</w:t>
      </w:r>
      <w:proofErr w:type="spellEnd"/>
      <w:r w:rsidRPr="00521A5D">
        <w:rPr>
          <w:rFonts w:ascii="Book Antiqua" w:hAnsi="Book Antiqua"/>
        </w:rPr>
        <w:t>-Fernandez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Berchtold-Herz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Boeken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Garbade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Richter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Ruhpawar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Sandhaus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Schmitto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Schönrath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Schramm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Schweiger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Wilhelm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Zuckermann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clinical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impact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heart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Rev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(Orlando)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32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207-217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29804793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10.1016/j.trre.2018.05.002]</w:t>
      </w:r>
    </w:p>
    <w:p w14:paraId="09F392CB" w14:textId="58B143A4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4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Vandevoorde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K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Ducreux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Bosch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Guillaud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Hervieu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Chambon-Augoyard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Poinsot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André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Scoazec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Robinson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Boillot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Dubois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Dumortier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Prevalence,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Risk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Factors,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Impact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Adult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Liver</w:t>
      </w:r>
      <w:r w:rsidR="00E171AE">
        <w:rPr>
          <w:rFonts w:ascii="Book Antiqua" w:hAnsi="Book Antiqua"/>
          <w:i/>
          <w:iCs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Transpl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24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1091-1100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87" w:name="OLE_LINK30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29665189</w:t>
      </w:r>
      <w:bookmarkEnd w:id="87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10.1002/lt.25177]</w:t>
      </w:r>
    </w:p>
    <w:p w14:paraId="60532819" w14:textId="2B99A9AD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5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Kaneku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H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O'Leary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Banuelos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Jennings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Susskind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Klintmalm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Terasaki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PI.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novo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decrease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patient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survival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Am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2013;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13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1541-1548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88" w:name="OLE_LINK31"/>
      <w:bookmarkStart w:id="89" w:name="OLE_LINK32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bookmarkStart w:id="90" w:name="OLE_LINK129"/>
      <w:r w:rsidRPr="00521A5D">
        <w:rPr>
          <w:rFonts w:ascii="Book Antiqua" w:hAnsi="Book Antiqua"/>
        </w:rPr>
        <w:t>23721554</w:t>
      </w:r>
      <w:bookmarkEnd w:id="88"/>
      <w:bookmarkEnd w:id="89"/>
      <w:bookmarkEnd w:id="90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10.1002/ajt.12212]</w:t>
      </w:r>
    </w:p>
    <w:p w14:paraId="71362351" w14:textId="6998ECFA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San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Segundo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D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Alonso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Ruiz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Romon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Arias-</w:t>
      </w:r>
      <w:proofErr w:type="spellStart"/>
      <w:r w:rsidRPr="00521A5D">
        <w:rPr>
          <w:rFonts w:ascii="Book Antiqua" w:hAnsi="Book Antiqua"/>
        </w:rPr>
        <w:t>Loste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Cuadrado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Puente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Casafont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López-</w:t>
      </w:r>
      <w:proofErr w:type="spellStart"/>
      <w:r w:rsidRPr="00521A5D">
        <w:rPr>
          <w:rFonts w:ascii="Book Antiqua" w:hAnsi="Book Antiqua"/>
        </w:rPr>
        <w:t>Hoyos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Crespo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Fábrega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Novo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Anti-Human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Leukocyte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Antigen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Detection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Long-Term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Adult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Proc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2016;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48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2980-2982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27932124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10.1016/j.transproceed.2016.08.037]</w:t>
      </w:r>
    </w:p>
    <w:p w14:paraId="44F5CB45" w14:textId="08A34940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7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Musat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AI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Agni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Wai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PY,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Pirsch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Lorentzen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Powell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Leverson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Bellingham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Fernandez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Foley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Mezrich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D'Alessandro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Lucey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MR.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significance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ductopenia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lastRenderedPageBreak/>
        <w:t>development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ABO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compatible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Am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2011;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11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500-510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21342448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10.1111/j.1600-6143.</w:t>
      </w:r>
      <w:proofErr w:type="gramStart"/>
      <w:r w:rsidRPr="00521A5D">
        <w:rPr>
          <w:rFonts w:ascii="Book Antiqua" w:hAnsi="Book Antiqua"/>
        </w:rPr>
        <w:t>2010.03414.x</w:t>
      </w:r>
      <w:proofErr w:type="gramEnd"/>
      <w:r w:rsidRPr="00521A5D">
        <w:rPr>
          <w:rFonts w:ascii="Book Antiqua" w:hAnsi="Book Antiqua"/>
        </w:rPr>
        <w:t>]</w:t>
      </w:r>
    </w:p>
    <w:p w14:paraId="2483DEAD" w14:textId="7B48364B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Donaldson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PT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Thomson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Heads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Underhill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Vaughan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Rolando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Williams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IgG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crossmatches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are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not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associated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poor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survival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assessment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cytotoxicity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flow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cytometry.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1995;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60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1016-1023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1" w:name="OLE_LINK33"/>
      <w:bookmarkStart w:id="92" w:name="OLE_LINK34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7491675</w:t>
      </w:r>
      <w:bookmarkEnd w:id="91"/>
      <w:bookmarkEnd w:id="92"/>
      <w:r w:rsidRPr="00521A5D">
        <w:rPr>
          <w:rFonts w:ascii="Book Antiqua" w:hAnsi="Book Antiqua"/>
        </w:rPr>
        <w:t>]</w:t>
      </w:r>
    </w:p>
    <w:p w14:paraId="720246B2" w14:textId="400D9CE5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Lobo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PI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Spencer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Douglas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MT,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Stevenson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Pruett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TL.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lack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long-term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detrimental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effects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caused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anti-HLA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1993;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55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1063-1066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3" w:name="OLE_LINK35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8497883</w:t>
      </w:r>
      <w:bookmarkEnd w:id="93"/>
      <w:r w:rsidR="00E171AE">
        <w:rPr>
          <w:rFonts w:ascii="Book Antiqua" w:hAnsi="Book Antiqua" w:hint="eastAsi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10.1097/00007890-199305000-00023]</w:t>
      </w:r>
    </w:p>
    <w:p w14:paraId="5C5F0F2D" w14:textId="2484BAB8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Demetris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AJ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Bellamy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Hübscher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O'Leary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Randhawa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Feng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Neil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Colvin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RB,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McCaughan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Fung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Bello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Reinholt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Haga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Adeyi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Czaja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Schiano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Fiel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Smith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ML,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Sebagh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Tanigawa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Yilmaz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Alexander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Baiocchi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Balasubramanian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Batal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Bhan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AK,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Bucuvalas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Cerski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CTS,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Charlotte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Vera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ElMonayeri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Fontes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Furth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Gouw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Hafezi</w:t>
      </w:r>
      <w:proofErr w:type="spellEnd"/>
      <w:r w:rsidRPr="00521A5D">
        <w:rPr>
          <w:rFonts w:ascii="Book Antiqua" w:hAnsi="Book Antiqua"/>
        </w:rPr>
        <w:t>-Bakhtiari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Honsova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Ismail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Itoh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Jhala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Khettry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Klintmalm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Knechtle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Koshiba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Kozlowski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Lassman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Lerut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Levitsky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Licini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Liotta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Mazariegos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Minervini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Misdraji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Mohanakumar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Mölne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Nasser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Neuberger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O'Neil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Pappo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Petrovic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Ruiz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Sağol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Ö,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Sanchez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Fueyo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Sasatomi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Shaked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Shiller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Shimizu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Sonzogni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Stevenson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Thung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SN,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Tisone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Tsamandas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Wernerson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Wu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Zeevi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Zen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Comprehensive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Update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Banff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Working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Group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Pathology: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Introduction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Am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2016;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16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2816-2835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27273869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10.1111/ajt.13909]</w:t>
      </w:r>
    </w:p>
    <w:p w14:paraId="45D61C92" w14:textId="0077EA1F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11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Ballardini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G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Bianchi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Mirakian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Fallani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Pisi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Bottazzo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GF.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HLA-</w:t>
      </w:r>
      <w:proofErr w:type="gramStart"/>
      <w:r w:rsidRPr="00521A5D">
        <w:rPr>
          <w:rFonts w:ascii="Book Antiqua" w:hAnsi="Book Antiqua"/>
        </w:rPr>
        <w:t>A,B</w:t>
      </w:r>
      <w:proofErr w:type="gramEnd"/>
      <w:r w:rsidRPr="00521A5D">
        <w:rPr>
          <w:rFonts w:ascii="Book Antiqua" w:hAnsi="Book Antiqua"/>
        </w:rPr>
        <w:t>,C,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HLA-D/DR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HLA-D/DQ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expression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unfixed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biopsy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sections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from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patients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chronic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disease.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Clin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Exp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Immunol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1987;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70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35-46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4" w:name="OLE_LINK36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3319302</w:t>
      </w:r>
      <w:bookmarkEnd w:id="94"/>
      <w:r w:rsidRPr="00521A5D">
        <w:rPr>
          <w:rFonts w:ascii="Book Antiqua" w:hAnsi="Book Antiqua"/>
        </w:rPr>
        <w:t>]</w:t>
      </w:r>
    </w:p>
    <w:p w14:paraId="4212E41B" w14:textId="48F2A286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Lautenschlager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I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Taskinen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Inkinen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Lehto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Virtanen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Häyry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Distribution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major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histocompatibility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complex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antigens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different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cellular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components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lastRenderedPageBreak/>
        <w:t>human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Cell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Immunol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1984;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85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191-200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5" w:name="OLE_LINK37"/>
      <w:bookmarkStart w:id="96" w:name="OLE_LINK38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6370462</w:t>
      </w:r>
      <w:bookmarkEnd w:id="95"/>
      <w:bookmarkEnd w:id="96"/>
      <w:r w:rsidR="00E171AE">
        <w:rPr>
          <w:rFonts w:ascii="Book Antiqua" w:hAnsi="Book Antiqua" w:hint="eastAsi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10.1016/0008-8749(84)90289-2]</w:t>
      </w:r>
    </w:p>
    <w:p w14:paraId="69C5BC31" w14:textId="71DC4F1E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Ueno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T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Zenitani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Yamanaka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Tanaka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Uehara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Tazuke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Bessho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Okuyama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Impact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Fibrosis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Biliary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Atresia.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Proc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2016;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48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1095-1099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27320565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10.1016/j.transproceed.2016.02.011]</w:t>
      </w:r>
    </w:p>
    <w:p w14:paraId="61D1A294" w14:textId="792CB751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14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Grabhorn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E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Binder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Obrecht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Brinkert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Lehnhardt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Herden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Peine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Nashan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Ganschow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Briem</w:t>
      </w:r>
      <w:proofErr w:type="spellEnd"/>
      <w:r w:rsidRPr="00521A5D">
        <w:rPr>
          <w:rFonts w:ascii="Book Antiqua" w:hAnsi="Book Antiqua"/>
        </w:rPr>
        <w:t>-Richter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Long-term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Clinical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Relevance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Novo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2015;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99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1876-1881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7" w:name="OLE_LINK39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25706279</w:t>
      </w:r>
      <w:bookmarkEnd w:id="97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10.1097/TP.0000000000000638]</w:t>
      </w:r>
    </w:p>
    <w:p w14:paraId="4256EE7E" w14:textId="1444CBE3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15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Tokodai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K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Miyagi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Nakanishi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Hara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Nakanishi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Miyazawa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Shimizu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Murakami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Sasano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Goto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Unno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Kamei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Association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post-transplant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fibrosis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during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long-term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follow-up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Pediatr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22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e13169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29542229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10.1111/petr.13169]</w:t>
      </w:r>
    </w:p>
    <w:p w14:paraId="1C0832BD" w14:textId="34A5109B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16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Egawa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H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Miyagawa-</w:t>
      </w:r>
      <w:proofErr w:type="spellStart"/>
      <w:r w:rsidRPr="00521A5D">
        <w:rPr>
          <w:rFonts w:ascii="Book Antiqua" w:hAnsi="Book Antiqua"/>
        </w:rPr>
        <w:t>Hayashino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Haga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Teramukai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Yoshizawa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Ogawa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Ogura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Okamoto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Kaido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Uemoto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Non-inflammatory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centrilobular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sinusoidal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fibrosis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under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tacrolimus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withdrawal.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Hepatol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Res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2012;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42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895-903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22524409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10.1111/j.1872-034X.</w:t>
      </w:r>
      <w:proofErr w:type="gramStart"/>
      <w:r w:rsidRPr="00521A5D">
        <w:rPr>
          <w:rFonts w:ascii="Book Antiqua" w:hAnsi="Book Antiqua"/>
        </w:rPr>
        <w:t>2012.01003.x</w:t>
      </w:r>
      <w:proofErr w:type="gramEnd"/>
      <w:r w:rsidRPr="00521A5D">
        <w:rPr>
          <w:rFonts w:ascii="Book Antiqua" w:hAnsi="Book Antiqua"/>
        </w:rPr>
        <w:t>]</w:t>
      </w:r>
    </w:p>
    <w:p w14:paraId="018F43C5" w14:textId="780B73DD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Yamada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H</w:t>
      </w:r>
      <w:r w:rsidRPr="00521A5D">
        <w:rPr>
          <w:rFonts w:ascii="Book Antiqua" w:hAnsi="Book Antiqua"/>
          <w:bCs/>
        </w:rPr>
        <w:t>,</w:t>
      </w:r>
      <w:r w:rsidR="00E171AE">
        <w:rPr>
          <w:rFonts w:ascii="Book Antiqua" w:hAnsi="Book Antiqua"/>
          <w:bCs/>
        </w:rPr>
        <w:t xml:space="preserve"> </w:t>
      </w:r>
      <w:proofErr w:type="spellStart"/>
      <w:r w:rsidRPr="00521A5D">
        <w:rPr>
          <w:rFonts w:ascii="Book Antiqua" w:hAnsi="Book Antiqua"/>
          <w:bCs/>
        </w:rPr>
        <w:t>Kondou</w:t>
      </w:r>
      <w:proofErr w:type="spellEnd"/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H,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Kimura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T,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Ikeda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K,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Tachibana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M,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Hasegawa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Y,</w:t>
      </w:r>
      <w:r w:rsidR="00E171AE">
        <w:rPr>
          <w:rFonts w:ascii="Book Antiqua" w:hAnsi="Book Antiqua"/>
          <w:bCs/>
        </w:rPr>
        <w:t xml:space="preserve"> </w:t>
      </w:r>
      <w:proofErr w:type="spellStart"/>
      <w:r w:rsidRPr="00521A5D">
        <w:rPr>
          <w:rFonts w:ascii="Book Antiqua" w:hAnsi="Book Antiqua"/>
          <w:bCs/>
        </w:rPr>
        <w:t>Kiyohara</w:t>
      </w:r>
      <w:proofErr w:type="spellEnd"/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Y,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Ueno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T,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Miyoshi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Y,</w:t>
      </w:r>
      <w:r w:rsidR="00E171AE">
        <w:rPr>
          <w:rFonts w:ascii="Book Antiqua" w:hAnsi="Book Antiqua"/>
          <w:bCs/>
        </w:rPr>
        <w:t xml:space="preserve"> </w:t>
      </w:r>
      <w:proofErr w:type="spellStart"/>
      <w:r w:rsidRPr="00521A5D">
        <w:rPr>
          <w:rFonts w:ascii="Book Antiqua" w:hAnsi="Book Antiqua"/>
          <w:bCs/>
        </w:rPr>
        <w:t>Mushiake</w:t>
      </w:r>
      <w:proofErr w:type="spellEnd"/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S,</w:t>
      </w:r>
      <w:r w:rsidR="00E171AE">
        <w:rPr>
          <w:rFonts w:ascii="Book Antiqua" w:hAnsi="Book Antiqua"/>
          <w:bCs/>
        </w:rPr>
        <w:t xml:space="preserve"> </w:t>
      </w:r>
      <w:proofErr w:type="spellStart"/>
      <w:r w:rsidRPr="00521A5D">
        <w:rPr>
          <w:rFonts w:ascii="Book Antiqua" w:hAnsi="Book Antiqua"/>
          <w:bCs/>
        </w:rPr>
        <w:t>Ozono</w:t>
      </w:r>
      <w:proofErr w:type="spellEnd"/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K.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Humoral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immunity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is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involved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in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the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development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of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pericentral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fibrosis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after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pediatric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live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donor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liver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transplantation.</w:t>
      </w:r>
      <w:r w:rsidR="00E171AE">
        <w:rPr>
          <w:rFonts w:ascii="Book Antiqua" w:hAnsi="Book Antiqua"/>
          <w:bCs/>
        </w:rPr>
        <w:t xml:space="preserve"> </w:t>
      </w:r>
      <w:proofErr w:type="spellStart"/>
      <w:r w:rsidRPr="00521A5D">
        <w:rPr>
          <w:rFonts w:ascii="Book Antiqua" w:hAnsi="Book Antiqua"/>
          <w:bCs/>
          <w:i/>
        </w:rPr>
        <w:t>Pediatr</w:t>
      </w:r>
      <w:proofErr w:type="spellEnd"/>
      <w:r w:rsidR="00E171AE">
        <w:rPr>
          <w:rFonts w:ascii="Book Antiqua" w:hAnsi="Book Antiqua"/>
          <w:bCs/>
          <w:i/>
        </w:rPr>
        <w:t xml:space="preserve"> </w:t>
      </w:r>
      <w:r w:rsidRPr="00521A5D">
        <w:rPr>
          <w:rFonts w:ascii="Book Antiqua" w:hAnsi="Book Antiqua"/>
          <w:bCs/>
          <w:i/>
        </w:rPr>
        <w:t>Transplant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2012;</w:t>
      </w:r>
      <w:r w:rsidR="00E171AE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16</w:t>
      </w:r>
      <w:r w:rsidRPr="00521A5D">
        <w:rPr>
          <w:rFonts w:ascii="Book Antiqua" w:hAnsi="Book Antiqua"/>
          <w:bCs/>
        </w:rPr>
        <w:t>:</w:t>
      </w:r>
      <w:r w:rsidR="00E171AE">
        <w:rPr>
          <w:rFonts w:ascii="Book Antiqua" w:hAnsi="Book Antiqua" w:hint="eastAsia"/>
          <w:bCs/>
        </w:rPr>
        <w:t xml:space="preserve"> </w:t>
      </w:r>
      <w:r w:rsidRPr="00521A5D">
        <w:rPr>
          <w:rFonts w:ascii="Book Antiqua" w:hAnsi="Book Antiqua"/>
          <w:bCs/>
        </w:rPr>
        <w:t>858-</w:t>
      </w:r>
      <w:r>
        <w:rPr>
          <w:rFonts w:ascii="Book Antiqua" w:hAnsi="Book Antiqua" w:hint="eastAsia"/>
          <w:bCs/>
        </w:rPr>
        <w:t>8</w:t>
      </w:r>
      <w:r>
        <w:rPr>
          <w:rFonts w:ascii="Book Antiqua" w:hAnsi="Book Antiqua"/>
          <w:bCs/>
        </w:rPr>
        <w:t>65</w:t>
      </w:r>
      <w:r w:rsidR="00E171AE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521A5D">
        <w:rPr>
          <w:rFonts w:ascii="Book Antiqua" w:hAnsi="Book Antiqua"/>
          <w:bCs/>
        </w:rPr>
        <w:t>PMID: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22931465</w:t>
      </w:r>
      <w:r w:rsidR="00E171AE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521A5D">
        <w:rPr>
          <w:rFonts w:ascii="Book Antiqua" w:hAnsi="Book Antiqua"/>
          <w:bCs/>
        </w:rPr>
        <w:t>:</w:t>
      </w:r>
      <w:r w:rsidR="00E171AE">
        <w:rPr>
          <w:rFonts w:ascii="Book Antiqua" w:hAnsi="Book Antiqua"/>
          <w:bCs/>
        </w:rPr>
        <w:t xml:space="preserve"> </w:t>
      </w:r>
      <w:r w:rsidRPr="00521A5D">
        <w:rPr>
          <w:rFonts w:ascii="Book Antiqua" w:hAnsi="Book Antiqua"/>
          <w:bCs/>
        </w:rPr>
        <w:t>10.1111/j.1399-3046.</w:t>
      </w:r>
      <w:proofErr w:type="gramStart"/>
      <w:r w:rsidRPr="00521A5D">
        <w:rPr>
          <w:rFonts w:ascii="Book Antiqua" w:hAnsi="Book Antiqua"/>
          <w:bCs/>
        </w:rPr>
        <w:t>2012.01781.x</w:t>
      </w:r>
      <w:proofErr w:type="gramEnd"/>
      <w:r>
        <w:rPr>
          <w:rFonts w:ascii="Book Antiqua" w:hAnsi="Book Antiqua" w:hint="eastAsia"/>
          <w:bCs/>
        </w:rPr>
        <w:t>]</w:t>
      </w:r>
    </w:p>
    <w:p w14:paraId="70279E80" w14:textId="50D8DD6F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Markiewicz-</w:t>
      </w:r>
      <w:proofErr w:type="spellStart"/>
      <w:r w:rsidRPr="00521A5D">
        <w:rPr>
          <w:rFonts w:ascii="Book Antiqua" w:hAnsi="Book Antiqua"/>
          <w:b/>
          <w:bCs/>
        </w:rPr>
        <w:t>Kijewska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M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Kaliciński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Kluge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Piątosa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Jankowska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Rękawek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Kostecka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Kurowski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Immunological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factors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fibrosis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Ann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2015;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20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279-284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98" w:name="OLE_LINK42"/>
      <w:bookmarkStart w:id="99" w:name="OLE_LINK43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25981858</w:t>
      </w:r>
      <w:bookmarkEnd w:id="98"/>
      <w:bookmarkEnd w:id="99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10.12659/AOT.892544]</w:t>
      </w:r>
    </w:p>
    <w:p w14:paraId="3AF88EB6" w14:textId="4131EEF6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19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Guerra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MR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Naini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Scapa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Busuttil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Cheng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Farmer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Vargas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Venick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McDiarmid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Wozniak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LJ.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Obliterative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portal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venopathy</w:t>
      </w:r>
      <w:proofErr w:type="spellEnd"/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histopathologic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finding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associated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with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chronic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allografts.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Pediatr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29363222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10.1111/petr.13124]</w:t>
      </w:r>
    </w:p>
    <w:p w14:paraId="6C87A4DF" w14:textId="048881C7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Dao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M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Habès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Taupin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JL,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Mussini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Redon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Suberbielle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Jacquemin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Gonzales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Guettier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Morphological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characterization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chronic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ABO-identical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ABO-compatible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Liver</w:t>
      </w:r>
      <w:r w:rsidR="00E171AE">
        <w:rPr>
          <w:rFonts w:ascii="Book Antiqua" w:hAnsi="Book Antiqua"/>
          <w:i/>
          <w:iCs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Transpl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2018;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24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897-907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100" w:name="OLE_LINK44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29704327</w:t>
      </w:r>
      <w:bookmarkEnd w:id="100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10.1002/lt.25187]</w:t>
      </w:r>
    </w:p>
    <w:p w14:paraId="2ACCE72A" w14:textId="1E2F5AE9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21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Banff</w:t>
      </w:r>
      <w:r w:rsidR="00E171AE">
        <w:rPr>
          <w:rFonts w:ascii="Book Antiqua" w:hAnsi="Book Antiqua"/>
        </w:rPr>
        <w:t xml:space="preserve"> </w:t>
      </w:r>
      <w:proofErr w:type="gramStart"/>
      <w:r w:rsidRPr="00521A5D">
        <w:rPr>
          <w:rFonts w:ascii="Book Antiqua" w:hAnsi="Book Antiqua"/>
        </w:rPr>
        <w:t>schema</w:t>
      </w:r>
      <w:proofErr w:type="gram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grading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international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consensus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document.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Hepatology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1997;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25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658-663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9049215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10.1002/hep.510250328]</w:t>
      </w:r>
    </w:p>
    <w:p w14:paraId="11CCFC2B" w14:textId="6154E22C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Demetris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Adams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Bellamy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Blakolmer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Clouston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Dhillon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Fung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Gouw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Gustafsson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Haga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Harrison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Hubscher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Jaffe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Khettry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Lassman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Lewin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Martinez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Nakazawa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Neil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Pappo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Parizhskaya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Randhawa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Rasoul</w:t>
      </w:r>
      <w:proofErr w:type="spellEnd"/>
      <w:r w:rsidRPr="00521A5D">
        <w:rPr>
          <w:rFonts w:ascii="Book Antiqua" w:hAnsi="Book Antiqua"/>
        </w:rPr>
        <w:t>-Rockenschaub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Reinholt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Reynes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Robert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Tsamandas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Wanless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Wiesner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Wernerson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Wrba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Wyatt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Yamabe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Update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International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Banff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Schema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working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recommendations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histopathologic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staging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reporting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chronic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International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Panel.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Hepatology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2000;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31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792-799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10706577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10.1002/hep.510310337]</w:t>
      </w:r>
    </w:p>
    <w:p w14:paraId="7FF2C327" w14:textId="2983D9F9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Banff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Working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Group.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Demetris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Adeyi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Bellamy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Clouston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Charlotte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Czaja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Daskal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El-</w:t>
      </w:r>
      <w:proofErr w:type="spellStart"/>
      <w:r w:rsidRPr="00521A5D">
        <w:rPr>
          <w:rFonts w:ascii="Book Antiqua" w:hAnsi="Book Antiqua"/>
        </w:rPr>
        <w:t>Monayeri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Fontes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Fung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Gridelli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Guido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Haga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Hart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Honsova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Hubscher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Itoh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Jhala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Jungmann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Khettry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Lassman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Ligato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Lunz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3rd,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Marcos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Minervini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Mölne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Nalesnik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Nasser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Neil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Ochoa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Pappo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Randhawa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Reinholt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FP,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Ruiz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Sebagh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Spada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Sonzogni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Tsamandas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Wernerson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Wu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Yilmaz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biopsy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interpretation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causes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late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dysfunction.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Hepatology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2006;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44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489-501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16871565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10.1002/hep.21280]</w:t>
      </w:r>
    </w:p>
    <w:p w14:paraId="1F359E97" w14:textId="3F809FEF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24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O'Leary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JG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Demetris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Friedman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Gebel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HM,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Halloran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Kirk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Knechtle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McDiarmid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Shaked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Terasaki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PI,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Tinckam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Tomlanovich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Wood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KJ,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Woodle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Zachary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Klintmalm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GB.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Am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2014;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14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779-787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24580828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10.1111/ajt.12667]</w:t>
      </w:r>
    </w:p>
    <w:p w14:paraId="6711BE3A" w14:textId="6C04B183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25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Hübscher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SG</w:t>
      </w:r>
      <w:r w:rsidRPr="00521A5D">
        <w:rPr>
          <w:rFonts w:ascii="Book Antiqua" w:hAnsi="Book Antiqua"/>
        </w:rPr>
        <w:t>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Curr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Opin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Organ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2012;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17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280-286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22569512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10.1097/MOT.0b013e328353584c]</w:t>
      </w:r>
    </w:p>
    <w:p w14:paraId="2EBB99D4" w14:textId="63A9C158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Wozniak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LJ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Naini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Hickey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Bhattacharyya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Busuttil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RW,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Farmer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Vargas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Venick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McDiarmid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SV.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Acute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ABO-compatible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case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series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review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literature.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Pediatr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2017;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21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27597379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10.1111/petr.12791]</w:t>
      </w:r>
    </w:p>
    <w:p w14:paraId="6E091CED" w14:textId="4614875C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27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Wozniak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LJ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Hickey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Venick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Vargas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JH,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Farmer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DG,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Busuttil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RW,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McDiarmid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EF.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Are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Associated</w:t>
      </w:r>
      <w:r w:rsidR="00E171AE">
        <w:rPr>
          <w:rFonts w:ascii="Book Antiqua" w:hAnsi="Book Antiqua"/>
        </w:rPr>
        <w:t xml:space="preserve"> </w:t>
      </w:r>
      <w:proofErr w:type="gramStart"/>
      <w:r w:rsidRPr="00521A5D">
        <w:rPr>
          <w:rFonts w:ascii="Book Antiqua" w:hAnsi="Book Antiqua"/>
        </w:rPr>
        <w:t>With</w:t>
      </w:r>
      <w:proofErr w:type="gram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Late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Dysfunction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Transplantation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2015;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99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1416-1422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</w:t>
      </w:r>
      <w:bookmarkStart w:id="101" w:name="OLE_LINK45"/>
      <w:r w:rsidRPr="00521A5D">
        <w:rPr>
          <w:rFonts w:ascii="Book Antiqua" w:hAnsi="Book Antiqua"/>
        </w:rPr>
        <w:t>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26038872</w:t>
      </w:r>
      <w:bookmarkEnd w:id="101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10.1097/TP.0000000000000796]</w:t>
      </w:r>
    </w:p>
    <w:p w14:paraId="6EA791CD" w14:textId="3D850CB0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28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Demetris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AJ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Zeevi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O'Leary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JG.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ABO-compatible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antibody-mediated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rejection: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update.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Curr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Opin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Organ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2015;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20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314-324</w:t>
      </w:r>
      <w:r w:rsidR="00E171AE">
        <w:rPr>
          <w:rFonts w:ascii="Book Antiqua" w:hAnsi="Book Antiqua"/>
        </w:rPr>
        <w:t xml:space="preserve"> </w:t>
      </w:r>
      <w:bookmarkStart w:id="102" w:name="OLE_LINK46"/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25944231</w:t>
      </w:r>
      <w:bookmarkEnd w:id="102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10.1097/MOT.0000000000000194]</w:t>
      </w:r>
    </w:p>
    <w:p w14:paraId="2D916048" w14:textId="289BD207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29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Ohlsson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S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Kathemann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Pilic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Prusinskas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Baba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Theurer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Dechene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Paul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Heinold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Hoyer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PF,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Lainka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Protocol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biopsies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stable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long-term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risk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benefit?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Eur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Gastroenterol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Hepatol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2021;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Publish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Ahead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of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Print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33405423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10.1097/MEG.0000000000002006]</w:t>
      </w:r>
    </w:p>
    <w:p w14:paraId="3D2778E8" w14:textId="7EB5270A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30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Couchonnal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E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Rivet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Ducreux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Dumortier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Bosch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Boillot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Collardeau-Frachon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Dubois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Hervieu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André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Scoazec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JY,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Lachaux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Dubois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V,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Guillaud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Deleterious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impact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C3d-binding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anti-HLA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Transpl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Immunol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2017;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45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8-14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28782692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10.1016/j.trim.2017.08.001]</w:t>
      </w:r>
    </w:p>
    <w:p w14:paraId="2E563273" w14:textId="3D66187A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31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Briem</w:t>
      </w:r>
      <w:proofErr w:type="spellEnd"/>
      <w:r w:rsidRPr="00521A5D">
        <w:rPr>
          <w:rFonts w:ascii="Book Antiqua" w:hAnsi="Book Antiqua"/>
          <w:b/>
          <w:bCs/>
        </w:rPr>
        <w:t>-Richter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A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Ganschow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Sornsakrin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Brinkert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F,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Schirmer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Schaefer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Grabhorn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E.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allograft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pathology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healthy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recipients.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Pediatr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Transplant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2013;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17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543-549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23834615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10.1111/petr.12119]</w:t>
      </w:r>
    </w:p>
    <w:p w14:paraId="3BDA3B45" w14:textId="73FAE62F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32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b/>
          <w:bCs/>
        </w:rPr>
        <w:t>Kivelä</w:t>
      </w:r>
      <w:proofErr w:type="spellEnd"/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JM</w:t>
      </w:r>
      <w:r w:rsidRPr="00521A5D">
        <w:rPr>
          <w:rFonts w:ascii="Book Antiqua" w:hAnsi="Book Antiqua"/>
        </w:rPr>
        <w:t>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Kosola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Peräsaari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Mäkisalo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Jalanko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H,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Holmberg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Pakarinen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MP,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</w:rPr>
        <w:t>Lauronen</w:t>
      </w:r>
      <w:proofErr w:type="spellEnd"/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J.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Donor-specific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antibodies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after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pediatric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cross-sectional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study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50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patients.</w:t>
      </w:r>
      <w:r w:rsidR="00E171AE">
        <w:rPr>
          <w:rFonts w:ascii="Book Antiqua" w:hAnsi="Book Antiqua"/>
        </w:rPr>
        <w:t xml:space="preserve"> </w:t>
      </w:r>
      <w:proofErr w:type="spellStart"/>
      <w:r w:rsidRPr="00521A5D">
        <w:rPr>
          <w:rFonts w:ascii="Book Antiqua" w:hAnsi="Book Antiqua"/>
          <w:i/>
          <w:iCs/>
        </w:rPr>
        <w:t>Transpl</w:t>
      </w:r>
      <w:proofErr w:type="spellEnd"/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Int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2016;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29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494-505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26806435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10.1111/tri.12747]</w:t>
      </w:r>
    </w:p>
    <w:p w14:paraId="3E20A992" w14:textId="543A47F9" w:rsidR="00521A5D" w:rsidRPr="00521A5D" w:rsidRDefault="00521A5D" w:rsidP="00521A5D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A5D">
        <w:rPr>
          <w:rFonts w:ascii="Book Antiqua" w:hAnsi="Book Antiqua"/>
        </w:rPr>
        <w:t>33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Cheng</w:t>
      </w:r>
      <w:r w:rsidR="00E171AE">
        <w:rPr>
          <w:rFonts w:ascii="Book Antiqua" w:hAnsi="Book Antiqua"/>
          <w:b/>
          <w:bCs/>
        </w:rPr>
        <w:t xml:space="preserve"> </w:t>
      </w:r>
      <w:r w:rsidRPr="00521A5D">
        <w:rPr>
          <w:rFonts w:ascii="Book Antiqua" w:hAnsi="Book Antiqua"/>
          <w:b/>
          <w:bCs/>
        </w:rPr>
        <w:t>EY</w:t>
      </w:r>
      <w:r w:rsidRPr="00521A5D">
        <w:rPr>
          <w:rFonts w:ascii="Book Antiqua" w:hAnsi="Book Antiqua"/>
        </w:rPr>
        <w:t>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The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Role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of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Humoral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Alloreactivity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in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Liver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Transplantation: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Lessons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Learned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and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New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Perspectives.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i/>
          <w:iCs/>
        </w:rPr>
        <w:t>J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Immunol</w:t>
      </w:r>
      <w:r w:rsidR="00E171AE">
        <w:rPr>
          <w:rFonts w:ascii="Book Antiqua" w:hAnsi="Book Antiqua"/>
          <w:i/>
          <w:iCs/>
        </w:rPr>
        <w:t xml:space="preserve"> </w:t>
      </w:r>
      <w:r w:rsidRPr="00521A5D">
        <w:rPr>
          <w:rFonts w:ascii="Book Antiqua" w:hAnsi="Book Antiqua"/>
          <w:i/>
          <w:iCs/>
        </w:rPr>
        <w:t>Res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2017;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  <w:b/>
          <w:bCs/>
        </w:rPr>
        <w:t>2017</w:t>
      </w:r>
      <w:r w:rsidRPr="00521A5D">
        <w:rPr>
          <w:rFonts w:ascii="Book Antiqua" w:hAnsi="Book Antiqua"/>
        </w:rPr>
        <w:t>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3234906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[PMID: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28164136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DOI:</w:t>
      </w:r>
      <w:r w:rsidR="00E171AE">
        <w:rPr>
          <w:rFonts w:ascii="Book Antiqua" w:hAnsi="Book Antiqua"/>
        </w:rPr>
        <w:t xml:space="preserve"> </w:t>
      </w:r>
      <w:r w:rsidRPr="00521A5D">
        <w:rPr>
          <w:rFonts w:ascii="Book Antiqua" w:hAnsi="Book Antiqua"/>
        </w:rPr>
        <w:t>10.1155/2017/3234906]</w:t>
      </w:r>
    </w:p>
    <w:bookmarkEnd w:id="83"/>
    <w:bookmarkEnd w:id="84"/>
    <w:bookmarkEnd w:id="85"/>
    <w:p w14:paraId="73F700E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E98463" w14:textId="77777777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4A88C346" w14:textId="579AEB7E" w:rsidR="00A77B3E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</w:p>
    <w:p w14:paraId="1AD209B9" w14:textId="77777777" w:rsidR="00AD1FEE" w:rsidRDefault="00AD1F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CBADDE" w14:textId="56FC2C91" w:rsidR="00AD1FEE" w:rsidRPr="00AD1FEE" w:rsidRDefault="00AD1FEE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E17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E17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17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3" w:name="OLE_LINK118"/>
      <w:bookmarkStart w:id="104" w:name="OLE_LINK119"/>
      <w:r>
        <w:rPr>
          <w:rFonts w:ascii="Book Antiqua" w:eastAsia="Book Antiqua" w:hAnsi="Book Antiqua" w:cs="Book Antiqua"/>
          <w:color w:val="000000"/>
        </w:rPr>
        <w:t>Informed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  <w:bookmarkEnd w:id="103"/>
      <w:bookmarkEnd w:id="104"/>
      <w:r w:rsidR="00E171AE">
        <w:rPr>
          <w:rFonts w:ascii="Book Antiqua" w:eastAsia="Book Antiqua" w:hAnsi="Book Antiqua" w:cs="Book Antiqua"/>
          <w:color w:val="000000"/>
        </w:rPr>
        <w:t xml:space="preserve"> </w:t>
      </w:r>
    </w:p>
    <w:p w14:paraId="7BB83130" w14:textId="77777777" w:rsidR="00A77B3E" w:rsidRDefault="00A77B3E">
      <w:pPr>
        <w:spacing w:line="360" w:lineRule="auto"/>
        <w:jc w:val="both"/>
      </w:pPr>
    </w:p>
    <w:p w14:paraId="6443F9B1" w14:textId="2EC8A6B9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1ECEF3DD" w14:textId="77777777" w:rsidR="00A77B3E" w:rsidRDefault="00A77B3E">
      <w:pPr>
        <w:spacing w:line="360" w:lineRule="auto"/>
        <w:jc w:val="both"/>
      </w:pPr>
    </w:p>
    <w:p w14:paraId="046E22BB" w14:textId="07801216" w:rsidR="00A77B3E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4E4F9250" w14:textId="77777777" w:rsidR="00AD1FEE" w:rsidRPr="00AD1FEE" w:rsidRDefault="00AD1F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A2184AD" w14:textId="4BCD4342" w:rsidR="00AD1FEE" w:rsidRPr="00AD1FEE" w:rsidRDefault="00AD1FEE">
      <w:pPr>
        <w:spacing w:line="360" w:lineRule="auto"/>
        <w:jc w:val="both"/>
        <w:rPr>
          <w:lang w:eastAsia="zh-CN"/>
        </w:rPr>
      </w:pPr>
      <w:r w:rsidRPr="00AD1FEE"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E17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AD1FEE">
        <w:rPr>
          <w:rFonts w:ascii="Book Antiqua" w:eastAsia="Book Antiqua" w:hAnsi="Book Antiqua" w:cs="Book Antiqua"/>
          <w:b/>
          <w:bCs/>
          <w:color w:val="000000"/>
          <w:szCs w:val="21"/>
        </w:rPr>
        <w:t>statement</w:t>
      </w:r>
      <w:r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:</w:t>
      </w:r>
      <w:r w:rsidR="00E171A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5" w:name="OLE_LINK120"/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AD1FEE">
        <w:rPr>
          <w:rFonts w:ascii="Book Antiqua" w:eastAsia="Book Antiqua" w:hAnsi="Book Antiqua" w:cs="Book Antiqua"/>
          <w:color w:val="000000"/>
        </w:rPr>
        <w:t>STROBE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AD1FEE">
        <w:rPr>
          <w:rFonts w:ascii="Book Antiqua" w:eastAsia="Book Antiqua" w:hAnsi="Book Antiqua" w:cs="Book Antiqua"/>
          <w:color w:val="000000"/>
        </w:rPr>
        <w:t>statement</w:t>
      </w:r>
      <w:r>
        <w:rPr>
          <w:rFonts w:ascii="Book Antiqua" w:eastAsia="Book Antiqua" w:hAnsi="Book Antiqua" w:cs="Book Antiqua"/>
          <w:color w:val="000000"/>
        </w:rPr>
        <w:t>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AD1FEE">
        <w:rPr>
          <w:rFonts w:ascii="Book Antiqua" w:eastAsia="Book Antiqua" w:hAnsi="Book Antiqua" w:cs="Book Antiqua"/>
          <w:color w:val="000000"/>
        </w:rPr>
        <w:t>STROBE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Pr="00AD1FEE">
        <w:rPr>
          <w:rFonts w:ascii="Book Antiqua" w:eastAsia="Book Antiqua" w:hAnsi="Book Antiqua" w:cs="Book Antiqua"/>
          <w:color w:val="000000"/>
        </w:rPr>
        <w:t>statement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05"/>
    <w:p w14:paraId="10371151" w14:textId="77777777" w:rsidR="00A77B3E" w:rsidRDefault="00A77B3E">
      <w:pPr>
        <w:spacing w:line="360" w:lineRule="auto"/>
        <w:jc w:val="both"/>
      </w:pPr>
    </w:p>
    <w:p w14:paraId="2B9FF870" w14:textId="298DF835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30ABA61" w14:textId="77777777" w:rsidR="00A77B3E" w:rsidRDefault="00A77B3E">
      <w:pPr>
        <w:spacing w:line="360" w:lineRule="auto"/>
        <w:jc w:val="both"/>
      </w:pPr>
    </w:p>
    <w:p w14:paraId="3D9CDEF9" w14:textId="2FC5E9D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A8020D">
        <w:rPr>
          <w:rFonts w:ascii="Book Antiqua" w:eastAsia="Book Antiqua" w:hAnsi="Book Antiqua" w:cs="Book Antiqua"/>
          <w:color w:val="000000"/>
        </w:rPr>
        <w:t>manuscript</w:t>
      </w:r>
    </w:p>
    <w:p w14:paraId="4622D817" w14:textId="77777777" w:rsidR="00A77B3E" w:rsidRDefault="00A77B3E">
      <w:pPr>
        <w:spacing w:line="360" w:lineRule="auto"/>
        <w:jc w:val="both"/>
      </w:pPr>
    </w:p>
    <w:p w14:paraId="41C8B7D5" w14:textId="5A65595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C41392D" w14:textId="4482678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D3B422B" w14:textId="28B07E70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666F1E" w14:textId="77777777" w:rsidR="00A77B3E" w:rsidRDefault="00A77B3E">
      <w:pPr>
        <w:spacing w:line="360" w:lineRule="auto"/>
        <w:jc w:val="both"/>
      </w:pPr>
    </w:p>
    <w:p w14:paraId="25C1C9B6" w14:textId="760B2295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</w:p>
    <w:p w14:paraId="16640F9B" w14:textId="0F3A2ADD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</w:p>
    <w:p w14:paraId="17B76189" w14:textId="2AE8E0E1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258F65" w14:textId="147FA80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FB1299" w14:textId="1BE0B04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30549A0" w14:textId="4259810F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171AE">
        <w:rPr>
          <w:rFonts w:ascii="Book Antiqua" w:eastAsia="Book Antiqua" w:hAnsi="Book Antiqua" w:cs="Book Antiqua"/>
          <w:color w:val="000000"/>
        </w:rPr>
        <w:t>, C</w:t>
      </w:r>
    </w:p>
    <w:p w14:paraId="5CE67B5B" w14:textId="5F67D6F8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117320C" w14:textId="2F3891DC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1E79D9F" w14:textId="77777777" w:rsidR="00A77B3E" w:rsidRDefault="00A77B3E">
      <w:pPr>
        <w:spacing w:line="360" w:lineRule="auto"/>
        <w:jc w:val="both"/>
      </w:pPr>
    </w:p>
    <w:p w14:paraId="6D96BD7E" w14:textId="66224162" w:rsidR="00A77B3E" w:rsidRDefault="00B04D4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Ferrarese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20D">
        <w:rPr>
          <w:rFonts w:ascii="Book Antiqua" w:hAnsi="Book Antiqua" w:cs="Book Antiqua" w:hint="eastAsia"/>
          <w:color w:val="000000"/>
          <w:lang w:eastAsia="zh-CN"/>
        </w:rPr>
        <w:t>Zhang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8020D">
        <w:rPr>
          <w:rFonts w:ascii="Book Antiqua" w:hAnsi="Book Antiqua" w:cs="Book Antiqua" w:hint="eastAsia"/>
          <w:color w:val="000000"/>
          <w:lang w:eastAsia="zh-CN"/>
        </w:rPr>
        <w:t>H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20D">
        <w:rPr>
          <w:rFonts w:ascii="Book Antiqua" w:eastAsia="Book Antiqua" w:hAnsi="Book Antiqua" w:cs="Book Antiqua"/>
          <w:b/>
          <w:color w:val="000000"/>
        </w:rPr>
        <w:t>L-Editor: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AF077B8" w14:textId="08B4BC6B" w:rsidR="00A77B3E" w:rsidRDefault="00B04D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Figure</w:t>
      </w:r>
      <w:r w:rsidR="00E171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223C33F" w14:textId="11259B40" w:rsidR="00605257" w:rsidRDefault="0060525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C5E632E" wp14:editId="0598A20C">
            <wp:extent cx="5953125" cy="24371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72" cy="244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DABE2" w14:textId="188849A9" w:rsidR="00A77B3E" w:rsidRPr="00605257" w:rsidRDefault="00B04D4C">
      <w:pPr>
        <w:spacing w:line="360" w:lineRule="auto"/>
        <w:jc w:val="both"/>
        <w:rPr>
          <w:lang w:eastAsia="zh-CN"/>
        </w:rPr>
      </w:pPr>
      <w:bookmarkStart w:id="106" w:name="OLE_LINK121"/>
      <w:bookmarkStart w:id="107" w:name="OLE_LINK122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Allele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distribution</w:t>
      </w:r>
      <w:r>
        <w:rPr>
          <w:rFonts w:ascii="Book Antiqua" w:eastAsia="Book Antiqua" w:hAnsi="Book Antiqua" w:cs="Book Antiqua"/>
          <w:color w:val="000000"/>
        </w:rPr>
        <w:t>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08" w:name="OLE_LINK56"/>
      <w:r w:rsidR="00605257">
        <w:rPr>
          <w:rFonts w:ascii="Book Antiqua" w:eastAsia="Book Antiqua" w:hAnsi="Book Antiqua" w:cs="Book Antiqua"/>
          <w:color w:val="000000"/>
        </w:rPr>
        <w:t>human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leucocyte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antigen</w:t>
      </w:r>
      <w:bookmarkEnd w:id="108"/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F42C4">
        <w:rPr>
          <w:rFonts w:ascii="Book Antiqua" w:hAnsi="Book Antiqua" w:cs="Book Antiqua" w:hint="eastAsia"/>
          <w:color w:val="000000"/>
          <w:lang w:eastAsia="zh-CN"/>
        </w:rPr>
        <w:t>(HLA)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09" w:name="OLE_LINK49"/>
      <w:bookmarkStart w:id="110" w:name="OLE_LINK50"/>
      <w:r w:rsidR="007F42C4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antibod</w:t>
      </w:r>
      <w:bookmarkEnd w:id="109"/>
      <w:bookmarkEnd w:id="110"/>
      <w:r w:rsidR="007F42C4">
        <w:rPr>
          <w:rFonts w:ascii="Book Antiqua" w:eastAsia="Book Antiqua" w:hAnsi="Book Antiqua" w:cs="Book Antiqua"/>
          <w:color w:val="000000"/>
        </w:rPr>
        <w:t>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(DSAs)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11" w:name="OLE_LINK57"/>
      <w:bookmarkStart w:id="112" w:name="OLE_LINK58"/>
      <w:r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End w:id="111"/>
      <w:bookmarkEnd w:id="112"/>
      <w:r>
        <w:rPr>
          <w:rFonts w:ascii="Book Antiqua" w:eastAsia="Book Antiqua" w:hAnsi="Book Antiqua" w:cs="Book Antiqua"/>
          <w:color w:val="000000"/>
        </w:rPr>
        <w:t>alleles.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nti-</w:t>
      </w:r>
      <w:bookmarkStart w:id="113" w:name="OLE_LINK55"/>
      <w:r>
        <w:rPr>
          <w:rFonts w:ascii="Book Antiqua" w:eastAsia="Book Antiqua" w:hAnsi="Book Antiqua" w:cs="Book Antiqua"/>
          <w:color w:val="000000"/>
        </w:rPr>
        <w:t>HLA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End w:id="113"/>
      <w:r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subcategories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columns: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DSA-negative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5F06B6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HLA</w:t>
      </w:r>
      <w:r w:rsidR="00605257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>
        <w:rPr>
          <w:rFonts w:ascii="Book Antiqua" w:hAnsi="Book Antiqua" w:cs="Book Antiqua" w:hint="eastAsia"/>
          <w:color w:val="000000"/>
          <w:lang w:eastAsia="zh-CN"/>
        </w:rPr>
        <w:t>H</w:t>
      </w:r>
      <w:r w:rsidR="00605257">
        <w:rPr>
          <w:rFonts w:ascii="Book Antiqua" w:eastAsia="Book Antiqua" w:hAnsi="Book Antiqua" w:cs="Book Antiqua"/>
          <w:color w:val="000000"/>
        </w:rPr>
        <w:t>uman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leucocyte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antigen</w:t>
      </w:r>
      <w:r w:rsidR="00605257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DSA</w:t>
      </w:r>
      <w:r w:rsidR="00605257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hAnsi="Book Antiqua" w:cs="Book Antiqua" w:hint="eastAsia"/>
          <w:color w:val="000000"/>
          <w:lang w:eastAsia="zh-CN"/>
        </w:rPr>
        <w:t>D</w:t>
      </w:r>
      <w:r w:rsidR="00605257">
        <w:rPr>
          <w:rFonts w:ascii="Book Antiqua" w:eastAsia="Book Antiqua" w:hAnsi="Book Antiqua" w:cs="Book Antiqua"/>
          <w:color w:val="000000"/>
        </w:rPr>
        <w:t>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605257">
        <w:rPr>
          <w:rFonts w:ascii="Book Antiqua" w:eastAsia="Book Antiqua" w:hAnsi="Book Antiqua" w:cs="Book Antiqua"/>
          <w:color w:val="000000"/>
        </w:rPr>
        <w:t>antibod</w:t>
      </w:r>
      <w:r w:rsidR="00605257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06"/>
    <w:bookmarkEnd w:id="107"/>
    <w:p w14:paraId="6EB1F0F3" w14:textId="77777777" w:rsidR="005F06B6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8C47680" w14:textId="60B756A7" w:rsidR="007577E5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6C7BADF" wp14:editId="4B56BE2A">
            <wp:extent cx="5915025" cy="32102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49" cy="321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7AF02" w14:textId="78585A90" w:rsidR="00A77B3E" w:rsidRPr="005F06B6" w:rsidRDefault="00B04D4C">
      <w:pPr>
        <w:spacing w:line="360" w:lineRule="auto"/>
        <w:jc w:val="both"/>
        <w:rPr>
          <w:lang w:eastAsia="zh-CN"/>
        </w:rPr>
      </w:pPr>
      <w:bookmarkStart w:id="114" w:name="OLE_LINK123"/>
      <w:bookmarkStart w:id="115" w:name="OLE_LINK124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onor-specific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antibod</w:t>
      </w:r>
      <w:r w:rsidR="005F06B6"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b/>
          <w:bCs/>
          <w:color w:val="000000"/>
        </w:rPr>
        <w:t>presences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Kaplan-Meyer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>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(decimal);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ime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(months);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hAnsi="Book Antiqua" w:cs="Book Antiqua" w:hint="eastAsia"/>
          <w:color w:val="000000"/>
          <w:lang w:eastAsia="zh-CN"/>
        </w:rPr>
        <w:t>D</w:t>
      </w:r>
      <w:r w:rsidR="005F06B6">
        <w:rPr>
          <w:rFonts w:ascii="Book Antiqua" w:eastAsia="Book Antiqua" w:hAnsi="Book Antiqua" w:cs="Book Antiqua"/>
          <w:color w:val="000000"/>
        </w:rPr>
        <w:t>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antibod</w:t>
      </w:r>
      <w:r w:rsidR="005F06B6">
        <w:rPr>
          <w:rFonts w:ascii="Book Antiqua" w:hAnsi="Book Antiqua" w:cs="Book Antiqua"/>
          <w:color w:val="000000"/>
          <w:lang w:eastAsia="zh-CN"/>
        </w:rPr>
        <w:t>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(DSA)</w:t>
      </w:r>
      <w:r>
        <w:rPr>
          <w:rFonts w:ascii="Book Antiqua" w:eastAsia="Book Antiqua" w:hAnsi="Book Antiqua" w:cs="Book Antiqua"/>
          <w:color w:val="000000"/>
        </w:rPr>
        <w:t>-negative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DSA-positive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5F06B6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E171AE">
        <w:rPr>
          <w:rFonts w:ascii="Book Antiqua" w:eastAsia="Book Antiqua" w:hAnsi="Book Antiqua" w:cs="Book Antiqua"/>
          <w:color w:val="000000"/>
        </w:rPr>
        <w:t xml:space="preserve"> </w:t>
      </w:r>
      <w:r w:rsidR="00E171AE"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171AE">
        <w:rPr>
          <w:rFonts w:ascii="Book Antiqua" w:hAnsi="Book Antiqua" w:cs="Book Antiqua" w:hint="eastAsia"/>
          <w:color w:val="000000"/>
          <w:lang w:eastAsia="zh-CN"/>
        </w:rPr>
        <w:t>D</w:t>
      </w:r>
      <w:r w:rsidR="00E171AE">
        <w:rPr>
          <w:rFonts w:ascii="Book Antiqua" w:eastAsia="Book Antiqua" w:hAnsi="Book Antiqua" w:cs="Book Antiqua"/>
          <w:color w:val="000000"/>
        </w:rPr>
        <w:t>onor-specific antibod</w:t>
      </w:r>
      <w:r w:rsidR="00E171AE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14"/>
    <w:bookmarkEnd w:id="115"/>
    <w:p w14:paraId="5309253B" w14:textId="77777777" w:rsidR="005F06B6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7E3CE9B" w14:textId="39CB811B" w:rsidR="007577E5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17682A60" wp14:editId="544C7D2D">
            <wp:extent cx="5972768" cy="3486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18" cy="348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19228" w14:textId="73D2A638" w:rsidR="00A77B3E" w:rsidRDefault="00B04D4C">
      <w:pPr>
        <w:spacing w:line="360" w:lineRule="auto"/>
        <w:jc w:val="both"/>
      </w:pPr>
      <w:bookmarkStart w:id="116" w:name="OLE_LINK125"/>
      <w:bookmarkStart w:id="117" w:name="OLE_LINK126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donor-specific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antibodies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Kaplan-Meyer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>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(decimal);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ime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(months);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graphs:</w:t>
      </w:r>
      <w:r w:rsidR="00E171AE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18" w:name="OLE_LINK51"/>
      <w:bookmarkStart w:id="119" w:name="OLE_LINK52"/>
      <w:r w:rsidR="007F42C4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antibod</w:t>
      </w:r>
      <w:r w:rsidR="007F42C4">
        <w:rPr>
          <w:rFonts w:ascii="Book Antiqua" w:hAnsi="Book Antiqua" w:cs="Book Antiqua" w:hint="eastAsia"/>
          <w:color w:val="000000"/>
          <w:lang w:eastAsia="zh-CN"/>
        </w:rPr>
        <w:t>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(DSA)</w:t>
      </w:r>
      <w:bookmarkEnd w:id="118"/>
      <w:bookmarkEnd w:id="119"/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green,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</w:t>
      </w:r>
      <w:r w:rsidR="00E171AE" w:rsidRPr="00E171AE">
        <w:rPr>
          <w:rFonts w:ascii="Book Antiqua" w:eastAsia="Book Antiqua" w:hAnsi="Book Antiqua" w:cs="Book Antiqua"/>
          <w:color w:val="000000"/>
        </w:rPr>
        <w:t xml:space="preserve"> </w:t>
      </w:r>
      <w:r w:rsidR="00E171AE">
        <w:rPr>
          <w:rFonts w:ascii="Book Antiqua" w:eastAsia="Book Antiqua" w:hAnsi="Book Antiqua" w:cs="Book Antiqua"/>
          <w:color w:val="000000"/>
        </w:rPr>
        <w:t>DSA</w:t>
      </w:r>
      <w:r w:rsidR="00E171AE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E171AE">
        <w:rPr>
          <w:rFonts w:ascii="Book Antiqua" w:hAnsi="Book Antiqua" w:cs="Book Antiqua" w:hint="eastAsia"/>
          <w:color w:val="000000"/>
          <w:lang w:eastAsia="zh-CN"/>
        </w:rPr>
        <w:t>D</w:t>
      </w:r>
      <w:r w:rsidR="00E171AE">
        <w:rPr>
          <w:rFonts w:ascii="Book Antiqua" w:eastAsia="Book Antiqua" w:hAnsi="Book Antiqua" w:cs="Book Antiqua"/>
          <w:color w:val="000000"/>
        </w:rPr>
        <w:t>onor-specific antibod</w:t>
      </w:r>
      <w:r w:rsidR="00E171AE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16"/>
    <w:bookmarkEnd w:id="117"/>
    <w:p w14:paraId="42456AF8" w14:textId="77777777" w:rsidR="005F06B6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88B8700" w14:textId="5DE324F3" w:rsidR="007577E5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3070682" wp14:editId="2251095F">
            <wp:extent cx="5876925" cy="35183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02" cy="351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0C560" w14:textId="5CD9F0B2" w:rsidR="00A46222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20" w:name="OLE_LINK127"/>
      <w:bookmarkStart w:id="121" w:name="OLE_LINK128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ean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fluorescence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5F06B6">
        <w:rPr>
          <w:rFonts w:ascii="Book Antiqua" w:eastAsia="Book Antiqua" w:hAnsi="Book Antiqua" w:cs="Book Antiqua"/>
          <w:b/>
          <w:bCs/>
          <w:color w:val="000000"/>
        </w:rPr>
        <w:t>intensity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Kaplan-Meyer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>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(decimal);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E171AE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uration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(months);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graphs:</w:t>
      </w:r>
      <w:r w:rsidR="00E171AE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Start w:id="122" w:name="OLE_LINK53"/>
      <w:r w:rsidR="007F42C4">
        <w:rPr>
          <w:rFonts w:ascii="Book Antiqua" w:eastAsia="Book Antiqua" w:hAnsi="Book Antiqua" w:cs="Book Antiqua"/>
          <w:color w:val="000000"/>
        </w:rPr>
        <w:t>donor-specific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7F42C4">
        <w:rPr>
          <w:rFonts w:ascii="Book Antiqua" w:eastAsia="Book Antiqua" w:hAnsi="Book Antiqua" w:cs="Book Antiqua"/>
          <w:color w:val="000000"/>
        </w:rPr>
        <w:t>antibodies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bookmarkEnd w:id="122"/>
      <w:r w:rsidR="007F42C4">
        <w:rPr>
          <w:rFonts w:ascii="Book Antiqua" w:eastAsia="Book Antiqua" w:hAnsi="Book Antiqua" w:cs="Book Antiqua"/>
          <w:color w:val="000000"/>
        </w:rPr>
        <w:t>(DSAs)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mean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fluorescence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intensity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MFI</w:t>
      </w:r>
      <w:r w:rsidR="005F06B6">
        <w:rPr>
          <w:rFonts w:ascii="Book Antiqua" w:hAnsi="Book Antiqua" w:cs="Book Antiqua" w:hint="eastAsia"/>
          <w:color w:val="000000"/>
          <w:lang w:eastAsia="zh-CN"/>
        </w:rPr>
        <w:t>)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who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have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DSAs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with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MFI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above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 w:rsidR="005F06B6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000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green;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171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5F06B6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>
        <w:rPr>
          <w:rFonts w:ascii="Book Antiqua" w:hAnsi="Book Antiqua" w:cs="Book Antiqua"/>
          <w:color w:val="000000"/>
          <w:lang w:eastAsia="zh-CN"/>
        </w:rPr>
        <w:t xml:space="preserve"> MFI: </w:t>
      </w:r>
      <w:r w:rsidR="00E171AE">
        <w:rPr>
          <w:rFonts w:ascii="Book Antiqua" w:eastAsia="Book Antiqua" w:hAnsi="Book Antiqua" w:cs="Book Antiqua"/>
          <w:color w:val="000000"/>
        </w:rPr>
        <w:t>Mean fluorescence intensity.</w:t>
      </w:r>
    </w:p>
    <w:bookmarkEnd w:id="120"/>
    <w:bookmarkEnd w:id="121"/>
    <w:p w14:paraId="3D2D64F3" w14:textId="77777777" w:rsidR="00A46222" w:rsidRDefault="00A46222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4C8A46E0" w14:textId="26D07A4C" w:rsidR="00A46222" w:rsidRDefault="00A46222">
      <w:pPr>
        <w:rPr>
          <w:rFonts w:ascii="Book Antiqua" w:hAnsi="Book Antiqua" w:cs="Book Antiqua"/>
          <w:color w:val="000000"/>
          <w:lang w:eastAsia="zh-CN"/>
        </w:rPr>
      </w:pPr>
      <w:r w:rsidRPr="00A46222">
        <w:rPr>
          <w:rFonts w:ascii="Book Antiqua" w:eastAsia="Apple SD Gothic Neo UltraLight" w:hAnsi="Book Antiqua" w:cs="Calibri Light"/>
          <w:b/>
          <w:bCs/>
        </w:rPr>
        <w:t>Table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A46222">
        <w:rPr>
          <w:rFonts w:ascii="Book Antiqua" w:eastAsia="Apple SD Gothic Neo UltraLight" w:hAnsi="Book Antiqua" w:cs="Calibri Light"/>
          <w:b/>
          <w:bCs/>
        </w:rPr>
        <w:t>1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A46222">
        <w:rPr>
          <w:rFonts w:ascii="Book Antiqua" w:eastAsia="Apple SD Gothic Neo UltraLight" w:hAnsi="Book Antiqua" w:cs="Calibri Light"/>
          <w:b/>
          <w:bCs/>
        </w:rPr>
        <w:t>Baseline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A46222">
        <w:rPr>
          <w:rFonts w:ascii="Book Antiqua" w:eastAsia="Apple SD Gothic Neo UltraLight" w:hAnsi="Book Antiqua" w:cs="Calibri Light"/>
          <w:b/>
          <w:bCs/>
        </w:rPr>
        <w:t>characteristics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6"/>
      </w:tblGrid>
      <w:tr w:rsidR="00A46222" w:rsidRPr="00A46222" w14:paraId="69EDA955" w14:textId="77777777" w:rsidTr="00DC2035">
        <w:trPr>
          <w:trHeight w:val="560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9CE83" w14:textId="777777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0CA" w14:textId="12267BEB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1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A46222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54)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DCDD1" w14:textId="0118A7E5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2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A46222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b/>
                <w:lang w:val="en-US"/>
              </w:rPr>
              <w:t>69)</w:t>
            </w:r>
          </w:p>
        </w:tc>
      </w:tr>
      <w:tr w:rsidR="00A46222" w:rsidRPr="00A46222" w14:paraId="2776004D" w14:textId="77777777" w:rsidTr="00DC2035">
        <w:trPr>
          <w:trHeight w:val="283"/>
        </w:trPr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14:paraId="5D861CFC" w14:textId="1B6E07D8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Age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2DA17" w14:textId="777777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5AFCC" w14:textId="777777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A46222" w14:paraId="686F3C98" w14:textId="77777777" w:rsidTr="00DC2035">
        <w:trPr>
          <w:trHeight w:val="731"/>
        </w:trPr>
        <w:tc>
          <w:tcPr>
            <w:tcW w:w="1167" w:type="pct"/>
            <w:shd w:val="clear" w:color="auto" w:fill="auto"/>
          </w:tcPr>
          <w:p w14:paraId="74F63F9E" w14:textId="22A5DDBB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LT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(</w:t>
            </w: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y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r</w:t>
            </w:r>
            <w:proofErr w:type="spellEnd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24" w:type="pct"/>
            <w:shd w:val="clear" w:color="auto" w:fill="auto"/>
          </w:tcPr>
          <w:p w14:paraId="25F392B3" w14:textId="3456DCE8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3.3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m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o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>-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Apple SD Gothic Neo UltraLight" w:hAnsi="Book Antiqua" w:cs="Calibri Light"/>
                <w:lang w:val="en-US"/>
              </w:rPr>
              <w:t>yr</w:t>
            </w:r>
            <w:proofErr w:type="spellEnd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0C4FB213" w14:textId="676E1015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4.0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mo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>-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17.8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Apple SD Gothic Neo UltraLight" w:hAnsi="Book Antiqua" w:cs="Calibri Light"/>
                <w:lang w:val="en-US"/>
              </w:rPr>
              <w:t>y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</w:t>
            </w:r>
            <w:proofErr w:type="spellEnd"/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A46222" w14:paraId="5CC68E84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0E748E2E" w14:textId="14455821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follow-up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(</w:t>
            </w: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y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r</w:t>
            </w:r>
            <w:proofErr w:type="spellEnd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24" w:type="pct"/>
            <w:shd w:val="clear" w:color="auto" w:fill="auto"/>
          </w:tcPr>
          <w:p w14:paraId="287F30F6" w14:textId="566F2D5F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13.8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2-23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32861453" w14:textId="7F7BED0F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12.6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1-24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A46222" w14:paraId="7EB550A5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48563A0A" w14:textId="1D04FF46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Gender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EFD748A" w14:textId="777777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909" w:type="pct"/>
            <w:shd w:val="clear" w:color="auto" w:fill="auto"/>
            <w:vAlign w:val="center"/>
          </w:tcPr>
          <w:p w14:paraId="4C6CA2FB" w14:textId="777777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A46222" w14:paraId="06D713A5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0CE3C580" w14:textId="48AAADFC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Female</w:t>
            </w:r>
          </w:p>
        </w:tc>
        <w:tc>
          <w:tcPr>
            <w:tcW w:w="1924" w:type="pct"/>
            <w:shd w:val="clear" w:color="auto" w:fill="auto"/>
          </w:tcPr>
          <w:p w14:paraId="191C8736" w14:textId="5712405E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21</w:t>
            </w:r>
          </w:p>
        </w:tc>
        <w:tc>
          <w:tcPr>
            <w:tcW w:w="1909" w:type="pct"/>
            <w:shd w:val="clear" w:color="auto" w:fill="auto"/>
          </w:tcPr>
          <w:p w14:paraId="767BCF92" w14:textId="1FE64E14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35</w:t>
            </w:r>
          </w:p>
        </w:tc>
      </w:tr>
      <w:tr w:rsidR="00A46222" w:rsidRPr="00A46222" w14:paraId="04165C92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0419614F" w14:textId="23875A21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Male</w:t>
            </w:r>
          </w:p>
        </w:tc>
        <w:tc>
          <w:tcPr>
            <w:tcW w:w="1924" w:type="pct"/>
            <w:shd w:val="clear" w:color="auto" w:fill="auto"/>
          </w:tcPr>
          <w:p w14:paraId="5CB6C84C" w14:textId="778A6114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33</w:t>
            </w:r>
          </w:p>
        </w:tc>
        <w:tc>
          <w:tcPr>
            <w:tcW w:w="1909" w:type="pct"/>
            <w:shd w:val="clear" w:color="auto" w:fill="auto"/>
          </w:tcPr>
          <w:p w14:paraId="6B2EF914" w14:textId="0BED170C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35</w:t>
            </w:r>
          </w:p>
        </w:tc>
      </w:tr>
      <w:tr w:rsidR="00A46222" w:rsidRPr="00A46222" w14:paraId="733CA3F8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68E9FA85" w14:textId="2492CAC1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Main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diagnosis</w:t>
            </w:r>
          </w:p>
        </w:tc>
      </w:tr>
      <w:tr w:rsidR="00A46222" w:rsidRPr="00A46222" w14:paraId="026BC075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786B5142" w14:textId="5F0B95B5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atresia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8194E08" w14:textId="0E7623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DD368E5" w14:textId="7F9CCF92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</w:tr>
      <w:tr w:rsidR="00A46222" w:rsidRPr="00A46222" w14:paraId="3795AA96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7AC302DF" w14:textId="0B0E0C60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Alagille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syndrome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65211F6" w14:textId="19CF9AD8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3587D8D1" w14:textId="4FBB8A55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8</w:t>
            </w:r>
          </w:p>
        </w:tc>
      </w:tr>
      <w:tr w:rsidR="00A46222" w:rsidRPr="00A46222" w14:paraId="4C0F6C4B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03BDFC1C" w14:textId="7A7DBEE1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Acute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liver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failure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A7D79D1" w14:textId="7EF83E6E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2AB710E2" w14:textId="1CAAE83F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</w:tr>
      <w:tr w:rsidR="00A46222" w:rsidRPr="00A46222" w14:paraId="797DD24A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06BA49F3" w14:textId="0799280D" w:rsidR="00A46222" w:rsidRPr="009D579C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Metabolic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disorders</w:t>
            </w:r>
            <w:r w:rsidR="009D579C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3B39471" w14:textId="05F0837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14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B52907D" w14:textId="2E313661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26</w:t>
            </w:r>
          </w:p>
        </w:tc>
      </w:tr>
      <w:tr w:rsidR="00A46222" w:rsidRPr="00A46222" w14:paraId="20ADA96E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6AF95AA4" w14:textId="27C922BF" w:rsidR="00A46222" w:rsidRPr="009D579C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Others</w:t>
            </w:r>
            <w:r w:rsidR="009D579C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B1725DC" w14:textId="57E8A5C3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13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214527F" w14:textId="558DD593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</w:tr>
      <w:tr w:rsidR="00A46222" w:rsidRPr="00A46222" w14:paraId="425415E1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4149ABE4" w14:textId="73156710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Donor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source</w:t>
            </w:r>
          </w:p>
        </w:tc>
      </w:tr>
      <w:tr w:rsidR="00A46222" w:rsidRPr="00A46222" w14:paraId="30A46E69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ED84097" w14:textId="63D26F56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Ldlt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3932B141" w14:textId="2467383D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9D579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68C6E0A1" w14:textId="180670E2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9D579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</w:tr>
      <w:tr w:rsidR="00A46222" w:rsidRPr="00A46222" w14:paraId="3BBB502B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F2C7788" w14:textId="1B06225E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Ddlt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57F25786" w14:textId="34A82FB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9D579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45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7149596" w14:textId="016AD8B7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9D579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58</w:t>
            </w:r>
          </w:p>
        </w:tc>
      </w:tr>
      <w:tr w:rsidR="00A46222" w:rsidRPr="00A46222" w14:paraId="46130512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1BFF4FB3" w14:textId="180F010D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Full-graft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CA143D8" w14:textId="6AD67B4D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B42BA9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8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1B489B0" w14:textId="3427619A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12</w:t>
            </w:r>
          </w:p>
        </w:tc>
      </w:tr>
      <w:tr w:rsidR="00A46222" w:rsidRPr="00A46222" w14:paraId="0B7F0B29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62B65F1A" w14:textId="2E5ED02E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Split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size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96B40F0" w14:textId="0871967F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30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72A6FE84" w14:textId="0AA09C01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43</w:t>
            </w:r>
          </w:p>
        </w:tc>
      </w:tr>
      <w:tr w:rsidR="00A46222" w:rsidRPr="00A46222" w14:paraId="34EB9ECC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3DBEB74" w14:textId="2420F421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Reduced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size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6E48686" w14:textId="25818763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809A429" w14:textId="238329A0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A46222" w14:paraId="1D583098" w14:textId="77777777" w:rsidTr="00DC2035">
        <w:trPr>
          <w:trHeight w:val="561"/>
        </w:trPr>
        <w:tc>
          <w:tcPr>
            <w:tcW w:w="1167" w:type="pct"/>
            <w:shd w:val="clear" w:color="auto" w:fill="auto"/>
            <w:vAlign w:val="center"/>
          </w:tcPr>
          <w:p w14:paraId="4E37D326" w14:textId="407BA801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Cold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ischemic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br/>
              <w:t>time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(min)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EAC26E1" w14:textId="1EBEDDA7" w:rsidR="00A46222" w:rsidRPr="00072DFC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543.3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122-949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3D5C69EB" w14:textId="062A3D48" w:rsidR="00A46222" w:rsidRPr="00072DFC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572.5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145-943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A46222" w14:paraId="13C9321D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5B4CF0FD" w14:textId="556127BF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Relt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31C5F579" w14:textId="6CB4DAA9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3" w:name="OLE_LINK69"/>
            <w:bookmarkStart w:id="124" w:name="OLE_LINK70"/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bookmarkEnd w:id="123"/>
            <w:bookmarkEnd w:id="124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22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1266FB73" w14:textId="39136583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14</w:t>
            </w:r>
          </w:p>
        </w:tc>
      </w:tr>
      <w:tr w:rsidR="00A46222" w:rsidRPr="00A46222" w14:paraId="5875E7EF" w14:textId="77777777" w:rsidTr="00DC2035">
        <w:trPr>
          <w:trHeight w:val="99"/>
        </w:trPr>
        <w:tc>
          <w:tcPr>
            <w:tcW w:w="5000" w:type="pct"/>
            <w:gridSpan w:val="3"/>
            <w:shd w:val="clear" w:color="auto" w:fill="auto"/>
          </w:tcPr>
          <w:p w14:paraId="28943304" w14:textId="3759D2FC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Graft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loss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due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to</w:t>
            </w:r>
          </w:p>
        </w:tc>
      </w:tr>
      <w:tr w:rsidR="00A46222" w:rsidRPr="00A46222" w14:paraId="6F4BB586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3E4FA09A" w14:textId="0B3E9BB0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Cr</w:t>
            </w:r>
          </w:p>
        </w:tc>
        <w:tc>
          <w:tcPr>
            <w:tcW w:w="1924" w:type="pct"/>
            <w:shd w:val="clear" w:color="auto" w:fill="auto"/>
          </w:tcPr>
          <w:p w14:paraId="0FD1198D" w14:textId="22706E66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72DFC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23</w:t>
            </w:r>
          </w:p>
        </w:tc>
        <w:tc>
          <w:tcPr>
            <w:tcW w:w="1909" w:type="pct"/>
            <w:shd w:val="clear" w:color="auto" w:fill="auto"/>
          </w:tcPr>
          <w:p w14:paraId="63CDF563" w14:textId="110D530B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</w:tr>
      <w:tr w:rsidR="00A46222" w:rsidRPr="00A46222" w14:paraId="51DDF304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467FB85C" w14:textId="7BE7657B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Alv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2CD083CE" w14:textId="639A9156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1909" w:type="pct"/>
            <w:shd w:val="clear" w:color="auto" w:fill="auto"/>
          </w:tcPr>
          <w:p w14:paraId="565D3C44" w14:textId="04E73EF4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A46222" w14:paraId="2D621366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4AC0B306" w14:textId="1A1DF318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Thrombosis</w:t>
            </w:r>
          </w:p>
        </w:tc>
        <w:tc>
          <w:tcPr>
            <w:tcW w:w="1924" w:type="pct"/>
            <w:shd w:val="clear" w:color="auto" w:fill="auto"/>
          </w:tcPr>
          <w:p w14:paraId="5DA0CD76" w14:textId="73FB71AB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909" w:type="pct"/>
            <w:shd w:val="clear" w:color="auto" w:fill="auto"/>
          </w:tcPr>
          <w:p w14:paraId="7CF7115D" w14:textId="12020D32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A46222" w14:paraId="30186539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268EF836" w14:textId="772D28E0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Rond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55D50662" w14:textId="7F331A62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14:paraId="6862C47A" w14:textId="16F2C50B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</w:tr>
      <w:tr w:rsidR="00A46222" w:rsidRPr="00A46222" w14:paraId="14C63E57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32EFFA93" w14:textId="1A8609B2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Ssc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3B6C9C17" w14:textId="5E92ACCA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5" w:name="OLE_LINK71"/>
            <w:bookmarkStart w:id="126" w:name="OLE_LINK72"/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bookmarkEnd w:id="125"/>
            <w:bookmarkEnd w:id="126"/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14:paraId="50ACEB28" w14:textId="45352562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</w:tr>
      <w:tr w:rsidR="00A46222" w:rsidRPr="00A46222" w14:paraId="36CCA14C" w14:textId="77777777" w:rsidTr="00A46222">
        <w:trPr>
          <w:trHeight w:val="227"/>
        </w:trPr>
        <w:tc>
          <w:tcPr>
            <w:tcW w:w="5000" w:type="pct"/>
            <w:gridSpan w:val="3"/>
            <w:shd w:val="clear" w:color="auto" w:fill="auto"/>
          </w:tcPr>
          <w:p w14:paraId="14525D29" w14:textId="4632ED6E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Time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to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DSA-testing</w:t>
            </w:r>
          </w:p>
        </w:tc>
      </w:tr>
      <w:tr w:rsidR="00A46222" w:rsidRPr="00A46222" w14:paraId="6F106EE3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6354AB50" w14:textId="703FC67D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Years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after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current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LT</w:t>
            </w:r>
          </w:p>
        </w:tc>
        <w:tc>
          <w:tcPr>
            <w:tcW w:w="1924" w:type="pct"/>
            <w:shd w:val="clear" w:color="auto" w:fill="auto"/>
          </w:tcPr>
          <w:p w14:paraId="423CF993" w14:textId="1AA29552" w:rsidR="00A46222" w:rsidRPr="00072DFC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9.75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1-19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383F4A41" w14:textId="498598A7" w:rsidR="00A46222" w:rsidRPr="00072DFC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7.98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1-19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A46222" w14:paraId="2C94262A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19F8EE26" w14:textId="5C418DBF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Anti-HLA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antibodies</w:t>
            </w:r>
          </w:p>
        </w:tc>
        <w:tc>
          <w:tcPr>
            <w:tcW w:w="1924" w:type="pct"/>
            <w:shd w:val="clear" w:color="auto" w:fill="auto"/>
          </w:tcPr>
          <w:p w14:paraId="7DD4ED43" w14:textId="3BB4E59C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54</w:t>
            </w:r>
          </w:p>
        </w:tc>
        <w:tc>
          <w:tcPr>
            <w:tcW w:w="1909" w:type="pct"/>
            <w:shd w:val="clear" w:color="auto" w:fill="auto"/>
          </w:tcPr>
          <w:p w14:paraId="6C9F0BCA" w14:textId="2FC37541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lang w:val="en-US"/>
              </w:rPr>
              <w:t>32</w:t>
            </w:r>
          </w:p>
        </w:tc>
      </w:tr>
      <w:tr w:rsidR="00A46222" w:rsidRPr="00A46222" w14:paraId="032214EA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4A88F4BF" w14:textId="5A12F405" w:rsidR="00A46222" w:rsidRPr="00A46222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Previous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episodes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</w:tr>
      <w:tr w:rsidR="00A46222" w:rsidRPr="00A46222" w14:paraId="40E59763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4D88FA19" w14:textId="19E505D2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Of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acute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</w:p>
        </w:tc>
        <w:tc>
          <w:tcPr>
            <w:tcW w:w="1924" w:type="pct"/>
            <w:shd w:val="clear" w:color="auto" w:fill="auto"/>
          </w:tcPr>
          <w:p w14:paraId="1AEF678E" w14:textId="768DD8BC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12</w:t>
            </w:r>
          </w:p>
        </w:tc>
        <w:tc>
          <w:tcPr>
            <w:tcW w:w="1909" w:type="pct"/>
            <w:shd w:val="clear" w:color="auto" w:fill="auto"/>
          </w:tcPr>
          <w:p w14:paraId="6D646E3A" w14:textId="71EFF94E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7</w:t>
            </w:r>
          </w:p>
        </w:tc>
      </w:tr>
      <w:tr w:rsidR="00A46222" w:rsidRPr="00A46222" w14:paraId="23F8FED3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42ED9598" w14:textId="1B85AC84" w:rsidR="00A46222" w:rsidRPr="00A46222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Of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chronic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A46222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</w:p>
        </w:tc>
        <w:tc>
          <w:tcPr>
            <w:tcW w:w="1924" w:type="pct"/>
            <w:shd w:val="clear" w:color="auto" w:fill="auto"/>
          </w:tcPr>
          <w:p w14:paraId="2F90BFE3" w14:textId="5A133F04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14:paraId="5F1E2EDF" w14:textId="392BD4ED" w:rsidR="00A46222" w:rsidRPr="00A46222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A46222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3</w:t>
            </w:r>
          </w:p>
        </w:tc>
      </w:tr>
    </w:tbl>
    <w:p w14:paraId="22565350" w14:textId="11567097" w:rsidR="00A46222" w:rsidRPr="007F1001" w:rsidRDefault="007F1001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Calibri Light"/>
          <w:vertAlign w:val="superscript"/>
          <w:lang w:eastAsia="zh-CN"/>
        </w:rPr>
        <w:t>1</w:t>
      </w:r>
      <w:r>
        <w:rPr>
          <w:rFonts w:ascii="Book Antiqua" w:hAnsi="Book Antiqua" w:cs="Calibri Light"/>
          <w:lang w:eastAsia="zh-CN"/>
        </w:rPr>
        <w:t>S</w:t>
      </w:r>
      <w:r>
        <w:rPr>
          <w:rFonts w:ascii="Book Antiqua" w:eastAsia="Apple SD Gothic Neo UltraLight" w:hAnsi="Book Antiqua" w:cs="Calibri Light"/>
        </w:rPr>
        <w:t>uch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as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carbamoyl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phosphate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synthetase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defects,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ornithine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proofErr w:type="spellStart"/>
      <w:r>
        <w:rPr>
          <w:rFonts w:ascii="Book Antiqua" w:eastAsia="Apple SD Gothic Neo UltraLight" w:hAnsi="Book Antiqua" w:cs="Calibri Light"/>
        </w:rPr>
        <w:t>transcarbamylase</w:t>
      </w:r>
      <w:proofErr w:type="spellEnd"/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deficiency,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primary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hyperoxaluria,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="008A010C">
        <w:rPr>
          <w:rFonts w:ascii="Book Antiqua" w:eastAsia="Apple SD Gothic Neo UltraLight" w:hAnsi="Book Antiqua" w:cs="Calibri Light"/>
        </w:rPr>
        <w:t>alpha1-antitrypsin</w:t>
      </w:r>
      <w:r>
        <w:rPr>
          <w:rFonts w:ascii="Book Antiqua" w:eastAsia="Apple SD Gothic Neo UltraLight" w:hAnsi="Book Antiqua" w:cs="Calibri Light"/>
        </w:rPr>
        <w:t>-deficiency,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glycogen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storage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disease,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maple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syrup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urine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disease,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citrullinemia,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Wilson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disease,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others</w:t>
      </w:r>
      <w:r>
        <w:rPr>
          <w:rFonts w:ascii="Book Antiqua" w:hAnsi="Book Antiqua" w:cs="Calibri Light"/>
          <w:lang w:eastAsia="zh-CN"/>
        </w:rPr>
        <w:t>;</w:t>
      </w:r>
      <w:r w:rsidR="00E171AE">
        <w:rPr>
          <w:rFonts w:ascii="Book Antiqua" w:hAnsi="Book Antiqua" w:cs="Calibri Light"/>
          <w:lang w:eastAsia="zh-CN"/>
        </w:rPr>
        <w:t xml:space="preserve"> </w:t>
      </w:r>
      <w:r>
        <w:rPr>
          <w:rFonts w:ascii="Book Antiqua" w:hAnsi="Book Antiqua" w:cs="Calibri Light"/>
          <w:vertAlign w:val="superscript"/>
          <w:lang w:eastAsia="zh-CN"/>
        </w:rPr>
        <w:t>2</w:t>
      </w:r>
      <w:r>
        <w:rPr>
          <w:rFonts w:ascii="Book Antiqua" w:hAnsi="Book Antiqua" w:cs="Calibri Light"/>
          <w:lang w:eastAsia="zh-CN"/>
        </w:rPr>
        <w:t>S</w:t>
      </w:r>
      <w:r>
        <w:rPr>
          <w:rFonts w:ascii="Book Antiqua" w:eastAsia="Apple SD Gothic Neo UltraLight" w:hAnsi="Book Antiqua" w:cs="Calibri Light"/>
        </w:rPr>
        <w:t>uch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as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idiopathic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cirrhosis,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autosomal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recessive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polycystic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kidney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disease,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proofErr w:type="spellStart"/>
      <w:r>
        <w:rPr>
          <w:rFonts w:ascii="Book Antiqua" w:eastAsia="Apple SD Gothic Neo UltraLight" w:hAnsi="Book Antiqua" w:cs="Calibri Light"/>
        </w:rPr>
        <w:t>Crijgler-Najar</w:t>
      </w:r>
      <w:proofErr w:type="spellEnd"/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syndrome,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progressive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familiar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intrahepatic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cholestasis,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malignancies,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vascular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dysfunction,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neonatal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hepatitis,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primary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sclerosing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cholangitis,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autoimmune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hepatitis</w:t>
      </w:r>
      <w:r>
        <w:rPr>
          <w:rFonts w:ascii="Book Antiqua" w:hAnsi="Book Antiqua" w:cs="Calibri Light"/>
          <w:lang w:eastAsia="zh-CN"/>
        </w:rPr>
        <w:t>.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LDLT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Living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donor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liver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transplantation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DDLT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D</w:t>
      </w:r>
      <w:r>
        <w:rPr>
          <w:rFonts w:ascii="Book Antiqua" w:eastAsia="Apple SD Gothic Neo UltraLight" w:hAnsi="Book Antiqua" w:cs="Calibri Light"/>
        </w:rPr>
        <w:t>ead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donor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liver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transplantation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proofErr w:type="spellStart"/>
      <w:r>
        <w:rPr>
          <w:rFonts w:ascii="Book Antiqua" w:eastAsia="Apple SD Gothic Neo UltraLight" w:hAnsi="Book Antiqua" w:cs="Calibri Light"/>
        </w:rPr>
        <w:t>relt</w:t>
      </w:r>
      <w:proofErr w:type="spellEnd"/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proofErr w:type="spellStart"/>
      <w:r>
        <w:rPr>
          <w:rFonts w:ascii="Book Antiqua" w:hAnsi="Book Antiqua" w:cs="Calibri Light" w:hint="eastAsia"/>
          <w:lang w:eastAsia="zh-CN"/>
        </w:rPr>
        <w:t>R</w:t>
      </w:r>
      <w:r>
        <w:rPr>
          <w:rFonts w:ascii="Book Antiqua" w:eastAsia="Apple SD Gothic Neo UltraLight" w:hAnsi="Book Antiqua" w:cs="Calibri Light"/>
        </w:rPr>
        <w:t>etransplantation</w:t>
      </w:r>
      <w:proofErr w:type="spellEnd"/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HLA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H</w:t>
      </w:r>
      <w:r>
        <w:rPr>
          <w:rFonts w:ascii="Book Antiqua" w:eastAsia="Apple SD Gothic Neo UltraLight" w:hAnsi="Book Antiqua" w:cs="Calibri Light"/>
        </w:rPr>
        <w:t>uman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leucocyte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antigen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DSA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D</w:t>
      </w:r>
      <w:r>
        <w:rPr>
          <w:rFonts w:ascii="Book Antiqua" w:eastAsia="Apple SD Gothic Neo UltraLight" w:hAnsi="Book Antiqua" w:cs="Calibri Light"/>
        </w:rPr>
        <w:t>onor-specific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antibodies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CR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C</w:t>
      </w:r>
      <w:r>
        <w:rPr>
          <w:rFonts w:ascii="Book Antiqua" w:eastAsia="Apple SD Gothic Neo UltraLight" w:hAnsi="Book Antiqua" w:cs="Calibri Light"/>
        </w:rPr>
        <w:t>hronic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rejection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ALV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A</w:t>
      </w:r>
      <w:r>
        <w:rPr>
          <w:rFonts w:ascii="Book Antiqua" w:eastAsia="Apple SD Gothic Neo UltraLight" w:hAnsi="Book Antiqua" w:cs="Calibri Light"/>
        </w:rPr>
        <w:t>cute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liver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failure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ROND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R</w:t>
      </w:r>
      <w:r>
        <w:rPr>
          <w:rFonts w:ascii="Book Antiqua" w:eastAsia="Apple SD Gothic Neo UltraLight" w:hAnsi="Book Antiqua" w:cs="Calibri Light"/>
        </w:rPr>
        <w:t>ecurrence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of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native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disease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SSC</w:t>
      </w:r>
      <w:r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S</w:t>
      </w:r>
      <w:r>
        <w:rPr>
          <w:rFonts w:ascii="Book Antiqua" w:eastAsia="Apple SD Gothic Neo UltraLight" w:hAnsi="Book Antiqua" w:cs="Calibri Light"/>
        </w:rPr>
        <w:t>econdary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sclerosing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cholangitis</w:t>
      </w:r>
      <w:r>
        <w:rPr>
          <w:rFonts w:ascii="Book Antiqua" w:hAnsi="Book Antiqua" w:cs="Calibri Light" w:hint="eastAsia"/>
          <w:lang w:eastAsia="zh-CN"/>
        </w:rPr>
        <w:t>.</w:t>
      </w:r>
    </w:p>
    <w:p w14:paraId="5AA9C5C3" w14:textId="77777777" w:rsidR="00A46222" w:rsidRDefault="00A46222">
      <w:pPr>
        <w:rPr>
          <w:lang w:eastAsia="zh-CN"/>
        </w:rPr>
      </w:pPr>
      <w:r>
        <w:rPr>
          <w:lang w:eastAsia="zh-CN"/>
        </w:rPr>
        <w:br w:type="page"/>
      </w:r>
    </w:p>
    <w:p w14:paraId="59D854D0" w14:textId="568D664F" w:rsidR="008A010C" w:rsidRDefault="008A010C">
      <w:pPr>
        <w:rPr>
          <w:lang w:eastAsia="zh-CN"/>
        </w:rPr>
      </w:pPr>
      <w:r>
        <w:rPr>
          <w:rFonts w:ascii="Book Antiqua" w:eastAsia="Apple SD Gothic Neo UltraLight" w:hAnsi="Book Antiqua" w:cs="Calibri Light"/>
          <w:b/>
          <w:bCs/>
        </w:rPr>
        <w:t>Table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>
        <w:rPr>
          <w:rFonts w:ascii="Book Antiqua" w:hAnsi="Book Antiqua" w:cs="Calibri Light" w:hint="eastAsia"/>
          <w:b/>
          <w:bCs/>
          <w:lang w:eastAsia="zh-CN"/>
        </w:rPr>
        <w:t>2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D00508">
        <w:rPr>
          <w:rFonts w:ascii="Book Antiqua" w:eastAsia="Apple SD Gothic Neo UltraLight" w:hAnsi="Book Antiqua" w:cs="Calibri Light"/>
          <w:b/>
          <w:bCs/>
        </w:rPr>
        <w:t>Biopsy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D00508">
        <w:rPr>
          <w:rFonts w:ascii="Book Antiqua" w:eastAsia="Apple SD Gothic Neo UltraLight" w:hAnsi="Book Antiqua" w:cs="Calibri Light"/>
          <w:b/>
          <w:bCs/>
        </w:rPr>
        <w:t>characteristics</w:t>
      </w:r>
    </w:p>
    <w:tbl>
      <w:tblPr>
        <w:tblStyle w:val="a6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551"/>
        <w:gridCol w:w="851"/>
      </w:tblGrid>
      <w:tr w:rsidR="00A46222" w:rsidRPr="008A010C" w14:paraId="5D4541C3" w14:textId="77777777" w:rsidTr="00DC2035">
        <w:trPr>
          <w:trHeight w:val="36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1CE9" w14:textId="77777777" w:rsidR="00A46222" w:rsidRPr="008A010C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E64" w14:textId="598B1CF6" w:rsidR="00A46222" w:rsidRPr="008A010C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1: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8A010C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38)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B191" w14:textId="42D5552C" w:rsidR="00A46222" w:rsidRPr="008A010C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2: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8A010C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FB5FC" w14:textId="38F5724F" w:rsidR="00A46222" w:rsidRPr="008A010C" w:rsidRDefault="008A010C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8A010C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P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="00A46222" w:rsidRPr="008A010C">
              <w:rPr>
                <w:rFonts w:ascii="Book Antiqua" w:eastAsia="Apple SD Gothic Neo UltraLight" w:hAnsi="Book Antiqua" w:cs="Calibri Light"/>
                <w:b/>
                <w:lang w:val="en-US"/>
              </w:rPr>
              <w:t>value</w:t>
            </w:r>
          </w:p>
        </w:tc>
      </w:tr>
      <w:tr w:rsidR="00A46222" w:rsidRPr="00D00508" w14:paraId="69973465" w14:textId="77777777" w:rsidTr="00DC2035">
        <w:trPr>
          <w:trHeight w:val="25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4F8BF0A" w14:textId="3E5DE991" w:rsidR="00A46222" w:rsidRPr="001A0F67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Fibrosis</w:t>
            </w:r>
            <w:r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5BD60" w14:textId="3406CA8B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7" w:name="OLE_LINK73"/>
            <w:bookmarkStart w:id="128" w:name="OLE_LINK74"/>
            <w:r w:rsidRPr="001A0F67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bookmarkEnd w:id="127"/>
            <w:bookmarkEnd w:id="128"/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EBE13" w14:textId="53A98CAD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D392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47DB09F7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68C1F4E9" w14:textId="6ED3C239" w:rsidR="00A46222" w:rsidRPr="00D00508" w:rsidRDefault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Low-grade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D6FE6" w14:textId="13491737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AC1EB" w14:textId="47A5A168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E157C" w14:textId="54966489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&lt;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0.001</w:t>
            </w:r>
          </w:p>
        </w:tc>
      </w:tr>
      <w:tr w:rsidR="00A46222" w:rsidRPr="00D00508" w14:paraId="5A8FB88C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391A335B" w14:textId="38EE7F01" w:rsidR="00A46222" w:rsidRPr="00D00508" w:rsidRDefault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High-grade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0EFBE" w14:textId="03208287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A2305" w14:textId="17966A92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E25E0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0.5</w:t>
            </w:r>
          </w:p>
        </w:tc>
      </w:tr>
      <w:tr w:rsidR="00A46222" w:rsidRPr="00D00508" w14:paraId="6080D088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56A7B936" w14:textId="0617BB09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Cirrhosis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792B19" w14:textId="3D92B272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776028" w14:textId="3C865D64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0C4F5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0.5</w:t>
            </w:r>
          </w:p>
        </w:tc>
      </w:tr>
      <w:tr w:rsidR="00A46222" w:rsidRPr="00D00508" w14:paraId="06419662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48CCCFF7" w14:textId="5632D1C6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Steatosis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31968" w14:textId="1DFC9582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2B374" w14:textId="0C1A77B9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B289C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0.8</w:t>
            </w:r>
          </w:p>
        </w:tc>
      </w:tr>
      <w:tr w:rsidR="00A46222" w:rsidRPr="00D00508" w14:paraId="57D74C63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1D32D970" w14:textId="4E8EBE94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Portal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CC5B21" w14:textId="4636DA2C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D0D8BB" w14:textId="48C7CC6B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74C4F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0.005</w:t>
            </w:r>
          </w:p>
        </w:tc>
      </w:tr>
      <w:tr w:rsidR="00A46222" w:rsidRPr="00D00508" w14:paraId="39290CD7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99A5C0F" w14:textId="17996A3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Perivenular/perisinusoidal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CAB372" w14:textId="4235547B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52E9F7" w14:textId="0C5115E8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6827F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0.011</w:t>
            </w:r>
          </w:p>
        </w:tc>
      </w:tr>
      <w:tr w:rsidR="00A46222" w:rsidRPr="00D00508" w14:paraId="4478123D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6DE719D" w14:textId="3C0E52B3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Ductular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B98840" w14:textId="0B62078A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CCE99" w14:textId="52C32A89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EAB23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0.004</w:t>
            </w:r>
          </w:p>
        </w:tc>
      </w:tr>
      <w:tr w:rsidR="00A46222" w:rsidRPr="00D00508" w14:paraId="03098410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4D6094A9" w14:textId="0AA735F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Endothelitis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14:paraId="0D3403D2" w14:textId="5DC24193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833C66" w14:textId="367D14D4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0D5DF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0.1</w:t>
            </w:r>
          </w:p>
        </w:tc>
      </w:tr>
      <w:tr w:rsidR="00A46222" w:rsidRPr="00D00508" w14:paraId="098BB575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1F1C0832" w14:textId="266DD61F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lesions/</w:t>
            </w:r>
            <w:proofErr w:type="spellStart"/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ductulopenia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14:paraId="11732A5B" w14:textId="45E97DE2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A2C946B" w14:textId="2515940D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6788D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0.009</w:t>
            </w:r>
          </w:p>
        </w:tc>
      </w:tr>
      <w:tr w:rsidR="00A46222" w:rsidRPr="00D00508" w14:paraId="07CCD0E1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4FBD0320" w14:textId="1778F316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Ductular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cholestasis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DB041" w14:textId="4BA3BC5E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CF67FB" w14:textId="0471044D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4F521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0.01</w:t>
            </w:r>
          </w:p>
        </w:tc>
      </w:tr>
      <w:tr w:rsidR="00A46222" w:rsidRPr="00D00508" w14:paraId="4E0B624B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5775EBB4" w14:textId="6A30C9A1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tract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strictures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0396C" w14:textId="47063C39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7C6B0" w14:textId="183A87D9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E41B4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0.03</w:t>
            </w:r>
          </w:p>
        </w:tc>
      </w:tr>
      <w:tr w:rsidR="00A46222" w:rsidRPr="00D00508" w14:paraId="2D2B9307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25C6B129" w14:textId="464EBF5A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Single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cell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necrosis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74A89" w14:textId="031E5170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433F0A" w14:textId="2F0AB3B6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6313B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0.02</w:t>
            </w:r>
          </w:p>
        </w:tc>
      </w:tr>
      <w:tr w:rsidR="00A46222" w:rsidRPr="00D00508" w14:paraId="0F95A8E6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BB45146" w14:textId="4B8E28FC" w:rsidR="00A46222" w:rsidRPr="001A0F67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Chronic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  <w:r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EF38C" w14:textId="2B974738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22B23" w14:textId="66451D85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D990F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0.009</w:t>
            </w:r>
          </w:p>
        </w:tc>
      </w:tr>
      <w:tr w:rsidR="00A46222" w:rsidRPr="00D00508" w14:paraId="08BC4025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B7D27DD" w14:textId="49DF5720" w:rsidR="00A46222" w:rsidRPr="001A0F67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Possible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camr</w:t>
            </w:r>
            <w:r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F3EDA" w14:textId="40F8BFA4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AE485" w14:textId="30E9B40B" w:rsidR="00A46222" w:rsidRPr="00D0050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DAC6B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0.002</w:t>
            </w:r>
          </w:p>
        </w:tc>
      </w:tr>
    </w:tbl>
    <w:p w14:paraId="484E0AD0" w14:textId="678F599F" w:rsidR="00A46222" w:rsidRDefault="001A0F67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Calibri Light" w:hint="eastAsia"/>
          <w:vertAlign w:val="superscript"/>
          <w:lang w:eastAsia="zh-CN"/>
        </w:rPr>
        <w:t>1</w:t>
      </w:r>
      <w:r>
        <w:rPr>
          <w:rFonts w:ascii="Book Antiqua" w:hAnsi="Book Antiqua" w:cs="Calibri Light" w:hint="eastAsia"/>
          <w:lang w:eastAsia="zh-CN"/>
        </w:rPr>
        <w:t>F</w:t>
      </w:r>
      <w:r w:rsidRPr="00D00508">
        <w:rPr>
          <w:rFonts w:ascii="Book Antiqua" w:eastAsia="Apple SD Gothic Neo UltraLight" w:hAnsi="Book Antiqua" w:cs="Calibri Light"/>
        </w:rPr>
        <w:t>ibrosis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gr</w:t>
      </w:r>
      <w:r>
        <w:rPr>
          <w:rFonts w:ascii="Book Antiqua" w:eastAsia="Apple SD Gothic Neo UltraLight" w:hAnsi="Book Antiqua" w:cs="Calibri Light"/>
        </w:rPr>
        <w:t>ading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according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eastAsia="Apple SD Gothic Neo UltraLight" w:hAnsi="Book Antiqua" w:cs="Calibri Light"/>
        </w:rPr>
        <w:t>to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proofErr w:type="spellStart"/>
      <w:r>
        <w:rPr>
          <w:rFonts w:ascii="Book Antiqua" w:eastAsia="Apple SD Gothic Neo UltraLight" w:hAnsi="Book Antiqua" w:cs="Calibri Light"/>
        </w:rPr>
        <w:t>Desmet</w:t>
      </w:r>
      <w:proofErr w:type="spellEnd"/>
      <w:r w:rsidR="00E171AE">
        <w:rPr>
          <w:rFonts w:ascii="Book Antiqua" w:eastAsia="Apple SD Gothic Neo UltraLight" w:hAnsi="Book Antiqua" w:cs="Calibri Light"/>
        </w:rPr>
        <w:t xml:space="preserve"> </w:t>
      </w:r>
      <w:r w:rsidRPr="001A0F67">
        <w:rPr>
          <w:rFonts w:ascii="Book Antiqua" w:eastAsia="Apple SD Gothic Neo UltraLight" w:hAnsi="Book Antiqua" w:cs="Calibri Light"/>
          <w:i/>
        </w:rPr>
        <w:t>et</w:t>
      </w:r>
      <w:r w:rsidR="00E171AE">
        <w:rPr>
          <w:rFonts w:ascii="Book Antiqua" w:eastAsia="Apple SD Gothic Neo UltraLight" w:hAnsi="Book Antiqua" w:cs="Calibri Light"/>
          <w:i/>
        </w:rPr>
        <w:t xml:space="preserve"> </w:t>
      </w:r>
      <w:r w:rsidRPr="001A0F67">
        <w:rPr>
          <w:rFonts w:ascii="Book Antiqua" w:eastAsia="Apple SD Gothic Neo UltraLight" w:hAnsi="Book Antiqua" w:cs="Calibri Light"/>
          <w:i/>
        </w:rPr>
        <w:t>al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vertAlign w:val="superscript"/>
          <w:lang w:eastAsia="zh-CN"/>
        </w:rPr>
        <w:t>2</w:t>
      </w:r>
      <w:r>
        <w:rPr>
          <w:rFonts w:ascii="Book Antiqua" w:hAnsi="Book Antiqua" w:cs="Calibri Light" w:hint="eastAsia"/>
          <w:lang w:eastAsia="zh-CN"/>
        </w:rPr>
        <w:t>C</w:t>
      </w:r>
      <w:r w:rsidRPr="00D00508">
        <w:rPr>
          <w:rFonts w:ascii="Book Antiqua" w:eastAsia="Apple SD Gothic Neo UltraLight" w:hAnsi="Book Antiqua" w:cs="Calibri Light"/>
        </w:rPr>
        <w:t>hronic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rejection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according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to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Banff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criteria</w:t>
      </w:r>
      <w:r>
        <w:rPr>
          <w:rFonts w:ascii="Book Antiqua" w:hAnsi="Book Antiqua" w:cs="Calibri Light" w:hint="eastAsia"/>
          <w:lang w:eastAsia="zh-CN"/>
        </w:rPr>
        <w:t>;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vertAlign w:val="superscript"/>
          <w:lang w:eastAsia="zh-CN"/>
        </w:rPr>
        <w:t>3</w:t>
      </w:r>
      <w:r>
        <w:rPr>
          <w:rFonts w:ascii="Book Antiqua" w:hAnsi="Book Antiqua" w:cs="Calibri Light" w:hint="eastAsia"/>
          <w:lang w:eastAsia="zh-CN"/>
        </w:rPr>
        <w:t>C</w:t>
      </w:r>
      <w:r w:rsidRPr="00D00508">
        <w:rPr>
          <w:rFonts w:ascii="Book Antiqua" w:eastAsia="Apple SD Gothic Neo UltraLight" w:hAnsi="Book Antiqua" w:cs="Calibri Light"/>
        </w:rPr>
        <w:t>hronic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antibody-mediated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rejection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(</w:t>
      </w:r>
      <w:proofErr w:type="spellStart"/>
      <w:r w:rsidRPr="00D00508">
        <w:rPr>
          <w:rFonts w:ascii="Book Antiqua" w:eastAsia="Apple SD Gothic Neo UltraLight" w:hAnsi="Book Antiqua" w:cs="Calibri Light"/>
        </w:rPr>
        <w:t>camr</w:t>
      </w:r>
      <w:proofErr w:type="spellEnd"/>
      <w:r w:rsidRPr="00D00508">
        <w:rPr>
          <w:rFonts w:ascii="Book Antiqua" w:eastAsia="Apple SD Gothic Neo UltraLight" w:hAnsi="Book Antiqua" w:cs="Calibri Light"/>
        </w:rPr>
        <w:t>)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according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to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Banff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2016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criteria,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with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absent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C4d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staining</w:t>
      </w:r>
      <w:r>
        <w:rPr>
          <w:rFonts w:ascii="Book Antiqua" w:hAnsi="Book Antiqua" w:cs="Calibri Light" w:hint="eastAsia"/>
          <w:lang w:eastAsia="zh-CN"/>
        </w:rPr>
        <w:t>.</w:t>
      </w:r>
      <w:r w:rsidR="00E171AE" w:rsidRPr="00E171AE">
        <w:rPr>
          <w:rFonts w:ascii="Book Antiqua" w:eastAsia="Apple SD Gothic Neo UltraLight" w:hAnsi="Book Antiqua" w:cs="Calibri Light"/>
        </w:rPr>
        <w:t xml:space="preserve"> </w:t>
      </w:r>
      <w:r w:rsidR="00E171AE">
        <w:rPr>
          <w:rFonts w:ascii="Book Antiqua" w:eastAsia="Apple SD Gothic Neo UltraLight" w:hAnsi="Book Antiqua" w:cs="Calibri Light"/>
        </w:rPr>
        <w:t>DSA</w:t>
      </w:r>
      <w:r w:rsidR="00E171AE">
        <w:rPr>
          <w:rFonts w:ascii="Book Antiqua" w:hAnsi="Book Antiqua" w:cs="Calibri Light" w:hint="eastAsia"/>
          <w:lang w:eastAsia="zh-CN"/>
        </w:rPr>
        <w:t>:</w:t>
      </w:r>
      <w:r w:rsidR="00E171AE">
        <w:rPr>
          <w:rFonts w:ascii="Book Antiqua" w:eastAsia="Apple SD Gothic Neo UltraLight" w:hAnsi="Book Antiqua" w:cs="Calibri Light"/>
        </w:rPr>
        <w:t xml:space="preserve"> </w:t>
      </w:r>
      <w:r w:rsidR="00E171AE">
        <w:rPr>
          <w:rFonts w:ascii="Book Antiqua" w:hAnsi="Book Antiqua" w:cs="Calibri Light" w:hint="eastAsia"/>
          <w:lang w:eastAsia="zh-CN"/>
        </w:rPr>
        <w:t>D</w:t>
      </w:r>
      <w:r w:rsidR="00E171AE">
        <w:rPr>
          <w:rFonts w:ascii="Book Antiqua" w:eastAsia="Apple SD Gothic Neo UltraLight" w:hAnsi="Book Antiqua" w:cs="Calibri Light"/>
        </w:rPr>
        <w:t>onor-specific antibodies.</w:t>
      </w:r>
    </w:p>
    <w:p w14:paraId="26A80001" w14:textId="77777777" w:rsidR="00A46222" w:rsidRDefault="00A46222">
      <w:pPr>
        <w:rPr>
          <w:lang w:eastAsia="zh-CN"/>
        </w:rPr>
      </w:pPr>
      <w:r>
        <w:rPr>
          <w:lang w:eastAsia="zh-CN"/>
        </w:rPr>
        <w:br w:type="page"/>
      </w:r>
    </w:p>
    <w:p w14:paraId="350DE85B" w14:textId="75ADADE6" w:rsidR="00B5628A" w:rsidRDefault="00B5628A">
      <w:pPr>
        <w:rPr>
          <w:lang w:eastAsia="zh-CN"/>
        </w:rPr>
      </w:pPr>
      <w:r>
        <w:rPr>
          <w:rFonts w:ascii="Book Antiqua" w:eastAsia="Apple SD Gothic Neo UltraLight" w:hAnsi="Book Antiqua" w:cs="Calibri Light"/>
          <w:b/>
          <w:bCs/>
        </w:rPr>
        <w:t>Table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>
        <w:rPr>
          <w:rFonts w:ascii="Book Antiqua" w:hAnsi="Book Antiqua" w:cs="Calibri Light" w:hint="eastAsia"/>
          <w:b/>
          <w:bCs/>
          <w:lang w:eastAsia="zh-CN"/>
        </w:rPr>
        <w:t>3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D00508">
        <w:rPr>
          <w:rFonts w:ascii="Book Antiqua" w:eastAsia="Apple SD Gothic Neo UltraLight" w:hAnsi="Book Antiqua" w:cs="Calibri Light"/>
          <w:b/>
          <w:bCs/>
        </w:rPr>
        <w:t>Immunosuppressive</w:t>
      </w:r>
      <w:r w:rsidR="00E171AE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D00508">
        <w:rPr>
          <w:rFonts w:ascii="Book Antiqua" w:eastAsia="Apple SD Gothic Neo UltraLight" w:hAnsi="Book Antiqua" w:cs="Calibri Light"/>
          <w:b/>
          <w:bCs/>
        </w:rPr>
        <w:t>therapy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80"/>
        <w:gridCol w:w="3419"/>
      </w:tblGrid>
      <w:tr w:rsidR="000C1D78" w:rsidRPr="00B5628A" w14:paraId="22027D27" w14:textId="77777777" w:rsidTr="00DC2035">
        <w:trPr>
          <w:trHeight w:val="489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B8814" w14:textId="67E9F0F4" w:rsidR="000C1D78" w:rsidRPr="00B5628A" w:rsidRDefault="000C1D78" w:rsidP="000C1D78">
            <w:pPr>
              <w:adjustRightInd w:val="0"/>
              <w:snapToGrid w:val="0"/>
              <w:spacing w:line="360" w:lineRule="auto"/>
              <w:jc w:val="right"/>
              <w:rPr>
                <w:rFonts w:ascii="Book Antiqua" w:eastAsia="Apple SD Gothic Neo UltraLight" w:hAnsi="Book Antiqua" w:cs="Calibri Light"/>
                <w:b/>
              </w:rPr>
            </w:pP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1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1DA72" w14:textId="75D4A247" w:rsidR="000C1D78" w:rsidRPr="00B5628A" w:rsidRDefault="000C1D78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9AD3" w14:textId="49A02B8F" w:rsidR="000C1D78" w:rsidRPr="00B5628A" w:rsidRDefault="000C1D78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2</w:t>
            </w:r>
            <w:r w:rsidR="00E171AE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B5628A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</w:p>
        </w:tc>
      </w:tr>
      <w:tr w:rsidR="00A46222" w:rsidRPr="00D00508" w14:paraId="55811EE6" w14:textId="77777777" w:rsidTr="00B5628A">
        <w:tc>
          <w:tcPr>
            <w:tcW w:w="1607" w:type="pct"/>
            <w:shd w:val="clear" w:color="auto" w:fill="auto"/>
          </w:tcPr>
          <w:p w14:paraId="467FC28D" w14:textId="177D0FE9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Monotherapy</w:t>
            </w:r>
          </w:p>
        </w:tc>
        <w:tc>
          <w:tcPr>
            <w:tcW w:w="1608" w:type="pct"/>
            <w:shd w:val="clear" w:color="auto" w:fill="auto"/>
          </w:tcPr>
          <w:p w14:paraId="2E576C85" w14:textId="690A77BD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29</w:t>
            </w:r>
          </w:p>
        </w:tc>
        <w:tc>
          <w:tcPr>
            <w:tcW w:w="1785" w:type="pct"/>
            <w:shd w:val="clear" w:color="auto" w:fill="auto"/>
          </w:tcPr>
          <w:p w14:paraId="6AEB073A" w14:textId="727D4EE7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39</w:t>
            </w:r>
          </w:p>
        </w:tc>
      </w:tr>
      <w:tr w:rsidR="00A46222" w:rsidRPr="00D00508" w14:paraId="06D93568" w14:textId="77777777" w:rsidTr="00B5628A">
        <w:tc>
          <w:tcPr>
            <w:tcW w:w="1607" w:type="pct"/>
            <w:shd w:val="clear" w:color="auto" w:fill="auto"/>
          </w:tcPr>
          <w:p w14:paraId="558B4DDF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5C374890" w14:textId="42964A62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</w:p>
        </w:tc>
        <w:tc>
          <w:tcPr>
            <w:tcW w:w="1785" w:type="pct"/>
            <w:shd w:val="clear" w:color="auto" w:fill="auto"/>
          </w:tcPr>
          <w:p w14:paraId="4FE7B35F" w14:textId="70908B13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</w:tr>
      <w:tr w:rsidR="00A46222" w:rsidRPr="00D00508" w14:paraId="2A5288B3" w14:textId="77777777" w:rsidTr="00B5628A">
        <w:trPr>
          <w:trHeight w:val="420"/>
        </w:trPr>
        <w:tc>
          <w:tcPr>
            <w:tcW w:w="1607" w:type="pct"/>
            <w:shd w:val="clear" w:color="auto" w:fill="auto"/>
          </w:tcPr>
          <w:p w14:paraId="55E28DDA" w14:textId="368AB051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6F68D170" w14:textId="73858E8E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109.5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23-674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median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73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</w:tcPr>
          <w:p w14:paraId="2337AF73" w14:textId="0C9232A1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58.0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29-106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D00508" w14:paraId="00A699CB" w14:textId="77777777" w:rsidTr="00B5628A">
        <w:tc>
          <w:tcPr>
            <w:tcW w:w="1607" w:type="pct"/>
            <w:shd w:val="clear" w:color="auto" w:fill="auto"/>
          </w:tcPr>
          <w:p w14:paraId="7EEEC121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28741DE1" w14:textId="62FC4AB2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10</w:t>
            </w:r>
          </w:p>
        </w:tc>
        <w:tc>
          <w:tcPr>
            <w:tcW w:w="1785" w:type="pct"/>
            <w:shd w:val="clear" w:color="auto" w:fill="auto"/>
          </w:tcPr>
          <w:p w14:paraId="09AB0334" w14:textId="5FE15FFB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</w:p>
        </w:tc>
      </w:tr>
      <w:tr w:rsidR="00A46222" w:rsidRPr="00D00508" w14:paraId="61F7F15C" w14:textId="77777777" w:rsidTr="00B5628A">
        <w:tc>
          <w:tcPr>
            <w:tcW w:w="1607" w:type="pct"/>
            <w:shd w:val="clear" w:color="auto" w:fill="auto"/>
          </w:tcPr>
          <w:p w14:paraId="1266A131" w14:textId="07E115CF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0642A13C" w14:textId="31AD570F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4.4µg/L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1.0-7.3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45301DE7" w14:textId="4A0186E5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5.5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2.6-7.7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D00508" w14:paraId="5254B754" w14:textId="77777777" w:rsidTr="00B5628A">
        <w:tc>
          <w:tcPr>
            <w:tcW w:w="1607" w:type="pct"/>
            <w:shd w:val="clear" w:color="auto" w:fill="auto"/>
          </w:tcPr>
          <w:p w14:paraId="5B98D704" w14:textId="31902F9F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  <w:r w:rsidR="00E171AE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117D9CFB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1AFC0B93" w14:textId="4ED8E13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D00508" w14:paraId="518CFBD8" w14:textId="77777777" w:rsidTr="00B5628A">
        <w:tc>
          <w:tcPr>
            <w:tcW w:w="1607" w:type="pct"/>
            <w:shd w:val="clear" w:color="auto" w:fill="auto"/>
          </w:tcPr>
          <w:p w14:paraId="170A02CF" w14:textId="6CD27623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761A8B40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735CFE19" w14:textId="02FC6E23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10.3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</w:p>
        </w:tc>
      </w:tr>
      <w:tr w:rsidR="00A46222" w:rsidRPr="00D00508" w14:paraId="2EE841BC" w14:textId="77777777" w:rsidTr="00B5628A">
        <w:tc>
          <w:tcPr>
            <w:tcW w:w="1607" w:type="pct"/>
            <w:shd w:val="clear" w:color="auto" w:fill="auto"/>
          </w:tcPr>
          <w:p w14:paraId="71B55EBE" w14:textId="640CB908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SIR</w:t>
            </w:r>
            <w:r w:rsidR="00E171AE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56008BD1" w14:textId="1B2D79F0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6E00C73C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7E654CE7" w14:textId="77777777" w:rsidTr="00B5628A">
        <w:tc>
          <w:tcPr>
            <w:tcW w:w="1607" w:type="pct"/>
            <w:shd w:val="clear" w:color="auto" w:fill="auto"/>
          </w:tcPr>
          <w:p w14:paraId="1F2E8338" w14:textId="68942656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566CBE7A" w14:textId="1FCB48C8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5.2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</w:p>
        </w:tc>
        <w:tc>
          <w:tcPr>
            <w:tcW w:w="1785" w:type="pct"/>
            <w:shd w:val="clear" w:color="auto" w:fill="auto"/>
          </w:tcPr>
          <w:p w14:paraId="24D444EF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516B7980" w14:textId="77777777" w:rsidTr="00B5628A">
        <w:tc>
          <w:tcPr>
            <w:tcW w:w="1607" w:type="pct"/>
            <w:shd w:val="clear" w:color="auto" w:fill="auto"/>
          </w:tcPr>
          <w:p w14:paraId="50E5CFD7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1B63398F" w14:textId="14452284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48A3DD3E" w14:textId="31A9DD47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D00508" w14:paraId="38A1BF39" w14:textId="77777777" w:rsidTr="00B5628A">
        <w:tc>
          <w:tcPr>
            <w:tcW w:w="1607" w:type="pct"/>
            <w:shd w:val="clear" w:color="auto" w:fill="auto"/>
          </w:tcPr>
          <w:p w14:paraId="70A8C743" w14:textId="341CFC11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Combined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therapy</w:t>
            </w:r>
          </w:p>
        </w:tc>
        <w:tc>
          <w:tcPr>
            <w:tcW w:w="1608" w:type="pct"/>
            <w:shd w:val="clear" w:color="auto" w:fill="auto"/>
          </w:tcPr>
          <w:p w14:paraId="15F14C67" w14:textId="51409DB7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25</w:t>
            </w:r>
          </w:p>
        </w:tc>
        <w:tc>
          <w:tcPr>
            <w:tcW w:w="1785" w:type="pct"/>
            <w:shd w:val="clear" w:color="auto" w:fill="auto"/>
          </w:tcPr>
          <w:p w14:paraId="650CD705" w14:textId="62A2D4F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30</w:t>
            </w:r>
          </w:p>
        </w:tc>
      </w:tr>
      <w:tr w:rsidR="00A46222" w:rsidRPr="00D00508" w14:paraId="3B9F02F5" w14:textId="77777777" w:rsidTr="00B5628A">
        <w:tc>
          <w:tcPr>
            <w:tcW w:w="1607" w:type="pct"/>
            <w:shd w:val="clear" w:color="auto" w:fill="auto"/>
          </w:tcPr>
          <w:p w14:paraId="3031B078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7D4BBF5C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5DF92F78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145E8AF2" w14:textId="77777777" w:rsidTr="00B5628A">
        <w:tc>
          <w:tcPr>
            <w:tcW w:w="1607" w:type="pct"/>
            <w:shd w:val="clear" w:color="auto" w:fill="auto"/>
          </w:tcPr>
          <w:p w14:paraId="5E414E37" w14:textId="2C806D6B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A626C53" w14:textId="0259F81D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7CE2658B" w14:textId="06B7432B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</w:tr>
      <w:tr w:rsidR="00A46222" w:rsidRPr="00D00508" w14:paraId="7471AEDD" w14:textId="77777777" w:rsidTr="00B5628A">
        <w:tc>
          <w:tcPr>
            <w:tcW w:w="1607" w:type="pct"/>
            <w:shd w:val="clear" w:color="auto" w:fill="auto"/>
          </w:tcPr>
          <w:p w14:paraId="0A052CBA" w14:textId="56149151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39181A3" w14:textId="732685E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0027082F" w14:textId="2F3D7217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D00508" w14:paraId="618665E2" w14:textId="77777777" w:rsidTr="00B5628A">
        <w:tc>
          <w:tcPr>
            <w:tcW w:w="1607" w:type="pct"/>
            <w:shd w:val="clear" w:color="auto" w:fill="auto"/>
          </w:tcPr>
          <w:p w14:paraId="484E528A" w14:textId="5D6E50CF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7FC162C1" w14:textId="21D6366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785" w:type="pct"/>
            <w:shd w:val="clear" w:color="auto" w:fill="auto"/>
          </w:tcPr>
          <w:p w14:paraId="38F67229" w14:textId="19A8B66F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D00508" w14:paraId="6CD65C07" w14:textId="77777777" w:rsidTr="00B5628A">
        <w:tc>
          <w:tcPr>
            <w:tcW w:w="1607" w:type="pct"/>
            <w:shd w:val="clear" w:color="auto" w:fill="auto"/>
          </w:tcPr>
          <w:p w14:paraId="7BFF8AE1" w14:textId="4CA102AD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157FDCA4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65403FA4" w14:textId="7953796E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D00508" w14:paraId="7232B302" w14:textId="77777777" w:rsidTr="00B5628A">
        <w:tc>
          <w:tcPr>
            <w:tcW w:w="1607" w:type="pct"/>
            <w:shd w:val="clear" w:color="auto" w:fill="auto"/>
          </w:tcPr>
          <w:p w14:paraId="7695767F" w14:textId="06947213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MMF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5EEFCD03" w14:textId="7A8D798E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785" w:type="pct"/>
            <w:shd w:val="clear" w:color="auto" w:fill="auto"/>
          </w:tcPr>
          <w:p w14:paraId="3098D511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10E12F56" w14:textId="77777777" w:rsidTr="00B5628A">
        <w:trPr>
          <w:trHeight w:val="346"/>
        </w:trPr>
        <w:tc>
          <w:tcPr>
            <w:tcW w:w="1607" w:type="pct"/>
            <w:shd w:val="clear" w:color="auto" w:fill="auto"/>
          </w:tcPr>
          <w:p w14:paraId="1E0A38A8" w14:textId="1C210CEB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092C5249" w14:textId="00C4B945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54.7µg/L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11-89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045D786A" w14:textId="3D238B3A" w:rsidR="00B5628A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72.7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23-137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D00508" w14:paraId="567A6213" w14:textId="77777777" w:rsidTr="00B5628A">
        <w:tc>
          <w:tcPr>
            <w:tcW w:w="1607" w:type="pct"/>
            <w:shd w:val="clear" w:color="auto" w:fill="auto"/>
          </w:tcPr>
          <w:p w14:paraId="29E1ABE4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518C25C4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0891A52D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41997845" w14:textId="77777777" w:rsidTr="00B5628A">
        <w:tc>
          <w:tcPr>
            <w:tcW w:w="1607" w:type="pct"/>
            <w:shd w:val="clear" w:color="auto" w:fill="auto"/>
          </w:tcPr>
          <w:p w14:paraId="30114B9E" w14:textId="1930F3DF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228EC8A3" w14:textId="4FA26BFB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5AB3DFB1" w14:textId="2A49354C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</w:tr>
      <w:tr w:rsidR="00A46222" w:rsidRPr="00D00508" w14:paraId="091EF926" w14:textId="77777777" w:rsidTr="00B5628A">
        <w:tc>
          <w:tcPr>
            <w:tcW w:w="1607" w:type="pct"/>
            <w:shd w:val="clear" w:color="auto" w:fill="auto"/>
          </w:tcPr>
          <w:p w14:paraId="37A7C948" w14:textId="51B08BD6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3AE19D4F" w14:textId="0E238644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1785" w:type="pct"/>
            <w:shd w:val="clear" w:color="auto" w:fill="auto"/>
          </w:tcPr>
          <w:p w14:paraId="7C5CA47B" w14:textId="5D9F1B8C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</w:tr>
      <w:tr w:rsidR="00A46222" w:rsidRPr="00D00508" w14:paraId="484DF155" w14:textId="77777777" w:rsidTr="00B5628A">
        <w:tc>
          <w:tcPr>
            <w:tcW w:w="1607" w:type="pct"/>
            <w:shd w:val="clear" w:color="auto" w:fill="auto"/>
          </w:tcPr>
          <w:p w14:paraId="0448E107" w14:textId="1D28F4A5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7AED822F" w14:textId="32A7E377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1785" w:type="pct"/>
            <w:shd w:val="clear" w:color="auto" w:fill="auto"/>
          </w:tcPr>
          <w:p w14:paraId="04A85192" w14:textId="4B128265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D00508" w14:paraId="456CCFA2" w14:textId="77777777" w:rsidTr="00B5628A">
        <w:trPr>
          <w:trHeight w:val="200"/>
        </w:trPr>
        <w:tc>
          <w:tcPr>
            <w:tcW w:w="1607" w:type="pct"/>
            <w:shd w:val="clear" w:color="auto" w:fill="auto"/>
          </w:tcPr>
          <w:p w14:paraId="7130128F" w14:textId="00AABA17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5C44D921" w14:textId="0C014640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584AB774" w14:textId="425DFD83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D00508" w14:paraId="75497703" w14:textId="77777777" w:rsidTr="00B5628A">
        <w:trPr>
          <w:trHeight w:val="390"/>
        </w:trPr>
        <w:tc>
          <w:tcPr>
            <w:tcW w:w="1607" w:type="pct"/>
            <w:shd w:val="clear" w:color="auto" w:fill="auto"/>
          </w:tcPr>
          <w:p w14:paraId="7A66424E" w14:textId="07EC423A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400A9CFA" w14:textId="0E499C1C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6.1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3.0-9.9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7234F936" w14:textId="05E88880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6.3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2.1-15.1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D00508" w14:paraId="11BA5DA9" w14:textId="77777777" w:rsidTr="00B5628A">
        <w:tc>
          <w:tcPr>
            <w:tcW w:w="1607" w:type="pct"/>
            <w:shd w:val="clear" w:color="auto" w:fill="auto"/>
          </w:tcPr>
          <w:p w14:paraId="1E67AB99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A2EC9A7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3FFAC091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6C9B0D7B" w14:textId="77777777" w:rsidTr="00B5628A">
        <w:tc>
          <w:tcPr>
            <w:tcW w:w="1607" w:type="pct"/>
            <w:shd w:val="clear" w:color="auto" w:fill="auto"/>
          </w:tcPr>
          <w:p w14:paraId="35A7CDD9" w14:textId="78C33204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190D32E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2C023AEB" w14:textId="16899761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D00508" w14:paraId="37181AD9" w14:textId="77777777" w:rsidTr="00B5628A">
        <w:tc>
          <w:tcPr>
            <w:tcW w:w="1607" w:type="pct"/>
            <w:shd w:val="clear" w:color="auto" w:fill="auto"/>
          </w:tcPr>
          <w:p w14:paraId="1361114C" w14:textId="100976F1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0DE1582B" w14:textId="42FB7642" w:rsidR="00A46222" w:rsidRPr="00D00508" w:rsidRDefault="001A0F67" w:rsidP="009D579C">
            <w:pPr>
              <w:tabs>
                <w:tab w:val="center" w:pos="135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19002F02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4F4BB7CA" w14:textId="77777777" w:rsidTr="00B5628A">
        <w:trPr>
          <w:trHeight w:val="328"/>
        </w:trPr>
        <w:tc>
          <w:tcPr>
            <w:tcW w:w="1607" w:type="pct"/>
            <w:shd w:val="clear" w:color="auto" w:fill="auto"/>
          </w:tcPr>
          <w:p w14:paraId="32CAB65F" w14:textId="19F373A3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25C3358D" w14:textId="72190D2A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3.7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1.0-5.0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4CEA304C" w14:textId="20A6F38F" w:rsidR="00A46222" w:rsidRPr="00B5628A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>
              <w:rPr>
                <w:rFonts w:ascii="Book Antiqua" w:eastAsia="Apple SD Gothic Neo UltraLight" w:hAnsi="Book Antiqua" w:cs="Calibri Light"/>
                <w:lang w:val="en-US"/>
              </w:rPr>
              <w:t>4.3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1.8-7.8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D00508" w14:paraId="127A4782" w14:textId="77777777" w:rsidTr="00B5628A">
        <w:tc>
          <w:tcPr>
            <w:tcW w:w="1607" w:type="pct"/>
            <w:shd w:val="clear" w:color="auto" w:fill="auto"/>
          </w:tcPr>
          <w:p w14:paraId="26D6949B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SIR</w:t>
            </w:r>
          </w:p>
        </w:tc>
        <w:tc>
          <w:tcPr>
            <w:tcW w:w="1608" w:type="pct"/>
            <w:shd w:val="clear" w:color="auto" w:fill="auto"/>
          </w:tcPr>
          <w:p w14:paraId="110FB815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2315B2D5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D00508" w14:paraId="030DA1BA" w14:textId="77777777" w:rsidTr="00B5628A">
        <w:tc>
          <w:tcPr>
            <w:tcW w:w="1607" w:type="pct"/>
            <w:shd w:val="clear" w:color="auto" w:fill="auto"/>
          </w:tcPr>
          <w:p w14:paraId="78160D8E" w14:textId="39048DD9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112FDCC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509F1C4D" w14:textId="24251712" w:rsidR="00A46222" w:rsidRPr="00D0050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0A2E8F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0A2E8F">
              <w:rPr>
                <w:rFonts w:ascii="Book Antiqua" w:eastAsia="Apple SD Gothic Neo UltraLight" w:hAnsi="Book Antiqua" w:cs="Calibri Light"/>
              </w:rPr>
              <w:t>=</w:t>
            </w:r>
            <w:r w:rsidR="00E171AE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B5628A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(trough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levels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>, NA</w:t>
            </w:r>
            <w:r w:rsidR="00A46222" w:rsidRPr="00D00508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</w:tr>
      <w:tr w:rsidR="00A46222" w:rsidRPr="00D00508" w14:paraId="104BAF46" w14:textId="77777777" w:rsidTr="00B5628A">
        <w:trPr>
          <w:cantSplit/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D01FCCA" w14:textId="1BA9DD56" w:rsidR="00A46222" w:rsidRPr="00D0050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Adherence</w:t>
            </w:r>
            <w:r w:rsidR="00E171AE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rates</w:t>
            </w:r>
          </w:p>
        </w:tc>
      </w:tr>
      <w:tr w:rsidR="00A46222" w:rsidRPr="00D00508" w14:paraId="1610A369" w14:textId="77777777" w:rsidTr="00B5628A">
        <w:trPr>
          <w:cantSplit/>
          <w:trHeight w:val="275"/>
        </w:trPr>
        <w:tc>
          <w:tcPr>
            <w:tcW w:w="1607" w:type="pct"/>
            <w:shd w:val="clear" w:color="auto" w:fill="auto"/>
          </w:tcPr>
          <w:p w14:paraId="428FCB66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217AE006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81.5%</w:t>
            </w:r>
          </w:p>
        </w:tc>
        <w:tc>
          <w:tcPr>
            <w:tcW w:w="1785" w:type="pct"/>
            <w:shd w:val="clear" w:color="auto" w:fill="auto"/>
          </w:tcPr>
          <w:p w14:paraId="01F1031A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72.4%</w:t>
            </w:r>
          </w:p>
        </w:tc>
      </w:tr>
      <w:tr w:rsidR="00A46222" w:rsidRPr="00D00508" w14:paraId="59C0602E" w14:textId="77777777" w:rsidTr="00B5628A">
        <w:trPr>
          <w:cantSplit/>
          <w:trHeight w:val="266"/>
        </w:trPr>
        <w:tc>
          <w:tcPr>
            <w:tcW w:w="1607" w:type="pct"/>
            <w:shd w:val="clear" w:color="auto" w:fill="auto"/>
          </w:tcPr>
          <w:p w14:paraId="1759B802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67F4EC6E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87.5%</w:t>
            </w:r>
          </w:p>
        </w:tc>
        <w:tc>
          <w:tcPr>
            <w:tcW w:w="1785" w:type="pct"/>
            <w:shd w:val="clear" w:color="auto" w:fill="auto"/>
          </w:tcPr>
          <w:p w14:paraId="3A1F31A5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88.9%</w:t>
            </w:r>
          </w:p>
        </w:tc>
      </w:tr>
      <w:tr w:rsidR="00A46222" w:rsidRPr="00D00508" w14:paraId="554D0F07" w14:textId="77777777" w:rsidTr="00B5628A">
        <w:trPr>
          <w:cantSplit/>
          <w:trHeight w:val="283"/>
        </w:trPr>
        <w:tc>
          <w:tcPr>
            <w:tcW w:w="1607" w:type="pct"/>
            <w:shd w:val="clear" w:color="auto" w:fill="auto"/>
          </w:tcPr>
          <w:p w14:paraId="4436AB5D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058E2C9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75%</w:t>
            </w:r>
          </w:p>
        </w:tc>
        <w:tc>
          <w:tcPr>
            <w:tcW w:w="1785" w:type="pct"/>
            <w:shd w:val="clear" w:color="auto" w:fill="auto"/>
          </w:tcPr>
          <w:p w14:paraId="6D00DDE2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84.9%</w:t>
            </w:r>
          </w:p>
        </w:tc>
      </w:tr>
      <w:tr w:rsidR="00A46222" w:rsidRPr="00D00508" w14:paraId="42410A8D" w14:textId="77777777" w:rsidTr="00B5628A">
        <w:trPr>
          <w:cantSplit/>
          <w:trHeight w:val="274"/>
        </w:trPr>
        <w:tc>
          <w:tcPr>
            <w:tcW w:w="1607" w:type="pct"/>
            <w:shd w:val="clear" w:color="auto" w:fill="auto"/>
          </w:tcPr>
          <w:p w14:paraId="08466539" w14:textId="77777777" w:rsidR="00A46222" w:rsidRPr="00D00508" w:rsidRDefault="00A46222" w:rsidP="00DC2035">
            <w:pPr>
              <w:adjustRightInd w:val="0"/>
              <w:snapToGrid w:val="0"/>
              <w:spacing w:line="360" w:lineRule="auto"/>
              <w:ind w:firstLineChars="50" w:firstLine="126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SIR</w:t>
            </w:r>
          </w:p>
        </w:tc>
        <w:tc>
          <w:tcPr>
            <w:tcW w:w="1608" w:type="pct"/>
            <w:shd w:val="clear" w:color="auto" w:fill="auto"/>
          </w:tcPr>
          <w:p w14:paraId="0FA601D8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100%</w:t>
            </w:r>
          </w:p>
        </w:tc>
        <w:tc>
          <w:tcPr>
            <w:tcW w:w="1785" w:type="pct"/>
            <w:shd w:val="clear" w:color="auto" w:fill="auto"/>
          </w:tcPr>
          <w:p w14:paraId="6EA16F8B" w14:textId="77777777" w:rsidR="00A46222" w:rsidRPr="00D0050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D00508">
              <w:rPr>
                <w:rFonts w:ascii="Book Antiqua" w:eastAsia="Apple SD Gothic Neo UltraLight" w:hAnsi="Book Antiqua" w:cs="Calibri Light"/>
                <w:lang w:val="en-US"/>
              </w:rPr>
              <w:t>100%</w:t>
            </w:r>
          </w:p>
        </w:tc>
      </w:tr>
    </w:tbl>
    <w:p w14:paraId="3DA19CBC" w14:textId="7D129AE0" w:rsidR="00A77B3E" w:rsidRPr="00B5628A" w:rsidRDefault="00E171AE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Calibri Light" w:hint="eastAsia"/>
          <w:lang w:eastAsia="zh-CN"/>
        </w:rPr>
        <w:t>T</w:t>
      </w:r>
      <w:r w:rsidRPr="00D00508">
        <w:rPr>
          <w:rFonts w:ascii="Book Antiqua" w:eastAsia="Apple SD Gothic Neo UltraLight" w:hAnsi="Book Antiqua" w:cs="Calibri Light"/>
        </w:rPr>
        <w:t>rough</w:t>
      </w:r>
      <w:r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levels</w:t>
      </w:r>
      <w:r>
        <w:rPr>
          <w:rFonts w:ascii="Book Antiqua" w:eastAsia="Apple SD Gothic Neo UltraLight" w:hAnsi="Book Antiqua" w:cs="Calibri Light"/>
        </w:rPr>
        <w:t xml:space="preserve"> </w:t>
      </w:r>
      <w:r w:rsidRPr="00D00508">
        <w:rPr>
          <w:rFonts w:ascii="Book Antiqua" w:eastAsia="Apple SD Gothic Neo UltraLight" w:hAnsi="Book Antiqua" w:cs="Calibri Light"/>
        </w:rPr>
        <w:t>g</w:t>
      </w:r>
      <w:r>
        <w:rPr>
          <w:rFonts w:ascii="Book Antiqua" w:eastAsia="Apple SD Gothic Neo UltraLight" w:hAnsi="Book Antiqua" w:cs="Calibri Light"/>
        </w:rPr>
        <w:t xml:space="preserve">iven as mean </w:t>
      </w:r>
      <w:r>
        <w:rPr>
          <w:rFonts w:ascii="Book Antiqua" w:hAnsi="Book Antiqua" w:cs="Calibri Light" w:hint="eastAsia"/>
          <w:lang w:eastAsia="zh-CN"/>
        </w:rPr>
        <w:t>(</w:t>
      </w:r>
      <w:r>
        <w:rPr>
          <w:rFonts w:ascii="Book Antiqua" w:eastAsia="Apple SD Gothic Neo UltraLight" w:hAnsi="Book Antiqua" w:cs="Calibri Light"/>
        </w:rPr>
        <w:t>and range</w:t>
      </w:r>
      <w:r>
        <w:rPr>
          <w:rFonts w:ascii="Book Antiqua" w:hAnsi="Book Antiqua" w:cs="Calibri Light" w:hint="eastAsia"/>
          <w:lang w:eastAsia="zh-CN"/>
        </w:rPr>
        <w:t>).</w:t>
      </w:r>
      <w:r>
        <w:rPr>
          <w:rFonts w:hint="eastAsia"/>
          <w:lang w:eastAsia="zh-CN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MMF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hAnsi="Book Antiqua" w:cs="Calibri Light" w:hint="eastAsia"/>
          <w:lang w:eastAsia="zh-CN"/>
        </w:rPr>
        <w:t>M</w:t>
      </w:r>
      <w:r w:rsidR="00B5628A">
        <w:rPr>
          <w:rFonts w:ascii="Book Antiqua" w:eastAsia="Apple SD Gothic Neo UltraLight" w:hAnsi="Book Antiqua" w:cs="Calibri Light"/>
        </w:rPr>
        <w:t>ycophenolate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mofetil</w:t>
      </w:r>
      <w:r w:rsidR="00B5628A">
        <w:rPr>
          <w:rFonts w:ascii="Book Antiqua" w:hAnsi="Book Antiqua" w:cs="Calibri Light" w:hint="eastAsia"/>
          <w:lang w:eastAsia="zh-CN"/>
        </w:rPr>
        <w:t>;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CSA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Cyclosporin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A</w:t>
      </w:r>
      <w:r w:rsidR="00B5628A">
        <w:rPr>
          <w:rFonts w:ascii="Book Antiqua" w:hAnsi="Book Antiqua" w:cs="Calibri Light" w:hint="eastAsia"/>
          <w:lang w:eastAsia="zh-CN"/>
        </w:rPr>
        <w:t>;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TAC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 w:rsidRPr="00D00508">
        <w:rPr>
          <w:rFonts w:ascii="Book Antiqua" w:eastAsia="Apple SD Gothic Neo UltraLight" w:hAnsi="Book Antiqua" w:cs="Calibri Light"/>
        </w:rPr>
        <w:t>Tacrol</w:t>
      </w:r>
      <w:r w:rsidR="00B5628A">
        <w:rPr>
          <w:rFonts w:ascii="Book Antiqua" w:eastAsia="Apple SD Gothic Neo UltraLight" w:hAnsi="Book Antiqua" w:cs="Calibri Light"/>
        </w:rPr>
        <w:t>imus</w:t>
      </w:r>
      <w:r w:rsidR="00B5628A">
        <w:rPr>
          <w:rFonts w:ascii="Book Antiqua" w:hAnsi="Book Antiqua" w:cs="Calibri Light" w:hint="eastAsia"/>
          <w:lang w:eastAsia="zh-CN"/>
        </w:rPr>
        <w:t>;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EVE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proofErr w:type="spellStart"/>
      <w:r w:rsidR="00B5628A">
        <w:rPr>
          <w:rFonts w:ascii="Book Antiqua" w:eastAsia="Apple SD Gothic Neo UltraLight" w:hAnsi="Book Antiqua" w:cs="Calibri Light"/>
        </w:rPr>
        <w:t>Everolimus</w:t>
      </w:r>
      <w:proofErr w:type="spellEnd"/>
      <w:r w:rsidR="00B5628A">
        <w:rPr>
          <w:rFonts w:ascii="Book Antiqua" w:hAnsi="Book Antiqua" w:cs="Calibri Light" w:hint="eastAsia"/>
          <w:lang w:eastAsia="zh-CN"/>
        </w:rPr>
        <w:t>;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PRED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Prednisolone;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SIR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eastAsia="Apple SD Gothic Neo UltraLight" w:hAnsi="Book Antiqua" w:cs="Calibri Light"/>
        </w:rPr>
        <w:t>Sirolimus</w:t>
      </w:r>
      <w:r w:rsidR="00B5628A">
        <w:rPr>
          <w:rFonts w:ascii="Book Antiqua" w:hAnsi="Book Antiqua" w:cs="Calibri Light" w:hint="eastAsia"/>
          <w:lang w:eastAsia="zh-CN"/>
        </w:rPr>
        <w:t>;</w:t>
      </w:r>
      <w:r>
        <w:rPr>
          <w:rFonts w:ascii="Book Antiqua" w:eastAsia="Apple SD Gothic Neo UltraLight" w:hAnsi="Book Antiqua" w:cs="Calibri Light"/>
        </w:rPr>
        <w:t xml:space="preserve"> NA</w:t>
      </w:r>
      <w:r w:rsidR="00B5628A"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hAnsi="Book Antiqua" w:cs="Calibri Light" w:hint="eastAsia"/>
          <w:lang w:eastAsia="zh-CN"/>
        </w:rPr>
        <w:t xml:space="preserve"> </w:t>
      </w:r>
      <w:r w:rsidR="00B5628A">
        <w:rPr>
          <w:rFonts w:ascii="Book Antiqua" w:hAnsi="Book Antiqua" w:cs="Calibri Light" w:hint="eastAsia"/>
          <w:lang w:eastAsia="zh-CN"/>
        </w:rPr>
        <w:t>N</w:t>
      </w:r>
      <w:r w:rsidR="00B5628A" w:rsidRPr="00D00508">
        <w:rPr>
          <w:rFonts w:ascii="Book Antiqua" w:eastAsia="Apple SD Gothic Neo UltraLight" w:hAnsi="Book Antiqua" w:cs="Calibri Light"/>
        </w:rPr>
        <w:t>ot</w:t>
      </w:r>
      <w:r>
        <w:rPr>
          <w:rFonts w:ascii="Book Antiqua" w:eastAsia="Apple SD Gothic Neo UltraLight" w:hAnsi="Book Antiqua" w:cs="Calibri Light"/>
        </w:rPr>
        <w:t xml:space="preserve"> </w:t>
      </w:r>
      <w:r w:rsidR="00B5628A" w:rsidRPr="00D00508">
        <w:rPr>
          <w:rFonts w:ascii="Book Antiqua" w:eastAsia="Apple SD Gothic Neo UltraLight" w:hAnsi="Book Antiqua" w:cs="Calibri Light"/>
        </w:rPr>
        <w:t>available</w:t>
      </w:r>
      <w:r>
        <w:rPr>
          <w:rFonts w:ascii="Book Antiqua" w:hAnsi="Book Antiqua" w:cs="Calibri Light"/>
          <w:lang w:eastAsia="zh-CN"/>
        </w:rPr>
        <w:t xml:space="preserve">; </w:t>
      </w:r>
      <w:r>
        <w:rPr>
          <w:rFonts w:ascii="Book Antiqua" w:eastAsia="Apple SD Gothic Neo UltraLight" w:hAnsi="Book Antiqua" w:cs="Calibri Light"/>
        </w:rPr>
        <w:t>DSA</w:t>
      </w:r>
      <w:r>
        <w:rPr>
          <w:rFonts w:ascii="Book Antiqua" w:hAnsi="Book Antiqua" w:cs="Calibri Light" w:hint="eastAsia"/>
          <w:lang w:eastAsia="zh-CN"/>
        </w:rPr>
        <w:t>:</w:t>
      </w:r>
      <w:r>
        <w:rPr>
          <w:rFonts w:ascii="Book Antiqua" w:eastAsia="Apple SD Gothic Neo UltraLight" w:hAnsi="Book Antiqua" w:cs="Calibri Light"/>
        </w:rPr>
        <w:t xml:space="preserve"> </w:t>
      </w:r>
      <w:r>
        <w:rPr>
          <w:rFonts w:ascii="Book Antiqua" w:hAnsi="Book Antiqua" w:cs="Calibri Light" w:hint="eastAsia"/>
          <w:lang w:eastAsia="zh-CN"/>
        </w:rPr>
        <w:t>D</w:t>
      </w:r>
      <w:r>
        <w:rPr>
          <w:rFonts w:ascii="Book Antiqua" w:eastAsia="Apple SD Gothic Neo UltraLight" w:hAnsi="Book Antiqua" w:cs="Calibri Light"/>
        </w:rPr>
        <w:t>onor-specific antibodies.</w:t>
      </w:r>
    </w:p>
    <w:sectPr w:rsidR="00A77B3E" w:rsidRPr="00B5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57E6" w14:textId="77777777" w:rsidR="00B118CB" w:rsidRDefault="00B118CB" w:rsidP="00676EF5">
      <w:r>
        <w:separator/>
      </w:r>
    </w:p>
  </w:endnote>
  <w:endnote w:type="continuationSeparator" w:id="0">
    <w:p w14:paraId="4C6410E2" w14:textId="77777777" w:rsidR="00B118CB" w:rsidRDefault="00B118CB" w:rsidP="006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SD Gothic Neo UltraLight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504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B8E246" w14:textId="1E092F88" w:rsidR="00676EF5" w:rsidRDefault="00676EF5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1CA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1C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B7124" w14:textId="77777777" w:rsidR="00676EF5" w:rsidRDefault="00676E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2D4A" w14:textId="77777777" w:rsidR="00B118CB" w:rsidRDefault="00B118CB" w:rsidP="00676EF5">
      <w:r>
        <w:separator/>
      </w:r>
    </w:p>
  </w:footnote>
  <w:footnote w:type="continuationSeparator" w:id="0">
    <w:p w14:paraId="6566F91E" w14:textId="77777777" w:rsidR="00B118CB" w:rsidRDefault="00B118CB" w:rsidP="0067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72DFC"/>
    <w:rsid w:val="00082E34"/>
    <w:rsid w:val="00092125"/>
    <w:rsid w:val="000A2E8F"/>
    <w:rsid w:val="000A71CA"/>
    <w:rsid w:val="000C1D78"/>
    <w:rsid w:val="000E5DE1"/>
    <w:rsid w:val="000F4CAC"/>
    <w:rsid w:val="00134BEB"/>
    <w:rsid w:val="001A0F67"/>
    <w:rsid w:val="002259DE"/>
    <w:rsid w:val="00233F8C"/>
    <w:rsid w:val="0029792A"/>
    <w:rsid w:val="00312318"/>
    <w:rsid w:val="004A2AB7"/>
    <w:rsid w:val="00521A5D"/>
    <w:rsid w:val="00567BB3"/>
    <w:rsid w:val="005F06B6"/>
    <w:rsid w:val="0060086F"/>
    <w:rsid w:val="00605257"/>
    <w:rsid w:val="00626DE2"/>
    <w:rsid w:val="00662F75"/>
    <w:rsid w:val="00676EF5"/>
    <w:rsid w:val="006D7DA8"/>
    <w:rsid w:val="00754D5C"/>
    <w:rsid w:val="007577E5"/>
    <w:rsid w:val="007B6DCD"/>
    <w:rsid w:val="007F1001"/>
    <w:rsid w:val="007F42C4"/>
    <w:rsid w:val="00877AF8"/>
    <w:rsid w:val="008A010C"/>
    <w:rsid w:val="008B05E9"/>
    <w:rsid w:val="009D579C"/>
    <w:rsid w:val="00A45D5E"/>
    <w:rsid w:val="00A46222"/>
    <w:rsid w:val="00A77B3E"/>
    <w:rsid w:val="00A8020D"/>
    <w:rsid w:val="00AD1FEE"/>
    <w:rsid w:val="00B04D4C"/>
    <w:rsid w:val="00B118CB"/>
    <w:rsid w:val="00B42BA9"/>
    <w:rsid w:val="00B5628A"/>
    <w:rsid w:val="00B722A9"/>
    <w:rsid w:val="00C511C0"/>
    <w:rsid w:val="00CA2A55"/>
    <w:rsid w:val="00DC2035"/>
    <w:rsid w:val="00E171AE"/>
    <w:rsid w:val="00E86CD1"/>
    <w:rsid w:val="00ED547B"/>
    <w:rsid w:val="00ED5D35"/>
    <w:rsid w:val="00F1315E"/>
    <w:rsid w:val="00F61ACF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BC375"/>
  <w15:docId w15:val="{9C1530B6-F19E-45D4-AF81-98D1C3D5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0">
    <w:name w:val="MsoHyperlink"/>
    <w:basedOn w:val="a0"/>
  </w:style>
  <w:style w:type="paragraph" w:styleId="a3">
    <w:name w:val="Balloon Text"/>
    <w:basedOn w:val="a"/>
    <w:link w:val="a4"/>
    <w:rsid w:val="00B04D4C"/>
    <w:rPr>
      <w:sz w:val="18"/>
      <w:szCs w:val="18"/>
    </w:rPr>
  </w:style>
  <w:style w:type="character" w:customStyle="1" w:styleId="a4">
    <w:name w:val="批注框文本 字符"/>
    <w:basedOn w:val="a0"/>
    <w:link w:val="a3"/>
    <w:rsid w:val="00B04D4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1A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6">
    <w:name w:val="Table Grid"/>
    <w:basedOn w:val="a1"/>
    <w:uiPriority w:val="39"/>
    <w:rsid w:val="00A46222"/>
    <w:rPr>
      <w:rFonts w:asciiTheme="minorHAnsi" w:eastAsia="宋体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7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76EF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76E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76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6519</Words>
  <Characters>37159</Characters>
  <Application>Microsoft Office Word</Application>
  <DocSecurity>0</DocSecurity>
  <Lines>309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8</cp:revision>
  <dcterms:created xsi:type="dcterms:W3CDTF">2021-05-17T18:49:00Z</dcterms:created>
  <dcterms:modified xsi:type="dcterms:W3CDTF">2021-05-21T11:57:00Z</dcterms:modified>
</cp:coreProperties>
</file>