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28F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Name of Journal: </w:t>
      </w:r>
      <w:r w:rsidRPr="00DA13F2">
        <w:rPr>
          <w:rFonts w:ascii="Book Antiqua" w:eastAsia="Book Antiqua" w:hAnsi="Book Antiqua" w:cs="Book Antiqua"/>
          <w:i/>
          <w:color w:val="000000"/>
        </w:rPr>
        <w:t>World Journal of Clinical Cases</w:t>
      </w:r>
    </w:p>
    <w:p w14:paraId="4EA13E5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Manuscript NO: </w:t>
      </w:r>
      <w:r w:rsidRPr="00DA13F2">
        <w:rPr>
          <w:rFonts w:ascii="Book Antiqua" w:eastAsia="Book Antiqua" w:hAnsi="Book Antiqua" w:cs="Book Antiqua"/>
          <w:color w:val="000000"/>
        </w:rPr>
        <w:t>61441</w:t>
      </w:r>
    </w:p>
    <w:p w14:paraId="1AE14D9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Manuscript Type: </w:t>
      </w:r>
      <w:r w:rsidRPr="00DA13F2">
        <w:rPr>
          <w:rFonts w:ascii="Book Antiqua" w:eastAsia="Book Antiqua" w:hAnsi="Book Antiqua" w:cs="Book Antiqua"/>
          <w:color w:val="000000"/>
        </w:rPr>
        <w:t>SYSTEMATIC REVIEWS</w:t>
      </w:r>
    </w:p>
    <w:p w14:paraId="5069BC32" w14:textId="77777777" w:rsidR="00A77B3E" w:rsidRPr="00DA13F2" w:rsidRDefault="00A77B3E" w:rsidP="00DA13F2">
      <w:pPr>
        <w:adjustRightInd w:val="0"/>
        <w:snapToGrid w:val="0"/>
        <w:spacing w:line="360" w:lineRule="auto"/>
        <w:jc w:val="both"/>
        <w:rPr>
          <w:rFonts w:ascii="Book Antiqua" w:hAnsi="Book Antiqua"/>
        </w:rPr>
      </w:pPr>
    </w:p>
    <w:p w14:paraId="0365A20F" w14:textId="105EAB56" w:rsidR="00A77B3E" w:rsidRPr="00DA13F2" w:rsidRDefault="004D62F0" w:rsidP="00DA13F2">
      <w:pPr>
        <w:adjustRightInd w:val="0"/>
        <w:snapToGrid w:val="0"/>
        <w:spacing w:line="360" w:lineRule="auto"/>
        <w:jc w:val="both"/>
        <w:rPr>
          <w:rFonts w:ascii="Book Antiqua" w:hAnsi="Book Antiqua"/>
        </w:rPr>
      </w:pPr>
      <w:bookmarkStart w:id="0" w:name="OLE_LINK3"/>
      <w:bookmarkStart w:id="1" w:name="OLE_LINK4"/>
      <w:bookmarkStart w:id="2" w:name="OLE_LINK9"/>
      <w:bookmarkStart w:id="3" w:name="OLE_LINK11"/>
      <w:r w:rsidRPr="00DA13F2">
        <w:rPr>
          <w:rFonts w:ascii="Book Antiqua" w:eastAsia="Book Antiqua" w:hAnsi="Book Antiqua" w:cs="Book Antiqua"/>
          <w:b/>
          <w:bCs/>
          <w:color w:val="000000"/>
          <w:shd w:val="clear" w:color="auto" w:fill="FFFFFF"/>
        </w:rPr>
        <w:t>Systematic review and</w:t>
      </w:r>
      <w:r w:rsidR="00082C85" w:rsidRPr="00DA13F2">
        <w:rPr>
          <w:rFonts w:ascii="Book Antiqua" w:eastAsia="Book Antiqua" w:hAnsi="Book Antiqua" w:cs="Book Antiqua"/>
          <w:b/>
          <w:bCs/>
          <w:color w:val="000000"/>
          <w:shd w:val="clear" w:color="auto" w:fill="FFFFFF"/>
        </w:rPr>
        <w:t xml:space="preserve"> meta-analysis of the impact of deviations from a clinical pathway on outcomes following pancre</w:t>
      </w:r>
      <w:r w:rsidRPr="00DA13F2">
        <w:rPr>
          <w:rFonts w:ascii="Book Antiqua" w:eastAsia="Book Antiqua" w:hAnsi="Book Antiqua" w:cs="Book Antiqua"/>
          <w:b/>
          <w:bCs/>
          <w:color w:val="000000"/>
          <w:shd w:val="clear" w:color="auto" w:fill="FFFFFF"/>
        </w:rPr>
        <w:t>atoduodenectomy</w:t>
      </w:r>
    </w:p>
    <w:bookmarkEnd w:id="0"/>
    <w:bookmarkEnd w:id="1"/>
    <w:bookmarkEnd w:id="2"/>
    <w:bookmarkEnd w:id="3"/>
    <w:p w14:paraId="6D06CF65" w14:textId="77777777" w:rsidR="00A77B3E" w:rsidRPr="00DA13F2" w:rsidRDefault="00A77B3E" w:rsidP="00DA13F2">
      <w:pPr>
        <w:adjustRightInd w:val="0"/>
        <w:snapToGrid w:val="0"/>
        <w:spacing w:line="360" w:lineRule="auto"/>
        <w:jc w:val="both"/>
        <w:rPr>
          <w:rFonts w:ascii="Book Antiqua" w:hAnsi="Book Antiqua"/>
        </w:rPr>
      </w:pPr>
    </w:p>
    <w:p w14:paraId="394F4D81" w14:textId="2A50EF6A" w:rsidR="00A77B3E" w:rsidRPr="00DA13F2" w:rsidRDefault="00082C85"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Karunakaran M</w:t>
      </w:r>
      <w:r w:rsidRPr="00DA13F2">
        <w:rPr>
          <w:rFonts w:ascii="Book Antiqua" w:eastAsia="Book Antiqua" w:hAnsi="Book Antiqua" w:cs="Book Antiqua"/>
          <w:i/>
          <w:iCs/>
          <w:color w:val="000000"/>
        </w:rPr>
        <w:t xml:space="preserve"> et al</w:t>
      </w:r>
      <w:r w:rsidRPr="00DA13F2">
        <w:rPr>
          <w:rFonts w:ascii="Book Antiqua" w:eastAsia="Book Antiqua" w:hAnsi="Book Antiqua" w:cs="Book Antiqua"/>
          <w:color w:val="000000"/>
        </w:rPr>
        <w:t xml:space="preserve">. </w:t>
      </w:r>
      <w:bookmarkStart w:id="4" w:name="OLE_LINK5"/>
      <w:bookmarkStart w:id="5" w:name="OLE_LINK6"/>
      <w:bookmarkStart w:id="6" w:name="OLE_LINK10"/>
      <w:r w:rsidR="004D62F0" w:rsidRPr="00DA13F2">
        <w:rPr>
          <w:rFonts w:ascii="Book Antiqua" w:eastAsia="Book Antiqua" w:hAnsi="Book Antiqua" w:cs="Book Antiqua"/>
          <w:color w:val="000000"/>
        </w:rPr>
        <w:t>ERAS</w:t>
      </w:r>
      <w:r w:rsidR="004D62F0" w:rsidRPr="00D80E85">
        <w:rPr>
          <w:rFonts w:ascii="Book Antiqua" w:eastAsia="Book Antiqua" w:hAnsi="Book Antiqua" w:cs="Book Antiqua"/>
          <w:color w:val="000000"/>
          <w:vertAlign w:val="superscript"/>
        </w:rPr>
        <w:t>®</w:t>
      </w:r>
      <w:r w:rsidR="004D62F0" w:rsidRPr="00DA13F2">
        <w:rPr>
          <w:rFonts w:ascii="Book Antiqua" w:eastAsia="Book Antiqua" w:hAnsi="Book Antiqua" w:cs="Book Antiqua"/>
          <w:color w:val="000000"/>
        </w:rPr>
        <w:t xml:space="preserve"> in </w:t>
      </w:r>
      <w:r w:rsidR="00410FFE" w:rsidRPr="00DA13F2">
        <w:rPr>
          <w:rFonts w:ascii="Book Antiqua" w:eastAsia="Book Antiqua" w:hAnsi="Book Antiqua" w:cs="Book Antiqua"/>
          <w:color w:val="000000"/>
        </w:rPr>
        <w:t>pancreatoduodenectomy</w:t>
      </w:r>
    </w:p>
    <w:bookmarkEnd w:id="4"/>
    <w:bookmarkEnd w:id="5"/>
    <w:bookmarkEnd w:id="6"/>
    <w:p w14:paraId="325D126D" w14:textId="77777777" w:rsidR="00A77B3E" w:rsidRPr="00DA13F2" w:rsidRDefault="00A77B3E" w:rsidP="00DA13F2">
      <w:pPr>
        <w:adjustRightInd w:val="0"/>
        <w:snapToGrid w:val="0"/>
        <w:spacing w:line="360" w:lineRule="auto"/>
        <w:jc w:val="both"/>
        <w:rPr>
          <w:rFonts w:ascii="Book Antiqua" w:hAnsi="Book Antiqua"/>
        </w:rPr>
      </w:pPr>
    </w:p>
    <w:p w14:paraId="37989AC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Monish Karunakaran, Pavan Kumar </w:t>
      </w:r>
      <w:proofErr w:type="spellStart"/>
      <w:r w:rsidRPr="00DA13F2">
        <w:rPr>
          <w:rFonts w:ascii="Book Antiqua" w:eastAsia="Book Antiqua" w:hAnsi="Book Antiqua" w:cs="Book Antiqua"/>
          <w:color w:val="000000"/>
        </w:rPr>
        <w:t>Jonnada</w:t>
      </w:r>
      <w:proofErr w:type="spellEnd"/>
      <w:r w:rsidRPr="00DA13F2">
        <w:rPr>
          <w:rFonts w:ascii="Book Antiqua" w:eastAsia="Book Antiqua" w:hAnsi="Book Antiqua" w:cs="Book Antiqua"/>
          <w:color w:val="000000"/>
        </w:rPr>
        <w:t>, Savio George Barreto</w:t>
      </w:r>
    </w:p>
    <w:p w14:paraId="146BA400" w14:textId="77777777" w:rsidR="00082C85" w:rsidRPr="00DA13F2" w:rsidRDefault="00082C85" w:rsidP="00DA13F2">
      <w:pPr>
        <w:adjustRightInd w:val="0"/>
        <w:snapToGrid w:val="0"/>
        <w:spacing w:line="360" w:lineRule="auto"/>
        <w:jc w:val="both"/>
        <w:rPr>
          <w:rFonts w:ascii="Book Antiqua" w:eastAsia="Book Antiqua" w:hAnsi="Book Antiqua" w:cs="Book Antiqua"/>
          <w:b/>
          <w:bCs/>
          <w:color w:val="000000"/>
        </w:rPr>
      </w:pPr>
    </w:p>
    <w:p w14:paraId="19B6A888" w14:textId="6771D0FF"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Monish Karunakaran, </w:t>
      </w:r>
      <w:r w:rsidRPr="00DA13F2">
        <w:rPr>
          <w:rFonts w:ascii="Book Antiqua" w:eastAsia="Book Antiqua" w:hAnsi="Book Antiqua" w:cs="Book Antiqua"/>
          <w:color w:val="000000"/>
        </w:rPr>
        <w:t xml:space="preserve">Department of Gastrointestinal Surgery, Gastrointestinal Oncology, and Bariatric Surgery, </w:t>
      </w:r>
      <w:proofErr w:type="spellStart"/>
      <w:r w:rsidRPr="00DA13F2">
        <w:rPr>
          <w:rFonts w:ascii="Book Antiqua" w:eastAsia="Book Antiqua" w:hAnsi="Book Antiqua" w:cs="Book Antiqua"/>
          <w:color w:val="000000"/>
        </w:rPr>
        <w:t>Medanta</w:t>
      </w:r>
      <w:proofErr w:type="spellEnd"/>
      <w:r w:rsidRPr="00DA13F2">
        <w:rPr>
          <w:rFonts w:ascii="Book Antiqua" w:eastAsia="Book Antiqua" w:hAnsi="Book Antiqua" w:cs="Book Antiqua"/>
          <w:color w:val="000000"/>
        </w:rPr>
        <w:t xml:space="preserve"> Institute of Digestive and Hepatobiliary Sciences, Gurgaon 122001, Haryana, India</w:t>
      </w:r>
    </w:p>
    <w:p w14:paraId="0F6C37DC" w14:textId="77777777" w:rsidR="00A77B3E" w:rsidRPr="00DA13F2" w:rsidRDefault="00A77B3E" w:rsidP="00DA13F2">
      <w:pPr>
        <w:adjustRightInd w:val="0"/>
        <w:snapToGrid w:val="0"/>
        <w:spacing w:line="360" w:lineRule="auto"/>
        <w:jc w:val="both"/>
        <w:rPr>
          <w:rFonts w:ascii="Book Antiqua" w:hAnsi="Book Antiqua"/>
        </w:rPr>
      </w:pPr>
    </w:p>
    <w:p w14:paraId="45A7AD3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Monish Karunakaran, </w:t>
      </w:r>
      <w:r w:rsidRPr="00DA13F2">
        <w:rPr>
          <w:rFonts w:ascii="Book Antiqua" w:eastAsia="Book Antiqua" w:hAnsi="Book Antiqua" w:cs="Book Antiqua"/>
          <w:color w:val="000000"/>
        </w:rPr>
        <w:t xml:space="preserve">Department of Liver Transplantation and Regenerative Medicine, </w:t>
      </w:r>
      <w:proofErr w:type="spellStart"/>
      <w:r w:rsidRPr="00DA13F2">
        <w:rPr>
          <w:rFonts w:ascii="Book Antiqua" w:eastAsia="Book Antiqua" w:hAnsi="Book Antiqua" w:cs="Book Antiqua"/>
          <w:color w:val="000000"/>
        </w:rPr>
        <w:t>Medanta</w:t>
      </w:r>
      <w:proofErr w:type="spellEnd"/>
      <w:r w:rsidRPr="00DA13F2">
        <w:rPr>
          <w:rFonts w:ascii="Book Antiqua" w:eastAsia="Book Antiqua" w:hAnsi="Book Antiqua" w:cs="Book Antiqua"/>
          <w:color w:val="000000"/>
        </w:rPr>
        <w:t xml:space="preserve">-The </w:t>
      </w:r>
      <w:proofErr w:type="spellStart"/>
      <w:r w:rsidRPr="00DA13F2">
        <w:rPr>
          <w:rFonts w:ascii="Book Antiqua" w:eastAsia="Book Antiqua" w:hAnsi="Book Antiqua" w:cs="Book Antiqua"/>
          <w:color w:val="000000"/>
        </w:rPr>
        <w:t>Medicity</w:t>
      </w:r>
      <w:proofErr w:type="spellEnd"/>
      <w:r w:rsidRPr="00DA13F2">
        <w:rPr>
          <w:rFonts w:ascii="Book Antiqua" w:eastAsia="Book Antiqua" w:hAnsi="Book Antiqua" w:cs="Book Antiqua"/>
          <w:color w:val="000000"/>
        </w:rPr>
        <w:t>, Gurgaon 122001, Haryana, India</w:t>
      </w:r>
    </w:p>
    <w:p w14:paraId="4CACFCF5" w14:textId="77777777" w:rsidR="00A77B3E" w:rsidRPr="00DA13F2" w:rsidRDefault="00A77B3E" w:rsidP="00DA13F2">
      <w:pPr>
        <w:adjustRightInd w:val="0"/>
        <w:snapToGrid w:val="0"/>
        <w:spacing w:line="360" w:lineRule="auto"/>
        <w:jc w:val="both"/>
        <w:rPr>
          <w:rFonts w:ascii="Book Antiqua" w:hAnsi="Book Antiqua"/>
        </w:rPr>
      </w:pPr>
    </w:p>
    <w:p w14:paraId="2371250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Pavan Kumar </w:t>
      </w:r>
      <w:proofErr w:type="spellStart"/>
      <w:r w:rsidRPr="00DA13F2">
        <w:rPr>
          <w:rFonts w:ascii="Book Antiqua" w:eastAsia="Book Antiqua" w:hAnsi="Book Antiqua" w:cs="Book Antiqua"/>
          <w:b/>
          <w:bCs/>
          <w:color w:val="000000"/>
        </w:rPr>
        <w:t>Jonnada</w:t>
      </w:r>
      <w:proofErr w:type="spellEnd"/>
      <w:r w:rsidRPr="00DA13F2">
        <w:rPr>
          <w:rFonts w:ascii="Book Antiqua" w:eastAsia="Book Antiqua" w:hAnsi="Book Antiqua" w:cs="Book Antiqua"/>
          <w:b/>
          <w:bCs/>
          <w:color w:val="000000"/>
        </w:rPr>
        <w:t xml:space="preserve">, </w:t>
      </w:r>
      <w:proofErr w:type="spellStart"/>
      <w:r w:rsidRPr="00DA13F2">
        <w:rPr>
          <w:rFonts w:ascii="Book Antiqua" w:eastAsia="Book Antiqua" w:hAnsi="Book Antiqua" w:cs="Book Antiqua"/>
          <w:color w:val="000000"/>
        </w:rPr>
        <w:t>Surgucal</w:t>
      </w:r>
      <w:proofErr w:type="spellEnd"/>
      <w:r w:rsidRPr="00DA13F2">
        <w:rPr>
          <w:rFonts w:ascii="Book Antiqua" w:eastAsia="Book Antiqua" w:hAnsi="Book Antiqua" w:cs="Book Antiqua"/>
          <w:color w:val="000000"/>
        </w:rPr>
        <w:t xml:space="preserve"> Oncology, Kidwai Memorial Institute of Oncology, Bengaluru 560029, Karnataka, India</w:t>
      </w:r>
    </w:p>
    <w:p w14:paraId="46A5AE0B" w14:textId="77777777" w:rsidR="00A77B3E" w:rsidRPr="00DA13F2" w:rsidRDefault="00A77B3E" w:rsidP="00DA13F2">
      <w:pPr>
        <w:adjustRightInd w:val="0"/>
        <w:snapToGrid w:val="0"/>
        <w:spacing w:line="360" w:lineRule="auto"/>
        <w:jc w:val="both"/>
        <w:rPr>
          <w:rFonts w:ascii="Book Antiqua" w:hAnsi="Book Antiqua"/>
        </w:rPr>
      </w:pPr>
    </w:p>
    <w:p w14:paraId="5D12C08C"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Savio George Barreto, </w:t>
      </w:r>
      <w:r w:rsidRPr="00DA13F2">
        <w:rPr>
          <w:rFonts w:ascii="Book Antiqua" w:eastAsia="Book Antiqua" w:hAnsi="Book Antiqua" w:cs="Book Antiqua"/>
          <w:color w:val="000000"/>
        </w:rPr>
        <w:t xml:space="preserve">Division of Surgery and Perioperative Medicine, Flinders Medical Center, </w:t>
      </w:r>
      <w:proofErr w:type="spellStart"/>
      <w:r w:rsidRPr="00DA13F2">
        <w:rPr>
          <w:rFonts w:ascii="Book Antiqua" w:eastAsia="Book Antiqua" w:hAnsi="Book Antiqua" w:cs="Book Antiqua"/>
          <w:color w:val="000000"/>
        </w:rPr>
        <w:t>Daw</w:t>
      </w:r>
      <w:proofErr w:type="spellEnd"/>
      <w:r w:rsidRPr="00DA13F2">
        <w:rPr>
          <w:rFonts w:ascii="Book Antiqua" w:eastAsia="Book Antiqua" w:hAnsi="Book Antiqua" w:cs="Book Antiqua"/>
          <w:color w:val="000000"/>
        </w:rPr>
        <w:t xml:space="preserve"> Park 5041, South Australia, Australia</w:t>
      </w:r>
    </w:p>
    <w:p w14:paraId="3371B1EC" w14:textId="77777777" w:rsidR="00A77B3E" w:rsidRPr="00DA13F2" w:rsidRDefault="00A77B3E" w:rsidP="00DA13F2">
      <w:pPr>
        <w:adjustRightInd w:val="0"/>
        <w:snapToGrid w:val="0"/>
        <w:spacing w:line="360" w:lineRule="auto"/>
        <w:jc w:val="both"/>
        <w:rPr>
          <w:rFonts w:ascii="Book Antiqua" w:hAnsi="Book Antiqua"/>
        </w:rPr>
      </w:pPr>
    </w:p>
    <w:p w14:paraId="2BC37643" w14:textId="5B47E1F1"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Savio George Barreto, </w:t>
      </w:r>
      <w:r w:rsidRPr="00DA13F2">
        <w:rPr>
          <w:rFonts w:ascii="Book Antiqua" w:eastAsia="Book Antiqua" w:hAnsi="Book Antiqua" w:cs="Book Antiqua"/>
          <w:color w:val="000000"/>
        </w:rPr>
        <w:t xml:space="preserve">College of Medicine and Public Health, Flinders University, </w:t>
      </w:r>
      <w:proofErr w:type="spellStart"/>
      <w:r w:rsidR="00410FFE" w:rsidRPr="00DA13F2">
        <w:rPr>
          <w:rFonts w:ascii="Book Antiqua" w:eastAsia="Book Antiqua" w:hAnsi="Book Antiqua" w:cs="Book Antiqua"/>
          <w:color w:val="000000"/>
        </w:rPr>
        <w:t>Daw</w:t>
      </w:r>
      <w:proofErr w:type="spellEnd"/>
      <w:r w:rsidR="00410FFE" w:rsidRPr="00DA13F2">
        <w:rPr>
          <w:rFonts w:ascii="Book Antiqua" w:eastAsia="Book Antiqua" w:hAnsi="Book Antiqua" w:cs="Book Antiqua"/>
          <w:color w:val="000000"/>
        </w:rPr>
        <w:t xml:space="preserve"> Park </w:t>
      </w:r>
      <w:r w:rsidRPr="00DA13F2">
        <w:rPr>
          <w:rFonts w:ascii="Book Antiqua" w:eastAsia="Book Antiqua" w:hAnsi="Book Antiqua" w:cs="Book Antiqua"/>
          <w:color w:val="000000"/>
        </w:rPr>
        <w:t>5041, South Australia, Australia</w:t>
      </w:r>
    </w:p>
    <w:p w14:paraId="5FB1BAD5" w14:textId="77777777" w:rsidR="00235037" w:rsidRPr="00DA13F2" w:rsidRDefault="00235037" w:rsidP="00DA13F2">
      <w:pPr>
        <w:adjustRightInd w:val="0"/>
        <w:snapToGrid w:val="0"/>
        <w:spacing w:line="360" w:lineRule="auto"/>
        <w:jc w:val="both"/>
        <w:rPr>
          <w:rFonts w:ascii="Book Antiqua" w:eastAsia="Book Antiqua" w:hAnsi="Book Antiqua" w:cs="Book Antiqua"/>
          <w:color w:val="000000"/>
        </w:rPr>
      </w:pPr>
    </w:p>
    <w:p w14:paraId="372A003B" w14:textId="05AFCA01"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Author contributions: </w:t>
      </w:r>
      <w:bookmarkStart w:id="7" w:name="OLE_LINK15"/>
      <w:bookmarkStart w:id="8" w:name="OLE_LINK16"/>
      <w:r w:rsidR="00082C85" w:rsidRPr="00DA13F2">
        <w:rPr>
          <w:rFonts w:ascii="Book Antiqua" w:eastAsia="Book Antiqua" w:hAnsi="Book Antiqua" w:cs="Book Antiqua"/>
          <w:color w:val="000000"/>
        </w:rPr>
        <w:t>Karunakaran M made the c</w:t>
      </w:r>
      <w:r w:rsidRPr="00DA13F2">
        <w:rPr>
          <w:rFonts w:ascii="Book Antiqua" w:eastAsia="Book Antiqua" w:hAnsi="Book Antiqua" w:cs="Book Antiqua"/>
          <w:color w:val="000000"/>
        </w:rPr>
        <w:t>onceptualization of the study, selection of studies, interpretation of data and drafting of the manuscript</w:t>
      </w:r>
      <w:r w:rsidR="00235037" w:rsidRPr="00DA13F2">
        <w:rPr>
          <w:rFonts w:ascii="Book Antiqua" w:eastAsia="Book Antiqua" w:hAnsi="Book Antiqua" w:cs="Book Antiqua"/>
          <w:color w:val="000000"/>
        </w:rPr>
        <w:t xml:space="preserve">; </w:t>
      </w:r>
      <w:bookmarkStart w:id="9" w:name="OLE_LINK46"/>
      <w:bookmarkStart w:id="10" w:name="OLE_LINK47"/>
      <w:proofErr w:type="spellStart"/>
      <w:r w:rsidR="00082C85" w:rsidRPr="00DA13F2">
        <w:rPr>
          <w:rFonts w:ascii="Book Antiqua" w:eastAsia="Book Antiqua" w:hAnsi="Book Antiqua" w:cs="Book Antiqua"/>
          <w:color w:val="000000"/>
        </w:rPr>
        <w:lastRenderedPageBreak/>
        <w:t>Jonnada</w:t>
      </w:r>
      <w:proofErr w:type="spellEnd"/>
      <w:r w:rsidR="00082C85" w:rsidRPr="00DA13F2">
        <w:rPr>
          <w:rFonts w:ascii="Book Antiqua" w:eastAsia="Book Antiqua" w:hAnsi="Book Antiqua" w:cs="Book Antiqua"/>
          <w:color w:val="000000"/>
        </w:rPr>
        <w:t xml:space="preserve"> PK </w:t>
      </w:r>
      <w:r w:rsidR="00827828" w:rsidRPr="00D7497C">
        <w:rPr>
          <w:rFonts w:ascii="Book Antiqua" w:hAnsi="Book Antiqua" w:cs="Arial"/>
        </w:rPr>
        <w:t>w</w:t>
      </w:r>
      <w:r w:rsidR="00827828">
        <w:rPr>
          <w:rFonts w:ascii="Book Antiqua" w:hAnsi="Book Antiqua" w:cs="Arial"/>
        </w:rPr>
        <w:t>as</w:t>
      </w:r>
      <w:r w:rsidR="00827828" w:rsidRPr="00D7497C">
        <w:rPr>
          <w:rFonts w:ascii="Book Antiqua" w:hAnsi="Book Antiqua" w:cs="Arial"/>
        </w:rPr>
        <w:t xml:space="preserve"> responsible for</w:t>
      </w:r>
      <w:r w:rsidR="00082C85" w:rsidRPr="00DA13F2">
        <w:rPr>
          <w:rFonts w:ascii="Book Antiqua" w:eastAsia="Book Antiqua" w:hAnsi="Book Antiqua" w:cs="Book Antiqua"/>
          <w:color w:val="000000"/>
        </w:rPr>
        <w:t xml:space="preserve"> the s</w:t>
      </w:r>
      <w:r w:rsidRPr="00DA13F2">
        <w:rPr>
          <w:rFonts w:ascii="Book Antiqua" w:eastAsia="Book Antiqua" w:hAnsi="Book Antiqua" w:cs="Book Antiqua"/>
          <w:color w:val="000000"/>
        </w:rPr>
        <w:t>election of studies</w:t>
      </w:r>
      <w:bookmarkEnd w:id="9"/>
      <w:bookmarkEnd w:id="10"/>
      <w:r w:rsidRPr="00DA13F2">
        <w:rPr>
          <w:rFonts w:ascii="Book Antiqua" w:eastAsia="Book Antiqua" w:hAnsi="Book Antiqua" w:cs="Book Antiqua"/>
          <w:color w:val="000000"/>
        </w:rPr>
        <w:t>, statistical analysis and interpretation of data</w:t>
      </w:r>
      <w:r w:rsidR="00235037" w:rsidRPr="00DA13F2">
        <w:rPr>
          <w:rFonts w:ascii="Book Antiqua" w:eastAsia="Book Antiqua" w:hAnsi="Book Antiqua" w:cs="Book Antiqua"/>
          <w:color w:val="000000"/>
        </w:rPr>
        <w:t xml:space="preserve">; </w:t>
      </w:r>
      <w:r w:rsidR="00082C85" w:rsidRPr="00DA13F2">
        <w:rPr>
          <w:rFonts w:ascii="Book Antiqua" w:eastAsia="Book Antiqua" w:hAnsi="Book Antiqua" w:cs="Book Antiqua"/>
          <w:color w:val="000000"/>
        </w:rPr>
        <w:t>Barreto SG</w:t>
      </w:r>
      <w:r w:rsidR="00235037" w:rsidRPr="00DA13F2">
        <w:rPr>
          <w:rFonts w:ascii="Book Antiqua" w:eastAsia="Book Antiqua" w:hAnsi="Book Antiqua" w:cs="Book Antiqua"/>
          <w:color w:val="000000"/>
        </w:rPr>
        <w:t xml:space="preserve"> made the</w:t>
      </w:r>
      <w:r w:rsidRPr="00DA13F2">
        <w:rPr>
          <w:rFonts w:ascii="Book Antiqua" w:eastAsia="Book Antiqua" w:hAnsi="Book Antiqua" w:cs="Book Antiqua"/>
          <w:color w:val="000000"/>
        </w:rPr>
        <w:t xml:space="preserve"> </w:t>
      </w:r>
      <w:r w:rsidR="00235037" w:rsidRPr="00DA13F2">
        <w:rPr>
          <w:rFonts w:ascii="Book Antiqua" w:eastAsia="Book Antiqua" w:hAnsi="Book Antiqua" w:cs="Book Antiqua"/>
          <w:color w:val="000000"/>
        </w:rPr>
        <w:t>co</w:t>
      </w:r>
      <w:r w:rsidRPr="00DA13F2">
        <w:rPr>
          <w:rFonts w:ascii="Book Antiqua" w:eastAsia="Book Antiqua" w:hAnsi="Book Antiqua" w:cs="Book Antiqua"/>
          <w:color w:val="000000"/>
        </w:rPr>
        <w:t>nceptualization of the study, interpretation of data and critical review of the manuscript and final approval.</w:t>
      </w:r>
    </w:p>
    <w:bookmarkEnd w:id="7"/>
    <w:bookmarkEnd w:id="8"/>
    <w:p w14:paraId="6157B9F6" w14:textId="77777777" w:rsidR="00A77B3E" w:rsidRPr="00DA13F2" w:rsidRDefault="00A77B3E" w:rsidP="00DA13F2">
      <w:pPr>
        <w:adjustRightInd w:val="0"/>
        <w:snapToGrid w:val="0"/>
        <w:spacing w:line="360" w:lineRule="auto"/>
        <w:jc w:val="both"/>
        <w:rPr>
          <w:rFonts w:ascii="Book Antiqua" w:hAnsi="Book Antiqua"/>
        </w:rPr>
      </w:pPr>
    </w:p>
    <w:p w14:paraId="7D860D19" w14:textId="6E18A31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Corresponding author: Savio George Barreto, MBBS, MD, PhD, Doctor, Senior Lecturer, </w:t>
      </w:r>
      <w:r w:rsidRPr="00DA13F2">
        <w:rPr>
          <w:rFonts w:ascii="Book Antiqua" w:eastAsia="Book Antiqua" w:hAnsi="Book Antiqua" w:cs="Book Antiqua"/>
          <w:color w:val="000000"/>
        </w:rPr>
        <w:t>Division of Surgery and Perioperative Medicine, Flinders Medical Center,</w:t>
      </w:r>
      <w:r w:rsidR="00235037"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Daw</w:t>
      </w:r>
      <w:proofErr w:type="spellEnd"/>
      <w:r w:rsidRPr="00DA13F2">
        <w:rPr>
          <w:rFonts w:ascii="Book Antiqua" w:eastAsia="Book Antiqua" w:hAnsi="Book Antiqua" w:cs="Book Antiqua"/>
          <w:color w:val="000000"/>
        </w:rPr>
        <w:t xml:space="preserve"> Park 5041, South Australia, Australia. georgebarreto@yahoo.com</w:t>
      </w:r>
    </w:p>
    <w:p w14:paraId="1AB16628" w14:textId="77777777" w:rsidR="00A77B3E" w:rsidRPr="00DA13F2" w:rsidRDefault="00A77B3E" w:rsidP="00DA13F2">
      <w:pPr>
        <w:adjustRightInd w:val="0"/>
        <w:snapToGrid w:val="0"/>
        <w:spacing w:line="360" w:lineRule="auto"/>
        <w:jc w:val="both"/>
        <w:rPr>
          <w:rFonts w:ascii="Book Antiqua" w:hAnsi="Book Antiqua"/>
        </w:rPr>
      </w:pPr>
    </w:p>
    <w:p w14:paraId="22A8B99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Received: </w:t>
      </w:r>
      <w:r w:rsidRPr="00DA13F2">
        <w:rPr>
          <w:rFonts w:ascii="Book Antiqua" w:eastAsia="Book Antiqua" w:hAnsi="Book Antiqua" w:cs="Book Antiqua"/>
          <w:color w:val="000000"/>
        </w:rPr>
        <w:t>December 7, 2020</w:t>
      </w:r>
    </w:p>
    <w:p w14:paraId="3DE3A98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Revised: </w:t>
      </w:r>
      <w:r w:rsidRPr="00DA13F2">
        <w:rPr>
          <w:rFonts w:ascii="Book Antiqua" w:eastAsia="Book Antiqua" w:hAnsi="Book Antiqua" w:cs="Book Antiqua"/>
          <w:color w:val="000000"/>
        </w:rPr>
        <w:t>January 6, 2021</w:t>
      </w:r>
    </w:p>
    <w:p w14:paraId="61EB35D8" w14:textId="3BDB006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Accepted: </w:t>
      </w:r>
      <w:r w:rsidR="00964393" w:rsidRPr="00964393">
        <w:rPr>
          <w:rFonts w:ascii="Book Antiqua" w:eastAsia="Book Antiqua" w:hAnsi="Book Antiqua" w:cs="Book Antiqua"/>
          <w:color w:val="000000"/>
        </w:rPr>
        <w:t>March 12, 2021</w:t>
      </w:r>
    </w:p>
    <w:p w14:paraId="177D9A34" w14:textId="77777777" w:rsidR="00A77B3E" w:rsidRPr="00964393" w:rsidRDefault="004D62F0" w:rsidP="00DA13F2">
      <w:pPr>
        <w:adjustRightInd w:val="0"/>
        <w:snapToGrid w:val="0"/>
        <w:spacing w:line="360" w:lineRule="auto"/>
        <w:jc w:val="both"/>
        <w:rPr>
          <w:rFonts w:ascii="Book Antiqua" w:hAnsi="Book Antiqua"/>
          <w:lang w:val="pt-BR"/>
        </w:rPr>
      </w:pPr>
      <w:r w:rsidRPr="00DA13F2">
        <w:rPr>
          <w:rFonts w:ascii="Book Antiqua" w:eastAsia="Book Antiqua" w:hAnsi="Book Antiqua" w:cs="Book Antiqua"/>
          <w:b/>
          <w:bCs/>
          <w:color w:val="000000"/>
        </w:rPr>
        <w:t xml:space="preserve">Published online: </w:t>
      </w:r>
    </w:p>
    <w:p w14:paraId="48918499" w14:textId="77777777" w:rsidR="00A77B3E" w:rsidRPr="00DA13F2" w:rsidRDefault="00A77B3E" w:rsidP="00DA13F2">
      <w:pPr>
        <w:adjustRightInd w:val="0"/>
        <w:snapToGrid w:val="0"/>
        <w:spacing w:line="360" w:lineRule="auto"/>
        <w:jc w:val="both"/>
        <w:rPr>
          <w:rFonts w:ascii="Book Antiqua" w:hAnsi="Book Antiqua"/>
        </w:rPr>
        <w:sectPr w:rsidR="00A77B3E" w:rsidRPr="00DA13F2" w:rsidSect="00410FFE">
          <w:footerReference w:type="default" r:id="rId6"/>
          <w:type w:val="continuous"/>
          <w:pgSz w:w="12240" w:h="15840"/>
          <w:pgMar w:top="1440" w:right="1800" w:bottom="1440" w:left="1800" w:header="720" w:footer="720" w:gutter="0"/>
          <w:cols w:space="720"/>
          <w:docGrid w:linePitch="360"/>
        </w:sectPr>
      </w:pPr>
    </w:p>
    <w:p w14:paraId="1198B4E8" w14:textId="6FB3D3B5" w:rsidR="00A77B3E" w:rsidRPr="00DA13F2" w:rsidRDefault="00410FFE"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br w:type="page"/>
      </w:r>
      <w:r w:rsidR="004D62F0" w:rsidRPr="00DA13F2">
        <w:rPr>
          <w:rFonts w:ascii="Book Antiqua" w:eastAsia="Book Antiqua" w:hAnsi="Book Antiqua" w:cs="Book Antiqua"/>
          <w:b/>
          <w:color w:val="000000"/>
        </w:rPr>
        <w:lastRenderedPageBreak/>
        <w:t>Abstract</w:t>
      </w:r>
    </w:p>
    <w:p w14:paraId="2A60DB2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BACKGROUND</w:t>
      </w:r>
    </w:p>
    <w:p w14:paraId="60C4742E" w14:textId="5FC5304B" w:rsidR="00A77B3E" w:rsidRPr="00DA13F2" w:rsidRDefault="004D62F0" w:rsidP="00DA13F2">
      <w:pPr>
        <w:adjustRightInd w:val="0"/>
        <w:snapToGrid w:val="0"/>
        <w:spacing w:line="360" w:lineRule="auto"/>
        <w:jc w:val="both"/>
        <w:rPr>
          <w:rFonts w:ascii="Book Antiqua" w:hAnsi="Book Antiqua"/>
        </w:rPr>
      </w:pPr>
      <w:bookmarkStart w:id="11" w:name="OLE_LINK20"/>
      <w:bookmarkStart w:id="12" w:name="OLE_LINK21"/>
      <w:r w:rsidRPr="00DA13F2">
        <w:rPr>
          <w:rFonts w:ascii="Book Antiqua" w:eastAsia="Book Antiqua" w:hAnsi="Book Antiqua" w:cs="Book Antiqua"/>
          <w:color w:val="000000"/>
          <w:shd w:val="clear" w:color="auto" w:fill="FFFFFF"/>
        </w:rPr>
        <w:t>Enhanced recovery after surgery</w:t>
      </w:r>
      <w:r w:rsidR="00235037"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is steadily gaining importance in patients undergoing pancreatic surgery, including pancreatoduodenectomy (PD). While clinical pathways targeting enhanced-recovery can achieve their intended outcome in reducing length of stay, compliance to these pathways, and their relevance is poorly understood. </w:t>
      </w:r>
      <w:r w:rsidRPr="00DA13F2">
        <w:rPr>
          <w:rFonts w:ascii="Book Antiqua" w:eastAsia="Book Antiqua" w:hAnsi="Book Antiqua" w:cs="Book Antiqua"/>
          <w:color w:val="000000"/>
        </w:rPr>
        <w:t>The aim of this systematic review was to assess the impact of deviations from/non-compliance to a clinical pathway on post-PD outcomes.</w:t>
      </w:r>
    </w:p>
    <w:bookmarkEnd w:id="11"/>
    <w:bookmarkEnd w:id="12"/>
    <w:p w14:paraId="6BAA0311" w14:textId="77777777" w:rsidR="00A77B3E" w:rsidRPr="00DA13F2" w:rsidRDefault="00A77B3E" w:rsidP="00DA13F2">
      <w:pPr>
        <w:adjustRightInd w:val="0"/>
        <w:snapToGrid w:val="0"/>
        <w:spacing w:line="360" w:lineRule="auto"/>
        <w:jc w:val="both"/>
        <w:rPr>
          <w:rFonts w:ascii="Book Antiqua" w:hAnsi="Book Antiqua"/>
        </w:rPr>
      </w:pPr>
    </w:p>
    <w:p w14:paraId="744494C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AIM</w:t>
      </w:r>
    </w:p>
    <w:p w14:paraId="060C0B22" w14:textId="206E1B4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To assess the impact of deviations from/non-compliance to a clinical pathway on post-PD outcomes.</w:t>
      </w:r>
    </w:p>
    <w:p w14:paraId="1713C86F" w14:textId="77777777" w:rsidR="00A77B3E" w:rsidRPr="00DA13F2" w:rsidRDefault="00A77B3E" w:rsidP="00DA13F2">
      <w:pPr>
        <w:adjustRightInd w:val="0"/>
        <w:snapToGrid w:val="0"/>
        <w:spacing w:line="360" w:lineRule="auto"/>
        <w:jc w:val="both"/>
        <w:rPr>
          <w:rFonts w:ascii="Book Antiqua" w:hAnsi="Book Antiqua"/>
        </w:rPr>
      </w:pPr>
    </w:p>
    <w:p w14:paraId="6CFCFCD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METHODS</w:t>
      </w:r>
    </w:p>
    <w:p w14:paraId="407C14D3" w14:textId="571BC29F"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A systematic review of major reference databases was undertaken, according to </w:t>
      </w:r>
      <w:r w:rsidR="000019A1" w:rsidRPr="00DA13F2">
        <w:rPr>
          <w:rFonts w:ascii="Book Antiqua" w:eastAsia="Book Antiqua" w:hAnsi="Book Antiqua" w:cs="Book Antiqua"/>
          <w:color w:val="000000"/>
        </w:rPr>
        <w:t>preferred reporting items for systematic reviews and meta-analysis</w:t>
      </w:r>
      <w:r w:rsidRPr="00DA13F2">
        <w:rPr>
          <w:rFonts w:ascii="Book Antiqua" w:eastAsia="Book Antiqua" w:hAnsi="Book Antiqua" w:cs="Book Antiqua"/>
          <w:color w:val="000000"/>
        </w:rPr>
        <w:t xml:space="preserve"> guidelines, between January 2000 and November 2020 relating to compliance with clinical pathways and its impact on outcomes in patients undergoing PD. A meta-analysis was performed using fixed-effects or random-effects models.</w:t>
      </w:r>
    </w:p>
    <w:p w14:paraId="7337CB53" w14:textId="77777777" w:rsidR="00A77B3E" w:rsidRPr="00DA13F2" w:rsidRDefault="00A77B3E" w:rsidP="00DA13F2">
      <w:pPr>
        <w:adjustRightInd w:val="0"/>
        <w:snapToGrid w:val="0"/>
        <w:spacing w:line="360" w:lineRule="auto"/>
        <w:jc w:val="both"/>
        <w:rPr>
          <w:rFonts w:ascii="Book Antiqua" w:hAnsi="Book Antiqua"/>
        </w:rPr>
      </w:pPr>
    </w:p>
    <w:p w14:paraId="3E8025D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RESULTS</w:t>
      </w:r>
    </w:p>
    <w:p w14:paraId="72666235" w14:textId="055F16DC" w:rsidR="00A77B3E" w:rsidRPr="00DA13F2" w:rsidRDefault="004D62F0" w:rsidP="00D80E85">
      <w:pPr>
        <w:adjustRightInd w:val="0"/>
        <w:snapToGrid w:val="0"/>
        <w:spacing w:line="360" w:lineRule="auto"/>
        <w:jc w:val="both"/>
        <w:rPr>
          <w:rFonts w:ascii="Book Antiqua" w:hAnsi="Book Antiqua"/>
        </w:rPr>
      </w:pPr>
      <w:bookmarkStart w:id="13" w:name="OLE_LINK22"/>
      <w:bookmarkStart w:id="14" w:name="OLE_LINK23"/>
      <w:r w:rsidRPr="00DA13F2">
        <w:rPr>
          <w:rFonts w:ascii="Book Antiqua" w:eastAsia="Book Antiqua" w:hAnsi="Book Antiqua" w:cs="Book Antiqua"/>
          <w:color w:val="000000"/>
        </w:rPr>
        <w:t xml:space="preserve">Eleven studies including 1852 patients were identified. Median overall compliance to all components of the clinical pathway was 65.7% </w:t>
      </w:r>
      <w:r w:rsidR="00D80E85">
        <w:rPr>
          <w:rFonts w:ascii="Book Antiqua" w:eastAsia="Book Antiqua" w:hAnsi="Book Antiqua" w:cs="Book Antiqua"/>
          <w:color w:val="000000"/>
        </w:rPr>
        <w:t>[</w:t>
      </w:r>
      <w:r w:rsidR="00D80E85" w:rsidRPr="00D80E85">
        <w:rPr>
          <w:rFonts w:ascii="Book Antiqua" w:eastAsia="Book Antiqua" w:hAnsi="Book Antiqua" w:cs="Book Antiqua"/>
          <w:color w:val="000000"/>
        </w:rPr>
        <w:t>interquartile range</w:t>
      </w:r>
      <w:r w:rsidR="00D80E85">
        <w:rPr>
          <w:rFonts w:ascii="Book Antiqua" w:eastAsia="Book Antiqua" w:hAnsi="Book Antiqua" w:cs="Book Antiqua"/>
          <w:color w:val="000000"/>
        </w:rPr>
        <w:t xml:space="preserve"> (</w:t>
      </w:r>
      <w:r w:rsidRPr="00DA13F2">
        <w:rPr>
          <w:rFonts w:ascii="Book Antiqua" w:eastAsia="Book Antiqua" w:hAnsi="Book Antiqua" w:cs="Book Antiqua"/>
          <w:color w:val="000000"/>
        </w:rPr>
        <w:t>IQR</w:t>
      </w:r>
      <w:r w:rsidR="00D80E85">
        <w:rPr>
          <w:rFonts w:ascii="Book Antiqua" w:eastAsia="Book Antiqua" w:hAnsi="Book Antiqua" w:cs="Book Antiqua"/>
          <w:color w:val="000000"/>
        </w:rPr>
        <w:t>)</w:t>
      </w:r>
      <w:r w:rsidRPr="00DA13F2">
        <w:rPr>
          <w:rFonts w:ascii="Book Antiqua" w:eastAsia="Book Antiqua" w:hAnsi="Book Antiqua" w:cs="Book Antiqua"/>
          <w:color w:val="000000"/>
        </w:rPr>
        <w:t>: 62.7</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-72.3%</w:t>
      </w:r>
      <w:r w:rsidR="00D80E85">
        <w:rPr>
          <w:rFonts w:ascii="Book Antiqua" w:eastAsia="Book Antiqua" w:hAnsi="Book Antiqua" w:cs="Book Antiqua"/>
          <w:color w:val="000000"/>
        </w:rPr>
        <w:t>]</w:t>
      </w:r>
      <w:r w:rsidRPr="00DA13F2">
        <w:rPr>
          <w:rFonts w:ascii="Book Antiqua" w:eastAsia="Book Antiqua" w:hAnsi="Book Antiqua" w:cs="Book Antiqua"/>
          <w:color w:val="000000"/>
        </w:rPr>
        <w:t xml:space="preserve"> with median compliance to post-operative parameters of the clinical pathway being 44% (IQR: 34.5</w:t>
      </w:r>
      <w:r w:rsidR="006A7F9B"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-52.25%). Meta-analysis using a fixed-effects model showed that ≥ 50% compliance to a clinical pathway predicted significantly fewer post-operative complications </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pooled </w:t>
      </w:r>
      <w:r w:rsidR="00903104" w:rsidRPr="00DA13F2">
        <w:rPr>
          <w:rFonts w:ascii="Book Antiqua" w:eastAsia="Book Antiqua" w:hAnsi="Book Antiqua" w:cs="Book Antiqua"/>
          <w:color w:val="000000"/>
          <w:shd w:val="clear" w:color="auto" w:fill="FFFFFF"/>
        </w:rPr>
        <w:t>o</w:t>
      </w:r>
      <w:r w:rsidR="00235037" w:rsidRPr="00DA13F2">
        <w:rPr>
          <w:rFonts w:ascii="Book Antiqua" w:eastAsia="Book Antiqua" w:hAnsi="Book Antiqua" w:cs="Book Antiqua"/>
          <w:color w:val="000000"/>
          <w:shd w:val="clear" w:color="auto" w:fill="FFFFFF"/>
        </w:rPr>
        <w:t>dds ratio (OR)</w:t>
      </w:r>
      <w:r w:rsidR="00410FFE" w:rsidRPr="00DA13F2">
        <w:rPr>
          <w:rFonts w:ascii="Book Antiqua" w:hAnsi="Book Antiqua" w:cs="Book Antiqua"/>
          <w:color w:val="000000"/>
          <w:shd w:val="clear" w:color="auto" w:fill="FFFFFF"/>
          <w:lang w:eastAsia="zh-CN"/>
        </w:rPr>
        <w:t>:</w:t>
      </w:r>
      <w:r w:rsidRPr="00DA13F2">
        <w:rPr>
          <w:rFonts w:ascii="Book Antiqua" w:eastAsia="Book Antiqua" w:hAnsi="Book Antiqua" w:cs="Book Antiqua"/>
          <w:color w:val="000000"/>
        </w:rPr>
        <w:t xml:space="preserve"> 9.46, 95%</w:t>
      </w:r>
      <w:r w:rsidR="00235037" w:rsidRPr="00DA13F2">
        <w:rPr>
          <w:rFonts w:ascii="Book Antiqua" w:eastAsia="Book Antiqua" w:hAnsi="Book Antiqua" w:cs="Book Antiqua"/>
          <w:color w:val="000000"/>
        </w:rPr>
        <w:t xml:space="preserve"> confidence interval (</w:t>
      </w:r>
      <w:r w:rsidRPr="00DA13F2">
        <w:rPr>
          <w:rFonts w:ascii="Book Antiqua" w:eastAsia="Book Antiqua" w:hAnsi="Book Antiqua" w:cs="Book Antiqua"/>
          <w:color w:val="000000"/>
        </w:rPr>
        <w:t>CI</w:t>
      </w:r>
      <w:r w:rsidR="00235037" w:rsidRPr="00DA13F2">
        <w:rPr>
          <w:rFonts w:ascii="Book Antiqua" w:eastAsia="Book Antiqua" w:hAnsi="Book Antiqua" w:cs="Book Antiqua"/>
          <w:color w:val="000000"/>
        </w:rPr>
        <w:t>)</w:t>
      </w:r>
      <w:r w:rsidR="00410FFE" w:rsidRPr="00DA13F2">
        <w:rPr>
          <w:rFonts w:ascii="Book Antiqua" w:hAnsi="Book Antiqua" w:cs="Book Antiqua"/>
          <w:color w:val="000000"/>
          <w:lang w:eastAsia="zh-CN"/>
        </w:rPr>
        <w:t>:</w:t>
      </w:r>
      <w:r w:rsidRPr="00DA13F2">
        <w:rPr>
          <w:rFonts w:ascii="Book Antiqua" w:eastAsia="Book Antiqua" w:hAnsi="Book Antiqua" w:cs="Book Antiqua"/>
          <w:color w:val="000000"/>
        </w:rPr>
        <w:t xml:space="preserve"> 5.00-17.90; </w:t>
      </w:r>
      <w:r w:rsidR="00235037"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235037"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and a </w:t>
      </w:r>
      <w:r w:rsidRPr="00DA13F2">
        <w:rPr>
          <w:rFonts w:ascii="Book Antiqua" w:eastAsia="Book Antiqua" w:hAnsi="Book Antiqua" w:cs="Book Antiqua"/>
          <w:color w:val="000000"/>
        </w:rPr>
        <w:lastRenderedPageBreak/>
        <w:t xml:space="preserve">significantly shorter length of hospital stay </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pooled </w:t>
      </w:r>
      <w:r w:rsidR="00235037" w:rsidRPr="00DA13F2">
        <w:rPr>
          <w:rFonts w:ascii="Book Antiqua" w:eastAsia="Book Antiqua" w:hAnsi="Book Antiqua" w:cs="Book Antiqua"/>
          <w:color w:val="000000"/>
          <w:shd w:val="clear" w:color="auto" w:fill="FFFFFF"/>
        </w:rPr>
        <w:t>mean difference (MD)</w:t>
      </w:r>
      <w:r w:rsidR="00410FFE"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rPr>
        <w:t xml:space="preserve"> 4.32,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-3.88 to -4.75; </w:t>
      </w:r>
      <w:r w:rsidR="00235037" w:rsidRPr="00DA13F2">
        <w:rPr>
          <w:rFonts w:ascii="Book Antiqua" w:eastAsia="Book Antiqua" w:hAnsi="Book Antiqua" w:cs="Book Antiqua"/>
          <w:i/>
          <w:iCs/>
          <w:color w:val="000000"/>
        </w:rPr>
        <w:t>P</w:t>
      </w:r>
      <w:r w:rsidR="00235037"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235037"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w:t>
      </w:r>
      <w:r w:rsidR="00235037" w:rsidRPr="00DA13F2">
        <w:rPr>
          <w:rFonts w:ascii="Book Antiqua" w:eastAsia="Book Antiqua" w:hAnsi="Book Antiqua" w:cs="Book Antiqua"/>
          <w:color w:val="000000"/>
        </w:rPr>
        <w:t>]</w:t>
      </w:r>
      <w:r w:rsidRPr="00DA13F2">
        <w:rPr>
          <w:rFonts w:ascii="Book Antiqua" w:eastAsia="Book Antiqua" w:hAnsi="Book Antiqua" w:cs="Book Antiqua"/>
          <w:color w:val="000000"/>
        </w:rPr>
        <w:t>. At 100% compliance which was associated with significantly fewer post-operative complications (pooled OR</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11.25,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4.71-26.84; </w:t>
      </w:r>
      <w:r w:rsidR="009417E0" w:rsidRPr="00DA13F2">
        <w:rPr>
          <w:rFonts w:ascii="Book Antiqua" w:eastAsia="Book Antiqua" w:hAnsi="Book Antiqua" w:cs="Book Antiqua"/>
          <w:i/>
          <w:iCs/>
          <w:color w:val="000000"/>
        </w:rPr>
        <w:t>P</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and shorter hospital stay (pooled MD of 4.66,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2.81-6.51; </w:t>
      </w:r>
      <w:r w:rsidR="009417E0" w:rsidRPr="00DA13F2">
        <w:rPr>
          <w:rFonts w:ascii="Book Antiqua" w:eastAsia="Book Antiqua" w:hAnsi="Book Antiqua" w:cs="Book Antiqua"/>
          <w:i/>
          <w:iCs/>
          <w:color w:val="000000"/>
        </w:rPr>
        <w:t>P</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r w:rsidR="00D80E85">
        <w:rPr>
          <w:rFonts w:ascii="Book Antiqua" w:hAnsi="Book Antiqua" w:hint="eastAsia"/>
          <w:lang w:eastAsia="zh-CN"/>
        </w:rPr>
        <w:t xml:space="preserve"> </w:t>
      </w:r>
      <w:r w:rsidRPr="00DA13F2">
        <w:rPr>
          <w:rFonts w:ascii="Book Antiqua" w:eastAsia="Book Antiqua" w:hAnsi="Book Antiqua" w:cs="Book Antiqua"/>
          <w:color w:val="000000"/>
        </w:rPr>
        <w:t>Eleven studies including 1852 patients were identified. Median overall compliance to all components of the clinical pathway was 65.7% (IQR: 62.7</w:t>
      </w:r>
      <w:r w:rsidR="006A7F9B" w:rsidRPr="00DA13F2">
        <w:rPr>
          <w:rFonts w:ascii="Book Antiqua" w:eastAsia="Book Antiqua" w:hAnsi="Book Antiqua" w:cs="Book Antiqua"/>
          <w:color w:val="000000"/>
        </w:rPr>
        <w:t>%</w:t>
      </w:r>
      <w:r w:rsidRPr="00DA13F2">
        <w:rPr>
          <w:rFonts w:ascii="Book Antiqua" w:eastAsia="Book Antiqua" w:hAnsi="Book Antiqua" w:cs="Book Antiqua"/>
          <w:color w:val="000000"/>
        </w:rPr>
        <w:t>-72.3%) with median compliance to post-operative parameters of the clinical pathway being 44% (IQR: 34.5</w:t>
      </w:r>
      <w:r w:rsidR="009417E0" w:rsidRPr="00DA13F2">
        <w:rPr>
          <w:rFonts w:ascii="Book Antiqua" w:eastAsia="Book Antiqua" w:hAnsi="Book Antiqua" w:cs="Book Antiqua"/>
          <w:color w:val="000000"/>
        </w:rPr>
        <w:t>%</w:t>
      </w:r>
      <w:r w:rsidRPr="00DA13F2">
        <w:rPr>
          <w:rFonts w:ascii="Book Antiqua" w:eastAsia="Book Antiqua" w:hAnsi="Book Antiqua" w:cs="Book Antiqua"/>
          <w:color w:val="000000"/>
        </w:rPr>
        <w:t>-52.25%). Meta-analysis using a fixed-effects model showed that ≥ 50% compliance to a clinical pathway predicted significantly fewer post-operative complications (pooled OR</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9.46,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5.00-17.90; </w:t>
      </w:r>
      <w:r w:rsidR="009417E0" w:rsidRPr="00DA13F2">
        <w:rPr>
          <w:rFonts w:ascii="Book Antiqua" w:eastAsia="Book Antiqua" w:hAnsi="Book Antiqua" w:cs="Book Antiqua"/>
          <w:i/>
          <w:iCs/>
          <w:color w:val="000000"/>
        </w:rPr>
        <w:t>P</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and a significantly shorter length of hospital stay (pooled MD 4.32,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-3.88 to -4.75; </w:t>
      </w:r>
      <w:r w:rsidR="009417E0"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 At 100% compliance which was associated with significantly fewer post-operative complications (pooled OR</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11.25,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4.71-26.84; </w:t>
      </w:r>
      <w:r w:rsidR="009417E0"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and shorter hospital stay (pooled MD of 4.66, 95%CI</w:t>
      </w:r>
      <w:r w:rsidR="00410FFE"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2.81-6.51; </w:t>
      </w:r>
      <w:r w:rsidR="009417E0" w:rsidRPr="00DA13F2">
        <w:rPr>
          <w:rFonts w:ascii="Book Antiqua" w:eastAsia="Book Antiqua" w:hAnsi="Book Antiqua" w:cs="Book Antiqua"/>
          <w:i/>
          <w:iCs/>
          <w:color w:val="000000"/>
        </w:rPr>
        <w:t>P</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417E0"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p>
    <w:bookmarkEnd w:id="13"/>
    <w:bookmarkEnd w:id="14"/>
    <w:p w14:paraId="5CD276A0" w14:textId="77777777" w:rsidR="00A77B3E" w:rsidRPr="00DA13F2" w:rsidRDefault="00A77B3E" w:rsidP="00DA13F2">
      <w:pPr>
        <w:adjustRightInd w:val="0"/>
        <w:snapToGrid w:val="0"/>
        <w:spacing w:line="360" w:lineRule="auto"/>
        <w:jc w:val="both"/>
        <w:rPr>
          <w:rFonts w:ascii="Book Antiqua" w:hAnsi="Book Antiqua"/>
        </w:rPr>
      </w:pPr>
    </w:p>
    <w:p w14:paraId="111DBD3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CONCLUSION</w:t>
      </w:r>
    </w:p>
    <w:p w14:paraId="3CF04F0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 xml:space="preserve">Compliance to post-PD clinical pathways remains low. Deviations are associated with an increased risk of complications and length of hospital stay. </w:t>
      </w:r>
      <w:r w:rsidRPr="00DA13F2">
        <w:rPr>
          <w:rFonts w:ascii="Book Antiqua" w:eastAsia="Book Antiqua" w:hAnsi="Book Antiqua" w:cs="Book Antiqua"/>
          <w:color w:val="000000"/>
        </w:rPr>
        <w:t>Understanding the relevance of deviations to clinical pathways post-PD presents pancreatic surgeons with opportunities to actively pursue an enhanced-recovery of their patients.</w:t>
      </w:r>
    </w:p>
    <w:p w14:paraId="6A13AE68" w14:textId="77777777" w:rsidR="00A77B3E" w:rsidRPr="00DA13F2" w:rsidRDefault="00A77B3E" w:rsidP="00DA13F2">
      <w:pPr>
        <w:adjustRightInd w:val="0"/>
        <w:snapToGrid w:val="0"/>
        <w:spacing w:line="360" w:lineRule="auto"/>
        <w:jc w:val="both"/>
        <w:rPr>
          <w:rFonts w:ascii="Book Antiqua" w:hAnsi="Book Antiqua"/>
        </w:rPr>
      </w:pPr>
    </w:p>
    <w:p w14:paraId="1016ABD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Key Words: </w:t>
      </w:r>
      <w:r w:rsidRPr="00DA13F2">
        <w:rPr>
          <w:rFonts w:ascii="Book Antiqua" w:eastAsia="Book Antiqua" w:hAnsi="Book Antiqua" w:cs="Book Antiqua"/>
          <w:color w:val="000000"/>
        </w:rPr>
        <w:t>Outcomes; Morbidity; Mortality; Quality; Surgery; Recovery</w:t>
      </w:r>
    </w:p>
    <w:p w14:paraId="50CB2BB3" w14:textId="77777777" w:rsidR="00A77B3E" w:rsidRPr="00DA13F2" w:rsidRDefault="00A77B3E" w:rsidP="00DA13F2">
      <w:pPr>
        <w:adjustRightInd w:val="0"/>
        <w:snapToGrid w:val="0"/>
        <w:spacing w:line="360" w:lineRule="auto"/>
        <w:jc w:val="both"/>
        <w:rPr>
          <w:rFonts w:ascii="Book Antiqua" w:hAnsi="Book Antiqua"/>
        </w:rPr>
      </w:pPr>
    </w:p>
    <w:p w14:paraId="1D584EA4" w14:textId="4E6D86A9" w:rsidR="00A77B3E" w:rsidRPr="00DA13F2" w:rsidRDefault="004D62F0" w:rsidP="00DA13F2">
      <w:pPr>
        <w:adjustRightInd w:val="0"/>
        <w:snapToGrid w:val="0"/>
        <w:spacing w:line="360" w:lineRule="auto"/>
        <w:jc w:val="both"/>
        <w:rPr>
          <w:rFonts w:ascii="Book Antiqua" w:hAnsi="Book Antiqua"/>
        </w:rPr>
      </w:pPr>
      <w:bookmarkStart w:id="15" w:name="OLE_LINK13"/>
      <w:bookmarkStart w:id="16" w:name="OLE_LINK14"/>
      <w:r w:rsidRPr="00DA13F2">
        <w:rPr>
          <w:rFonts w:ascii="Book Antiqua" w:eastAsia="Book Antiqua" w:hAnsi="Book Antiqua" w:cs="Book Antiqua"/>
          <w:color w:val="000000"/>
        </w:rPr>
        <w:t xml:space="preserve">Karunakaran M, </w:t>
      </w:r>
      <w:proofErr w:type="spellStart"/>
      <w:r w:rsidRPr="00DA13F2">
        <w:rPr>
          <w:rFonts w:ascii="Book Antiqua" w:eastAsia="Book Antiqua" w:hAnsi="Book Antiqua" w:cs="Book Antiqua"/>
          <w:color w:val="000000"/>
        </w:rPr>
        <w:t>Jonnada</w:t>
      </w:r>
      <w:proofErr w:type="spellEnd"/>
      <w:r w:rsidRPr="00DA13F2">
        <w:rPr>
          <w:rFonts w:ascii="Book Antiqua" w:eastAsia="Book Antiqua" w:hAnsi="Book Antiqua" w:cs="Book Antiqua"/>
          <w:color w:val="000000"/>
        </w:rPr>
        <w:t xml:space="preserve"> PK, Barreto SG. Systematic review and</w:t>
      </w:r>
      <w:r w:rsidR="00082C85" w:rsidRPr="00DA13F2">
        <w:rPr>
          <w:rFonts w:ascii="Book Antiqua" w:eastAsia="Book Antiqua" w:hAnsi="Book Antiqua" w:cs="Book Antiqua"/>
          <w:color w:val="000000"/>
        </w:rPr>
        <w:t xml:space="preserve"> meta-analysis of the impact of deviations from a clinical pathway on outcomes following pancreatoduode</w:t>
      </w:r>
      <w:r w:rsidRPr="00DA13F2">
        <w:rPr>
          <w:rFonts w:ascii="Book Antiqua" w:eastAsia="Book Antiqua" w:hAnsi="Book Antiqua" w:cs="Book Antiqua"/>
          <w:color w:val="000000"/>
        </w:rPr>
        <w:t xml:space="preserve">nectomy. </w:t>
      </w:r>
      <w:r w:rsidRPr="00DA13F2">
        <w:rPr>
          <w:rFonts w:ascii="Book Antiqua" w:eastAsia="Book Antiqua" w:hAnsi="Book Antiqua" w:cs="Book Antiqua"/>
          <w:i/>
          <w:iCs/>
          <w:color w:val="000000"/>
        </w:rPr>
        <w:t>World J Clin Cases</w:t>
      </w:r>
      <w:r w:rsidRPr="00DA13F2">
        <w:rPr>
          <w:rFonts w:ascii="Book Antiqua" w:eastAsia="Book Antiqua" w:hAnsi="Book Antiqua" w:cs="Book Antiqua"/>
          <w:color w:val="000000"/>
        </w:rPr>
        <w:t xml:space="preserve"> 2021; In press</w:t>
      </w:r>
    </w:p>
    <w:bookmarkEnd w:id="15"/>
    <w:bookmarkEnd w:id="16"/>
    <w:p w14:paraId="5FCDB089" w14:textId="77777777" w:rsidR="00A77B3E" w:rsidRPr="00DA13F2" w:rsidRDefault="00A77B3E" w:rsidP="00DA13F2">
      <w:pPr>
        <w:adjustRightInd w:val="0"/>
        <w:snapToGrid w:val="0"/>
        <w:spacing w:line="360" w:lineRule="auto"/>
        <w:jc w:val="both"/>
        <w:rPr>
          <w:rFonts w:ascii="Book Antiqua" w:hAnsi="Book Antiqua"/>
        </w:rPr>
      </w:pPr>
    </w:p>
    <w:p w14:paraId="4E2DBE70" w14:textId="156911D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lastRenderedPageBreak/>
        <w:t xml:space="preserve">Core Tip: </w:t>
      </w:r>
      <w:bookmarkStart w:id="17" w:name="OLE_LINK17"/>
      <w:bookmarkStart w:id="18" w:name="OLE_LINK18"/>
      <w:bookmarkStart w:id="19" w:name="OLE_LINK19"/>
      <w:r w:rsidRPr="00DA13F2">
        <w:rPr>
          <w:rFonts w:ascii="Book Antiqua" w:eastAsia="Book Antiqua" w:hAnsi="Book Antiqua" w:cs="Book Antiqua"/>
          <w:color w:val="000000"/>
        </w:rPr>
        <w:t>Compliance to post</w:t>
      </w:r>
      <w:r w:rsidR="00A93367" w:rsidRPr="00DA13F2">
        <w:rPr>
          <w:rFonts w:ascii="Book Antiqua" w:eastAsia="Book Antiqua" w:hAnsi="Book Antiqua" w:cs="Book Antiqua"/>
          <w:color w:val="000000"/>
        </w:rPr>
        <w:t>-</w:t>
      </w:r>
      <w:r w:rsidR="009417E0"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clinical pathways remains low. Deviations are associated with an increased risk of complications and length of hospital stay. Understanding the relevance of deviations to clinical pathways post</w:t>
      </w:r>
      <w:r w:rsidR="00A93367" w:rsidRPr="00DA13F2">
        <w:rPr>
          <w:rFonts w:ascii="Book Antiqua" w:eastAsia="Book Antiqua" w:hAnsi="Book Antiqua" w:cs="Book Antiqua"/>
          <w:color w:val="000000"/>
        </w:rPr>
        <w:t>-</w:t>
      </w:r>
      <w:r w:rsidR="009417E0"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presents us with opportunities to actively pursue an enhanced-recovery of our patients.</w:t>
      </w:r>
    </w:p>
    <w:bookmarkEnd w:id="17"/>
    <w:bookmarkEnd w:id="18"/>
    <w:bookmarkEnd w:id="19"/>
    <w:p w14:paraId="4BEFB1AB" w14:textId="0221AFB5" w:rsidR="00A77B3E" w:rsidRPr="00DA13F2" w:rsidRDefault="009417E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br w:type="page"/>
      </w:r>
      <w:r w:rsidR="004D62F0" w:rsidRPr="00DA13F2">
        <w:rPr>
          <w:rFonts w:ascii="Book Antiqua" w:eastAsia="Book Antiqua" w:hAnsi="Book Antiqua" w:cs="Book Antiqua"/>
          <w:b/>
          <w:caps/>
          <w:color w:val="000000"/>
          <w:u w:val="single"/>
        </w:rPr>
        <w:lastRenderedPageBreak/>
        <w:t>INTRODUCTION</w:t>
      </w:r>
    </w:p>
    <w:p w14:paraId="457FC4F0" w14:textId="328163E9" w:rsidR="00A77B3E" w:rsidRPr="00DA13F2" w:rsidRDefault="004D62F0" w:rsidP="00DA13F2">
      <w:pPr>
        <w:adjustRightInd w:val="0"/>
        <w:snapToGrid w:val="0"/>
        <w:spacing w:line="360" w:lineRule="auto"/>
        <w:jc w:val="both"/>
        <w:rPr>
          <w:rFonts w:ascii="Book Antiqua" w:hAnsi="Book Antiqua"/>
        </w:rPr>
      </w:pPr>
      <w:bookmarkStart w:id="20" w:name="OLE_LINK24"/>
      <w:bookmarkStart w:id="21" w:name="OLE_LINK25"/>
      <w:r w:rsidRPr="00DA13F2">
        <w:rPr>
          <w:rFonts w:ascii="Book Antiqua" w:eastAsia="Book Antiqua" w:hAnsi="Book Antiqua" w:cs="Book Antiqua"/>
          <w:color w:val="000000"/>
        </w:rPr>
        <w:t xml:space="preserve">Pancreatic surgery is technically challenging and complex with a high risk of </w:t>
      </w:r>
      <w:proofErr w:type="gramStart"/>
      <w:r w:rsidRPr="00DA13F2">
        <w:rPr>
          <w:rFonts w:ascii="Book Antiqua" w:eastAsia="Book Antiqua" w:hAnsi="Book Antiqua" w:cs="Book Antiqua"/>
          <w:color w:val="000000"/>
        </w:rPr>
        <w:t>morbidity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w:t>
      </w:r>
      <w:r w:rsidRPr="00DA13F2">
        <w:rPr>
          <w:rFonts w:ascii="Book Antiqua" w:eastAsia="Book Antiqua" w:hAnsi="Book Antiqua" w:cs="Book Antiqua"/>
          <w:color w:val="000000"/>
        </w:rPr>
        <w:t xml:space="preserve">. There exists a wide variability in outcomes of pancreatic surgery even amongst high-volume </w:t>
      </w:r>
      <w:proofErr w:type="gramStart"/>
      <w:r w:rsidRPr="00DA13F2">
        <w:rPr>
          <w:rFonts w:ascii="Book Antiqua" w:eastAsia="Book Antiqua" w:hAnsi="Book Antiqua" w:cs="Book Antiqua"/>
          <w:color w:val="000000"/>
        </w:rPr>
        <w:t>providers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w:t>
      </w:r>
      <w:r w:rsidRPr="00DA13F2">
        <w:rPr>
          <w:rFonts w:ascii="Book Antiqua" w:eastAsia="Book Antiqua" w:hAnsi="Book Antiqua" w:cs="Book Antiqua"/>
          <w:color w:val="000000"/>
        </w:rPr>
        <w:t xml:space="preserve"> which can be traced back to variations in quality and its indicators</w:t>
      </w:r>
      <w:r w:rsidRPr="00DA13F2">
        <w:rPr>
          <w:rFonts w:ascii="Book Antiqua" w:eastAsia="Book Antiqua" w:hAnsi="Book Antiqua" w:cs="Book Antiqua"/>
          <w:color w:val="000000"/>
          <w:vertAlign w:val="superscript"/>
        </w:rPr>
        <w:t>[3]</w:t>
      </w:r>
      <w:r w:rsidRPr="00DA13F2">
        <w:rPr>
          <w:rFonts w:ascii="Book Antiqua" w:eastAsia="Book Antiqua" w:hAnsi="Book Antiqua" w:cs="Book Antiqua"/>
          <w:color w:val="000000"/>
        </w:rPr>
        <w:t xml:space="preserve">. A key strategy proven to improve outcomes following pancreatic surgery, especially pancreatoduodenectomy (PD), has been </w:t>
      </w:r>
      <w:proofErr w:type="spellStart"/>
      <w:r w:rsidRPr="00DA13F2">
        <w:rPr>
          <w:rFonts w:ascii="Book Antiqua" w:eastAsia="Book Antiqua" w:hAnsi="Book Antiqua" w:cs="Book Antiqua"/>
          <w:color w:val="000000"/>
        </w:rPr>
        <w:t>standardisation</w:t>
      </w:r>
      <w:proofErr w:type="spellEnd"/>
      <w:r w:rsidRPr="00DA13F2">
        <w:rPr>
          <w:rFonts w:ascii="Book Antiqua" w:eastAsia="Book Antiqua" w:hAnsi="Book Antiqua" w:cs="Book Antiqua"/>
          <w:color w:val="000000"/>
        </w:rPr>
        <w:t xml:space="preserve"> not only in the technique of </w:t>
      </w:r>
      <w:proofErr w:type="spellStart"/>
      <w:r w:rsidRPr="00DA13F2">
        <w:rPr>
          <w:rFonts w:ascii="Book Antiqua" w:eastAsia="Book Antiqua" w:hAnsi="Book Antiqua" w:cs="Book Antiqua"/>
          <w:color w:val="000000"/>
        </w:rPr>
        <w:t>pancreatico</w:t>
      </w:r>
      <w:proofErr w:type="spellEnd"/>
      <w:r w:rsidRPr="00DA13F2">
        <w:rPr>
          <w:rFonts w:ascii="Book Antiqua" w:eastAsia="Book Antiqua" w:hAnsi="Book Antiqua" w:cs="Book Antiqua"/>
          <w:color w:val="000000"/>
        </w:rPr>
        <w:t>-enteric anastomosis</w:t>
      </w:r>
      <w:r w:rsidRPr="00DA13F2">
        <w:rPr>
          <w:rFonts w:ascii="Book Antiqua" w:eastAsia="Book Antiqua" w:hAnsi="Book Antiqua" w:cs="Book Antiqua"/>
          <w:color w:val="000000"/>
          <w:vertAlign w:val="superscript"/>
        </w:rPr>
        <w:t>[4]</w:t>
      </w:r>
      <w:r w:rsidRPr="00DA13F2">
        <w:rPr>
          <w:rFonts w:ascii="Book Antiqua" w:eastAsia="Book Antiqua" w:hAnsi="Book Antiqua" w:cs="Book Antiqua"/>
          <w:color w:val="000000"/>
        </w:rPr>
        <w:t>, but even peri-operative processes</w:t>
      </w:r>
      <w:r w:rsidRPr="00DA13F2">
        <w:rPr>
          <w:rFonts w:ascii="Book Antiqua" w:eastAsia="Book Antiqua" w:hAnsi="Book Antiqua" w:cs="Book Antiqua"/>
          <w:color w:val="000000"/>
          <w:vertAlign w:val="superscript"/>
        </w:rPr>
        <w:t>[1]</w:t>
      </w:r>
      <w:r w:rsidRPr="00DA13F2">
        <w:rPr>
          <w:rFonts w:ascii="Book Antiqua" w:eastAsia="Book Antiqua" w:hAnsi="Book Antiqua" w:cs="Book Antiqua"/>
          <w:color w:val="000000"/>
        </w:rPr>
        <w:t>, including the development of</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post-operative clinical pathways</w:t>
      </w:r>
      <w:r w:rsidRPr="00DA13F2">
        <w:rPr>
          <w:rFonts w:ascii="Book Antiqua" w:eastAsia="Book Antiqua" w:hAnsi="Book Antiqua" w:cs="Book Antiqua"/>
          <w:color w:val="000000"/>
          <w:vertAlign w:val="superscript"/>
        </w:rPr>
        <w:t>[5]</w:t>
      </w:r>
      <w:r w:rsidRPr="00DA13F2">
        <w:rPr>
          <w:rFonts w:ascii="Book Antiqua" w:eastAsia="Book Antiqua" w:hAnsi="Book Antiqua" w:cs="Book Antiqua"/>
          <w:color w:val="000000"/>
        </w:rPr>
        <w:t>.</w:t>
      </w:r>
    </w:p>
    <w:p w14:paraId="51B30088" w14:textId="7291B65E"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Clinical pathways are standardized care plans for individual clinical problems that detail essential steps in patient care bearing in mind the expected postoperative course with the overall aim of improving </w:t>
      </w:r>
      <w:proofErr w:type="gramStart"/>
      <w:r w:rsidRPr="00DA13F2">
        <w:rPr>
          <w:rFonts w:ascii="Book Antiqua" w:eastAsia="Book Antiqua" w:hAnsi="Book Antiqua" w:cs="Book Antiqua"/>
          <w:color w:val="000000"/>
        </w:rPr>
        <w:t>outcomes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These pathways fall under the broad umbrella of enhanced recovery after surgery (ERAS</w:t>
      </w:r>
      <w:r w:rsidRPr="000B36C7">
        <w:rPr>
          <w:rFonts w:ascii="Book Antiqua" w:eastAsia="Book Antiqua" w:hAnsi="Book Antiqua" w:cs="Book Antiqua"/>
          <w:color w:val="000000"/>
          <w:vertAlign w:val="superscript"/>
        </w:rPr>
        <w:t>®</w:t>
      </w:r>
      <w:r w:rsidRPr="00DA13F2">
        <w:rPr>
          <w:rFonts w:ascii="Book Antiqua" w:eastAsia="Book Antiqua" w:hAnsi="Book Antiqua" w:cs="Book Antiqua"/>
          <w:color w:val="000000"/>
        </w:rPr>
        <w:t xml:space="preserve">) protocols, an evidence-based concept propounded by </w:t>
      </w:r>
      <w:proofErr w:type="spellStart"/>
      <w:r w:rsidR="00410FFE" w:rsidRPr="00DA13F2">
        <w:rPr>
          <w:rFonts w:ascii="Book Antiqua" w:eastAsia="Book Antiqua" w:hAnsi="Book Antiqua" w:cs="Book Antiqua"/>
          <w:color w:val="000000"/>
        </w:rPr>
        <w:t>Bardram</w:t>
      </w:r>
      <w:proofErr w:type="spellEnd"/>
      <w:r w:rsidR="00410FFE"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 xml:space="preserve">et </w:t>
      </w:r>
      <w:proofErr w:type="gramStart"/>
      <w:r w:rsidRPr="00DA13F2">
        <w:rPr>
          <w:rFonts w:ascii="Book Antiqua" w:eastAsia="Book Antiqua" w:hAnsi="Book Antiqua" w:cs="Book Antiqua"/>
          <w:i/>
          <w:iCs/>
          <w:color w:val="000000"/>
        </w:rPr>
        <w:t>al</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7]</w:t>
      </w:r>
      <w:r w:rsidR="009417E0" w:rsidRPr="00DA13F2">
        <w:rPr>
          <w:rFonts w:ascii="Book Antiqua" w:eastAsia="Book Antiqua" w:hAnsi="Book Antiqua" w:cs="Book Antiqua"/>
          <w:color w:val="000000"/>
        </w:rPr>
        <w:t>.</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Pancr</w:t>
      </w:r>
      <w:r w:rsidR="00410FFE" w:rsidRPr="00DA13F2">
        <w:rPr>
          <w:rFonts w:ascii="Book Antiqua" w:eastAsia="Book Antiqua" w:hAnsi="Book Antiqua" w:cs="Book Antiqua"/>
          <w:color w:val="000000"/>
        </w:rPr>
        <w:t xml:space="preserve">eatic surgeons were amongst the </w:t>
      </w:r>
      <w:r w:rsidRPr="00DA13F2">
        <w:rPr>
          <w:rFonts w:ascii="Book Antiqua" w:eastAsia="Book Antiqua" w:hAnsi="Book Antiqua" w:cs="Book Antiqua"/>
          <w:color w:val="000000"/>
        </w:rPr>
        <w:t>last to integrate ERAS</w:t>
      </w:r>
      <w:r w:rsidRPr="000B36C7">
        <w:rPr>
          <w:rFonts w:ascii="Book Antiqua" w:eastAsia="Book Antiqua" w:hAnsi="Book Antiqua" w:cs="Book Antiqua"/>
          <w:color w:val="000000"/>
          <w:vertAlign w:val="superscript"/>
        </w:rPr>
        <w:t>®</w:t>
      </w:r>
      <w:r w:rsidRPr="00DA13F2">
        <w:rPr>
          <w:rFonts w:ascii="Book Antiqua" w:eastAsia="Book Antiqua" w:hAnsi="Book Antiqua" w:cs="Book Antiqua"/>
          <w:color w:val="000000"/>
        </w:rPr>
        <w:t xml:space="preserve"> pathways into perioperative patient </w:t>
      </w:r>
      <w:proofErr w:type="gramStart"/>
      <w:r w:rsidRPr="00DA13F2">
        <w:rPr>
          <w:rFonts w:ascii="Book Antiqua" w:eastAsia="Book Antiqua" w:hAnsi="Book Antiqua" w:cs="Book Antiqua"/>
          <w:color w:val="000000"/>
        </w:rPr>
        <w:t>care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8]</w:t>
      </w:r>
      <w:r w:rsidRPr="00DA13F2">
        <w:rPr>
          <w:rFonts w:ascii="Book Antiqua" w:eastAsia="Book Antiqua" w:hAnsi="Book Antiqua" w:cs="Book Antiqua"/>
          <w:color w:val="000000"/>
        </w:rPr>
        <w:t xml:space="preserve"> with the perceived inertia partly attributable to the complexity of the surgery and partly due to the high post-operative morbidity. There is now a steadily growing body of literature supporting the relevance and benefit of pathways targeting enhanced recovery on outcomes following PD in comparison to conventional </w:t>
      </w:r>
      <w:proofErr w:type="gramStart"/>
      <w:r w:rsidRPr="00DA13F2">
        <w:rPr>
          <w:rFonts w:ascii="Book Antiqua" w:eastAsia="Book Antiqua" w:hAnsi="Book Antiqua" w:cs="Book Antiqua"/>
          <w:color w:val="000000"/>
        </w:rPr>
        <w:t>care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9]</w:t>
      </w:r>
      <w:r w:rsidRPr="00DA13F2">
        <w:rPr>
          <w:rFonts w:ascii="Book Antiqua" w:eastAsia="Book Antiqua" w:hAnsi="Book Antiqua" w:cs="Book Antiqua"/>
          <w:color w:val="000000"/>
        </w:rPr>
        <w:t xml:space="preserve">. However, auditing our own clinical pathway post-PD led us to the </w:t>
      </w:r>
      <w:proofErr w:type="spellStart"/>
      <w:r w:rsidRPr="00DA13F2">
        <w:rPr>
          <w:rFonts w:ascii="Book Antiqua" w:eastAsia="Book Antiqua" w:hAnsi="Book Antiqua" w:cs="Book Antiqua"/>
          <w:color w:val="000000"/>
        </w:rPr>
        <w:t>realisation</w:t>
      </w:r>
      <w:proofErr w:type="spellEnd"/>
      <w:r w:rsidRPr="00DA13F2">
        <w:rPr>
          <w:rFonts w:ascii="Book Antiqua" w:eastAsia="Book Antiqua" w:hAnsi="Book Antiqua" w:cs="Book Antiqua"/>
          <w:color w:val="000000"/>
        </w:rPr>
        <w:t xml:space="preserve"> that while the pathway helped us achieve a reduced length of </w:t>
      </w:r>
      <w:proofErr w:type="gramStart"/>
      <w:r w:rsidRPr="00DA13F2">
        <w:rPr>
          <w:rFonts w:ascii="Book Antiqua" w:eastAsia="Book Antiqua" w:hAnsi="Book Antiqua" w:cs="Book Antiqua"/>
          <w:color w:val="000000"/>
        </w:rPr>
        <w:t>stay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5]</w:t>
      </w:r>
      <w:r w:rsidRPr="00DA13F2">
        <w:rPr>
          <w:rFonts w:ascii="Book Antiqua" w:eastAsia="Book Antiqua" w:hAnsi="Book Antiqua" w:cs="Book Antiqua"/>
          <w:color w:val="000000"/>
        </w:rPr>
        <w:t>, the compliance to all parameters was low</w:t>
      </w:r>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xml:space="preserve"> with increasing deviations portending complications and readmissions. These observations have been published by others, as </w:t>
      </w:r>
      <w:proofErr w:type="gramStart"/>
      <w:r w:rsidRPr="00DA13F2">
        <w:rPr>
          <w:rFonts w:ascii="Book Antiqua" w:eastAsia="Book Antiqua" w:hAnsi="Book Antiqua" w:cs="Book Antiqua"/>
          <w:color w:val="000000"/>
        </w:rPr>
        <w:t>well</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10]</w:t>
      </w:r>
      <w:r w:rsidRPr="00DA13F2">
        <w:rPr>
          <w:rFonts w:ascii="Book Antiqua" w:eastAsia="Book Antiqua" w:hAnsi="Book Antiqua" w:cs="Book Antiqua"/>
          <w:color w:val="000000"/>
        </w:rPr>
        <w:t>. Thus, in pancreatic surgery and especially PD, it is imperative that we investigate compliance to protocols, as well as the impact of deviations from clinical pathways</w:t>
      </w:r>
      <w:r w:rsidRPr="00DA13F2">
        <w:rPr>
          <w:rFonts w:ascii="Book Antiqua" w:eastAsia="Book Antiqua" w:hAnsi="Book Antiqua" w:cs="Book Antiqua"/>
          <w:color w:val="000000"/>
          <w:vertAlign w:val="superscript"/>
        </w:rPr>
        <w:t>[11]</w:t>
      </w:r>
      <w:r w:rsidRPr="00DA13F2">
        <w:rPr>
          <w:rFonts w:ascii="Book Antiqua" w:eastAsia="Book Antiqua" w:hAnsi="Book Antiqua" w:cs="Book Antiqua"/>
          <w:color w:val="000000"/>
        </w:rPr>
        <w:t xml:space="preserve"> because herein lies the potential to improve early detection of complications with the potential to </w:t>
      </w:r>
      <w:r w:rsidRPr="00DA13F2">
        <w:rPr>
          <w:rFonts w:ascii="Book Antiqua" w:eastAsia="Book Antiqua" w:hAnsi="Book Antiqua" w:cs="Book Antiqua"/>
          <w:color w:val="000000"/>
          <w:shd w:val="clear" w:color="auto" w:fill="FFFFFF"/>
        </w:rPr>
        <w:t>treat them in a systematic and prompt fashion preventing death</w:t>
      </w:r>
      <w:r w:rsidRPr="00DA13F2">
        <w:rPr>
          <w:rFonts w:ascii="Book Antiqua" w:eastAsia="Book Antiqua" w:hAnsi="Book Antiqua" w:cs="Book Antiqua"/>
          <w:color w:val="000000"/>
          <w:shd w:val="clear" w:color="auto" w:fill="FFFFFF"/>
          <w:vertAlign w:val="superscript"/>
        </w:rPr>
        <w:t>[12]</w:t>
      </w:r>
      <w:r w:rsidRPr="00DA13F2">
        <w:rPr>
          <w:rFonts w:ascii="Book Antiqua" w:eastAsia="Book Antiqua" w:hAnsi="Book Antiqua" w:cs="Book Antiqua"/>
          <w:color w:val="000000"/>
          <w:shd w:val="clear" w:color="auto" w:fill="FFFFFF"/>
        </w:rPr>
        <w:t xml:space="preserve"> due to a </w:t>
      </w:r>
      <w:r w:rsidR="00410FFE"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failure to rescue</w:t>
      </w:r>
      <w:r w:rsidR="00410FFE"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vertAlign w:val="superscript"/>
        </w:rPr>
        <w:t>[13]</w:t>
      </w:r>
      <w:r w:rsidRPr="00DA13F2">
        <w:rPr>
          <w:rFonts w:ascii="Book Antiqua" w:eastAsia="Book Antiqua" w:hAnsi="Book Antiqua" w:cs="Book Antiqua"/>
          <w:color w:val="000000"/>
          <w:shd w:val="clear" w:color="auto" w:fill="FFFFFF"/>
        </w:rPr>
        <w:t>.</w:t>
      </w:r>
    </w:p>
    <w:bookmarkEnd w:id="20"/>
    <w:bookmarkEnd w:id="21"/>
    <w:p w14:paraId="7D7C0091" w14:textId="77777777" w:rsidR="00A77B3E" w:rsidRPr="00DA13F2" w:rsidRDefault="00A77B3E" w:rsidP="00DA13F2">
      <w:pPr>
        <w:adjustRightInd w:val="0"/>
        <w:snapToGrid w:val="0"/>
        <w:spacing w:line="360" w:lineRule="auto"/>
        <w:jc w:val="both"/>
        <w:rPr>
          <w:rFonts w:ascii="Book Antiqua" w:hAnsi="Book Antiqua"/>
        </w:rPr>
      </w:pPr>
    </w:p>
    <w:p w14:paraId="192EC04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MATERIALS AND METHODS</w:t>
      </w:r>
    </w:p>
    <w:p w14:paraId="3193122D" w14:textId="5B0E2943" w:rsidR="00A77B3E" w:rsidRPr="00DA13F2" w:rsidRDefault="004D62F0" w:rsidP="00DA13F2">
      <w:pPr>
        <w:adjustRightInd w:val="0"/>
        <w:snapToGrid w:val="0"/>
        <w:spacing w:line="360" w:lineRule="auto"/>
        <w:jc w:val="both"/>
        <w:rPr>
          <w:rFonts w:ascii="Book Antiqua" w:hAnsi="Book Antiqua"/>
        </w:rPr>
      </w:pPr>
      <w:bookmarkStart w:id="22" w:name="OLE_LINK26"/>
      <w:bookmarkStart w:id="23" w:name="OLE_LINK27"/>
      <w:r w:rsidRPr="00DA13F2">
        <w:rPr>
          <w:rFonts w:ascii="Book Antiqua" w:eastAsia="Book Antiqua" w:hAnsi="Book Antiqua" w:cs="Book Antiqua"/>
          <w:b/>
          <w:bCs/>
          <w:i/>
          <w:iCs/>
          <w:color w:val="000000"/>
        </w:rPr>
        <w:t xml:space="preserve">Search </w:t>
      </w:r>
      <w:r w:rsidR="009417E0" w:rsidRPr="00DA13F2">
        <w:rPr>
          <w:rFonts w:ascii="Book Antiqua" w:eastAsia="Book Antiqua" w:hAnsi="Book Antiqua" w:cs="Book Antiqua"/>
          <w:b/>
          <w:bCs/>
          <w:i/>
          <w:iCs/>
          <w:color w:val="000000"/>
        </w:rPr>
        <w:t>strategy</w:t>
      </w:r>
    </w:p>
    <w:p w14:paraId="722D0C88" w14:textId="7A0CA9D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 literature search was performed on MEDLINE, SCOPUS, EMBASE, and Google Scholar databases for the articles published between January 2000 and November 2020 relating to compliance with clinical pathways and its impact on outcomes in patients undergoing PD. Articles were searched using</w:t>
      </w:r>
      <w:r w:rsidR="000019A1"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Medical Education Subject Headings</w:t>
      </w:r>
      <w:r w:rsidR="000019A1"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keywords: “Enhanced recovery </w:t>
      </w:r>
      <w:r w:rsidR="000019A1" w:rsidRPr="00DA13F2">
        <w:rPr>
          <w:rFonts w:ascii="Book Antiqua" w:eastAsia="Book Antiqua" w:hAnsi="Book Antiqua" w:cs="Book Antiqua"/>
          <w:color w:val="000000"/>
          <w:shd w:val="clear" w:color="auto" w:fill="FFFFFF"/>
        </w:rPr>
        <w:t>OR</w:t>
      </w:r>
      <w:r w:rsidRPr="00DA13F2">
        <w:rPr>
          <w:rFonts w:ascii="Book Antiqua" w:eastAsia="Book Antiqua" w:hAnsi="Book Antiqua" w:cs="Book Antiqua"/>
          <w:color w:val="000000"/>
        </w:rPr>
        <w:t xml:space="preserve"> Clinical </w:t>
      </w:r>
      <w:r w:rsidR="001E7652" w:rsidRPr="00DA13F2">
        <w:rPr>
          <w:rFonts w:ascii="Book Antiqua" w:eastAsia="Book Antiqua" w:hAnsi="Book Antiqua" w:cs="Book Antiqua"/>
          <w:color w:val="000000"/>
        </w:rPr>
        <w:t xml:space="preserve">pathways”, </w:t>
      </w:r>
      <w:r w:rsidRPr="00DA13F2">
        <w:rPr>
          <w:rFonts w:ascii="Book Antiqua" w:eastAsia="Book Antiqua" w:hAnsi="Book Antiqua" w:cs="Book Antiqua"/>
          <w:color w:val="000000"/>
        </w:rPr>
        <w:t xml:space="preserve">“Adherence OR Compliance”, “Deviations”, Pancreaticoduodenectomy OR Pancreatoduodenectomy, “Pancreatic cancer OR Pancreatic carcinoma OR Pancreatic adenocarcinoma”. </w:t>
      </w:r>
      <w:bookmarkStart w:id="24" w:name="OLE_LINK1"/>
      <w:bookmarkStart w:id="25" w:name="OLE_LINK2"/>
      <w:r w:rsidRPr="00DA13F2">
        <w:rPr>
          <w:rFonts w:ascii="Book Antiqua" w:eastAsia="Book Antiqua" w:hAnsi="Book Antiqua" w:cs="Book Antiqua"/>
          <w:color w:val="000000"/>
        </w:rPr>
        <w:t>Preferred reporting items for systematic reviews and meta-analysis</w:t>
      </w:r>
      <w:r w:rsidR="000019A1"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guidelines</w:t>
      </w:r>
      <w:bookmarkEnd w:id="24"/>
      <w:bookmarkEnd w:id="25"/>
      <w:r w:rsidRPr="00DA13F2">
        <w:rPr>
          <w:rFonts w:ascii="Book Antiqua" w:eastAsia="Book Antiqua" w:hAnsi="Book Antiqua" w:cs="Book Antiqua"/>
          <w:color w:val="000000"/>
        </w:rPr>
        <w:t xml:space="preserve"> (</w:t>
      </w:r>
      <w:hyperlink r:id="rId7" w:history="1">
        <w:r w:rsidRPr="00DA13F2">
          <w:rPr>
            <w:rFonts w:ascii="Book Antiqua" w:eastAsia="Book Antiqua" w:hAnsi="Book Antiqua" w:cs="Book Antiqua"/>
            <w:color w:val="000000"/>
          </w:rPr>
          <w:t>http://www.prisma-statement.org</w:t>
        </w:r>
      </w:hyperlink>
      <w:r w:rsidRPr="00DA13F2">
        <w:rPr>
          <w:rFonts w:ascii="Book Antiqua" w:eastAsia="Book Antiqua" w:hAnsi="Book Antiqua" w:cs="Book Antiqua"/>
          <w:color w:val="000000"/>
        </w:rPr>
        <w:t>) were followed for searching and reporting of articles.</w:t>
      </w:r>
    </w:p>
    <w:p w14:paraId="61CF2251" w14:textId="77777777" w:rsidR="002F1A0F" w:rsidRDefault="002F1A0F" w:rsidP="00DA13F2">
      <w:pPr>
        <w:adjustRightInd w:val="0"/>
        <w:snapToGrid w:val="0"/>
        <w:spacing w:line="360" w:lineRule="auto"/>
        <w:jc w:val="both"/>
        <w:rPr>
          <w:rFonts w:ascii="Book Antiqua" w:hAnsi="Book Antiqua"/>
        </w:rPr>
      </w:pPr>
    </w:p>
    <w:p w14:paraId="41D44A3C" w14:textId="24CCD9E0"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Study </w:t>
      </w:r>
      <w:r w:rsidR="000019A1" w:rsidRPr="00DA13F2">
        <w:rPr>
          <w:rFonts w:ascii="Book Antiqua" w:eastAsia="Book Antiqua" w:hAnsi="Book Antiqua" w:cs="Book Antiqua"/>
          <w:b/>
          <w:bCs/>
          <w:i/>
          <w:iCs/>
          <w:color w:val="000000"/>
        </w:rPr>
        <w:t>selection</w:t>
      </w:r>
    </w:p>
    <w:p w14:paraId="0830BBD0" w14:textId="322DDEE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Two authors (</w:t>
      </w:r>
      <w:proofErr w:type="spellStart"/>
      <w:r w:rsidR="002F1A0F" w:rsidRPr="002F1A0F">
        <w:rPr>
          <w:rFonts w:ascii="Book Antiqua" w:hAnsi="Book Antiqua"/>
        </w:rPr>
        <w:t>Jonnada</w:t>
      </w:r>
      <w:proofErr w:type="spellEnd"/>
      <w:r w:rsidR="002F1A0F"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P</w:t>
      </w:r>
      <w:r w:rsidR="002F1A0F">
        <w:rPr>
          <w:rFonts w:ascii="Book Antiqua" w:eastAsia="Book Antiqua" w:hAnsi="Book Antiqua" w:cs="Book Antiqua"/>
          <w:color w:val="000000"/>
        </w:rPr>
        <w:t>K</w:t>
      </w:r>
      <w:r w:rsidRPr="00DA13F2">
        <w:rPr>
          <w:rFonts w:ascii="Book Antiqua" w:eastAsia="Book Antiqua" w:hAnsi="Book Antiqua" w:cs="Book Antiqua"/>
          <w:color w:val="000000"/>
        </w:rPr>
        <w:t xml:space="preserve"> and </w:t>
      </w:r>
      <w:r w:rsidR="002F1A0F" w:rsidRPr="002F1A0F">
        <w:rPr>
          <w:rFonts w:ascii="Book Antiqua" w:hAnsi="Book Antiqua"/>
        </w:rPr>
        <w:t>Karunakaran</w:t>
      </w:r>
      <w:r w:rsidR="002F1A0F"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M) independently assessed titles and abstracts for eligibility. We perused the reference lists of articles and “related articles” function for similar additional articles. All the screened articles were assessed for eligibility, and any disagreement was fixed through mutual discussion. The accuracy of the extracted data was adjudicated further by a third author.</w:t>
      </w:r>
    </w:p>
    <w:p w14:paraId="3F722F59" w14:textId="77777777" w:rsidR="00846D3B" w:rsidRPr="00DA13F2" w:rsidRDefault="00846D3B" w:rsidP="00DA13F2">
      <w:pPr>
        <w:adjustRightInd w:val="0"/>
        <w:snapToGrid w:val="0"/>
        <w:spacing w:line="360" w:lineRule="auto"/>
        <w:jc w:val="both"/>
        <w:rPr>
          <w:rFonts w:ascii="Book Antiqua" w:eastAsia="Book Antiqua" w:hAnsi="Book Antiqua" w:cs="Book Antiqua"/>
          <w:b/>
          <w:color w:val="000000"/>
        </w:rPr>
      </w:pPr>
    </w:p>
    <w:p w14:paraId="152649AB" w14:textId="78787FFC" w:rsidR="00A77B3E" w:rsidRPr="00DA13F2" w:rsidRDefault="004D62F0" w:rsidP="00DA13F2">
      <w:pPr>
        <w:adjustRightInd w:val="0"/>
        <w:snapToGrid w:val="0"/>
        <w:spacing w:line="360" w:lineRule="auto"/>
        <w:jc w:val="both"/>
        <w:rPr>
          <w:rFonts w:ascii="Book Antiqua" w:hAnsi="Book Antiqua"/>
          <w:b/>
        </w:rPr>
      </w:pPr>
      <w:r w:rsidRPr="00DA13F2">
        <w:rPr>
          <w:rFonts w:ascii="Book Antiqua" w:eastAsia="Book Antiqua" w:hAnsi="Book Antiqua" w:cs="Book Antiqua"/>
          <w:b/>
          <w:color w:val="000000"/>
        </w:rPr>
        <w:t>Inclusion criteria:</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(1) Studies conducted on patients undergoing PD with a clearly defined clinical pathway for post-operative care</w:t>
      </w:r>
      <w:r w:rsidR="00A93367" w:rsidRPr="00DA13F2">
        <w:rPr>
          <w:rFonts w:ascii="Book Antiqua" w:eastAsia="Book Antiqua" w:hAnsi="Book Antiqua" w:cs="Book Antiqua"/>
          <w:color w:val="000000"/>
        </w:rPr>
        <w:t xml:space="preserve">; </w:t>
      </w:r>
      <w:r w:rsidR="002F1A0F">
        <w:rPr>
          <w:rFonts w:ascii="Book Antiqua" w:eastAsia="Book Antiqua" w:hAnsi="Book Antiqua" w:cs="Book Antiqua"/>
          <w:color w:val="000000"/>
        </w:rPr>
        <w:t xml:space="preserve">And </w:t>
      </w:r>
      <w:r w:rsidRPr="00DA13F2">
        <w:rPr>
          <w:rFonts w:ascii="Book Antiqua" w:eastAsia="Book Antiqua" w:hAnsi="Book Antiqua" w:cs="Book Antiqua"/>
          <w:color w:val="000000"/>
        </w:rPr>
        <w:t>(2) Study should report on the patient compliance to the clinical pathway and impact of deviations from the pathway, or lack of compliance on outcomes in terms of adverse events and/or duration of hospitalization.</w:t>
      </w:r>
    </w:p>
    <w:p w14:paraId="507C2F38" w14:textId="77777777" w:rsidR="00846D3B" w:rsidRPr="00DA13F2" w:rsidRDefault="00846D3B" w:rsidP="00DA13F2">
      <w:pPr>
        <w:adjustRightInd w:val="0"/>
        <w:snapToGrid w:val="0"/>
        <w:spacing w:line="360" w:lineRule="auto"/>
        <w:jc w:val="both"/>
        <w:rPr>
          <w:rFonts w:ascii="Book Antiqua" w:eastAsia="Book Antiqua" w:hAnsi="Book Antiqua" w:cs="Book Antiqua"/>
          <w:color w:val="000000"/>
        </w:rPr>
      </w:pPr>
    </w:p>
    <w:p w14:paraId="7C822B7D" w14:textId="7B7F86D5" w:rsidR="00A77B3E" w:rsidRPr="00DA13F2" w:rsidRDefault="004D62F0" w:rsidP="00DA13F2">
      <w:pPr>
        <w:adjustRightInd w:val="0"/>
        <w:snapToGrid w:val="0"/>
        <w:spacing w:line="360" w:lineRule="auto"/>
        <w:jc w:val="both"/>
        <w:rPr>
          <w:rFonts w:ascii="Book Antiqua" w:hAnsi="Book Antiqua"/>
          <w:b/>
        </w:rPr>
      </w:pPr>
      <w:r w:rsidRPr="00DA13F2">
        <w:rPr>
          <w:rFonts w:ascii="Book Antiqua" w:eastAsia="Book Antiqua" w:hAnsi="Book Antiqua" w:cs="Book Antiqua"/>
          <w:b/>
          <w:color w:val="000000"/>
        </w:rPr>
        <w:lastRenderedPageBreak/>
        <w:t>Exclusion criteria:</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w:t>
      </w:r>
      <w:r w:rsidR="00846D3B" w:rsidRPr="00DA13F2">
        <w:rPr>
          <w:rFonts w:ascii="Book Antiqua" w:eastAsia="Book Antiqua" w:hAnsi="Book Antiqua" w:cs="Book Antiqua"/>
          <w:color w:val="000000"/>
        </w:rPr>
        <w:t>1</w:t>
      </w:r>
      <w:r w:rsidRPr="00DA13F2">
        <w:rPr>
          <w:rFonts w:ascii="Book Antiqua" w:eastAsia="Book Antiqua" w:hAnsi="Book Antiqua" w:cs="Book Antiqua"/>
          <w:color w:val="000000"/>
        </w:rPr>
        <w:t>) Did not report on compliance</w:t>
      </w:r>
      <w:r w:rsidR="00846D3B" w:rsidRPr="00DA13F2">
        <w:rPr>
          <w:rFonts w:ascii="Book Antiqua" w:eastAsia="Book Antiqua" w:hAnsi="Book Antiqua" w:cs="Book Antiqua"/>
          <w:color w:val="000000"/>
        </w:rPr>
        <w:t>;</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w:t>
      </w:r>
      <w:r w:rsidR="00846D3B" w:rsidRPr="00DA13F2">
        <w:rPr>
          <w:rFonts w:ascii="Book Antiqua" w:eastAsia="Book Antiqua" w:hAnsi="Book Antiqua" w:cs="Book Antiqua"/>
          <w:color w:val="000000"/>
        </w:rPr>
        <w:t>2</w:t>
      </w:r>
      <w:r w:rsidRPr="00DA13F2">
        <w:rPr>
          <w:rFonts w:ascii="Book Antiqua" w:eastAsia="Book Antiqua" w:hAnsi="Book Antiqua" w:cs="Book Antiqua"/>
          <w:color w:val="000000"/>
        </w:rPr>
        <w:t xml:space="preserve">) Did not report on the number of patients with a pre-defined level of compliance suffering adverse events and/or was impossible to </w:t>
      </w:r>
      <w:r w:rsidR="00846D3B" w:rsidRPr="00DA13F2">
        <w:rPr>
          <w:rFonts w:ascii="Book Antiqua" w:eastAsia="Book Antiqua" w:hAnsi="Book Antiqua" w:cs="Book Antiqua"/>
          <w:color w:val="000000"/>
        </w:rPr>
        <w:t>calculate;</w:t>
      </w:r>
      <w:r w:rsidRPr="00DA13F2">
        <w:rPr>
          <w:rFonts w:ascii="Book Antiqua" w:eastAsia="Book Antiqua" w:hAnsi="Book Antiqua" w:cs="Book Antiqua"/>
          <w:color w:val="000000"/>
        </w:rPr>
        <w:t xml:space="preserve"> </w:t>
      </w:r>
      <w:r w:rsidR="002F1A0F" w:rsidRPr="00DA13F2">
        <w:rPr>
          <w:rFonts w:ascii="Book Antiqua" w:eastAsia="Book Antiqua" w:hAnsi="Book Antiqua" w:cs="Book Antiqua"/>
          <w:color w:val="000000"/>
        </w:rPr>
        <w:t>A</w:t>
      </w:r>
      <w:r w:rsidRPr="00DA13F2">
        <w:rPr>
          <w:rFonts w:ascii="Book Antiqua" w:eastAsia="Book Antiqua" w:hAnsi="Book Antiqua" w:cs="Book Antiqua"/>
          <w:color w:val="000000"/>
        </w:rPr>
        <w:t>nd</w:t>
      </w:r>
      <w:r w:rsidR="00846D3B" w:rsidRPr="00DA13F2">
        <w:rPr>
          <w:rFonts w:ascii="Book Antiqua" w:hAnsi="Book Antiqua"/>
          <w:b/>
          <w:lang w:eastAsia="zh-CN"/>
        </w:rPr>
        <w:t xml:space="preserve"> </w:t>
      </w:r>
      <w:r w:rsidRPr="00DA13F2">
        <w:rPr>
          <w:rFonts w:ascii="Book Antiqua" w:eastAsia="Book Antiqua" w:hAnsi="Book Antiqua" w:cs="Book Antiqua"/>
          <w:color w:val="000000"/>
        </w:rPr>
        <w:t>(</w:t>
      </w:r>
      <w:r w:rsidR="00846D3B" w:rsidRPr="00DA13F2">
        <w:rPr>
          <w:rFonts w:ascii="Book Antiqua" w:eastAsia="Book Antiqua" w:hAnsi="Book Antiqua" w:cs="Book Antiqua"/>
          <w:color w:val="000000"/>
        </w:rPr>
        <w:t>3</w:t>
      </w:r>
      <w:r w:rsidRPr="00DA13F2">
        <w:rPr>
          <w:rFonts w:ascii="Book Antiqua" w:eastAsia="Book Antiqua" w:hAnsi="Book Antiqua" w:cs="Book Antiqua"/>
          <w:color w:val="000000"/>
        </w:rPr>
        <w:t xml:space="preserve">) </w:t>
      </w:r>
      <w:r w:rsidR="002F1A0F">
        <w:rPr>
          <w:rFonts w:ascii="Book Antiqua" w:eastAsia="Book Antiqua" w:hAnsi="Book Antiqua" w:cs="Book Antiqua"/>
          <w:color w:val="000000"/>
        </w:rPr>
        <w:t>n</w:t>
      </w:r>
      <w:r w:rsidRPr="00DA13F2">
        <w:rPr>
          <w:rFonts w:ascii="Book Antiqua" w:eastAsia="Book Antiqua" w:hAnsi="Book Antiqua" w:cs="Book Antiqua"/>
          <w:color w:val="000000"/>
        </w:rPr>
        <w:t>on-English language studies.</w:t>
      </w:r>
    </w:p>
    <w:p w14:paraId="28CB5DD6" w14:textId="77777777" w:rsidR="00A77B3E" w:rsidRPr="00DA13F2" w:rsidRDefault="00A77B3E" w:rsidP="00DA13F2">
      <w:pPr>
        <w:adjustRightInd w:val="0"/>
        <w:snapToGrid w:val="0"/>
        <w:spacing w:line="360" w:lineRule="auto"/>
        <w:jc w:val="both"/>
        <w:rPr>
          <w:rFonts w:ascii="Book Antiqua" w:hAnsi="Book Antiqua"/>
        </w:rPr>
      </w:pPr>
    </w:p>
    <w:p w14:paraId="1CDBA54C" w14:textId="544F600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Quality assessment</w:t>
      </w:r>
    </w:p>
    <w:p w14:paraId="3161242F" w14:textId="36F4953F"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Methodological quality of the studies was assessed independently by two authors (</w:t>
      </w:r>
      <w:proofErr w:type="spellStart"/>
      <w:r w:rsidR="002F1A0F" w:rsidRPr="002F1A0F">
        <w:rPr>
          <w:rFonts w:ascii="Book Antiqua" w:hAnsi="Book Antiqua"/>
        </w:rPr>
        <w:t>Jonnada</w:t>
      </w:r>
      <w:proofErr w:type="spellEnd"/>
      <w:r w:rsidR="002F1A0F" w:rsidRPr="00DA13F2">
        <w:rPr>
          <w:rFonts w:ascii="Book Antiqua" w:eastAsia="Book Antiqua" w:hAnsi="Book Antiqua" w:cs="Book Antiqua"/>
          <w:color w:val="000000"/>
        </w:rPr>
        <w:t xml:space="preserve"> P</w:t>
      </w:r>
      <w:r w:rsidR="002F1A0F">
        <w:rPr>
          <w:rFonts w:ascii="Book Antiqua" w:eastAsia="Book Antiqua" w:hAnsi="Book Antiqua" w:cs="Book Antiqua"/>
          <w:color w:val="000000"/>
        </w:rPr>
        <w:t>K</w:t>
      </w:r>
      <w:r w:rsidR="002F1A0F" w:rsidRPr="00DA13F2">
        <w:rPr>
          <w:rFonts w:ascii="Book Antiqua" w:eastAsia="Book Antiqua" w:hAnsi="Book Antiqua" w:cs="Book Antiqua"/>
          <w:color w:val="000000"/>
        </w:rPr>
        <w:t xml:space="preserve"> and </w:t>
      </w:r>
      <w:r w:rsidR="002F1A0F" w:rsidRPr="002F1A0F">
        <w:rPr>
          <w:rFonts w:ascii="Book Antiqua" w:hAnsi="Book Antiqua"/>
        </w:rPr>
        <w:t>Karunakaran</w:t>
      </w:r>
      <w:r w:rsidR="002F1A0F" w:rsidRPr="00DA13F2">
        <w:rPr>
          <w:rFonts w:ascii="Book Antiqua" w:eastAsia="Book Antiqua" w:hAnsi="Book Antiqua" w:cs="Book Antiqua"/>
          <w:color w:val="000000"/>
        </w:rPr>
        <w:t xml:space="preserve"> M</w:t>
      </w:r>
      <w:r w:rsidRPr="00DA13F2">
        <w:rPr>
          <w:rFonts w:ascii="Book Antiqua" w:eastAsia="Book Antiqua" w:hAnsi="Book Antiqua" w:cs="Book Antiqua"/>
          <w:color w:val="000000"/>
        </w:rPr>
        <w:t xml:space="preserve">) using Newcastle–Ottawa </w:t>
      </w:r>
      <w:proofErr w:type="gramStart"/>
      <w:r w:rsidRPr="00DA13F2">
        <w:rPr>
          <w:rFonts w:ascii="Book Antiqua" w:eastAsia="Book Antiqua" w:hAnsi="Book Antiqua" w:cs="Book Antiqua"/>
          <w:color w:val="000000"/>
        </w:rPr>
        <w:t>Scale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14]</w:t>
      </w:r>
      <w:r w:rsidRPr="00DA13F2">
        <w:rPr>
          <w:rFonts w:ascii="Book Antiqua" w:eastAsia="Book Antiqua" w:hAnsi="Book Antiqua" w:cs="Book Antiqua"/>
          <w:color w:val="000000"/>
        </w:rPr>
        <w:t xml:space="preserve"> and final scores were reached by general consensus. A study was considered to be of poor quality if it did not meet more than one criterion in the selection domain, if there was no score in the compatibility domain, and if it did not meet more than one of the criteria in the outcome domain. The Cochrane Collaboration’s </w:t>
      </w:r>
      <w:proofErr w:type="gramStart"/>
      <w:r w:rsidRPr="00DA13F2">
        <w:rPr>
          <w:rFonts w:ascii="Book Antiqua" w:eastAsia="Book Antiqua" w:hAnsi="Book Antiqua" w:cs="Book Antiqua"/>
          <w:color w:val="000000"/>
        </w:rPr>
        <w:t>tool</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15]</w:t>
      </w:r>
      <w:r w:rsidRPr="00DA13F2">
        <w:rPr>
          <w:rFonts w:ascii="Book Antiqua" w:eastAsia="Book Antiqua" w:hAnsi="Book Antiqua" w:cs="Book Antiqua"/>
          <w:color w:val="000000"/>
        </w:rPr>
        <w:t xml:space="preserve"> for assessing risk of bias in individual studies was also used by the two independent authors and conflicts were resolved with mutual discussion.</w:t>
      </w:r>
    </w:p>
    <w:p w14:paraId="3D8B4125" w14:textId="77777777" w:rsidR="00A77B3E" w:rsidRPr="00DA13F2" w:rsidRDefault="00A77B3E" w:rsidP="00DA13F2">
      <w:pPr>
        <w:adjustRightInd w:val="0"/>
        <w:snapToGrid w:val="0"/>
        <w:spacing w:line="360" w:lineRule="auto"/>
        <w:jc w:val="both"/>
        <w:rPr>
          <w:rFonts w:ascii="Book Antiqua" w:hAnsi="Book Antiqua"/>
        </w:rPr>
      </w:pPr>
    </w:p>
    <w:p w14:paraId="224F1012" w14:textId="4E837562"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Data </w:t>
      </w:r>
      <w:r w:rsidR="00683548" w:rsidRPr="00DA13F2">
        <w:rPr>
          <w:rFonts w:ascii="Book Antiqua" w:eastAsia="Book Antiqua" w:hAnsi="Book Antiqua" w:cs="Book Antiqua"/>
          <w:b/>
          <w:bCs/>
          <w:i/>
          <w:iCs/>
          <w:color w:val="000000"/>
        </w:rPr>
        <w:t>extraction</w:t>
      </w:r>
    </w:p>
    <w:p w14:paraId="4E283E08" w14:textId="2341FC03"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 standardized data extraction form was used for data entry and analysis.</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Study selection process and </w:t>
      </w:r>
      <w:r w:rsidR="000019A1" w:rsidRPr="00DA13F2">
        <w:rPr>
          <w:rFonts w:ascii="Book Antiqua" w:eastAsia="Book Antiqua" w:hAnsi="Book Antiqua" w:cs="Book Antiqua"/>
          <w:color w:val="000000"/>
        </w:rPr>
        <w:t>preferred reporting items for systematic reviews and meta-analysis</w:t>
      </w:r>
      <w:r w:rsidRPr="00DA13F2">
        <w:rPr>
          <w:rFonts w:ascii="Book Antiqua" w:eastAsia="Book Antiqua" w:hAnsi="Book Antiqua" w:cs="Book Antiqua"/>
          <w:color w:val="000000"/>
        </w:rPr>
        <w:t xml:space="preserve"> flow diagram for identifying studies are shown in Figure 1. For included studies, two authors (</w:t>
      </w:r>
      <w:proofErr w:type="spellStart"/>
      <w:r w:rsidR="002F1A0F" w:rsidRPr="002F1A0F">
        <w:rPr>
          <w:rFonts w:ascii="Book Antiqua" w:hAnsi="Book Antiqua"/>
        </w:rPr>
        <w:t>Jonnada</w:t>
      </w:r>
      <w:proofErr w:type="spellEnd"/>
      <w:r w:rsidR="002F1A0F" w:rsidRPr="00DA13F2">
        <w:rPr>
          <w:rFonts w:ascii="Book Antiqua" w:eastAsia="Book Antiqua" w:hAnsi="Book Antiqua" w:cs="Book Antiqua"/>
          <w:color w:val="000000"/>
        </w:rPr>
        <w:t xml:space="preserve"> P</w:t>
      </w:r>
      <w:r w:rsidR="002F1A0F">
        <w:rPr>
          <w:rFonts w:ascii="Book Antiqua" w:eastAsia="Book Antiqua" w:hAnsi="Book Antiqua" w:cs="Book Antiqua"/>
          <w:color w:val="000000"/>
        </w:rPr>
        <w:t>K</w:t>
      </w:r>
      <w:r w:rsidR="002F1A0F" w:rsidRPr="00DA13F2">
        <w:rPr>
          <w:rFonts w:ascii="Book Antiqua" w:eastAsia="Book Antiqua" w:hAnsi="Book Antiqua" w:cs="Book Antiqua"/>
          <w:color w:val="000000"/>
        </w:rPr>
        <w:t xml:space="preserve"> and </w:t>
      </w:r>
      <w:r w:rsidR="002F1A0F" w:rsidRPr="002F1A0F">
        <w:rPr>
          <w:rFonts w:ascii="Book Antiqua" w:hAnsi="Book Antiqua"/>
        </w:rPr>
        <w:t>Karunakaran</w:t>
      </w:r>
      <w:r w:rsidR="002F1A0F" w:rsidRPr="00DA13F2">
        <w:rPr>
          <w:rFonts w:ascii="Book Antiqua" w:eastAsia="Book Antiqua" w:hAnsi="Book Antiqua" w:cs="Book Antiqua"/>
          <w:color w:val="000000"/>
        </w:rPr>
        <w:t xml:space="preserve"> M</w:t>
      </w:r>
      <w:r w:rsidRPr="00DA13F2">
        <w:rPr>
          <w:rFonts w:ascii="Book Antiqua" w:eastAsia="Book Antiqua" w:hAnsi="Book Antiqua" w:cs="Book Antiqua"/>
          <w:color w:val="000000"/>
        </w:rPr>
        <w:t>) extracted the data using the agreed form. For each study that fulfilled the criteria, the following information was extracted: name of the first author; year of publication; study setting; design of the study; duration of the study; geographical setting; age of patient; total sample; level of compliance to the intended clinical pathway; prevalence of deviation from the clinical pathway; impact of deviation from the clinical pathway on post-operative complications and length of hospital stay.</w:t>
      </w:r>
    </w:p>
    <w:p w14:paraId="78E09B49" w14:textId="77777777" w:rsidR="00A77B3E" w:rsidRPr="00DA13F2" w:rsidRDefault="00A77B3E" w:rsidP="00DA13F2">
      <w:pPr>
        <w:adjustRightInd w:val="0"/>
        <w:snapToGrid w:val="0"/>
        <w:spacing w:line="360" w:lineRule="auto"/>
        <w:jc w:val="both"/>
        <w:rPr>
          <w:rFonts w:ascii="Book Antiqua" w:hAnsi="Book Antiqua"/>
        </w:rPr>
      </w:pPr>
    </w:p>
    <w:p w14:paraId="5BB22C50" w14:textId="2B3843E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Data</w:t>
      </w:r>
      <w:r w:rsidR="00C124FD" w:rsidRPr="00DA13F2">
        <w:rPr>
          <w:rFonts w:ascii="Book Antiqua" w:eastAsia="Book Antiqua" w:hAnsi="Book Antiqua" w:cs="Book Antiqua"/>
          <w:b/>
          <w:bCs/>
          <w:i/>
          <w:iCs/>
          <w:color w:val="000000"/>
        </w:rPr>
        <w:t xml:space="preserve"> analysis and statistical m</w:t>
      </w:r>
      <w:r w:rsidRPr="00DA13F2">
        <w:rPr>
          <w:rFonts w:ascii="Book Antiqua" w:eastAsia="Book Antiqua" w:hAnsi="Book Antiqua" w:cs="Book Antiqua"/>
          <w:b/>
          <w:bCs/>
          <w:i/>
          <w:iCs/>
          <w:color w:val="000000"/>
        </w:rPr>
        <w:t>ethods</w:t>
      </w:r>
    </w:p>
    <w:p w14:paraId="049E0873" w14:textId="45569480"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 xml:space="preserve">The statistical analysis was performed using </w:t>
      </w:r>
      <w:proofErr w:type="spellStart"/>
      <w:r w:rsidRPr="00DA13F2">
        <w:rPr>
          <w:rFonts w:ascii="Book Antiqua" w:eastAsia="Book Antiqua" w:hAnsi="Book Antiqua" w:cs="Book Antiqua"/>
          <w:color w:val="000000"/>
          <w:shd w:val="clear" w:color="auto" w:fill="FFFFFF"/>
        </w:rPr>
        <w:t>RevMan</w:t>
      </w:r>
      <w:proofErr w:type="spellEnd"/>
      <w:r w:rsidRPr="00DA13F2">
        <w:rPr>
          <w:rFonts w:ascii="Book Antiqua" w:eastAsia="Book Antiqua" w:hAnsi="Book Antiqua" w:cs="Book Antiqua"/>
          <w:color w:val="000000"/>
          <w:shd w:val="clear" w:color="auto" w:fill="FFFFFF"/>
        </w:rPr>
        <w:t xml:space="preserve"> software, version 5.3 (Cochrane Collaboration, the Nordic Cochrane Centre, Copenhagen</w:t>
      </w:r>
      <w:r w:rsidR="001E7652" w:rsidRPr="00DA13F2">
        <w:rPr>
          <w:rFonts w:ascii="Book Antiqua" w:eastAsia="Book Antiqua" w:hAnsi="Book Antiqua" w:cs="Book Antiqua"/>
          <w:color w:val="000000"/>
          <w:shd w:val="clear" w:color="auto" w:fill="FFFFFF"/>
        </w:rPr>
        <w:t>, D</w:t>
      </w:r>
      <w:r w:rsidR="002F1A0F">
        <w:rPr>
          <w:rFonts w:ascii="Book Antiqua" w:eastAsia="Book Antiqua" w:hAnsi="Book Antiqua" w:cs="Book Antiqua"/>
          <w:color w:val="000000"/>
          <w:shd w:val="clear" w:color="auto" w:fill="FFFFFF"/>
        </w:rPr>
        <w:t>en</w:t>
      </w:r>
      <w:r w:rsidR="001E7652" w:rsidRPr="00DA13F2">
        <w:rPr>
          <w:rFonts w:ascii="Book Antiqua" w:eastAsia="Book Antiqua" w:hAnsi="Book Antiqua" w:cs="Book Antiqua"/>
          <w:color w:val="000000"/>
          <w:shd w:val="clear" w:color="auto" w:fill="FFFFFF"/>
        </w:rPr>
        <w:t>mark</w:t>
      </w:r>
      <w:r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lastRenderedPageBreak/>
        <w:t xml:space="preserve">Continuous variables were </w:t>
      </w:r>
      <w:proofErr w:type="spellStart"/>
      <w:r w:rsidRPr="00DA13F2">
        <w:rPr>
          <w:rFonts w:ascii="Book Antiqua" w:eastAsia="Book Antiqua" w:hAnsi="Book Antiqua" w:cs="Book Antiqua"/>
          <w:color w:val="000000"/>
          <w:shd w:val="clear" w:color="auto" w:fill="FFFFFF"/>
        </w:rPr>
        <w:t>analysed</w:t>
      </w:r>
      <w:proofErr w:type="spellEnd"/>
      <w:r w:rsidRPr="00DA13F2">
        <w:rPr>
          <w:rFonts w:ascii="Book Antiqua" w:eastAsia="Book Antiqua" w:hAnsi="Book Antiqua" w:cs="Book Antiqua"/>
          <w:color w:val="000000"/>
          <w:shd w:val="clear" w:color="auto" w:fill="FFFFFF"/>
        </w:rPr>
        <w:t xml:space="preserve"> by the</w:t>
      </w:r>
      <w:r w:rsidR="00C124FD" w:rsidRPr="00DA13F2">
        <w:rPr>
          <w:rFonts w:ascii="Book Antiqua" w:eastAsia="Book Antiqua" w:hAnsi="Book Antiqua" w:cs="Book Antiqua"/>
          <w:color w:val="000000"/>
          <w:shd w:val="clear" w:color="auto" w:fill="FFFFFF"/>
        </w:rPr>
        <w:t xml:space="preserve"> </w:t>
      </w:r>
      <w:bookmarkStart w:id="26" w:name="OLE_LINK1423"/>
      <w:bookmarkStart w:id="27" w:name="OLE_LINK1424"/>
      <w:bookmarkStart w:id="28" w:name="OLE_LINK1522"/>
      <w:bookmarkStart w:id="29" w:name="OLE_LINK1534"/>
      <w:bookmarkStart w:id="30" w:name="OLE_LINK1820"/>
      <w:r w:rsidR="002F1A0F" w:rsidRPr="00663BB7">
        <w:rPr>
          <w:rFonts w:ascii="Book Antiqua" w:hAnsi="Book Antiqua"/>
        </w:rPr>
        <w:t>odds ratio</w:t>
      </w:r>
      <w:bookmarkEnd w:id="26"/>
      <w:bookmarkEnd w:id="27"/>
      <w:bookmarkEnd w:id="28"/>
      <w:bookmarkEnd w:id="29"/>
      <w:bookmarkEnd w:id="30"/>
      <w:r w:rsidR="002F1A0F" w:rsidRPr="00DA13F2">
        <w:rPr>
          <w:rFonts w:ascii="Book Antiqua" w:eastAsia="Book Antiqua" w:hAnsi="Book Antiqua" w:cs="Book Antiqua"/>
          <w:color w:val="000000"/>
          <w:shd w:val="clear" w:color="auto" w:fill="FFFFFF"/>
        </w:rPr>
        <w:t xml:space="preserve"> </w:t>
      </w:r>
      <w:r w:rsidR="002F1A0F">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OR</w:t>
      </w:r>
      <w:r w:rsidR="002F1A0F">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and 95%</w:t>
      </w:r>
      <w:r w:rsidR="000019A1" w:rsidRPr="00DA13F2">
        <w:rPr>
          <w:rFonts w:ascii="Book Antiqua" w:eastAsia="Book Antiqua" w:hAnsi="Book Antiqua" w:cs="Book Antiqua"/>
          <w:color w:val="000000"/>
          <w:shd w:val="clear" w:color="auto" w:fill="FFFFFF"/>
        </w:rPr>
        <w:t xml:space="preserve"> </w:t>
      </w:r>
      <w:r w:rsidR="00C124FD" w:rsidRPr="00DA13F2">
        <w:rPr>
          <w:rFonts w:ascii="Book Antiqua" w:eastAsia="Book Antiqua" w:hAnsi="Book Antiqua" w:cs="Book Antiqua"/>
          <w:color w:val="000000"/>
        </w:rPr>
        <w:t>confidence interval (CI)</w:t>
      </w:r>
      <w:r w:rsidRPr="00DA13F2">
        <w:rPr>
          <w:rFonts w:ascii="Book Antiqua" w:eastAsia="Book Antiqua" w:hAnsi="Book Antiqua" w:cs="Book Antiqua"/>
          <w:color w:val="000000"/>
          <w:shd w:val="clear" w:color="auto" w:fill="FFFFFF"/>
        </w:rPr>
        <w:t xml:space="preserve"> </w:t>
      </w:r>
      <w:r w:rsidR="002F1A0F">
        <w:rPr>
          <w:rFonts w:ascii="Book Antiqua" w:eastAsia="Book Antiqua" w:hAnsi="Book Antiqua" w:cs="Book Antiqua"/>
          <w:color w:val="000000"/>
          <w:shd w:val="clear" w:color="auto" w:fill="FFFFFF"/>
        </w:rPr>
        <w:t>w</w:t>
      </w:r>
      <w:r w:rsidRPr="00DA13F2">
        <w:rPr>
          <w:rFonts w:ascii="Book Antiqua" w:eastAsia="Book Antiqua" w:hAnsi="Book Antiqua" w:cs="Book Antiqua"/>
          <w:color w:val="000000"/>
          <w:shd w:val="clear" w:color="auto" w:fill="FFFFFF"/>
        </w:rPr>
        <w:t xml:space="preserve">as recorded. Random variables were </w:t>
      </w:r>
      <w:proofErr w:type="spellStart"/>
      <w:r w:rsidRPr="00DA13F2">
        <w:rPr>
          <w:rFonts w:ascii="Book Antiqua" w:eastAsia="Book Antiqua" w:hAnsi="Book Antiqua" w:cs="Book Antiqua"/>
          <w:color w:val="000000"/>
          <w:shd w:val="clear" w:color="auto" w:fill="FFFFFF"/>
        </w:rPr>
        <w:t>analysed</w:t>
      </w:r>
      <w:proofErr w:type="spellEnd"/>
      <w:r w:rsidRPr="00DA13F2">
        <w:rPr>
          <w:rFonts w:ascii="Book Antiqua" w:eastAsia="Book Antiqua" w:hAnsi="Book Antiqua" w:cs="Book Antiqua"/>
          <w:color w:val="000000"/>
          <w:shd w:val="clear" w:color="auto" w:fill="FFFFFF"/>
        </w:rPr>
        <w:t xml:space="preserve"> by the </w:t>
      </w:r>
      <w:r w:rsidR="002F1A0F">
        <w:rPr>
          <w:rFonts w:ascii="Book Antiqua" w:eastAsia="Book Antiqua" w:hAnsi="Book Antiqua" w:cs="Book Antiqua"/>
          <w:color w:val="000000"/>
          <w:shd w:val="clear" w:color="auto" w:fill="FFFFFF"/>
        </w:rPr>
        <w:t>m</w:t>
      </w:r>
      <w:r w:rsidRPr="00DA13F2">
        <w:rPr>
          <w:rFonts w:ascii="Book Antiqua" w:eastAsia="Book Antiqua" w:hAnsi="Book Antiqua" w:cs="Book Antiqua"/>
          <w:color w:val="000000"/>
          <w:shd w:val="clear" w:color="auto" w:fill="FFFFFF"/>
        </w:rPr>
        <w:t xml:space="preserve">ean difference (MD), and 95%CI was recorded. Heterogeneity was evaluated using </w:t>
      </w:r>
      <w:r w:rsidRPr="00DA13F2">
        <w:rPr>
          <w:rFonts w:ascii="Book Antiqua" w:eastAsia="Book Antiqua" w:hAnsi="Book Antiqua" w:cs="Book Antiqua"/>
          <w:i/>
          <w:iCs/>
          <w:color w:val="000000"/>
          <w:shd w:val="clear" w:color="auto" w:fill="FFFFFF"/>
        </w:rPr>
        <w:t>χ</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rPr>
        <w:t xml:space="preserve"> and</w:t>
      </w:r>
      <w:r w:rsidRPr="00DA13F2">
        <w:rPr>
          <w:rFonts w:ascii="Book Antiqua" w:eastAsia="Book Antiqua" w:hAnsi="Book Antiqua" w:cs="Book Antiqua"/>
          <w:i/>
          <w:iCs/>
          <w:color w:val="000000"/>
          <w:shd w:val="clear" w:color="auto" w:fill="FFFFFF"/>
        </w:rPr>
        <w:t xml:space="preserve"> I</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rPr>
        <w:t xml:space="preserve"> tests. </w:t>
      </w:r>
      <w:r w:rsidRPr="00DA13F2">
        <w:rPr>
          <w:rFonts w:ascii="Book Antiqua" w:eastAsia="Book Antiqua" w:hAnsi="Book Antiqua" w:cs="Book Antiqua"/>
          <w:i/>
          <w:iCs/>
          <w:color w:val="000000"/>
          <w:shd w:val="clear" w:color="auto" w:fill="FFFFFF"/>
        </w:rPr>
        <w:t>I</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vertAlign w:val="superscript"/>
        </w:rPr>
        <w:t> </w:t>
      </w:r>
      <w:r w:rsidRPr="00DA13F2">
        <w:rPr>
          <w:rFonts w:ascii="Book Antiqua" w:eastAsia="Book Antiqua" w:hAnsi="Book Antiqua" w:cs="Book Antiqua"/>
          <w:color w:val="000000"/>
          <w:shd w:val="clear" w:color="auto" w:fill="FFFFFF"/>
        </w:rPr>
        <w:t>of 0-40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30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-60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50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-70</w:t>
      </w:r>
      <w:r w:rsidR="00846D3B"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shd w:val="clear" w:color="auto" w:fill="FFFFFF"/>
        </w:rPr>
        <w:t>, and &gt;</w:t>
      </w:r>
      <w:r w:rsidR="00846D3B"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75% represent low, moderate, substantial, and considerable heterogeneity, respectively. Studies with a </w:t>
      </w:r>
      <w:r w:rsidR="00C124FD" w:rsidRPr="00DA13F2">
        <w:rPr>
          <w:rFonts w:ascii="Book Antiqua" w:eastAsia="Book Antiqua" w:hAnsi="Book Antiqua" w:cs="Book Antiqua"/>
          <w:i/>
          <w:iCs/>
          <w:color w:val="000000"/>
          <w:shd w:val="clear" w:color="auto" w:fill="FFFFFF"/>
        </w:rPr>
        <w:t>P</w:t>
      </w:r>
      <w:r w:rsidR="00846D3B"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value of &lt; 0.1 and </w:t>
      </w:r>
      <w:r w:rsidRPr="00DA13F2">
        <w:rPr>
          <w:rFonts w:ascii="Book Antiqua" w:eastAsia="Book Antiqua" w:hAnsi="Book Antiqua" w:cs="Book Antiqua"/>
          <w:i/>
          <w:iCs/>
          <w:color w:val="000000"/>
          <w:shd w:val="clear" w:color="auto" w:fill="FFFFFF"/>
        </w:rPr>
        <w:t>I</w:t>
      </w:r>
      <w:r w:rsidRPr="00DA13F2">
        <w:rPr>
          <w:rFonts w:ascii="Book Antiqua" w:eastAsia="Book Antiqua" w:hAnsi="Book Antiqua" w:cs="Book Antiqua"/>
          <w:i/>
          <w:iCs/>
          <w:color w:val="000000"/>
          <w:shd w:val="clear" w:color="auto" w:fill="FFFFFF"/>
          <w:vertAlign w:val="superscript"/>
        </w:rPr>
        <w:t>2</w:t>
      </w:r>
      <w:r w:rsidRPr="00DA13F2">
        <w:rPr>
          <w:rFonts w:ascii="Book Antiqua" w:eastAsia="Book Antiqua" w:hAnsi="Book Antiqua" w:cs="Book Antiqua"/>
          <w:color w:val="000000"/>
          <w:shd w:val="clear" w:color="auto" w:fill="FFFFFF"/>
        </w:rPr>
        <w:t xml:space="preserve"> &gt; 50% indicated substantial heterogeneity. A random-effects model was used for assessment of the pooled OR if significant heterogeneity existed in the fixed-effects model. Else, the fixed-effects model was used with </w:t>
      </w:r>
      <w:r w:rsidR="00C124FD" w:rsidRPr="00DA13F2">
        <w:rPr>
          <w:rFonts w:ascii="Book Antiqua" w:eastAsia="Book Antiqua" w:hAnsi="Book Antiqua" w:cs="Book Antiqua"/>
          <w:i/>
          <w:iCs/>
          <w:color w:val="000000"/>
          <w:shd w:val="clear" w:color="auto" w:fill="FFFFFF"/>
        </w:rPr>
        <w:t>P</w:t>
      </w:r>
      <w:r w:rsidRPr="00DA13F2">
        <w:rPr>
          <w:rFonts w:ascii="Book Antiqua" w:eastAsia="Book Antiqua" w:hAnsi="Book Antiqua" w:cs="Book Antiqua"/>
          <w:color w:val="000000"/>
          <w:shd w:val="clear" w:color="auto" w:fill="FFFFFF"/>
        </w:rPr>
        <w:t xml:space="preserve"> &gt; 0.10 and </w:t>
      </w:r>
      <w:r w:rsidRPr="00DA13F2">
        <w:rPr>
          <w:rFonts w:ascii="Book Antiqua" w:eastAsia="Book Antiqua" w:hAnsi="Book Antiqua" w:cs="Book Antiqua"/>
          <w:i/>
          <w:iCs/>
          <w:color w:val="000000"/>
          <w:shd w:val="clear" w:color="auto" w:fill="FFFFFF"/>
        </w:rPr>
        <w:t>I</w:t>
      </w:r>
      <w:r w:rsidRPr="00DA13F2">
        <w:rPr>
          <w:rFonts w:ascii="Book Antiqua" w:eastAsia="Book Antiqua" w:hAnsi="Book Antiqua" w:cs="Book Antiqua"/>
          <w:i/>
          <w:iCs/>
          <w:color w:val="000000"/>
          <w:shd w:val="clear" w:color="auto" w:fill="FFFFFF"/>
          <w:vertAlign w:val="superscript"/>
        </w:rPr>
        <w:t>2</w:t>
      </w:r>
      <w:r w:rsidR="00C124FD" w:rsidRPr="00DA13F2">
        <w:rPr>
          <w:rFonts w:ascii="Book Antiqua" w:eastAsia="Book Antiqua" w:hAnsi="Book Antiqua" w:cs="Book Antiqua"/>
          <w:color w:val="000000"/>
          <w:shd w:val="clear" w:color="auto" w:fill="FFFFFF"/>
          <w:vertAlign w:val="superscript"/>
        </w:rPr>
        <w:t xml:space="preserve"> </w:t>
      </w:r>
      <w:r w:rsidRPr="00DA13F2">
        <w:rPr>
          <w:rFonts w:ascii="Book Antiqua" w:eastAsia="Book Antiqua" w:hAnsi="Book Antiqua" w:cs="Book Antiqua"/>
          <w:color w:val="000000"/>
          <w:shd w:val="clear" w:color="auto" w:fill="FFFFFF"/>
        </w:rPr>
        <w:t>&lt;</w:t>
      </w:r>
      <w:r w:rsidR="00C124FD"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 xml:space="preserve">25%. The </w:t>
      </w:r>
      <w:r w:rsidR="00846D3B" w:rsidRPr="00DA13F2">
        <w:rPr>
          <w:rFonts w:ascii="Book Antiqua" w:eastAsia="Book Antiqua" w:hAnsi="Book Antiqua" w:cs="Book Antiqua"/>
          <w:i/>
          <w:iCs/>
          <w:color w:val="000000"/>
          <w:shd w:val="clear" w:color="auto" w:fill="FFFFFF"/>
        </w:rPr>
        <w:t xml:space="preserve">Z </w:t>
      </w:r>
      <w:r w:rsidRPr="00DA13F2">
        <w:rPr>
          <w:rFonts w:ascii="Book Antiqua" w:eastAsia="Book Antiqua" w:hAnsi="Book Antiqua" w:cs="Book Antiqua"/>
          <w:color w:val="000000"/>
          <w:shd w:val="clear" w:color="auto" w:fill="FFFFFF"/>
        </w:rPr>
        <w:t xml:space="preserve">test was used to determine the pooled OR, and the significance was set to reject the null hypothesis at </w:t>
      </w:r>
      <w:r w:rsidR="00C124FD" w:rsidRPr="00DA13F2">
        <w:rPr>
          <w:rFonts w:ascii="Book Antiqua" w:eastAsia="Book Antiqua" w:hAnsi="Book Antiqua" w:cs="Book Antiqua"/>
          <w:i/>
          <w:iCs/>
          <w:color w:val="000000"/>
          <w:shd w:val="clear" w:color="auto" w:fill="FFFFFF"/>
        </w:rPr>
        <w:t xml:space="preserve">P </w:t>
      </w:r>
      <w:r w:rsidRPr="00DA13F2">
        <w:rPr>
          <w:rFonts w:ascii="Book Antiqua" w:eastAsia="Book Antiqua" w:hAnsi="Book Antiqua" w:cs="Book Antiqua"/>
          <w:color w:val="000000"/>
          <w:shd w:val="clear" w:color="auto" w:fill="FFFFFF"/>
        </w:rPr>
        <w:t>&lt; 0.05. Funnel plots were undertaken to consider possible bias. Compliance rates were expressed</w:t>
      </w:r>
      <w:r w:rsidR="00A93367" w:rsidRPr="00DA13F2">
        <w:rPr>
          <w:rFonts w:ascii="Book Antiqua" w:eastAsia="Book Antiqua" w:hAnsi="Book Antiqua" w:cs="Book Antiqua"/>
          <w:color w:val="000000"/>
          <w:shd w:val="clear" w:color="auto" w:fill="FFFFFF"/>
        </w:rPr>
        <w:t xml:space="preserve"> as median </w:t>
      </w:r>
      <w:r w:rsidR="002F1A0F">
        <w:rPr>
          <w:rFonts w:ascii="Book Antiqua" w:eastAsia="Book Antiqua" w:hAnsi="Book Antiqua" w:cs="Book Antiqua"/>
          <w:color w:val="000000"/>
          <w:shd w:val="clear" w:color="auto" w:fill="FFFFFF"/>
        </w:rPr>
        <w:t>[</w:t>
      </w:r>
      <w:r w:rsidR="002F1A0F" w:rsidRPr="00DA13F2">
        <w:rPr>
          <w:rFonts w:ascii="Book Antiqua" w:eastAsia="Book Antiqua" w:hAnsi="Book Antiqua" w:cs="Book Antiqua"/>
          <w:color w:val="000000"/>
          <w:shd w:val="clear" w:color="auto" w:fill="FFFFFF"/>
        </w:rPr>
        <w:t>i</w:t>
      </w:r>
      <w:r w:rsidR="00A93367" w:rsidRPr="00DA13F2">
        <w:rPr>
          <w:rFonts w:ascii="Book Antiqua" w:eastAsia="Book Antiqua" w:hAnsi="Book Antiqua" w:cs="Book Antiqua"/>
          <w:color w:val="000000"/>
          <w:shd w:val="clear" w:color="auto" w:fill="FFFFFF"/>
        </w:rPr>
        <w:t>nterquartile range (</w:t>
      </w:r>
      <w:r w:rsidRPr="00DA13F2">
        <w:rPr>
          <w:rFonts w:ascii="Book Antiqua" w:eastAsia="Book Antiqua" w:hAnsi="Book Antiqua" w:cs="Book Antiqua"/>
          <w:color w:val="000000"/>
          <w:shd w:val="clear" w:color="auto" w:fill="FFFFFF"/>
        </w:rPr>
        <w:t>IQR)</w:t>
      </w:r>
      <w:r w:rsidR="002F1A0F">
        <w:rPr>
          <w:rFonts w:ascii="Book Antiqua" w:eastAsia="Book Antiqua" w:hAnsi="Book Antiqua" w:cs="Book Antiqua"/>
          <w:color w:val="000000"/>
          <w:shd w:val="clear" w:color="auto" w:fill="FFFFFF"/>
        </w:rPr>
        <w:t>]</w:t>
      </w:r>
      <w:r w:rsidR="00A93367" w:rsidRPr="00DA13F2">
        <w:rPr>
          <w:rFonts w:ascii="Book Antiqua" w:hAnsi="Book Antiqua"/>
          <w:lang w:eastAsia="zh-CN"/>
        </w:rPr>
        <w:t>.</w:t>
      </w:r>
    </w:p>
    <w:bookmarkEnd w:id="22"/>
    <w:bookmarkEnd w:id="23"/>
    <w:p w14:paraId="02ACC1F3" w14:textId="77777777" w:rsidR="00A93367" w:rsidRPr="00DA13F2" w:rsidRDefault="00A93367" w:rsidP="00DA13F2">
      <w:pPr>
        <w:adjustRightInd w:val="0"/>
        <w:snapToGrid w:val="0"/>
        <w:spacing w:line="360" w:lineRule="auto"/>
        <w:jc w:val="both"/>
        <w:rPr>
          <w:rFonts w:ascii="Book Antiqua" w:hAnsi="Book Antiqua"/>
        </w:rPr>
      </w:pPr>
    </w:p>
    <w:p w14:paraId="3DB6DDB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RESULTS</w:t>
      </w:r>
    </w:p>
    <w:p w14:paraId="2B63DF2A" w14:textId="5E65E889" w:rsidR="00A77B3E" w:rsidRPr="00DA13F2" w:rsidRDefault="004D62F0" w:rsidP="00DA13F2">
      <w:pPr>
        <w:adjustRightInd w:val="0"/>
        <w:snapToGrid w:val="0"/>
        <w:spacing w:line="360" w:lineRule="auto"/>
        <w:jc w:val="both"/>
        <w:rPr>
          <w:rFonts w:ascii="Book Antiqua" w:hAnsi="Book Antiqua"/>
        </w:rPr>
      </w:pPr>
      <w:bookmarkStart w:id="31" w:name="OLE_LINK28"/>
      <w:bookmarkStart w:id="32" w:name="OLE_LINK29"/>
      <w:r w:rsidRPr="00DA13F2">
        <w:rPr>
          <w:rFonts w:ascii="Book Antiqua" w:eastAsia="Book Antiqua" w:hAnsi="Book Antiqua" w:cs="Book Antiqua"/>
          <w:color w:val="000000"/>
          <w:shd w:val="clear" w:color="auto" w:fill="FFFFFF"/>
        </w:rPr>
        <w:t xml:space="preserve">The search yielded a total of 68 articles of which 57 were excluded based on the inclusion and exclusion criteria and following the screening of titles and abstracts (Figure 1). After excluding duplicates, the reviewers identified 11 </w:t>
      </w:r>
      <w:proofErr w:type="gramStart"/>
      <w:r w:rsidRPr="00DA13F2">
        <w:rPr>
          <w:rFonts w:ascii="Book Antiqua" w:eastAsia="Book Antiqua" w:hAnsi="Book Antiqua" w:cs="Book Antiqua"/>
          <w:color w:val="000000"/>
          <w:shd w:val="clear" w:color="auto" w:fill="FFFFFF"/>
        </w:rPr>
        <w:t>studies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6,10,16-24]</w:t>
      </w:r>
      <w:r w:rsidRPr="00DA13F2">
        <w:rPr>
          <w:rFonts w:ascii="Book Antiqua" w:eastAsia="Book Antiqua" w:hAnsi="Book Antiqua" w:cs="Book Antiqua"/>
          <w:color w:val="000000"/>
          <w:shd w:val="clear" w:color="auto" w:fill="FFFFFF"/>
        </w:rPr>
        <w:t xml:space="preserve"> for further analysis. </w:t>
      </w:r>
      <w:r w:rsidRPr="00DA13F2">
        <w:rPr>
          <w:rFonts w:ascii="Book Antiqua" w:eastAsia="Book Antiqua" w:hAnsi="Book Antiqua" w:cs="Book Antiqua"/>
          <w:color w:val="000000"/>
        </w:rPr>
        <w:t xml:space="preserve">The studies included in the analysis were published between January 2010 and November 2020. The sample sizes of the included studies ranged from 82 to 394 patients. Within these 11 </w:t>
      </w:r>
      <w:proofErr w:type="gramStart"/>
      <w:r w:rsidRPr="00DA13F2">
        <w:rPr>
          <w:rFonts w:ascii="Book Antiqua" w:eastAsia="Book Antiqua" w:hAnsi="Book Antiqua" w:cs="Book Antiqua"/>
          <w:color w:val="000000"/>
        </w:rPr>
        <w:t>studies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6,10,16-24]</w:t>
      </w:r>
      <w:r w:rsidRPr="00DA13F2">
        <w:rPr>
          <w:rFonts w:ascii="Book Antiqua" w:eastAsia="Book Antiqua" w:hAnsi="Book Antiqua" w:cs="Book Antiqua"/>
          <w:color w:val="000000"/>
        </w:rPr>
        <w:t xml:space="preserve">, a total of 1852 patients underwent PD and were managed according to their respective institutional clinical pathways. Eight </w:t>
      </w:r>
      <w:proofErr w:type="gramStart"/>
      <w:r w:rsidRPr="00DA13F2">
        <w:rPr>
          <w:rFonts w:ascii="Book Antiqua" w:eastAsia="Book Antiqua" w:hAnsi="Book Antiqua" w:cs="Book Antiqua"/>
          <w:color w:val="000000"/>
        </w:rPr>
        <w:t>studies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6,10,17-19,22-24]</w:t>
      </w:r>
      <w:r w:rsidRPr="00DA13F2">
        <w:rPr>
          <w:rFonts w:ascii="Book Antiqua" w:eastAsia="Book Antiqua" w:hAnsi="Book Antiqua" w:cs="Book Antiqua"/>
          <w:color w:val="000000"/>
        </w:rPr>
        <w:t xml:space="preserve"> stratified patients according to a specific, albeit arbitrary, level of compliance and compared their immediate post-operative outcomes. </w:t>
      </w:r>
      <w:r w:rsidRPr="00DA13F2">
        <w:rPr>
          <w:rFonts w:ascii="Book Antiqua" w:eastAsia="Book Antiqua" w:hAnsi="Book Antiqua" w:cs="Book Antiqua"/>
          <w:color w:val="000000"/>
          <w:shd w:val="clear" w:color="auto" w:fill="FFFFFF"/>
        </w:rPr>
        <w:t>The characteristics, methodology and conclusions of the included studies are provided in Table</w:t>
      </w:r>
      <w:r w:rsidR="00846D3B" w:rsidRPr="00DA13F2">
        <w:rPr>
          <w:rFonts w:ascii="Book Antiqua" w:eastAsia="Book Antiqua" w:hAnsi="Book Antiqua" w:cs="Book Antiqua"/>
          <w:color w:val="000000"/>
          <w:shd w:val="clear" w:color="auto" w:fill="FFFFFF"/>
        </w:rPr>
        <w:t>s</w:t>
      </w:r>
      <w:r w:rsidRPr="00DA13F2">
        <w:rPr>
          <w:rFonts w:ascii="Book Antiqua" w:eastAsia="Book Antiqua" w:hAnsi="Book Antiqua" w:cs="Book Antiqua"/>
          <w:color w:val="000000"/>
          <w:shd w:val="clear" w:color="auto" w:fill="FFFFFF"/>
        </w:rPr>
        <w:t xml:space="preserve"> 1 and </w:t>
      </w:r>
      <w:r w:rsidRPr="00DA13F2">
        <w:rPr>
          <w:rFonts w:ascii="Book Antiqua" w:eastAsia="Book Antiqua" w:hAnsi="Book Antiqua" w:cs="Book Antiqua"/>
          <w:color w:val="000000"/>
        </w:rPr>
        <w:t xml:space="preserve">2. </w:t>
      </w:r>
      <w:r w:rsidRPr="00DA13F2">
        <w:rPr>
          <w:rFonts w:ascii="Book Antiqua" w:eastAsia="Book Antiqua" w:hAnsi="Book Antiqua" w:cs="Book Antiqua"/>
          <w:color w:val="000000"/>
          <w:shd w:val="clear" w:color="auto" w:fill="FFFFFF"/>
        </w:rPr>
        <w:t xml:space="preserve">The included clinical pathways were quite heterogeneous in terms of the parameters used (Supplementary Table 1). Out of the 11 studies, 5 of </w:t>
      </w:r>
      <w:proofErr w:type="gramStart"/>
      <w:r w:rsidRPr="00DA13F2">
        <w:rPr>
          <w:rFonts w:ascii="Book Antiqua" w:eastAsia="Book Antiqua" w:hAnsi="Book Antiqua" w:cs="Book Antiqua"/>
          <w:color w:val="000000"/>
          <w:shd w:val="clear" w:color="auto" w:fill="FFFFFF"/>
        </w:rPr>
        <w:t>them</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6,17,18,22,24]</w:t>
      </w:r>
      <w:r w:rsidRPr="00DA13F2">
        <w:rPr>
          <w:rFonts w:ascii="Book Antiqua" w:eastAsia="Book Antiqua" w:hAnsi="Book Antiqua" w:cs="Book Antiqua"/>
          <w:color w:val="000000"/>
          <w:shd w:val="clear" w:color="auto" w:fill="FFFFFF"/>
        </w:rPr>
        <w:t xml:space="preserve"> were included in the meta-analysis (Figure 1). The methodological quality of all included manuscripts was deemed acceptable as per </w:t>
      </w:r>
      <w:r w:rsidR="00683548" w:rsidRPr="00DA13F2">
        <w:rPr>
          <w:rFonts w:ascii="Book Antiqua" w:eastAsia="Book Antiqua" w:hAnsi="Book Antiqua" w:cs="Book Antiqua"/>
          <w:color w:val="000000"/>
        </w:rPr>
        <w:t>Newcastle–Ottawa Scale</w:t>
      </w:r>
      <w:r w:rsidRPr="00DA13F2">
        <w:rPr>
          <w:rFonts w:ascii="Book Antiqua" w:eastAsia="Book Antiqua" w:hAnsi="Book Antiqua" w:cs="Book Antiqua"/>
          <w:color w:val="000000"/>
          <w:shd w:val="clear" w:color="auto" w:fill="FFFFFF"/>
        </w:rPr>
        <w:t>.</w:t>
      </w:r>
    </w:p>
    <w:p w14:paraId="7520294E" w14:textId="77777777" w:rsidR="00A77B3E" w:rsidRPr="00DA13F2" w:rsidRDefault="00A77B3E" w:rsidP="00DA13F2">
      <w:pPr>
        <w:adjustRightInd w:val="0"/>
        <w:snapToGrid w:val="0"/>
        <w:spacing w:line="360" w:lineRule="auto"/>
        <w:jc w:val="both"/>
        <w:rPr>
          <w:rFonts w:ascii="Book Antiqua" w:hAnsi="Book Antiqua"/>
        </w:rPr>
      </w:pPr>
    </w:p>
    <w:p w14:paraId="6DDD8B7F" w14:textId="7012EAD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Included </w:t>
      </w:r>
      <w:r w:rsidR="006A6595" w:rsidRPr="00DA13F2">
        <w:rPr>
          <w:rFonts w:ascii="Book Antiqua" w:eastAsia="Book Antiqua" w:hAnsi="Book Antiqua" w:cs="Book Antiqua"/>
          <w:b/>
          <w:bCs/>
          <w:i/>
          <w:iCs/>
          <w:color w:val="000000"/>
        </w:rPr>
        <w:t>studies</w:t>
      </w:r>
    </w:p>
    <w:p w14:paraId="673D7235" w14:textId="4AC0D1E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The 11 studies </w:t>
      </w:r>
      <w:proofErr w:type="spellStart"/>
      <w:r w:rsidRPr="00DA13F2">
        <w:rPr>
          <w:rFonts w:ascii="Book Antiqua" w:eastAsia="Book Antiqua" w:hAnsi="Book Antiqua" w:cs="Book Antiqua"/>
          <w:color w:val="000000"/>
        </w:rPr>
        <w:t>analysed</w:t>
      </w:r>
      <w:proofErr w:type="spellEnd"/>
      <w:r w:rsidRPr="00DA13F2">
        <w:rPr>
          <w:rFonts w:ascii="Book Antiqua" w:eastAsia="Book Antiqua" w:hAnsi="Book Antiqua" w:cs="Book Antiqua"/>
          <w:color w:val="000000"/>
        </w:rPr>
        <w:t xml:space="preserve"> (Table 1) included 6 </w:t>
      </w:r>
      <w:proofErr w:type="gramStart"/>
      <w:r w:rsidRPr="00DA13F2">
        <w:rPr>
          <w:rFonts w:ascii="Book Antiqua" w:eastAsia="Book Antiqua" w:hAnsi="Book Antiqua" w:cs="Book Antiqua"/>
          <w:color w:val="000000"/>
        </w:rPr>
        <w:t>prospective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10,16,17,21-23]</w:t>
      </w:r>
      <w:r w:rsidRPr="00DA13F2">
        <w:rPr>
          <w:rFonts w:ascii="Book Antiqua" w:eastAsia="Book Antiqua" w:hAnsi="Book Antiqua" w:cs="Book Antiqua"/>
          <w:color w:val="000000"/>
        </w:rPr>
        <w:t xml:space="preserve"> and 5 retrospective</w:t>
      </w:r>
      <w:r w:rsidRPr="00DA13F2">
        <w:rPr>
          <w:rFonts w:ascii="Book Antiqua" w:eastAsia="Book Antiqua" w:hAnsi="Book Antiqua" w:cs="Book Antiqua"/>
          <w:color w:val="000000"/>
          <w:vertAlign w:val="superscript"/>
        </w:rPr>
        <w:t>[6,18-20,24]</w:t>
      </w:r>
      <w:r w:rsidRPr="00DA13F2">
        <w:rPr>
          <w:rFonts w:ascii="Book Antiqua" w:eastAsia="Book Antiqua" w:hAnsi="Book Antiqua" w:cs="Book Antiqua"/>
          <w:color w:val="000000"/>
        </w:rPr>
        <w:t xml:space="preserve"> studies all published since 2014. There were 2 publications from </w:t>
      </w:r>
      <w:proofErr w:type="gramStart"/>
      <w:r w:rsidRPr="00DA13F2">
        <w:rPr>
          <w:rFonts w:ascii="Book Antiqua" w:eastAsia="Book Antiqua" w:hAnsi="Book Antiqua" w:cs="Book Antiqua"/>
          <w:color w:val="000000"/>
        </w:rPr>
        <w:t>India</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11,23]</w:t>
      </w:r>
      <w:r w:rsidRPr="00DA13F2">
        <w:rPr>
          <w:rFonts w:ascii="Book Antiqua" w:eastAsia="Book Antiqua" w:hAnsi="Book Antiqua" w:cs="Book Antiqua"/>
          <w:color w:val="000000"/>
        </w:rPr>
        <w:t>, Canada</w:t>
      </w:r>
      <w:r w:rsidRPr="00DA13F2">
        <w:rPr>
          <w:rFonts w:ascii="Book Antiqua" w:eastAsia="Book Antiqua" w:hAnsi="Book Antiqua" w:cs="Book Antiqua"/>
          <w:color w:val="000000"/>
          <w:vertAlign w:val="superscript"/>
        </w:rPr>
        <w:t>[18,20]</w:t>
      </w:r>
      <w:r w:rsidRPr="00DA13F2">
        <w:rPr>
          <w:rFonts w:ascii="Book Antiqua" w:eastAsia="Book Antiqua" w:hAnsi="Book Antiqua" w:cs="Book Antiqua"/>
          <w:color w:val="000000"/>
        </w:rPr>
        <w:t xml:space="preserve"> and Italy</w:t>
      </w:r>
      <w:r w:rsidRPr="00DA13F2">
        <w:rPr>
          <w:rFonts w:ascii="Book Antiqua" w:eastAsia="Book Antiqua" w:hAnsi="Book Antiqua" w:cs="Book Antiqua"/>
          <w:color w:val="000000"/>
          <w:vertAlign w:val="superscript"/>
        </w:rPr>
        <w:t>[16,22]</w:t>
      </w:r>
      <w:r w:rsidRPr="00DA13F2">
        <w:rPr>
          <w:rFonts w:ascii="Book Antiqua" w:eastAsia="Book Antiqua" w:hAnsi="Book Antiqua" w:cs="Book Antiqua"/>
          <w:color w:val="000000"/>
        </w:rPr>
        <w:t>, and 1 each from Switzerland</w:t>
      </w:r>
      <w:r w:rsidRPr="00DA13F2">
        <w:rPr>
          <w:rFonts w:ascii="Book Antiqua" w:eastAsia="Book Antiqua" w:hAnsi="Book Antiqua" w:cs="Book Antiqua"/>
          <w:color w:val="000000"/>
          <w:vertAlign w:val="superscript"/>
        </w:rPr>
        <w:t>[19]</w:t>
      </w:r>
      <w:r w:rsidRPr="00DA13F2">
        <w:rPr>
          <w:rFonts w:ascii="Book Antiqua" w:eastAsia="Book Antiqua" w:hAnsi="Book Antiqua" w:cs="Book Antiqua"/>
          <w:color w:val="000000"/>
        </w:rPr>
        <w:t>, Israel</w:t>
      </w:r>
      <w:r w:rsidRPr="00DA13F2">
        <w:rPr>
          <w:rFonts w:ascii="Book Antiqua" w:eastAsia="Book Antiqua" w:hAnsi="Book Antiqua" w:cs="Book Antiqua"/>
          <w:color w:val="000000"/>
          <w:vertAlign w:val="superscript"/>
        </w:rPr>
        <w:t>[21]</w:t>
      </w:r>
      <w:r w:rsidRPr="00DA13F2">
        <w:rPr>
          <w:rFonts w:ascii="Book Antiqua" w:eastAsia="Book Antiqua" w:hAnsi="Book Antiqua" w:cs="Book Antiqua"/>
          <w:color w:val="000000"/>
        </w:rPr>
        <w:t>, Sweden</w:t>
      </w:r>
      <w:r w:rsidRPr="00DA13F2">
        <w:rPr>
          <w:rFonts w:ascii="Book Antiqua" w:eastAsia="Book Antiqua" w:hAnsi="Book Antiqua" w:cs="Book Antiqua"/>
          <w:color w:val="000000"/>
          <w:vertAlign w:val="superscript"/>
        </w:rPr>
        <w:t>[24]</w:t>
      </w:r>
      <w:r w:rsidRPr="00DA13F2">
        <w:rPr>
          <w:rFonts w:ascii="Book Antiqua" w:eastAsia="Book Antiqua" w:hAnsi="Book Antiqua" w:cs="Book Antiqua"/>
          <w:color w:val="000000"/>
        </w:rPr>
        <w:t xml:space="preserve"> and Greece</w:t>
      </w:r>
      <w:r w:rsidRPr="00DA13F2">
        <w:rPr>
          <w:rFonts w:ascii="Book Antiqua" w:eastAsia="Book Antiqua" w:hAnsi="Book Antiqua" w:cs="Book Antiqua"/>
          <w:color w:val="000000"/>
          <w:vertAlign w:val="superscript"/>
        </w:rPr>
        <w:t>[24]</w:t>
      </w:r>
      <w:r w:rsidRPr="00DA13F2">
        <w:rPr>
          <w:rFonts w:ascii="Book Antiqua" w:eastAsia="Book Antiqua" w:hAnsi="Book Antiqua" w:cs="Book Antiqua"/>
          <w:color w:val="000000"/>
        </w:rPr>
        <w:t xml:space="preserve">, all from single </w:t>
      </w:r>
      <w:proofErr w:type="spellStart"/>
      <w:r w:rsidRPr="00DA13F2">
        <w:rPr>
          <w:rFonts w:ascii="Book Antiqua" w:eastAsia="Book Antiqua" w:hAnsi="Book Antiqua" w:cs="Book Antiqua"/>
          <w:color w:val="000000"/>
        </w:rPr>
        <w:t>centres</w:t>
      </w:r>
      <w:proofErr w:type="spellEnd"/>
      <w:r w:rsidRPr="00DA13F2">
        <w:rPr>
          <w:rFonts w:ascii="Book Antiqua" w:eastAsia="Book Antiqua" w:hAnsi="Book Antiqua" w:cs="Book Antiqua"/>
          <w:color w:val="000000"/>
        </w:rPr>
        <w:t xml:space="preserve">, with 1 publication from multiple </w:t>
      </w:r>
      <w:proofErr w:type="spellStart"/>
      <w:r w:rsidRPr="00DA13F2">
        <w:rPr>
          <w:rFonts w:ascii="Book Antiqua" w:eastAsia="Book Antiqua" w:hAnsi="Book Antiqua" w:cs="Book Antiqua"/>
          <w:color w:val="000000"/>
        </w:rPr>
        <w:t>centres</w:t>
      </w:r>
      <w:proofErr w:type="spellEnd"/>
      <w:r w:rsidRPr="00DA13F2">
        <w:rPr>
          <w:rFonts w:ascii="Book Antiqua" w:eastAsia="Book Antiqua" w:hAnsi="Book Antiqua" w:cs="Book Antiqua"/>
          <w:color w:val="000000"/>
        </w:rPr>
        <w:t xml:space="preserve"> in Europe</w:t>
      </w:r>
      <w:r w:rsidRPr="00DA13F2">
        <w:rPr>
          <w:rFonts w:ascii="Book Antiqua" w:eastAsia="Book Antiqua" w:hAnsi="Book Antiqua" w:cs="Book Antiqua"/>
          <w:color w:val="000000"/>
          <w:vertAlign w:val="superscript"/>
        </w:rPr>
        <w:t>[10]</w:t>
      </w:r>
      <w:r w:rsidRPr="00DA13F2">
        <w:rPr>
          <w:rFonts w:ascii="Book Antiqua" w:eastAsia="Book Antiqua" w:hAnsi="Book Antiqua" w:cs="Book Antiqua"/>
          <w:color w:val="000000"/>
        </w:rPr>
        <w:t>. The median overall compliance to all components of the clinical pathway was 65.7% (IQR: 62.7</w:t>
      </w:r>
      <w:r w:rsidR="00E64A76" w:rsidRPr="00DA13F2">
        <w:rPr>
          <w:rFonts w:ascii="Book Antiqua" w:eastAsia="Book Antiqua" w:hAnsi="Book Antiqua" w:cs="Book Antiqua"/>
          <w:color w:val="000000"/>
        </w:rPr>
        <w:t>%</w:t>
      </w:r>
      <w:r w:rsidRPr="00DA13F2">
        <w:rPr>
          <w:rFonts w:ascii="Book Antiqua" w:eastAsia="Book Antiqua" w:hAnsi="Book Antiqua" w:cs="Book Antiqua"/>
          <w:color w:val="000000"/>
        </w:rPr>
        <w:t>-72.3%) with median compliance to post-operative parameters of the clinical pathway being 44% (IQR: 34.5</w:t>
      </w:r>
      <w:r w:rsidR="00E64A76" w:rsidRPr="00DA13F2">
        <w:rPr>
          <w:rFonts w:ascii="Book Antiqua" w:eastAsia="Book Antiqua" w:hAnsi="Book Antiqua" w:cs="Book Antiqua"/>
          <w:color w:val="000000"/>
        </w:rPr>
        <w:t>%</w:t>
      </w:r>
      <w:r w:rsidRPr="00DA13F2">
        <w:rPr>
          <w:rFonts w:ascii="Book Antiqua" w:eastAsia="Book Antiqua" w:hAnsi="Book Antiqua" w:cs="Book Antiqua"/>
          <w:color w:val="000000"/>
        </w:rPr>
        <w:t>-52.25%) in the 4 included studies that reported the values.</w:t>
      </w:r>
    </w:p>
    <w:p w14:paraId="5E8BBCE0" w14:textId="77777777" w:rsidR="006A6595"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Table 2 provides an overview of the </w:t>
      </w:r>
      <w:proofErr w:type="gramStart"/>
      <w:r w:rsidRPr="00DA13F2">
        <w:rPr>
          <w:rFonts w:ascii="Book Antiqua" w:eastAsia="Book Antiqua" w:hAnsi="Book Antiqua" w:cs="Book Antiqua"/>
          <w:color w:val="000000"/>
        </w:rPr>
        <w:t>morbidity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25]</w:t>
      </w:r>
      <w:r w:rsidRPr="00DA13F2">
        <w:rPr>
          <w:rFonts w:ascii="Book Antiqua" w:eastAsia="Book Antiqua" w:hAnsi="Book Antiqua" w:cs="Book Antiqua"/>
          <w:color w:val="000000"/>
        </w:rPr>
        <w:t>, mortality and readmission rates in the various studies included in the analysis along with the length of stay and impact of deviations from/compliance to the clinical pathway parameters. The major effects of deviations from clinical pathways are on length of stay and complications. These aspects have been addressed in further detail in the meta-analysis below.</w:t>
      </w:r>
    </w:p>
    <w:p w14:paraId="056A45E4" w14:textId="0B3A81A1"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 rates of adherence to individual parameters within the clinical pathways in the various studies are presented in Supplementary Table 1.</w:t>
      </w:r>
    </w:p>
    <w:p w14:paraId="5907E902" w14:textId="77777777" w:rsidR="00A77B3E" w:rsidRPr="00DA13F2" w:rsidRDefault="00A77B3E" w:rsidP="00DA13F2">
      <w:pPr>
        <w:adjustRightInd w:val="0"/>
        <w:snapToGrid w:val="0"/>
        <w:spacing w:line="360" w:lineRule="auto"/>
        <w:jc w:val="both"/>
        <w:rPr>
          <w:rFonts w:ascii="Book Antiqua" w:hAnsi="Book Antiqua"/>
        </w:rPr>
      </w:pPr>
    </w:p>
    <w:p w14:paraId="1F82DFE0" w14:textId="0C2D9E6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i/>
          <w:iCs/>
          <w:color w:val="000000"/>
        </w:rPr>
        <w:t xml:space="preserve">Impact </w:t>
      </w:r>
      <w:r w:rsidR="00E64A76" w:rsidRPr="00DA13F2">
        <w:rPr>
          <w:rFonts w:ascii="Book Antiqua" w:eastAsia="Book Antiqua" w:hAnsi="Book Antiqua" w:cs="Book Antiqua"/>
          <w:b/>
          <w:bCs/>
          <w:i/>
          <w:iCs/>
          <w:color w:val="000000"/>
        </w:rPr>
        <w:t>of deviations/non-compliance from clinical pathway on post-operative outcomes</w:t>
      </w:r>
    </w:p>
    <w:p w14:paraId="7AD3484C" w14:textId="7EA0F454"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The results of meta-analysis using a fixed-effects model showed that less frequent the deviation from clinical pathway objectively (expressed as ≥</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with the prescribed parameters) resulted in significantly fewer post-operative complications (pooled OR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9.46,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5.00-17.90; </w:t>
      </w:r>
      <w:r w:rsidR="00E64A76"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(Figure 2</w:t>
      </w:r>
      <w:r w:rsidR="00E64A76" w:rsidRPr="00DA13F2">
        <w:rPr>
          <w:rFonts w:ascii="Book Antiqua" w:eastAsia="Book Antiqua" w:hAnsi="Book Antiqua" w:cs="Book Antiqua"/>
          <w:color w:val="000000"/>
        </w:rPr>
        <w:t>A</w:t>
      </w:r>
      <w:r w:rsidRPr="00DA13F2">
        <w:rPr>
          <w:rFonts w:ascii="Book Antiqua" w:eastAsia="Book Antiqua" w:hAnsi="Book Antiqua" w:cs="Book Antiqua"/>
          <w:color w:val="000000"/>
        </w:rPr>
        <w:t>). There was moderate heterogeneity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60% and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0.11) between the included studies. Patients with a 100% compliance demonstrated a significantly reduced risk of complications (pooled OR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11.25,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4.71-26.84; </w:t>
      </w:r>
      <w:r w:rsidR="00E64A76"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0.00001) </w:t>
      </w:r>
      <w:r w:rsidRPr="00DA13F2">
        <w:rPr>
          <w:rFonts w:ascii="Book Antiqua" w:eastAsia="Book Antiqua" w:hAnsi="Book Antiqua" w:cs="Book Antiqua"/>
          <w:color w:val="000000"/>
        </w:rPr>
        <w:lastRenderedPageBreak/>
        <w:t>(Figure 2</w:t>
      </w:r>
      <w:r w:rsidR="00E64A76" w:rsidRPr="00DA13F2">
        <w:rPr>
          <w:rFonts w:ascii="Book Antiqua" w:eastAsia="Book Antiqua" w:hAnsi="Book Antiqua" w:cs="Book Antiqua"/>
          <w:color w:val="000000"/>
        </w:rPr>
        <w:t>B</w:t>
      </w:r>
      <w:r w:rsidRPr="00DA13F2">
        <w:rPr>
          <w:rFonts w:ascii="Book Antiqua" w:eastAsia="Book Antiqua" w:hAnsi="Book Antiqua" w:cs="Book Antiqua"/>
          <w:b/>
          <w:bCs/>
          <w:i/>
          <w:iCs/>
          <w:color w:val="000000"/>
        </w:rPr>
        <w:t>)</w:t>
      </w:r>
      <w:r w:rsidRPr="00DA13F2">
        <w:rPr>
          <w:rFonts w:ascii="Book Antiqua" w:eastAsia="Book Antiqua" w:hAnsi="Book Antiqua" w:cs="Book Antiqua"/>
          <w:color w:val="000000"/>
        </w:rPr>
        <w:t>. There was no heterogeneity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0%;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0.80) between the included studies.</w:t>
      </w:r>
    </w:p>
    <w:p w14:paraId="35106462" w14:textId="71C9E90C"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Patients with ≥</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with the prescribed parameters also had a significantly shorter length of hospital stay (pooled MD</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4.32,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-3.88 to -4.75; </w:t>
      </w:r>
      <w:r w:rsidR="00E64A76" w:rsidRPr="00DA13F2">
        <w:rPr>
          <w:rFonts w:ascii="Book Antiqua" w:eastAsia="Book Antiqua" w:hAnsi="Book Antiqua" w:cs="Book Antiqua"/>
          <w:i/>
          <w:iCs/>
          <w:color w:val="000000"/>
        </w:rPr>
        <w:t>P</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 (Figure 3</w:t>
      </w:r>
      <w:r w:rsidR="00E64A76" w:rsidRPr="00DA13F2">
        <w:rPr>
          <w:rFonts w:ascii="Book Antiqua" w:eastAsia="Book Antiqua" w:hAnsi="Book Antiqua" w:cs="Book Antiqua"/>
          <w:color w:val="000000"/>
        </w:rPr>
        <w:t>A</w:t>
      </w:r>
      <w:r w:rsidRPr="00DA13F2">
        <w:rPr>
          <w:rFonts w:ascii="Book Antiqua" w:eastAsia="Book Antiqua" w:hAnsi="Book Antiqua" w:cs="Book Antiqua"/>
          <w:b/>
          <w:bCs/>
          <w:i/>
          <w:iCs/>
          <w:color w:val="000000"/>
        </w:rPr>
        <w:t>)</w:t>
      </w:r>
      <w:r w:rsidRPr="00DA13F2">
        <w:rPr>
          <w:rFonts w:ascii="Book Antiqua" w:eastAsia="Book Antiqua" w:hAnsi="Book Antiqua" w:cs="Book Antiqua"/>
          <w:color w:val="000000"/>
        </w:rPr>
        <w:t>. There was moderate heterogeneity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52% and </w:t>
      </w:r>
      <w:r w:rsidR="00E64A76" w:rsidRPr="00DA13F2">
        <w:rPr>
          <w:rFonts w:ascii="Book Antiqua" w:eastAsia="Book Antiqua" w:hAnsi="Book Antiqua" w:cs="Book Antiqua"/>
          <w:i/>
          <w:iCs/>
          <w:color w:val="000000"/>
        </w:rPr>
        <w:t xml:space="preserve">P </w:t>
      </w:r>
      <w:r w:rsidRPr="00DA13F2">
        <w:rPr>
          <w:rFonts w:ascii="Book Antiqua" w:eastAsia="Book Antiqua" w:hAnsi="Book Antiqua" w:cs="Book Antiqua"/>
          <w:i/>
          <w:iCs/>
          <w:color w:val="000000"/>
        </w:rPr>
        <w:t>=</w:t>
      </w:r>
      <w:r w:rsidR="00E64A76" w:rsidRPr="00DA13F2">
        <w:rPr>
          <w:rFonts w:ascii="Book Antiqua" w:eastAsia="Book Antiqua" w:hAnsi="Book Antiqua" w:cs="Book Antiqua"/>
          <w:i/>
          <w:iCs/>
          <w:color w:val="000000"/>
        </w:rPr>
        <w:t xml:space="preserve"> </w:t>
      </w:r>
      <w:r w:rsidRPr="00DA13F2">
        <w:rPr>
          <w:rFonts w:ascii="Book Antiqua" w:eastAsia="Book Antiqua" w:hAnsi="Book Antiqua" w:cs="Book Antiqua"/>
          <w:color w:val="000000"/>
        </w:rPr>
        <w:t>0.15).</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A 100% compliance to the pathway resulted in a significantly reduced hospital stay (pooled MD of 4.66, 95%CI</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2.81-6.51; </w:t>
      </w:r>
      <w:r w:rsidR="00E64A76" w:rsidRPr="00DA13F2">
        <w:rPr>
          <w:rFonts w:ascii="Book Antiqua" w:eastAsia="Book Antiqua" w:hAnsi="Book Antiqua" w:cs="Book Antiqua"/>
          <w:i/>
          <w:iCs/>
          <w:color w:val="000000"/>
        </w:rPr>
        <w:t>P</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 (Figure 3</w:t>
      </w:r>
      <w:r w:rsidR="006A6595" w:rsidRPr="00DA13F2">
        <w:rPr>
          <w:rFonts w:ascii="Book Antiqua" w:eastAsia="Book Antiqua" w:hAnsi="Book Antiqua" w:cs="Book Antiqua"/>
          <w:color w:val="000000"/>
        </w:rPr>
        <w:t>B</w:t>
      </w:r>
      <w:r w:rsidRPr="00DA13F2">
        <w:rPr>
          <w:rFonts w:ascii="Book Antiqua" w:eastAsia="Book Antiqua" w:hAnsi="Book Antiqua" w:cs="Book Antiqua"/>
          <w:color w:val="000000"/>
        </w:rPr>
        <w:t>). However, there was significant heterogeneity between the included studies (</w:t>
      </w:r>
      <w:r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90% and </w:t>
      </w:r>
      <w:r w:rsidR="00E64A76" w:rsidRPr="00DA13F2">
        <w:rPr>
          <w:rFonts w:ascii="Book Antiqua" w:eastAsia="Book Antiqua" w:hAnsi="Book Antiqua" w:cs="Book Antiqua"/>
          <w:i/>
          <w:iCs/>
          <w:color w:val="000000"/>
        </w:rPr>
        <w:t>P</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E64A7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p>
    <w:p w14:paraId="50E7D413" w14:textId="69FE7348"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There was minimal publication bias in the included studies as assessed by funnel plots (Figures 2</w:t>
      </w:r>
      <w:r w:rsidR="00E64A76" w:rsidRPr="00DA13F2">
        <w:rPr>
          <w:rFonts w:ascii="Book Antiqua" w:eastAsia="Book Antiqua" w:hAnsi="Book Antiqua" w:cs="Book Antiqua"/>
          <w:color w:val="000000"/>
        </w:rPr>
        <w:t xml:space="preserve"> and </w:t>
      </w:r>
      <w:r w:rsidRPr="00DA13F2">
        <w:rPr>
          <w:rFonts w:ascii="Book Antiqua" w:eastAsia="Book Antiqua" w:hAnsi="Book Antiqua" w:cs="Book Antiqua"/>
          <w:color w:val="000000"/>
        </w:rPr>
        <w:t>3).</w:t>
      </w:r>
    </w:p>
    <w:bookmarkEnd w:id="31"/>
    <w:bookmarkEnd w:id="32"/>
    <w:p w14:paraId="68BFB9E3" w14:textId="77777777" w:rsidR="00A77B3E" w:rsidRPr="00DA13F2" w:rsidRDefault="00A77B3E" w:rsidP="00DA13F2">
      <w:pPr>
        <w:adjustRightInd w:val="0"/>
        <w:snapToGrid w:val="0"/>
        <w:spacing w:line="360" w:lineRule="auto"/>
        <w:jc w:val="both"/>
        <w:rPr>
          <w:rFonts w:ascii="Book Antiqua" w:hAnsi="Book Antiqua"/>
        </w:rPr>
      </w:pPr>
    </w:p>
    <w:p w14:paraId="1E4B234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DISCUSSION</w:t>
      </w:r>
    </w:p>
    <w:p w14:paraId="64824750" w14:textId="54F74511" w:rsidR="00A77B3E" w:rsidRPr="00DA13F2" w:rsidRDefault="004D62F0" w:rsidP="00DA13F2">
      <w:pPr>
        <w:adjustRightInd w:val="0"/>
        <w:snapToGrid w:val="0"/>
        <w:spacing w:line="360" w:lineRule="auto"/>
        <w:jc w:val="both"/>
        <w:rPr>
          <w:rFonts w:ascii="Book Antiqua" w:hAnsi="Book Antiqua"/>
        </w:rPr>
      </w:pPr>
      <w:bookmarkStart w:id="33" w:name="OLE_LINK30"/>
      <w:bookmarkStart w:id="34" w:name="OLE_LINK31"/>
      <w:r w:rsidRPr="00DA13F2">
        <w:rPr>
          <w:rFonts w:ascii="Book Antiqua" w:eastAsia="Book Antiqua" w:hAnsi="Book Antiqua" w:cs="Book Antiqua"/>
          <w:color w:val="000000"/>
        </w:rPr>
        <w:t>These data highlight the importance of deviations from clinical pathways in PD on post-operative outcomes especially development of all complications (pancreas-specific, as well as, medical) and duration of length of stay. Individual studies also highlighted that reduced compliance with parameters assessed within the pathways was associated with a higher likelihood of needing re-</w:t>
      </w:r>
      <w:proofErr w:type="gramStart"/>
      <w:r w:rsidRPr="00DA13F2">
        <w:rPr>
          <w:rFonts w:ascii="Book Antiqua" w:eastAsia="Book Antiqua" w:hAnsi="Book Antiqua" w:cs="Book Antiqua"/>
          <w:color w:val="000000"/>
        </w:rPr>
        <w:t>exploration</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23]</w:t>
      </w:r>
      <w:r w:rsidRPr="00DA13F2">
        <w:rPr>
          <w:rFonts w:ascii="Book Antiqua" w:eastAsia="Book Antiqua" w:hAnsi="Book Antiqua" w:cs="Book Antiqua"/>
          <w:color w:val="000000"/>
        </w:rPr>
        <w:t>, higher mortality</w:t>
      </w:r>
      <w:r w:rsidRPr="00DA13F2">
        <w:rPr>
          <w:rFonts w:ascii="Book Antiqua" w:eastAsia="Book Antiqua" w:hAnsi="Book Antiqua" w:cs="Book Antiqua"/>
          <w:color w:val="000000"/>
          <w:vertAlign w:val="superscript"/>
        </w:rPr>
        <w:t>[6,23]</w:t>
      </w:r>
      <w:r w:rsidRPr="00DA13F2">
        <w:rPr>
          <w:rFonts w:ascii="Book Antiqua" w:eastAsia="Book Antiqua" w:hAnsi="Book Antiqua" w:cs="Book Antiqua"/>
          <w:color w:val="000000"/>
        </w:rPr>
        <w:t>, 90-d readmission rates</w:t>
      </w:r>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xml:space="preserve"> and overall hospitalization-related costs</w:t>
      </w:r>
      <w:r w:rsidRPr="00DA13F2">
        <w:rPr>
          <w:rFonts w:ascii="Book Antiqua" w:eastAsia="Book Antiqua" w:hAnsi="Book Antiqua" w:cs="Book Antiqua"/>
          <w:color w:val="000000"/>
          <w:vertAlign w:val="superscript"/>
        </w:rPr>
        <w:t>[18]</w:t>
      </w:r>
      <w:r w:rsidRPr="00DA13F2">
        <w:rPr>
          <w:rFonts w:ascii="Book Antiqua" w:eastAsia="Book Antiqua" w:hAnsi="Book Antiqua" w:cs="Book Antiqua"/>
          <w:color w:val="000000"/>
        </w:rPr>
        <w:t>.</w:t>
      </w:r>
    </w:p>
    <w:p w14:paraId="74F6A4F8" w14:textId="1EFF0C68"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 addition of ERAS</w:t>
      </w:r>
      <w:r w:rsidRPr="002F1A0F">
        <w:rPr>
          <w:rFonts w:ascii="Book Antiqua" w:eastAsia="Book Antiqua" w:hAnsi="Book Antiqua" w:cs="Book Antiqua"/>
          <w:color w:val="000000"/>
          <w:vertAlign w:val="superscript"/>
        </w:rPr>
        <w:t>®</w:t>
      </w:r>
      <w:r w:rsidRPr="00DA13F2">
        <w:rPr>
          <w:rFonts w:ascii="Book Antiqua" w:eastAsia="Book Antiqua" w:hAnsi="Book Antiqua" w:cs="Book Antiqua"/>
          <w:color w:val="000000"/>
        </w:rPr>
        <w:t xml:space="preserve"> to the pancreatic surgeons armamentarium has certainly helped improve </w:t>
      </w:r>
      <w:proofErr w:type="gramStart"/>
      <w:r w:rsidRPr="00DA13F2">
        <w:rPr>
          <w:rFonts w:ascii="Book Antiqua" w:eastAsia="Book Antiqua" w:hAnsi="Book Antiqua" w:cs="Book Antiqua"/>
          <w:color w:val="000000"/>
        </w:rPr>
        <w:t>outcomes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26,27]</w:t>
      </w:r>
      <w:r w:rsidRPr="00DA13F2">
        <w:rPr>
          <w:rFonts w:ascii="Book Antiqua" w:eastAsia="Book Antiqua" w:hAnsi="Book Antiqua" w:cs="Book Antiqua"/>
          <w:color w:val="000000"/>
        </w:rPr>
        <w:t xml:space="preserve">, especially reductions in </w:t>
      </w:r>
      <w:r w:rsidRPr="00DA13F2">
        <w:rPr>
          <w:rFonts w:ascii="Book Antiqua" w:eastAsia="Book Antiqua" w:hAnsi="Book Antiqua" w:cs="Book Antiqua"/>
          <w:color w:val="000000"/>
          <w:shd w:val="clear" w:color="auto" w:fill="FFFFFF"/>
        </w:rPr>
        <w:t>overall and minor morbidity, incidences of delayed gastric emptying, incisional and intra-abdominal infections, and shortened length of stay, without increasing 30-d readmission and mortality</w:t>
      </w:r>
      <w:r w:rsidRPr="00DA13F2">
        <w:rPr>
          <w:rFonts w:ascii="Book Antiqua" w:eastAsia="Book Antiqua" w:hAnsi="Book Antiqua" w:cs="Book Antiqua"/>
          <w:color w:val="000000"/>
          <w:shd w:val="clear" w:color="auto" w:fill="FFFFFF"/>
          <w:vertAlign w:val="superscript"/>
        </w:rPr>
        <w:t>[9]</w:t>
      </w:r>
      <w:r w:rsidRPr="00DA13F2">
        <w:rPr>
          <w:rFonts w:ascii="Book Antiqua" w:eastAsia="Book Antiqua" w:hAnsi="Book Antiqua" w:cs="Book Antiqua"/>
          <w:color w:val="000000"/>
          <w:shd w:val="clear" w:color="auto" w:fill="FFFFFF"/>
        </w:rPr>
        <w:t xml:space="preserve">. It has been reported that up to 30% of patients are unable to receive adjuvant chemotherapy for pancreatic cancer for a variety of </w:t>
      </w:r>
      <w:proofErr w:type="gramStart"/>
      <w:r w:rsidRPr="00DA13F2">
        <w:rPr>
          <w:rFonts w:ascii="Book Antiqua" w:eastAsia="Book Antiqua" w:hAnsi="Book Antiqua" w:cs="Book Antiqua"/>
          <w:color w:val="000000"/>
          <w:shd w:val="clear" w:color="auto" w:fill="FFFFFF"/>
        </w:rPr>
        <w:t>reasons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28]</w:t>
      </w:r>
      <w:r w:rsidRPr="00DA13F2">
        <w:rPr>
          <w:rFonts w:ascii="Book Antiqua" w:eastAsia="Book Antiqua" w:hAnsi="Book Antiqua" w:cs="Book Antiqua"/>
          <w:color w:val="000000"/>
          <w:shd w:val="clear" w:color="auto" w:fill="FFFFFF"/>
        </w:rPr>
        <w:t xml:space="preserve">. All of the benefits achieved from pursuing an enhanced recovery are, thus, of major relevance when specifically considering PD for pancreatic cancer and the importance of an enhanced recovery of the patient, sufficient to enable </w:t>
      </w:r>
      <w:r w:rsidRPr="00DA13F2">
        <w:rPr>
          <w:rFonts w:ascii="Book Antiqua" w:eastAsia="Book Antiqua" w:hAnsi="Book Antiqua" w:cs="Book Antiqua"/>
          <w:color w:val="000000"/>
          <w:shd w:val="clear" w:color="auto" w:fill="FFFFFF"/>
        </w:rPr>
        <w:lastRenderedPageBreak/>
        <w:t>them to be fit to receive, and complete</w:t>
      </w:r>
      <w:r w:rsidRPr="00DA13F2">
        <w:rPr>
          <w:rFonts w:ascii="Book Antiqua" w:eastAsia="Book Antiqua" w:hAnsi="Book Antiqua" w:cs="Book Antiqua"/>
          <w:color w:val="000000"/>
          <w:shd w:val="clear" w:color="auto" w:fill="FFFFFF"/>
          <w:vertAlign w:val="superscript"/>
        </w:rPr>
        <w:t>[29]</w:t>
      </w:r>
      <w:r w:rsidRPr="00DA13F2">
        <w:rPr>
          <w:rFonts w:ascii="Book Antiqua" w:eastAsia="Book Antiqua" w:hAnsi="Book Antiqua" w:cs="Book Antiqua"/>
          <w:color w:val="000000"/>
          <w:shd w:val="clear" w:color="auto" w:fill="FFFFFF"/>
        </w:rPr>
        <w:t>, adjuvant therapy that offers the best chance for cure</w:t>
      </w:r>
      <w:r w:rsidRPr="00DA13F2">
        <w:rPr>
          <w:rFonts w:ascii="Book Antiqua" w:eastAsia="Book Antiqua" w:hAnsi="Book Antiqua" w:cs="Book Antiqua"/>
          <w:color w:val="000000"/>
          <w:shd w:val="clear" w:color="auto" w:fill="FFFFFF"/>
          <w:vertAlign w:val="superscript"/>
        </w:rPr>
        <w:t>[30,31]</w:t>
      </w:r>
      <w:r w:rsidRPr="00DA13F2">
        <w:rPr>
          <w:rFonts w:ascii="Book Antiqua" w:eastAsia="Book Antiqua" w:hAnsi="Book Antiqua" w:cs="Book Antiqua"/>
          <w:color w:val="000000"/>
          <w:shd w:val="clear" w:color="auto" w:fill="FFFFFF"/>
        </w:rPr>
        <w:t>.</w:t>
      </w:r>
    </w:p>
    <w:p w14:paraId="3523C74A" w14:textId="04C40448"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shd w:val="clear" w:color="auto" w:fill="FFFFFF"/>
        </w:rPr>
        <w:t xml:space="preserve">Focusing on the enhanced recovery of our patients, the present analysis incorporating 11 </w:t>
      </w:r>
      <w:proofErr w:type="gramStart"/>
      <w:r w:rsidRPr="00DA13F2">
        <w:rPr>
          <w:rFonts w:ascii="Book Antiqua" w:eastAsia="Book Antiqua" w:hAnsi="Book Antiqua" w:cs="Book Antiqua"/>
          <w:color w:val="000000"/>
          <w:shd w:val="clear" w:color="auto" w:fill="FFFFFF"/>
        </w:rPr>
        <w:t>studies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6,10,16-24]</w:t>
      </w:r>
      <w:r w:rsidRPr="00DA13F2">
        <w:rPr>
          <w:rFonts w:ascii="Book Antiqua" w:eastAsia="Book Antiqua" w:hAnsi="Book Antiqua" w:cs="Book Antiqua"/>
          <w:color w:val="000000"/>
          <w:shd w:val="clear" w:color="auto" w:fill="FFFFFF"/>
        </w:rPr>
        <w:t xml:space="preserve"> has highlighted varying patterns of application of clinical pathways to PD. In four</w:t>
      </w:r>
      <w:r w:rsidRPr="00DA13F2">
        <w:rPr>
          <w:rFonts w:ascii="Book Antiqua" w:eastAsia="Book Antiqua" w:hAnsi="Book Antiqua" w:cs="Book Antiqua"/>
          <w:color w:val="000000"/>
          <w:shd w:val="clear" w:color="auto" w:fill="FFFFFF"/>
          <w:vertAlign w:val="superscript"/>
        </w:rPr>
        <w:t>[10,16,22,23]</w:t>
      </w:r>
      <w:r w:rsidRPr="00DA13F2">
        <w:rPr>
          <w:rFonts w:ascii="Book Antiqua" w:eastAsia="Book Antiqua" w:hAnsi="Book Antiqua" w:cs="Book Antiqua"/>
          <w:color w:val="000000"/>
          <w:shd w:val="clear" w:color="auto" w:fill="FFFFFF"/>
        </w:rPr>
        <w:t xml:space="preserve"> of the included studies, the teams employed a pre-, intra- and post-operative pathway, while in 6 other studies</w:t>
      </w:r>
      <w:r w:rsidRPr="00DA13F2">
        <w:rPr>
          <w:rFonts w:ascii="Book Antiqua" w:eastAsia="Book Antiqua" w:hAnsi="Book Antiqua" w:cs="Book Antiqua"/>
          <w:color w:val="000000"/>
          <w:shd w:val="clear" w:color="auto" w:fill="FFFFFF"/>
          <w:vertAlign w:val="superscript"/>
        </w:rPr>
        <w:t>[6,17,18,20,21,24]</w:t>
      </w:r>
      <w:r w:rsidRPr="00DA13F2">
        <w:rPr>
          <w:rFonts w:ascii="Book Antiqua" w:eastAsia="Book Antiqua" w:hAnsi="Book Antiqua" w:cs="Book Antiqua"/>
          <w:color w:val="000000"/>
          <w:shd w:val="clear" w:color="auto" w:fill="FFFFFF"/>
        </w:rPr>
        <w:t xml:space="preserve"> the teams focused on a post-operative clinical pathway alone. One study did not specify their protocol </w:t>
      </w:r>
      <w:proofErr w:type="gramStart"/>
      <w:r w:rsidRPr="00DA13F2">
        <w:rPr>
          <w:rFonts w:ascii="Book Antiqua" w:eastAsia="Book Antiqua" w:hAnsi="Book Antiqua" w:cs="Book Antiqua"/>
          <w:color w:val="000000"/>
          <w:shd w:val="clear" w:color="auto" w:fill="FFFFFF"/>
        </w:rPr>
        <w:t>details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19]</w:t>
      </w:r>
      <w:r w:rsidRPr="00DA13F2">
        <w:rPr>
          <w:rFonts w:ascii="Book Antiqua" w:eastAsia="Book Antiqua" w:hAnsi="Book Antiqua" w:cs="Book Antiqua"/>
          <w:color w:val="000000"/>
          <w:shd w:val="clear" w:color="auto" w:fill="FFFFFF"/>
        </w:rPr>
        <w:t xml:space="preserve">. Not surprisingly, overall compliance to the pathways remained relatively high </w:t>
      </w:r>
      <w:r w:rsidRPr="00DA13F2">
        <w:rPr>
          <w:rFonts w:ascii="Book Antiqua" w:eastAsia="Book Antiqua" w:hAnsi="Book Antiqua" w:cs="Book Antiqua"/>
          <w:color w:val="000000"/>
        </w:rPr>
        <w:t>65.7% (IQR: 62.7</w:t>
      </w:r>
      <w:r w:rsidR="00E64A76" w:rsidRPr="00DA13F2">
        <w:rPr>
          <w:rFonts w:ascii="Book Antiqua" w:eastAsia="Book Antiqua" w:hAnsi="Book Antiqua" w:cs="Book Antiqua"/>
          <w:color w:val="000000"/>
        </w:rPr>
        <w:t>%</w:t>
      </w:r>
      <w:r w:rsidRPr="00DA13F2">
        <w:rPr>
          <w:rFonts w:ascii="Book Antiqua" w:eastAsia="Book Antiqua" w:hAnsi="Book Antiqua" w:cs="Book Antiqua"/>
          <w:color w:val="000000"/>
        </w:rPr>
        <w:t>-72.3%)</w:t>
      </w:r>
      <w:r w:rsidRPr="00DA13F2">
        <w:rPr>
          <w:rFonts w:ascii="Book Antiqua" w:eastAsia="Book Antiqua" w:hAnsi="Book Antiqua" w:cs="Book Antiqua"/>
          <w:color w:val="000000"/>
          <w:shd w:val="clear" w:color="auto" w:fill="FFFFFF"/>
        </w:rPr>
        <w:t xml:space="preserve">. Compliance to post-PD pathways is challenging given the major anatomical changes introduced by the surgery, itself. Hence, most studies reported compliance to this component varying between 34.5% and 52.25%. Comparison between studies show that the difference (between overall and post-operative compliance) widens as the number of post–operative parameters decrease. However, despite the apparently low compliance, the surgical teams were able to help their patients achieve the desired </w:t>
      </w:r>
      <w:proofErr w:type="gramStart"/>
      <w:r w:rsidRPr="00DA13F2">
        <w:rPr>
          <w:rFonts w:ascii="Book Antiqua" w:eastAsia="Book Antiqua" w:hAnsi="Book Antiqua" w:cs="Book Antiqua"/>
          <w:color w:val="000000"/>
          <w:shd w:val="clear" w:color="auto" w:fill="FFFFFF"/>
        </w:rPr>
        <w:t>outcomes</w:t>
      </w:r>
      <w:r w:rsidRPr="00DA13F2">
        <w:rPr>
          <w:rFonts w:ascii="Book Antiqua" w:eastAsia="Book Antiqua" w:hAnsi="Book Antiqua" w:cs="Book Antiqua"/>
          <w:color w:val="000000"/>
          <w:shd w:val="clear" w:color="auto" w:fill="FFFFFF"/>
          <w:vertAlign w:val="superscript"/>
        </w:rPr>
        <w:t>[</w:t>
      </w:r>
      <w:proofErr w:type="gramEnd"/>
      <w:r w:rsidRPr="00DA13F2">
        <w:rPr>
          <w:rFonts w:ascii="Book Antiqua" w:eastAsia="Book Antiqua" w:hAnsi="Book Antiqua" w:cs="Book Antiqua"/>
          <w:color w:val="000000"/>
          <w:shd w:val="clear" w:color="auto" w:fill="FFFFFF"/>
          <w:vertAlign w:val="superscript"/>
        </w:rPr>
        <w:t>11]</w:t>
      </w:r>
      <w:r w:rsidRPr="00DA13F2">
        <w:rPr>
          <w:rFonts w:ascii="Book Antiqua" w:eastAsia="Book Antiqua" w:hAnsi="Book Antiqua" w:cs="Book Antiqua"/>
          <w:color w:val="000000"/>
          <w:shd w:val="clear" w:color="auto" w:fill="FFFFFF"/>
        </w:rPr>
        <w:t xml:space="preserve">. This is likely a reflection of </w:t>
      </w:r>
      <w:r w:rsidRPr="00DA13F2">
        <w:rPr>
          <w:rFonts w:ascii="Book Antiqua" w:eastAsia="Book Antiqua" w:hAnsi="Book Antiqua" w:cs="Book Antiqua"/>
          <w:color w:val="000000"/>
        </w:rPr>
        <w:t>the culture (targeting enhanced recovery) of the team adopting these protocols by providing themselves, and their patients, with measurable and achievable goals.</w:t>
      </w:r>
    </w:p>
    <w:p w14:paraId="38A12BD6" w14:textId="258BCF57"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Postoperative components of a clinical pathway display maximal variance and such deviations are known to correlate with the final </w:t>
      </w:r>
      <w:proofErr w:type="gramStart"/>
      <w:r w:rsidRPr="00DA13F2">
        <w:rPr>
          <w:rFonts w:ascii="Book Antiqua" w:eastAsia="Book Antiqua" w:hAnsi="Book Antiqua" w:cs="Book Antiqua"/>
          <w:color w:val="000000"/>
        </w:rPr>
        <w:t>outcomes</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32]</w:t>
      </w:r>
      <w:r w:rsidRPr="00DA13F2">
        <w:rPr>
          <w:rFonts w:ascii="Book Antiqua" w:eastAsia="Book Antiqua" w:hAnsi="Book Antiqua" w:cs="Book Antiqua"/>
          <w:color w:val="000000"/>
        </w:rPr>
        <w:t xml:space="preserve">. Lessons learnt from colorectal surgery suggest that postoperative compliance is the most difficult to achieve but is most strongly associated with optimal </w:t>
      </w:r>
      <w:proofErr w:type="gramStart"/>
      <w:r w:rsidRPr="00DA13F2">
        <w:rPr>
          <w:rFonts w:ascii="Book Antiqua" w:eastAsia="Book Antiqua" w:hAnsi="Book Antiqua" w:cs="Book Antiqua"/>
          <w:color w:val="000000"/>
        </w:rPr>
        <w:t>recovery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33]</w:t>
      </w:r>
      <w:r w:rsidRPr="00DA13F2">
        <w:rPr>
          <w:rFonts w:ascii="Book Antiqua" w:eastAsia="Book Antiqua" w:hAnsi="Book Antiqua" w:cs="Book Antiqua"/>
          <w:color w:val="000000"/>
        </w:rPr>
        <w:t xml:space="preserve">. We, thus, focused on this aspect of enhanced recovery in patients undergoing PD. An important consideration at the present time then is </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what would be the minimum acceptable level of compliance f</w:t>
      </w:r>
      <w:r w:rsidR="001339C5" w:rsidRPr="00DA13F2">
        <w:rPr>
          <w:rFonts w:ascii="Book Antiqua" w:eastAsia="Book Antiqua" w:hAnsi="Book Antiqua" w:cs="Book Antiqua"/>
          <w:color w:val="000000"/>
        </w:rPr>
        <w:t>ollowing PD to improve outcomes”</w:t>
      </w:r>
      <w:r w:rsidRPr="00DA13F2">
        <w:rPr>
          <w:rFonts w:ascii="Book Antiqua" w:eastAsia="Book Antiqua" w:hAnsi="Book Antiqua" w:cs="Book Antiqua"/>
          <w:color w:val="000000"/>
        </w:rPr>
        <w:t xml:space="preserve">. Once again, borrowing wisdom from colorectal surgery, </w:t>
      </w:r>
      <w:proofErr w:type="spellStart"/>
      <w:r w:rsidR="001339C5" w:rsidRPr="00DA13F2">
        <w:rPr>
          <w:rFonts w:ascii="Book Antiqua" w:eastAsia="Book Antiqua" w:hAnsi="Book Antiqua" w:cs="Book Antiqua"/>
          <w:color w:val="000000"/>
        </w:rPr>
        <w:t>Pędziwiatr</w:t>
      </w:r>
      <w:proofErr w:type="spellEnd"/>
      <w:r w:rsidR="001339C5"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 xml:space="preserve">et </w:t>
      </w:r>
      <w:proofErr w:type="gramStart"/>
      <w:r w:rsidRPr="00DA13F2">
        <w:rPr>
          <w:rFonts w:ascii="Book Antiqua" w:eastAsia="Book Antiqua" w:hAnsi="Book Antiqua" w:cs="Book Antiqua"/>
          <w:i/>
          <w:iCs/>
          <w:color w:val="000000"/>
        </w:rPr>
        <w:t>al</w:t>
      </w:r>
      <w:r w:rsidR="00DC77BB" w:rsidRPr="00DA13F2">
        <w:rPr>
          <w:rFonts w:ascii="Book Antiqua" w:eastAsia="Book Antiqua" w:hAnsi="Book Antiqua" w:cs="Book Antiqua"/>
          <w:color w:val="000000"/>
          <w:vertAlign w:val="superscript"/>
        </w:rPr>
        <w:t>[</w:t>
      </w:r>
      <w:proofErr w:type="gramEnd"/>
      <w:r w:rsidR="00DC77BB" w:rsidRPr="00DA13F2">
        <w:rPr>
          <w:rFonts w:ascii="Book Antiqua" w:eastAsia="Book Antiqua" w:hAnsi="Book Antiqua" w:cs="Book Antiqua"/>
          <w:color w:val="000000"/>
          <w:vertAlign w:val="superscript"/>
        </w:rPr>
        <w:t>34]</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demonstrated that a compliance of &gt; 80% is required to decrease length of hospitalization. This is similar to the findings of Ahmed </w:t>
      </w:r>
      <w:r w:rsidRPr="00DA13F2">
        <w:rPr>
          <w:rFonts w:ascii="Book Antiqua" w:eastAsia="Book Antiqua" w:hAnsi="Book Antiqua" w:cs="Book Antiqua"/>
          <w:i/>
          <w:iCs/>
          <w:color w:val="000000"/>
        </w:rPr>
        <w:t xml:space="preserve">et </w:t>
      </w:r>
      <w:proofErr w:type="gramStart"/>
      <w:r w:rsidRPr="00DA13F2">
        <w:rPr>
          <w:rFonts w:ascii="Book Antiqua" w:eastAsia="Book Antiqua" w:hAnsi="Book Antiqua" w:cs="Book Antiqua"/>
          <w:i/>
          <w:iCs/>
          <w:color w:val="000000"/>
        </w:rPr>
        <w:t>al</w:t>
      </w:r>
      <w:r w:rsidR="00DC77BB" w:rsidRPr="00DA13F2">
        <w:rPr>
          <w:rFonts w:ascii="Book Antiqua" w:eastAsia="Book Antiqua" w:hAnsi="Book Antiqua" w:cs="Book Antiqua"/>
          <w:color w:val="000000"/>
          <w:vertAlign w:val="superscript"/>
        </w:rPr>
        <w:t>[</w:t>
      </w:r>
      <w:proofErr w:type="gramEnd"/>
      <w:r w:rsidR="00DC77BB" w:rsidRPr="00DA13F2">
        <w:rPr>
          <w:rFonts w:ascii="Book Antiqua" w:eastAsia="Book Antiqua" w:hAnsi="Book Antiqua" w:cs="Book Antiqua"/>
          <w:color w:val="000000"/>
          <w:vertAlign w:val="superscript"/>
        </w:rPr>
        <w:t>35]</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who noted that </w:t>
      </w:r>
      <w:r w:rsidRPr="00DA13F2">
        <w:rPr>
          <w:rFonts w:ascii="Book Antiqua" w:eastAsia="Book Antiqua" w:hAnsi="Book Antiqua" w:cs="Book Antiqua"/>
          <w:color w:val="000000"/>
        </w:rPr>
        <w:lastRenderedPageBreak/>
        <w:t>an overall protocol compliance of 77% resulted in no significant difference in outcomes following colorectal surgery compared with a compliance rate of 88%.</w:t>
      </w:r>
    </w:p>
    <w:p w14:paraId="1A1B954C" w14:textId="623CCC66"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However, we must not lose focus of the aim of this study which is, namely, to enhance the value of information gleaned from this audit/analysis of deviations from clinical pathways post-PD to improve the care of pancreatic cancer patients undergoing surgery. Quite clearly, clinical pathways targeting early and meaningful recovery can reduce post-PD complications and length of stay in hospital after surgery. Being able to identify deviations from a clinical pathway presents an opportunity to identify patients who are likely to develop complications thereby triggering the need for closer monitoring. Such an approach is important, not because the deviations per se result in complications, but they are indicative of an impending complication. Early identification of such a patient provides the clinician with the benefit of “lead time”, wherein a timely intervention might avert a major complication and even the risk of </w:t>
      </w:r>
      <w:proofErr w:type="gramStart"/>
      <w:r w:rsidRPr="00DA13F2">
        <w:rPr>
          <w:rFonts w:ascii="Book Antiqua" w:eastAsia="Book Antiqua" w:hAnsi="Book Antiqua" w:cs="Book Antiqua"/>
          <w:color w:val="000000"/>
        </w:rPr>
        <w:t>mortality</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thereby improving failure-to-rescue</w:t>
      </w:r>
      <w:r w:rsidRPr="00DA13F2">
        <w:rPr>
          <w:rFonts w:ascii="Book Antiqua" w:eastAsia="Book Antiqua" w:hAnsi="Book Antiqua" w:cs="Book Antiqua"/>
          <w:color w:val="000000"/>
          <w:vertAlign w:val="superscript"/>
        </w:rPr>
        <w:t>[36,37]</w:t>
      </w:r>
      <w:r w:rsidRPr="00DA13F2">
        <w:rPr>
          <w:rFonts w:ascii="Book Antiqua" w:eastAsia="Book Antiqua" w:hAnsi="Book Antiqua" w:cs="Book Antiqua"/>
          <w:color w:val="000000"/>
        </w:rPr>
        <w:t xml:space="preserve"> metrics and overall outcomes. The study by Karunakaran </w:t>
      </w:r>
      <w:r w:rsidRPr="00DA13F2">
        <w:rPr>
          <w:rFonts w:ascii="Book Antiqua" w:eastAsia="Book Antiqua" w:hAnsi="Book Antiqua" w:cs="Book Antiqua"/>
          <w:i/>
          <w:iCs/>
          <w:color w:val="000000"/>
        </w:rPr>
        <w:t xml:space="preserve">et </w:t>
      </w:r>
      <w:r w:rsidR="006A6595" w:rsidRPr="00DA13F2">
        <w:rPr>
          <w:rFonts w:ascii="Book Antiqua" w:hAnsi="Book Antiqua" w:cs="Book Antiqua"/>
          <w:i/>
          <w:iCs/>
          <w:color w:val="000000"/>
          <w:lang w:eastAsia="zh-CN"/>
        </w:rPr>
        <w:t>a</w:t>
      </w:r>
      <w:r w:rsidR="006A6595" w:rsidRPr="00DA13F2">
        <w:rPr>
          <w:rFonts w:ascii="Book Antiqua" w:eastAsia="Book Antiqua" w:hAnsi="Book Antiqua" w:cs="Book Antiqua"/>
          <w:i/>
          <w:iCs/>
          <w:color w:val="000000"/>
        </w:rPr>
        <w:t>l</w:t>
      </w:r>
      <w:r w:rsidRPr="00DA13F2">
        <w:rPr>
          <w:rFonts w:ascii="Book Antiqua" w:eastAsia="Book Antiqua" w:hAnsi="Book Antiqua" w:cs="Book Antiqua"/>
          <w:iCs/>
          <w:color w:val="000000"/>
          <w:vertAlign w:val="superscript"/>
        </w:rPr>
        <w:t>[6]</w:t>
      </w:r>
      <w:r w:rsidRPr="00DA13F2">
        <w:rPr>
          <w:rFonts w:ascii="Book Antiqua" w:eastAsia="Book Antiqua" w:hAnsi="Book Antiqua" w:cs="Book Antiqua"/>
          <w:i/>
          <w:iCs/>
          <w:color w:val="000000"/>
        </w:rPr>
        <w:t xml:space="preserve"> </w:t>
      </w:r>
      <w:r w:rsidRPr="00DA13F2">
        <w:rPr>
          <w:rFonts w:ascii="Book Antiqua" w:eastAsia="Book Antiqua" w:hAnsi="Book Antiqua" w:cs="Book Antiqua"/>
          <w:color w:val="000000"/>
        </w:rPr>
        <w:t xml:space="preserve">revealed that on multivariate analysis, the need to reinsert the nasogastric/Ryle’s tube </w:t>
      </w:r>
      <w:bookmarkStart w:id="35" w:name="OLE_LINK2020"/>
      <w:bookmarkStart w:id="36" w:name="OLE_LINK2021"/>
      <w:r w:rsidR="002F1A0F">
        <w:rPr>
          <w:rFonts w:ascii="Book Antiqua" w:eastAsia="Book Antiqua" w:hAnsi="Book Antiqua" w:cs="Book Antiqua"/>
          <w:color w:val="000000"/>
        </w:rPr>
        <w:t>[</w:t>
      </w:r>
      <w:r w:rsidR="002F1A0F">
        <w:rPr>
          <w:rFonts w:ascii="Book Antiqua" w:eastAsia="宋体" w:hAnsi="Book Antiqua" w:cs="宋体"/>
        </w:rPr>
        <w:t>h</w:t>
      </w:r>
      <w:r w:rsidR="002F1A0F" w:rsidRPr="005C74E5">
        <w:rPr>
          <w:rFonts w:ascii="Book Antiqua" w:eastAsia="宋体" w:hAnsi="Book Antiqua" w:cs="宋体"/>
        </w:rPr>
        <w:t>azard ratio</w:t>
      </w:r>
      <w:bookmarkEnd w:id="35"/>
      <w:bookmarkEnd w:id="36"/>
      <w:r w:rsidR="002F1A0F" w:rsidRPr="00DA13F2">
        <w:rPr>
          <w:rFonts w:ascii="Book Antiqua" w:eastAsia="Book Antiqua" w:hAnsi="Book Antiqua" w:cs="Book Antiqua"/>
          <w:color w:val="000000"/>
        </w:rPr>
        <w:t xml:space="preserve"> </w:t>
      </w:r>
      <w:r w:rsidR="002F1A0F">
        <w:rPr>
          <w:rFonts w:ascii="Book Antiqua" w:eastAsia="Book Antiqua" w:hAnsi="Book Antiqua" w:cs="Book Antiqua"/>
          <w:color w:val="000000"/>
        </w:rPr>
        <w:t>(</w:t>
      </w:r>
      <w:r w:rsidRPr="00DA13F2">
        <w:rPr>
          <w:rFonts w:ascii="Book Antiqua" w:eastAsia="Book Antiqua" w:hAnsi="Book Antiqua" w:cs="Book Antiqua"/>
          <w:color w:val="000000"/>
        </w:rPr>
        <w:t>HR</w:t>
      </w:r>
      <w:r w:rsidR="002F1A0F">
        <w:rPr>
          <w:rFonts w:ascii="Book Antiqua" w:eastAsia="Book Antiqua" w:hAnsi="Book Antiqua" w:cs="Book Antiqua"/>
          <w:color w:val="000000"/>
        </w:rPr>
        <w:t>)</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3.7, 95%CI: 1.9-7.2; </w:t>
      </w:r>
      <w:r w:rsidR="00DC77BB"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w:t>
      </w:r>
      <w:r w:rsidR="002F1A0F">
        <w:rPr>
          <w:rFonts w:ascii="Book Antiqua" w:eastAsia="Book Antiqua" w:hAnsi="Book Antiqua" w:cs="Book Antiqua"/>
          <w:color w:val="000000"/>
        </w:rPr>
        <w:t>]</w:t>
      </w:r>
      <w:r w:rsidRPr="00DA13F2">
        <w:rPr>
          <w:rFonts w:ascii="Book Antiqua" w:eastAsia="Book Antiqua" w:hAnsi="Book Antiqua" w:cs="Book Antiqua"/>
          <w:color w:val="000000"/>
        </w:rPr>
        <w:t>, the inability to commence a soft diet on post-operative day 5 (HR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2.7, 95%CI: 1.6-4.5; </w:t>
      </w:r>
      <w:r w:rsidR="00DC77BB" w:rsidRPr="00DA13F2">
        <w:rPr>
          <w:rFonts w:ascii="Book Antiqua" w:eastAsia="Book Antiqua" w:hAnsi="Book Antiqua" w:cs="Book Antiqua"/>
          <w:i/>
          <w:iCs/>
          <w:color w:val="000000"/>
        </w:rPr>
        <w:t>P</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 the failure to remove the indwelling urinary catheter on postoperative day 2 (HR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1.9, 95%CI: 1.2-3.0; </w:t>
      </w:r>
      <w:r w:rsidR="00DC77BB" w:rsidRPr="00DA13F2">
        <w:rPr>
          <w:rFonts w:ascii="Book Antiqua" w:eastAsia="Book Antiqua" w:hAnsi="Book Antiqua" w:cs="Book Antiqua"/>
          <w:i/>
          <w:iCs/>
          <w:color w:val="000000"/>
        </w:rPr>
        <w:t>P</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0.01), and failure to cease perioperatively planned antibiotics on postoperative day 2 (HR</w:t>
      </w:r>
      <w:r w:rsidR="001339C5"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3.1, 95%CI: 1.7-5.4; </w:t>
      </w:r>
      <w:r w:rsidR="00DC77BB"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DC77BB"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0.0001) were the 4 deviations that were significantly associated with likelihood of re-admission within 90 d of discharge.</w:t>
      </w:r>
      <w:r w:rsidRPr="00DA13F2">
        <w:rPr>
          <w:rFonts w:ascii="Book Antiqua" w:eastAsia="Book Antiqua" w:hAnsi="Book Antiqua" w:cs="Book Antiqua"/>
          <w:i/>
          <w:iCs/>
          <w:color w:val="000000"/>
        </w:rPr>
        <w:t xml:space="preserve"> </w:t>
      </w:r>
      <w:r w:rsidRPr="00DA13F2">
        <w:rPr>
          <w:rFonts w:ascii="Book Antiqua" w:eastAsia="Book Antiqua" w:hAnsi="Book Antiqua" w:cs="Book Antiqua"/>
          <w:color w:val="000000"/>
        </w:rPr>
        <w:t>Such exploratory analysis present data to alert pancreatic cancer surgeons with specific deviations that are linked to sinister outcomes, prompting directed action.</w:t>
      </w:r>
    </w:p>
    <w:p w14:paraId="2F3B554F" w14:textId="001CAB7B"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Identifying factors predictive of patient- and surgery-related factors associated with deviations is helpful.</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Advancing </w:t>
      </w:r>
      <w:proofErr w:type="gramStart"/>
      <w:r w:rsidRPr="00DA13F2">
        <w:rPr>
          <w:rFonts w:ascii="Book Antiqua" w:eastAsia="Book Antiqua" w:hAnsi="Book Antiqua" w:cs="Book Antiqua"/>
          <w:color w:val="000000"/>
        </w:rPr>
        <w:t>age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22,38]</w:t>
      </w:r>
      <w:r w:rsidRPr="00DA13F2">
        <w:rPr>
          <w:rFonts w:ascii="Book Antiqua" w:eastAsia="Book Antiqua" w:hAnsi="Book Antiqua" w:cs="Book Antiqua"/>
          <w:color w:val="000000"/>
        </w:rPr>
        <w:t>, higher body mass index</w:t>
      </w:r>
      <w:r w:rsidRPr="00DA13F2">
        <w:rPr>
          <w:rFonts w:ascii="Book Antiqua" w:eastAsia="Book Antiqua" w:hAnsi="Book Antiqua" w:cs="Book Antiqua"/>
          <w:color w:val="000000"/>
          <w:vertAlign w:val="superscript"/>
        </w:rPr>
        <w:t>[6,22]</w:t>
      </w:r>
      <w:r w:rsidRPr="00DA13F2">
        <w:rPr>
          <w:rFonts w:ascii="Book Antiqua" w:eastAsia="Book Antiqua" w:hAnsi="Book Antiqua" w:cs="Book Antiqua"/>
          <w:color w:val="000000"/>
        </w:rPr>
        <w:t>, hypoalbuminemia</w:t>
      </w:r>
      <w:r w:rsidRPr="00DA13F2">
        <w:rPr>
          <w:rFonts w:ascii="Book Antiqua" w:eastAsia="Book Antiqua" w:hAnsi="Book Antiqua" w:cs="Book Antiqua"/>
          <w:color w:val="000000"/>
          <w:vertAlign w:val="superscript"/>
        </w:rPr>
        <w:t>[6,38]</w:t>
      </w:r>
      <w:r w:rsidRPr="00DA13F2">
        <w:rPr>
          <w:rFonts w:ascii="Book Antiqua" w:eastAsia="Book Antiqua" w:hAnsi="Book Antiqua" w:cs="Book Antiqua"/>
          <w:color w:val="000000"/>
        </w:rPr>
        <w:t>, cardiac co-morbidities</w:t>
      </w:r>
      <w:r w:rsidRPr="00DA13F2">
        <w:rPr>
          <w:rFonts w:ascii="Book Antiqua" w:eastAsia="Book Antiqua" w:hAnsi="Book Antiqua" w:cs="Book Antiqua"/>
          <w:color w:val="000000"/>
          <w:vertAlign w:val="superscript"/>
        </w:rPr>
        <w:t>[6]</w:t>
      </w:r>
      <w:r w:rsidRPr="00DA13F2">
        <w:rPr>
          <w:rFonts w:ascii="Book Antiqua" w:eastAsia="Book Antiqua" w:hAnsi="Book Antiqua" w:cs="Book Antiqua"/>
          <w:color w:val="000000"/>
        </w:rPr>
        <w:t>, and the finding of a soft pancreas</w:t>
      </w:r>
      <w:r w:rsidRPr="00DA13F2">
        <w:rPr>
          <w:rFonts w:ascii="Book Antiqua" w:eastAsia="Book Antiqua" w:hAnsi="Book Antiqua" w:cs="Book Antiqua"/>
          <w:color w:val="000000"/>
          <w:vertAlign w:val="superscript"/>
        </w:rPr>
        <w:t>[22]</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have been associated with an increased risk of deviations.</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Early </w:t>
      </w:r>
      <w:r w:rsidRPr="00DA13F2">
        <w:rPr>
          <w:rFonts w:ascii="Book Antiqua" w:eastAsia="Book Antiqua" w:hAnsi="Book Antiqua" w:cs="Book Antiqua"/>
          <w:color w:val="000000"/>
        </w:rPr>
        <w:lastRenderedPageBreak/>
        <w:t xml:space="preserve">characterization of patients who are less likely to comply can prompt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measures and/or customized care pathways to avoid non-compliance and increase the efficacy of pathways. There is already evidence, though anecdotal, that intensive preoperative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in the form of cardiorespiratory functional capacity strengthening training, muscular strength training and respiratory physiotherapy reduces postoperative pulmonary complications and shorten postoperative hospital stay after </w:t>
      </w:r>
      <w:proofErr w:type="gramStart"/>
      <w:r w:rsidRPr="00DA13F2">
        <w:rPr>
          <w:rFonts w:ascii="Book Antiqua" w:eastAsia="Book Antiqua" w:hAnsi="Book Antiqua" w:cs="Book Antiqua"/>
          <w:color w:val="000000"/>
        </w:rPr>
        <w:t>PD</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39]</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prior to pancreatic cancer surgery is still in its infancy. However, the emerging evidence is </w:t>
      </w:r>
      <w:proofErr w:type="gramStart"/>
      <w:r w:rsidRPr="00DA13F2">
        <w:rPr>
          <w:rFonts w:ascii="Book Antiqua" w:eastAsia="Book Antiqua" w:hAnsi="Book Antiqua" w:cs="Book Antiqua"/>
          <w:color w:val="000000"/>
        </w:rPr>
        <w:t>encouraging</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40]</w:t>
      </w:r>
      <w:r w:rsidRPr="00DA13F2">
        <w:rPr>
          <w:rFonts w:ascii="Book Antiqua" w:eastAsia="Book Antiqua" w:hAnsi="Book Antiqua" w:cs="Book Antiqua"/>
          <w:color w:val="000000"/>
        </w:rPr>
        <w:t xml:space="preserve"> prompting the need for a concerted approach towards its implementation on a larger scale.</w:t>
      </w:r>
    </w:p>
    <w:p w14:paraId="1244833B" w14:textId="2AC3C378"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In the current meta-analysis, interestingly, the comparison of a 100% compliance </w:t>
      </w:r>
      <w:r w:rsidRPr="00DA13F2">
        <w:rPr>
          <w:rFonts w:ascii="Book Antiqua" w:eastAsia="Book Antiqua" w:hAnsi="Book Antiqua" w:cs="Book Antiqua"/>
          <w:i/>
          <w:iCs/>
          <w:color w:val="000000"/>
        </w:rPr>
        <w:t>vs</w:t>
      </w:r>
      <w:r w:rsidRPr="00DA13F2">
        <w:rPr>
          <w:rFonts w:ascii="Book Antiqua" w:eastAsia="Book Antiqua" w:hAnsi="Book Antiqua" w:cs="Book Antiqua"/>
          <w:color w:val="000000"/>
        </w:rPr>
        <w:t xml:space="preserve"> any level of non-compliance revealed no heterogeneity (</w:t>
      </w:r>
      <w:r w:rsidR="00DC77BB" w:rsidRPr="00DA13F2">
        <w:rPr>
          <w:rFonts w:ascii="Book Antiqua" w:eastAsia="Book Antiqua" w:hAnsi="Book Antiqua" w:cs="Book Antiqua"/>
          <w:i/>
          <w:iCs/>
          <w:color w:val="000000"/>
        </w:rPr>
        <w:t>I</w:t>
      </w:r>
      <w:r w:rsidRPr="00DA13F2">
        <w:rPr>
          <w:rFonts w:ascii="Book Antiqua" w:eastAsia="Book Antiqua" w:hAnsi="Book Antiqua" w:cs="Book Antiqua"/>
          <w:i/>
          <w:iCs/>
          <w:color w:val="000000"/>
          <w:vertAlign w:val="superscript"/>
        </w:rPr>
        <w:t>2</w:t>
      </w:r>
      <w:r w:rsidR="00DC77BB" w:rsidRPr="00DA13F2">
        <w:rPr>
          <w:rFonts w:ascii="Book Antiqua" w:eastAsia="Book Antiqua" w:hAnsi="Book Antiqua" w:cs="Book Antiqua"/>
          <w:color w:val="000000"/>
          <w:vertAlign w:val="superscript"/>
        </w:rPr>
        <w:t xml:space="preserve"> </w:t>
      </w:r>
      <w:r w:rsidRPr="00DA13F2">
        <w:rPr>
          <w:rFonts w:ascii="Book Antiqua" w:eastAsia="Book Antiqua" w:hAnsi="Book Antiqua" w:cs="Book Antiqua"/>
          <w:color w:val="000000"/>
        </w:rPr>
        <w:t xml:space="preserve">= 0%,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0.80) when predicting complications. However, there was significant heterogeneity (</w:t>
      </w:r>
      <w:r w:rsidR="00DC77BB" w:rsidRPr="00DA13F2">
        <w:rPr>
          <w:rFonts w:ascii="Book Antiqua" w:eastAsia="Book Antiqua" w:hAnsi="Book Antiqua" w:cs="Book Antiqua"/>
          <w:i/>
          <w:iCs/>
          <w:color w:val="000000"/>
        </w:rPr>
        <w:t>I</w:t>
      </w:r>
      <w:r w:rsidR="00DC77BB" w:rsidRPr="00DA13F2">
        <w:rPr>
          <w:rFonts w:ascii="Book Antiqua" w:eastAsia="Book Antiqua" w:hAnsi="Book Antiqua" w:cs="Book Antiqua"/>
          <w:i/>
          <w:iCs/>
          <w:color w:val="000000"/>
          <w:vertAlign w:val="superscript"/>
        </w:rPr>
        <w:t>2</w:t>
      </w:r>
      <w:r w:rsidR="00DC77BB" w:rsidRPr="00DA13F2">
        <w:rPr>
          <w:rFonts w:ascii="Book Antiqua" w:eastAsia="Book Antiqua" w:hAnsi="Book Antiqua" w:cs="Book Antiqua"/>
          <w:color w:val="000000"/>
        </w:rPr>
        <w:t xml:space="preserve"> </w:t>
      </w:r>
      <w:r w:rsidR="00045166">
        <w:rPr>
          <w:rFonts w:ascii="Book Antiqua" w:eastAsia="Book Antiqua" w:hAnsi="Book Antiqua" w:cs="Book Antiqua"/>
          <w:color w:val="000000"/>
        </w:rPr>
        <w:t>= 90</w:t>
      </w:r>
      <w:r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P</w:t>
      </w:r>
      <w:r w:rsidRPr="00DA13F2">
        <w:rPr>
          <w:rFonts w:ascii="Book Antiqua" w:eastAsia="Book Antiqua" w:hAnsi="Book Antiqua" w:cs="Book Antiqua"/>
          <w:color w:val="000000"/>
        </w:rPr>
        <w:t xml:space="preserve"> = 0.00001) when </w:t>
      </w:r>
      <w:proofErr w:type="spellStart"/>
      <w:r w:rsidRPr="00DA13F2">
        <w:rPr>
          <w:rFonts w:ascii="Book Antiqua" w:eastAsia="Book Antiqua" w:hAnsi="Book Antiqua" w:cs="Book Antiqua"/>
          <w:color w:val="000000"/>
        </w:rPr>
        <w:t>analysing</w:t>
      </w:r>
      <w:proofErr w:type="spellEnd"/>
      <w:r w:rsidRPr="00DA13F2">
        <w:rPr>
          <w:rFonts w:ascii="Book Antiqua" w:eastAsia="Book Antiqua" w:hAnsi="Book Antiqua" w:cs="Book Antiqua"/>
          <w:color w:val="000000"/>
        </w:rPr>
        <w:t xml:space="preserve"> length of hospital stay. This reiterates the variability in practices that guide or determine length of stay and timing of </w:t>
      </w:r>
      <w:proofErr w:type="gramStart"/>
      <w:r w:rsidRPr="00DA13F2">
        <w:rPr>
          <w:rFonts w:ascii="Book Antiqua" w:eastAsia="Book Antiqua" w:hAnsi="Book Antiqua" w:cs="Book Antiqua"/>
          <w:color w:val="000000"/>
        </w:rPr>
        <w:t>discharge</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41]</w:t>
      </w:r>
      <w:r w:rsidRPr="00DA13F2">
        <w:rPr>
          <w:rFonts w:ascii="Book Antiqua" w:eastAsia="Book Antiqua" w:hAnsi="Book Antiqua" w:cs="Book Antiqua"/>
          <w:color w:val="000000"/>
        </w:rPr>
        <w:t>.</w:t>
      </w:r>
    </w:p>
    <w:p w14:paraId="696B2581" w14:textId="1EA7C7A2"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There are certain limitations of this study. This is a study data meta-analysis and not a patient-data meta-analysis, with their attendant risk of heterogeneity. Moreover, this approach prevented us from segregating patients who underwent PD for pancreatic cancer, from other indications. However, we do not think this should grossly interfere with the inferences of this study.</w:t>
      </w:r>
      <w:r w:rsidR="005C3855"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Secondly, it is based on a limited number of studies. Thirdly, there has been a significant difference in the clinical pathway components between studies, though this is largely unavoidable and attributable to the practice of devising clinical pathways in accordance with the local protocols and socio-cultural needs. Finally, there is no universally accepted compliance cut-off to guide prediction of adverse events which precludes a head-to-head comparison between patient cohorts.</w:t>
      </w:r>
    </w:p>
    <w:p w14:paraId="4E8AB31C" w14:textId="67379E93" w:rsidR="00A77B3E" w:rsidRPr="00DA13F2" w:rsidRDefault="004D62F0" w:rsidP="00DA13F2">
      <w:pPr>
        <w:adjustRightInd w:val="0"/>
        <w:snapToGrid w:val="0"/>
        <w:spacing w:line="360" w:lineRule="auto"/>
        <w:ind w:firstLineChars="100" w:firstLine="240"/>
        <w:jc w:val="both"/>
        <w:rPr>
          <w:rFonts w:ascii="Book Antiqua" w:hAnsi="Book Antiqua"/>
        </w:rPr>
      </w:pPr>
      <w:r w:rsidRPr="00DA13F2">
        <w:rPr>
          <w:rFonts w:ascii="Book Antiqua" w:eastAsia="Book Antiqua" w:hAnsi="Book Antiqua" w:cs="Book Antiqua"/>
          <w:color w:val="000000"/>
        </w:rPr>
        <w:t xml:space="preserve">Nonetheless, this is the first systematic review addressing the impact of clinical pathway compliance on outcomes following PD and highlights that measures to </w:t>
      </w:r>
      <w:r w:rsidRPr="00DA13F2">
        <w:rPr>
          <w:rFonts w:ascii="Book Antiqua" w:eastAsia="Book Antiqua" w:hAnsi="Book Antiqua" w:cs="Book Antiqua"/>
          <w:color w:val="000000"/>
        </w:rPr>
        <w:lastRenderedPageBreak/>
        <w:t>improve compliance to clinical pathway components can potentially increase its success rates and improve quality. Further research on outcomes with respect to compliance is warranted to determine the minimum level of compliance to achieve these goals.</w:t>
      </w:r>
    </w:p>
    <w:bookmarkEnd w:id="33"/>
    <w:bookmarkEnd w:id="34"/>
    <w:p w14:paraId="3A060C91" w14:textId="77777777" w:rsidR="00A77B3E" w:rsidRPr="00DA13F2" w:rsidRDefault="00A77B3E" w:rsidP="00DA13F2">
      <w:pPr>
        <w:adjustRightInd w:val="0"/>
        <w:snapToGrid w:val="0"/>
        <w:spacing w:line="360" w:lineRule="auto"/>
        <w:jc w:val="both"/>
        <w:rPr>
          <w:rFonts w:ascii="Book Antiqua" w:hAnsi="Book Antiqua"/>
        </w:rPr>
      </w:pPr>
    </w:p>
    <w:p w14:paraId="151CF6E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CONCLUSION</w:t>
      </w:r>
    </w:p>
    <w:p w14:paraId="13381EA3" w14:textId="77777777" w:rsidR="00A77B3E" w:rsidRPr="00DA13F2" w:rsidRDefault="004D62F0" w:rsidP="00DA13F2">
      <w:pPr>
        <w:adjustRightInd w:val="0"/>
        <w:snapToGrid w:val="0"/>
        <w:spacing w:line="360" w:lineRule="auto"/>
        <w:jc w:val="both"/>
        <w:rPr>
          <w:rFonts w:ascii="Book Antiqua" w:hAnsi="Book Antiqua"/>
        </w:rPr>
      </w:pPr>
      <w:bookmarkStart w:id="37" w:name="OLE_LINK32"/>
      <w:bookmarkStart w:id="38" w:name="OLE_LINK33"/>
      <w:r w:rsidRPr="00DA13F2">
        <w:rPr>
          <w:rFonts w:ascii="Book Antiqua" w:eastAsia="Book Antiqua" w:hAnsi="Book Antiqua" w:cs="Book Antiqua"/>
          <w:color w:val="000000"/>
          <w:shd w:val="clear" w:color="auto" w:fill="FFFFFF"/>
        </w:rPr>
        <w:t xml:space="preserve">From a surgeon’s perspective, a </w:t>
      </w:r>
      <w:r w:rsidRPr="00DA13F2">
        <w:rPr>
          <w:rFonts w:ascii="Book Antiqua" w:eastAsia="Book Antiqua" w:hAnsi="Book Antiqua" w:cs="Book Antiqua"/>
          <w:color w:val="000000"/>
        </w:rPr>
        <w:t xml:space="preserve">margin-negative (R0) resection accomplished with minimal postoperative complications is certainly our best contribution to long-term survival in pancreatic </w:t>
      </w:r>
      <w:proofErr w:type="gramStart"/>
      <w:r w:rsidRPr="00DA13F2">
        <w:rPr>
          <w:rFonts w:ascii="Book Antiqua" w:eastAsia="Book Antiqua" w:hAnsi="Book Antiqua" w:cs="Book Antiqua"/>
          <w:color w:val="000000"/>
        </w:rPr>
        <w:t>cancer</w:t>
      </w:r>
      <w:r w:rsidRPr="00DA13F2">
        <w:rPr>
          <w:rFonts w:ascii="Book Antiqua" w:eastAsia="Book Antiqua" w:hAnsi="Book Antiqua" w:cs="Book Antiqua"/>
          <w:color w:val="000000"/>
          <w:vertAlign w:val="superscript"/>
        </w:rPr>
        <w:t>[</w:t>
      </w:r>
      <w:proofErr w:type="gramEnd"/>
      <w:r w:rsidRPr="00DA13F2">
        <w:rPr>
          <w:rFonts w:ascii="Book Antiqua" w:eastAsia="Book Antiqua" w:hAnsi="Book Antiqua" w:cs="Book Antiqua"/>
          <w:color w:val="000000"/>
          <w:vertAlign w:val="superscript"/>
        </w:rPr>
        <w:t>42]</w:t>
      </w:r>
      <w:r w:rsidRPr="00DA13F2">
        <w:rPr>
          <w:rFonts w:ascii="Book Antiqua" w:eastAsia="Book Antiqua" w:hAnsi="Book Antiqua" w:cs="Book Antiqua"/>
          <w:color w:val="000000"/>
        </w:rPr>
        <w:t>. However, it remains our responsibility to ensure that we contribute to the enhanced recovery of our patients to enable them to take the next step towards fighting their cancer. Understanding the relevance of deviations to clinical pathways post-PD presents us with opportunities to actively pursue an enhanced-recovery of our patients.</w:t>
      </w:r>
    </w:p>
    <w:bookmarkEnd w:id="37"/>
    <w:bookmarkEnd w:id="38"/>
    <w:p w14:paraId="6AFC0138" w14:textId="77777777" w:rsidR="00A77B3E" w:rsidRPr="00DA13F2" w:rsidRDefault="00A77B3E" w:rsidP="00DA13F2">
      <w:pPr>
        <w:adjustRightInd w:val="0"/>
        <w:snapToGrid w:val="0"/>
        <w:spacing w:line="360" w:lineRule="auto"/>
        <w:jc w:val="both"/>
        <w:rPr>
          <w:rFonts w:ascii="Book Antiqua" w:hAnsi="Book Antiqua"/>
        </w:rPr>
      </w:pPr>
    </w:p>
    <w:p w14:paraId="60C7AF6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aps/>
          <w:color w:val="000000"/>
          <w:u w:val="single"/>
        </w:rPr>
        <w:t>ARTICLE HIGHLIGHTS</w:t>
      </w:r>
    </w:p>
    <w:p w14:paraId="67A148E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background</w:t>
      </w:r>
    </w:p>
    <w:p w14:paraId="3176A621" w14:textId="1C2498A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Enhanced recovery after surgery</w:t>
      </w:r>
      <w:r w:rsidR="00903104" w:rsidRPr="00DA13F2">
        <w:rPr>
          <w:rFonts w:ascii="Book Antiqua" w:eastAsia="Book Antiqua" w:hAnsi="Book Antiqua" w:cs="Book Antiqua"/>
          <w:color w:val="000000"/>
          <w:shd w:val="clear" w:color="auto" w:fill="FFFFFF"/>
        </w:rPr>
        <w:t xml:space="preserve"> </w:t>
      </w:r>
      <w:r w:rsidRPr="00DA13F2">
        <w:rPr>
          <w:rFonts w:ascii="Book Antiqua" w:eastAsia="Book Antiqua" w:hAnsi="Book Antiqua" w:cs="Book Antiqua"/>
          <w:color w:val="000000"/>
          <w:shd w:val="clear" w:color="auto" w:fill="FFFFFF"/>
        </w:rPr>
        <w:t>is steadily gaining importance in patients undergoing pancreatic surgery, including pancreatoduodenectomy (PD). While clinical pathways targeting enhanced-recovery can achieve their intended outcome in reducing length of stay, compliance to these pathways, and their relevance is poorly understood.</w:t>
      </w:r>
    </w:p>
    <w:p w14:paraId="2FCFFC28" w14:textId="77777777" w:rsidR="00A77B3E" w:rsidRPr="00DA13F2" w:rsidRDefault="00A77B3E" w:rsidP="00DA13F2">
      <w:pPr>
        <w:adjustRightInd w:val="0"/>
        <w:snapToGrid w:val="0"/>
        <w:spacing w:line="360" w:lineRule="auto"/>
        <w:jc w:val="both"/>
        <w:rPr>
          <w:rFonts w:ascii="Book Antiqua" w:hAnsi="Book Antiqua"/>
        </w:rPr>
      </w:pPr>
    </w:p>
    <w:p w14:paraId="59095EE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motivation</w:t>
      </w:r>
    </w:p>
    <w:p w14:paraId="578A8BA0" w14:textId="4300FAC3"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Appreciating the importance of deviations from a clinical pathway for pancreatic surgery will empower surgeons not only to identify patients at risk of complications but also to develop strategies to improve the pathway and, in turn, patient outcomes.</w:t>
      </w:r>
    </w:p>
    <w:p w14:paraId="791B4C71" w14:textId="77777777" w:rsidR="00A77B3E" w:rsidRPr="00DA13F2" w:rsidRDefault="00A77B3E" w:rsidP="00DA13F2">
      <w:pPr>
        <w:adjustRightInd w:val="0"/>
        <w:snapToGrid w:val="0"/>
        <w:spacing w:line="360" w:lineRule="auto"/>
        <w:jc w:val="both"/>
        <w:rPr>
          <w:rFonts w:ascii="Book Antiqua" w:hAnsi="Book Antiqua"/>
        </w:rPr>
      </w:pPr>
    </w:p>
    <w:p w14:paraId="27508AA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objectives</w:t>
      </w:r>
    </w:p>
    <w:p w14:paraId="57E40F65" w14:textId="2E25E5A4" w:rsidR="00A77B3E" w:rsidRPr="00DA13F2" w:rsidRDefault="004D62F0" w:rsidP="00DA13F2">
      <w:pPr>
        <w:adjustRightInd w:val="0"/>
        <w:snapToGrid w:val="0"/>
        <w:spacing w:line="360" w:lineRule="auto"/>
        <w:jc w:val="both"/>
        <w:rPr>
          <w:rFonts w:ascii="Book Antiqua" w:hAnsi="Book Antiqua"/>
        </w:rPr>
      </w:pPr>
      <w:bookmarkStart w:id="39" w:name="OLE_LINK34"/>
      <w:bookmarkStart w:id="40" w:name="OLE_LINK35"/>
      <w:r w:rsidRPr="00DA13F2">
        <w:rPr>
          <w:rFonts w:ascii="Book Antiqua" w:eastAsia="Book Antiqua" w:hAnsi="Book Antiqua" w:cs="Book Antiqua"/>
          <w:color w:val="000000"/>
        </w:rPr>
        <w:lastRenderedPageBreak/>
        <w:t>The objective of this systematic review was to assess the impact of deviations from/non-compliance to a clinical pathway on post-PD outcomes.</w:t>
      </w:r>
    </w:p>
    <w:bookmarkEnd w:id="39"/>
    <w:bookmarkEnd w:id="40"/>
    <w:p w14:paraId="632F70A7" w14:textId="77777777" w:rsidR="00A77B3E" w:rsidRPr="00DA13F2" w:rsidRDefault="00A77B3E" w:rsidP="00DA13F2">
      <w:pPr>
        <w:adjustRightInd w:val="0"/>
        <w:snapToGrid w:val="0"/>
        <w:spacing w:line="360" w:lineRule="auto"/>
        <w:jc w:val="both"/>
        <w:rPr>
          <w:rFonts w:ascii="Book Antiqua" w:hAnsi="Book Antiqua"/>
        </w:rPr>
      </w:pPr>
    </w:p>
    <w:p w14:paraId="2E01A42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methods</w:t>
      </w:r>
    </w:p>
    <w:p w14:paraId="1002BB05" w14:textId="2396C62D" w:rsidR="00A77B3E" w:rsidRPr="00DA13F2" w:rsidRDefault="004D62F0" w:rsidP="00DA13F2">
      <w:pPr>
        <w:adjustRightInd w:val="0"/>
        <w:snapToGrid w:val="0"/>
        <w:spacing w:line="360" w:lineRule="auto"/>
        <w:jc w:val="both"/>
        <w:rPr>
          <w:rFonts w:ascii="Book Antiqua" w:hAnsi="Book Antiqua"/>
        </w:rPr>
      </w:pPr>
      <w:bookmarkStart w:id="41" w:name="OLE_LINK36"/>
      <w:bookmarkStart w:id="42" w:name="OLE_LINK37"/>
      <w:r w:rsidRPr="00DA13F2">
        <w:rPr>
          <w:rFonts w:ascii="Book Antiqua" w:eastAsia="Book Antiqua" w:hAnsi="Book Antiqua" w:cs="Book Antiqua"/>
          <w:color w:val="000000"/>
        </w:rPr>
        <w:t>A systematic review and meta-analysis of the literature gleaned from a search performed on MEDLINE, SCOPUS, EMBASE, and Google Scholar databases for the articles published between January 2000 and November 2020 relating to compliance with clinical pathways and its impact on outcomes in patients undergoing PD, was performed.</w:t>
      </w:r>
    </w:p>
    <w:p w14:paraId="53CD5C4C" w14:textId="77777777" w:rsidR="00A77B3E" w:rsidRPr="00DA13F2" w:rsidRDefault="00A77B3E" w:rsidP="00DA13F2">
      <w:pPr>
        <w:adjustRightInd w:val="0"/>
        <w:snapToGrid w:val="0"/>
        <w:spacing w:line="360" w:lineRule="auto"/>
        <w:jc w:val="both"/>
        <w:rPr>
          <w:rFonts w:ascii="Book Antiqua" w:hAnsi="Book Antiqua"/>
        </w:rPr>
      </w:pPr>
    </w:p>
    <w:bookmarkEnd w:id="41"/>
    <w:bookmarkEnd w:id="42"/>
    <w:p w14:paraId="085AB34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results</w:t>
      </w:r>
    </w:p>
    <w:p w14:paraId="1A9C0183" w14:textId="6189DC6A" w:rsidR="00A77B3E" w:rsidRPr="00DA13F2" w:rsidRDefault="004D62F0" w:rsidP="00DA13F2">
      <w:pPr>
        <w:adjustRightInd w:val="0"/>
        <w:snapToGrid w:val="0"/>
        <w:spacing w:line="360" w:lineRule="auto"/>
        <w:jc w:val="both"/>
        <w:rPr>
          <w:rFonts w:ascii="Book Antiqua" w:hAnsi="Book Antiqua"/>
        </w:rPr>
      </w:pPr>
      <w:bookmarkStart w:id="43" w:name="OLE_LINK38"/>
      <w:bookmarkStart w:id="44" w:name="OLE_LINK39"/>
      <w:r w:rsidRPr="00DA13F2">
        <w:rPr>
          <w:rFonts w:ascii="Book Antiqua" w:eastAsia="Book Antiqua" w:hAnsi="Book Antiqua" w:cs="Book Antiqua"/>
          <w:color w:val="000000"/>
        </w:rPr>
        <w:t xml:space="preserve">Eleven studies including 1852 patients were identified. Median overall compliance to all components of the clinical pathway was 65.7% </w:t>
      </w:r>
      <w:r w:rsidR="002F1A0F">
        <w:rPr>
          <w:rFonts w:ascii="Book Antiqua" w:eastAsia="Book Antiqua" w:hAnsi="Book Antiqua" w:cs="Book Antiqua"/>
          <w:color w:val="000000"/>
        </w:rPr>
        <w:t>[</w:t>
      </w:r>
      <w:r w:rsidR="002F1A0F" w:rsidRPr="002F1A0F">
        <w:rPr>
          <w:rFonts w:ascii="Book Antiqua" w:eastAsia="Book Antiqua" w:hAnsi="Book Antiqua" w:cs="Book Antiqua"/>
          <w:color w:val="000000"/>
        </w:rPr>
        <w:t xml:space="preserve">interquartile range </w:t>
      </w:r>
      <w:r w:rsidR="002F1A0F">
        <w:rPr>
          <w:rFonts w:ascii="Book Antiqua" w:eastAsia="Book Antiqua" w:hAnsi="Book Antiqua" w:cs="Book Antiqua"/>
          <w:color w:val="000000"/>
        </w:rPr>
        <w:t>(</w:t>
      </w:r>
      <w:r w:rsidRPr="00DA13F2">
        <w:rPr>
          <w:rFonts w:ascii="Book Antiqua" w:eastAsia="Book Antiqua" w:hAnsi="Book Antiqua" w:cs="Book Antiqua"/>
          <w:color w:val="000000"/>
        </w:rPr>
        <w:t>IQR</w:t>
      </w:r>
      <w:r w:rsidR="002F1A0F">
        <w:rPr>
          <w:rFonts w:ascii="Book Antiqua" w:eastAsia="Book Antiqua" w:hAnsi="Book Antiqua" w:cs="Book Antiqua"/>
          <w:color w:val="000000"/>
        </w:rPr>
        <w:t>)</w:t>
      </w:r>
      <w:r w:rsidRPr="00DA13F2">
        <w:rPr>
          <w:rFonts w:ascii="Book Antiqua" w:eastAsia="Book Antiqua" w:hAnsi="Book Antiqua" w:cs="Book Antiqua"/>
          <w:color w:val="000000"/>
        </w:rPr>
        <w:t>: 62.7</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-72.3%</w:t>
      </w:r>
      <w:r w:rsidR="002F1A0F">
        <w:rPr>
          <w:rFonts w:ascii="Book Antiqua" w:eastAsia="Book Antiqua" w:hAnsi="Book Antiqua" w:cs="Book Antiqua"/>
          <w:color w:val="000000"/>
        </w:rPr>
        <w:t>]</w:t>
      </w:r>
      <w:r w:rsidRPr="00DA13F2">
        <w:rPr>
          <w:rFonts w:ascii="Book Antiqua" w:eastAsia="Book Antiqua" w:hAnsi="Book Antiqua" w:cs="Book Antiqua"/>
          <w:color w:val="000000"/>
        </w:rPr>
        <w:t xml:space="preserve"> with median compliance to post-operative parameters of the clinical pathway being 44% (IQR: 34.5</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-52.25%). Meta-analysis using a fixed-effects model showed that ≥ 50% compliance to a clinical pathway predicted significantly fewer post-operative complications </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pooled </w:t>
      </w:r>
      <w:r w:rsidR="00903104" w:rsidRPr="00DA13F2">
        <w:rPr>
          <w:rFonts w:ascii="Book Antiqua" w:eastAsia="Book Antiqua" w:hAnsi="Book Antiqua" w:cs="Book Antiqua"/>
          <w:color w:val="000000"/>
          <w:shd w:val="clear" w:color="auto" w:fill="FFFFFF"/>
        </w:rPr>
        <w:t>odds ratio</w:t>
      </w:r>
      <w:r w:rsidR="002F1A0F">
        <w:rPr>
          <w:rFonts w:ascii="Book Antiqua" w:eastAsia="Book Antiqua" w:hAnsi="Book Antiqua" w:cs="Book Antiqua"/>
          <w:color w:val="000000"/>
          <w:shd w:val="clear" w:color="auto" w:fill="FFFFFF"/>
        </w:rPr>
        <w:t xml:space="preserve"> (OR)</w:t>
      </w:r>
      <w:r w:rsidR="00747180" w:rsidRPr="00DA13F2">
        <w:rPr>
          <w:rFonts w:ascii="Book Antiqua" w:eastAsia="Book Antiqua" w:hAnsi="Book Antiqua" w:cs="Book Antiqua"/>
          <w:color w:val="000000"/>
          <w:shd w:val="clear" w:color="auto" w:fill="FFFFFF"/>
        </w:rPr>
        <w:t>:</w:t>
      </w:r>
      <w:r w:rsidRPr="00DA13F2">
        <w:rPr>
          <w:rFonts w:ascii="Book Antiqua" w:eastAsia="Book Antiqua" w:hAnsi="Book Antiqua" w:cs="Book Antiqua"/>
          <w:color w:val="000000"/>
        </w:rPr>
        <w:t xml:space="preserve"> 9.46, 95%</w:t>
      </w:r>
      <w:r w:rsidR="00903104" w:rsidRPr="00DA13F2">
        <w:rPr>
          <w:rFonts w:ascii="Book Antiqua" w:eastAsia="Book Antiqua" w:hAnsi="Book Antiqua" w:cs="Book Antiqua"/>
          <w:color w:val="000000"/>
        </w:rPr>
        <w:t xml:space="preserve"> confidence interval (CI)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5.00-17.90; </w:t>
      </w:r>
      <w:r w:rsidR="00903104" w:rsidRPr="00DA13F2">
        <w:rPr>
          <w:rFonts w:ascii="Book Antiqua" w:eastAsia="Book Antiqua" w:hAnsi="Book Antiqua" w:cs="Book Antiqua"/>
          <w:i/>
          <w:iCs/>
          <w:color w:val="000000"/>
        </w:rPr>
        <w:t>P</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r w:rsidR="00903104"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and a significantly shorter length of hospital stay (pooled </w:t>
      </w:r>
      <w:r w:rsidR="00903104" w:rsidRPr="00DA13F2">
        <w:rPr>
          <w:rFonts w:ascii="Book Antiqua" w:eastAsia="Book Antiqua" w:hAnsi="Book Antiqua" w:cs="Book Antiqua"/>
          <w:color w:val="000000"/>
          <w:shd w:val="clear" w:color="auto" w:fill="FFFFFF"/>
        </w:rPr>
        <w:t>mean difference</w:t>
      </w:r>
      <w:r w:rsidRPr="00DA13F2">
        <w:rPr>
          <w:rFonts w:ascii="Book Antiqua" w:eastAsia="Book Antiqua" w:hAnsi="Book Antiqua" w:cs="Book Antiqua"/>
          <w:color w:val="000000"/>
        </w:rPr>
        <w:t xml:space="preserve"> 4.32, 95%CI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-3.88 to -4.75; </w:t>
      </w:r>
      <w:r w:rsidR="00903104" w:rsidRPr="00DA13F2">
        <w:rPr>
          <w:rFonts w:ascii="Book Antiqua" w:eastAsia="Book Antiqua" w:hAnsi="Book Antiqua" w:cs="Book Antiqua"/>
          <w:i/>
          <w:iCs/>
          <w:color w:val="000000"/>
        </w:rPr>
        <w:t>P</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0.0001). At 100% compliance which was associated with significantly fewer post-operative complications (pooled </w:t>
      </w:r>
      <w:r w:rsidR="002F1A0F">
        <w:rPr>
          <w:rFonts w:ascii="Book Antiqua" w:eastAsia="Book Antiqua" w:hAnsi="Book Antiqua" w:cs="Book Antiqua"/>
          <w:color w:val="000000"/>
          <w:shd w:val="clear" w:color="auto" w:fill="FFFFFF"/>
        </w:rPr>
        <w:t>OR</w:t>
      </w:r>
      <w:r w:rsidRPr="00DA13F2">
        <w:rPr>
          <w:rFonts w:ascii="Book Antiqua" w:eastAsia="Book Antiqua" w:hAnsi="Book Antiqua" w:cs="Book Antiqua"/>
          <w:color w:val="000000"/>
        </w:rPr>
        <w:t xml:space="preserve"> 11.25, 95%CI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4.71-26.84; </w:t>
      </w:r>
      <w:r w:rsidR="00903104" w:rsidRPr="00DA13F2">
        <w:rPr>
          <w:rFonts w:ascii="Book Antiqua" w:eastAsia="Book Antiqua" w:hAnsi="Book Antiqua" w:cs="Book Antiqua"/>
          <w:i/>
          <w:iCs/>
          <w:color w:val="000000"/>
        </w:rPr>
        <w:t xml:space="preserve">P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 xml:space="preserve">0.00001) and shorter hospital stay (pooled </w:t>
      </w:r>
      <w:r w:rsidR="00903104" w:rsidRPr="00DA13F2">
        <w:rPr>
          <w:rFonts w:ascii="Book Antiqua" w:eastAsia="Book Antiqua" w:hAnsi="Book Antiqua" w:cs="Book Antiqua"/>
          <w:color w:val="000000"/>
          <w:shd w:val="clear" w:color="auto" w:fill="FFFFFF"/>
        </w:rPr>
        <w:t>mean difference</w:t>
      </w:r>
      <w:r w:rsidRPr="00DA13F2">
        <w:rPr>
          <w:rFonts w:ascii="Book Antiqua" w:eastAsia="Book Antiqua" w:hAnsi="Book Antiqua" w:cs="Book Antiqua"/>
          <w:color w:val="000000"/>
        </w:rPr>
        <w:t xml:space="preserve"> of 4.66, 95%CI</w:t>
      </w:r>
      <w:r w:rsidR="00747180" w:rsidRPr="00DA13F2">
        <w:rPr>
          <w:rFonts w:ascii="Book Antiqua" w:eastAsia="Book Antiqua" w:hAnsi="Book Antiqua" w:cs="Book Antiqua"/>
          <w:color w:val="000000"/>
        </w:rPr>
        <w:t>:</w:t>
      </w:r>
      <w:r w:rsidRPr="00DA13F2">
        <w:rPr>
          <w:rFonts w:ascii="Book Antiqua" w:eastAsia="Book Antiqua" w:hAnsi="Book Antiqua" w:cs="Book Antiqua"/>
          <w:color w:val="000000"/>
        </w:rPr>
        <w:t xml:space="preserve"> 2.81-6.51; </w:t>
      </w:r>
      <w:r w:rsidR="00903104" w:rsidRPr="00DA13F2">
        <w:rPr>
          <w:rFonts w:ascii="Book Antiqua" w:eastAsia="Book Antiqua" w:hAnsi="Book Antiqua" w:cs="Book Antiqua"/>
          <w:i/>
          <w:iCs/>
          <w:color w:val="000000"/>
        </w:rPr>
        <w:t>P</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&lt;</w:t>
      </w:r>
      <w:r w:rsidR="00903104"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0.00001).</w:t>
      </w:r>
    </w:p>
    <w:bookmarkEnd w:id="43"/>
    <w:bookmarkEnd w:id="44"/>
    <w:p w14:paraId="6DF2AED7" w14:textId="77777777" w:rsidR="00A77B3E" w:rsidRPr="00DA13F2" w:rsidRDefault="00A77B3E" w:rsidP="00DA13F2">
      <w:pPr>
        <w:adjustRightInd w:val="0"/>
        <w:snapToGrid w:val="0"/>
        <w:spacing w:line="360" w:lineRule="auto"/>
        <w:jc w:val="both"/>
        <w:rPr>
          <w:rFonts w:ascii="Book Antiqua" w:hAnsi="Book Antiqua"/>
        </w:rPr>
      </w:pPr>
    </w:p>
    <w:p w14:paraId="122A6D6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conclusions</w:t>
      </w:r>
    </w:p>
    <w:p w14:paraId="00B42001" w14:textId="66EB34A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shd w:val="clear" w:color="auto" w:fill="FFFFFF"/>
        </w:rPr>
        <w:t>Compliance to post-PD clinical pathways remains low. Deviations are associated with an increased risk of complications and length of hospital stay.</w:t>
      </w:r>
    </w:p>
    <w:p w14:paraId="193C6516" w14:textId="77777777" w:rsidR="00A77B3E" w:rsidRPr="00DA13F2" w:rsidRDefault="00A77B3E" w:rsidP="00DA13F2">
      <w:pPr>
        <w:adjustRightInd w:val="0"/>
        <w:snapToGrid w:val="0"/>
        <w:spacing w:line="360" w:lineRule="auto"/>
        <w:jc w:val="both"/>
        <w:rPr>
          <w:rFonts w:ascii="Book Antiqua" w:hAnsi="Book Antiqua"/>
        </w:rPr>
      </w:pPr>
    </w:p>
    <w:p w14:paraId="3CFEC29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i/>
          <w:color w:val="000000"/>
        </w:rPr>
        <w:t>Research perspectives</w:t>
      </w:r>
    </w:p>
    <w:p w14:paraId="147C6979" w14:textId="51564606"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Understanding the relevance of deviations to clinical pathways post-PD presents pancreatic surgeons with opportunities to </w:t>
      </w:r>
      <w:proofErr w:type="spellStart"/>
      <w:r w:rsidRPr="00DA13F2">
        <w:rPr>
          <w:rFonts w:ascii="Book Antiqua" w:eastAsia="Book Antiqua" w:hAnsi="Book Antiqua" w:cs="Book Antiqua"/>
          <w:color w:val="000000"/>
          <w:shd w:val="clear" w:color="auto" w:fill="FFFFFF"/>
        </w:rPr>
        <w:t>scrutinise</w:t>
      </w:r>
      <w:proofErr w:type="spellEnd"/>
      <w:r w:rsidRPr="00DA13F2">
        <w:rPr>
          <w:rFonts w:ascii="Book Antiqua" w:eastAsia="Book Antiqua" w:hAnsi="Book Antiqua" w:cs="Book Antiqua"/>
          <w:color w:val="000000"/>
          <w:shd w:val="clear" w:color="auto" w:fill="FFFFFF"/>
        </w:rPr>
        <w:t xml:space="preserve"> (and amend) their existing pathways with the ultimate goal of enhancing the recovery of their patients.</w:t>
      </w:r>
    </w:p>
    <w:p w14:paraId="03E708C0" w14:textId="77777777" w:rsidR="00A77B3E" w:rsidRPr="00DA13F2" w:rsidRDefault="00A77B3E" w:rsidP="00DA13F2">
      <w:pPr>
        <w:adjustRightInd w:val="0"/>
        <w:snapToGrid w:val="0"/>
        <w:spacing w:line="360" w:lineRule="auto"/>
        <w:jc w:val="both"/>
        <w:rPr>
          <w:rFonts w:ascii="Book Antiqua" w:hAnsi="Book Antiqua"/>
        </w:rPr>
      </w:pPr>
    </w:p>
    <w:p w14:paraId="51474D4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REFERENCES</w:t>
      </w:r>
    </w:p>
    <w:p w14:paraId="376D2225" w14:textId="77777777" w:rsidR="00A77B3E" w:rsidRPr="00DA13F2" w:rsidRDefault="004D62F0" w:rsidP="00DA13F2">
      <w:pPr>
        <w:adjustRightInd w:val="0"/>
        <w:snapToGrid w:val="0"/>
        <w:spacing w:line="360" w:lineRule="auto"/>
        <w:jc w:val="both"/>
        <w:rPr>
          <w:rFonts w:ascii="Book Antiqua" w:hAnsi="Book Antiqua"/>
        </w:rPr>
      </w:pPr>
      <w:bookmarkStart w:id="45" w:name="OLE_LINK2630"/>
      <w:bookmarkStart w:id="46" w:name="OLE_LINK2631"/>
      <w:r w:rsidRPr="00DA13F2">
        <w:rPr>
          <w:rFonts w:ascii="Book Antiqua" w:eastAsia="Book Antiqua" w:hAnsi="Book Antiqua" w:cs="Book Antiqua"/>
          <w:color w:val="000000"/>
        </w:rPr>
        <w:t xml:space="preserve">1 </w:t>
      </w:r>
      <w:proofErr w:type="spellStart"/>
      <w:r w:rsidRPr="00DA13F2">
        <w:rPr>
          <w:rFonts w:ascii="Book Antiqua" w:eastAsia="Book Antiqua" w:hAnsi="Book Antiqua" w:cs="Book Antiqua"/>
          <w:b/>
          <w:bCs/>
          <w:color w:val="000000"/>
        </w:rPr>
        <w:t>Shrikhande</w:t>
      </w:r>
      <w:proofErr w:type="spellEnd"/>
      <w:r w:rsidRPr="00DA13F2">
        <w:rPr>
          <w:rFonts w:ascii="Book Antiqua" w:eastAsia="Book Antiqua" w:hAnsi="Book Antiqua" w:cs="Book Antiqua"/>
          <w:b/>
          <w:bCs/>
          <w:color w:val="000000"/>
        </w:rPr>
        <w:t xml:space="preserve"> SV</w:t>
      </w:r>
      <w:r w:rsidRPr="00DA13F2">
        <w:rPr>
          <w:rFonts w:ascii="Book Antiqua" w:eastAsia="Book Antiqua" w:hAnsi="Book Antiqua" w:cs="Book Antiqua"/>
          <w:color w:val="000000"/>
        </w:rPr>
        <w:t xml:space="preserve">, Barreto SG, </w:t>
      </w:r>
      <w:proofErr w:type="spellStart"/>
      <w:r w:rsidRPr="00DA13F2">
        <w:rPr>
          <w:rFonts w:ascii="Book Antiqua" w:eastAsia="Book Antiqua" w:hAnsi="Book Antiqua" w:cs="Book Antiqua"/>
          <w:color w:val="000000"/>
        </w:rPr>
        <w:t>Somashekar</w:t>
      </w:r>
      <w:proofErr w:type="spellEnd"/>
      <w:r w:rsidRPr="00DA13F2">
        <w:rPr>
          <w:rFonts w:ascii="Book Antiqua" w:eastAsia="Book Antiqua" w:hAnsi="Book Antiqua" w:cs="Book Antiqua"/>
          <w:color w:val="000000"/>
        </w:rPr>
        <w:t xml:space="preserve"> BA, </w:t>
      </w:r>
      <w:proofErr w:type="spellStart"/>
      <w:r w:rsidRPr="00DA13F2">
        <w:rPr>
          <w:rFonts w:ascii="Book Antiqua" w:eastAsia="Book Antiqua" w:hAnsi="Book Antiqua" w:cs="Book Antiqua"/>
          <w:color w:val="000000"/>
        </w:rPr>
        <w:t>Suradkar</w:t>
      </w:r>
      <w:proofErr w:type="spellEnd"/>
      <w:r w:rsidRPr="00DA13F2">
        <w:rPr>
          <w:rFonts w:ascii="Book Antiqua" w:eastAsia="Book Antiqua" w:hAnsi="Book Antiqua" w:cs="Book Antiqua"/>
          <w:color w:val="000000"/>
        </w:rPr>
        <w:t xml:space="preserve"> K, Shetty GS, </w:t>
      </w:r>
      <w:proofErr w:type="spellStart"/>
      <w:r w:rsidRPr="00DA13F2">
        <w:rPr>
          <w:rFonts w:ascii="Book Antiqua" w:eastAsia="Book Antiqua" w:hAnsi="Book Antiqua" w:cs="Book Antiqua"/>
          <w:color w:val="000000"/>
        </w:rPr>
        <w:t>Talole</w:t>
      </w:r>
      <w:proofErr w:type="spellEnd"/>
      <w:r w:rsidRPr="00DA13F2">
        <w:rPr>
          <w:rFonts w:ascii="Book Antiqua" w:eastAsia="Book Antiqua" w:hAnsi="Book Antiqua" w:cs="Book Antiqua"/>
          <w:color w:val="000000"/>
        </w:rPr>
        <w:t xml:space="preserve"> S, </w:t>
      </w:r>
      <w:proofErr w:type="spellStart"/>
      <w:r w:rsidRPr="00DA13F2">
        <w:rPr>
          <w:rFonts w:ascii="Book Antiqua" w:eastAsia="Book Antiqua" w:hAnsi="Book Antiqua" w:cs="Book Antiqua"/>
          <w:color w:val="000000"/>
        </w:rPr>
        <w:t>Sirohi</w:t>
      </w:r>
      <w:proofErr w:type="spellEnd"/>
      <w:r w:rsidRPr="00DA13F2">
        <w:rPr>
          <w:rFonts w:ascii="Book Antiqua" w:eastAsia="Book Antiqua" w:hAnsi="Book Antiqua" w:cs="Book Antiqua"/>
          <w:color w:val="000000"/>
        </w:rPr>
        <w:t xml:space="preserve"> B, Goel M, Shukla PJ. Evolution of pancreatoduodenectomy in a tertiary cancer center in India: improved results from service reconfiguration. </w:t>
      </w:r>
      <w:proofErr w:type="spellStart"/>
      <w:r w:rsidRPr="00DA13F2">
        <w:rPr>
          <w:rFonts w:ascii="Book Antiqua" w:eastAsia="Book Antiqua" w:hAnsi="Book Antiqua" w:cs="Book Antiqua"/>
          <w:i/>
          <w:iCs/>
          <w:color w:val="000000"/>
        </w:rPr>
        <w:t>Pancreatology</w:t>
      </w:r>
      <w:proofErr w:type="spellEnd"/>
      <w:r w:rsidRPr="00DA13F2">
        <w:rPr>
          <w:rFonts w:ascii="Book Antiqua" w:eastAsia="Book Antiqua" w:hAnsi="Book Antiqua" w:cs="Book Antiqua"/>
          <w:color w:val="000000"/>
        </w:rPr>
        <w:t xml:space="preserve"> 2013; </w:t>
      </w:r>
      <w:r w:rsidRPr="00DA13F2">
        <w:rPr>
          <w:rFonts w:ascii="Book Antiqua" w:eastAsia="Book Antiqua" w:hAnsi="Book Antiqua" w:cs="Book Antiqua"/>
          <w:b/>
          <w:bCs/>
          <w:color w:val="000000"/>
        </w:rPr>
        <w:t>13</w:t>
      </w:r>
      <w:r w:rsidRPr="00DA13F2">
        <w:rPr>
          <w:rFonts w:ascii="Book Antiqua" w:eastAsia="Book Antiqua" w:hAnsi="Book Antiqua" w:cs="Book Antiqua"/>
          <w:color w:val="000000"/>
        </w:rPr>
        <w:t>: 63-71 [PMID: 23395572 DOI: 10.1016/j.pan.2012.11.302]</w:t>
      </w:r>
    </w:p>
    <w:p w14:paraId="70C3AE7E"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 </w:t>
      </w:r>
      <w:proofErr w:type="spellStart"/>
      <w:r w:rsidRPr="00DA13F2">
        <w:rPr>
          <w:rFonts w:ascii="Book Antiqua" w:eastAsia="Book Antiqua" w:hAnsi="Book Antiqua" w:cs="Book Antiqua"/>
          <w:b/>
          <w:bCs/>
          <w:color w:val="000000"/>
        </w:rPr>
        <w:t>Riall</w:t>
      </w:r>
      <w:proofErr w:type="spellEnd"/>
      <w:r w:rsidRPr="00DA13F2">
        <w:rPr>
          <w:rFonts w:ascii="Book Antiqua" w:eastAsia="Book Antiqua" w:hAnsi="Book Antiqua" w:cs="Book Antiqua"/>
          <w:b/>
          <w:bCs/>
          <w:color w:val="000000"/>
        </w:rPr>
        <w:t xml:space="preserve"> TS</w:t>
      </w:r>
      <w:r w:rsidRPr="00DA13F2">
        <w:rPr>
          <w:rFonts w:ascii="Book Antiqua" w:eastAsia="Book Antiqua" w:hAnsi="Book Antiqua" w:cs="Book Antiqua"/>
          <w:color w:val="000000"/>
        </w:rPr>
        <w:t xml:space="preserve">, Nealon WH, Goodwin JS, Townsend CM Jr, Freeman JL. Outcomes following pancreatic resection: variability among high-volume providers. </w:t>
      </w:r>
      <w:r w:rsidRPr="00DA13F2">
        <w:rPr>
          <w:rFonts w:ascii="Book Antiqua" w:eastAsia="Book Antiqua" w:hAnsi="Book Antiqua" w:cs="Book Antiqua"/>
          <w:i/>
          <w:iCs/>
          <w:color w:val="000000"/>
        </w:rPr>
        <w:t>Surgery</w:t>
      </w:r>
      <w:r w:rsidRPr="00DA13F2">
        <w:rPr>
          <w:rFonts w:ascii="Book Antiqua" w:eastAsia="Book Antiqua" w:hAnsi="Book Antiqua" w:cs="Book Antiqua"/>
          <w:color w:val="000000"/>
        </w:rPr>
        <w:t xml:space="preserve"> 2008; </w:t>
      </w:r>
      <w:r w:rsidRPr="00DA13F2">
        <w:rPr>
          <w:rFonts w:ascii="Book Antiqua" w:eastAsia="Book Antiqua" w:hAnsi="Book Antiqua" w:cs="Book Antiqua"/>
          <w:b/>
          <w:bCs/>
          <w:color w:val="000000"/>
        </w:rPr>
        <w:t>144</w:t>
      </w:r>
      <w:r w:rsidRPr="00DA13F2">
        <w:rPr>
          <w:rFonts w:ascii="Book Antiqua" w:eastAsia="Book Antiqua" w:hAnsi="Book Antiqua" w:cs="Book Antiqua"/>
          <w:color w:val="000000"/>
        </w:rPr>
        <w:t>: 133-140 [PMID: 18656618 DOI: 10.1016/j.surg.2008.03.041]</w:t>
      </w:r>
    </w:p>
    <w:p w14:paraId="1E0A1BC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 </w:t>
      </w:r>
      <w:r w:rsidRPr="00DA13F2">
        <w:rPr>
          <w:rFonts w:ascii="Book Antiqua" w:eastAsia="Book Antiqua" w:hAnsi="Book Antiqua" w:cs="Book Antiqua"/>
          <w:b/>
          <w:bCs/>
          <w:color w:val="000000"/>
        </w:rPr>
        <w:t>Bilimoria KY</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Bentrem</w:t>
      </w:r>
      <w:proofErr w:type="spellEnd"/>
      <w:r w:rsidRPr="00DA13F2">
        <w:rPr>
          <w:rFonts w:ascii="Book Antiqua" w:eastAsia="Book Antiqua" w:hAnsi="Book Antiqua" w:cs="Book Antiqua"/>
          <w:color w:val="000000"/>
        </w:rPr>
        <w:t xml:space="preserve"> DJ, </w:t>
      </w:r>
      <w:proofErr w:type="spellStart"/>
      <w:r w:rsidRPr="00DA13F2">
        <w:rPr>
          <w:rFonts w:ascii="Book Antiqua" w:eastAsia="Book Antiqua" w:hAnsi="Book Antiqua" w:cs="Book Antiqua"/>
          <w:color w:val="000000"/>
        </w:rPr>
        <w:t>Lillemoe</w:t>
      </w:r>
      <w:proofErr w:type="spellEnd"/>
      <w:r w:rsidRPr="00DA13F2">
        <w:rPr>
          <w:rFonts w:ascii="Book Antiqua" w:eastAsia="Book Antiqua" w:hAnsi="Book Antiqua" w:cs="Book Antiqua"/>
          <w:color w:val="000000"/>
        </w:rPr>
        <w:t xml:space="preserve"> KD, </w:t>
      </w:r>
      <w:proofErr w:type="spellStart"/>
      <w:r w:rsidRPr="00DA13F2">
        <w:rPr>
          <w:rFonts w:ascii="Book Antiqua" w:eastAsia="Book Antiqua" w:hAnsi="Book Antiqua" w:cs="Book Antiqua"/>
          <w:color w:val="000000"/>
        </w:rPr>
        <w:t>Talamonti</w:t>
      </w:r>
      <w:proofErr w:type="spellEnd"/>
      <w:r w:rsidRPr="00DA13F2">
        <w:rPr>
          <w:rFonts w:ascii="Book Antiqua" w:eastAsia="Book Antiqua" w:hAnsi="Book Antiqua" w:cs="Book Antiqua"/>
          <w:color w:val="000000"/>
        </w:rPr>
        <w:t xml:space="preserve"> MS, Ko CY; Pancreatic Cancer Quality Indicator Development Expert Panel, American College of Surgeons. Assessment of pancreatic cancer care in the United States based on formally developed quality indicators. </w:t>
      </w:r>
      <w:r w:rsidRPr="00DA13F2">
        <w:rPr>
          <w:rFonts w:ascii="Book Antiqua" w:eastAsia="Book Antiqua" w:hAnsi="Book Antiqua" w:cs="Book Antiqua"/>
          <w:i/>
          <w:iCs/>
          <w:color w:val="000000"/>
        </w:rPr>
        <w:t>J Natl Cancer Inst</w:t>
      </w:r>
      <w:r w:rsidRPr="00DA13F2">
        <w:rPr>
          <w:rFonts w:ascii="Book Antiqua" w:eastAsia="Book Antiqua" w:hAnsi="Book Antiqua" w:cs="Book Antiqua"/>
          <w:color w:val="000000"/>
        </w:rPr>
        <w:t xml:space="preserve"> 2009; </w:t>
      </w:r>
      <w:r w:rsidRPr="00DA13F2">
        <w:rPr>
          <w:rFonts w:ascii="Book Antiqua" w:eastAsia="Book Antiqua" w:hAnsi="Book Antiqua" w:cs="Book Antiqua"/>
          <w:b/>
          <w:bCs/>
          <w:color w:val="000000"/>
        </w:rPr>
        <w:t>101</w:t>
      </w:r>
      <w:r w:rsidRPr="00DA13F2">
        <w:rPr>
          <w:rFonts w:ascii="Book Antiqua" w:eastAsia="Book Antiqua" w:hAnsi="Book Antiqua" w:cs="Book Antiqua"/>
          <w:color w:val="000000"/>
        </w:rPr>
        <w:t>: 848-859 [PMID: 19509366 DOI: 10.1093/</w:t>
      </w:r>
      <w:proofErr w:type="spellStart"/>
      <w:r w:rsidRPr="00DA13F2">
        <w:rPr>
          <w:rFonts w:ascii="Book Antiqua" w:eastAsia="Book Antiqua" w:hAnsi="Book Antiqua" w:cs="Book Antiqua"/>
          <w:color w:val="000000"/>
        </w:rPr>
        <w:t>jnci</w:t>
      </w:r>
      <w:proofErr w:type="spellEnd"/>
      <w:r w:rsidRPr="00DA13F2">
        <w:rPr>
          <w:rFonts w:ascii="Book Antiqua" w:eastAsia="Book Antiqua" w:hAnsi="Book Antiqua" w:cs="Book Antiqua"/>
          <w:color w:val="000000"/>
        </w:rPr>
        <w:t>/djp107]</w:t>
      </w:r>
    </w:p>
    <w:p w14:paraId="04D93D0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 </w:t>
      </w:r>
      <w:proofErr w:type="spellStart"/>
      <w:r w:rsidRPr="00DA13F2">
        <w:rPr>
          <w:rFonts w:ascii="Book Antiqua" w:eastAsia="Book Antiqua" w:hAnsi="Book Antiqua" w:cs="Book Antiqua"/>
          <w:b/>
          <w:bCs/>
          <w:color w:val="000000"/>
        </w:rPr>
        <w:t>Shrikhande</w:t>
      </w:r>
      <w:proofErr w:type="spellEnd"/>
      <w:r w:rsidRPr="00DA13F2">
        <w:rPr>
          <w:rFonts w:ascii="Book Antiqua" w:eastAsia="Book Antiqua" w:hAnsi="Book Antiqua" w:cs="Book Antiqua"/>
          <w:b/>
          <w:bCs/>
          <w:color w:val="000000"/>
        </w:rPr>
        <w:t xml:space="preserve"> SV</w:t>
      </w:r>
      <w:r w:rsidRPr="00DA13F2">
        <w:rPr>
          <w:rFonts w:ascii="Book Antiqua" w:eastAsia="Book Antiqua" w:hAnsi="Book Antiqua" w:cs="Book Antiqua"/>
          <w:color w:val="000000"/>
        </w:rPr>
        <w:t xml:space="preserve">, Barreto G, Shukla PJ. Pancreatic fistula after pancreaticoduodenectomy: the impact of a standardized technique of </w:t>
      </w:r>
      <w:proofErr w:type="spellStart"/>
      <w:r w:rsidRPr="00DA13F2">
        <w:rPr>
          <w:rFonts w:ascii="Book Antiqua" w:eastAsia="Book Antiqua" w:hAnsi="Book Antiqua" w:cs="Book Antiqua"/>
          <w:color w:val="000000"/>
        </w:rPr>
        <w:t>pancreaticojejunostomy</w:t>
      </w:r>
      <w:proofErr w:type="spellEnd"/>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i/>
          <w:iCs/>
          <w:color w:val="000000"/>
        </w:rPr>
        <w:t>Langenbecks</w:t>
      </w:r>
      <w:proofErr w:type="spellEnd"/>
      <w:r w:rsidRPr="00DA13F2">
        <w:rPr>
          <w:rFonts w:ascii="Book Antiqua" w:eastAsia="Book Antiqua" w:hAnsi="Book Antiqua" w:cs="Book Antiqua"/>
          <w:i/>
          <w:iCs/>
          <w:color w:val="000000"/>
        </w:rPr>
        <w:t xml:space="preserve"> Arch Surg</w:t>
      </w:r>
      <w:r w:rsidRPr="00DA13F2">
        <w:rPr>
          <w:rFonts w:ascii="Book Antiqua" w:eastAsia="Book Antiqua" w:hAnsi="Book Antiqua" w:cs="Book Antiqua"/>
          <w:color w:val="000000"/>
        </w:rPr>
        <w:t xml:space="preserve"> 2008; </w:t>
      </w:r>
      <w:r w:rsidRPr="00DA13F2">
        <w:rPr>
          <w:rFonts w:ascii="Book Antiqua" w:eastAsia="Book Antiqua" w:hAnsi="Book Antiqua" w:cs="Book Antiqua"/>
          <w:b/>
          <w:bCs/>
          <w:color w:val="000000"/>
        </w:rPr>
        <w:t>393</w:t>
      </w:r>
      <w:r w:rsidRPr="00DA13F2">
        <w:rPr>
          <w:rFonts w:ascii="Book Antiqua" w:eastAsia="Book Antiqua" w:hAnsi="Book Antiqua" w:cs="Book Antiqua"/>
          <w:color w:val="000000"/>
        </w:rPr>
        <w:t>: 87-91 [PMID: 17703319 DOI: 10.1007/s00423-007-0221-2]</w:t>
      </w:r>
    </w:p>
    <w:p w14:paraId="1D07CA5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5 </w:t>
      </w:r>
      <w:r w:rsidRPr="00DA13F2">
        <w:rPr>
          <w:rFonts w:ascii="Book Antiqua" w:eastAsia="Book Antiqua" w:hAnsi="Book Antiqua" w:cs="Book Antiqua"/>
          <w:b/>
          <w:bCs/>
          <w:color w:val="000000"/>
        </w:rPr>
        <w:t>Chaudhary A</w:t>
      </w:r>
      <w:r w:rsidRPr="00DA13F2">
        <w:rPr>
          <w:rFonts w:ascii="Book Antiqua" w:eastAsia="Book Antiqua" w:hAnsi="Book Antiqua" w:cs="Book Antiqua"/>
          <w:color w:val="000000"/>
        </w:rPr>
        <w:t xml:space="preserve">, Barreto SG, </w:t>
      </w:r>
      <w:proofErr w:type="spellStart"/>
      <w:r w:rsidRPr="00DA13F2">
        <w:rPr>
          <w:rFonts w:ascii="Book Antiqua" w:eastAsia="Book Antiqua" w:hAnsi="Book Antiqua" w:cs="Book Antiqua"/>
          <w:color w:val="000000"/>
        </w:rPr>
        <w:t>Talole</w:t>
      </w:r>
      <w:proofErr w:type="spellEnd"/>
      <w:r w:rsidRPr="00DA13F2">
        <w:rPr>
          <w:rFonts w:ascii="Book Antiqua" w:eastAsia="Book Antiqua" w:hAnsi="Book Antiqua" w:cs="Book Antiqua"/>
          <w:color w:val="000000"/>
        </w:rPr>
        <w:t xml:space="preserve"> SD, Singh A, </w:t>
      </w:r>
      <w:proofErr w:type="spellStart"/>
      <w:r w:rsidRPr="00DA13F2">
        <w:rPr>
          <w:rFonts w:ascii="Book Antiqua" w:eastAsia="Book Antiqua" w:hAnsi="Book Antiqua" w:cs="Book Antiqua"/>
          <w:color w:val="000000"/>
        </w:rPr>
        <w:t>Perwaiz</w:t>
      </w:r>
      <w:proofErr w:type="spellEnd"/>
      <w:r w:rsidRPr="00DA13F2">
        <w:rPr>
          <w:rFonts w:ascii="Book Antiqua" w:eastAsia="Book Antiqua" w:hAnsi="Book Antiqua" w:cs="Book Antiqua"/>
          <w:color w:val="000000"/>
        </w:rPr>
        <w:t xml:space="preserve"> A, Singh T. Early discharge after pancreatoduodenectomy: what helps and what prevents? </w:t>
      </w:r>
      <w:r w:rsidRPr="00DA13F2">
        <w:rPr>
          <w:rFonts w:ascii="Book Antiqua" w:eastAsia="Book Antiqua" w:hAnsi="Book Antiqua" w:cs="Book Antiqua"/>
          <w:i/>
          <w:iCs/>
          <w:color w:val="000000"/>
        </w:rPr>
        <w:t>Pancreas</w:t>
      </w:r>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44</w:t>
      </w:r>
      <w:r w:rsidRPr="00DA13F2">
        <w:rPr>
          <w:rFonts w:ascii="Book Antiqua" w:eastAsia="Book Antiqua" w:hAnsi="Book Antiqua" w:cs="Book Antiqua"/>
          <w:color w:val="000000"/>
        </w:rPr>
        <w:t>: 273-278 [PMID: 25479587 DOI: 10.1097/MPA.0000000000000254]</w:t>
      </w:r>
    </w:p>
    <w:p w14:paraId="4EE9D19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6 </w:t>
      </w:r>
      <w:r w:rsidRPr="00DA13F2">
        <w:rPr>
          <w:rFonts w:ascii="Book Antiqua" w:eastAsia="Book Antiqua" w:hAnsi="Book Antiqua" w:cs="Book Antiqua"/>
          <w:b/>
          <w:bCs/>
          <w:color w:val="000000"/>
        </w:rPr>
        <w:t>Karunakaran M</w:t>
      </w:r>
      <w:r w:rsidRPr="00DA13F2">
        <w:rPr>
          <w:rFonts w:ascii="Book Antiqua" w:eastAsia="Book Antiqua" w:hAnsi="Book Antiqua" w:cs="Book Antiqua"/>
          <w:color w:val="000000"/>
        </w:rPr>
        <w:t xml:space="preserve">, Barreto SG, Singh MK, Kapoor D, Chaudhary A. Deviations from a clinical pathway post pancreatoduodenectomy predict 90-day unplanned re-admission. </w:t>
      </w:r>
      <w:r w:rsidRPr="00DA13F2">
        <w:rPr>
          <w:rFonts w:ascii="Book Antiqua" w:eastAsia="Book Antiqua" w:hAnsi="Book Antiqua" w:cs="Book Antiqua"/>
          <w:i/>
          <w:iCs/>
          <w:color w:val="000000"/>
        </w:rPr>
        <w:t>Future Oncol</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16</w:t>
      </w:r>
      <w:r w:rsidRPr="00DA13F2">
        <w:rPr>
          <w:rFonts w:ascii="Book Antiqua" w:eastAsia="Book Antiqua" w:hAnsi="Book Antiqua" w:cs="Book Antiqua"/>
          <w:color w:val="000000"/>
        </w:rPr>
        <w:t>: 1839-1849 [PMID: 32511024 DOI: 10.2217/fon-2020-0120]</w:t>
      </w:r>
    </w:p>
    <w:p w14:paraId="7B1B000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7 </w:t>
      </w:r>
      <w:proofErr w:type="spellStart"/>
      <w:r w:rsidRPr="00DA13F2">
        <w:rPr>
          <w:rFonts w:ascii="Book Antiqua" w:eastAsia="Book Antiqua" w:hAnsi="Book Antiqua" w:cs="Book Antiqua"/>
          <w:b/>
          <w:bCs/>
          <w:color w:val="000000"/>
        </w:rPr>
        <w:t>Bardram</w:t>
      </w:r>
      <w:proofErr w:type="spellEnd"/>
      <w:r w:rsidRPr="00DA13F2">
        <w:rPr>
          <w:rFonts w:ascii="Book Antiqua" w:eastAsia="Book Antiqua" w:hAnsi="Book Antiqua" w:cs="Book Antiqua"/>
          <w:b/>
          <w:bCs/>
          <w:color w:val="000000"/>
        </w:rPr>
        <w:t xml:space="preserve"> L</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Funch</w:t>
      </w:r>
      <w:proofErr w:type="spellEnd"/>
      <w:r w:rsidRPr="00DA13F2">
        <w:rPr>
          <w:rFonts w:ascii="Book Antiqua" w:eastAsia="Book Antiqua" w:hAnsi="Book Antiqua" w:cs="Book Antiqua"/>
          <w:color w:val="000000"/>
        </w:rPr>
        <w:t xml:space="preserve">-Jensen P, Jensen P, Crawford ME, </w:t>
      </w:r>
      <w:proofErr w:type="spellStart"/>
      <w:r w:rsidRPr="00DA13F2">
        <w:rPr>
          <w:rFonts w:ascii="Book Antiqua" w:eastAsia="Book Antiqua" w:hAnsi="Book Antiqua" w:cs="Book Antiqua"/>
          <w:color w:val="000000"/>
        </w:rPr>
        <w:t>Kehlet</w:t>
      </w:r>
      <w:proofErr w:type="spellEnd"/>
      <w:r w:rsidRPr="00DA13F2">
        <w:rPr>
          <w:rFonts w:ascii="Book Antiqua" w:eastAsia="Book Antiqua" w:hAnsi="Book Antiqua" w:cs="Book Antiqua"/>
          <w:color w:val="000000"/>
        </w:rPr>
        <w:t xml:space="preserve"> H. Recovery after laparoscopic colonic surgery with epidural analgesia, and early oral nutrition and </w:t>
      </w:r>
      <w:proofErr w:type="spellStart"/>
      <w:r w:rsidRPr="00DA13F2">
        <w:rPr>
          <w:rFonts w:ascii="Book Antiqua" w:eastAsia="Book Antiqua" w:hAnsi="Book Antiqua" w:cs="Book Antiqua"/>
          <w:color w:val="000000"/>
        </w:rPr>
        <w:t>mobilisation</w:t>
      </w:r>
      <w:proofErr w:type="spellEnd"/>
      <w:r w:rsidRPr="00DA13F2">
        <w:rPr>
          <w:rFonts w:ascii="Book Antiqua" w:eastAsia="Book Antiqua" w:hAnsi="Book Antiqua" w:cs="Book Antiqua"/>
          <w:color w:val="000000"/>
        </w:rPr>
        <w:t xml:space="preserve">. </w:t>
      </w:r>
      <w:r w:rsidRPr="00DA13F2">
        <w:rPr>
          <w:rFonts w:ascii="Book Antiqua" w:eastAsia="Book Antiqua" w:hAnsi="Book Antiqua" w:cs="Book Antiqua"/>
          <w:i/>
          <w:iCs/>
          <w:color w:val="000000"/>
        </w:rPr>
        <w:t>Lancet</w:t>
      </w:r>
      <w:r w:rsidRPr="00DA13F2">
        <w:rPr>
          <w:rFonts w:ascii="Book Antiqua" w:eastAsia="Book Antiqua" w:hAnsi="Book Antiqua" w:cs="Book Antiqua"/>
          <w:color w:val="000000"/>
        </w:rPr>
        <w:t xml:space="preserve"> 1995; </w:t>
      </w:r>
      <w:r w:rsidRPr="00DA13F2">
        <w:rPr>
          <w:rFonts w:ascii="Book Antiqua" w:eastAsia="Book Antiqua" w:hAnsi="Book Antiqua" w:cs="Book Antiqua"/>
          <w:b/>
          <w:bCs/>
          <w:color w:val="000000"/>
        </w:rPr>
        <w:t>345</w:t>
      </w:r>
      <w:r w:rsidRPr="00DA13F2">
        <w:rPr>
          <w:rFonts w:ascii="Book Antiqua" w:eastAsia="Book Antiqua" w:hAnsi="Book Antiqua" w:cs="Book Antiqua"/>
          <w:color w:val="000000"/>
        </w:rPr>
        <w:t>: 763-764 [PMID: 7891489 DOI: 10.1016/s0140-6736(95)90643-6]</w:t>
      </w:r>
    </w:p>
    <w:p w14:paraId="55DCC26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8 </w:t>
      </w:r>
      <w:r w:rsidRPr="00DA13F2">
        <w:rPr>
          <w:rFonts w:ascii="Book Antiqua" w:eastAsia="Book Antiqua" w:hAnsi="Book Antiqua" w:cs="Book Antiqua"/>
          <w:b/>
          <w:bCs/>
          <w:color w:val="000000"/>
        </w:rPr>
        <w:t>Lassen K</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Coolsen</w:t>
      </w:r>
      <w:proofErr w:type="spellEnd"/>
      <w:r w:rsidRPr="00DA13F2">
        <w:rPr>
          <w:rFonts w:ascii="Book Antiqua" w:eastAsia="Book Antiqua" w:hAnsi="Book Antiqua" w:cs="Book Antiqua"/>
          <w:color w:val="000000"/>
        </w:rPr>
        <w:t xml:space="preserve"> MM, Slim K, Carli F, de Aguilar-Nascimento JE, Schäfer M, Parks RW, Fearon KC, Lobo DN,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Braga M, </w:t>
      </w:r>
      <w:proofErr w:type="spellStart"/>
      <w:r w:rsidRPr="00DA13F2">
        <w:rPr>
          <w:rFonts w:ascii="Book Antiqua" w:eastAsia="Book Antiqua" w:hAnsi="Book Antiqua" w:cs="Book Antiqua"/>
          <w:color w:val="000000"/>
        </w:rPr>
        <w:t>Ljungqvist</w:t>
      </w:r>
      <w:proofErr w:type="spellEnd"/>
      <w:r w:rsidRPr="00DA13F2">
        <w:rPr>
          <w:rFonts w:ascii="Book Antiqua" w:eastAsia="Book Antiqua" w:hAnsi="Book Antiqua" w:cs="Book Antiqua"/>
          <w:color w:val="000000"/>
        </w:rPr>
        <w:t xml:space="preserve"> O, </w:t>
      </w:r>
      <w:proofErr w:type="spellStart"/>
      <w:r w:rsidRPr="00DA13F2">
        <w:rPr>
          <w:rFonts w:ascii="Book Antiqua" w:eastAsia="Book Antiqua" w:hAnsi="Book Antiqua" w:cs="Book Antiqua"/>
          <w:color w:val="000000"/>
        </w:rPr>
        <w:t>Dejong</w:t>
      </w:r>
      <w:proofErr w:type="spellEnd"/>
      <w:r w:rsidRPr="00DA13F2">
        <w:rPr>
          <w:rFonts w:ascii="Book Antiqua" w:eastAsia="Book Antiqua" w:hAnsi="Book Antiqua" w:cs="Book Antiqua"/>
          <w:color w:val="000000"/>
        </w:rPr>
        <w:t xml:space="preserve"> CH; ERAS® Society; European Society for Clinical Nutrition and Metabolism; International Association for Surgical Metabolism and Nutrition. Guidelines for perioperative care for pancreaticoduodenectomy: Enhanced Recovery After Surgery (ERAS®) Society recommendations. </w:t>
      </w:r>
      <w:r w:rsidRPr="00DA13F2">
        <w:rPr>
          <w:rFonts w:ascii="Book Antiqua" w:eastAsia="Book Antiqua" w:hAnsi="Book Antiqua" w:cs="Book Antiqua"/>
          <w:i/>
          <w:iCs/>
          <w:color w:val="000000"/>
        </w:rPr>
        <w:t xml:space="preserve">Clin </w:t>
      </w:r>
      <w:proofErr w:type="spellStart"/>
      <w:r w:rsidRPr="00DA13F2">
        <w:rPr>
          <w:rFonts w:ascii="Book Antiqua" w:eastAsia="Book Antiqua" w:hAnsi="Book Antiqua" w:cs="Book Antiqua"/>
          <w:i/>
          <w:iCs/>
          <w:color w:val="000000"/>
        </w:rPr>
        <w:t>Nutr</w:t>
      </w:r>
      <w:proofErr w:type="spellEnd"/>
      <w:r w:rsidRPr="00DA13F2">
        <w:rPr>
          <w:rFonts w:ascii="Book Antiqua" w:eastAsia="Book Antiqua" w:hAnsi="Book Antiqua" w:cs="Book Antiqua"/>
          <w:color w:val="000000"/>
        </w:rPr>
        <w:t xml:space="preserve"> 2012; </w:t>
      </w:r>
      <w:r w:rsidRPr="00DA13F2">
        <w:rPr>
          <w:rFonts w:ascii="Book Antiqua" w:eastAsia="Book Antiqua" w:hAnsi="Book Antiqua" w:cs="Book Antiqua"/>
          <w:b/>
          <w:bCs/>
          <w:color w:val="000000"/>
        </w:rPr>
        <w:t>31</w:t>
      </w:r>
      <w:r w:rsidRPr="00DA13F2">
        <w:rPr>
          <w:rFonts w:ascii="Book Antiqua" w:eastAsia="Book Antiqua" w:hAnsi="Book Antiqua" w:cs="Book Antiqua"/>
          <w:color w:val="000000"/>
        </w:rPr>
        <w:t>: 817-830 [PMID: 23079762 DOI: 10.1016/j.clnu.2012.08.011]</w:t>
      </w:r>
    </w:p>
    <w:p w14:paraId="111B4D6E"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9 </w:t>
      </w:r>
      <w:r w:rsidRPr="00DA13F2">
        <w:rPr>
          <w:rFonts w:ascii="Book Antiqua" w:eastAsia="Book Antiqua" w:hAnsi="Book Antiqua" w:cs="Book Antiqua"/>
          <w:b/>
          <w:bCs/>
          <w:color w:val="000000"/>
        </w:rPr>
        <w:t>Wang XY</w:t>
      </w:r>
      <w:r w:rsidRPr="00DA13F2">
        <w:rPr>
          <w:rFonts w:ascii="Book Antiqua" w:eastAsia="Book Antiqua" w:hAnsi="Book Antiqua" w:cs="Book Antiqua"/>
          <w:color w:val="000000"/>
        </w:rPr>
        <w:t xml:space="preserve">, Cai JP, Huang CS, Huang XT, Yin XY. Impact of enhanced recovery after surgery protocol on pancreaticoduodenectomy: a meta-analysis of non-randomized and randomized controlled trials.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22</w:t>
      </w:r>
      <w:r w:rsidRPr="00DA13F2">
        <w:rPr>
          <w:rFonts w:ascii="Book Antiqua" w:eastAsia="Book Antiqua" w:hAnsi="Book Antiqua" w:cs="Book Antiqua"/>
          <w:color w:val="000000"/>
        </w:rPr>
        <w:t>: 1373-1383 [PMID: 32811766 DOI: 10.1016/j.hpb.2020.07.001]</w:t>
      </w:r>
    </w:p>
    <w:p w14:paraId="5F761E2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10 </w:t>
      </w:r>
      <w:proofErr w:type="spellStart"/>
      <w:r w:rsidRPr="00DA13F2">
        <w:rPr>
          <w:rFonts w:ascii="Book Antiqua" w:eastAsia="Book Antiqua" w:hAnsi="Book Antiqua" w:cs="Book Antiqua"/>
          <w:b/>
          <w:bCs/>
          <w:color w:val="000000"/>
        </w:rPr>
        <w:t>Roulin</w:t>
      </w:r>
      <w:proofErr w:type="spellEnd"/>
      <w:r w:rsidRPr="00DA13F2">
        <w:rPr>
          <w:rFonts w:ascii="Book Antiqua" w:eastAsia="Book Antiqua" w:hAnsi="Book Antiqua" w:cs="Book Antiqua"/>
          <w:b/>
          <w:bCs/>
          <w:color w:val="000000"/>
        </w:rPr>
        <w:t xml:space="preserve"> D</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Melloul</w:t>
      </w:r>
      <w:proofErr w:type="spellEnd"/>
      <w:r w:rsidRPr="00DA13F2">
        <w:rPr>
          <w:rFonts w:ascii="Book Antiqua" w:eastAsia="Book Antiqua" w:hAnsi="Book Antiqua" w:cs="Book Antiqua"/>
          <w:color w:val="000000"/>
        </w:rPr>
        <w:t xml:space="preserve"> E, </w:t>
      </w:r>
      <w:proofErr w:type="spellStart"/>
      <w:r w:rsidRPr="00DA13F2">
        <w:rPr>
          <w:rFonts w:ascii="Book Antiqua" w:eastAsia="Book Antiqua" w:hAnsi="Book Antiqua" w:cs="Book Antiqua"/>
          <w:color w:val="000000"/>
        </w:rPr>
        <w:t>Wellg</w:t>
      </w:r>
      <w:proofErr w:type="spellEnd"/>
      <w:r w:rsidRPr="00DA13F2">
        <w:rPr>
          <w:rFonts w:ascii="Book Antiqua" w:eastAsia="Book Antiqua" w:hAnsi="Book Antiqua" w:cs="Book Antiqua"/>
          <w:color w:val="000000"/>
        </w:rPr>
        <w:t xml:space="preserve"> BE, </w:t>
      </w:r>
      <w:proofErr w:type="spellStart"/>
      <w:r w:rsidRPr="00DA13F2">
        <w:rPr>
          <w:rFonts w:ascii="Book Antiqua" w:eastAsia="Book Antiqua" w:hAnsi="Book Antiqua" w:cs="Book Antiqua"/>
          <w:color w:val="000000"/>
        </w:rPr>
        <w:t>Izbicki</w:t>
      </w:r>
      <w:proofErr w:type="spellEnd"/>
      <w:r w:rsidRPr="00DA13F2">
        <w:rPr>
          <w:rFonts w:ascii="Book Antiqua" w:eastAsia="Book Antiqua" w:hAnsi="Book Antiqua" w:cs="Book Antiqua"/>
          <w:color w:val="000000"/>
        </w:rPr>
        <w:t xml:space="preserve"> J, </w:t>
      </w:r>
      <w:proofErr w:type="spellStart"/>
      <w:r w:rsidRPr="00DA13F2">
        <w:rPr>
          <w:rFonts w:ascii="Book Antiqua" w:eastAsia="Book Antiqua" w:hAnsi="Book Antiqua" w:cs="Book Antiqua"/>
          <w:color w:val="000000"/>
        </w:rPr>
        <w:t>Vrochides</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Adham</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Hübner</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Feasibility of an Enhanced Recovery Protocol for Elective Pancreatoduodenectomy: A Multicenter International Cohort Study. </w:t>
      </w:r>
      <w:r w:rsidRPr="00DA13F2">
        <w:rPr>
          <w:rFonts w:ascii="Book Antiqua" w:eastAsia="Book Antiqua" w:hAnsi="Book Antiqua" w:cs="Book Antiqua"/>
          <w:i/>
          <w:iCs/>
          <w:color w:val="000000"/>
        </w:rPr>
        <w:t>World J Surg</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44</w:t>
      </w:r>
      <w:r w:rsidRPr="00DA13F2">
        <w:rPr>
          <w:rFonts w:ascii="Book Antiqua" w:eastAsia="Book Antiqua" w:hAnsi="Book Antiqua" w:cs="Book Antiqua"/>
          <w:color w:val="000000"/>
        </w:rPr>
        <w:t>: 2761-2769 [PMID: 32270224 DOI: 10.1007/s00268-020-05499-x]</w:t>
      </w:r>
    </w:p>
    <w:p w14:paraId="5170541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11 </w:t>
      </w:r>
      <w:r w:rsidRPr="00DA13F2">
        <w:rPr>
          <w:rFonts w:ascii="Book Antiqua" w:eastAsia="Book Antiqua" w:hAnsi="Book Antiqua" w:cs="Book Antiqua"/>
          <w:b/>
          <w:bCs/>
          <w:color w:val="000000"/>
        </w:rPr>
        <w:t>Karunakaran M</w:t>
      </w:r>
      <w:r w:rsidRPr="00DA13F2">
        <w:rPr>
          <w:rFonts w:ascii="Book Antiqua" w:eastAsia="Book Antiqua" w:hAnsi="Book Antiqua" w:cs="Book Antiqua"/>
          <w:color w:val="000000"/>
        </w:rPr>
        <w:t xml:space="preserve">, Barreto SG. ERAS® following pancreatoduodenectomy - more than just reducing hospital stay.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2021; </w:t>
      </w:r>
      <w:r w:rsidRPr="00DA13F2">
        <w:rPr>
          <w:rFonts w:ascii="Book Antiqua" w:eastAsia="Book Antiqua" w:hAnsi="Book Antiqua" w:cs="Book Antiqua"/>
          <w:b/>
          <w:bCs/>
          <w:color w:val="000000"/>
        </w:rPr>
        <w:t>23</w:t>
      </w:r>
      <w:r w:rsidRPr="00DA13F2">
        <w:rPr>
          <w:rFonts w:ascii="Book Antiqua" w:eastAsia="Book Antiqua" w:hAnsi="Book Antiqua" w:cs="Book Antiqua"/>
          <w:color w:val="000000"/>
        </w:rPr>
        <w:t>: 321 [PMID: 33246800 DOI: 10.1016/j.hpb.2020.11.007]</w:t>
      </w:r>
    </w:p>
    <w:p w14:paraId="5D5651C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12 </w:t>
      </w:r>
      <w:proofErr w:type="spellStart"/>
      <w:r w:rsidRPr="00DA13F2">
        <w:rPr>
          <w:rFonts w:ascii="Book Antiqua" w:eastAsia="Book Antiqua" w:hAnsi="Book Antiqua" w:cs="Book Antiqua"/>
          <w:b/>
          <w:bCs/>
          <w:color w:val="000000"/>
        </w:rPr>
        <w:t>Penumadu</w:t>
      </w:r>
      <w:proofErr w:type="spellEnd"/>
      <w:r w:rsidRPr="00DA13F2">
        <w:rPr>
          <w:rFonts w:ascii="Book Antiqua" w:eastAsia="Book Antiqua" w:hAnsi="Book Antiqua" w:cs="Book Antiqua"/>
          <w:b/>
          <w:bCs/>
          <w:color w:val="000000"/>
        </w:rPr>
        <w:t xml:space="preserve"> P</w:t>
      </w:r>
      <w:r w:rsidRPr="00DA13F2">
        <w:rPr>
          <w:rFonts w:ascii="Book Antiqua" w:eastAsia="Book Antiqua" w:hAnsi="Book Antiqua" w:cs="Book Antiqua"/>
          <w:color w:val="000000"/>
        </w:rPr>
        <w:t xml:space="preserve">, Barreto SG, Goel M, </w:t>
      </w:r>
      <w:proofErr w:type="spellStart"/>
      <w:r w:rsidRPr="00DA13F2">
        <w:rPr>
          <w:rFonts w:ascii="Book Antiqua" w:eastAsia="Book Antiqua" w:hAnsi="Book Antiqua" w:cs="Book Antiqua"/>
          <w:color w:val="000000"/>
        </w:rPr>
        <w:t>Shrikhande</w:t>
      </w:r>
      <w:proofErr w:type="spellEnd"/>
      <w:r w:rsidRPr="00DA13F2">
        <w:rPr>
          <w:rFonts w:ascii="Book Antiqua" w:eastAsia="Book Antiqua" w:hAnsi="Book Antiqua" w:cs="Book Antiqua"/>
          <w:color w:val="000000"/>
        </w:rPr>
        <w:t xml:space="preserve"> SV. Pancreatoduodenectomy - preventing complications. </w:t>
      </w:r>
      <w:r w:rsidRPr="00DA13F2">
        <w:rPr>
          <w:rFonts w:ascii="Book Antiqua" w:eastAsia="Book Antiqua" w:hAnsi="Book Antiqua" w:cs="Book Antiqua"/>
          <w:i/>
          <w:iCs/>
          <w:color w:val="000000"/>
        </w:rPr>
        <w:t>Indian J Surg Oncol</w:t>
      </w:r>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6</w:t>
      </w:r>
      <w:r w:rsidRPr="00DA13F2">
        <w:rPr>
          <w:rFonts w:ascii="Book Antiqua" w:eastAsia="Book Antiqua" w:hAnsi="Book Antiqua" w:cs="Book Antiqua"/>
          <w:color w:val="000000"/>
        </w:rPr>
        <w:t>: 6-15 [PMID: 25937757 DOI: 10.1007/s13193-013-0286-z]</w:t>
      </w:r>
    </w:p>
    <w:p w14:paraId="538C9A0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13 </w:t>
      </w:r>
      <w:proofErr w:type="spellStart"/>
      <w:r w:rsidRPr="00DA13F2">
        <w:rPr>
          <w:rFonts w:ascii="Book Antiqua" w:eastAsia="Book Antiqua" w:hAnsi="Book Antiqua" w:cs="Book Antiqua"/>
          <w:b/>
          <w:bCs/>
          <w:color w:val="000000"/>
        </w:rPr>
        <w:t>Ghaferi</w:t>
      </w:r>
      <w:proofErr w:type="spellEnd"/>
      <w:r w:rsidRPr="00DA13F2">
        <w:rPr>
          <w:rFonts w:ascii="Book Antiqua" w:eastAsia="Book Antiqua" w:hAnsi="Book Antiqua" w:cs="Book Antiqua"/>
          <w:b/>
          <w:bCs/>
          <w:color w:val="000000"/>
        </w:rPr>
        <w:t xml:space="preserve"> AA</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Birkmeyer</w:t>
      </w:r>
      <w:proofErr w:type="spellEnd"/>
      <w:r w:rsidRPr="00DA13F2">
        <w:rPr>
          <w:rFonts w:ascii="Book Antiqua" w:eastAsia="Book Antiqua" w:hAnsi="Book Antiqua" w:cs="Book Antiqua"/>
          <w:color w:val="000000"/>
        </w:rPr>
        <w:t xml:space="preserve"> JD, </w:t>
      </w:r>
      <w:proofErr w:type="spellStart"/>
      <w:r w:rsidRPr="00DA13F2">
        <w:rPr>
          <w:rFonts w:ascii="Book Antiqua" w:eastAsia="Book Antiqua" w:hAnsi="Book Antiqua" w:cs="Book Antiqua"/>
          <w:color w:val="000000"/>
        </w:rPr>
        <w:t>Dimick</w:t>
      </w:r>
      <w:proofErr w:type="spellEnd"/>
      <w:r w:rsidRPr="00DA13F2">
        <w:rPr>
          <w:rFonts w:ascii="Book Antiqua" w:eastAsia="Book Antiqua" w:hAnsi="Book Antiqua" w:cs="Book Antiqua"/>
          <w:color w:val="000000"/>
        </w:rPr>
        <w:t xml:space="preserve"> JB. Complications, failure to rescue, and mortality with major inpatient surgery in </w:t>
      </w:r>
      <w:proofErr w:type="spellStart"/>
      <w:r w:rsidRPr="00DA13F2">
        <w:rPr>
          <w:rFonts w:ascii="Book Antiqua" w:eastAsia="Book Antiqua" w:hAnsi="Book Antiqua" w:cs="Book Antiqua"/>
          <w:color w:val="000000"/>
        </w:rPr>
        <w:t>medicare</w:t>
      </w:r>
      <w:proofErr w:type="spellEnd"/>
      <w:r w:rsidRPr="00DA13F2">
        <w:rPr>
          <w:rFonts w:ascii="Book Antiqua" w:eastAsia="Book Antiqua" w:hAnsi="Book Antiqua" w:cs="Book Antiqua"/>
          <w:color w:val="000000"/>
        </w:rPr>
        <w:t xml:space="preserve"> patients.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2009; </w:t>
      </w:r>
      <w:r w:rsidRPr="00DA13F2">
        <w:rPr>
          <w:rFonts w:ascii="Book Antiqua" w:eastAsia="Book Antiqua" w:hAnsi="Book Antiqua" w:cs="Book Antiqua"/>
          <w:b/>
          <w:bCs/>
          <w:color w:val="000000"/>
        </w:rPr>
        <w:t>250</w:t>
      </w:r>
      <w:r w:rsidRPr="00DA13F2">
        <w:rPr>
          <w:rFonts w:ascii="Book Antiqua" w:eastAsia="Book Antiqua" w:hAnsi="Book Antiqua" w:cs="Book Antiqua"/>
          <w:color w:val="000000"/>
        </w:rPr>
        <w:t>: 1029-1034 [PMID: 19953723 DOI: 10.1097/sla.0b013e3181bef697]</w:t>
      </w:r>
    </w:p>
    <w:p w14:paraId="53FD2095" w14:textId="00D9C4F9"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highlight w:val="yellow"/>
        </w:rPr>
        <w:lastRenderedPageBreak/>
        <w:t xml:space="preserve">14 </w:t>
      </w:r>
      <w:r w:rsidRPr="00DA13F2">
        <w:rPr>
          <w:rFonts w:ascii="Book Antiqua" w:eastAsia="Book Antiqua" w:hAnsi="Book Antiqua" w:cs="Book Antiqua"/>
          <w:b/>
          <w:bCs/>
          <w:color w:val="000000"/>
          <w:highlight w:val="yellow"/>
        </w:rPr>
        <w:t>Wells G,</w:t>
      </w:r>
      <w:r w:rsidRPr="00DA13F2">
        <w:rPr>
          <w:rFonts w:ascii="Book Antiqua" w:eastAsia="Book Antiqua" w:hAnsi="Book Antiqua" w:cs="Book Antiqua"/>
          <w:color w:val="000000"/>
          <w:highlight w:val="yellow"/>
        </w:rPr>
        <w:t xml:space="preserve"> Shea B, O’Connell D, Peterson J, Welch V, </w:t>
      </w:r>
      <w:proofErr w:type="spellStart"/>
      <w:r w:rsidRPr="00DA13F2">
        <w:rPr>
          <w:rFonts w:ascii="Book Antiqua" w:eastAsia="Book Antiqua" w:hAnsi="Book Antiqua" w:cs="Book Antiqua"/>
          <w:color w:val="000000"/>
          <w:highlight w:val="yellow"/>
        </w:rPr>
        <w:t>Losos</w:t>
      </w:r>
      <w:proofErr w:type="spellEnd"/>
      <w:r w:rsidRPr="00DA13F2">
        <w:rPr>
          <w:rFonts w:ascii="Book Antiqua" w:eastAsia="Book Antiqua" w:hAnsi="Book Antiqua" w:cs="Book Antiqua"/>
          <w:color w:val="000000"/>
          <w:highlight w:val="yellow"/>
        </w:rPr>
        <w:t xml:space="preserve"> M, </w:t>
      </w:r>
      <w:proofErr w:type="spellStart"/>
      <w:r w:rsidRPr="00DA13F2">
        <w:rPr>
          <w:rFonts w:ascii="Book Antiqua" w:eastAsia="Book Antiqua" w:hAnsi="Book Antiqua" w:cs="Book Antiqua"/>
          <w:color w:val="000000"/>
          <w:highlight w:val="yellow"/>
        </w:rPr>
        <w:t>Tugwell</w:t>
      </w:r>
      <w:proofErr w:type="spellEnd"/>
      <w:r w:rsidRPr="00DA13F2">
        <w:rPr>
          <w:rFonts w:ascii="Book Antiqua" w:eastAsia="Book Antiqua" w:hAnsi="Book Antiqua" w:cs="Book Antiqua"/>
          <w:color w:val="000000"/>
          <w:highlight w:val="yellow"/>
        </w:rPr>
        <w:t xml:space="preserve"> P. The Newcastle-Ottawa Scale (NOS) for assessing the quality of </w:t>
      </w:r>
      <w:proofErr w:type="spellStart"/>
      <w:r w:rsidRPr="00DA13F2">
        <w:rPr>
          <w:rFonts w:ascii="Book Antiqua" w:eastAsia="Book Antiqua" w:hAnsi="Book Antiqua" w:cs="Book Antiqua"/>
          <w:color w:val="000000"/>
          <w:highlight w:val="yellow"/>
        </w:rPr>
        <w:t>nonrand</w:t>
      </w:r>
      <w:r w:rsidR="00CD0FEC" w:rsidRPr="00DA13F2">
        <w:rPr>
          <w:rFonts w:ascii="Book Antiqua" w:eastAsia="Book Antiqua" w:hAnsi="Book Antiqua" w:cs="Book Antiqua"/>
          <w:color w:val="000000"/>
          <w:highlight w:val="yellow"/>
        </w:rPr>
        <w:t>omised</w:t>
      </w:r>
      <w:proofErr w:type="spellEnd"/>
      <w:r w:rsidR="00CD0FEC" w:rsidRPr="00DA13F2">
        <w:rPr>
          <w:rFonts w:ascii="Book Antiqua" w:eastAsia="Book Antiqua" w:hAnsi="Book Antiqua" w:cs="Book Antiqua"/>
          <w:color w:val="000000"/>
          <w:highlight w:val="yellow"/>
        </w:rPr>
        <w:t xml:space="preserve"> studies in meta-analyses,</w:t>
      </w:r>
      <w:r w:rsidRPr="00DA13F2">
        <w:rPr>
          <w:rFonts w:ascii="Book Antiqua" w:eastAsia="Book Antiqua" w:hAnsi="Book Antiqua" w:cs="Book Antiqua"/>
          <w:color w:val="000000"/>
          <w:highlight w:val="yellow"/>
        </w:rPr>
        <w:t xml:space="preserve"> 2013</w:t>
      </w:r>
      <w:r w:rsidR="002F1A0F">
        <w:rPr>
          <w:rFonts w:ascii="Book Antiqua" w:eastAsia="Book Antiqua" w:hAnsi="Book Antiqua" w:cs="Book Antiqua"/>
          <w:color w:val="000000"/>
          <w:highlight w:val="yellow"/>
        </w:rPr>
        <w:t>.</w:t>
      </w:r>
      <w:r w:rsidR="00CD0FEC" w:rsidRPr="00DA13F2">
        <w:rPr>
          <w:rFonts w:ascii="Book Antiqua" w:eastAsia="Book Antiqua" w:hAnsi="Book Antiqua" w:cs="Book Antiqua"/>
          <w:color w:val="000000"/>
          <w:highlight w:val="yellow"/>
        </w:rPr>
        <w:t xml:space="preserve"> [cited 5 February 2021].</w:t>
      </w:r>
      <w:r w:rsidRPr="00DA13F2">
        <w:rPr>
          <w:rFonts w:ascii="Book Antiqua" w:eastAsia="Book Antiqua" w:hAnsi="Book Antiqua" w:cs="Book Antiqua"/>
          <w:color w:val="000000"/>
          <w:highlight w:val="yellow"/>
        </w:rPr>
        <w:t xml:space="preserve"> Available from: https://www.researchgate.net/publication/288802810_The_Newcastle-Ottawa_Scale_NOS_for_Assessing_The_Quality_of_Nonrandomised_Studies_in_Meta-analyses</w:t>
      </w:r>
    </w:p>
    <w:p w14:paraId="30D7D68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15 </w:t>
      </w:r>
      <w:r w:rsidRPr="00DA13F2">
        <w:rPr>
          <w:rFonts w:ascii="Book Antiqua" w:eastAsia="Book Antiqua" w:hAnsi="Book Antiqua" w:cs="Book Antiqua"/>
          <w:b/>
          <w:bCs/>
          <w:color w:val="000000"/>
        </w:rPr>
        <w:t>Higgins JP</w:t>
      </w:r>
      <w:r w:rsidRPr="00DA13F2">
        <w:rPr>
          <w:rFonts w:ascii="Book Antiqua" w:eastAsia="Book Antiqua" w:hAnsi="Book Antiqua" w:cs="Book Antiqua"/>
          <w:color w:val="000000"/>
        </w:rPr>
        <w:t xml:space="preserve">, Altman DG, </w:t>
      </w:r>
      <w:proofErr w:type="spellStart"/>
      <w:r w:rsidRPr="00DA13F2">
        <w:rPr>
          <w:rFonts w:ascii="Book Antiqua" w:eastAsia="Book Antiqua" w:hAnsi="Book Antiqua" w:cs="Book Antiqua"/>
          <w:color w:val="000000"/>
        </w:rPr>
        <w:t>Gøtzsche</w:t>
      </w:r>
      <w:proofErr w:type="spellEnd"/>
      <w:r w:rsidRPr="00DA13F2">
        <w:rPr>
          <w:rFonts w:ascii="Book Antiqua" w:eastAsia="Book Antiqua" w:hAnsi="Book Antiqua" w:cs="Book Antiqua"/>
          <w:color w:val="000000"/>
        </w:rPr>
        <w:t xml:space="preserve"> PC, </w:t>
      </w:r>
      <w:proofErr w:type="spellStart"/>
      <w:r w:rsidRPr="00DA13F2">
        <w:rPr>
          <w:rFonts w:ascii="Book Antiqua" w:eastAsia="Book Antiqua" w:hAnsi="Book Antiqua" w:cs="Book Antiqua"/>
          <w:color w:val="000000"/>
        </w:rPr>
        <w:t>Jüni</w:t>
      </w:r>
      <w:proofErr w:type="spellEnd"/>
      <w:r w:rsidRPr="00DA13F2">
        <w:rPr>
          <w:rFonts w:ascii="Book Antiqua" w:eastAsia="Book Antiqua" w:hAnsi="Book Antiqua" w:cs="Book Antiqua"/>
          <w:color w:val="000000"/>
        </w:rPr>
        <w:t xml:space="preserve"> P, Moher D, </w:t>
      </w:r>
      <w:proofErr w:type="spellStart"/>
      <w:r w:rsidRPr="00DA13F2">
        <w:rPr>
          <w:rFonts w:ascii="Book Antiqua" w:eastAsia="Book Antiqua" w:hAnsi="Book Antiqua" w:cs="Book Antiqua"/>
          <w:color w:val="000000"/>
        </w:rPr>
        <w:t>Oxman</w:t>
      </w:r>
      <w:proofErr w:type="spellEnd"/>
      <w:r w:rsidRPr="00DA13F2">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sidRPr="00DA13F2">
        <w:rPr>
          <w:rFonts w:ascii="Book Antiqua" w:eastAsia="Book Antiqua" w:hAnsi="Book Antiqua" w:cs="Book Antiqua"/>
          <w:color w:val="000000"/>
        </w:rPr>
        <w:t>randomised</w:t>
      </w:r>
      <w:proofErr w:type="spellEnd"/>
      <w:r w:rsidRPr="00DA13F2">
        <w:rPr>
          <w:rFonts w:ascii="Book Antiqua" w:eastAsia="Book Antiqua" w:hAnsi="Book Antiqua" w:cs="Book Antiqua"/>
          <w:color w:val="000000"/>
        </w:rPr>
        <w:t xml:space="preserve"> trials. </w:t>
      </w:r>
      <w:r w:rsidRPr="00DA13F2">
        <w:rPr>
          <w:rFonts w:ascii="Book Antiqua" w:eastAsia="Book Antiqua" w:hAnsi="Book Antiqua" w:cs="Book Antiqua"/>
          <w:i/>
          <w:iCs/>
          <w:color w:val="000000"/>
        </w:rPr>
        <w:t>BMJ</w:t>
      </w:r>
      <w:r w:rsidRPr="00DA13F2">
        <w:rPr>
          <w:rFonts w:ascii="Book Antiqua" w:eastAsia="Book Antiqua" w:hAnsi="Book Antiqua" w:cs="Book Antiqua"/>
          <w:color w:val="000000"/>
        </w:rPr>
        <w:t xml:space="preserve"> 2011; </w:t>
      </w:r>
      <w:r w:rsidRPr="00DA13F2">
        <w:rPr>
          <w:rFonts w:ascii="Book Antiqua" w:eastAsia="Book Antiqua" w:hAnsi="Book Antiqua" w:cs="Book Antiqua"/>
          <w:b/>
          <w:bCs/>
          <w:color w:val="000000"/>
        </w:rPr>
        <w:t>343</w:t>
      </w:r>
      <w:r w:rsidRPr="00DA13F2">
        <w:rPr>
          <w:rFonts w:ascii="Book Antiqua" w:eastAsia="Book Antiqua" w:hAnsi="Book Antiqua" w:cs="Book Antiqua"/>
          <w:color w:val="000000"/>
        </w:rPr>
        <w:t>: d5928 [PMID: 22008217 DOI: 10.1136/bmj.d5928]</w:t>
      </w:r>
    </w:p>
    <w:p w14:paraId="634D260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16 </w:t>
      </w:r>
      <w:r w:rsidRPr="00DA13F2">
        <w:rPr>
          <w:rFonts w:ascii="Book Antiqua" w:eastAsia="Book Antiqua" w:hAnsi="Book Antiqua" w:cs="Book Antiqua"/>
          <w:b/>
          <w:bCs/>
          <w:color w:val="000000"/>
        </w:rPr>
        <w:t>Braga M</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Pecorelli</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Ariotti</w:t>
      </w:r>
      <w:proofErr w:type="spellEnd"/>
      <w:r w:rsidRPr="00DA13F2">
        <w:rPr>
          <w:rFonts w:ascii="Book Antiqua" w:eastAsia="Book Antiqua" w:hAnsi="Book Antiqua" w:cs="Book Antiqua"/>
          <w:color w:val="000000"/>
        </w:rPr>
        <w:t xml:space="preserve"> R, Capretti G, Greco M, </w:t>
      </w:r>
      <w:proofErr w:type="spellStart"/>
      <w:r w:rsidRPr="00DA13F2">
        <w:rPr>
          <w:rFonts w:ascii="Book Antiqua" w:eastAsia="Book Antiqua" w:hAnsi="Book Antiqua" w:cs="Book Antiqua"/>
          <w:color w:val="000000"/>
        </w:rPr>
        <w:t>Balzano</w:t>
      </w:r>
      <w:proofErr w:type="spellEnd"/>
      <w:r w:rsidRPr="00DA13F2">
        <w:rPr>
          <w:rFonts w:ascii="Book Antiqua" w:eastAsia="Book Antiqua" w:hAnsi="Book Antiqua" w:cs="Book Antiqua"/>
          <w:color w:val="000000"/>
        </w:rPr>
        <w:t xml:space="preserve"> G, </w:t>
      </w:r>
      <w:proofErr w:type="spellStart"/>
      <w:r w:rsidRPr="00DA13F2">
        <w:rPr>
          <w:rFonts w:ascii="Book Antiqua" w:eastAsia="Book Antiqua" w:hAnsi="Book Antiqua" w:cs="Book Antiqua"/>
          <w:color w:val="000000"/>
        </w:rPr>
        <w:t>Castoldi</w:t>
      </w:r>
      <w:proofErr w:type="spellEnd"/>
      <w:r w:rsidRPr="00DA13F2">
        <w:rPr>
          <w:rFonts w:ascii="Book Antiqua" w:eastAsia="Book Antiqua" w:hAnsi="Book Antiqua" w:cs="Book Antiqua"/>
          <w:color w:val="000000"/>
        </w:rPr>
        <w:t xml:space="preserve"> R, Beretta L. Enhanced recovery after surgery pathway in patients undergoing pancreaticoduodenectomy. </w:t>
      </w:r>
      <w:r w:rsidRPr="00DA13F2">
        <w:rPr>
          <w:rFonts w:ascii="Book Antiqua" w:eastAsia="Book Antiqua" w:hAnsi="Book Antiqua" w:cs="Book Antiqua"/>
          <w:i/>
          <w:iCs/>
          <w:color w:val="000000"/>
        </w:rPr>
        <w:t>World J Surg</w:t>
      </w:r>
      <w:r w:rsidRPr="00DA13F2">
        <w:rPr>
          <w:rFonts w:ascii="Book Antiqua" w:eastAsia="Book Antiqua" w:hAnsi="Book Antiqua" w:cs="Book Antiqua"/>
          <w:color w:val="000000"/>
        </w:rPr>
        <w:t xml:space="preserve"> 2014; </w:t>
      </w:r>
      <w:r w:rsidRPr="00DA13F2">
        <w:rPr>
          <w:rFonts w:ascii="Book Antiqua" w:eastAsia="Book Antiqua" w:hAnsi="Book Antiqua" w:cs="Book Antiqua"/>
          <w:b/>
          <w:bCs/>
          <w:color w:val="000000"/>
        </w:rPr>
        <w:t>38</w:t>
      </w:r>
      <w:r w:rsidRPr="00DA13F2">
        <w:rPr>
          <w:rFonts w:ascii="Book Antiqua" w:eastAsia="Book Antiqua" w:hAnsi="Book Antiqua" w:cs="Book Antiqua"/>
          <w:color w:val="000000"/>
        </w:rPr>
        <w:t>: 2960-2966 [PMID: 24870390 DOI: 10.1007/s00268-014-2653-5]</w:t>
      </w:r>
    </w:p>
    <w:p w14:paraId="21B8842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17 </w:t>
      </w:r>
      <w:proofErr w:type="spellStart"/>
      <w:r w:rsidRPr="00DA13F2">
        <w:rPr>
          <w:rFonts w:ascii="Book Antiqua" w:eastAsia="Book Antiqua" w:hAnsi="Book Antiqua" w:cs="Book Antiqua"/>
          <w:b/>
          <w:bCs/>
          <w:color w:val="000000"/>
        </w:rPr>
        <w:t>Zouros</w:t>
      </w:r>
      <w:proofErr w:type="spellEnd"/>
      <w:r w:rsidRPr="00DA13F2">
        <w:rPr>
          <w:rFonts w:ascii="Book Antiqua" w:eastAsia="Book Antiqua" w:hAnsi="Book Antiqua" w:cs="Book Antiqua"/>
          <w:b/>
          <w:bCs/>
          <w:color w:val="000000"/>
        </w:rPr>
        <w:t xml:space="preserve"> E</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Liakakos</w:t>
      </w:r>
      <w:proofErr w:type="spellEnd"/>
      <w:r w:rsidRPr="00DA13F2">
        <w:rPr>
          <w:rFonts w:ascii="Book Antiqua" w:eastAsia="Book Antiqua" w:hAnsi="Book Antiqua" w:cs="Book Antiqua"/>
          <w:color w:val="000000"/>
        </w:rPr>
        <w:t xml:space="preserve"> T, </w:t>
      </w:r>
      <w:proofErr w:type="spellStart"/>
      <w:r w:rsidRPr="00DA13F2">
        <w:rPr>
          <w:rFonts w:ascii="Book Antiqua" w:eastAsia="Book Antiqua" w:hAnsi="Book Antiqua" w:cs="Book Antiqua"/>
          <w:color w:val="000000"/>
        </w:rPr>
        <w:t>Machairas</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Patapis</w:t>
      </w:r>
      <w:proofErr w:type="spellEnd"/>
      <w:r w:rsidRPr="00DA13F2">
        <w:rPr>
          <w:rFonts w:ascii="Book Antiqua" w:eastAsia="Book Antiqua" w:hAnsi="Book Antiqua" w:cs="Book Antiqua"/>
          <w:color w:val="000000"/>
        </w:rPr>
        <w:t xml:space="preserve"> P, </w:t>
      </w:r>
      <w:proofErr w:type="spellStart"/>
      <w:r w:rsidRPr="00DA13F2">
        <w:rPr>
          <w:rFonts w:ascii="Book Antiqua" w:eastAsia="Book Antiqua" w:hAnsi="Book Antiqua" w:cs="Book Antiqua"/>
          <w:color w:val="000000"/>
        </w:rPr>
        <w:t>Agalianos</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Dervenis</w:t>
      </w:r>
      <w:proofErr w:type="spellEnd"/>
      <w:r w:rsidRPr="00DA13F2">
        <w:rPr>
          <w:rFonts w:ascii="Book Antiqua" w:eastAsia="Book Antiqua" w:hAnsi="Book Antiqua" w:cs="Book Antiqua"/>
          <w:color w:val="000000"/>
        </w:rPr>
        <w:t xml:space="preserve"> C. Improvement of gastric emptying by enhanced recovery after pancreaticoduodenectomy. </w:t>
      </w:r>
      <w:r w:rsidRPr="00DA13F2">
        <w:rPr>
          <w:rFonts w:ascii="Book Antiqua" w:eastAsia="Book Antiqua" w:hAnsi="Book Antiqua" w:cs="Book Antiqua"/>
          <w:i/>
          <w:iCs/>
          <w:color w:val="000000"/>
        </w:rPr>
        <w:t xml:space="preserve">Hepatobiliary </w:t>
      </w:r>
      <w:proofErr w:type="spellStart"/>
      <w:r w:rsidRPr="00DA13F2">
        <w:rPr>
          <w:rFonts w:ascii="Book Antiqua" w:eastAsia="Book Antiqua" w:hAnsi="Book Antiqua" w:cs="Book Antiqua"/>
          <w:i/>
          <w:iCs/>
          <w:color w:val="000000"/>
        </w:rPr>
        <w:t>Pancreat</w:t>
      </w:r>
      <w:proofErr w:type="spellEnd"/>
      <w:r w:rsidRPr="00DA13F2">
        <w:rPr>
          <w:rFonts w:ascii="Book Antiqua" w:eastAsia="Book Antiqua" w:hAnsi="Book Antiqua" w:cs="Book Antiqua"/>
          <w:i/>
          <w:iCs/>
          <w:color w:val="000000"/>
        </w:rPr>
        <w:t xml:space="preserve"> Dis Int</w:t>
      </w:r>
      <w:r w:rsidRPr="00DA13F2">
        <w:rPr>
          <w:rFonts w:ascii="Book Antiqua" w:eastAsia="Book Antiqua" w:hAnsi="Book Antiqua" w:cs="Book Antiqua"/>
          <w:color w:val="000000"/>
        </w:rPr>
        <w:t xml:space="preserve"> 2016; </w:t>
      </w:r>
      <w:r w:rsidRPr="00DA13F2">
        <w:rPr>
          <w:rFonts w:ascii="Book Antiqua" w:eastAsia="Book Antiqua" w:hAnsi="Book Antiqua" w:cs="Book Antiqua"/>
          <w:b/>
          <w:bCs/>
          <w:color w:val="000000"/>
        </w:rPr>
        <w:t>15</w:t>
      </w:r>
      <w:r w:rsidRPr="00DA13F2">
        <w:rPr>
          <w:rFonts w:ascii="Book Antiqua" w:eastAsia="Book Antiqua" w:hAnsi="Book Antiqua" w:cs="Book Antiqua"/>
          <w:color w:val="000000"/>
        </w:rPr>
        <w:t>: 198-208 [PMID: 27020637 DOI: 10.1016/s1499-3872(16)60061-9]</w:t>
      </w:r>
    </w:p>
    <w:p w14:paraId="3EB1B88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18 </w:t>
      </w:r>
      <w:proofErr w:type="spellStart"/>
      <w:r w:rsidRPr="00DA13F2">
        <w:rPr>
          <w:rFonts w:ascii="Book Antiqua" w:eastAsia="Book Antiqua" w:hAnsi="Book Antiqua" w:cs="Book Antiqua"/>
          <w:b/>
          <w:bCs/>
          <w:color w:val="000000"/>
        </w:rPr>
        <w:t>Kagedan</w:t>
      </w:r>
      <w:proofErr w:type="spellEnd"/>
      <w:r w:rsidRPr="00DA13F2">
        <w:rPr>
          <w:rFonts w:ascii="Book Antiqua" w:eastAsia="Book Antiqua" w:hAnsi="Book Antiqua" w:cs="Book Antiqua"/>
          <w:b/>
          <w:bCs/>
          <w:color w:val="000000"/>
        </w:rPr>
        <w:t xml:space="preserve"> DJ</w:t>
      </w:r>
      <w:r w:rsidRPr="00DA13F2">
        <w:rPr>
          <w:rFonts w:ascii="Book Antiqua" w:eastAsia="Book Antiqua" w:hAnsi="Book Antiqua" w:cs="Book Antiqua"/>
          <w:color w:val="000000"/>
        </w:rPr>
        <w:t xml:space="preserve">, Devitt KS, Tremblay St-Germain A, </w:t>
      </w:r>
      <w:proofErr w:type="spellStart"/>
      <w:r w:rsidRPr="00DA13F2">
        <w:rPr>
          <w:rFonts w:ascii="Book Antiqua" w:eastAsia="Book Antiqua" w:hAnsi="Book Antiqua" w:cs="Book Antiqua"/>
          <w:color w:val="000000"/>
        </w:rPr>
        <w:t>Ramjaun</w:t>
      </w:r>
      <w:proofErr w:type="spellEnd"/>
      <w:r w:rsidRPr="00DA13F2">
        <w:rPr>
          <w:rFonts w:ascii="Book Antiqua" w:eastAsia="Book Antiqua" w:hAnsi="Book Antiqua" w:cs="Book Antiqua"/>
          <w:color w:val="000000"/>
        </w:rPr>
        <w:t xml:space="preserve"> A, Cleary SP, Wei AC. The economics of recovery after pancreatic surgery: detailed cost minimization analysis of an enhanced recovery program.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2017;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1026-1033 [PMID: 28865739 DOI: 10.1016/j.hpb.2017.07.013]</w:t>
      </w:r>
    </w:p>
    <w:p w14:paraId="4302263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19 </w:t>
      </w:r>
      <w:r w:rsidRPr="00DA13F2">
        <w:rPr>
          <w:rFonts w:ascii="Book Antiqua" w:eastAsia="Book Antiqua" w:hAnsi="Book Antiqua" w:cs="Book Antiqua"/>
          <w:b/>
          <w:bCs/>
          <w:color w:val="000000"/>
        </w:rPr>
        <w:t>St-Amour P</w:t>
      </w:r>
      <w:r w:rsidRPr="00DA13F2">
        <w:rPr>
          <w:rFonts w:ascii="Book Antiqua" w:eastAsia="Book Antiqua" w:hAnsi="Book Antiqua" w:cs="Book Antiqua"/>
          <w:color w:val="000000"/>
        </w:rPr>
        <w:t xml:space="preserve">, St-Amour P, </w:t>
      </w:r>
      <w:proofErr w:type="spellStart"/>
      <w:r w:rsidRPr="00DA13F2">
        <w:rPr>
          <w:rFonts w:ascii="Book Antiqua" w:eastAsia="Book Antiqua" w:hAnsi="Book Antiqua" w:cs="Book Antiqua"/>
          <w:color w:val="000000"/>
        </w:rPr>
        <w:t>Joliat</w:t>
      </w:r>
      <w:proofErr w:type="spellEnd"/>
      <w:r w:rsidRPr="00DA13F2">
        <w:rPr>
          <w:rFonts w:ascii="Book Antiqua" w:eastAsia="Book Antiqua" w:hAnsi="Book Antiqua" w:cs="Book Antiqua"/>
          <w:color w:val="000000"/>
        </w:rPr>
        <w:t xml:space="preserve"> GR, Eckert A, </w:t>
      </w:r>
      <w:proofErr w:type="spellStart"/>
      <w:r w:rsidRPr="00DA13F2">
        <w:rPr>
          <w:rFonts w:ascii="Book Antiqua" w:eastAsia="Book Antiqua" w:hAnsi="Book Antiqua" w:cs="Book Antiqua"/>
          <w:color w:val="000000"/>
        </w:rPr>
        <w:t>Labgaa</w:t>
      </w:r>
      <w:proofErr w:type="spellEnd"/>
      <w:r w:rsidRPr="00DA13F2">
        <w:rPr>
          <w:rFonts w:ascii="Book Antiqua" w:eastAsia="Book Antiqua" w:hAnsi="Book Antiqua" w:cs="Book Antiqua"/>
          <w:color w:val="000000"/>
        </w:rPr>
        <w:t xml:space="preserve"> I, </w:t>
      </w:r>
      <w:proofErr w:type="spellStart"/>
      <w:r w:rsidRPr="00DA13F2">
        <w:rPr>
          <w:rFonts w:ascii="Book Antiqua" w:eastAsia="Book Antiqua" w:hAnsi="Book Antiqua" w:cs="Book Antiqua"/>
          <w:color w:val="000000"/>
        </w:rPr>
        <w:t>Roulin</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Melloul</w:t>
      </w:r>
      <w:proofErr w:type="spellEnd"/>
      <w:r w:rsidRPr="00DA13F2">
        <w:rPr>
          <w:rFonts w:ascii="Book Antiqua" w:eastAsia="Book Antiqua" w:hAnsi="Book Antiqua" w:cs="Book Antiqua"/>
          <w:color w:val="000000"/>
        </w:rPr>
        <w:t xml:space="preserve"> E. Impact of ERAS compliance on the delay between surgery and adjuvant chemotherapy in hepatobiliary and pancreatic malignancies. </w:t>
      </w:r>
      <w:proofErr w:type="spellStart"/>
      <w:r w:rsidRPr="00DA13F2">
        <w:rPr>
          <w:rFonts w:ascii="Book Antiqua" w:eastAsia="Book Antiqua" w:hAnsi="Book Antiqua" w:cs="Book Antiqua"/>
          <w:i/>
          <w:iCs/>
          <w:color w:val="000000"/>
        </w:rPr>
        <w:t>Langenbecks</w:t>
      </w:r>
      <w:proofErr w:type="spellEnd"/>
      <w:r w:rsidRPr="00DA13F2">
        <w:rPr>
          <w:rFonts w:ascii="Book Antiqua" w:eastAsia="Book Antiqua" w:hAnsi="Book Antiqua" w:cs="Book Antiqua"/>
          <w:i/>
          <w:iCs/>
          <w:color w:val="000000"/>
        </w:rPr>
        <w:t xml:space="preserve"> Arch Surg</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405</w:t>
      </w:r>
      <w:r w:rsidRPr="00DA13F2">
        <w:rPr>
          <w:rFonts w:ascii="Book Antiqua" w:eastAsia="Book Antiqua" w:hAnsi="Book Antiqua" w:cs="Book Antiqua"/>
          <w:color w:val="000000"/>
        </w:rPr>
        <w:t>: 959-966 [PMID: 32918147 DOI: 10.1007/s00423-020-01981-1]</w:t>
      </w:r>
    </w:p>
    <w:p w14:paraId="44818EE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20 </w:t>
      </w:r>
      <w:r w:rsidRPr="00DA13F2">
        <w:rPr>
          <w:rFonts w:ascii="Book Antiqua" w:eastAsia="Book Antiqua" w:hAnsi="Book Antiqua" w:cs="Book Antiqua"/>
          <w:b/>
          <w:bCs/>
          <w:color w:val="000000"/>
        </w:rPr>
        <w:t>Tremblay St-Germain A</w:t>
      </w:r>
      <w:r w:rsidRPr="00DA13F2">
        <w:rPr>
          <w:rFonts w:ascii="Book Antiqua" w:eastAsia="Book Antiqua" w:hAnsi="Book Antiqua" w:cs="Book Antiqua"/>
          <w:color w:val="000000"/>
        </w:rPr>
        <w:t xml:space="preserve">, Devitt KS, </w:t>
      </w:r>
      <w:proofErr w:type="spellStart"/>
      <w:r w:rsidRPr="00DA13F2">
        <w:rPr>
          <w:rFonts w:ascii="Book Antiqua" w:eastAsia="Book Antiqua" w:hAnsi="Book Antiqua" w:cs="Book Antiqua"/>
          <w:color w:val="000000"/>
        </w:rPr>
        <w:t>Kagedan</w:t>
      </w:r>
      <w:proofErr w:type="spellEnd"/>
      <w:r w:rsidRPr="00DA13F2">
        <w:rPr>
          <w:rFonts w:ascii="Book Antiqua" w:eastAsia="Book Antiqua" w:hAnsi="Book Antiqua" w:cs="Book Antiqua"/>
          <w:color w:val="000000"/>
        </w:rPr>
        <w:t xml:space="preserve"> DJ, </w:t>
      </w:r>
      <w:proofErr w:type="spellStart"/>
      <w:r w:rsidRPr="00DA13F2">
        <w:rPr>
          <w:rFonts w:ascii="Book Antiqua" w:eastAsia="Book Antiqua" w:hAnsi="Book Antiqua" w:cs="Book Antiqua"/>
          <w:color w:val="000000"/>
        </w:rPr>
        <w:t>Barretto</w:t>
      </w:r>
      <w:proofErr w:type="spellEnd"/>
      <w:r w:rsidRPr="00DA13F2">
        <w:rPr>
          <w:rFonts w:ascii="Book Antiqua" w:eastAsia="Book Antiqua" w:hAnsi="Book Antiqua" w:cs="Book Antiqua"/>
          <w:color w:val="000000"/>
        </w:rPr>
        <w:t xml:space="preserve"> B, Tung S, </w:t>
      </w:r>
      <w:proofErr w:type="spellStart"/>
      <w:r w:rsidRPr="00DA13F2">
        <w:rPr>
          <w:rFonts w:ascii="Book Antiqua" w:eastAsia="Book Antiqua" w:hAnsi="Book Antiqua" w:cs="Book Antiqua"/>
          <w:color w:val="000000"/>
        </w:rPr>
        <w:t>Gallinger</w:t>
      </w:r>
      <w:proofErr w:type="spellEnd"/>
      <w:r w:rsidRPr="00DA13F2">
        <w:rPr>
          <w:rFonts w:ascii="Book Antiqua" w:eastAsia="Book Antiqua" w:hAnsi="Book Antiqua" w:cs="Book Antiqua"/>
          <w:color w:val="000000"/>
        </w:rPr>
        <w:t xml:space="preserve"> S, Wei AC. The impact of a clinical pathway on patient postoperative recovery following pancreaticoduodenectomy. </w:t>
      </w:r>
      <w:r w:rsidRPr="00DA13F2">
        <w:rPr>
          <w:rFonts w:ascii="Book Antiqua" w:eastAsia="Book Antiqua" w:hAnsi="Book Antiqua" w:cs="Book Antiqua"/>
          <w:i/>
          <w:iCs/>
          <w:color w:val="000000"/>
        </w:rPr>
        <w:t>HPB (Oxford)</w:t>
      </w:r>
      <w:r w:rsidRPr="00DA13F2">
        <w:rPr>
          <w:rFonts w:ascii="Book Antiqua" w:eastAsia="Book Antiqua" w:hAnsi="Book Antiqua" w:cs="Book Antiqua"/>
          <w:color w:val="000000"/>
        </w:rPr>
        <w:t xml:space="preserve"> 2017;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799-807 [PMID: 28578825 DOI: 10.1016/j.hpb.2017.04.015]</w:t>
      </w:r>
    </w:p>
    <w:p w14:paraId="3955371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21 </w:t>
      </w:r>
      <w:proofErr w:type="spellStart"/>
      <w:r w:rsidRPr="00DA13F2">
        <w:rPr>
          <w:rFonts w:ascii="Book Antiqua" w:eastAsia="Book Antiqua" w:hAnsi="Book Antiqua" w:cs="Book Antiqua"/>
          <w:b/>
          <w:bCs/>
          <w:color w:val="000000"/>
        </w:rPr>
        <w:t>Tankel</w:t>
      </w:r>
      <w:proofErr w:type="spellEnd"/>
      <w:r w:rsidRPr="00DA13F2">
        <w:rPr>
          <w:rFonts w:ascii="Book Antiqua" w:eastAsia="Book Antiqua" w:hAnsi="Book Antiqua" w:cs="Book Antiqua"/>
          <w:b/>
          <w:bCs/>
          <w:color w:val="000000"/>
        </w:rPr>
        <w:t xml:space="preserve"> J</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Sahnan</w:t>
      </w:r>
      <w:proofErr w:type="spellEnd"/>
      <w:r w:rsidRPr="00DA13F2">
        <w:rPr>
          <w:rFonts w:ascii="Book Antiqua" w:eastAsia="Book Antiqua" w:hAnsi="Book Antiqua" w:cs="Book Antiqua"/>
          <w:color w:val="000000"/>
        </w:rPr>
        <w:t xml:space="preserve"> K, Neumann M, Carmel O, Dagan A, </w:t>
      </w:r>
      <w:proofErr w:type="spellStart"/>
      <w:r w:rsidRPr="00DA13F2">
        <w:rPr>
          <w:rFonts w:ascii="Book Antiqua" w:eastAsia="Book Antiqua" w:hAnsi="Book Antiqua" w:cs="Book Antiqua"/>
          <w:color w:val="000000"/>
        </w:rPr>
        <w:t>Reissman</w:t>
      </w:r>
      <w:proofErr w:type="spellEnd"/>
      <w:r w:rsidRPr="00DA13F2">
        <w:rPr>
          <w:rFonts w:ascii="Book Antiqua" w:eastAsia="Book Antiqua" w:hAnsi="Book Antiqua" w:cs="Book Antiqua"/>
          <w:color w:val="000000"/>
        </w:rPr>
        <w:t xml:space="preserve"> P, Ben Haim M. Enhanced Recovery Deviation and Failure After Pancreaticoduodenectomy: Causative Factors and Impact. </w:t>
      </w:r>
      <w:r w:rsidRPr="00DA13F2">
        <w:rPr>
          <w:rFonts w:ascii="Book Antiqua" w:eastAsia="Book Antiqua" w:hAnsi="Book Antiqua" w:cs="Book Antiqua"/>
          <w:i/>
          <w:iCs/>
          <w:color w:val="000000"/>
        </w:rPr>
        <w:t>J Surg Res</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245</w:t>
      </w:r>
      <w:r w:rsidRPr="00DA13F2">
        <w:rPr>
          <w:rFonts w:ascii="Book Antiqua" w:eastAsia="Book Antiqua" w:hAnsi="Book Antiqua" w:cs="Book Antiqua"/>
          <w:color w:val="000000"/>
        </w:rPr>
        <w:t>: 569-576 [PMID: 31494390 DOI: 10.1016/j.jss.2019.07.055]</w:t>
      </w:r>
    </w:p>
    <w:p w14:paraId="152E9BFC"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22 </w:t>
      </w:r>
      <w:r w:rsidRPr="00DA13F2">
        <w:rPr>
          <w:rFonts w:ascii="Book Antiqua" w:eastAsia="Book Antiqua" w:hAnsi="Book Antiqua" w:cs="Book Antiqua"/>
          <w:b/>
          <w:bCs/>
          <w:color w:val="000000"/>
        </w:rPr>
        <w:t>Capretti G</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Cereda</w:t>
      </w:r>
      <w:proofErr w:type="spellEnd"/>
      <w:r w:rsidRPr="00DA13F2">
        <w:rPr>
          <w:rFonts w:ascii="Book Antiqua" w:eastAsia="Book Antiqua" w:hAnsi="Book Antiqua" w:cs="Book Antiqua"/>
          <w:color w:val="000000"/>
        </w:rPr>
        <w:t xml:space="preserve"> M, Gavazzi F, </w:t>
      </w:r>
      <w:proofErr w:type="spellStart"/>
      <w:r w:rsidRPr="00DA13F2">
        <w:rPr>
          <w:rFonts w:ascii="Book Antiqua" w:eastAsia="Book Antiqua" w:hAnsi="Book Antiqua" w:cs="Book Antiqua"/>
          <w:color w:val="000000"/>
        </w:rPr>
        <w:t>Uccelli</w:t>
      </w:r>
      <w:proofErr w:type="spellEnd"/>
      <w:r w:rsidRPr="00DA13F2">
        <w:rPr>
          <w:rFonts w:ascii="Book Antiqua" w:eastAsia="Book Antiqua" w:hAnsi="Book Antiqua" w:cs="Book Antiqua"/>
          <w:color w:val="000000"/>
        </w:rPr>
        <w:t xml:space="preserve"> F, Ridolfi C, </w:t>
      </w:r>
      <w:proofErr w:type="spellStart"/>
      <w:r w:rsidRPr="00DA13F2">
        <w:rPr>
          <w:rFonts w:ascii="Book Antiqua" w:eastAsia="Book Antiqua" w:hAnsi="Book Antiqua" w:cs="Book Antiqua"/>
          <w:color w:val="000000"/>
        </w:rPr>
        <w:t>Nappo</w:t>
      </w:r>
      <w:proofErr w:type="spellEnd"/>
      <w:r w:rsidRPr="00DA13F2">
        <w:rPr>
          <w:rFonts w:ascii="Book Antiqua" w:eastAsia="Book Antiqua" w:hAnsi="Book Antiqua" w:cs="Book Antiqua"/>
          <w:color w:val="000000"/>
        </w:rPr>
        <w:t xml:space="preserve"> G, </w:t>
      </w:r>
      <w:proofErr w:type="spellStart"/>
      <w:r w:rsidRPr="00DA13F2">
        <w:rPr>
          <w:rFonts w:ascii="Book Antiqua" w:eastAsia="Book Antiqua" w:hAnsi="Book Antiqua" w:cs="Book Antiqua"/>
          <w:color w:val="000000"/>
        </w:rPr>
        <w:t>Donisi</w:t>
      </w:r>
      <w:proofErr w:type="spellEnd"/>
      <w:r w:rsidRPr="00DA13F2">
        <w:rPr>
          <w:rFonts w:ascii="Book Antiqua" w:eastAsia="Book Antiqua" w:hAnsi="Book Antiqua" w:cs="Book Antiqua"/>
          <w:color w:val="000000"/>
        </w:rPr>
        <w:t xml:space="preserve"> G, Evangelista A, </w:t>
      </w:r>
      <w:proofErr w:type="spellStart"/>
      <w:r w:rsidRPr="00DA13F2">
        <w:rPr>
          <w:rFonts w:ascii="Book Antiqua" w:eastAsia="Book Antiqua" w:hAnsi="Book Antiqua" w:cs="Book Antiqua"/>
          <w:color w:val="000000"/>
        </w:rPr>
        <w:t>Zerbi</w:t>
      </w:r>
      <w:proofErr w:type="spellEnd"/>
      <w:r w:rsidRPr="00DA13F2">
        <w:rPr>
          <w:rFonts w:ascii="Book Antiqua" w:eastAsia="Book Antiqua" w:hAnsi="Book Antiqua" w:cs="Book Antiqua"/>
          <w:color w:val="000000"/>
        </w:rPr>
        <w:t xml:space="preserve"> A. Enhanced Recovery After Pancreatic Surgery Does One Size Really Fit All? A Clinical Score to Predict the Failure of an Enhanced Recovery Protocol After Pancreaticoduodenectomy. </w:t>
      </w:r>
      <w:r w:rsidRPr="00DA13F2">
        <w:rPr>
          <w:rFonts w:ascii="Book Antiqua" w:eastAsia="Book Antiqua" w:hAnsi="Book Antiqua" w:cs="Book Antiqua"/>
          <w:i/>
          <w:iCs/>
          <w:color w:val="000000"/>
        </w:rPr>
        <w:t>World J Surg</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44</w:t>
      </w:r>
      <w:r w:rsidRPr="00DA13F2">
        <w:rPr>
          <w:rFonts w:ascii="Book Antiqua" w:eastAsia="Book Antiqua" w:hAnsi="Book Antiqua" w:cs="Book Antiqua"/>
          <w:color w:val="000000"/>
        </w:rPr>
        <w:t>: 3600-3606 [PMID: 32734454 DOI: 10.1007/s00268-020-05693-x]</w:t>
      </w:r>
    </w:p>
    <w:p w14:paraId="3822E25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23 </w:t>
      </w:r>
      <w:r w:rsidRPr="00DA13F2">
        <w:rPr>
          <w:rFonts w:ascii="Book Antiqua" w:eastAsia="Book Antiqua" w:hAnsi="Book Antiqua" w:cs="Book Antiqua"/>
          <w:b/>
          <w:bCs/>
          <w:color w:val="000000"/>
        </w:rPr>
        <w:t>Agarwal V</w:t>
      </w:r>
      <w:r w:rsidRPr="00DA13F2">
        <w:rPr>
          <w:rFonts w:ascii="Book Antiqua" w:eastAsia="Book Antiqua" w:hAnsi="Book Antiqua" w:cs="Book Antiqua"/>
          <w:color w:val="000000"/>
        </w:rPr>
        <w:t xml:space="preserve">, Thomas MJ, Joshi R, Chaudhari V, </w:t>
      </w:r>
      <w:proofErr w:type="spellStart"/>
      <w:r w:rsidRPr="00DA13F2">
        <w:rPr>
          <w:rFonts w:ascii="Book Antiqua" w:eastAsia="Book Antiqua" w:hAnsi="Book Antiqua" w:cs="Book Antiqua"/>
          <w:color w:val="000000"/>
        </w:rPr>
        <w:t>Bhandare</w:t>
      </w:r>
      <w:proofErr w:type="spellEnd"/>
      <w:r w:rsidRPr="00DA13F2">
        <w:rPr>
          <w:rFonts w:ascii="Book Antiqua" w:eastAsia="Book Antiqua" w:hAnsi="Book Antiqua" w:cs="Book Antiqua"/>
          <w:color w:val="000000"/>
        </w:rPr>
        <w:t xml:space="preserve"> M, Mitra A, </w:t>
      </w:r>
      <w:proofErr w:type="spellStart"/>
      <w:r w:rsidRPr="00DA13F2">
        <w:rPr>
          <w:rFonts w:ascii="Book Antiqua" w:eastAsia="Book Antiqua" w:hAnsi="Book Antiqua" w:cs="Book Antiqua"/>
          <w:color w:val="000000"/>
        </w:rPr>
        <w:t>deSouza</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Ambulkar</w:t>
      </w:r>
      <w:proofErr w:type="spellEnd"/>
      <w:r w:rsidRPr="00DA13F2">
        <w:rPr>
          <w:rFonts w:ascii="Book Antiqua" w:eastAsia="Book Antiqua" w:hAnsi="Book Antiqua" w:cs="Book Antiqua"/>
          <w:color w:val="000000"/>
        </w:rPr>
        <w:t xml:space="preserve"> R, </w:t>
      </w:r>
      <w:proofErr w:type="spellStart"/>
      <w:r w:rsidRPr="00DA13F2">
        <w:rPr>
          <w:rFonts w:ascii="Book Antiqua" w:eastAsia="Book Antiqua" w:hAnsi="Book Antiqua" w:cs="Book Antiqua"/>
          <w:color w:val="000000"/>
        </w:rPr>
        <w:t>Shrikhande</w:t>
      </w:r>
      <w:proofErr w:type="spellEnd"/>
      <w:r w:rsidRPr="00DA13F2">
        <w:rPr>
          <w:rFonts w:ascii="Book Antiqua" w:eastAsia="Book Antiqua" w:hAnsi="Book Antiqua" w:cs="Book Antiqua"/>
          <w:color w:val="000000"/>
        </w:rPr>
        <w:t xml:space="preserve"> SV. Improved Outcomes in 394 Pancreatic Cancer Resections: the Impact of Enhanced Recovery Pathway.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Surg</w:t>
      </w:r>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22</w:t>
      </w:r>
      <w:r w:rsidRPr="00DA13F2">
        <w:rPr>
          <w:rFonts w:ascii="Book Antiqua" w:eastAsia="Book Antiqua" w:hAnsi="Book Antiqua" w:cs="Book Antiqua"/>
          <w:color w:val="000000"/>
        </w:rPr>
        <w:t>: 1732-1742 [PMID: 29777454 DOI: 10.1007/s11605-018-3809-7]</w:t>
      </w:r>
    </w:p>
    <w:p w14:paraId="2D5234F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24 </w:t>
      </w:r>
      <w:proofErr w:type="spellStart"/>
      <w:r w:rsidRPr="00DA13F2">
        <w:rPr>
          <w:rFonts w:ascii="Book Antiqua" w:eastAsia="Book Antiqua" w:hAnsi="Book Antiqua" w:cs="Book Antiqua"/>
          <w:b/>
          <w:bCs/>
          <w:color w:val="000000"/>
        </w:rPr>
        <w:t>Williamsson</w:t>
      </w:r>
      <w:proofErr w:type="spellEnd"/>
      <w:r w:rsidRPr="00DA13F2">
        <w:rPr>
          <w:rFonts w:ascii="Book Antiqua" w:eastAsia="Book Antiqua" w:hAnsi="Book Antiqua" w:cs="Book Antiqua"/>
          <w:b/>
          <w:bCs/>
          <w:color w:val="000000"/>
        </w:rPr>
        <w:t xml:space="preserve"> C</w:t>
      </w:r>
      <w:r w:rsidRPr="00DA13F2">
        <w:rPr>
          <w:rFonts w:ascii="Book Antiqua" w:eastAsia="Book Antiqua" w:hAnsi="Book Antiqua" w:cs="Book Antiqua"/>
          <w:color w:val="000000"/>
        </w:rPr>
        <w:t xml:space="preserve">, Karlsson T, </w:t>
      </w:r>
      <w:proofErr w:type="spellStart"/>
      <w:r w:rsidRPr="00DA13F2">
        <w:rPr>
          <w:rFonts w:ascii="Book Antiqua" w:eastAsia="Book Antiqua" w:hAnsi="Book Antiqua" w:cs="Book Antiqua"/>
          <w:color w:val="000000"/>
        </w:rPr>
        <w:t>Westrin</w:t>
      </w:r>
      <w:proofErr w:type="spellEnd"/>
      <w:r w:rsidRPr="00DA13F2">
        <w:rPr>
          <w:rFonts w:ascii="Book Antiqua" w:eastAsia="Book Antiqua" w:hAnsi="Book Antiqua" w:cs="Book Antiqua"/>
          <w:color w:val="000000"/>
        </w:rPr>
        <w:t xml:space="preserve"> M, Ansari D, Andersson R, </w:t>
      </w:r>
      <w:proofErr w:type="spellStart"/>
      <w:r w:rsidRPr="00DA13F2">
        <w:rPr>
          <w:rFonts w:ascii="Book Antiqua" w:eastAsia="Book Antiqua" w:hAnsi="Book Antiqua" w:cs="Book Antiqua"/>
          <w:color w:val="000000"/>
        </w:rPr>
        <w:t>Tingstedt</w:t>
      </w:r>
      <w:proofErr w:type="spellEnd"/>
      <w:r w:rsidRPr="00DA13F2">
        <w:rPr>
          <w:rFonts w:ascii="Book Antiqua" w:eastAsia="Book Antiqua" w:hAnsi="Book Antiqua" w:cs="Book Antiqua"/>
          <w:color w:val="000000"/>
        </w:rPr>
        <w:t xml:space="preserve"> B. Sustainability of an Enhanced Recovery Program for Pancreaticoduodenectomy with Pancreaticogastrostomy. </w:t>
      </w:r>
      <w:proofErr w:type="spellStart"/>
      <w:r w:rsidRPr="00DA13F2">
        <w:rPr>
          <w:rFonts w:ascii="Book Antiqua" w:eastAsia="Book Antiqua" w:hAnsi="Book Antiqua" w:cs="Book Antiqua"/>
          <w:i/>
          <w:iCs/>
          <w:color w:val="000000"/>
        </w:rPr>
        <w:t>Scand</w:t>
      </w:r>
      <w:proofErr w:type="spellEnd"/>
      <w:r w:rsidRPr="00DA13F2">
        <w:rPr>
          <w:rFonts w:ascii="Book Antiqua" w:eastAsia="Book Antiqua" w:hAnsi="Book Antiqua" w:cs="Book Antiqua"/>
          <w:i/>
          <w:iCs/>
          <w:color w:val="000000"/>
        </w:rPr>
        <w:t xml:space="preserve"> J Surg</w:t>
      </w:r>
      <w:r w:rsidRPr="00DA13F2">
        <w:rPr>
          <w:rFonts w:ascii="Book Antiqua" w:eastAsia="Book Antiqua" w:hAnsi="Book Antiqua" w:cs="Book Antiqua"/>
          <w:color w:val="000000"/>
        </w:rPr>
        <w:t xml:space="preserve"> 2019; </w:t>
      </w:r>
      <w:r w:rsidRPr="00DA13F2">
        <w:rPr>
          <w:rFonts w:ascii="Book Antiqua" w:eastAsia="Book Antiqua" w:hAnsi="Book Antiqua" w:cs="Book Antiqua"/>
          <w:b/>
          <w:bCs/>
          <w:color w:val="000000"/>
        </w:rPr>
        <w:t>108</w:t>
      </w:r>
      <w:r w:rsidRPr="00DA13F2">
        <w:rPr>
          <w:rFonts w:ascii="Book Antiqua" w:eastAsia="Book Antiqua" w:hAnsi="Book Antiqua" w:cs="Book Antiqua"/>
          <w:color w:val="000000"/>
        </w:rPr>
        <w:t>: 17-22 [PMID: 29756520 DOI: 10.1177/1457496918772375]</w:t>
      </w:r>
    </w:p>
    <w:p w14:paraId="45C6D04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25 </w:t>
      </w:r>
      <w:proofErr w:type="spellStart"/>
      <w:r w:rsidRPr="00DA13F2">
        <w:rPr>
          <w:rFonts w:ascii="Book Antiqua" w:eastAsia="Book Antiqua" w:hAnsi="Book Antiqua" w:cs="Book Antiqua"/>
          <w:b/>
          <w:bCs/>
          <w:color w:val="000000"/>
        </w:rPr>
        <w:t>Dindo</w:t>
      </w:r>
      <w:proofErr w:type="spellEnd"/>
      <w:r w:rsidRPr="00DA13F2">
        <w:rPr>
          <w:rFonts w:ascii="Book Antiqua" w:eastAsia="Book Antiqua" w:hAnsi="Book Antiqua" w:cs="Book Antiqua"/>
          <w:b/>
          <w:bCs/>
          <w:color w:val="000000"/>
        </w:rPr>
        <w:t xml:space="preserve"> D</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Demartines</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Clavien</w:t>
      </w:r>
      <w:proofErr w:type="spellEnd"/>
      <w:r w:rsidRPr="00DA13F2">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2004; </w:t>
      </w:r>
      <w:r w:rsidRPr="00DA13F2">
        <w:rPr>
          <w:rFonts w:ascii="Book Antiqua" w:eastAsia="Book Antiqua" w:hAnsi="Book Antiqua" w:cs="Book Antiqua"/>
          <w:b/>
          <w:bCs/>
          <w:color w:val="000000"/>
        </w:rPr>
        <w:t>240</w:t>
      </w:r>
      <w:r w:rsidRPr="00DA13F2">
        <w:rPr>
          <w:rFonts w:ascii="Book Antiqua" w:eastAsia="Book Antiqua" w:hAnsi="Book Antiqua" w:cs="Book Antiqua"/>
          <w:color w:val="000000"/>
        </w:rPr>
        <w:t>: 205-213 [PMID: 15273542 DOI: 10.1097/01.sla.0000133083.54934.ae]</w:t>
      </w:r>
    </w:p>
    <w:p w14:paraId="7730365C"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26 </w:t>
      </w:r>
      <w:r w:rsidRPr="00DA13F2">
        <w:rPr>
          <w:rFonts w:ascii="Book Antiqua" w:eastAsia="Book Antiqua" w:hAnsi="Book Antiqua" w:cs="Book Antiqua"/>
          <w:b/>
          <w:bCs/>
          <w:color w:val="000000"/>
        </w:rPr>
        <w:t>Cao Y</w:t>
      </w:r>
      <w:r w:rsidRPr="00DA13F2">
        <w:rPr>
          <w:rFonts w:ascii="Book Antiqua" w:eastAsia="Book Antiqua" w:hAnsi="Book Antiqua" w:cs="Book Antiqua"/>
          <w:color w:val="000000"/>
        </w:rPr>
        <w:t xml:space="preserve">, Gu HY, Huang ZD, Wu YP, Zhang Q, Luo J, Zhang C, Fu Y. Impact of Enhanced Recovery After Surgery on Postoperative Recovery for Pancreaticoduodenectomy: Pooled Analysis of Observational Study. </w:t>
      </w:r>
      <w:r w:rsidRPr="00DA13F2">
        <w:rPr>
          <w:rFonts w:ascii="Book Antiqua" w:eastAsia="Book Antiqua" w:hAnsi="Book Antiqua" w:cs="Book Antiqua"/>
          <w:i/>
          <w:iCs/>
          <w:color w:val="000000"/>
        </w:rPr>
        <w:t>Front Oncol</w:t>
      </w:r>
      <w:r w:rsidRPr="00DA13F2">
        <w:rPr>
          <w:rFonts w:ascii="Book Antiqua" w:eastAsia="Book Antiqua" w:hAnsi="Book Antiqua" w:cs="Book Antiqua"/>
          <w:color w:val="000000"/>
        </w:rPr>
        <w:t xml:space="preserve"> 2019; </w:t>
      </w:r>
      <w:r w:rsidRPr="00DA13F2">
        <w:rPr>
          <w:rFonts w:ascii="Book Antiqua" w:eastAsia="Book Antiqua" w:hAnsi="Book Antiqua" w:cs="Book Antiqua"/>
          <w:b/>
          <w:bCs/>
          <w:color w:val="000000"/>
        </w:rPr>
        <w:t>9</w:t>
      </w:r>
      <w:r w:rsidRPr="00DA13F2">
        <w:rPr>
          <w:rFonts w:ascii="Book Antiqua" w:eastAsia="Book Antiqua" w:hAnsi="Book Antiqua" w:cs="Book Antiqua"/>
          <w:color w:val="000000"/>
        </w:rPr>
        <w:t>: 687 [PMID: 31417868 DOI: 10.3389/fonc.2019.00687]</w:t>
      </w:r>
    </w:p>
    <w:p w14:paraId="0FA2651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 xml:space="preserve">27 </w:t>
      </w:r>
      <w:proofErr w:type="spellStart"/>
      <w:r w:rsidRPr="00DA13F2">
        <w:rPr>
          <w:rFonts w:ascii="Book Antiqua" w:eastAsia="Book Antiqua" w:hAnsi="Book Antiqua" w:cs="Book Antiqua"/>
          <w:b/>
          <w:bCs/>
          <w:color w:val="000000"/>
        </w:rPr>
        <w:t>Xiong</w:t>
      </w:r>
      <w:proofErr w:type="spellEnd"/>
      <w:r w:rsidRPr="00DA13F2">
        <w:rPr>
          <w:rFonts w:ascii="Book Antiqua" w:eastAsia="Book Antiqua" w:hAnsi="Book Antiqua" w:cs="Book Antiqua"/>
          <w:b/>
          <w:bCs/>
          <w:color w:val="000000"/>
        </w:rPr>
        <w:t xml:space="preserve"> J</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Szatmary</w:t>
      </w:r>
      <w:proofErr w:type="spellEnd"/>
      <w:r w:rsidRPr="00DA13F2">
        <w:rPr>
          <w:rFonts w:ascii="Book Antiqua" w:eastAsia="Book Antiqua" w:hAnsi="Book Antiqua" w:cs="Book Antiqua"/>
          <w:color w:val="000000"/>
        </w:rPr>
        <w:t xml:space="preserve"> P, Huang W, de la </w:t>
      </w:r>
      <w:proofErr w:type="spellStart"/>
      <w:r w:rsidRPr="00DA13F2">
        <w:rPr>
          <w:rFonts w:ascii="Book Antiqua" w:eastAsia="Book Antiqua" w:hAnsi="Book Antiqua" w:cs="Book Antiqua"/>
          <w:color w:val="000000"/>
        </w:rPr>
        <w:t>Iglesia</w:t>
      </w:r>
      <w:proofErr w:type="spellEnd"/>
      <w:r w:rsidRPr="00DA13F2">
        <w:rPr>
          <w:rFonts w:ascii="Book Antiqua" w:eastAsia="Book Antiqua" w:hAnsi="Book Antiqua" w:cs="Book Antiqua"/>
          <w:color w:val="000000"/>
        </w:rPr>
        <w:t xml:space="preserve">-Garcia D, Nunes QM, Xia Q, Hu W, Sutton R, Liu X, </w:t>
      </w:r>
      <w:proofErr w:type="spellStart"/>
      <w:r w:rsidRPr="00DA13F2">
        <w:rPr>
          <w:rFonts w:ascii="Book Antiqua" w:eastAsia="Book Antiqua" w:hAnsi="Book Antiqua" w:cs="Book Antiqua"/>
          <w:color w:val="000000"/>
        </w:rPr>
        <w:t>Raraty</w:t>
      </w:r>
      <w:proofErr w:type="spellEnd"/>
      <w:r w:rsidRPr="00DA13F2">
        <w:rPr>
          <w:rFonts w:ascii="Book Antiqua" w:eastAsia="Book Antiqua" w:hAnsi="Book Antiqua" w:cs="Book Antiqua"/>
          <w:color w:val="000000"/>
        </w:rPr>
        <w:t xml:space="preserve"> MG. Enhanced Recovery After Surgery Program in Patients Undergoing Pancreaticoduodenectomy: A PRISMA-Compliant Systematic Review and Meta-Analysis. </w:t>
      </w:r>
      <w:r w:rsidRPr="00DA13F2">
        <w:rPr>
          <w:rFonts w:ascii="Book Antiqua" w:eastAsia="Book Antiqua" w:hAnsi="Book Antiqua" w:cs="Book Antiqua"/>
          <w:i/>
          <w:iCs/>
          <w:color w:val="000000"/>
        </w:rPr>
        <w:t>Medicine (Baltimore)</w:t>
      </w:r>
      <w:r w:rsidRPr="00DA13F2">
        <w:rPr>
          <w:rFonts w:ascii="Book Antiqua" w:eastAsia="Book Antiqua" w:hAnsi="Book Antiqua" w:cs="Book Antiqua"/>
          <w:color w:val="000000"/>
        </w:rPr>
        <w:t xml:space="preserve"> 2016; </w:t>
      </w:r>
      <w:r w:rsidRPr="00DA13F2">
        <w:rPr>
          <w:rFonts w:ascii="Book Antiqua" w:eastAsia="Book Antiqua" w:hAnsi="Book Antiqua" w:cs="Book Antiqua"/>
          <w:b/>
          <w:bCs/>
          <w:color w:val="000000"/>
        </w:rPr>
        <w:t>95</w:t>
      </w:r>
      <w:r w:rsidRPr="00DA13F2">
        <w:rPr>
          <w:rFonts w:ascii="Book Antiqua" w:eastAsia="Book Antiqua" w:hAnsi="Book Antiqua" w:cs="Book Antiqua"/>
          <w:color w:val="000000"/>
        </w:rPr>
        <w:t>: e3497 [PMID: 27149448 DOI: 10.1097/MD.0000000000003497]</w:t>
      </w:r>
    </w:p>
    <w:p w14:paraId="640C7B4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28 </w:t>
      </w:r>
      <w:r w:rsidRPr="00DA13F2">
        <w:rPr>
          <w:rFonts w:ascii="Book Antiqua" w:eastAsia="Book Antiqua" w:hAnsi="Book Antiqua" w:cs="Book Antiqua"/>
          <w:b/>
          <w:bCs/>
          <w:color w:val="000000"/>
        </w:rPr>
        <w:t>Bilimoria KY</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Bentrem</w:t>
      </w:r>
      <w:proofErr w:type="spellEnd"/>
      <w:r w:rsidRPr="00DA13F2">
        <w:rPr>
          <w:rFonts w:ascii="Book Antiqua" w:eastAsia="Book Antiqua" w:hAnsi="Book Antiqua" w:cs="Book Antiqua"/>
          <w:color w:val="000000"/>
        </w:rPr>
        <w:t xml:space="preserve"> DJ, Ko CY, Tomlinson JS, Stewart AK, Winchester DP, </w:t>
      </w:r>
      <w:proofErr w:type="spellStart"/>
      <w:r w:rsidRPr="00DA13F2">
        <w:rPr>
          <w:rFonts w:ascii="Book Antiqua" w:eastAsia="Book Antiqua" w:hAnsi="Book Antiqua" w:cs="Book Antiqua"/>
          <w:color w:val="000000"/>
        </w:rPr>
        <w:t>Talamonti</w:t>
      </w:r>
      <w:proofErr w:type="spellEnd"/>
      <w:r w:rsidRPr="00DA13F2">
        <w:rPr>
          <w:rFonts w:ascii="Book Antiqua" w:eastAsia="Book Antiqua" w:hAnsi="Book Antiqua" w:cs="Book Antiqua"/>
          <w:color w:val="000000"/>
        </w:rPr>
        <w:t xml:space="preserve"> MS. Multimodality therapy for pancreatic cancer in the U.S. : utilization, outcomes, and the effect of hospital volume. </w:t>
      </w:r>
      <w:r w:rsidRPr="00DA13F2">
        <w:rPr>
          <w:rFonts w:ascii="Book Antiqua" w:eastAsia="Book Antiqua" w:hAnsi="Book Antiqua" w:cs="Book Antiqua"/>
          <w:i/>
          <w:iCs/>
          <w:color w:val="000000"/>
        </w:rPr>
        <w:t>Cancer</w:t>
      </w:r>
      <w:r w:rsidRPr="00DA13F2">
        <w:rPr>
          <w:rFonts w:ascii="Book Antiqua" w:eastAsia="Book Antiqua" w:hAnsi="Book Antiqua" w:cs="Book Antiqua"/>
          <w:color w:val="000000"/>
        </w:rPr>
        <w:t xml:space="preserve"> 2007; </w:t>
      </w:r>
      <w:r w:rsidRPr="00DA13F2">
        <w:rPr>
          <w:rFonts w:ascii="Book Antiqua" w:eastAsia="Book Antiqua" w:hAnsi="Book Antiqua" w:cs="Book Antiqua"/>
          <w:b/>
          <w:bCs/>
          <w:color w:val="000000"/>
        </w:rPr>
        <w:t>110</w:t>
      </w:r>
      <w:r w:rsidRPr="00DA13F2">
        <w:rPr>
          <w:rFonts w:ascii="Book Antiqua" w:eastAsia="Book Antiqua" w:hAnsi="Book Antiqua" w:cs="Book Antiqua"/>
          <w:color w:val="000000"/>
        </w:rPr>
        <w:t>: 1227-1234 [PMID: 17654662 DOI: 10.1002/cncr.22916]</w:t>
      </w:r>
    </w:p>
    <w:p w14:paraId="4DE1D91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29 </w:t>
      </w:r>
      <w:r w:rsidRPr="00DA13F2">
        <w:rPr>
          <w:rFonts w:ascii="Book Antiqua" w:eastAsia="Book Antiqua" w:hAnsi="Book Antiqua" w:cs="Book Antiqua"/>
          <w:b/>
          <w:bCs/>
          <w:color w:val="000000"/>
        </w:rPr>
        <w:t>Valle JW</w:t>
      </w:r>
      <w:r w:rsidRPr="00DA13F2">
        <w:rPr>
          <w:rFonts w:ascii="Book Antiqua" w:eastAsia="Book Antiqua" w:hAnsi="Book Antiqua" w:cs="Book Antiqua"/>
          <w:color w:val="000000"/>
        </w:rPr>
        <w:t xml:space="preserve">, Palmer D, Jackson R, Cox T, </w:t>
      </w:r>
      <w:proofErr w:type="spellStart"/>
      <w:r w:rsidRPr="00DA13F2">
        <w:rPr>
          <w:rFonts w:ascii="Book Antiqua" w:eastAsia="Book Antiqua" w:hAnsi="Book Antiqua" w:cs="Book Antiqua"/>
          <w:color w:val="000000"/>
        </w:rPr>
        <w:t>Neoptolemos</w:t>
      </w:r>
      <w:proofErr w:type="spellEnd"/>
      <w:r w:rsidRPr="00DA13F2">
        <w:rPr>
          <w:rFonts w:ascii="Book Antiqua" w:eastAsia="Book Antiqua" w:hAnsi="Book Antiqua" w:cs="Book Antiqua"/>
          <w:color w:val="000000"/>
        </w:rPr>
        <w:t xml:space="preserve"> JP, </w:t>
      </w:r>
      <w:proofErr w:type="spellStart"/>
      <w:r w:rsidRPr="00DA13F2">
        <w:rPr>
          <w:rFonts w:ascii="Book Antiqua" w:eastAsia="Book Antiqua" w:hAnsi="Book Antiqua" w:cs="Book Antiqua"/>
          <w:color w:val="000000"/>
        </w:rPr>
        <w:t>Ghaneh</w:t>
      </w:r>
      <w:proofErr w:type="spellEnd"/>
      <w:r w:rsidRPr="00DA13F2">
        <w:rPr>
          <w:rFonts w:ascii="Book Antiqua" w:eastAsia="Book Antiqua" w:hAnsi="Book Antiqua" w:cs="Book Antiqua"/>
          <w:color w:val="000000"/>
        </w:rPr>
        <w:t xml:space="preserve"> P, Rawcliffe CL, </w:t>
      </w:r>
      <w:proofErr w:type="spellStart"/>
      <w:r w:rsidRPr="00DA13F2">
        <w:rPr>
          <w:rFonts w:ascii="Book Antiqua" w:eastAsia="Book Antiqua" w:hAnsi="Book Antiqua" w:cs="Book Antiqua"/>
          <w:color w:val="000000"/>
        </w:rPr>
        <w:t>Bassi</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Stocken</w:t>
      </w:r>
      <w:proofErr w:type="spellEnd"/>
      <w:r w:rsidRPr="00DA13F2">
        <w:rPr>
          <w:rFonts w:ascii="Book Antiqua" w:eastAsia="Book Antiqua" w:hAnsi="Book Antiqua" w:cs="Book Antiqua"/>
          <w:color w:val="000000"/>
        </w:rPr>
        <w:t xml:space="preserve"> DD, Cunningham D, O'Reilly D, Goldstein D, Robinson BA, </w:t>
      </w:r>
      <w:proofErr w:type="spellStart"/>
      <w:r w:rsidRPr="00DA13F2">
        <w:rPr>
          <w:rFonts w:ascii="Book Antiqua" w:eastAsia="Book Antiqua" w:hAnsi="Book Antiqua" w:cs="Book Antiqua"/>
          <w:color w:val="000000"/>
        </w:rPr>
        <w:t>Karapetis</w:t>
      </w:r>
      <w:proofErr w:type="spellEnd"/>
      <w:r w:rsidRPr="00DA13F2">
        <w:rPr>
          <w:rFonts w:ascii="Book Antiqua" w:eastAsia="Book Antiqua" w:hAnsi="Book Antiqua" w:cs="Book Antiqua"/>
          <w:color w:val="000000"/>
        </w:rPr>
        <w:t xml:space="preserve"> C, Scarfe A, </w:t>
      </w:r>
      <w:proofErr w:type="spellStart"/>
      <w:r w:rsidRPr="00DA13F2">
        <w:rPr>
          <w:rFonts w:ascii="Book Antiqua" w:eastAsia="Book Antiqua" w:hAnsi="Book Antiqua" w:cs="Book Antiqua"/>
          <w:color w:val="000000"/>
        </w:rPr>
        <w:t>Lacaine</w:t>
      </w:r>
      <w:proofErr w:type="spellEnd"/>
      <w:r w:rsidRPr="00DA13F2">
        <w:rPr>
          <w:rFonts w:ascii="Book Antiqua" w:eastAsia="Book Antiqua" w:hAnsi="Book Antiqua" w:cs="Book Antiqua"/>
          <w:color w:val="000000"/>
        </w:rPr>
        <w:t xml:space="preserve"> F, Sand J, </w:t>
      </w:r>
      <w:proofErr w:type="spellStart"/>
      <w:r w:rsidRPr="00DA13F2">
        <w:rPr>
          <w:rFonts w:ascii="Book Antiqua" w:eastAsia="Book Antiqua" w:hAnsi="Book Antiqua" w:cs="Book Antiqua"/>
          <w:color w:val="000000"/>
        </w:rPr>
        <w:t>Izbicki</w:t>
      </w:r>
      <w:proofErr w:type="spellEnd"/>
      <w:r w:rsidRPr="00DA13F2">
        <w:rPr>
          <w:rFonts w:ascii="Book Antiqua" w:eastAsia="Book Antiqua" w:hAnsi="Book Antiqua" w:cs="Book Antiqua"/>
          <w:color w:val="000000"/>
        </w:rPr>
        <w:t xml:space="preserve"> JR, </w:t>
      </w:r>
      <w:proofErr w:type="spellStart"/>
      <w:r w:rsidRPr="00DA13F2">
        <w:rPr>
          <w:rFonts w:ascii="Book Antiqua" w:eastAsia="Book Antiqua" w:hAnsi="Book Antiqua" w:cs="Book Antiqua"/>
          <w:color w:val="000000"/>
        </w:rPr>
        <w:t>Mayerle</w:t>
      </w:r>
      <w:proofErr w:type="spellEnd"/>
      <w:r w:rsidRPr="00DA13F2">
        <w:rPr>
          <w:rFonts w:ascii="Book Antiqua" w:eastAsia="Book Antiqua" w:hAnsi="Book Antiqua" w:cs="Book Antiqua"/>
          <w:color w:val="000000"/>
        </w:rPr>
        <w:t xml:space="preserve"> J, </w:t>
      </w:r>
      <w:proofErr w:type="spellStart"/>
      <w:r w:rsidRPr="00DA13F2">
        <w:rPr>
          <w:rFonts w:ascii="Book Antiqua" w:eastAsia="Book Antiqua" w:hAnsi="Book Antiqua" w:cs="Book Antiqua"/>
          <w:color w:val="000000"/>
        </w:rPr>
        <w:t>Dervenis</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Oláh</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Butturini</w:t>
      </w:r>
      <w:proofErr w:type="spellEnd"/>
      <w:r w:rsidRPr="00DA13F2">
        <w:rPr>
          <w:rFonts w:ascii="Book Antiqua" w:eastAsia="Book Antiqua" w:hAnsi="Book Antiqua" w:cs="Book Antiqua"/>
          <w:color w:val="000000"/>
        </w:rPr>
        <w:t xml:space="preserve"> G, Lind PA, Middleton MR, </w:t>
      </w:r>
      <w:proofErr w:type="spellStart"/>
      <w:r w:rsidRPr="00DA13F2">
        <w:rPr>
          <w:rFonts w:ascii="Book Antiqua" w:eastAsia="Book Antiqua" w:hAnsi="Book Antiqua" w:cs="Book Antiqua"/>
          <w:color w:val="000000"/>
        </w:rPr>
        <w:t>Anthoney</w:t>
      </w:r>
      <w:proofErr w:type="spellEnd"/>
      <w:r w:rsidRPr="00DA13F2">
        <w:rPr>
          <w:rFonts w:ascii="Book Antiqua" w:eastAsia="Book Antiqua" w:hAnsi="Book Antiqua" w:cs="Book Antiqua"/>
          <w:color w:val="000000"/>
        </w:rPr>
        <w:t xml:space="preserve"> A, Sumpter K, Carter R, </w:t>
      </w:r>
      <w:proofErr w:type="spellStart"/>
      <w:r w:rsidRPr="00DA13F2">
        <w:rPr>
          <w:rFonts w:ascii="Book Antiqua" w:eastAsia="Book Antiqua" w:hAnsi="Book Antiqua" w:cs="Book Antiqua"/>
          <w:color w:val="000000"/>
        </w:rPr>
        <w:t>Büchler</w:t>
      </w:r>
      <w:proofErr w:type="spellEnd"/>
      <w:r w:rsidRPr="00DA13F2">
        <w:rPr>
          <w:rFonts w:ascii="Book Antiqua" w:eastAsia="Book Antiqua" w:hAnsi="Book Antiqua" w:cs="Book Antiqua"/>
          <w:color w:val="000000"/>
        </w:rPr>
        <w:t xml:space="preserve"> MW. Optimal duration and timing of adjuvant chemotherapy after definitive surgery for ductal adenocarcinoma of the pancreas: ongoing lessons from the ESPAC-3 study. </w:t>
      </w:r>
      <w:r w:rsidRPr="00DA13F2">
        <w:rPr>
          <w:rFonts w:ascii="Book Antiqua" w:eastAsia="Book Antiqua" w:hAnsi="Book Antiqua" w:cs="Book Antiqua"/>
          <w:i/>
          <w:iCs/>
          <w:color w:val="000000"/>
        </w:rPr>
        <w:t>J Clin Oncol</w:t>
      </w:r>
      <w:r w:rsidRPr="00DA13F2">
        <w:rPr>
          <w:rFonts w:ascii="Book Antiqua" w:eastAsia="Book Antiqua" w:hAnsi="Book Antiqua" w:cs="Book Antiqua"/>
          <w:color w:val="000000"/>
        </w:rPr>
        <w:t xml:space="preserve"> 2014; </w:t>
      </w:r>
      <w:r w:rsidRPr="00DA13F2">
        <w:rPr>
          <w:rFonts w:ascii="Book Antiqua" w:eastAsia="Book Antiqua" w:hAnsi="Book Antiqua" w:cs="Book Antiqua"/>
          <w:b/>
          <w:bCs/>
          <w:color w:val="000000"/>
        </w:rPr>
        <w:t>32</w:t>
      </w:r>
      <w:r w:rsidRPr="00DA13F2">
        <w:rPr>
          <w:rFonts w:ascii="Book Antiqua" w:eastAsia="Book Antiqua" w:hAnsi="Book Antiqua" w:cs="Book Antiqua"/>
          <w:color w:val="000000"/>
        </w:rPr>
        <w:t>: 504-512 [PMID: 24419109 DOI: 10.1200/JCO.2013.50.7657]</w:t>
      </w:r>
    </w:p>
    <w:p w14:paraId="6C5204B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30 </w:t>
      </w:r>
      <w:r w:rsidRPr="00DA13F2">
        <w:rPr>
          <w:rFonts w:ascii="Book Antiqua" w:eastAsia="Book Antiqua" w:hAnsi="Book Antiqua" w:cs="Book Antiqua"/>
          <w:b/>
          <w:bCs/>
          <w:color w:val="000000"/>
        </w:rPr>
        <w:t>Conroy T</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Desseigne</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Ychou</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Bouché</w:t>
      </w:r>
      <w:proofErr w:type="spellEnd"/>
      <w:r w:rsidRPr="00DA13F2">
        <w:rPr>
          <w:rFonts w:ascii="Book Antiqua" w:eastAsia="Book Antiqua" w:hAnsi="Book Antiqua" w:cs="Book Antiqua"/>
          <w:color w:val="000000"/>
        </w:rPr>
        <w:t xml:space="preserve"> O, </w:t>
      </w:r>
      <w:proofErr w:type="spellStart"/>
      <w:r w:rsidRPr="00DA13F2">
        <w:rPr>
          <w:rFonts w:ascii="Book Antiqua" w:eastAsia="Book Antiqua" w:hAnsi="Book Antiqua" w:cs="Book Antiqua"/>
          <w:color w:val="000000"/>
        </w:rPr>
        <w:t>Guimbaud</w:t>
      </w:r>
      <w:proofErr w:type="spellEnd"/>
      <w:r w:rsidRPr="00DA13F2">
        <w:rPr>
          <w:rFonts w:ascii="Book Antiqua" w:eastAsia="Book Antiqua" w:hAnsi="Book Antiqua" w:cs="Book Antiqua"/>
          <w:color w:val="000000"/>
        </w:rPr>
        <w:t xml:space="preserve"> R, </w:t>
      </w:r>
      <w:proofErr w:type="spellStart"/>
      <w:r w:rsidRPr="00DA13F2">
        <w:rPr>
          <w:rFonts w:ascii="Book Antiqua" w:eastAsia="Book Antiqua" w:hAnsi="Book Antiqua" w:cs="Book Antiqua"/>
          <w:color w:val="000000"/>
        </w:rPr>
        <w:t>Bécouarn</w:t>
      </w:r>
      <w:proofErr w:type="spellEnd"/>
      <w:r w:rsidRPr="00DA13F2">
        <w:rPr>
          <w:rFonts w:ascii="Book Antiqua" w:eastAsia="Book Antiqua" w:hAnsi="Book Antiqua" w:cs="Book Antiqua"/>
          <w:color w:val="000000"/>
        </w:rPr>
        <w:t xml:space="preserve"> Y, </w:t>
      </w:r>
      <w:proofErr w:type="spellStart"/>
      <w:r w:rsidRPr="00DA13F2">
        <w:rPr>
          <w:rFonts w:ascii="Book Antiqua" w:eastAsia="Book Antiqua" w:hAnsi="Book Antiqua" w:cs="Book Antiqua"/>
          <w:color w:val="000000"/>
        </w:rPr>
        <w:t>Adenis</w:t>
      </w:r>
      <w:proofErr w:type="spellEnd"/>
      <w:r w:rsidRPr="00DA13F2">
        <w:rPr>
          <w:rFonts w:ascii="Book Antiqua" w:eastAsia="Book Antiqua" w:hAnsi="Book Antiqua" w:cs="Book Antiqua"/>
          <w:color w:val="000000"/>
        </w:rPr>
        <w:t xml:space="preserve"> A, Raoul JL, </w:t>
      </w:r>
      <w:proofErr w:type="spellStart"/>
      <w:r w:rsidRPr="00DA13F2">
        <w:rPr>
          <w:rFonts w:ascii="Book Antiqua" w:eastAsia="Book Antiqua" w:hAnsi="Book Antiqua" w:cs="Book Antiqua"/>
          <w:color w:val="000000"/>
        </w:rPr>
        <w:t>Gourgou</w:t>
      </w:r>
      <w:proofErr w:type="spellEnd"/>
      <w:r w:rsidRPr="00DA13F2">
        <w:rPr>
          <w:rFonts w:ascii="Book Antiqua" w:eastAsia="Book Antiqua" w:hAnsi="Book Antiqua" w:cs="Book Antiqua"/>
          <w:color w:val="000000"/>
        </w:rPr>
        <w:t xml:space="preserve">-Bourgade S, de la </w:t>
      </w:r>
      <w:proofErr w:type="spellStart"/>
      <w:r w:rsidRPr="00DA13F2">
        <w:rPr>
          <w:rFonts w:ascii="Book Antiqua" w:eastAsia="Book Antiqua" w:hAnsi="Book Antiqua" w:cs="Book Antiqua"/>
          <w:color w:val="000000"/>
        </w:rPr>
        <w:t>Fouchardière</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Bennouna</w:t>
      </w:r>
      <w:proofErr w:type="spellEnd"/>
      <w:r w:rsidRPr="00DA13F2">
        <w:rPr>
          <w:rFonts w:ascii="Book Antiqua" w:eastAsia="Book Antiqua" w:hAnsi="Book Antiqua" w:cs="Book Antiqua"/>
          <w:color w:val="000000"/>
        </w:rPr>
        <w:t xml:space="preserve"> J, </w:t>
      </w:r>
      <w:proofErr w:type="spellStart"/>
      <w:r w:rsidRPr="00DA13F2">
        <w:rPr>
          <w:rFonts w:ascii="Book Antiqua" w:eastAsia="Book Antiqua" w:hAnsi="Book Antiqua" w:cs="Book Antiqua"/>
          <w:color w:val="000000"/>
        </w:rPr>
        <w:t>Bachet</w:t>
      </w:r>
      <w:proofErr w:type="spellEnd"/>
      <w:r w:rsidRPr="00DA13F2">
        <w:rPr>
          <w:rFonts w:ascii="Book Antiqua" w:eastAsia="Book Antiqua" w:hAnsi="Book Antiqua" w:cs="Book Antiqua"/>
          <w:color w:val="000000"/>
        </w:rPr>
        <w:t xml:space="preserve"> JB, </w:t>
      </w:r>
      <w:proofErr w:type="spellStart"/>
      <w:r w:rsidRPr="00DA13F2">
        <w:rPr>
          <w:rFonts w:ascii="Book Antiqua" w:eastAsia="Book Antiqua" w:hAnsi="Book Antiqua" w:cs="Book Antiqua"/>
          <w:color w:val="000000"/>
        </w:rPr>
        <w:t>Khemissa-Akouz</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Péré-Vergé</w:t>
      </w:r>
      <w:proofErr w:type="spellEnd"/>
      <w:r w:rsidRPr="00DA13F2">
        <w:rPr>
          <w:rFonts w:ascii="Book Antiqua" w:eastAsia="Book Antiqua" w:hAnsi="Book Antiqua" w:cs="Book Antiqua"/>
          <w:color w:val="000000"/>
        </w:rPr>
        <w:t xml:space="preserve"> D, </w:t>
      </w:r>
      <w:proofErr w:type="spellStart"/>
      <w:r w:rsidRPr="00DA13F2">
        <w:rPr>
          <w:rFonts w:ascii="Book Antiqua" w:eastAsia="Book Antiqua" w:hAnsi="Book Antiqua" w:cs="Book Antiqua"/>
          <w:color w:val="000000"/>
        </w:rPr>
        <w:t>Delbaldo</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Assenat</w:t>
      </w:r>
      <w:proofErr w:type="spellEnd"/>
      <w:r w:rsidRPr="00DA13F2">
        <w:rPr>
          <w:rFonts w:ascii="Book Antiqua" w:eastAsia="Book Antiqua" w:hAnsi="Book Antiqua" w:cs="Book Antiqua"/>
          <w:color w:val="000000"/>
        </w:rPr>
        <w:t xml:space="preserve"> E, </w:t>
      </w:r>
      <w:proofErr w:type="spellStart"/>
      <w:r w:rsidRPr="00DA13F2">
        <w:rPr>
          <w:rFonts w:ascii="Book Antiqua" w:eastAsia="Book Antiqua" w:hAnsi="Book Antiqua" w:cs="Book Antiqua"/>
          <w:color w:val="000000"/>
        </w:rPr>
        <w:t>Chauffert</w:t>
      </w:r>
      <w:proofErr w:type="spellEnd"/>
      <w:r w:rsidRPr="00DA13F2">
        <w:rPr>
          <w:rFonts w:ascii="Book Antiqua" w:eastAsia="Book Antiqua" w:hAnsi="Book Antiqua" w:cs="Book Antiqua"/>
          <w:color w:val="000000"/>
        </w:rPr>
        <w:t xml:space="preserve"> B, Michel P, </w:t>
      </w:r>
      <w:proofErr w:type="spellStart"/>
      <w:r w:rsidRPr="00DA13F2">
        <w:rPr>
          <w:rFonts w:ascii="Book Antiqua" w:eastAsia="Book Antiqua" w:hAnsi="Book Antiqua" w:cs="Book Antiqua"/>
          <w:color w:val="000000"/>
        </w:rPr>
        <w:t>Montoto-Grillot</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Ducreux</w:t>
      </w:r>
      <w:proofErr w:type="spellEnd"/>
      <w:r w:rsidRPr="00DA13F2">
        <w:rPr>
          <w:rFonts w:ascii="Book Antiqua" w:eastAsia="Book Antiqua" w:hAnsi="Book Antiqua" w:cs="Book Antiqua"/>
          <w:color w:val="000000"/>
        </w:rPr>
        <w:t xml:space="preserve"> M; Groupe </w:t>
      </w:r>
      <w:proofErr w:type="spellStart"/>
      <w:r w:rsidRPr="00DA13F2">
        <w:rPr>
          <w:rFonts w:ascii="Book Antiqua" w:eastAsia="Book Antiqua" w:hAnsi="Book Antiqua" w:cs="Book Antiqua"/>
          <w:color w:val="000000"/>
        </w:rPr>
        <w:t>Tumeurs</w:t>
      </w:r>
      <w:proofErr w:type="spellEnd"/>
      <w:r w:rsidRPr="00DA13F2">
        <w:rPr>
          <w:rFonts w:ascii="Book Antiqua" w:eastAsia="Book Antiqua" w:hAnsi="Book Antiqua" w:cs="Book Antiqua"/>
          <w:color w:val="000000"/>
        </w:rPr>
        <w:t xml:space="preserve"> Digestives of </w:t>
      </w:r>
      <w:proofErr w:type="spellStart"/>
      <w:r w:rsidRPr="00DA13F2">
        <w:rPr>
          <w:rFonts w:ascii="Book Antiqua" w:eastAsia="Book Antiqua" w:hAnsi="Book Antiqua" w:cs="Book Antiqua"/>
          <w:color w:val="000000"/>
        </w:rPr>
        <w:t>Unicancer</w:t>
      </w:r>
      <w:proofErr w:type="spellEnd"/>
      <w:r w:rsidRPr="00DA13F2">
        <w:rPr>
          <w:rFonts w:ascii="Book Antiqua" w:eastAsia="Book Antiqua" w:hAnsi="Book Antiqua" w:cs="Book Antiqua"/>
          <w:color w:val="000000"/>
        </w:rPr>
        <w:t xml:space="preserve">; PRODIGE Intergroup. FOLFIRINOX </w:t>
      </w:r>
      <w:r w:rsidRPr="00DA13F2">
        <w:rPr>
          <w:rFonts w:ascii="Book Antiqua" w:eastAsia="Book Antiqua" w:hAnsi="Book Antiqua" w:cs="Book Antiqua"/>
          <w:i/>
          <w:iCs/>
          <w:color w:val="000000"/>
        </w:rPr>
        <w:t>vs</w:t>
      </w:r>
      <w:r w:rsidRPr="00DA13F2">
        <w:rPr>
          <w:rFonts w:ascii="Book Antiqua" w:eastAsia="Book Antiqua" w:hAnsi="Book Antiqua" w:cs="Book Antiqua"/>
          <w:color w:val="000000"/>
        </w:rPr>
        <w:t xml:space="preserve"> gemcitabine for metastatic pancreatic cancer. </w:t>
      </w:r>
      <w:r w:rsidRPr="00DA13F2">
        <w:rPr>
          <w:rFonts w:ascii="Book Antiqua" w:eastAsia="Book Antiqua" w:hAnsi="Book Antiqua" w:cs="Book Antiqua"/>
          <w:i/>
          <w:iCs/>
          <w:color w:val="000000"/>
        </w:rPr>
        <w:t xml:space="preserve">N </w:t>
      </w:r>
      <w:proofErr w:type="spellStart"/>
      <w:r w:rsidRPr="00DA13F2">
        <w:rPr>
          <w:rFonts w:ascii="Book Antiqua" w:eastAsia="Book Antiqua" w:hAnsi="Book Antiqua" w:cs="Book Antiqua"/>
          <w:i/>
          <w:iCs/>
          <w:color w:val="000000"/>
        </w:rPr>
        <w:t>Engl</w:t>
      </w:r>
      <w:proofErr w:type="spellEnd"/>
      <w:r w:rsidRPr="00DA13F2">
        <w:rPr>
          <w:rFonts w:ascii="Book Antiqua" w:eastAsia="Book Antiqua" w:hAnsi="Book Antiqua" w:cs="Book Antiqua"/>
          <w:i/>
          <w:iCs/>
          <w:color w:val="000000"/>
        </w:rPr>
        <w:t xml:space="preserve"> J Med</w:t>
      </w:r>
      <w:r w:rsidRPr="00DA13F2">
        <w:rPr>
          <w:rFonts w:ascii="Book Antiqua" w:eastAsia="Book Antiqua" w:hAnsi="Book Antiqua" w:cs="Book Antiqua"/>
          <w:color w:val="000000"/>
        </w:rPr>
        <w:t xml:space="preserve"> 2011; </w:t>
      </w:r>
      <w:r w:rsidRPr="00DA13F2">
        <w:rPr>
          <w:rFonts w:ascii="Book Antiqua" w:eastAsia="Book Antiqua" w:hAnsi="Book Antiqua" w:cs="Book Antiqua"/>
          <w:b/>
          <w:bCs/>
          <w:color w:val="000000"/>
        </w:rPr>
        <w:t>364</w:t>
      </w:r>
      <w:r w:rsidRPr="00DA13F2">
        <w:rPr>
          <w:rFonts w:ascii="Book Antiqua" w:eastAsia="Book Antiqua" w:hAnsi="Book Antiqua" w:cs="Book Antiqua"/>
          <w:color w:val="000000"/>
        </w:rPr>
        <w:t>: 1817-1825 [PMID: 21561347 DOI: 10.1056/NEJMoa1011923]</w:t>
      </w:r>
    </w:p>
    <w:p w14:paraId="218BFDF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31 </w:t>
      </w:r>
      <w:proofErr w:type="spellStart"/>
      <w:r w:rsidRPr="00DA13F2">
        <w:rPr>
          <w:rFonts w:ascii="Book Antiqua" w:eastAsia="Book Antiqua" w:hAnsi="Book Antiqua" w:cs="Book Antiqua"/>
          <w:b/>
          <w:bCs/>
          <w:color w:val="000000"/>
        </w:rPr>
        <w:t>Neoptolemos</w:t>
      </w:r>
      <w:proofErr w:type="spellEnd"/>
      <w:r w:rsidRPr="00DA13F2">
        <w:rPr>
          <w:rFonts w:ascii="Book Antiqua" w:eastAsia="Book Antiqua" w:hAnsi="Book Antiqua" w:cs="Book Antiqua"/>
          <w:b/>
          <w:bCs/>
          <w:color w:val="000000"/>
        </w:rPr>
        <w:t xml:space="preserve"> JP</w:t>
      </w:r>
      <w:r w:rsidRPr="00DA13F2">
        <w:rPr>
          <w:rFonts w:ascii="Book Antiqua" w:eastAsia="Book Antiqua" w:hAnsi="Book Antiqua" w:cs="Book Antiqua"/>
          <w:color w:val="000000"/>
        </w:rPr>
        <w:t xml:space="preserve">, Dunn JA, </w:t>
      </w:r>
      <w:proofErr w:type="spellStart"/>
      <w:r w:rsidRPr="00DA13F2">
        <w:rPr>
          <w:rFonts w:ascii="Book Antiqua" w:eastAsia="Book Antiqua" w:hAnsi="Book Antiqua" w:cs="Book Antiqua"/>
          <w:color w:val="000000"/>
        </w:rPr>
        <w:t>Stocken</w:t>
      </w:r>
      <w:proofErr w:type="spellEnd"/>
      <w:r w:rsidRPr="00DA13F2">
        <w:rPr>
          <w:rFonts w:ascii="Book Antiqua" w:eastAsia="Book Antiqua" w:hAnsi="Book Antiqua" w:cs="Book Antiqua"/>
          <w:color w:val="000000"/>
        </w:rPr>
        <w:t xml:space="preserve"> DD, Almond J, Link K, </w:t>
      </w:r>
      <w:proofErr w:type="spellStart"/>
      <w:r w:rsidRPr="00DA13F2">
        <w:rPr>
          <w:rFonts w:ascii="Book Antiqua" w:eastAsia="Book Antiqua" w:hAnsi="Book Antiqua" w:cs="Book Antiqua"/>
          <w:color w:val="000000"/>
        </w:rPr>
        <w:t>Beger</w:t>
      </w:r>
      <w:proofErr w:type="spellEnd"/>
      <w:r w:rsidRPr="00DA13F2">
        <w:rPr>
          <w:rFonts w:ascii="Book Antiqua" w:eastAsia="Book Antiqua" w:hAnsi="Book Antiqua" w:cs="Book Antiqua"/>
          <w:color w:val="000000"/>
        </w:rPr>
        <w:t xml:space="preserve"> H, </w:t>
      </w:r>
      <w:proofErr w:type="spellStart"/>
      <w:r w:rsidRPr="00DA13F2">
        <w:rPr>
          <w:rFonts w:ascii="Book Antiqua" w:eastAsia="Book Antiqua" w:hAnsi="Book Antiqua" w:cs="Book Antiqua"/>
          <w:color w:val="000000"/>
        </w:rPr>
        <w:t>Bassi</w:t>
      </w:r>
      <w:proofErr w:type="spellEnd"/>
      <w:r w:rsidRPr="00DA13F2">
        <w:rPr>
          <w:rFonts w:ascii="Book Antiqua" w:eastAsia="Book Antiqua" w:hAnsi="Book Antiqua" w:cs="Book Antiqua"/>
          <w:color w:val="000000"/>
        </w:rPr>
        <w:t xml:space="preserve"> C, </w:t>
      </w:r>
      <w:proofErr w:type="spellStart"/>
      <w:r w:rsidRPr="00DA13F2">
        <w:rPr>
          <w:rFonts w:ascii="Book Antiqua" w:eastAsia="Book Antiqua" w:hAnsi="Book Antiqua" w:cs="Book Antiqua"/>
          <w:color w:val="000000"/>
        </w:rPr>
        <w:t>Falconi</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Pederzoli</w:t>
      </w:r>
      <w:proofErr w:type="spellEnd"/>
      <w:r w:rsidRPr="00DA13F2">
        <w:rPr>
          <w:rFonts w:ascii="Book Antiqua" w:eastAsia="Book Antiqua" w:hAnsi="Book Antiqua" w:cs="Book Antiqua"/>
          <w:color w:val="000000"/>
        </w:rPr>
        <w:t xml:space="preserve"> P, </w:t>
      </w:r>
      <w:proofErr w:type="spellStart"/>
      <w:r w:rsidRPr="00DA13F2">
        <w:rPr>
          <w:rFonts w:ascii="Book Antiqua" w:eastAsia="Book Antiqua" w:hAnsi="Book Antiqua" w:cs="Book Antiqua"/>
          <w:color w:val="000000"/>
        </w:rPr>
        <w:t>Dervenis</w:t>
      </w:r>
      <w:proofErr w:type="spellEnd"/>
      <w:r w:rsidRPr="00DA13F2">
        <w:rPr>
          <w:rFonts w:ascii="Book Antiqua" w:eastAsia="Book Antiqua" w:hAnsi="Book Antiqua" w:cs="Book Antiqua"/>
          <w:color w:val="000000"/>
        </w:rPr>
        <w:t xml:space="preserve"> C, Fernandez-Cruz L, </w:t>
      </w:r>
      <w:proofErr w:type="spellStart"/>
      <w:r w:rsidRPr="00DA13F2">
        <w:rPr>
          <w:rFonts w:ascii="Book Antiqua" w:eastAsia="Book Antiqua" w:hAnsi="Book Antiqua" w:cs="Book Antiqua"/>
          <w:color w:val="000000"/>
        </w:rPr>
        <w:t>Lacaine</w:t>
      </w:r>
      <w:proofErr w:type="spellEnd"/>
      <w:r w:rsidRPr="00DA13F2">
        <w:rPr>
          <w:rFonts w:ascii="Book Antiqua" w:eastAsia="Book Antiqua" w:hAnsi="Book Antiqua" w:cs="Book Antiqua"/>
          <w:color w:val="000000"/>
        </w:rPr>
        <w:t xml:space="preserve"> F, Pap A, Spooner D, Kerr DJ, </w:t>
      </w:r>
      <w:proofErr w:type="spellStart"/>
      <w:r w:rsidRPr="00DA13F2">
        <w:rPr>
          <w:rFonts w:ascii="Book Antiqua" w:eastAsia="Book Antiqua" w:hAnsi="Book Antiqua" w:cs="Book Antiqua"/>
          <w:color w:val="000000"/>
        </w:rPr>
        <w:t>Friess</w:t>
      </w:r>
      <w:proofErr w:type="spellEnd"/>
      <w:r w:rsidRPr="00DA13F2">
        <w:rPr>
          <w:rFonts w:ascii="Book Antiqua" w:eastAsia="Book Antiqua" w:hAnsi="Book Antiqua" w:cs="Book Antiqua"/>
          <w:color w:val="000000"/>
        </w:rPr>
        <w:t xml:space="preserve"> H, </w:t>
      </w:r>
      <w:proofErr w:type="spellStart"/>
      <w:r w:rsidRPr="00DA13F2">
        <w:rPr>
          <w:rFonts w:ascii="Book Antiqua" w:eastAsia="Book Antiqua" w:hAnsi="Book Antiqua" w:cs="Book Antiqua"/>
          <w:color w:val="000000"/>
        </w:rPr>
        <w:t>Büchler</w:t>
      </w:r>
      <w:proofErr w:type="spellEnd"/>
      <w:r w:rsidRPr="00DA13F2">
        <w:rPr>
          <w:rFonts w:ascii="Book Antiqua" w:eastAsia="Book Antiqua" w:hAnsi="Book Antiqua" w:cs="Book Antiqua"/>
          <w:color w:val="000000"/>
        </w:rPr>
        <w:t xml:space="preserve"> MW; European Study Group for Pancreatic Cancer. Adjuvant chemoradiotherapy and chemotherapy in </w:t>
      </w:r>
      <w:proofErr w:type="spellStart"/>
      <w:r w:rsidRPr="00DA13F2">
        <w:rPr>
          <w:rFonts w:ascii="Book Antiqua" w:eastAsia="Book Antiqua" w:hAnsi="Book Antiqua" w:cs="Book Antiqua"/>
          <w:color w:val="000000"/>
        </w:rPr>
        <w:t>resectable</w:t>
      </w:r>
      <w:proofErr w:type="spellEnd"/>
      <w:r w:rsidRPr="00DA13F2">
        <w:rPr>
          <w:rFonts w:ascii="Book Antiqua" w:eastAsia="Book Antiqua" w:hAnsi="Book Antiqua" w:cs="Book Antiqua"/>
          <w:color w:val="000000"/>
        </w:rPr>
        <w:t xml:space="preserve"> pancreatic </w:t>
      </w:r>
      <w:r w:rsidRPr="00DA13F2">
        <w:rPr>
          <w:rFonts w:ascii="Book Antiqua" w:eastAsia="Book Antiqua" w:hAnsi="Book Antiqua" w:cs="Book Antiqua"/>
          <w:color w:val="000000"/>
        </w:rPr>
        <w:lastRenderedPageBreak/>
        <w:t xml:space="preserve">cancer: a </w:t>
      </w:r>
      <w:proofErr w:type="spellStart"/>
      <w:r w:rsidRPr="00DA13F2">
        <w:rPr>
          <w:rFonts w:ascii="Book Antiqua" w:eastAsia="Book Antiqua" w:hAnsi="Book Antiqua" w:cs="Book Antiqua"/>
          <w:color w:val="000000"/>
        </w:rPr>
        <w:t>randomised</w:t>
      </w:r>
      <w:proofErr w:type="spellEnd"/>
      <w:r w:rsidRPr="00DA13F2">
        <w:rPr>
          <w:rFonts w:ascii="Book Antiqua" w:eastAsia="Book Antiqua" w:hAnsi="Book Antiqua" w:cs="Book Antiqua"/>
          <w:color w:val="000000"/>
        </w:rPr>
        <w:t xml:space="preserve"> controlled trial. </w:t>
      </w:r>
      <w:r w:rsidRPr="00DA13F2">
        <w:rPr>
          <w:rFonts w:ascii="Book Antiqua" w:eastAsia="Book Antiqua" w:hAnsi="Book Antiqua" w:cs="Book Antiqua"/>
          <w:i/>
          <w:iCs/>
          <w:color w:val="000000"/>
        </w:rPr>
        <w:t>Lancet</w:t>
      </w:r>
      <w:r w:rsidRPr="00DA13F2">
        <w:rPr>
          <w:rFonts w:ascii="Book Antiqua" w:eastAsia="Book Antiqua" w:hAnsi="Book Antiqua" w:cs="Book Antiqua"/>
          <w:color w:val="000000"/>
        </w:rPr>
        <w:t xml:space="preserve"> 2001; </w:t>
      </w:r>
      <w:r w:rsidRPr="00DA13F2">
        <w:rPr>
          <w:rFonts w:ascii="Book Antiqua" w:eastAsia="Book Antiqua" w:hAnsi="Book Antiqua" w:cs="Book Antiqua"/>
          <w:b/>
          <w:bCs/>
          <w:color w:val="000000"/>
        </w:rPr>
        <w:t>358</w:t>
      </w:r>
      <w:r w:rsidRPr="00DA13F2">
        <w:rPr>
          <w:rFonts w:ascii="Book Antiqua" w:eastAsia="Book Antiqua" w:hAnsi="Book Antiqua" w:cs="Book Antiqua"/>
          <w:color w:val="000000"/>
        </w:rPr>
        <w:t>: 1576-1585 [PMID: 11716884 DOI: 10.1016/s0140-6736(01)06651-x]</w:t>
      </w:r>
    </w:p>
    <w:p w14:paraId="129B58D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32 </w:t>
      </w:r>
      <w:proofErr w:type="spellStart"/>
      <w:r w:rsidRPr="00DA13F2">
        <w:rPr>
          <w:rFonts w:ascii="Book Antiqua" w:eastAsia="Book Antiqua" w:hAnsi="Book Antiqua" w:cs="Book Antiqua"/>
          <w:b/>
          <w:bCs/>
          <w:color w:val="000000"/>
        </w:rPr>
        <w:t>Maessen</w:t>
      </w:r>
      <w:proofErr w:type="spellEnd"/>
      <w:r w:rsidRPr="00DA13F2">
        <w:rPr>
          <w:rFonts w:ascii="Book Antiqua" w:eastAsia="Book Antiqua" w:hAnsi="Book Antiqua" w:cs="Book Antiqua"/>
          <w:b/>
          <w:bCs/>
          <w:color w:val="000000"/>
        </w:rPr>
        <w:t xml:space="preserve"> J</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Dejong</w:t>
      </w:r>
      <w:proofErr w:type="spellEnd"/>
      <w:r w:rsidRPr="00DA13F2">
        <w:rPr>
          <w:rFonts w:ascii="Book Antiqua" w:eastAsia="Book Antiqua" w:hAnsi="Book Antiqua" w:cs="Book Antiqua"/>
          <w:color w:val="000000"/>
        </w:rPr>
        <w:t xml:space="preserve"> CH, </w:t>
      </w:r>
      <w:proofErr w:type="spellStart"/>
      <w:r w:rsidRPr="00DA13F2">
        <w:rPr>
          <w:rFonts w:ascii="Book Antiqua" w:eastAsia="Book Antiqua" w:hAnsi="Book Antiqua" w:cs="Book Antiqua"/>
          <w:color w:val="000000"/>
        </w:rPr>
        <w:t>Hausel</w:t>
      </w:r>
      <w:proofErr w:type="spellEnd"/>
      <w:r w:rsidRPr="00DA13F2">
        <w:rPr>
          <w:rFonts w:ascii="Book Antiqua" w:eastAsia="Book Antiqua" w:hAnsi="Book Antiqua" w:cs="Book Antiqua"/>
          <w:color w:val="000000"/>
        </w:rPr>
        <w:t xml:space="preserve"> J, Nygren J, Lassen K, Andersen J, </w:t>
      </w:r>
      <w:proofErr w:type="spellStart"/>
      <w:r w:rsidRPr="00DA13F2">
        <w:rPr>
          <w:rFonts w:ascii="Book Antiqua" w:eastAsia="Book Antiqua" w:hAnsi="Book Antiqua" w:cs="Book Antiqua"/>
          <w:color w:val="000000"/>
        </w:rPr>
        <w:t>Kessels</w:t>
      </w:r>
      <w:proofErr w:type="spellEnd"/>
      <w:r w:rsidRPr="00DA13F2">
        <w:rPr>
          <w:rFonts w:ascii="Book Antiqua" w:eastAsia="Book Antiqua" w:hAnsi="Book Antiqua" w:cs="Book Antiqua"/>
          <w:color w:val="000000"/>
        </w:rPr>
        <w:t xml:space="preserve"> AG, </w:t>
      </w:r>
      <w:proofErr w:type="spellStart"/>
      <w:r w:rsidRPr="00DA13F2">
        <w:rPr>
          <w:rFonts w:ascii="Book Antiqua" w:eastAsia="Book Antiqua" w:hAnsi="Book Antiqua" w:cs="Book Antiqua"/>
          <w:color w:val="000000"/>
        </w:rPr>
        <w:t>Revhaug</w:t>
      </w:r>
      <w:proofErr w:type="spellEnd"/>
      <w:r w:rsidRPr="00DA13F2">
        <w:rPr>
          <w:rFonts w:ascii="Book Antiqua" w:eastAsia="Book Antiqua" w:hAnsi="Book Antiqua" w:cs="Book Antiqua"/>
          <w:color w:val="000000"/>
        </w:rPr>
        <w:t xml:space="preserve"> A, </w:t>
      </w:r>
      <w:proofErr w:type="spellStart"/>
      <w:r w:rsidRPr="00DA13F2">
        <w:rPr>
          <w:rFonts w:ascii="Book Antiqua" w:eastAsia="Book Antiqua" w:hAnsi="Book Antiqua" w:cs="Book Antiqua"/>
          <w:color w:val="000000"/>
        </w:rPr>
        <w:t>Kehlet</w:t>
      </w:r>
      <w:proofErr w:type="spellEnd"/>
      <w:r w:rsidRPr="00DA13F2">
        <w:rPr>
          <w:rFonts w:ascii="Book Antiqua" w:eastAsia="Book Antiqua" w:hAnsi="Book Antiqua" w:cs="Book Antiqua"/>
          <w:color w:val="000000"/>
        </w:rPr>
        <w:t xml:space="preserve"> H, </w:t>
      </w:r>
      <w:proofErr w:type="spellStart"/>
      <w:r w:rsidRPr="00DA13F2">
        <w:rPr>
          <w:rFonts w:ascii="Book Antiqua" w:eastAsia="Book Antiqua" w:hAnsi="Book Antiqua" w:cs="Book Antiqua"/>
          <w:color w:val="000000"/>
        </w:rPr>
        <w:t>Ljungqvist</w:t>
      </w:r>
      <w:proofErr w:type="spellEnd"/>
      <w:r w:rsidRPr="00DA13F2">
        <w:rPr>
          <w:rFonts w:ascii="Book Antiqua" w:eastAsia="Book Antiqua" w:hAnsi="Book Antiqua" w:cs="Book Antiqua"/>
          <w:color w:val="000000"/>
        </w:rPr>
        <w:t xml:space="preserve"> O, Fearon KC, von </w:t>
      </w:r>
      <w:proofErr w:type="spellStart"/>
      <w:r w:rsidRPr="00DA13F2">
        <w:rPr>
          <w:rFonts w:ascii="Book Antiqua" w:eastAsia="Book Antiqua" w:hAnsi="Book Antiqua" w:cs="Book Antiqua"/>
          <w:color w:val="000000"/>
        </w:rPr>
        <w:t>Meyenfeldt</w:t>
      </w:r>
      <w:proofErr w:type="spellEnd"/>
      <w:r w:rsidRPr="00DA13F2">
        <w:rPr>
          <w:rFonts w:ascii="Book Antiqua" w:eastAsia="Book Antiqua" w:hAnsi="Book Antiqua" w:cs="Book Antiqua"/>
          <w:color w:val="000000"/>
        </w:rPr>
        <w:t xml:space="preserve"> MF. A protocol is not enough to implement an enhanced recovery </w:t>
      </w:r>
      <w:proofErr w:type="spellStart"/>
      <w:r w:rsidRPr="00DA13F2">
        <w:rPr>
          <w:rFonts w:ascii="Book Antiqua" w:eastAsia="Book Antiqua" w:hAnsi="Book Antiqua" w:cs="Book Antiqua"/>
          <w:color w:val="000000"/>
        </w:rPr>
        <w:t>programme</w:t>
      </w:r>
      <w:proofErr w:type="spellEnd"/>
      <w:r w:rsidRPr="00DA13F2">
        <w:rPr>
          <w:rFonts w:ascii="Book Antiqua" w:eastAsia="Book Antiqua" w:hAnsi="Book Antiqua" w:cs="Book Antiqua"/>
          <w:color w:val="000000"/>
        </w:rPr>
        <w:t xml:space="preserve"> for colorectal resection. </w:t>
      </w:r>
      <w:r w:rsidRPr="00DA13F2">
        <w:rPr>
          <w:rFonts w:ascii="Book Antiqua" w:eastAsia="Book Antiqua" w:hAnsi="Book Antiqua" w:cs="Book Antiqua"/>
          <w:i/>
          <w:iCs/>
          <w:color w:val="000000"/>
        </w:rPr>
        <w:t>Br J Surg</w:t>
      </w:r>
      <w:r w:rsidRPr="00DA13F2">
        <w:rPr>
          <w:rFonts w:ascii="Book Antiqua" w:eastAsia="Book Antiqua" w:hAnsi="Book Antiqua" w:cs="Book Antiqua"/>
          <w:color w:val="000000"/>
        </w:rPr>
        <w:t xml:space="preserve"> 2007; </w:t>
      </w:r>
      <w:r w:rsidRPr="00DA13F2">
        <w:rPr>
          <w:rFonts w:ascii="Book Antiqua" w:eastAsia="Book Antiqua" w:hAnsi="Book Antiqua" w:cs="Book Antiqua"/>
          <w:b/>
          <w:bCs/>
          <w:color w:val="000000"/>
        </w:rPr>
        <w:t>94</w:t>
      </w:r>
      <w:r w:rsidRPr="00DA13F2">
        <w:rPr>
          <w:rFonts w:ascii="Book Antiqua" w:eastAsia="Book Antiqua" w:hAnsi="Book Antiqua" w:cs="Book Antiqua"/>
          <w:color w:val="000000"/>
        </w:rPr>
        <w:t>: 224-231 [PMID: 17205493 DOI: 10.1002/bjs.5468]</w:t>
      </w:r>
    </w:p>
    <w:p w14:paraId="6CABA44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33 </w:t>
      </w:r>
      <w:proofErr w:type="spellStart"/>
      <w:r w:rsidRPr="00DA13F2">
        <w:rPr>
          <w:rFonts w:ascii="Book Antiqua" w:eastAsia="Book Antiqua" w:hAnsi="Book Antiqua" w:cs="Book Antiqua"/>
          <w:b/>
          <w:bCs/>
          <w:color w:val="000000"/>
        </w:rPr>
        <w:t>Aarts</w:t>
      </w:r>
      <w:proofErr w:type="spellEnd"/>
      <w:r w:rsidRPr="00DA13F2">
        <w:rPr>
          <w:rFonts w:ascii="Book Antiqua" w:eastAsia="Book Antiqua" w:hAnsi="Book Antiqua" w:cs="Book Antiqua"/>
          <w:b/>
          <w:bCs/>
          <w:color w:val="000000"/>
        </w:rPr>
        <w:t xml:space="preserve"> MA</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Rotstein</w:t>
      </w:r>
      <w:proofErr w:type="spellEnd"/>
      <w:r w:rsidRPr="00DA13F2">
        <w:rPr>
          <w:rFonts w:ascii="Book Antiqua" w:eastAsia="Book Antiqua" w:hAnsi="Book Antiqua" w:cs="Book Antiqua"/>
          <w:color w:val="000000"/>
        </w:rPr>
        <w:t xml:space="preserve"> OD, Pearsall EA, Victor JC, </w:t>
      </w:r>
      <w:proofErr w:type="spellStart"/>
      <w:r w:rsidRPr="00DA13F2">
        <w:rPr>
          <w:rFonts w:ascii="Book Antiqua" w:eastAsia="Book Antiqua" w:hAnsi="Book Antiqua" w:cs="Book Antiqua"/>
          <w:color w:val="000000"/>
        </w:rPr>
        <w:t>Okrainec</w:t>
      </w:r>
      <w:proofErr w:type="spellEnd"/>
      <w:r w:rsidRPr="00DA13F2">
        <w:rPr>
          <w:rFonts w:ascii="Book Antiqua" w:eastAsia="Book Antiqua" w:hAnsi="Book Antiqua" w:cs="Book Antiqua"/>
          <w:color w:val="000000"/>
        </w:rPr>
        <w:t xml:space="preserve"> A, McKenzie M, McCluskey SA, Conn LG, McLeod RS; </w:t>
      </w:r>
      <w:proofErr w:type="spellStart"/>
      <w:r w:rsidRPr="00DA13F2">
        <w:rPr>
          <w:rFonts w:ascii="Book Antiqua" w:eastAsia="Book Antiqua" w:hAnsi="Book Antiqua" w:cs="Book Antiqua"/>
          <w:color w:val="000000"/>
        </w:rPr>
        <w:t>iERAS</w:t>
      </w:r>
      <w:proofErr w:type="spellEnd"/>
      <w:r w:rsidRPr="00DA13F2">
        <w:rPr>
          <w:rFonts w:ascii="Book Antiqua" w:eastAsia="Book Antiqua" w:hAnsi="Book Antiqua" w:cs="Book Antiqua"/>
          <w:color w:val="000000"/>
        </w:rPr>
        <w:t xml:space="preserve"> group. Postoperative ERAS Interventions Have the Greatest Impact on Optimal Recovery: Experience With Implementation of ERAS Across Multiple Hospitals.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267</w:t>
      </w:r>
      <w:r w:rsidRPr="00DA13F2">
        <w:rPr>
          <w:rFonts w:ascii="Book Antiqua" w:eastAsia="Book Antiqua" w:hAnsi="Book Antiqua" w:cs="Book Antiqua"/>
          <w:color w:val="000000"/>
        </w:rPr>
        <w:t>: 992-997 [PMID: 29303803 DOI: 10.1097/SLA.0000000000002632]</w:t>
      </w:r>
    </w:p>
    <w:p w14:paraId="0FC9AA16"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34 </w:t>
      </w:r>
      <w:proofErr w:type="spellStart"/>
      <w:r w:rsidRPr="00DA13F2">
        <w:rPr>
          <w:rFonts w:ascii="Book Antiqua" w:eastAsia="Book Antiqua" w:hAnsi="Book Antiqua" w:cs="Book Antiqua"/>
          <w:b/>
          <w:bCs/>
          <w:color w:val="000000"/>
        </w:rPr>
        <w:t>Pędziwiatr</w:t>
      </w:r>
      <w:proofErr w:type="spellEnd"/>
      <w:r w:rsidRPr="00DA13F2">
        <w:rPr>
          <w:rFonts w:ascii="Book Antiqua" w:eastAsia="Book Antiqua" w:hAnsi="Book Antiqua" w:cs="Book Antiqua"/>
          <w:b/>
          <w:bCs/>
          <w:color w:val="000000"/>
        </w:rPr>
        <w:t xml:space="preserve"> M</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Kisialeuski</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Wierdak</w:t>
      </w:r>
      <w:proofErr w:type="spellEnd"/>
      <w:r w:rsidRPr="00DA13F2">
        <w:rPr>
          <w:rFonts w:ascii="Book Antiqua" w:eastAsia="Book Antiqua" w:hAnsi="Book Antiqua" w:cs="Book Antiqua"/>
          <w:color w:val="000000"/>
        </w:rPr>
        <w:t xml:space="preserve"> M, Stanek M, </w:t>
      </w:r>
      <w:proofErr w:type="spellStart"/>
      <w:r w:rsidRPr="00DA13F2">
        <w:rPr>
          <w:rFonts w:ascii="Book Antiqua" w:eastAsia="Book Antiqua" w:hAnsi="Book Antiqua" w:cs="Book Antiqua"/>
          <w:color w:val="000000"/>
        </w:rPr>
        <w:t>Natkaniec</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Matłok</w:t>
      </w:r>
      <w:proofErr w:type="spellEnd"/>
      <w:r w:rsidRPr="00DA13F2">
        <w:rPr>
          <w:rFonts w:ascii="Book Antiqua" w:eastAsia="Book Antiqua" w:hAnsi="Book Antiqua" w:cs="Book Antiqua"/>
          <w:color w:val="000000"/>
        </w:rPr>
        <w:t xml:space="preserve"> M, Major P, </w:t>
      </w:r>
      <w:proofErr w:type="spellStart"/>
      <w:r w:rsidRPr="00DA13F2">
        <w:rPr>
          <w:rFonts w:ascii="Book Antiqua" w:eastAsia="Book Antiqua" w:hAnsi="Book Antiqua" w:cs="Book Antiqua"/>
          <w:color w:val="000000"/>
        </w:rPr>
        <w:t>Małczak</w:t>
      </w:r>
      <w:proofErr w:type="spellEnd"/>
      <w:r w:rsidRPr="00DA13F2">
        <w:rPr>
          <w:rFonts w:ascii="Book Antiqua" w:eastAsia="Book Antiqua" w:hAnsi="Book Antiqua" w:cs="Book Antiqua"/>
          <w:color w:val="000000"/>
        </w:rPr>
        <w:t xml:space="preserve"> P, </w:t>
      </w:r>
      <w:proofErr w:type="spellStart"/>
      <w:r w:rsidRPr="00DA13F2">
        <w:rPr>
          <w:rFonts w:ascii="Book Antiqua" w:eastAsia="Book Antiqua" w:hAnsi="Book Antiqua" w:cs="Book Antiqua"/>
          <w:color w:val="000000"/>
        </w:rPr>
        <w:t>Budzyński</w:t>
      </w:r>
      <w:proofErr w:type="spellEnd"/>
      <w:r w:rsidRPr="00DA13F2">
        <w:rPr>
          <w:rFonts w:ascii="Book Antiqua" w:eastAsia="Book Antiqua" w:hAnsi="Book Antiqua" w:cs="Book Antiqua"/>
          <w:color w:val="000000"/>
        </w:rPr>
        <w:t xml:space="preserve"> A. Early implementation of Enhanced Recovery After Surgery (ERAS®) protocol - Compliance improves outcomes: A prospective cohort study. </w:t>
      </w:r>
      <w:r w:rsidRPr="00DA13F2">
        <w:rPr>
          <w:rFonts w:ascii="Book Antiqua" w:eastAsia="Book Antiqua" w:hAnsi="Book Antiqua" w:cs="Book Antiqua"/>
          <w:i/>
          <w:iCs/>
          <w:color w:val="000000"/>
        </w:rPr>
        <w:t>Int J Surg</w:t>
      </w:r>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21</w:t>
      </w:r>
      <w:r w:rsidRPr="00DA13F2">
        <w:rPr>
          <w:rFonts w:ascii="Book Antiqua" w:eastAsia="Book Antiqua" w:hAnsi="Book Antiqua" w:cs="Book Antiqua"/>
          <w:color w:val="000000"/>
        </w:rPr>
        <w:t>: 75-81 [PMID: 26231994 DOI: 10.1016/j.ijsu.2015.06.087]</w:t>
      </w:r>
    </w:p>
    <w:p w14:paraId="468EB85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35 </w:t>
      </w:r>
      <w:r w:rsidRPr="00DA13F2">
        <w:rPr>
          <w:rFonts w:ascii="Book Antiqua" w:eastAsia="Book Antiqua" w:hAnsi="Book Antiqua" w:cs="Book Antiqua"/>
          <w:b/>
          <w:bCs/>
          <w:color w:val="000000"/>
        </w:rPr>
        <w:t>Ahmed J</w:t>
      </w:r>
      <w:r w:rsidRPr="00DA13F2">
        <w:rPr>
          <w:rFonts w:ascii="Book Antiqua" w:eastAsia="Book Antiqua" w:hAnsi="Book Antiqua" w:cs="Book Antiqua"/>
          <w:color w:val="000000"/>
        </w:rPr>
        <w:t xml:space="preserve">, Khan S, </w:t>
      </w:r>
      <w:proofErr w:type="spellStart"/>
      <w:r w:rsidRPr="00DA13F2">
        <w:rPr>
          <w:rFonts w:ascii="Book Antiqua" w:eastAsia="Book Antiqua" w:hAnsi="Book Antiqua" w:cs="Book Antiqua"/>
          <w:color w:val="000000"/>
        </w:rPr>
        <w:t>Gatt</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Kallam</w:t>
      </w:r>
      <w:proofErr w:type="spellEnd"/>
      <w:r w:rsidRPr="00DA13F2">
        <w:rPr>
          <w:rFonts w:ascii="Book Antiqua" w:eastAsia="Book Antiqua" w:hAnsi="Book Antiqua" w:cs="Book Antiqua"/>
          <w:color w:val="000000"/>
        </w:rPr>
        <w:t xml:space="preserve"> R, </w:t>
      </w:r>
      <w:proofErr w:type="spellStart"/>
      <w:r w:rsidRPr="00DA13F2">
        <w:rPr>
          <w:rFonts w:ascii="Book Antiqua" w:eastAsia="Book Antiqua" w:hAnsi="Book Antiqua" w:cs="Book Antiqua"/>
          <w:color w:val="000000"/>
        </w:rPr>
        <w:t>MacFie</w:t>
      </w:r>
      <w:proofErr w:type="spellEnd"/>
      <w:r w:rsidRPr="00DA13F2">
        <w:rPr>
          <w:rFonts w:ascii="Book Antiqua" w:eastAsia="Book Antiqua" w:hAnsi="Book Antiqua" w:cs="Book Antiqua"/>
          <w:color w:val="000000"/>
        </w:rPr>
        <w:t xml:space="preserve"> J. Compliance with enhanced recovery </w:t>
      </w:r>
      <w:proofErr w:type="spellStart"/>
      <w:r w:rsidRPr="00DA13F2">
        <w:rPr>
          <w:rFonts w:ascii="Book Antiqua" w:eastAsia="Book Antiqua" w:hAnsi="Book Antiqua" w:cs="Book Antiqua"/>
          <w:color w:val="000000"/>
        </w:rPr>
        <w:t>programmes</w:t>
      </w:r>
      <w:proofErr w:type="spellEnd"/>
      <w:r w:rsidRPr="00DA13F2">
        <w:rPr>
          <w:rFonts w:ascii="Book Antiqua" w:eastAsia="Book Antiqua" w:hAnsi="Book Antiqua" w:cs="Book Antiqua"/>
          <w:color w:val="000000"/>
        </w:rPr>
        <w:t xml:space="preserve"> in elective colorectal surgery. </w:t>
      </w:r>
      <w:r w:rsidRPr="00DA13F2">
        <w:rPr>
          <w:rFonts w:ascii="Book Antiqua" w:eastAsia="Book Antiqua" w:hAnsi="Book Antiqua" w:cs="Book Antiqua"/>
          <w:i/>
          <w:iCs/>
          <w:color w:val="000000"/>
        </w:rPr>
        <w:t>Br J Surg</w:t>
      </w:r>
      <w:r w:rsidRPr="00DA13F2">
        <w:rPr>
          <w:rFonts w:ascii="Book Antiqua" w:eastAsia="Book Antiqua" w:hAnsi="Book Antiqua" w:cs="Book Antiqua"/>
          <w:color w:val="000000"/>
        </w:rPr>
        <w:t xml:space="preserve"> 2010; </w:t>
      </w:r>
      <w:r w:rsidRPr="00DA13F2">
        <w:rPr>
          <w:rFonts w:ascii="Book Antiqua" w:eastAsia="Book Antiqua" w:hAnsi="Book Antiqua" w:cs="Book Antiqua"/>
          <w:b/>
          <w:bCs/>
          <w:color w:val="000000"/>
        </w:rPr>
        <w:t>97</w:t>
      </w:r>
      <w:r w:rsidRPr="00DA13F2">
        <w:rPr>
          <w:rFonts w:ascii="Book Antiqua" w:eastAsia="Book Antiqua" w:hAnsi="Book Antiqua" w:cs="Book Antiqua"/>
          <w:color w:val="000000"/>
        </w:rPr>
        <w:t>: 754-758 [PMID: 20235087 DOI: 10.1002/bjs.6961]</w:t>
      </w:r>
    </w:p>
    <w:p w14:paraId="6C423A0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36 </w:t>
      </w:r>
      <w:r w:rsidRPr="00DA13F2">
        <w:rPr>
          <w:rFonts w:ascii="Book Antiqua" w:eastAsia="Book Antiqua" w:hAnsi="Book Antiqua" w:cs="Book Antiqua"/>
          <w:b/>
          <w:bCs/>
          <w:color w:val="000000"/>
        </w:rPr>
        <w:t xml:space="preserve">El </w:t>
      </w:r>
      <w:proofErr w:type="spellStart"/>
      <w:r w:rsidRPr="00DA13F2">
        <w:rPr>
          <w:rFonts w:ascii="Book Antiqua" w:eastAsia="Book Antiqua" w:hAnsi="Book Antiqua" w:cs="Book Antiqua"/>
          <w:b/>
          <w:bCs/>
          <w:color w:val="000000"/>
        </w:rPr>
        <w:t>Amrani</w:t>
      </w:r>
      <w:proofErr w:type="spellEnd"/>
      <w:r w:rsidRPr="00DA13F2">
        <w:rPr>
          <w:rFonts w:ascii="Book Antiqua" w:eastAsia="Book Antiqua" w:hAnsi="Book Antiqua" w:cs="Book Antiqua"/>
          <w:b/>
          <w:bCs/>
          <w:color w:val="000000"/>
        </w:rPr>
        <w:t xml:space="preserve"> M</w:t>
      </w:r>
      <w:r w:rsidRPr="00DA13F2">
        <w:rPr>
          <w:rFonts w:ascii="Book Antiqua" w:eastAsia="Book Antiqua" w:hAnsi="Book Antiqua" w:cs="Book Antiqua"/>
          <w:color w:val="000000"/>
        </w:rPr>
        <w:t xml:space="preserve">, Clement G, </w:t>
      </w:r>
      <w:proofErr w:type="spellStart"/>
      <w:r w:rsidRPr="00DA13F2">
        <w:rPr>
          <w:rFonts w:ascii="Book Antiqua" w:eastAsia="Book Antiqua" w:hAnsi="Book Antiqua" w:cs="Book Antiqua"/>
          <w:color w:val="000000"/>
        </w:rPr>
        <w:t>Lenne</w:t>
      </w:r>
      <w:proofErr w:type="spellEnd"/>
      <w:r w:rsidRPr="00DA13F2">
        <w:rPr>
          <w:rFonts w:ascii="Book Antiqua" w:eastAsia="Book Antiqua" w:hAnsi="Book Antiqua" w:cs="Book Antiqua"/>
          <w:color w:val="000000"/>
        </w:rPr>
        <w:t xml:space="preserve"> X, </w:t>
      </w:r>
      <w:proofErr w:type="spellStart"/>
      <w:r w:rsidRPr="00DA13F2">
        <w:rPr>
          <w:rFonts w:ascii="Book Antiqua" w:eastAsia="Book Antiqua" w:hAnsi="Book Antiqua" w:cs="Book Antiqua"/>
          <w:color w:val="000000"/>
        </w:rPr>
        <w:t>Farges</w:t>
      </w:r>
      <w:proofErr w:type="spellEnd"/>
      <w:r w:rsidRPr="00DA13F2">
        <w:rPr>
          <w:rFonts w:ascii="Book Antiqua" w:eastAsia="Book Antiqua" w:hAnsi="Book Antiqua" w:cs="Book Antiqua"/>
          <w:color w:val="000000"/>
        </w:rPr>
        <w:t xml:space="preserve"> O, </w:t>
      </w:r>
      <w:proofErr w:type="spellStart"/>
      <w:r w:rsidRPr="00DA13F2">
        <w:rPr>
          <w:rFonts w:ascii="Book Antiqua" w:eastAsia="Book Antiqua" w:hAnsi="Book Antiqua" w:cs="Book Antiqua"/>
          <w:color w:val="000000"/>
        </w:rPr>
        <w:t>Delpero</w:t>
      </w:r>
      <w:proofErr w:type="spellEnd"/>
      <w:r w:rsidRPr="00DA13F2">
        <w:rPr>
          <w:rFonts w:ascii="Book Antiqua" w:eastAsia="Book Antiqua" w:hAnsi="Book Antiqua" w:cs="Book Antiqua"/>
          <w:color w:val="000000"/>
        </w:rPr>
        <w:t xml:space="preserve"> JR, Theis D, </w:t>
      </w:r>
      <w:proofErr w:type="spellStart"/>
      <w:r w:rsidRPr="00DA13F2">
        <w:rPr>
          <w:rFonts w:ascii="Book Antiqua" w:eastAsia="Book Antiqua" w:hAnsi="Book Antiqua" w:cs="Book Antiqua"/>
          <w:color w:val="000000"/>
        </w:rPr>
        <w:t>Pruvot</w:t>
      </w:r>
      <w:proofErr w:type="spellEnd"/>
      <w:r w:rsidRPr="00DA13F2">
        <w:rPr>
          <w:rFonts w:ascii="Book Antiqua" w:eastAsia="Book Antiqua" w:hAnsi="Book Antiqua" w:cs="Book Antiqua"/>
          <w:color w:val="000000"/>
        </w:rPr>
        <w:t xml:space="preserve"> FR, Truant S. Failure-to-rescue in Patients Undergoing Pancreatectomy: Is Hospital Volume a Standard for Quality Improvement Programs? Nationwide Analysis of 12,333 Patients. </w:t>
      </w:r>
      <w:r w:rsidRPr="00DA13F2">
        <w:rPr>
          <w:rFonts w:ascii="Book Antiqua" w:eastAsia="Book Antiqua" w:hAnsi="Book Antiqua" w:cs="Book Antiqua"/>
          <w:i/>
          <w:iCs/>
          <w:color w:val="000000"/>
        </w:rPr>
        <w:t>Ann Surg</w:t>
      </w:r>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268</w:t>
      </w:r>
      <w:r w:rsidRPr="00DA13F2">
        <w:rPr>
          <w:rFonts w:ascii="Book Antiqua" w:eastAsia="Book Antiqua" w:hAnsi="Book Antiqua" w:cs="Book Antiqua"/>
          <w:color w:val="000000"/>
        </w:rPr>
        <w:t>: 799-807 [PMID: 30048329 DOI: 10.1097/SLA.0000000000002945]</w:t>
      </w:r>
    </w:p>
    <w:p w14:paraId="43B9956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37 </w:t>
      </w:r>
      <w:proofErr w:type="spellStart"/>
      <w:r w:rsidRPr="00DA13F2">
        <w:rPr>
          <w:rFonts w:ascii="Book Antiqua" w:eastAsia="Book Antiqua" w:hAnsi="Book Antiqua" w:cs="Book Antiqua"/>
          <w:b/>
          <w:bCs/>
          <w:color w:val="000000"/>
        </w:rPr>
        <w:t>Amini</w:t>
      </w:r>
      <w:proofErr w:type="spellEnd"/>
      <w:r w:rsidRPr="00DA13F2">
        <w:rPr>
          <w:rFonts w:ascii="Book Antiqua" w:eastAsia="Book Antiqua" w:hAnsi="Book Antiqua" w:cs="Book Antiqua"/>
          <w:b/>
          <w:bCs/>
          <w:color w:val="000000"/>
        </w:rPr>
        <w:t xml:space="preserve"> N</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Spolverato</w:t>
      </w:r>
      <w:proofErr w:type="spellEnd"/>
      <w:r w:rsidRPr="00DA13F2">
        <w:rPr>
          <w:rFonts w:ascii="Book Antiqua" w:eastAsia="Book Antiqua" w:hAnsi="Book Antiqua" w:cs="Book Antiqua"/>
          <w:color w:val="000000"/>
        </w:rPr>
        <w:t xml:space="preserve"> G, Kim Y, </w:t>
      </w:r>
      <w:proofErr w:type="spellStart"/>
      <w:r w:rsidRPr="00DA13F2">
        <w:rPr>
          <w:rFonts w:ascii="Book Antiqua" w:eastAsia="Book Antiqua" w:hAnsi="Book Antiqua" w:cs="Book Antiqua"/>
          <w:color w:val="000000"/>
        </w:rPr>
        <w:t>Pawlik</w:t>
      </w:r>
      <w:proofErr w:type="spellEnd"/>
      <w:r w:rsidRPr="00DA13F2">
        <w:rPr>
          <w:rFonts w:ascii="Book Antiqua" w:eastAsia="Book Antiqua" w:hAnsi="Book Antiqua" w:cs="Book Antiqua"/>
          <w:color w:val="000000"/>
        </w:rPr>
        <w:t xml:space="preserve"> TM. Trends in Hospital Volume and Failure to Rescue for Pancreatic Surgery.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Surg</w:t>
      </w:r>
      <w:r w:rsidRPr="00DA13F2">
        <w:rPr>
          <w:rFonts w:ascii="Book Antiqua" w:eastAsia="Book Antiqua" w:hAnsi="Book Antiqua" w:cs="Book Antiqua"/>
          <w:color w:val="000000"/>
        </w:rPr>
        <w:t xml:space="preserve"> 2015;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1581-1592 [PMID: 25794484 DOI: 10.1007/s11605-015-2800-9]</w:t>
      </w:r>
    </w:p>
    <w:p w14:paraId="41A68A4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38 </w:t>
      </w:r>
      <w:r w:rsidRPr="00DA13F2">
        <w:rPr>
          <w:rFonts w:ascii="Book Antiqua" w:eastAsia="Book Antiqua" w:hAnsi="Book Antiqua" w:cs="Book Antiqua"/>
          <w:b/>
          <w:bCs/>
          <w:color w:val="000000"/>
        </w:rPr>
        <w:t>Zhang XY</w:t>
      </w:r>
      <w:r w:rsidRPr="00DA13F2">
        <w:rPr>
          <w:rFonts w:ascii="Book Antiqua" w:eastAsia="Book Antiqua" w:hAnsi="Book Antiqua" w:cs="Book Antiqua"/>
          <w:color w:val="000000"/>
        </w:rPr>
        <w:t xml:space="preserve">, Zhang XZ, Lu FY, Zhang Q, Chen W, Ma T, Bai XL, Liang TB. Factors associated with failure of enhanced recovery after surgery program in </w:t>
      </w:r>
      <w:r w:rsidRPr="00DA13F2">
        <w:rPr>
          <w:rFonts w:ascii="Book Antiqua" w:eastAsia="Book Antiqua" w:hAnsi="Book Antiqua" w:cs="Book Antiqua"/>
          <w:color w:val="000000"/>
        </w:rPr>
        <w:lastRenderedPageBreak/>
        <w:t xml:space="preserve">patients undergoing pancreaticoduodenectomy. </w:t>
      </w:r>
      <w:r w:rsidRPr="00DA13F2">
        <w:rPr>
          <w:rFonts w:ascii="Book Antiqua" w:eastAsia="Book Antiqua" w:hAnsi="Book Antiqua" w:cs="Book Antiqua"/>
          <w:i/>
          <w:iCs/>
          <w:color w:val="000000"/>
        </w:rPr>
        <w:t xml:space="preserve">Hepatobiliary </w:t>
      </w:r>
      <w:proofErr w:type="spellStart"/>
      <w:r w:rsidRPr="00DA13F2">
        <w:rPr>
          <w:rFonts w:ascii="Book Antiqua" w:eastAsia="Book Antiqua" w:hAnsi="Book Antiqua" w:cs="Book Antiqua"/>
          <w:i/>
          <w:iCs/>
          <w:color w:val="000000"/>
        </w:rPr>
        <w:t>Pancreat</w:t>
      </w:r>
      <w:proofErr w:type="spellEnd"/>
      <w:r w:rsidRPr="00DA13F2">
        <w:rPr>
          <w:rFonts w:ascii="Book Antiqua" w:eastAsia="Book Antiqua" w:hAnsi="Book Antiqua" w:cs="Book Antiqua"/>
          <w:i/>
          <w:iCs/>
          <w:color w:val="000000"/>
        </w:rPr>
        <w:t xml:space="preserve"> Dis Int</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19</w:t>
      </w:r>
      <w:r w:rsidRPr="00DA13F2">
        <w:rPr>
          <w:rFonts w:ascii="Book Antiqua" w:eastAsia="Book Antiqua" w:hAnsi="Book Antiqua" w:cs="Book Antiqua"/>
          <w:color w:val="000000"/>
        </w:rPr>
        <w:t>: 51-57 [PMID: 31563597 DOI: 10.1016/j.hbpd.2019.09.006]</w:t>
      </w:r>
    </w:p>
    <w:p w14:paraId="2D13C685"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39 </w:t>
      </w:r>
      <w:proofErr w:type="spellStart"/>
      <w:r w:rsidRPr="00DA13F2">
        <w:rPr>
          <w:rFonts w:ascii="Book Antiqua" w:eastAsia="Book Antiqua" w:hAnsi="Book Antiqua" w:cs="Book Antiqua"/>
          <w:b/>
          <w:bCs/>
          <w:color w:val="000000"/>
        </w:rPr>
        <w:t>Kitahata</w:t>
      </w:r>
      <w:proofErr w:type="spellEnd"/>
      <w:r w:rsidRPr="00DA13F2">
        <w:rPr>
          <w:rFonts w:ascii="Book Antiqua" w:eastAsia="Book Antiqua" w:hAnsi="Book Antiqua" w:cs="Book Antiqua"/>
          <w:b/>
          <w:bCs/>
          <w:color w:val="000000"/>
        </w:rPr>
        <w:t xml:space="preserve"> Y</w:t>
      </w:r>
      <w:r w:rsidRPr="00DA13F2">
        <w:rPr>
          <w:rFonts w:ascii="Book Antiqua" w:eastAsia="Book Antiqua" w:hAnsi="Book Antiqua" w:cs="Book Antiqua"/>
          <w:color w:val="000000"/>
        </w:rPr>
        <w:t xml:space="preserve">, Hirono S, Kawai M, Okada KI, Miyazawa M, Shimizu A, Kobayashi R, Ueno M, Hayami S, </w:t>
      </w:r>
      <w:proofErr w:type="spellStart"/>
      <w:r w:rsidRPr="00DA13F2">
        <w:rPr>
          <w:rFonts w:ascii="Book Antiqua" w:eastAsia="Book Antiqua" w:hAnsi="Book Antiqua" w:cs="Book Antiqua"/>
          <w:color w:val="000000"/>
        </w:rPr>
        <w:t>Shimokawa</w:t>
      </w:r>
      <w:proofErr w:type="spellEnd"/>
      <w:r w:rsidRPr="00DA13F2">
        <w:rPr>
          <w:rFonts w:ascii="Book Antiqua" w:eastAsia="Book Antiqua" w:hAnsi="Book Antiqua" w:cs="Book Antiqua"/>
          <w:color w:val="000000"/>
        </w:rPr>
        <w:t xml:space="preserve"> T, Kouda K, Tajima F, </w:t>
      </w:r>
      <w:proofErr w:type="spellStart"/>
      <w:r w:rsidRPr="00DA13F2">
        <w:rPr>
          <w:rFonts w:ascii="Book Antiqua" w:eastAsia="Book Antiqua" w:hAnsi="Book Antiqua" w:cs="Book Antiqua"/>
          <w:color w:val="000000"/>
        </w:rPr>
        <w:t>Yamaue</w:t>
      </w:r>
      <w:proofErr w:type="spellEnd"/>
      <w:r w:rsidRPr="00DA13F2">
        <w:rPr>
          <w:rFonts w:ascii="Book Antiqua" w:eastAsia="Book Antiqua" w:hAnsi="Book Antiqua" w:cs="Book Antiqua"/>
          <w:color w:val="000000"/>
        </w:rPr>
        <w:t xml:space="preserve"> H. Intensive perioperative rehabilitation improves surgical outcomes after pancreaticoduodenectomy. </w:t>
      </w:r>
      <w:proofErr w:type="spellStart"/>
      <w:r w:rsidRPr="00DA13F2">
        <w:rPr>
          <w:rFonts w:ascii="Book Antiqua" w:eastAsia="Book Antiqua" w:hAnsi="Book Antiqua" w:cs="Book Antiqua"/>
          <w:i/>
          <w:iCs/>
          <w:color w:val="000000"/>
        </w:rPr>
        <w:t>Langenbecks</w:t>
      </w:r>
      <w:proofErr w:type="spellEnd"/>
      <w:r w:rsidRPr="00DA13F2">
        <w:rPr>
          <w:rFonts w:ascii="Book Antiqua" w:eastAsia="Book Antiqua" w:hAnsi="Book Antiqua" w:cs="Book Antiqua"/>
          <w:i/>
          <w:iCs/>
          <w:color w:val="000000"/>
        </w:rPr>
        <w:t xml:space="preserve"> Arch Surg</w:t>
      </w:r>
      <w:r w:rsidRPr="00DA13F2">
        <w:rPr>
          <w:rFonts w:ascii="Book Antiqua" w:eastAsia="Book Antiqua" w:hAnsi="Book Antiqua" w:cs="Book Antiqua"/>
          <w:color w:val="000000"/>
        </w:rPr>
        <w:t xml:space="preserve"> 2018; </w:t>
      </w:r>
      <w:r w:rsidRPr="00DA13F2">
        <w:rPr>
          <w:rFonts w:ascii="Book Antiqua" w:eastAsia="Book Antiqua" w:hAnsi="Book Antiqua" w:cs="Book Antiqua"/>
          <w:b/>
          <w:bCs/>
          <w:color w:val="000000"/>
        </w:rPr>
        <w:t>403</w:t>
      </w:r>
      <w:r w:rsidRPr="00DA13F2">
        <w:rPr>
          <w:rFonts w:ascii="Book Antiqua" w:eastAsia="Book Antiqua" w:hAnsi="Book Antiqua" w:cs="Book Antiqua"/>
          <w:color w:val="000000"/>
        </w:rPr>
        <w:t>: 711-718 [PMID: 30219924 DOI: 10.1007/s00423-018-1710-1]</w:t>
      </w:r>
    </w:p>
    <w:p w14:paraId="6AB3B867"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40 </w:t>
      </w:r>
      <w:proofErr w:type="spellStart"/>
      <w:r w:rsidRPr="00DA13F2">
        <w:rPr>
          <w:rFonts w:ascii="Book Antiqua" w:eastAsia="Book Antiqua" w:hAnsi="Book Antiqua" w:cs="Book Antiqua"/>
          <w:b/>
          <w:bCs/>
          <w:color w:val="000000"/>
        </w:rPr>
        <w:t>Bundred</w:t>
      </w:r>
      <w:proofErr w:type="spellEnd"/>
      <w:r w:rsidRPr="00DA13F2">
        <w:rPr>
          <w:rFonts w:ascii="Book Antiqua" w:eastAsia="Book Antiqua" w:hAnsi="Book Antiqua" w:cs="Book Antiqua"/>
          <w:b/>
          <w:bCs/>
          <w:color w:val="000000"/>
        </w:rPr>
        <w:t xml:space="preserve"> JR</w:t>
      </w:r>
      <w:r w:rsidRPr="00DA13F2">
        <w:rPr>
          <w:rFonts w:ascii="Book Antiqua" w:eastAsia="Book Antiqua" w:hAnsi="Book Antiqua" w:cs="Book Antiqua"/>
          <w:color w:val="000000"/>
        </w:rPr>
        <w:t xml:space="preserve">, </w:t>
      </w:r>
      <w:proofErr w:type="spellStart"/>
      <w:r w:rsidRPr="00DA13F2">
        <w:rPr>
          <w:rFonts w:ascii="Book Antiqua" w:eastAsia="Book Antiqua" w:hAnsi="Book Antiqua" w:cs="Book Antiqua"/>
          <w:color w:val="000000"/>
        </w:rPr>
        <w:t>Kamarajah</w:t>
      </w:r>
      <w:proofErr w:type="spellEnd"/>
      <w:r w:rsidRPr="00DA13F2">
        <w:rPr>
          <w:rFonts w:ascii="Book Antiqua" w:eastAsia="Book Antiqua" w:hAnsi="Book Antiqua" w:cs="Book Antiqua"/>
          <w:color w:val="000000"/>
        </w:rPr>
        <w:t xml:space="preserve"> SK, Hammond JS, Wilson CH, Prentis J, </w:t>
      </w:r>
      <w:proofErr w:type="spellStart"/>
      <w:r w:rsidRPr="00DA13F2">
        <w:rPr>
          <w:rFonts w:ascii="Book Antiqua" w:eastAsia="Book Antiqua" w:hAnsi="Book Antiqua" w:cs="Book Antiqua"/>
          <w:color w:val="000000"/>
        </w:rPr>
        <w:t>Pandanaboyana</w:t>
      </w:r>
      <w:proofErr w:type="spellEnd"/>
      <w:r w:rsidRPr="00DA13F2">
        <w:rPr>
          <w:rFonts w:ascii="Book Antiqua" w:eastAsia="Book Antiqua" w:hAnsi="Book Antiqua" w:cs="Book Antiqua"/>
          <w:color w:val="000000"/>
        </w:rPr>
        <w:t xml:space="preserve"> S. </w:t>
      </w:r>
      <w:proofErr w:type="spellStart"/>
      <w:r w:rsidRPr="00DA13F2">
        <w:rPr>
          <w:rFonts w:ascii="Book Antiqua" w:eastAsia="Book Antiqua" w:hAnsi="Book Antiqua" w:cs="Book Antiqua"/>
          <w:color w:val="000000"/>
        </w:rPr>
        <w:t>Prehabilitation</w:t>
      </w:r>
      <w:proofErr w:type="spellEnd"/>
      <w:r w:rsidRPr="00DA13F2">
        <w:rPr>
          <w:rFonts w:ascii="Book Antiqua" w:eastAsia="Book Antiqua" w:hAnsi="Book Antiqua" w:cs="Book Antiqua"/>
          <w:color w:val="000000"/>
        </w:rPr>
        <w:t xml:space="preserve"> prior to surgery for pancreatic cancer: A systematic review. </w:t>
      </w:r>
      <w:proofErr w:type="spellStart"/>
      <w:r w:rsidRPr="00DA13F2">
        <w:rPr>
          <w:rFonts w:ascii="Book Antiqua" w:eastAsia="Book Antiqua" w:hAnsi="Book Antiqua" w:cs="Book Antiqua"/>
          <w:i/>
          <w:iCs/>
          <w:color w:val="000000"/>
        </w:rPr>
        <w:t>Pancreatology</w:t>
      </w:r>
      <w:proofErr w:type="spellEnd"/>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20</w:t>
      </w:r>
      <w:r w:rsidRPr="00DA13F2">
        <w:rPr>
          <w:rFonts w:ascii="Book Antiqua" w:eastAsia="Book Antiqua" w:hAnsi="Book Antiqua" w:cs="Book Antiqua"/>
          <w:color w:val="000000"/>
        </w:rPr>
        <w:t>: 1243-1250 [PMID: 32826168 DOI: 10.1016/j.pan.2020.07.411]</w:t>
      </w:r>
    </w:p>
    <w:p w14:paraId="0BB62A54"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41 </w:t>
      </w:r>
      <w:r w:rsidRPr="00DA13F2">
        <w:rPr>
          <w:rFonts w:ascii="Book Antiqua" w:eastAsia="Book Antiqua" w:hAnsi="Book Antiqua" w:cs="Book Antiqua"/>
          <w:b/>
          <w:bCs/>
          <w:color w:val="000000"/>
        </w:rPr>
        <w:t>Shah R</w:t>
      </w:r>
      <w:r w:rsidRPr="00DA13F2">
        <w:rPr>
          <w:rFonts w:ascii="Book Antiqua" w:eastAsia="Book Antiqua" w:hAnsi="Book Antiqua" w:cs="Book Antiqua"/>
          <w:color w:val="000000"/>
        </w:rPr>
        <w:t xml:space="preserve">, Diaz A, </w:t>
      </w:r>
      <w:proofErr w:type="spellStart"/>
      <w:r w:rsidRPr="00DA13F2">
        <w:rPr>
          <w:rFonts w:ascii="Book Antiqua" w:eastAsia="Book Antiqua" w:hAnsi="Book Antiqua" w:cs="Book Antiqua"/>
          <w:color w:val="000000"/>
        </w:rPr>
        <w:t>Tripepi</w:t>
      </w:r>
      <w:proofErr w:type="spellEnd"/>
      <w:r w:rsidRPr="00DA13F2">
        <w:rPr>
          <w:rFonts w:ascii="Book Antiqua" w:eastAsia="Book Antiqua" w:hAnsi="Book Antiqua" w:cs="Book Antiqua"/>
          <w:color w:val="000000"/>
        </w:rPr>
        <w:t xml:space="preserve"> M, </w:t>
      </w:r>
      <w:proofErr w:type="spellStart"/>
      <w:r w:rsidRPr="00DA13F2">
        <w:rPr>
          <w:rFonts w:ascii="Book Antiqua" w:eastAsia="Book Antiqua" w:hAnsi="Book Antiqua" w:cs="Book Antiqua"/>
          <w:color w:val="000000"/>
        </w:rPr>
        <w:t>Bagante</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Tsilimigras</w:t>
      </w:r>
      <w:proofErr w:type="spellEnd"/>
      <w:r w:rsidRPr="00DA13F2">
        <w:rPr>
          <w:rFonts w:ascii="Book Antiqua" w:eastAsia="Book Antiqua" w:hAnsi="Book Antiqua" w:cs="Book Antiqua"/>
          <w:color w:val="000000"/>
        </w:rPr>
        <w:t xml:space="preserve"> DI, </w:t>
      </w:r>
      <w:proofErr w:type="spellStart"/>
      <w:r w:rsidRPr="00DA13F2">
        <w:rPr>
          <w:rFonts w:ascii="Book Antiqua" w:eastAsia="Book Antiqua" w:hAnsi="Book Antiqua" w:cs="Book Antiqua"/>
          <w:color w:val="000000"/>
        </w:rPr>
        <w:t>Machairas</w:t>
      </w:r>
      <w:proofErr w:type="spellEnd"/>
      <w:r w:rsidRPr="00DA13F2">
        <w:rPr>
          <w:rFonts w:ascii="Book Antiqua" w:eastAsia="Book Antiqua" w:hAnsi="Book Antiqua" w:cs="Book Antiqua"/>
          <w:color w:val="000000"/>
        </w:rPr>
        <w:t xml:space="preserve"> N, </w:t>
      </w:r>
      <w:proofErr w:type="spellStart"/>
      <w:r w:rsidRPr="00DA13F2">
        <w:rPr>
          <w:rFonts w:ascii="Book Antiqua" w:eastAsia="Book Antiqua" w:hAnsi="Book Antiqua" w:cs="Book Antiqua"/>
          <w:color w:val="000000"/>
        </w:rPr>
        <w:t>Sigala</w:t>
      </w:r>
      <w:proofErr w:type="spellEnd"/>
      <w:r w:rsidRPr="00DA13F2">
        <w:rPr>
          <w:rFonts w:ascii="Book Antiqua" w:eastAsia="Book Antiqua" w:hAnsi="Book Antiqua" w:cs="Book Antiqua"/>
          <w:color w:val="000000"/>
        </w:rPr>
        <w:t xml:space="preserve"> F, </w:t>
      </w:r>
      <w:proofErr w:type="spellStart"/>
      <w:r w:rsidRPr="00DA13F2">
        <w:rPr>
          <w:rFonts w:ascii="Book Antiqua" w:eastAsia="Book Antiqua" w:hAnsi="Book Antiqua" w:cs="Book Antiqua"/>
          <w:color w:val="000000"/>
        </w:rPr>
        <w:t>Moris</w:t>
      </w:r>
      <w:proofErr w:type="spellEnd"/>
      <w:r w:rsidRPr="00DA13F2">
        <w:rPr>
          <w:rFonts w:ascii="Book Antiqua" w:eastAsia="Book Antiqua" w:hAnsi="Book Antiqua" w:cs="Book Antiqua"/>
          <w:color w:val="000000"/>
        </w:rPr>
        <w:t xml:space="preserve"> D, Barreto SG, </w:t>
      </w:r>
      <w:proofErr w:type="spellStart"/>
      <w:r w:rsidRPr="00DA13F2">
        <w:rPr>
          <w:rFonts w:ascii="Book Antiqua" w:eastAsia="Book Antiqua" w:hAnsi="Book Antiqua" w:cs="Book Antiqua"/>
          <w:color w:val="000000"/>
        </w:rPr>
        <w:t>Pawlik</w:t>
      </w:r>
      <w:proofErr w:type="spellEnd"/>
      <w:r w:rsidRPr="00DA13F2">
        <w:rPr>
          <w:rFonts w:ascii="Book Antiqua" w:eastAsia="Book Antiqua" w:hAnsi="Book Antiqua" w:cs="Book Antiqua"/>
          <w:color w:val="000000"/>
        </w:rPr>
        <w:t xml:space="preserve"> TM. Quality Versus Costs Related to Gastrointestinal Surgery: Disentangling the Value Proposition.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Surg</w:t>
      </w:r>
      <w:r w:rsidRPr="00DA13F2">
        <w:rPr>
          <w:rFonts w:ascii="Book Antiqua" w:eastAsia="Book Antiqua" w:hAnsi="Book Antiqua" w:cs="Book Antiqua"/>
          <w:color w:val="000000"/>
        </w:rPr>
        <w:t xml:space="preserve"> 2020; </w:t>
      </w:r>
      <w:r w:rsidRPr="00DA13F2">
        <w:rPr>
          <w:rFonts w:ascii="Book Antiqua" w:eastAsia="Book Antiqua" w:hAnsi="Book Antiqua" w:cs="Book Antiqua"/>
          <w:b/>
          <w:bCs/>
          <w:color w:val="000000"/>
        </w:rPr>
        <w:t>24</w:t>
      </w:r>
      <w:r w:rsidRPr="00DA13F2">
        <w:rPr>
          <w:rFonts w:ascii="Book Antiqua" w:eastAsia="Book Antiqua" w:hAnsi="Book Antiqua" w:cs="Book Antiqua"/>
          <w:color w:val="000000"/>
        </w:rPr>
        <w:t>: 2874-2883 [PMID: 32705613 DOI: 10.1007/s11605-020-04748-7]</w:t>
      </w:r>
    </w:p>
    <w:p w14:paraId="668282FF"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 xml:space="preserve">42 </w:t>
      </w:r>
      <w:r w:rsidRPr="00DA13F2">
        <w:rPr>
          <w:rFonts w:ascii="Book Antiqua" w:eastAsia="Book Antiqua" w:hAnsi="Book Antiqua" w:cs="Book Antiqua"/>
          <w:b/>
          <w:bCs/>
          <w:color w:val="000000"/>
        </w:rPr>
        <w:t>Howard TJ</w:t>
      </w:r>
      <w:r w:rsidRPr="00DA13F2">
        <w:rPr>
          <w:rFonts w:ascii="Book Antiqua" w:eastAsia="Book Antiqua" w:hAnsi="Book Antiqua" w:cs="Book Antiqua"/>
          <w:color w:val="000000"/>
        </w:rPr>
        <w:t xml:space="preserve">, Krug JE, Yu J, </w:t>
      </w:r>
      <w:proofErr w:type="spellStart"/>
      <w:r w:rsidRPr="00DA13F2">
        <w:rPr>
          <w:rFonts w:ascii="Book Antiqua" w:eastAsia="Book Antiqua" w:hAnsi="Book Antiqua" w:cs="Book Antiqua"/>
          <w:color w:val="000000"/>
        </w:rPr>
        <w:t>Zyromski</w:t>
      </w:r>
      <w:proofErr w:type="spellEnd"/>
      <w:r w:rsidRPr="00DA13F2">
        <w:rPr>
          <w:rFonts w:ascii="Book Antiqua" w:eastAsia="Book Antiqua" w:hAnsi="Book Antiqua" w:cs="Book Antiqua"/>
          <w:color w:val="000000"/>
        </w:rPr>
        <w:t xml:space="preserve"> NJ, Schmidt CM, Jacobson LE, Madura JA, </w:t>
      </w:r>
      <w:proofErr w:type="spellStart"/>
      <w:r w:rsidRPr="00DA13F2">
        <w:rPr>
          <w:rFonts w:ascii="Book Antiqua" w:eastAsia="Book Antiqua" w:hAnsi="Book Antiqua" w:cs="Book Antiqua"/>
          <w:color w:val="000000"/>
        </w:rPr>
        <w:t>Wiebke</w:t>
      </w:r>
      <w:proofErr w:type="spellEnd"/>
      <w:r w:rsidRPr="00DA13F2">
        <w:rPr>
          <w:rFonts w:ascii="Book Antiqua" w:eastAsia="Book Antiqua" w:hAnsi="Book Antiqua" w:cs="Book Antiqua"/>
          <w:color w:val="000000"/>
        </w:rPr>
        <w:t xml:space="preserve"> EA, </w:t>
      </w:r>
      <w:proofErr w:type="spellStart"/>
      <w:r w:rsidRPr="00DA13F2">
        <w:rPr>
          <w:rFonts w:ascii="Book Antiqua" w:eastAsia="Book Antiqua" w:hAnsi="Book Antiqua" w:cs="Book Antiqua"/>
          <w:color w:val="000000"/>
        </w:rPr>
        <w:t>Lillemoe</w:t>
      </w:r>
      <w:proofErr w:type="spellEnd"/>
      <w:r w:rsidRPr="00DA13F2">
        <w:rPr>
          <w:rFonts w:ascii="Book Antiqua" w:eastAsia="Book Antiqua" w:hAnsi="Book Antiqua" w:cs="Book Antiqua"/>
          <w:color w:val="000000"/>
        </w:rPr>
        <w:t xml:space="preserve"> KD. A margin-negative R0 resection accomplished with minimal postoperative complications is the surgeon's contribution to long-term survival in pancreatic cancer. </w:t>
      </w:r>
      <w:r w:rsidRPr="00DA13F2">
        <w:rPr>
          <w:rFonts w:ascii="Book Antiqua" w:eastAsia="Book Antiqua" w:hAnsi="Book Antiqua" w:cs="Book Antiqua"/>
          <w:i/>
          <w:iCs/>
          <w:color w:val="000000"/>
        </w:rPr>
        <w:t xml:space="preserve">J </w:t>
      </w:r>
      <w:proofErr w:type="spellStart"/>
      <w:r w:rsidRPr="00DA13F2">
        <w:rPr>
          <w:rFonts w:ascii="Book Antiqua" w:eastAsia="Book Antiqua" w:hAnsi="Book Antiqua" w:cs="Book Antiqua"/>
          <w:i/>
          <w:iCs/>
          <w:color w:val="000000"/>
        </w:rPr>
        <w:t>Gastrointest</w:t>
      </w:r>
      <w:proofErr w:type="spellEnd"/>
      <w:r w:rsidRPr="00DA13F2">
        <w:rPr>
          <w:rFonts w:ascii="Book Antiqua" w:eastAsia="Book Antiqua" w:hAnsi="Book Antiqua" w:cs="Book Antiqua"/>
          <w:i/>
          <w:iCs/>
          <w:color w:val="000000"/>
        </w:rPr>
        <w:t xml:space="preserve"> Surg</w:t>
      </w:r>
      <w:r w:rsidRPr="00DA13F2">
        <w:rPr>
          <w:rFonts w:ascii="Book Antiqua" w:eastAsia="Book Antiqua" w:hAnsi="Book Antiqua" w:cs="Book Antiqua"/>
          <w:color w:val="000000"/>
        </w:rPr>
        <w:t xml:space="preserve"> 2006; </w:t>
      </w:r>
      <w:r w:rsidRPr="00DA13F2">
        <w:rPr>
          <w:rFonts w:ascii="Book Antiqua" w:eastAsia="Book Antiqua" w:hAnsi="Book Antiqua" w:cs="Book Antiqua"/>
          <w:b/>
          <w:bCs/>
          <w:color w:val="000000"/>
        </w:rPr>
        <w:t>10</w:t>
      </w:r>
      <w:r w:rsidRPr="00DA13F2">
        <w:rPr>
          <w:rFonts w:ascii="Book Antiqua" w:eastAsia="Book Antiqua" w:hAnsi="Book Antiqua" w:cs="Book Antiqua"/>
          <w:color w:val="000000"/>
        </w:rPr>
        <w:t>: 1338-45; discussion 1345-6 [PMID: 17175452 DOI: 10.1016/j.gassur.2006.09.008]</w:t>
      </w:r>
    </w:p>
    <w:bookmarkEnd w:id="45"/>
    <w:bookmarkEnd w:id="46"/>
    <w:p w14:paraId="37E87077" w14:textId="77777777" w:rsidR="00A77B3E" w:rsidRPr="00DA13F2" w:rsidRDefault="00A77B3E" w:rsidP="00DA13F2">
      <w:pPr>
        <w:adjustRightInd w:val="0"/>
        <w:snapToGrid w:val="0"/>
        <w:spacing w:line="360" w:lineRule="auto"/>
        <w:jc w:val="both"/>
        <w:rPr>
          <w:rFonts w:ascii="Book Antiqua" w:hAnsi="Book Antiqua"/>
        </w:rPr>
        <w:sectPr w:rsidR="00A77B3E" w:rsidRPr="00DA13F2" w:rsidSect="00410FFE">
          <w:type w:val="continuous"/>
          <w:pgSz w:w="12240" w:h="15840"/>
          <w:pgMar w:top="1440" w:right="1800" w:bottom="1440" w:left="1800" w:header="720" w:footer="720" w:gutter="0"/>
          <w:cols w:space="720"/>
          <w:docGrid w:linePitch="360"/>
        </w:sectPr>
      </w:pPr>
    </w:p>
    <w:p w14:paraId="6B2F5A6C" w14:textId="3FF401BB" w:rsidR="00A77B3E" w:rsidRPr="00DA13F2" w:rsidRDefault="0074718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br w:type="page"/>
      </w:r>
      <w:r w:rsidR="004D62F0" w:rsidRPr="00DA13F2">
        <w:rPr>
          <w:rFonts w:ascii="Book Antiqua" w:eastAsia="Book Antiqua" w:hAnsi="Book Antiqua" w:cs="Book Antiqua"/>
          <w:b/>
          <w:color w:val="000000"/>
        </w:rPr>
        <w:lastRenderedPageBreak/>
        <w:t>Footnotes</w:t>
      </w:r>
    </w:p>
    <w:p w14:paraId="12ACCF3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Conflict-of-interest statement: </w:t>
      </w:r>
      <w:bookmarkStart w:id="47" w:name="OLE_LINK40"/>
      <w:bookmarkStart w:id="48" w:name="OLE_LINK41"/>
      <w:r w:rsidRPr="00DA13F2">
        <w:rPr>
          <w:rFonts w:ascii="Book Antiqua" w:eastAsia="Book Antiqua" w:hAnsi="Book Antiqua" w:cs="Book Antiqua"/>
          <w:color w:val="000000"/>
        </w:rPr>
        <w:t>All the authors have no conflicts of Interest to declare. </w:t>
      </w:r>
    </w:p>
    <w:bookmarkEnd w:id="47"/>
    <w:bookmarkEnd w:id="48"/>
    <w:p w14:paraId="0A96D6CA" w14:textId="77777777" w:rsidR="00A77B3E" w:rsidRPr="00DA13F2" w:rsidRDefault="00A77B3E" w:rsidP="00DA13F2">
      <w:pPr>
        <w:adjustRightInd w:val="0"/>
        <w:snapToGrid w:val="0"/>
        <w:spacing w:line="360" w:lineRule="auto"/>
        <w:jc w:val="both"/>
        <w:rPr>
          <w:rFonts w:ascii="Book Antiqua" w:hAnsi="Book Antiqua"/>
        </w:rPr>
      </w:pPr>
    </w:p>
    <w:p w14:paraId="57BABA6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PRISMA 2009 Checklist statement: </w:t>
      </w:r>
      <w:bookmarkStart w:id="49" w:name="OLE_LINK42"/>
      <w:bookmarkStart w:id="50" w:name="OLE_LINK43"/>
      <w:r w:rsidRPr="00DA13F2">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bookmarkEnd w:id="49"/>
    <w:bookmarkEnd w:id="50"/>
    <w:p w14:paraId="318D0184" w14:textId="77777777" w:rsidR="00A77B3E" w:rsidRPr="00DA13F2" w:rsidRDefault="00A77B3E" w:rsidP="00DA13F2">
      <w:pPr>
        <w:adjustRightInd w:val="0"/>
        <w:snapToGrid w:val="0"/>
        <w:spacing w:line="360" w:lineRule="auto"/>
        <w:jc w:val="both"/>
        <w:rPr>
          <w:rFonts w:ascii="Book Antiqua" w:hAnsi="Book Antiqua"/>
        </w:rPr>
      </w:pPr>
    </w:p>
    <w:p w14:paraId="097FFC79"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bCs/>
          <w:color w:val="000000"/>
        </w:rPr>
        <w:t xml:space="preserve">Open-Access: </w:t>
      </w:r>
      <w:bookmarkStart w:id="51" w:name="OLE_LINK7"/>
      <w:bookmarkStart w:id="52" w:name="OLE_LINK8"/>
      <w:bookmarkStart w:id="53" w:name="OLE_LINK12"/>
      <w:r w:rsidRPr="00DA13F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13F2">
        <w:rPr>
          <w:rFonts w:ascii="Book Antiqua" w:eastAsia="Book Antiqua" w:hAnsi="Book Antiqua" w:cs="Book Antiqua"/>
          <w:color w:val="000000"/>
        </w:rPr>
        <w:t>NonCommercial</w:t>
      </w:r>
      <w:proofErr w:type="spellEnd"/>
      <w:r w:rsidRPr="00DA13F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1"/>
    <w:bookmarkEnd w:id="52"/>
    <w:bookmarkEnd w:id="53"/>
    <w:p w14:paraId="0E05676E" w14:textId="77777777" w:rsidR="00A77B3E" w:rsidRPr="00DA13F2" w:rsidRDefault="00A77B3E" w:rsidP="00DA13F2">
      <w:pPr>
        <w:adjustRightInd w:val="0"/>
        <w:snapToGrid w:val="0"/>
        <w:spacing w:line="360" w:lineRule="auto"/>
        <w:jc w:val="both"/>
        <w:rPr>
          <w:rFonts w:ascii="Book Antiqua" w:hAnsi="Book Antiqua"/>
        </w:rPr>
      </w:pPr>
    </w:p>
    <w:p w14:paraId="005DA6A7" w14:textId="284D3168"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Manuscript source: </w:t>
      </w:r>
      <w:r w:rsidRPr="00DA13F2">
        <w:rPr>
          <w:rFonts w:ascii="Book Antiqua" w:eastAsia="Book Antiqua" w:hAnsi="Book Antiqua" w:cs="Book Antiqua"/>
          <w:color w:val="000000"/>
        </w:rPr>
        <w:t xml:space="preserve">Invited </w:t>
      </w:r>
      <w:r w:rsidR="004C6A96" w:rsidRPr="00DA13F2">
        <w:rPr>
          <w:rFonts w:ascii="Book Antiqua" w:eastAsia="Book Antiqua" w:hAnsi="Book Antiqua" w:cs="Book Antiqua"/>
          <w:color w:val="000000"/>
        </w:rPr>
        <w:t>manuscript</w:t>
      </w:r>
    </w:p>
    <w:p w14:paraId="23CF1748" w14:textId="77777777" w:rsidR="00A77B3E" w:rsidRPr="00DA13F2" w:rsidRDefault="00A77B3E" w:rsidP="00DA13F2">
      <w:pPr>
        <w:adjustRightInd w:val="0"/>
        <w:snapToGrid w:val="0"/>
        <w:spacing w:line="360" w:lineRule="auto"/>
        <w:jc w:val="both"/>
        <w:rPr>
          <w:rFonts w:ascii="Book Antiqua" w:hAnsi="Book Antiqua"/>
        </w:rPr>
      </w:pPr>
    </w:p>
    <w:p w14:paraId="5ABCEAF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Peer-review started: </w:t>
      </w:r>
      <w:r w:rsidRPr="00DA13F2">
        <w:rPr>
          <w:rFonts w:ascii="Book Antiqua" w:eastAsia="Book Antiqua" w:hAnsi="Book Antiqua" w:cs="Book Antiqua"/>
          <w:color w:val="000000"/>
        </w:rPr>
        <w:t>December 7, 2020</w:t>
      </w:r>
    </w:p>
    <w:p w14:paraId="1C8FDF3A"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First decision: </w:t>
      </w:r>
      <w:r w:rsidRPr="00DA13F2">
        <w:rPr>
          <w:rFonts w:ascii="Book Antiqua" w:eastAsia="Book Antiqua" w:hAnsi="Book Antiqua" w:cs="Book Antiqua"/>
          <w:color w:val="000000"/>
        </w:rPr>
        <w:t>December 31, 2020</w:t>
      </w:r>
    </w:p>
    <w:p w14:paraId="56737C73"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Article in press: </w:t>
      </w:r>
    </w:p>
    <w:p w14:paraId="277A3373" w14:textId="77777777" w:rsidR="00A77B3E" w:rsidRPr="00DA13F2" w:rsidRDefault="00A77B3E" w:rsidP="00DA13F2">
      <w:pPr>
        <w:adjustRightInd w:val="0"/>
        <w:snapToGrid w:val="0"/>
        <w:spacing w:line="360" w:lineRule="auto"/>
        <w:jc w:val="both"/>
        <w:rPr>
          <w:rFonts w:ascii="Book Antiqua" w:hAnsi="Book Antiqua"/>
        </w:rPr>
      </w:pPr>
    </w:p>
    <w:p w14:paraId="16149D4B"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Specialty type: </w:t>
      </w:r>
      <w:r w:rsidRPr="00DA13F2">
        <w:rPr>
          <w:rFonts w:ascii="Book Antiqua" w:eastAsia="Book Antiqua" w:hAnsi="Book Antiqua" w:cs="Book Antiqua"/>
          <w:color w:val="000000"/>
        </w:rPr>
        <w:t>Surgery</w:t>
      </w:r>
    </w:p>
    <w:p w14:paraId="2FE309E8"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 xml:space="preserve">Country/Territory of origin: </w:t>
      </w:r>
      <w:r w:rsidRPr="00DA13F2">
        <w:rPr>
          <w:rFonts w:ascii="Book Antiqua" w:eastAsia="Book Antiqua" w:hAnsi="Book Antiqua" w:cs="Book Antiqua"/>
          <w:color w:val="000000"/>
        </w:rPr>
        <w:t>Australia</w:t>
      </w:r>
    </w:p>
    <w:p w14:paraId="33FFE3F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b/>
          <w:color w:val="000000"/>
        </w:rPr>
        <w:t>Peer-review report’s scientific quality classification</w:t>
      </w:r>
    </w:p>
    <w:p w14:paraId="7AD88C8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A (Excellent): 0</w:t>
      </w:r>
    </w:p>
    <w:p w14:paraId="60935002"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B (Very good): 0</w:t>
      </w:r>
    </w:p>
    <w:p w14:paraId="0E715570" w14:textId="76A7A36D"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C (Good): C</w:t>
      </w:r>
      <w:r w:rsidR="005E5B77">
        <w:rPr>
          <w:rFonts w:ascii="Book Antiqua" w:eastAsia="Book Antiqua" w:hAnsi="Book Antiqua" w:cs="Book Antiqua"/>
          <w:color w:val="000000"/>
        </w:rPr>
        <w:t>, C</w:t>
      </w:r>
    </w:p>
    <w:p w14:paraId="2CE77511"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t>Grade D (Fair): 0</w:t>
      </w:r>
    </w:p>
    <w:p w14:paraId="4682DCAD" w14:textId="77777777" w:rsidR="00A77B3E" w:rsidRPr="00DA13F2" w:rsidRDefault="004D62F0" w:rsidP="00DA13F2">
      <w:pPr>
        <w:adjustRightInd w:val="0"/>
        <w:snapToGrid w:val="0"/>
        <w:spacing w:line="360" w:lineRule="auto"/>
        <w:jc w:val="both"/>
        <w:rPr>
          <w:rFonts w:ascii="Book Antiqua" w:hAnsi="Book Antiqua"/>
        </w:rPr>
      </w:pPr>
      <w:r w:rsidRPr="00DA13F2">
        <w:rPr>
          <w:rFonts w:ascii="Book Antiqua" w:eastAsia="Book Antiqua" w:hAnsi="Book Antiqua" w:cs="Book Antiqua"/>
          <w:color w:val="000000"/>
        </w:rPr>
        <w:lastRenderedPageBreak/>
        <w:t>Grade E (Poor): 0</w:t>
      </w:r>
    </w:p>
    <w:p w14:paraId="2558A7F9" w14:textId="77777777" w:rsidR="00A77B3E" w:rsidRPr="00DA13F2" w:rsidRDefault="00A77B3E" w:rsidP="00DA13F2">
      <w:pPr>
        <w:adjustRightInd w:val="0"/>
        <w:snapToGrid w:val="0"/>
        <w:spacing w:line="360" w:lineRule="auto"/>
        <w:jc w:val="both"/>
        <w:rPr>
          <w:rFonts w:ascii="Book Antiqua" w:hAnsi="Book Antiqua"/>
        </w:rPr>
      </w:pPr>
    </w:p>
    <w:p w14:paraId="5530CE1A" w14:textId="5E476DCE" w:rsidR="00A77B3E" w:rsidRPr="00DA13F2" w:rsidRDefault="004D62F0" w:rsidP="00DA13F2">
      <w:pPr>
        <w:adjustRightInd w:val="0"/>
        <w:snapToGrid w:val="0"/>
        <w:spacing w:line="360" w:lineRule="auto"/>
        <w:jc w:val="both"/>
        <w:rPr>
          <w:rFonts w:ascii="Book Antiqua" w:eastAsia="Book Antiqua" w:hAnsi="Book Antiqua" w:cs="Book Antiqua"/>
          <w:b/>
          <w:color w:val="000000"/>
        </w:rPr>
      </w:pPr>
      <w:r w:rsidRPr="00DA13F2">
        <w:rPr>
          <w:rFonts w:ascii="Book Antiqua" w:eastAsia="Book Antiqua" w:hAnsi="Book Antiqua" w:cs="Book Antiqua"/>
          <w:b/>
          <w:color w:val="000000"/>
        </w:rPr>
        <w:t xml:space="preserve">P-Reviewer: </w:t>
      </w:r>
      <w:proofErr w:type="spellStart"/>
      <w:r w:rsidRPr="00DA13F2">
        <w:rPr>
          <w:rFonts w:ascii="Book Antiqua" w:eastAsia="Book Antiqua" w:hAnsi="Book Antiqua" w:cs="Book Antiqua"/>
          <w:color w:val="000000"/>
        </w:rPr>
        <w:t>Huo</w:t>
      </w:r>
      <w:proofErr w:type="spellEnd"/>
      <w:r w:rsidRPr="00DA13F2">
        <w:rPr>
          <w:rFonts w:ascii="Book Antiqua" w:eastAsia="Book Antiqua" w:hAnsi="Book Antiqua" w:cs="Book Antiqua"/>
          <w:color w:val="000000"/>
        </w:rPr>
        <w:t xml:space="preserve"> Q</w:t>
      </w:r>
      <w:r w:rsidRPr="00DA13F2">
        <w:rPr>
          <w:rFonts w:ascii="Book Antiqua" w:eastAsia="Book Antiqua" w:hAnsi="Book Antiqua" w:cs="Book Antiqua"/>
          <w:b/>
          <w:color w:val="000000"/>
        </w:rPr>
        <w:t xml:space="preserve"> S-Editor: </w:t>
      </w:r>
      <w:r w:rsidRPr="00DA13F2">
        <w:rPr>
          <w:rFonts w:ascii="Book Antiqua" w:eastAsia="Book Antiqua" w:hAnsi="Book Antiqua" w:cs="Book Antiqua"/>
          <w:color w:val="000000"/>
        </w:rPr>
        <w:t>Zhang L</w:t>
      </w:r>
      <w:r w:rsidRPr="00DA13F2">
        <w:rPr>
          <w:rFonts w:ascii="Book Antiqua" w:eastAsia="Book Antiqua" w:hAnsi="Book Antiqua" w:cs="Book Antiqua"/>
          <w:b/>
          <w:color w:val="000000"/>
        </w:rPr>
        <w:t xml:space="preserve"> L-Editor:</w:t>
      </w:r>
      <w:r w:rsidR="005C3855" w:rsidRPr="00DA13F2">
        <w:rPr>
          <w:rFonts w:ascii="Book Antiqua" w:eastAsia="Book Antiqua" w:hAnsi="Book Antiqua" w:cs="Book Antiqua"/>
          <w:b/>
          <w:color w:val="000000"/>
        </w:rPr>
        <w:t xml:space="preserve"> </w:t>
      </w:r>
      <w:r w:rsidRPr="00DA13F2">
        <w:rPr>
          <w:rFonts w:ascii="Book Antiqua" w:eastAsia="Book Antiqua" w:hAnsi="Book Antiqua" w:cs="Book Antiqua"/>
          <w:b/>
          <w:color w:val="000000"/>
        </w:rPr>
        <w:t xml:space="preserve">P-Editor: </w:t>
      </w:r>
    </w:p>
    <w:p w14:paraId="4B9243E0" w14:textId="77777777" w:rsidR="00547513" w:rsidRPr="00DA13F2" w:rsidRDefault="00547513" w:rsidP="00DA13F2">
      <w:pPr>
        <w:adjustRightInd w:val="0"/>
        <w:snapToGrid w:val="0"/>
        <w:spacing w:line="360" w:lineRule="auto"/>
        <w:jc w:val="both"/>
        <w:rPr>
          <w:rFonts w:ascii="Book Antiqua" w:hAnsi="Book Antiqua"/>
        </w:rPr>
        <w:sectPr w:rsidR="00547513" w:rsidRPr="00DA13F2" w:rsidSect="00410FFE">
          <w:type w:val="continuous"/>
          <w:pgSz w:w="12240" w:h="15840"/>
          <w:pgMar w:top="1440" w:right="1800" w:bottom="1440" w:left="1800" w:header="720" w:footer="720" w:gutter="0"/>
          <w:cols w:space="720"/>
          <w:docGrid w:linePitch="360"/>
        </w:sectPr>
      </w:pPr>
    </w:p>
    <w:p w14:paraId="4C5FA2B2" w14:textId="0EF34C96" w:rsidR="00A77B3E" w:rsidRPr="00DA13F2" w:rsidRDefault="00747180" w:rsidP="00DA13F2">
      <w:pPr>
        <w:adjustRightInd w:val="0"/>
        <w:snapToGrid w:val="0"/>
        <w:spacing w:line="360" w:lineRule="auto"/>
        <w:jc w:val="both"/>
        <w:rPr>
          <w:rFonts w:ascii="Book Antiqua" w:eastAsia="Book Antiqua" w:hAnsi="Book Antiqua" w:cs="Book Antiqua"/>
          <w:b/>
          <w:color w:val="000000"/>
        </w:rPr>
      </w:pPr>
      <w:r w:rsidRPr="00DA13F2">
        <w:rPr>
          <w:rFonts w:ascii="Book Antiqua" w:eastAsia="Book Antiqua" w:hAnsi="Book Antiqua" w:cs="Book Antiqua"/>
          <w:b/>
          <w:color w:val="000000"/>
        </w:rPr>
        <w:br w:type="page"/>
      </w:r>
      <w:r w:rsidR="004D62F0" w:rsidRPr="00DA13F2">
        <w:rPr>
          <w:rFonts w:ascii="Book Antiqua" w:eastAsia="Book Antiqua" w:hAnsi="Book Antiqua" w:cs="Book Antiqua"/>
          <w:b/>
          <w:color w:val="000000"/>
        </w:rPr>
        <w:lastRenderedPageBreak/>
        <w:t>Figure Legends</w:t>
      </w:r>
    </w:p>
    <w:p w14:paraId="67EF62E2" w14:textId="337A1E9E" w:rsidR="004C6A96" w:rsidRPr="00DA13F2" w:rsidRDefault="004C6A96" w:rsidP="00DA13F2">
      <w:pPr>
        <w:adjustRightInd w:val="0"/>
        <w:snapToGrid w:val="0"/>
        <w:spacing w:line="360" w:lineRule="auto"/>
        <w:jc w:val="both"/>
        <w:rPr>
          <w:rFonts w:ascii="Book Antiqua" w:hAnsi="Book Antiqua"/>
        </w:rPr>
      </w:pPr>
      <w:r w:rsidRPr="00DA13F2">
        <w:rPr>
          <w:rFonts w:ascii="Book Antiqua" w:hAnsi="Book Antiqua"/>
          <w:noProof/>
          <w:lang w:eastAsia="zh-CN"/>
        </w:rPr>
        <w:drawing>
          <wp:inline distT="0" distB="0" distL="0" distR="0" wp14:anchorId="6EF5508A" wp14:editId="66CE97A6">
            <wp:extent cx="4878241" cy="50424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4888141" cy="5052646"/>
                    </a:xfrm>
                    <a:prstGeom prst="rect">
                      <a:avLst/>
                    </a:prstGeom>
                  </pic:spPr>
                </pic:pic>
              </a:graphicData>
            </a:graphic>
          </wp:inline>
        </w:drawing>
      </w:r>
    </w:p>
    <w:p w14:paraId="0BF16C0C" w14:textId="684FA029" w:rsidR="00A77B3E" w:rsidRPr="00DA13F2" w:rsidRDefault="004D62F0" w:rsidP="00DA13F2">
      <w:pPr>
        <w:adjustRightInd w:val="0"/>
        <w:snapToGrid w:val="0"/>
        <w:spacing w:line="360" w:lineRule="auto"/>
        <w:jc w:val="both"/>
        <w:rPr>
          <w:rFonts w:ascii="Book Antiqua" w:hAnsi="Book Antiqua"/>
        </w:rPr>
      </w:pPr>
      <w:bookmarkStart w:id="54" w:name="OLE_LINK44"/>
      <w:bookmarkStart w:id="55" w:name="OLE_LINK45"/>
      <w:r w:rsidRPr="00DA13F2">
        <w:rPr>
          <w:rFonts w:ascii="Book Antiqua" w:eastAsia="Book Antiqua" w:hAnsi="Book Antiqua" w:cs="Book Antiqua"/>
          <w:b/>
          <w:bCs/>
          <w:color w:val="000000"/>
        </w:rPr>
        <w:t>Figure 1</w:t>
      </w:r>
      <w:r w:rsidR="004C6A96" w:rsidRPr="00DA13F2">
        <w:rPr>
          <w:rFonts w:ascii="Book Antiqua" w:eastAsia="Book Antiqua" w:hAnsi="Book Antiqua" w:cs="Book Antiqua"/>
          <w:b/>
          <w:bCs/>
          <w:color w:val="000000"/>
        </w:rPr>
        <w:t xml:space="preserve"> Preferred reporting items for systematic reviews and meta-analysis guidelines</w:t>
      </w:r>
      <w:r w:rsidRPr="00DA13F2">
        <w:rPr>
          <w:rFonts w:ascii="Book Antiqua" w:eastAsia="Book Antiqua" w:hAnsi="Book Antiqua" w:cs="Book Antiqua"/>
          <w:b/>
          <w:bCs/>
          <w:color w:val="000000"/>
        </w:rPr>
        <w:t xml:space="preserve"> diagram</w:t>
      </w:r>
      <w:r w:rsidR="004501DF" w:rsidRPr="00DA13F2">
        <w:rPr>
          <w:rFonts w:ascii="Book Antiqua" w:eastAsia="Book Antiqua" w:hAnsi="Book Antiqua" w:cs="Book Antiqua"/>
          <w:b/>
          <w:bCs/>
          <w:color w:val="000000"/>
        </w:rPr>
        <w:t>.</w:t>
      </w:r>
    </w:p>
    <w:p w14:paraId="7BF2317E" w14:textId="3F803640" w:rsidR="004C6A96" w:rsidRPr="00DA13F2" w:rsidRDefault="004C6A96" w:rsidP="00DA13F2">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br w:type="page"/>
      </w:r>
      <w:bookmarkEnd w:id="54"/>
      <w:bookmarkEnd w:id="55"/>
      <w:r w:rsidR="00747180" w:rsidRPr="00DA13F2">
        <w:rPr>
          <w:rFonts w:ascii="Book Antiqua" w:eastAsia="Book Antiqua" w:hAnsi="Book Antiqua" w:cs="Book Antiqua"/>
          <w:b/>
          <w:bCs/>
          <w:noProof/>
          <w:color w:val="000000"/>
          <w:lang w:eastAsia="zh-CN"/>
        </w:rPr>
        <w:lastRenderedPageBreak/>
        <w:drawing>
          <wp:inline distT="0" distB="0" distL="0" distR="0" wp14:anchorId="34AE1935" wp14:editId="1A90CA6D">
            <wp:extent cx="5486400" cy="30575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057525"/>
                    </a:xfrm>
                    <a:prstGeom prst="rect">
                      <a:avLst/>
                    </a:prstGeom>
                  </pic:spPr>
                </pic:pic>
              </a:graphicData>
            </a:graphic>
          </wp:inline>
        </w:drawing>
      </w:r>
    </w:p>
    <w:p w14:paraId="46334252" w14:textId="0399F87F" w:rsidR="00A77B3E" w:rsidRPr="00DA13F2" w:rsidRDefault="004D62F0" w:rsidP="00DA13F2">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t>Figure 2</w:t>
      </w:r>
      <w:r w:rsidR="004C6A96" w:rsidRPr="00DA13F2">
        <w:rPr>
          <w:rFonts w:ascii="Book Antiqua" w:eastAsia="Book Antiqua" w:hAnsi="Book Antiqua" w:cs="Book Antiqua"/>
          <w:b/>
          <w:bCs/>
          <w:color w:val="000000"/>
        </w:rPr>
        <w:t xml:space="preserve"> </w:t>
      </w:r>
      <w:r w:rsidR="00547513" w:rsidRPr="00DA13F2">
        <w:rPr>
          <w:rFonts w:ascii="Book Antiqua" w:eastAsia="Book Antiqua" w:hAnsi="Book Antiqua" w:cs="Book Antiqua"/>
          <w:b/>
          <w:color w:val="000000"/>
        </w:rPr>
        <w:t>There was minimal publication bias in the included studies as assessed by funnel plots.</w:t>
      </w:r>
      <w:r w:rsidR="00547513" w:rsidRPr="00DA13F2">
        <w:rPr>
          <w:rFonts w:ascii="Book Antiqua" w:hAnsi="Book Antiqua" w:cs="Book Antiqua"/>
          <w:b/>
          <w:bCs/>
          <w:color w:val="000000"/>
          <w:lang w:eastAsia="zh-CN"/>
        </w:rPr>
        <w:t xml:space="preserve"> </w:t>
      </w:r>
      <w:r w:rsidR="004C6A96" w:rsidRPr="00DA13F2">
        <w:rPr>
          <w:rFonts w:ascii="Book Antiqua" w:eastAsia="Book Antiqua" w:hAnsi="Book Antiqua" w:cs="Book Antiqua"/>
          <w:color w:val="000000"/>
        </w:rPr>
        <w:t>A</w:t>
      </w:r>
      <w:r w:rsidRPr="00DA13F2">
        <w:rPr>
          <w:rFonts w:ascii="Book Antiqua" w:eastAsia="Book Antiqua" w:hAnsi="Book Antiqua" w:cs="Book Antiqua"/>
          <w:color w:val="000000"/>
        </w:rPr>
        <w:t>: Forest plot comparing ≥</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to the clinical pathway on overall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complications. Funnel plot shows moderate heterogeneity</w:t>
      </w:r>
      <w:r w:rsidR="004C6A96" w:rsidRPr="00DA13F2">
        <w:rPr>
          <w:rFonts w:ascii="Book Antiqua" w:eastAsia="Book Antiqua" w:hAnsi="Book Antiqua" w:cs="Book Antiqua"/>
          <w:color w:val="000000"/>
        </w:rPr>
        <w:t>; B</w:t>
      </w:r>
      <w:r w:rsidRPr="00DA13F2">
        <w:rPr>
          <w:rFonts w:ascii="Book Antiqua" w:eastAsia="Book Antiqua" w:hAnsi="Book Antiqua" w:cs="Book Antiqua"/>
          <w:color w:val="000000"/>
        </w:rPr>
        <w:t>: Forest plot comparing 100%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100% compliance to the clinical pathway on overall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complications. Funnel plot shows no heterogeneity</w:t>
      </w:r>
      <w:r w:rsidR="004C6A96" w:rsidRPr="00DA13F2">
        <w:rPr>
          <w:rFonts w:ascii="Book Antiqua" w:hAnsi="Book Antiqua"/>
        </w:rPr>
        <w:t>.</w:t>
      </w:r>
      <w:r w:rsidR="005E5B77">
        <w:rPr>
          <w:rFonts w:ascii="Book Antiqua" w:hAnsi="Book Antiqua"/>
        </w:rPr>
        <w:t xml:space="preserve"> CI: </w:t>
      </w:r>
      <w:bookmarkStart w:id="56" w:name="OLE_LINK311"/>
      <w:bookmarkStart w:id="57" w:name="OLE_LINK312"/>
      <w:bookmarkStart w:id="58" w:name="OLE_LINK1422"/>
      <w:bookmarkStart w:id="59" w:name="OLE_LINK1523"/>
      <w:bookmarkStart w:id="60" w:name="OLE_LINK1425"/>
      <w:bookmarkStart w:id="61" w:name="OLE_LINK1488"/>
      <w:bookmarkStart w:id="62" w:name="OLE_LINK1535"/>
      <w:bookmarkStart w:id="63" w:name="OLE_LINK1417"/>
      <w:bookmarkStart w:id="64" w:name="OLE_LINK2624"/>
      <w:r w:rsidR="005E5B77" w:rsidRPr="00663BB7">
        <w:rPr>
          <w:rFonts w:ascii="Book Antiqua" w:hAnsi="Book Antiqua"/>
        </w:rPr>
        <w:t>Confidence interval</w:t>
      </w:r>
      <w:bookmarkEnd w:id="56"/>
      <w:bookmarkEnd w:id="57"/>
      <w:bookmarkEnd w:id="58"/>
      <w:bookmarkEnd w:id="59"/>
      <w:bookmarkEnd w:id="60"/>
      <w:bookmarkEnd w:id="61"/>
      <w:bookmarkEnd w:id="62"/>
      <w:bookmarkEnd w:id="63"/>
      <w:bookmarkEnd w:id="64"/>
      <w:r w:rsidR="005E5B77">
        <w:rPr>
          <w:rFonts w:ascii="Book Antiqua" w:hAnsi="Book Antiqua"/>
        </w:rPr>
        <w:t>.</w:t>
      </w:r>
    </w:p>
    <w:p w14:paraId="63D83011" w14:textId="7B474706" w:rsidR="004C6A96" w:rsidRPr="00DA13F2" w:rsidRDefault="004C6A96" w:rsidP="00DA13F2">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br w:type="page"/>
      </w:r>
      <w:r w:rsidR="004D62F0" w:rsidRPr="00DA13F2">
        <w:rPr>
          <w:rFonts w:ascii="Book Antiqua" w:eastAsia="Book Antiqua" w:hAnsi="Book Antiqua" w:cs="Book Antiqua"/>
          <w:b/>
          <w:bCs/>
          <w:noProof/>
          <w:color w:val="000000"/>
          <w:lang w:eastAsia="zh-CN"/>
        </w:rPr>
        <w:lastRenderedPageBreak/>
        <w:drawing>
          <wp:inline distT="0" distB="0" distL="0" distR="0" wp14:anchorId="787CA491" wp14:editId="33008FB7">
            <wp:extent cx="5943600" cy="35801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80130"/>
                    </a:xfrm>
                    <a:prstGeom prst="rect">
                      <a:avLst/>
                    </a:prstGeom>
                  </pic:spPr>
                </pic:pic>
              </a:graphicData>
            </a:graphic>
          </wp:inline>
        </w:drawing>
      </w:r>
    </w:p>
    <w:p w14:paraId="274F9F96" w14:textId="78CD11E6" w:rsidR="005E5B77" w:rsidRPr="00DA13F2" w:rsidRDefault="004D62F0" w:rsidP="005E5B77">
      <w:pPr>
        <w:adjustRightInd w:val="0"/>
        <w:snapToGrid w:val="0"/>
        <w:spacing w:line="360" w:lineRule="auto"/>
        <w:jc w:val="both"/>
        <w:rPr>
          <w:rFonts w:ascii="Book Antiqua" w:eastAsia="Book Antiqua" w:hAnsi="Book Antiqua" w:cs="Book Antiqua"/>
          <w:b/>
          <w:bCs/>
          <w:color w:val="000000"/>
        </w:rPr>
      </w:pPr>
      <w:r w:rsidRPr="00DA13F2">
        <w:rPr>
          <w:rFonts w:ascii="Book Antiqua" w:eastAsia="Book Antiqua" w:hAnsi="Book Antiqua" w:cs="Book Antiqua"/>
          <w:b/>
          <w:bCs/>
          <w:color w:val="000000"/>
        </w:rPr>
        <w:t>Figure 3</w:t>
      </w:r>
      <w:r w:rsidR="004C6A96" w:rsidRPr="00DA13F2">
        <w:rPr>
          <w:rFonts w:ascii="Book Antiqua" w:eastAsia="Book Antiqua" w:hAnsi="Book Antiqua" w:cs="Book Antiqua"/>
          <w:b/>
          <w:bCs/>
          <w:color w:val="000000"/>
        </w:rPr>
        <w:t xml:space="preserve"> </w:t>
      </w:r>
      <w:r w:rsidR="00547513" w:rsidRPr="00DA13F2">
        <w:rPr>
          <w:rFonts w:ascii="Book Antiqua" w:eastAsia="Book Antiqua" w:hAnsi="Book Antiqua" w:cs="Book Antiqua"/>
          <w:b/>
          <w:color w:val="000000"/>
        </w:rPr>
        <w:t>There was minimal publication bias in the included studies as assessed by funnel plots.</w:t>
      </w:r>
      <w:r w:rsidR="00547513" w:rsidRPr="00DA13F2">
        <w:rPr>
          <w:rFonts w:ascii="Book Antiqua" w:hAnsi="Book Antiqua" w:cs="Book Antiqua"/>
          <w:b/>
          <w:bCs/>
          <w:color w:val="000000"/>
          <w:lang w:eastAsia="zh-CN"/>
        </w:rPr>
        <w:t xml:space="preserve"> </w:t>
      </w:r>
      <w:r w:rsidR="004C6A96" w:rsidRPr="00DA13F2">
        <w:rPr>
          <w:rFonts w:ascii="Book Antiqua" w:eastAsia="Book Antiqua" w:hAnsi="Book Antiqua" w:cs="Book Antiqua"/>
          <w:color w:val="000000"/>
        </w:rPr>
        <w:t>A</w:t>
      </w:r>
      <w:r w:rsidRPr="00DA13F2">
        <w:rPr>
          <w:rFonts w:ascii="Book Antiqua" w:eastAsia="Book Antiqua" w:hAnsi="Book Antiqua" w:cs="Book Antiqua"/>
          <w:color w:val="000000"/>
        </w:rPr>
        <w:t>: Forest plot comparing ≥</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50% compliance to the clinical pathway on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length of hospital stay. Funnel plot shows moderate heterogeneity</w:t>
      </w:r>
      <w:r w:rsidR="004C6A96" w:rsidRPr="00DA13F2">
        <w:rPr>
          <w:rFonts w:ascii="Book Antiqua" w:eastAsia="Book Antiqua" w:hAnsi="Book Antiqua" w:cs="Book Antiqua"/>
          <w:color w:val="000000"/>
        </w:rPr>
        <w:t>; B</w:t>
      </w:r>
      <w:r w:rsidRPr="00DA13F2">
        <w:rPr>
          <w:rFonts w:ascii="Book Antiqua" w:eastAsia="Book Antiqua" w:hAnsi="Book Antiqua" w:cs="Book Antiqua"/>
          <w:color w:val="000000"/>
        </w:rPr>
        <w:t>: Forest plot comparing 100% and &lt;</w:t>
      </w:r>
      <w:r w:rsidR="004C6A96" w:rsidRPr="00DA13F2">
        <w:rPr>
          <w:rFonts w:ascii="Book Antiqua" w:eastAsia="Book Antiqua" w:hAnsi="Book Antiqua" w:cs="Book Antiqua"/>
          <w:color w:val="000000"/>
        </w:rPr>
        <w:t xml:space="preserve"> </w:t>
      </w:r>
      <w:r w:rsidRPr="00DA13F2">
        <w:rPr>
          <w:rFonts w:ascii="Book Antiqua" w:eastAsia="Book Antiqua" w:hAnsi="Book Antiqua" w:cs="Book Antiqua"/>
          <w:color w:val="000000"/>
        </w:rPr>
        <w:t>100% compliance to the clinical pathway on post-</w:t>
      </w:r>
      <w:r w:rsidR="004C6A96" w:rsidRPr="00DA13F2">
        <w:rPr>
          <w:rFonts w:ascii="Book Antiqua" w:eastAsia="Book Antiqua" w:hAnsi="Book Antiqua" w:cs="Book Antiqua"/>
          <w:color w:val="000000"/>
          <w:shd w:val="clear" w:color="auto" w:fill="FFFFFF"/>
        </w:rPr>
        <w:t>pancreatoduodenectomy</w:t>
      </w:r>
      <w:r w:rsidRPr="00DA13F2">
        <w:rPr>
          <w:rFonts w:ascii="Book Antiqua" w:eastAsia="Book Antiqua" w:hAnsi="Book Antiqua" w:cs="Book Antiqua"/>
          <w:color w:val="000000"/>
        </w:rPr>
        <w:t xml:space="preserve"> length of hospital stay. Funnel plot shows significant heterogeneity.</w:t>
      </w:r>
      <w:r w:rsidR="005E5B77">
        <w:rPr>
          <w:rFonts w:ascii="Book Antiqua" w:hAnsi="Book Antiqua" w:cs="Book Antiqua" w:hint="eastAsia"/>
          <w:b/>
          <w:bCs/>
          <w:color w:val="000000"/>
          <w:lang w:eastAsia="zh-CN"/>
        </w:rPr>
        <w:t xml:space="preserve"> </w:t>
      </w:r>
      <w:r w:rsidR="005E5B77">
        <w:rPr>
          <w:rFonts w:ascii="Book Antiqua" w:hAnsi="Book Antiqua"/>
        </w:rPr>
        <w:t xml:space="preserve">CI: </w:t>
      </w:r>
      <w:r w:rsidR="005E5B77" w:rsidRPr="00663BB7">
        <w:rPr>
          <w:rFonts w:ascii="Book Antiqua" w:hAnsi="Book Antiqua"/>
        </w:rPr>
        <w:t>Confidence interval</w:t>
      </w:r>
      <w:r w:rsidR="005E5B77">
        <w:rPr>
          <w:rFonts w:ascii="Book Antiqua" w:hAnsi="Book Antiqua"/>
        </w:rPr>
        <w:t>.</w:t>
      </w:r>
    </w:p>
    <w:p w14:paraId="597FC4BD" w14:textId="4A9FE6ED" w:rsidR="0051410F" w:rsidRPr="00DA13F2" w:rsidRDefault="0051410F" w:rsidP="00DA13F2">
      <w:pPr>
        <w:adjustRightInd w:val="0"/>
        <w:snapToGrid w:val="0"/>
        <w:spacing w:line="360" w:lineRule="auto"/>
        <w:jc w:val="both"/>
        <w:rPr>
          <w:rFonts w:ascii="Book Antiqua" w:eastAsia="Book Antiqua" w:hAnsi="Book Antiqua" w:cs="Book Antiqua"/>
          <w:color w:val="000000"/>
        </w:rPr>
        <w:sectPr w:rsidR="0051410F" w:rsidRPr="00DA13F2" w:rsidSect="00410FFE">
          <w:type w:val="continuous"/>
          <w:pgSz w:w="12240" w:h="15840"/>
          <w:pgMar w:top="1440" w:right="1800" w:bottom="1440" w:left="1800" w:header="720" w:footer="720" w:gutter="0"/>
          <w:cols w:space="720"/>
          <w:docGrid w:linePitch="360"/>
        </w:sectPr>
      </w:pPr>
    </w:p>
    <w:p w14:paraId="0EF9C816" w14:textId="1C9A7E04" w:rsidR="0036084D" w:rsidRPr="00DA13F2" w:rsidRDefault="00F07E1C" w:rsidP="00DA13F2">
      <w:pPr>
        <w:pStyle w:val="ac"/>
        <w:adjustRightInd w:val="0"/>
        <w:snapToGrid w:val="0"/>
        <w:spacing w:line="360" w:lineRule="auto"/>
        <w:ind w:firstLineChars="0" w:firstLine="0"/>
        <w:jc w:val="both"/>
        <w:rPr>
          <w:rFonts w:ascii="Book Antiqua" w:eastAsia="宋体" w:hAnsi="Book Antiqua" w:cs="宋体"/>
          <w:b/>
          <w:bCs/>
          <w:color w:val="000000"/>
          <w:lang w:eastAsia="zh-CN"/>
        </w:rPr>
      </w:pPr>
      <w:r w:rsidRPr="00DA13F2">
        <w:rPr>
          <w:rFonts w:ascii="Book Antiqua" w:eastAsia="Book Antiqua" w:hAnsi="Book Antiqua" w:cs="Book Antiqua"/>
          <w:b/>
          <w:bCs/>
          <w:color w:val="000000"/>
        </w:rPr>
        <w:lastRenderedPageBreak/>
        <w:t xml:space="preserve">Table 1 Summary of studies included in the </w:t>
      </w:r>
      <w:r w:rsidR="005E00C5" w:rsidRPr="00DA13F2">
        <w:rPr>
          <w:rFonts w:ascii="Book Antiqua" w:eastAsia="Book Antiqua" w:hAnsi="Book Antiqua" w:cs="Book Antiqua"/>
          <w:b/>
          <w:bCs/>
          <w:color w:val="000000"/>
        </w:rPr>
        <w:t xml:space="preserve">analysis </w:t>
      </w:r>
      <w:r w:rsidRPr="00DA13F2">
        <w:rPr>
          <w:rFonts w:ascii="Book Antiqua" w:eastAsia="Book Antiqua" w:hAnsi="Book Antiqua" w:cs="Book Antiqua"/>
          <w:b/>
          <w:bCs/>
          <w:color w:val="000000"/>
        </w:rPr>
        <w:t>along with details of the clinical pathway, compliance and comparison between groups</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704"/>
        <w:gridCol w:w="576"/>
        <w:gridCol w:w="1344"/>
        <w:gridCol w:w="1739"/>
        <w:gridCol w:w="1876"/>
        <w:gridCol w:w="2326"/>
        <w:gridCol w:w="763"/>
      </w:tblGrid>
      <w:tr w:rsidR="00F07E1C" w:rsidRPr="00DA13F2" w14:paraId="1CD8DDA8" w14:textId="77777777" w:rsidTr="005E00C5">
        <w:trPr>
          <w:trHeight w:val="416"/>
        </w:trPr>
        <w:tc>
          <w:tcPr>
            <w:tcW w:w="783" w:type="pct"/>
            <w:tcBorders>
              <w:top w:val="single" w:sz="4" w:space="0" w:color="auto"/>
              <w:bottom w:val="single" w:sz="4" w:space="0" w:color="auto"/>
            </w:tcBorders>
          </w:tcPr>
          <w:p w14:paraId="3FD1C275" w14:textId="10EDA0E0" w:rsidR="00F07E1C" w:rsidRPr="00DA13F2" w:rsidRDefault="00F07E1C" w:rsidP="00DA13F2">
            <w:pPr>
              <w:adjustRightInd w:val="0"/>
              <w:snapToGrid w:val="0"/>
              <w:spacing w:line="360" w:lineRule="auto"/>
              <w:jc w:val="both"/>
              <w:rPr>
                <w:rFonts w:ascii="Book Antiqua" w:hAnsi="Book Antiqua"/>
                <w:b/>
              </w:rPr>
            </w:pPr>
            <w:bookmarkStart w:id="65" w:name="_Hlk65610276"/>
            <w:r w:rsidRPr="00DA13F2">
              <w:rPr>
                <w:rFonts w:ascii="Book Antiqua" w:hAnsi="Book Antiqua"/>
                <w:b/>
              </w:rPr>
              <w:t>Ref</w:t>
            </w:r>
            <w:r w:rsidR="005E00C5" w:rsidRPr="00DA13F2">
              <w:rPr>
                <w:rFonts w:ascii="Book Antiqua" w:hAnsi="Book Antiqua"/>
                <w:b/>
              </w:rPr>
              <w:t>.</w:t>
            </w:r>
          </w:p>
        </w:tc>
        <w:tc>
          <w:tcPr>
            <w:tcW w:w="698" w:type="pct"/>
            <w:tcBorders>
              <w:top w:val="single" w:sz="4" w:space="0" w:color="auto"/>
              <w:bottom w:val="single" w:sz="4" w:space="0" w:color="auto"/>
            </w:tcBorders>
            <w:shd w:val="clear" w:color="auto" w:fill="auto"/>
          </w:tcPr>
          <w:p w14:paraId="6D1DDD3D"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Study design</w:t>
            </w:r>
          </w:p>
        </w:tc>
        <w:tc>
          <w:tcPr>
            <w:tcW w:w="231" w:type="pct"/>
            <w:tcBorders>
              <w:top w:val="single" w:sz="4" w:space="0" w:color="auto"/>
              <w:bottom w:val="single" w:sz="4" w:space="0" w:color="auto"/>
            </w:tcBorders>
            <w:shd w:val="clear" w:color="auto" w:fill="auto"/>
          </w:tcPr>
          <w:p w14:paraId="2DBD6C17" w14:textId="04E6243B" w:rsidR="00F07E1C" w:rsidRPr="00DA13F2" w:rsidRDefault="005E00C5" w:rsidP="00DA13F2">
            <w:pPr>
              <w:adjustRightInd w:val="0"/>
              <w:snapToGrid w:val="0"/>
              <w:spacing w:line="360" w:lineRule="auto"/>
              <w:jc w:val="both"/>
              <w:rPr>
                <w:rFonts w:ascii="Book Antiqua" w:hAnsi="Book Antiqua"/>
                <w:b/>
                <w:i/>
              </w:rPr>
            </w:pPr>
            <w:r w:rsidRPr="00DA13F2">
              <w:rPr>
                <w:rFonts w:ascii="Book Antiqua" w:hAnsi="Book Antiqua"/>
                <w:b/>
                <w:i/>
              </w:rPr>
              <w:t>n</w:t>
            </w:r>
          </w:p>
        </w:tc>
        <w:tc>
          <w:tcPr>
            <w:tcW w:w="551" w:type="pct"/>
            <w:tcBorders>
              <w:top w:val="single" w:sz="4" w:space="0" w:color="auto"/>
              <w:bottom w:val="single" w:sz="4" w:space="0" w:color="auto"/>
            </w:tcBorders>
            <w:shd w:val="clear" w:color="auto" w:fill="auto"/>
          </w:tcPr>
          <w:p w14:paraId="56E87CCE"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Age (</w:t>
            </w:r>
            <w:proofErr w:type="spellStart"/>
            <w:r w:rsidRPr="00DA13F2">
              <w:rPr>
                <w:rFonts w:ascii="Book Antiqua" w:hAnsi="Book Antiqua"/>
                <w:b/>
              </w:rPr>
              <w:t>yr</w:t>
            </w:r>
            <w:proofErr w:type="spellEnd"/>
            <w:r w:rsidRPr="00DA13F2">
              <w:rPr>
                <w:rFonts w:ascii="Book Antiqua" w:hAnsi="Book Antiqua"/>
                <w:b/>
              </w:rPr>
              <w:t>)</w:t>
            </w:r>
          </w:p>
        </w:tc>
        <w:tc>
          <w:tcPr>
            <w:tcW w:w="712" w:type="pct"/>
            <w:tcBorders>
              <w:top w:val="single" w:sz="4" w:space="0" w:color="auto"/>
              <w:bottom w:val="single" w:sz="4" w:space="0" w:color="auto"/>
            </w:tcBorders>
            <w:shd w:val="clear" w:color="auto" w:fill="auto"/>
          </w:tcPr>
          <w:p w14:paraId="3008CB7F"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Number of clinical pathway factors</w:t>
            </w:r>
          </w:p>
        </w:tc>
        <w:tc>
          <w:tcPr>
            <w:tcW w:w="768" w:type="pct"/>
            <w:tcBorders>
              <w:top w:val="single" w:sz="4" w:space="0" w:color="auto"/>
              <w:bottom w:val="single" w:sz="4" w:space="0" w:color="auto"/>
            </w:tcBorders>
            <w:shd w:val="clear" w:color="auto" w:fill="auto"/>
          </w:tcPr>
          <w:p w14:paraId="5C7386C0"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Overall compliance (%)</w:t>
            </w:r>
          </w:p>
        </w:tc>
        <w:tc>
          <w:tcPr>
            <w:tcW w:w="952" w:type="pct"/>
            <w:tcBorders>
              <w:top w:val="single" w:sz="4" w:space="0" w:color="auto"/>
              <w:bottom w:val="single" w:sz="4" w:space="0" w:color="auto"/>
            </w:tcBorders>
            <w:shd w:val="clear" w:color="auto" w:fill="auto"/>
          </w:tcPr>
          <w:p w14:paraId="02B7BD6F" w14:textId="754AB3E5"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Comparison groups</w:t>
            </w:r>
            <w:r w:rsidR="005E00C5" w:rsidRPr="00DA13F2">
              <w:rPr>
                <w:rFonts w:ascii="Book Antiqua" w:hAnsi="Book Antiqua"/>
                <w:b/>
                <w:lang w:eastAsia="zh-CN"/>
              </w:rPr>
              <w:t xml:space="preserve"> </w:t>
            </w:r>
            <w:r w:rsidRPr="00DA13F2">
              <w:rPr>
                <w:rFonts w:ascii="Book Antiqua" w:hAnsi="Book Antiqua"/>
                <w:b/>
              </w:rPr>
              <w:t>(% of compliance)</w:t>
            </w:r>
          </w:p>
        </w:tc>
        <w:tc>
          <w:tcPr>
            <w:tcW w:w="306" w:type="pct"/>
            <w:tcBorders>
              <w:top w:val="single" w:sz="4" w:space="0" w:color="auto"/>
              <w:bottom w:val="single" w:sz="4" w:space="0" w:color="auto"/>
            </w:tcBorders>
          </w:tcPr>
          <w:p w14:paraId="5DEB0983"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NOS</w:t>
            </w:r>
          </w:p>
        </w:tc>
      </w:tr>
      <w:tr w:rsidR="00F07E1C" w:rsidRPr="00DA13F2" w14:paraId="63B0AFBA" w14:textId="77777777" w:rsidTr="005E00C5">
        <w:trPr>
          <w:trHeight w:val="419"/>
        </w:trPr>
        <w:tc>
          <w:tcPr>
            <w:tcW w:w="783" w:type="pct"/>
            <w:tcBorders>
              <w:top w:val="single" w:sz="4" w:space="0" w:color="auto"/>
            </w:tcBorders>
          </w:tcPr>
          <w:p w14:paraId="46BC3233" w14:textId="42EA7F86"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Braga </w:t>
            </w:r>
            <w:r w:rsidRPr="00DA13F2">
              <w:rPr>
                <w:rFonts w:ascii="Book Antiqua" w:hAnsi="Book Antiqua"/>
                <w:i/>
                <w:iCs/>
              </w:rPr>
              <w:t>et al</w:t>
            </w:r>
            <w:r w:rsidRPr="00DA13F2">
              <w:rPr>
                <w:rFonts w:ascii="Book Antiqua" w:hAnsi="Book Antiqua"/>
                <w:vertAlign w:val="superscript"/>
              </w:rPr>
              <w:t>[16]</w:t>
            </w:r>
            <w:r w:rsidR="005E00C5" w:rsidRPr="00DA13F2">
              <w:rPr>
                <w:rFonts w:ascii="Book Antiqua" w:hAnsi="Book Antiqua"/>
              </w:rPr>
              <w:t>,</w:t>
            </w:r>
            <w:r w:rsidRPr="00DA13F2">
              <w:rPr>
                <w:rFonts w:ascii="Book Antiqua" w:hAnsi="Book Antiqua"/>
                <w:i/>
                <w:iCs/>
              </w:rPr>
              <w:t xml:space="preserve"> </w:t>
            </w:r>
            <w:r w:rsidR="005E00C5" w:rsidRPr="00DA13F2">
              <w:rPr>
                <w:rFonts w:ascii="Book Antiqua" w:hAnsi="Book Antiqua"/>
              </w:rPr>
              <w:t>2014</w:t>
            </w:r>
          </w:p>
        </w:tc>
        <w:tc>
          <w:tcPr>
            <w:tcW w:w="698" w:type="pct"/>
            <w:tcBorders>
              <w:top w:val="single" w:sz="4" w:space="0" w:color="auto"/>
            </w:tcBorders>
            <w:shd w:val="clear" w:color="auto" w:fill="auto"/>
          </w:tcPr>
          <w:p w14:paraId="3CDEA2E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231" w:type="pct"/>
            <w:tcBorders>
              <w:top w:val="single" w:sz="4" w:space="0" w:color="auto"/>
            </w:tcBorders>
            <w:shd w:val="clear" w:color="auto" w:fill="auto"/>
          </w:tcPr>
          <w:p w14:paraId="441C194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115</w:t>
            </w:r>
          </w:p>
        </w:tc>
        <w:tc>
          <w:tcPr>
            <w:tcW w:w="551" w:type="pct"/>
            <w:tcBorders>
              <w:top w:val="single" w:sz="4" w:space="0" w:color="auto"/>
            </w:tcBorders>
            <w:shd w:val="clear" w:color="auto" w:fill="auto"/>
          </w:tcPr>
          <w:p w14:paraId="0501F2A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69 (61-74)</w:t>
            </w:r>
          </w:p>
        </w:tc>
        <w:tc>
          <w:tcPr>
            <w:tcW w:w="712" w:type="pct"/>
            <w:tcBorders>
              <w:top w:val="single" w:sz="4" w:space="0" w:color="auto"/>
            </w:tcBorders>
            <w:shd w:val="clear" w:color="auto" w:fill="auto"/>
          </w:tcPr>
          <w:p w14:paraId="36C716A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12 (4 Pre- + 3 Intra- + 5 Post-op)</w:t>
            </w:r>
          </w:p>
        </w:tc>
        <w:tc>
          <w:tcPr>
            <w:tcW w:w="768" w:type="pct"/>
            <w:tcBorders>
              <w:top w:val="single" w:sz="4" w:space="0" w:color="auto"/>
            </w:tcBorders>
            <w:shd w:val="clear" w:color="auto" w:fill="auto"/>
          </w:tcPr>
          <w:p w14:paraId="0EBC2B82" w14:textId="50C3D248"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952" w:type="pct"/>
            <w:tcBorders>
              <w:top w:val="single" w:sz="4" w:space="0" w:color="auto"/>
            </w:tcBorders>
            <w:shd w:val="clear" w:color="auto" w:fill="auto"/>
          </w:tcPr>
          <w:p w14:paraId="63DDC7D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No group stratification</w:t>
            </w:r>
          </w:p>
        </w:tc>
        <w:tc>
          <w:tcPr>
            <w:tcW w:w="306" w:type="pct"/>
            <w:tcBorders>
              <w:top w:val="single" w:sz="4" w:space="0" w:color="auto"/>
            </w:tcBorders>
          </w:tcPr>
          <w:p w14:paraId="4E490E2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02310407" w14:textId="77777777" w:rsidTr="005E00C5">
        <w:trPr>
          <w:trHeight w:val="419"/>
        </w:trPr>
        <w:tc>
          <w:tcPr>
            <w:tcW w:w="783" w:type="pct"/>
          </w:tcPr>
          <w:p w14:paraId="0C52704E" w14:textId="392B01EF"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t>Zouros</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[17]</w:t>
            </w:r>
            <w:r w:rsidR="005E00C5" w:rsidRPr="00DA13F2">
              <w:rPr>
                <w:rFonts w:ascii="Book Antiqua" w:hAnsi="Book Antiqua"/>
              </w:rPr>
              <w:t>,</w:t>
            </w:r>
            <w:r w:rsidRPr="00DA13F2">
              <w:rPr>
                <w:rFonts w:ascii="Book Antiqua" w:hAnsi="Book Antiqua"/>
                <w:i/>
                <w:iCs/>
              </w:rPr>
              <w:t xml:space="preserve"> </w:t>
            </w:r>
            <w:r w:rsidRPr="00DA13F2">
              <w:rPr>
                <w:rFonts w:ascii="Book Antiqua" w:hAnsi="Book Antiqua"/>
              </w:rPr>
              <w:t>2016</w:t>
            </w:r>
            <w:r w:rsidRPr="00DA13F2">
              <w:rPr>
                <w:rFonts w:ascii="Book Antiqua" w:hAnsi="Book Antiqua"/>
                <w:vertAlign w:val="superscript"/>
              </w:rPr>
              <w:t>1</w:t>
            </w:r>
          </w:p>
        </w:tc>
        <w:tc>
          <w:tcPr>
            <w:tcW w:w="698" w:type="pct"/>
            <w:shd w:val="clear" w:color="auto" w:fill="auto"/>
          </w:tcPr>
          <w:p w14:paraId="51AB0BD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231" w:type="pct"/>
            <w:shd w:val="clear" w:color="auto" w:fill="auto"/>
          </w:tcPr>
          <w:p w14:paraId="29F331F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75</w:t>
            </w:r>
          </w:p>
        </w:tc>
        <w:tc>
          <w:tcPr>
            <w:tcW w:w="551" w:type="pct"/>
            <w:shd w:val="clear" w:color="auto" w:fill="auto"/>
          </w:tcPr>
          <w:p w14:paraId="71CFD2C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65.9 ± 10.5</w:t>
            </w:r>
          </w:p>
        </w:tc>
        <w:tc>
          <w:tcPr>
            <w:tcW w:w="712" w:type="pct"/>
            <w:shd w:val="clear" w:color="auto" w:fill="auto"/>
          </w:tcPr>
          <w:p w14:paraId="4CD5E92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 (Post-op)</w:t>
            </w:r>
          </w:p>
        </w:tc>
        <w:tc>
          <w:tcPr>
            <w:tcW w:w="768" w:type="pct"/>
            <w:shd w:val="clear" w:color="auto" w:fill="auto"/>
          </w:tcPr>
          <w:p w14:paraId="455EFE8C" w14:textId="6F4E4202"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952" w:type="pct"/>
            <w:shd w:val="clear" w:color="auto" w:fill="auto"/>
          </w:tcPr>
          <w:p w14:paraId="6858183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100% (</w:t>
            </w:r>
            <w:r w:rsidRPr="00DA13F2">
              <w:rPr>
                <w:rFonts w:ascii="Book Antiqua" w:hAnsi="Book Antiqua"/>
                <w:i/>
                <w:iCs/>
              </w:rPr>
              <w:t>n</w:t>
            </w:r>
            <w:r w:rsidRPr="00DA13F2">
              <w:rPr>
                <w:rFonts w:ascii="Book Antiqua" w:hAnsi="Book Antiqua"/>
              </w:rPr>
              <w:t xml:space="preserve"> = 53) </w:t>
            </w:r>
            <w:r w:rsidRPr="00DA13F2">
              <w:rPr>
                <w:rFonts w:ascii="Book Antiqua" w:hAnsi="Book Antiqua"/>
                <w:i/>
                <w:iCs/>
              </w:rPr>
              <w:t>vs</w:t>
            </w:r>
            <w:r w:rsidRPr="00DA13F2">
              <w:rPr>
                <w:rFonts w:ascii="Book Antiqua" w:hAnsi="Book Antiqua"/>
              </w:rPr>
              <w:t xml:space="preserve"> &lt; 100% (</w:t>
            </w:r>
            <w:r w:rsidRPr="00DA13F2">
              <w:rPr>
                <w:rFonts w:ascii="Book Antiqua" w:hAnsi="Book Antiqua"/>
                <w:i/>
                <w:iCs/>
              </w:rPr>
              <w:t>n</w:t>
            </w:r>
            <w:r w:rsidRPr="00DA13F2">
              <w:rPr>
                <w:rFonts w:ascii="Book Antiqua" w:hAnsi="Book Antiqua"/>
              </w:rPr>
              <w:t xml:space="preserve"> = 22)</w:t>
            </w:r>
          </w:p>
        </w:tc>
        <w:tc>
          <w:tcPr>
            <w:tcW w:w="306" w:type="pct"/>
          </w:tcPr>
          <w:p w14:paraId="16A63AF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26F0538B" w14:textId="77777777" w:rsidTr="005E00C5">
        <w:trPr>
          <w:trHeight w:val="419"/>
        </w:trPr>
        <w:tc>
          <w:tcPr>
            <w:tcW w:w="783" w:type="pct"/>
          </w:tcPr>
          <w:p w14:paraId="2D744268" w14:textId="41F607E3"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t>Kagedan</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[18]</w:t>
            </w:r>
            <w:r w:rsidR="005E00C5" w:rsidRPr="00DA13F2">
              <w:rPr>
                <w:rFonts w:ascii="Book Antiqua" w:hAnsi="Book Antiqua"/>
              </w:rPr>
              <w:t>,</w:t>
            </w:r>
            <w:r w:rsidRPr="00DA13F2">
              <w:rPr>
                <w:rFonts w:ascii="Book Antiqua" w:hAnsi="Book Antiqua"/>
              </w:rPr>
              <w:t xml:space="preserve"> 2017</w:t>
            </w:r>
            <w:r w:rsidRPr="00DA13F2">
              <w:rPr>
                <w:rFonts w:ascii="Book Antiqua" w:hAnsi="Book Antiqua"/>
                <w:vertAlign w:val="superscript"/>
              </w:rPr>
              <w:t>1</w:t>
            </w:r>
          </w:p>
        </w:tc>
        <w:tc>
          <w:tcPr>
            <w:tcW w:w="698" w:type="pct"/>
            <w:shd w:val="clear" w:color="auto" w:fill="auto"/>
          </w:tcPr>
          <w:p w14:paraId="60245CA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231" w:type="pct"/>
            <w:shd w:val="clear" w:color="auto" w:fill="auto"/>
          </w:tcPr>
          <w:p w14:paraId="6E0397CF"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82</w:t>
            </w:r>
          </w:p>
        </w:tc>
        <w:tc>
          <w:tcPr>
            <w:tcW w:w="551" w:type="pct"/>
            <w:shd w:val="clear" w:color="auto" w:fill="auto"/>
          </w:tcPr>
          <w:p w14:paraId="1AE3C6E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 (56-74)</w:t>
            </w:r>
          </w:p>
        </w:tc>
        <w:tc>
          <w:tcPr>
            <w:tcW w:w="712" w:type="pct"/>
            <w:shd w:val="clear" w:color="auto" w:fill="auto"/>
          </w:tcPr>
          <w:p w14:paraId="2F534D2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4 (Post-op)</w:t>
            </w:r>
          </w:p>
        </w:tc>
        <w:tc>
          <w:tcPr>
            <w:tcW w:w="768" w:type="pct"/>
            <w:shd w:val="clear" w:color="auto" w:fill="auto"/>
          </w:tcPr>
          <w:p w14:paraId="29C305CB" w14:textId="1BD7B809"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952" w:type="pct"/>
            <w:shd w:val="clear" w:color="auto" w:fill="auto"/>
          </w:tcPr>
          <w:p w14:paraId="39C1FA9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100% (</w:t>
            </w:r>
            <w:r w:rsidRPr="00DA13F2">
              <w:rPr>
                <w:rFonts w:ascii="Book Antiqua" w:hAnsi="Book Antiqua"/>
                <w:i/>
                <w:iCs/>
              </w:rPr>
              <w:t>n</w:t>
            </w:r>
            <w:r w:rsidRPr="00DA13F2">
              <w:rPr>
                <w:rFonts w:ascii="Book Antiqua" w:hAnsi="Book Antiqua"/>
              </w:rPr>
              <w:t xml:space="preserve"> = 134) </w:t>
            </w:r>
            <w:r w:rsidRPr="00DA13F2">
              <w:rPr>
                <w:rFonts w:ascii="Book Antiqua" w:hAnsi="Book Antiqua"/>
                <w:i/>
                <w:iCs/>
              </w:rPr>
              <w:t>vs</w:t>
            </w:r>
            <w:r w:rsidRPr="00DA13F2">
              <w:rPr>
                <w:rFonts w:ascii="Book Antiqua" w:hAnsi="Book Antiqua"/>
              </w:rPr>
              <w:t xml:space="preserve"> &lt; 100% (</w:t>
            </w:r>
            <w:r w:rsidRPr="00DA13F2">
              <w:rPr>
                <w:rFonts w:ascii="Book Antiqua" w:hAnsi="Book Antiqua"/>
                <w:i/>
                <w:iCs/>
              </w:rPr>
              <w:t>n</w:t>
            </w:r>
            <w:r w:rsidRPr="00DA13F2">
              <w:rPr>
                <w:rFonts w:ascii="Book Antiqua" w:hAnsi="Book Antiqua"/>
              </w:rPr>
              <w:t xml:space="preserve"> = 134)</w:t>
            </w:r>
          </w:p>
        </w:tc>
        <w:tc>
          <w:tcPr>
            <w:tcW w:w="306" w:type="pct"/>
          </w:tcPr>
          <w:p w14:paraId="61B63A8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w:t>
            </w:r>
          </w:p>
        </w:tc>
      </w:tr>
      <w:tr w:rsidR="00F07E1C" w:rsidRPr="00DA13F2" w14:paraId="69CC5C78" w14:textId="77777777" w:rsidTr="005E00C5">
        <w:trPr>
          <w:trHeight w:val="419"/>
        </w:trPr>
        <w:tc>
          <w:tcPr>
            <w:tcW w:w="783" w:type="pct"/>
          </w:tcPr>
          <w:p w14:paraId="6CC1B0B1" w14:textId="2BFC8246" w:rsidR="00F07E1C" w:rsidRPr="00DA13F2" w:rsidRDefault="005E5B77" w:rsidP="00DA13F2">
            <w:pPr>
              <w:adjustRightInd w:val="0"/>
              <w:snapToGrid w:val="0"/>
              <w:spacing w:line="360" w:lineRule="auto"/>
              <w:jc w:val="both"/>
              <w:rPr>
                <w:rFonts w:ascii="Book Antiqua" w:hAnsi="Book Antiqua"/>
              </w:rPr>
            </w:pPr>
            <w:r w:rsidRPr="005E5B77">
              <w:rPr>
                <w:rFonts w:ascii="Book Antiqua" w:hAnsi="Book Antiqua"/>
              </w:rPr>
              <w:t>Tremblay St-Germain</w:t>
            </w:r>
            <w:r w:rsidRPr="005E5B77">
              <w:rPr>
                <w:rFonts w:ascii="Book Antiqua" w:hAnsi="Book Antiqua"/>
                <w:i/>
                <w:iCs/>
              </w:rPr>
              <w:t xml:space="preserve"> </w:t>
            </w:r>
            <w:r w:rsidR="00F07E1C" w:rsidRPr="00DA13F2">
              <w:rPr>
                <w:rFonts w:ascii="Book Antiqua" w:hAnsi="Book Antiqua"/>
                <w:i/>
                <w:iCs/>
              </w:rPr>
              <w:t>et al</w:t>
            </w:r>
            <w:r w:rsidR="00F07E1C" w:rsidRPr="00DA13F2">
              <w:rPr>
                <w:rFonts w:ascii="Book Antiqua" w:hAnsi="Book Antiqua"/>
                <w:vertAlign w:val="superscript"/>
              </w:rPr>
              <w:t>[20]</w:t>
            </w:r>
            <w:r w:rsidR="005E00C5" w:rsidRPr="00DA13F2">
              <w:rPr>
                <w:rFonts w:ascii="Book Antiqua" w:hAnsi="Book Antiqua"/>
              </w:rPr>
              <w:t>,</w:t>
            </w:r>
            <w:r w:rsidR="00F07E1C" w:rsidRPr="00DA13F2">
              <w:rPr>
                <w:rFonts w:ascii="Book Antiqua" w:hAnsi="Book Antiqua"/>
                <w:i/>
                <w:iCs/>
              </w:rPr>
              <w:t xml:space="preserve"> </w:t>
            </w:r>
            <w:r w:rsidR="00F07E1C" w:rsidRPr="00DA13F2">
              <w:rPr>
                <w:rFonts w:ascii="Book Antiqua" w:hAnsi="Book Antiqua"/>
              </w:rPr>
              <w:t>2017</w:t>
            </w:r>
          </w:p>
        </w:tc>
        <w:tc>
          <w:tcPr>
            <w:tcW w:w="698" w:type="pct"/>
            <w:shd w:val="clear" w:color="auto" w:fill="auto"/>
          </w:tcPr>
          <w:p w14:paraId="5DA47527"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231" w:type="pct"/>
            <w:shd w:val="clear" w:color="auto" w:fill="auto"/>
          </w:tcPr>
          <w:p w14:paraId="092F46F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83</w:t>
            </w:r>
          </w:p>
        </w:tc>
        <w:tc>
          <w:tcPr>
            <w:tcW w:w="551" w:type="pct"/>
            <w:shd w:val="clear" w:color="auto" w:fill="auto"/>
          </w:tcPr>
          <w:p w14:paraId="75C142FF"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 (29-85)</w:t>
            </w:r>
          </w:p>
        </w:tc>
        <w:tc>
          <w:tcPr>
            <w:tcW w:w="712" w:type="pct"/>
            <w:shd w:val="clear" w:color="auto" w:fill="auto"/>
          </w:tcPr>
          <w:p w14:paraId="12341A5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 (Post-op)</w:t>
            </w:r>
          </w:p>
        </w:tc>
        <w:tc>
          <w:tcPr>
            <w:tcW w:w="768" w:type="pct"/>
            <w:shd w:val="clear" w:color="auto" w:fill="auto"/>
          </w:tcPr>
          <w:p w14:paraId="73E420A6" w14:textId="1301ACA9"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952" w:type="pct"/>
            <w:shd w:val="clear" w:color="auto" w:fill="auto"/>
          </w:tcPr>
          <w:p w14:paraId="11C5695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No group stratification</w:t>
            </w:r>
          </w:p>
        </w:tc>
        <w:tc>
          <w:tcPr>
            <w:tcW w:w="306" w:type="pct"/>
          </w:tcPr>
          <w:p w14:paraId="5D67950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3EE2371E" w14:textId="77777777" w:rsidTr="005E00C5">
        <w:trPr>
          <w:trHeight w:val="419"/>
        </w:trPr>
        <w:tc>
          <w:tcPr>
            <w:tcW w:w="783" w:type="pct"/>
          </w:tcPr>
          <w:p w14:paraId="60045344" w14:textId="18525106"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Agarwal </w:t>
            </w:r>
            <w:r w:rsidRPr="00DA13F2">
              <w:rPr>
                <w:rFonts w:ascii="Book Antiqua" w:hAnsi="Book Antiqua"/>
                <w:i/>
                <w:iCs/>
              </w:rPr>
              <w:t>et al</w:t>
            </w:r>
            <w:r w:rsidRPr="00DA13F2">
              <w:rPr>
                <w:rFonts w:ascii="Book Antiqua" w:hAnsi="Book Antiqua"/>
                <w:vertAlign w:val="superscript"/>
              </w:rPr>
              <w:t>[23]</w:t>
            </w:r>
            <w:r w:rsidR="005E00C5" w:rsidRPr="00DA13F2">
              <w:rPr>
                <w:rFonts w:ascii="Book Antiqua" w:hAnsi="Book Antiqua"/>
              </w:rPr>
              <w:t>,</w:t>
            </w:r>
            <w:r w:rsidRPr="00DA13F2">
              <w:rPr>
                <w:rFonts w:ascii="Book Antiqua" w:hAnsi="Book Antiqua"/>
                <w:i/>
                <w:iCs/>
              </w:rPr>
              <w:t xml:space="preserve"> </w:t>
            </w:r>
            <w:r w:rsidRPr="00DA13F2">
              <w:rPr>
                <w:rFonts w:ascii="Book Antiqua" w:hAnsi="Book Antiqua"/>
              </w:rPr>
              <w:t>2018</w:t>
            </w:r>
          </w:p>
        </w:tc>
        <w:tc>
          <w:tcPr>
            <w:tcW w:w="698" w:type="pct"/>
            <w:shd w:val="clear" w:color="auto" w:fill="auto"/>
          </w:tcPr>
          <w:p w14:paraId="20FB323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231" w:type="pct"/>
            <w:shd w:val="clear" w:color="auto" w:fill="auto"/>
          </w:tcPr>
          <w:p w14:paraId="5FC2520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394</w:t>
            </w:r>
          </w:p>
        </w:tc>
        <w:tc>
          <w:tcPr>
            <w:tcW w:w="551" w:type="pct"/>
            <w:shd w:val="clear" w:color="auto" w:fill="auto"/>
          </w:tcPr>
          <w:p w14:paraId="3CD0CB07"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55 (18-81)</w:t>
            </w:r>
          </w:p>
        </w:tc>
        <w:tc>
          <w:tcPr>
            <w:tcW w:w="712" w:type="pct"/>
            <w:shd w:val="clear" w:color="auto" w:fill="auto"/>
          </w:tcPr>
          <w:p w14:paraId="31099D24"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13 (6 Pre + 4 Intra- + 3 Post-op)</w:t>
            </w:r>
          </w:p>
        </w:tc>
        <w:tc>
          <w:tcPr>
            <w:tcW w:w="768" w:type="pct"/>
            <w:shd w:val="clear" w:color="auto" w:fill="auto"/>
          </w:tcPr>
          <w:p w14:paraId="58DE408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84</w:t>
            </w:r>
          </w:p>
        </w:tc>
        <w:tc>
          <w:tcPr>
            <w:tcW w:w="952" w:type="pct"/>
            <w:shd w:val="clear" w:color="auto" w:fill="auto"/>
          </w:tcPr>
          <w:p w14:paraId="615D40D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80% (</w:t>
            </w:r>
            <w:r w:rsidRPr="00DA13F2">
              <w:rPr>
                <w:rFonts w:ascii="Book Antiqua" w:hAnsi="Book Antiqua"/>
                <w:i/>
                <w:iCs/>
              </w:rPr>
              <w:t xml:space="preserve">n </w:t>
            </w:r>
            <w:r w:rsidRPr="00DA13F2">
              <w:rPr>
                <w:rFonts w:ascii="Book Antiqua" w:hAnsi="Book Antiqua"/>
              </w:rPr>
              <w:t xml:space="preserve">= 278) </w:t>
            </w:r>
            <w:r w:rsidRPr="00DA13F2">
              <w:rPr>
                <w:rFonts w:ascii="Book Antiqua" w:hAnsi="Book Antiqua"/>
                <w:i/>
                <w:iCs/>
              </w:rPr>
              <w:t>vs</w:t>
            </w:r>
            <w:r w:rsidRPr="00DA13F2">
              <w:rPr>
                <w:rFonts w:ascii="Book Antiqua" w:hAnsi="Book Antiqua"/>
              </w:rPr>
              <w:t xml:space="preserve"> &lt; 80% (</w:t>
            </w:r>
            <w:r w:rsidRPr="00DA13F2">
              <w:rPr>
                <w:rFonts w:ascii="Book Antiqua" w:hAnsi="Book Antiqua"/>
                <w:i/>
                <w:iCs/>
              </w:rPr>
              <w:t xml:space="preserve">n </w:t>
            </w:r>
            <w:r w:rsidRPr="00DA13F2">
              <w:rPr>
                <w:rFonts w:ascii="Book Antiqua" w:hAnsi="Book Antiqua"/>
              </w:rPr>
              <w:t>= 116)</w:t>
            </w:r>
          </w:p>
        </w:tc>
        <w:tc>
          <w:tcPr>
            <w:tcW w:w="306" w:type="pct"/>
          </w:tcPr>
          <w:p w14:paraId="518D903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712DE661" w14:textId="77777777" w:rsidTr="005E00C5">
        <w:trPr>
          <w:trHeight w:val="366"/>
        </w:trPr>
        <w:tc>
          <w:tcPr>
            <w:tcW w:w="783" w:type="pct"/>
          </w:tcPr>
          <w:p w14:paraId="07694907" w14:textId="28FB2288"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t>Williamsson</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[24]</w:t>
            </w:r>
            <w:r w:rsidR="005E00C5" w:rsidRPr="00DA13F2">
              <w:rPr>
                <w:rFonts w:ascii="Book Antiqua" w:hAnsi="Book Antiqua"/>
              </w:rPr>
              <w:t>,</w:t>
            </w:r>
            <w:r w:rsidRPr="00DA13F2">
              <w:rPr>
                <w:rFonts w:ascii="Book Antiqua" w:hAnsi="Book Antiqua"/>
                <w:i/>
                <w:iCs/>
              </w:rPr>
              <w:t xml:space="preserve"> </w:t>
            </w:r>
            <w:r w:rsidRPr="00DA13F2">
              <w:rPr>
                <w:rFonts w:ascii="Book Antiqua" w:hAnsi="Book Antiqua"/>
              </w:rPr>
              <w:t>2019</w:t>
            </w:r>
            <w:r w:rsidRPr="00DA13F2">
              <w:rPr>
                <w:rFonts w:ascii="Book Antiqua" w:hAnsi="Book Antiqua"/>
                <w:vertAlign w:val="superscript"/>
              </w:rPr>
              <w:t>1</w:t>
            </w:r>
          </w:p>
        </w:tc>
        <w:tc>
          <w:tcPr>
            <w:tcW w:w="698" w:type="pct"/>
            <w:shd w:val="clear" w:color="auto" w:fill="auto"/>
          </w:tcPr>
          <w:p w14:paraId="6D233DD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231" w:type="pct"/>
            <w:shd w:val="clear" w:color="auto" w:fill="auto"/>
          </w:tcPr>
          <w:p w14:paraId="7C07AEE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160</w:t>
            </w:r>
          </w:p>
        </w:tc>
        <w:tc>
          <w:tcPr>
            <w:tcW w:w="551" w:type="pct"/>
            <w:shd w:val="clear" w:color="auto" w:fill="auto"/>
          </w:tcPr>
          <w:p w14:paraId="4DCDB97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66-69</w:t>
            </w:r>
          </w:p>
        </w:tc>
        <w:tc>
          <w:tcPr>
            <w:tcW w:w="712" w:type="pct"/>
            <w:shd w:val="clear" w:color="auto" w:fill="auto"/>
          </w:tcPr>
          <w:p w14:paraId="6850290C"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 (Post-op)</w:t>
            </w:r>
          </w:p>
        </w:tc>
        <w:tc>
          <w:tcPr>
            <w:tcW w:w="768" w:type="pct"/>
            <w:shd w:val="clear" w:color="auto" w:fill="auto"/>
          </w:tcPr>
          <w:p w14:paraId="66439B0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52</w:t>
            </w:r>
          </w:p>
        </w:tc>
        <w:tc>
          <w:tcPr>
            <w:tcW w:w="952" w:type="pct"/>
            <w:shd w:val="clear" w:color="auto" w:fill="auto"/>
          </w:tcPr>
          <w:p w14:paraId="4A9E79E9" w14:textId="6012F043" w:rsidR="00F07E1C" w:rsidRPr="00DA13F2" w:rsidRDefault="00F07E1C" w:rsidP="00DA13F2">
            <w:pPr>
              <w:adjustRightInd w:val="0"/>
              <w:snapToGrid w:val="0"/>
              <w:spacing w:line="360" w:lineRule="auto"/>
              <w:jc w:val="both"/>
              <w:rPr>
                <w:rFonts w:ascii="Book Antiqua" w:hAnsi="Book Antiqua"/>
                <w:u w:val="single"/>
              </w:rPr>
            </w:pPr>
            <w:r w:rsidRPr="00DA13F2">
              <w:rPr>
                <w:rFonts w:ascii="Book Antiqua" w:hAnsi="Book Antiqua"/>
              </w:rPr>
              <w:t>≥ 50% (</w:t>
            </w:r>
            <w:r w:rsidRPr="00DA13F2">
              <w:rPr>
                <w:rFonts w:ascii="Book Antiqua" w:hAnsi="Book Antiqua"/>
                <w:i/>
                <w:iCs/>
              </w:rPr>
              <w:t xml:space="preserve">n </w:t>
            </w:r>
            <w:r w:rsidRPr="00DA13F2">
              <w:rPr>
                <w:rFonts w:ascii="Book Antiqua" w:hAnsi="Book Antiqua"/>
              </w:rPr>
              <w:t xml:space="preserve">= 134) </w:t>
            </w:r>
            <w:r w:rsidRPr="00DA13F2">
              <w:rPr>
                <w:rFonts w:ascii="Book Antiqua" w:hAnsi="Book Antiqua"/>
                <w:i/>
                <w:iCs/>
              </w:rPr>
              <w:t>vs</w:t>
            </w:r>
            <w:r w:rsidRPr="00DA13F2">
              <w:rPr>
                <w:rFonts w:ascii="Book Antiqua" w:hAnsi="Book Antiqua"/>
              </w:rPr>
              <w:t xml:space="preserve"> &lt;</w:t>
            </w:r>
            <w:r w:rsidR="00512DC5" w:rsidRPr="00DA13F2">
              <w:rPr>
                <w:rFonts w:ascii="Book Antiqua" w:hAnsi="Book Antiqua"/>
              </w:rPr>
              <w:t xml:space="preserve"> </w:t>
            </w:r>
            <w:r w:rsidRPr="00DA13F2">
              <w:rPr>
                <w:rFonts w:ascii="Book Antiqua" w:hAnsi="Book Antiqua"/>
              </w:rPr>
              <w:t>50% (</w:t>
            </w:r>
            <w:r w:rsidRPr="00DA13F2">
              <w:rPr>
                <w:rFonts w:ascii="Book Antiqua" w:hAnsi="Book Antiqua"/>
                <w:i/>
                <w:iCs/>
              </w:rPr>
              <w:t xml:space="preserve">n </w:t>
            </w:r>
            <w:r w:rsidRPr="00DA13F2">
              <w:rPr>
                <w:rFonts w:ascii="Book Antiqua" w:hAnsi="Book Antiqua"/>
              </w:rPr>
              <w:t>= 26)</w:t>
            </w:r>
          </w:p>
        </w:tc>
        <w:tc>
          <w:tcPr>
            <w:tcW w:w="306" w:type="pct"/>
          </w:tcPr>
          <w:p w14:paraId="3CB7C5D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4F87A1ED" w14:textId="77777777" w:rsidTr="005E00C5">
        <w:trPr>
          <w:trHeight w:val="401"/>
        </w:trPr>
        <w:tc>
          <w:tcPr>
            <w:tcW w:w="783" w:type="pct"/>
          </w:tcPr>
          <w:p w14:paraId="08EBFB32" w14:textId="45687C98"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lastRenderedPageBreak/>
              <w:t xml:space="preserve">Karunakaran </w:t>
            </w:r>
            <w:r w:rsidRPr="00DA13F2">
              <w:rPr>
                <w:rFonts w:ascii="Book Antiqua" w:hAnsi="Book Antiqua"/>
                <w:i/>
                <w:iCs/>
              </w:rPr>
              <w:t>et al</w:t>
            </w:r>
            <w:r w:rsidRPr="00DA13F2">
              <w:rPr>
                <w:rFonts w:ascii="Book Antiqua" w:hAnsi="Book Antiqua"/>
                <w:vertAlign w:val="superscript"/>
              </w:rPr>
              <w:t>[6]</w:t>
            </w:r>
            <w:r w:rsidR="005E00C5" w:rsidRPr="00DA13F2">
              <w:rPr>
                <w:rFonts w:ascii="Book Antiqua" w:hAnsi="Book Antiqua"/>
              </w:rPr>
              <w:t>,</w:t>
            </w:r>
            <w:r w:rsidRPr="00DA13F2">
              <w:rPr>
                <w:rFonts w:ascii="Book Antiqua" w:hAnsi="Book Antiqua"/>
                <w:vertAlign w:val="superscript"/>
              </w:rPr>
              <w:t xml:space="preserve"> </w:t>
            </w:r>
            <w:r w:rsidRPr="00DA13F2">
              <w:rPr>
                <w:rFonts w:ascii="Book Antiqua" w:hAnsi="Book Antiqua"/>
              </w:rPr>
              <w:t>2020</w:t>
            </w:r>
            <w:r w:rsidRPr="00DA13F2">
              <w:rPr>
                <w:rFonts w:ascii="Book Antiqua" w:hAnsi="Book Antiqua"/>
                <w:vertAlign w:val="superscript"/>
              </w:rPr>
              <w:t>1</w:t>
            </w:r>
          </w:p>
        </w:tc>
        <w:tc>
          <w:tcPr>
            <w:tcW w:w="698" w:type="pct"/>
            <w:shd w:val="clear" w:color="auto" w:fill="auto"/>
          </w:tcPr>
          <w:p w14:paraId="60106CA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231" w:type="pct"/>
            <w:shd w:val="clear" w:color="auto" w:fill="auto"/>
          </w:tcPr>
          <w:p w14:paraId="7124308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162</w:t>
            </w:r>
          </w:p>
        </w:tc>
        <w:tc>
          <w:tcPr>
            <w:tcW w:w="551" w:type="pct"/>
            <w:shd w:val="clear" w:color="auto" w:fill="auto"/>
          </w:tcPr>
          <w:p w14:paraId="1467B02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59 (19-84)</w:t>
            </w:r>
          </w:p>
        </w:tc>
        <w:tc>
          <w:tcPr>
            <w:tcW w:w="712" w:type="pct"/>
            <w:shd w:val="clear" w:color="auto" w:fill="auto"/>
          </w:tcPr>
          <w:p w14:paraId="68DD5F5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 (Post-op)</w:t>
            </w:r>
          </w:p>
        </w:tc>
        <w:tc>
          <w:tcPr>
            <w:tcW w:w="768" w:type="pct"/>
            <w:shd w:val="clear" w:color="auto" w:fill="auto"/>
          </w:tcPr>
          <w:p w14:paraId="0F9EAB8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53</w:t>
            </w:r>
          </w:p>
        </w:tc>
        <w:tc>
          <w:tcPr>
            <w:tcW w:w="952" w:type="pct"/>
            <w:shd w:val="clear" w:color="auto" w:fill="auto"/>
          </w:tcPr>
          <w:p w14:paraId="552617C1" w14:textId="20B76535"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50% (</w:t>
            </w:r>
            <w:r w:rsidRPr="00DA13F2">
              <w:rPr>
                <w:rFonts w:ascii="Book Antiqua" w:hAnsi="Book Antiqua"/>
                <w:i/>
                <w:iCs/>
              </w:rPr>
              <w:t xml:space="preserve">n </w:t>
            </w:r>
            <w:r w:rsidRPr="00DA13F2">
              <w:rPr>
                <w:rFonts w:ascii="Book Antiqua" w:hAnsi="Book Antiqua"/>
              </w:rPr>
              <w:t xml:space="preserve">= 98) </w:t>
            </w:r>
            <w:r w:rsidRPr="00DA13F2">
              <w:rPr>
                <w:rFonts w:ascii="Book Antiqua" w:hAnsi="Book Antiqua"/>
                <w:i/>
                <w:iCs/>
              </w:rPr>
              <w:t>vs</w:t>
            </w:r>
            <w:r w:rsidRPr="00DA13F2">
              <w:rPr>
                <w:rFonts w:ascii="Book Antiqua" w:hAnsi="Book Antiqua"/>
              </w:rPr>
              <w:t xml:space="preserve"> &lt; 50% (</w:t>
            </w:r>
            <w:r w:rsidRPr="00DA13F2">
              <w:rPr>
                <w:rFonts w:ascii="Book Antiqua" w:hAnsi="Book Antiqua"/>
                <w:i/>
                <w:iCs/>
              </w:rPr>
              <w:t xml:space="preserve">n </w:t>
            </w:r>
            <w:r w:rsidRPr="00DA13F2">
              <w:rPr>
                <w:rFonts w:ascii="Book Antiqua" w:hAnsi="Book Antiqua"/>
              </w:rPr>
              <w:t>= 64)</w:t>
            </w:r>
          </w:p>
        </w:tc>
        <w:tc>
          <w:tcPr>
            <w:tcW w:w="306" w:type="pct"/>
          </w:tcPr>
          <w:p w14:paraId="316A212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50EC75EF" w14:textId="77777777" w:rsidTr="005E00C5">
        <w:trPr>
          <w:trHeight w:val="420"/>
        </w:trPr>
        <w:tc>
          <w:tcPr>
            <w:tcW w:w="783" w:type="pct"/>
          </w:tcPr>
          <w:p w14:paraId="215BCE20" w14:textId="5480AE1B" w:rsidR="00F07E1C" w:rsidRPr="00DA13F2" w:rsidRDefault="00F07E1C" w:rsidP="00DA13F2">
            <w:pPr>
              <w:adjustRightInd w:val="0"/>
              <w:snapToGrid w:val="0"/>
              <w:spacing w:line="360" w:lineRule="auto"/>
              <w:jc w:val="both"/>
              <w:rPr>
                <w:rFonts w:ascii="Book Antiqua" w:hAnsi="Book Antiqua"/>
                <w:color w:val="00B0F0"/>
              </w:rPr>
            </w:pPr>
            <w:proofErr w:type="spellStart"/>
            <w:r w:rsidRPr="00DA13F2">
              <w:rPr>
                <w:rFonts w:ascii="Book Antiqua" w:hAnsi="Book Antiqua"/>
              </w:rPr>
              <w:t>Roulin</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[10]</w:t>
            </w:r>
            <w:r w:rsidR="005E00C5" w:rsidRPr="00DA13F2">
              <w:rPr>
                <w:rFonts w:ascii="Book Antiqua" w:hAnsi="Book Antiqua"/>
              </w:rPr>
              <w:t>,</w:t>
            </w:r>
            <w:r w:rsidRPr="00DA13F2">
              <w:rPr>
                <w:rFonts w:ascii="Book Antiqua" w:hAnsi="Book Antiqua"/>
              </w:rPr>
              <w:t xml:space="preserve"> 2020</w:t>
            </w:r>
          </w:p>
        </w:tc>
        <w:tc>
          <w:tcPr>
            <w:tcW w:w="698" w:type="pct"/>
            <w:shd w:val="clear" w:color="auto" w:fill="auto"/>
          </w:tcPr>
          <w:p w14:paraId="59FF70F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231" w:type="pct"/>
            <w:shd w:val="clear" w:color="auto" w:fill="auto"/>
          </w:tcPr>
          <w:p w14:paraId="379DE80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390</w:t>
            </w:r>
          </w:p>
        </w:tc>
        <w:tc>
          <w:tcPr>
            <w:tcW w:w="551" w:type="pct"/>
            <w:shd w:val="clear" w:color="auto" w:fill="auto"/>
          </w:tcPr>
          <w:p w14:paraId="3FDA6F9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65.3 ± 11.6</w:t>
            </w:r>
          </w:p>
        </w:tc>
        <w:tc>
          <w:tcPr>
            <w:tcW w:w="712" w:type="pct"/>
            <w:shd w:val="clear" w:color="auto" w:fill="auto"/>
          </w:tcPr>
          <w:p w14:paraId="39F8C08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19 (7 Pre + 3 Intra- + 9 Post-op)</w:t>
            </w:r>
          </w:p>
        </w:tc>
        <w:tc>
          <w:tcPr>
            <w:tcW w:w="768" w:type="pct"/>
            <w:shd w:val="clear" w:color="auto" w:fill="auto"/>
          </w:tcPr>
          <w:p w14:paraId="16FF343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62 (30 for post-operative components)</w:t>
            </w:r>
          </w:p>
        </w:tc>
        <w:tc>
          <w:tcPr>
            <w:tcW w:w="952" w:type="pct"/>
            <w:shd w:val="clear" w:color="auto" w:fill="auto"/>
          </w:tcPr>
          <w:p w14:paraId="57820F45" w14:textId="36B25D73"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70% (</w:t>
            </w:r>
            <w:r w:rsidRPr="00DA13F2">
              <w:rPr>
                <w:rFonts w:ascii="Book Antiqua" w:hAnsi="Book Antiqua"/>
                <w:i/>
                <w:iCs/>
              </w:rPr>
              <w:t xml:space="preserve">n </w:t>
            </w:r>
            <w:r w:rsidRPr="00DA13F2">
              <w:rPr>
                <w:rFonts w:ascii="Book Antiqua" w:hAnsi="Book Antiqua"/>
              </w:rPr>
              <w:t xml:space="preserve">= 85) </w:t>
            </w:r>
            <w:r w:rsidRPr="00DA13F2">
              <w:rPr>
                <w:rFonts w:ascii="Book Antiqua" w:hAnsi="Book Antiqua"/>
                <w:i/>
                <w:iCs/>
              </w:rPr>
              <w:t>vs</w:t>
            </w:r>
            <w:r w:rsidRPr="00DA13F2">
              <w:rPr>
                <w:rFonts w:ascii="Book Antiqua" w:hAnsi="Book Antiqua"/>
              </w:rPr>
              <w:t xml:space="preserve"> &lt; 70% (</w:t>
            </w:r>
            <w:r w:rsidRPr="00DA13F2">
              <w:rPr>
                <w:rFonts w:ascii="Book Antiqua" w:hAnsi="Book Antiqua"/>
                <w:i/>
                <w:iCs/>
              </w:rPr>
              <w:t xml:space="preserve">n </w:t>
            </w:r>
            <w:r w:rsidRPr="00DA13F2">
              <w:rPr>
                <w:rFonts w:ascii="Book Antiqua" w:hAnsi="Book Antiqua"/>
              </w:rPr>
              <w:t>= 305)</w:t>
            </w:r>
          </w:p>
        </w:tc>
        <w:tc>
          <w:tcPr>
            <w:tcW w:w="306" w:type="pct"/>
          </w:tcPr>
          <w:p w14:paraId="3390B13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3D4BF04A" w14:textId="77777777" w:rsidTr="005E00C5">
        <w:tc>
          <w:tcPr>
            <w:tcW w:w="783" w:type="pct"/>
          </w:tcPr>
          <w:p w14:paraId="1A752692" w14:textId="67A4284F" w:rsidR="00F07E1C" w:rsidRPr="00DA13F2" w:rsidRDefault="00F07E1C" w:rsidP="00DA13F2">
            <w:pPr>
              <w:adjustRightInd w:val="0"/>
              <w:snapToGrid w:val="0"/>
              <w:spacing w:line="360" w:lineRule="auto"/>
              <w:jc w:val="both"/>
              <w:rPr>
                <w:rFonts w:ascii="Book Antiqua" w:hAnsi="Book Antiqua"/>
              </w:rPr>
            </w:pPr>
            <w:proofErr w:type="spellStart"/>
            <w:r w:rsidRPr="00DA13F2">
              <w:rPr>
                <w:rFonts w:ascii="Book Antiqua" w:hAnsi="Book Antiqua"/>
              </w:rPr>
              <w:t>Tankel</w:t>
            </w:r>
            <w:proofErr w:type="spellEnd"/>
            <w:r w:rsidRPr="00DA13F2">
              <w:rPr>
                <w:rFonts w:ascii="Book Antiqua" w:hAnsi="Book Antiqua"/>
              </w:rPr>
              <w:t xml:space="preserve"> </w:t>
            </w:r>
            <w:r w:rsidRPr="00DA13F2">
              <w:rPr>
                <w:rFonts w:ascii="Book Antiqua" w:hAnsi="Book Antiqua"/>
                <w:i/>
                <w:iCs/>
              </w:rPr>
              <w:t>et al</w:t>
            </w:r>
            <w:r w:rsidRPr="00DA13F2">
              <w:rPr>
                <w:rFonts w:ascii="Book Antiqua" w:hAnsi="Book Antiqua"/>
                <w:vertAlign w:val="superscript"/>
              </w:rPr>
              <w:t>[21]</w:t>
            </w:r>
            <w:r w:rsidR="005E00C5" w:rsidRPr="00DA13F2">
              <w:rPr>
                <w:rFonts w:ascii="Book Antiqua" w:hAnsi="Book Antiqua"/>
              </w:rPr>
              <w:t>,</w:t>
            </w:r>
            <w:r w:rsidRPr="00DA13F2">
              <w:rPr>
                <w:rFonts w:ascii="Book Antiqua" w:hAnsi="Book Antiqua"/>
              </w:rPr>
              <w:t xml:space="preserve"> 2020</w:t>
            </w:r>
          </w:p>
        </w:tc>
        <w:tc>
          <w:tcPr>
            <w:tcW w:w="698" w:type="pct"/>
            <w:shd w:val="clear" w:color="auto" w:fill="auto"/>
          </w:tcPr>
          <w:p w14:paraId="1B55733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231" w:type="pct"/>
            <w:shd w:val="clear" w:color="auto" w:fill="auto"/>
          </w:tcPr>
          <w:p w14:paraId="383236C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97</w:t>
            </w:r>
          </w:p>
        </w:tc>
        <w:tc>
          <w:tcPr>
            <w:tcW w:w="551" w:type="pct"/>
            <w:shd w:val="clear" w:color="auto" w:fill="auto"/>
          </w:tcPr>
          <w:p w14:paraId="796C982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68 (17-85)</w:t>
            </w:r>
          </w:p>
        </w:tc>
        <w:tc>
          <w:tcPr>
            <w:tcW w:w="712" w:type="pct"/>
            <w:shd w:val="clear" w:color="auto" w:fill="auto"/>
          </w:tcPr>
          <w:p w14:paraId="5615256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 (Post-op)</w:t>
            </w:r>
          </w:p>
        </w:tc>
        <w:tc>
          <w:tcPr>
            <w:tcW w:w="768" w:type="pct"/>
            <w:shd w:val="clear" w:color="auto" w:fill="auto"/>
          </w:tcPr>
          <w:p w14:paraId="044873D4" w14:textId="6B3711A5"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952" w:type="pct"/>
            <w:shd w:val="clear" w:color="auto" w:fill="auto"/>
          </w:tcPr>
          <w:p w14:paraId="6A90413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No group stratification</w:t>
            </w:r>
          </w:p>
        </w:tc>
        <w:tc>
          <w:tcPr>
            <w:tcW w:w="306" w:type="pct"/>
          </w:tcPr>
          <w:p w14:paraId="3B22B37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r w:rsidR="00F07E1C" w:rsidRPr="00DA13F2" w14:paraId="489688DC" w14:textId="77777777" w:rsidTr="005E00C5">
        <w:trPr>
          <w:trHeight w:val="432"/>
        </w:trPr>
        <w:tc>
          <w:tcPr>
            <w:tcW w:w="783" w:type="pct"/>
          </w:tcPr>
          <w:p w14:paraId="254E1DBA" w14:textId="1FAB4B1F"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Capretti </w:t>
            </w:r>
            <w:r w:rsidRPr="00DA13F2">
              <w:rPr>
                <w:rFonts w:ascii="Book Antiqua" w:hAnsi="Book Antiqua"/>
                <w:i/>
                <w:iCs/>
              </w:rPr>
              <w:t>et al</w:t>
            </w:r>
            <w:r w:rsidRPr="00DA13F2">
              <w:rPr>
                <w:rFonts w:ascii="Book Antiqua" w:hAnsi="Book Antiqua"/>
                <w:vertAlign w:val="superscript"/>
              </w:rPr>
              <w:t>[22]</w:t>
            </w:r>
            <w:r w:rsidR="005E00C5" w:rsidRPr="00DA13F2">
              <w:rPr>
                <w:rFonts w:ascii="Book Antiqua" w:hAnsi="Book Antiqua"/>
              </w:rPr>
              <w:t>,</w:t>
            </w:r>
            <w:r w:rsidRPr="00DA13F2">
              <w:rPr>
                <w:rFonts w:ascii="Book Antiqua" w:hAnsi="Book Antiqua"/>
              </w:rPr>
              <w:t xml:space="preserve"> 2020</w:t>
            </w:r>
            <w:r w:rsidRPr="00DA13F2">
              <w:rPr>
                <w:rFonts w:ascii="Book Antiqua" w:hAnsi="Book Antiqua"/>
                <w:vertAlign w:val="superscript"/>
              </w:rPr>
              <w:t>1</w:t>
            </w:r>
          </w:p>
        </w:tc>
        <w:tc>
          <w:tcPr>
            <w:tcW w:w="698" w:type="pct"/>
          </w:tcPr>
          <w:p w14:paraId="40D7300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Prospective</w:t>
            </w:r>
          </w:p>
        </w:tc>
        <w:tc>
          <w:tcPr>
            <w:tcW w:w="231" w:type="pct"/>
          </w:tcPr>
          <w:p w14:paraId="1A5B478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205</w:t>
            </w:r>
          </w:p>
        </w:tc>
        <w:tc>
          <w:tcPr>
            <w:tcW w:w="551" w:type="pct"/>
          </w:tcPr>
          <w:p w14:paraId="3AD2DF1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64.7 ± 13.7</w:t>
            </w:r>
          </w:p>
        </w:tc>
        <w:tc>
          <w:tcPr>
            <w:tcW w:w="712" w:type="pct"/>
          </w:tcPr>
          <w:p w14:paraId="46C5CDF9"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 (5 Pre + 5 Intra- + 6 Post-op)</w:t>
            </w:r>
          </w:p>
        </w:tc>
        <w:tc>
          <w:tcPr>
            <w:tcW w:w="768" w:type="pct"/>
          </w:tcPr>
          <w:p w14:paraId="2D7BA80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68.4</w:t>
            </w:r>
          </w:p>
        </w:tc>
        <w:tc>
          <w:tcPr>
            <w:tcW w:w="952" w:type="pct"/>
          </w:tcPr>
          <w:p w14:paraId="7BE9842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100% (</w:t>
            </w:r>
            <w:r w:rsidRPr="00DA13F2">
              <w:rPr>
                <w:rFonts w:ascii="Book Antiqua" w:hAnsi="Book Antiqua"/>
                <w:i/>
                <w:iCs/>
              </w:rPr>
              <w:t xml:space="preserve">n </w:t>
            </w:r>
            <w:r w:rsidRPr="00DA13F2">
              <w:rPr>
                <w:rFonts w:ascii="Book Antiqua" w:hAnsi="Book Antiqua"/>
              </w:rPr>
              <w:t xml:space="preserve">= 52) </w:t>
            </w:r>
            <w:r w:rsidRPr="00DA13F2">
              <w:rPr>
                <w:rFonts w:ascii="Book Antiqua" w:hAnsi="Book Antiqua"/>
                <w:i/>
                <w:iCs/>
              </w:rPr>
              <w:t>vs</w:t>
            </w:r>
            <w:r w:rsidRPr="00DA13F2">
              <w:rPr>
                <w:rFonts w:ascii="Book Antiqua" w:hAnsi="Book Antiqua"/>
              </w:rPr>
              <w:t xml:space="preserve"> &lt; 100% (</w:t>
            </w:r>
            <w:r w:rsidRPr="00DA13F2">
              <w:rPr>
                <w:rFonts w:ascii="Book Antiqua" w:hAnsi="Book Antiqua"/>
                <w:i/>
                <w:iCs/>
              </w:rPr>
              <w:t xml:space="preserve">n </w:t>
            </w:r>
            <w:r w:rsidRPr="00DA13F2">
              <w:rPr>
                <w:rFonts w:ascii="Book Antiqua" w:hAnsi="Book Antiqua"/>
              </w:rPr>
              <w:t>= 152)</w:t>
            </w:r>
          </w:p>
        </w:tc>
        <w:tc>
          <w:tcPr>
            <w:tcW w:w="306" w:type="pct"/>
          </w:tcPr>
          <w:p w14:paraId="487EEEA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w:t>
            </w:r>
          </w:p>
        </w:tc>
      </w:tr>
      <w:tr w:rsidR="00F07E1C" w:rsidRPr="00DA13F2" w14:paraId="0EF281A2" w14:textId="77777777" w:rsidTr="005E00C5">
        <w:trPr>
          <w:trHeight w:val="432"/>
        </w:trPr>
        <w:tc>
          <w:tcPr>
            <w:tcW w:w="783" w:type="pct"/>
          </w:tcPr>
          <w:p w14:paraId="520D33FE" w14:textId="096DB7BC"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St-Amour </w:t>
            </w:r>
            <w:r w:rsidRPr="00DA13F2">
              <w:rPr>
                <w:rFonts w:ascii="Book Antiqua" w:hAnsi="Book Antiqua"/>
                <w:i/>
                <w:iCs/>
              </w:rPr>
              <w:t>et al</w:t>
            </w:r>
            <w:r w:rsidRPr="00DA13F2">
              <w:rPr>
                <w:rFonts w:ascii="Book Antiqua" w:hAnsi="Book Antiqua"/>
                <w:vertAlign w:val="superscript"/>
              </w:rPr>
              <w:t>[19]</w:t>
            </w:r>
            <w:r w:rsidR="005E00C5" w:rsidRPr="00DA13F2">
              <w:rPr>
                <w:rFonts w:ascii="Book Antiqua" w:hAnsi="Book Antiqua"/>
              </w:rPr>
              <w:t>,</w:t>
            </w:r>
            <w:r w:rsidRPr="00DA13F2">
              <w:rPr>
                <w:rFonts w:ascii="Book Antiqua" w:hAnsi="Book Antiqua"/>
              </w:rPr>
              <w:t xml:space="preserve"> 2020</w:t>
            </w:r>
          </w:p>
        </w:tc>
        <w:tc>
          <w:tcPr>
            <w:tcW w:w="698" w:type="pct"/>
          </w:tcPr>
          <w:p w14:paraId="5F90697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Retrospective</w:t>
            </w:r>
          </w:p>
        </w:tc>
        <w:tc>
          <w:tcPr>
            <w:tcW w:w="231" w:type="pct"/>
          </w:tcPr>
          <w:p w14:paraId="422B046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89</w:t>
            </w:r>
          </w:p>
        </w:tc>
        <w:tc>
          <w:tcPr>
            <w:tcW w:w="551" w:type="pct"/>
          </w:tcPr>
          <w:p w14:paraId="075494C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68 (61-73)</w:t>
            </w:r>
          </w:p>
        </w:tc>
        <w:tc>
          <w:tcPr>
            <w:tcW w:w="712" w:type="pct"/>
          </w:tcPr>
          <w:p w14:paraId="52DD247C" w14:textId="224C8E78" w:rsidR="00F07E1C" w:rsidRPr="00DA13F2" w:rsidRDefault="005E00C5" w:rsidP="00DA13F2">
            <w:pPr>
              <w:adjustRightInd w:val="0"/>
              <w:snapToGrid w:val="0"/>
              <w:spacing w:line="360" w:lineRule="auto"/>
              <w:jc w:val="both"/>
              <w:rPr>
                <w:rFonts w:ascii="Book Antiqua" w:hAnsi="Book Antiqua"/>
              </w:rPr>
            </w:pPr>
            <w:r w:rsidRPr="00DA13F2">
              <w:rPr>
                <w:rFonts w:ascii="Book Antiqua" w:hAnsi="Book Antiqua"/>
              </w:rPr>
              <w:t>NA</w:t>
            </w:r>
          </w:p>
        </w:tc>
        <w:tc>
          <w:tcPr>
            <w:tcW w:w="768" w:type="pct"/>
          </w:tcPr>
          <w:p w14:paraId="08CD82B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63 (36 for post-op)</w:t>
            </w:r>
          </w:p>
        </w:tc>
        <w:tc>
          <w:tcPr>
            <w:tcW w:w="952" w:type="pct"/>
          </w:tcPr>
          <w:p w14:paraId="4F1D506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 67% </w:t>
            </w:r>
            <w:r w:rsidRPr="00DA13F2">
              <w:rPr>
                <w:rFonts w:ascii="Book Antiqua" w:hAnsi="Book Antiqua"/>
                <w:i/>
                <w:iCs/>
              </w:rPr>
              <w:t>vs</w:t>
            </w:r>
            <w:r w:rsidRPr="00DA13F2">
              <w:rPr>
                <w:rFonts w:ascii="Book Antiqua" w:hAnsi="Book Antiqua"/>
              </w:rPr>
              <w:t xml:space="preserve"> &lt; 67%</w:t>
            </w:r>
          </w:p>
        </w:tc>
        <w:tc>
          <w:tcPr>
            <w:tcW w:w="306" w:type="pct"/>
          </w:tcPr>
          <w:p w14:paraId="32A2145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w:t>
            </w:r>
          </w:p>
        </w:tc>
      </w:tr>
    </w:tbl>
    <w:bookmarkEnd w:id="65"/>
    <w:p w14:paraId="6CFE866F" w14:textId="47BD90F8"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vertAlign w:val="superscript"/>
        </w:rPr>
        <w:t>1</w:t>
      </w:r>
      <w:r w:rsidR="005E00C5" w:rsidRPr="00DA13F2">
        <w:rPr>
          <w:rFonts w:ascii="Book Antiqua" w:hAnsi="Book Antiqua"/>
        </w:rPr>
        <w:t>Included in the meta-analysis.</w:t>
      </w:r>
      <w:r w:rsidRPr="00DA13F2">
        <w:rPr>
          <w:rFonts w:ascii="Book Antiqua" w:hAnsi="Book Antiqua"/>
        </w:rPr>
        <w:t xml:space="preserve"> NOS: Newcastle–</w:t>
      </w:r>
      <w:r w:rsidR="005E00C5" w:rsidRPr="00DA13F2">
        <w:rPr>
          <w:rFonts w:ascii="Book Antiqua" w:hAnsi="Book Antiqua"/>
        </w:rPr>
        <w:t xml:space="preserve">Ottawa </w:t>
      </w:r>
      <w:r w:rsidRPr="00DA13F2">
        <w:rPr>
          <w:rFonts w:ascii="Book Antiqua" w:hAnsi="Book Antiqua"/>
        </w:rPr>
        <w:t xml:space="preserve">scale; </w:t>
      </w:r>
      <w:r w:rsidR="005E00C5" w:rsidRPr="00DA13F2">
        <w:rPr>
          <w:rFonts w:ascii="Book Antiqua" w:hAnsi="Book Antiqua"/>
        </w:rPr>
        <w:t>NA</w:t>
      </w:r>
      <w:r w:rsidRPr="00DA13F2">
        <w:rPr>
          <w:rFonts w:ascii="Book Antiqua" w:hAnsi="Book Antiqua"/>
        </w:rPr>
        <w:t>: Not available.</w:t>
      </w:r>
    </w:p>
    <w:p w14:paraId="0660A499" w14:textId="46777923" w:rsidR="00F07E1C" w:rsidRPr="00DA13F2" w:rsidRDefault="00F07E1C" w:rsidP="00DA13F2">
      <w:pPr>
        <w:adjustRightInd w:val="0"/>
        <w:snapToGrid w:val="0"/>
        <w:spacing w:line="360" w:lineRule="auto"/>
        <w:jc w:val="both"/>
        <w:rPr>
          <w:rFonts w:ascii="Book Antiqua" w:hAnsi="Book Antiqua"/>
          <w:b/>
        </w:rPr>
      </w:pPr>
      <w:r w:rsidRPr="00DA13F2">
        <w:rPr>
          <w:rFonts w:ascii="Book Antiqua" w:eastAsia="Book Antiqua" w:hAnsi="Book Antiqua" w:cs="Book Antiqua"/>
          <w:b/>
          <w:bCs/>
          <w:color w:val="000000"/>
        </w:rPr>
        <w:br w:type="page"/>
      </w:r>
      <w:bookmarkStart w:id="66" w:name="_Hlk65612324"/>
      <w:r w:rsidRPr="00DA13F2">
        <w:rPr>
          <w:rFonts w:ascii="Book Antiqua" w:hAnsi="Book Antiqua"/>
          <w:b/>
        </w:rPr>
        <w:lastRenderedPageBreak/>
        <w:t xml:space="preserve">Table 2 </w:t>
      </w:r>
      <w:proofErr w:type="spellStart"/>
      <w:r w:rsidR="005E5B77" w:rsidRPr="00DA13F2">
        <w:rPr>
          <w:rFonts w:ascii="Book Antiqua" w:hAnsi="Book Antiqua"/>
          <w:b/>
        </w:rPr>
        <w:t>S</w:t>
      </w:r>
      <w:r w:rsidRPr="00DA13F2">
        <w:rPr>
          <w:rFonts w:ascii="Book Antiqua" w:hAnsi="Book Antiqua"/>
          <w:b/>
        </w:rPr>
        <w:t>ummari</w:t>
      </w:r>
      <w:r w:rsidR="005E5B77">
        <w:rPr>
          <w:rFonts w:ascii="Book Antiqua" w:hAnsi="Book Antiqua"/>
          <w:b/>
        </w:rPr>
        <w:t>sing</w:t>
      </w:r>
      <w:proofErr w:type="spellEnd"/>
      <w:r w:rsidRPr="00DA13F2">
        <w:rPr>
          <w:rFonts w:ascii="Book Antiqua" w:hAnsi="Book Antiqua"/>
          <w:b/>
        </w:rPr>
        <w:t xml:space="preserve"> the morbidity, mortality and readmission rates along with length of stay and impact of deviations on these outcomes</w:t>
      </w:r>
    </w:p>
    <w:tbl>
      <w:tblPr>
        <w:tblStyle w:val="a3"/>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1062"/>
        <w:gridCol w:w="1026"/>
        <w:gridCol w:w="974"/>
        <w:gridCol w:w="1393"/>
        <w:gridCol w:w="1672"/>
        <w:gridCol w:w="4612"/>
      </w:tblGrid>
      <w:tr w:rsidR="00F07E1C" w:rsidRPr="00DA13F2" w14:paraId="6AEB1F97" w14:textId="77777777" w:rsidTr="005E5B77">
        <w:trPr>
          <w:trHeight w:val="376"/>
          <w:jc w:val="center"/>
        </w:trPr>
        <w:tc>
          <w:tcPr>
            <w:tcW w:w="613" w:type="pct"/>
            <w:vMerge w:val="restart"/>
            <w:tcBorders>
              <w:top w:val="single" w:sz="4" w:space="0" w:color="auto"/>
              <w:bottom w:val="nil"/>
            </w:tcBorders>
          </w:tcPr>
          <w:p w14:paraId="7A5F3526" w14:textId="62B17B20"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Ref</w:t>
            </w:r>
            <w:r w:rsidR="00E5036D" w:rsidRPr="00DA13F2">
              <w:rPr>
                <w:rFonts w:ascii="Book Antiqua" w:hAnsi="Book Antiqua"/>
                <w:b/>
              </w:rPr>
              <w:t>.</w:t>
            </w:r>
          </w:p>
        </w:tc>
        <w:tc>
          <w:tcPr>
            <w:tcW w:w="434" w:type="pct"/>
            <w:vMerge w:val="restart"/>
            <w:tcBorders>
              <w:top w:val="single" w:sz="4" w:space="0" w:color="auto"/>
              <w:bottom w:val="nil"/>
            </w:tcBorders>
          </w:tcPr>
          <w:p w14:paraId="20B82A64"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Length of stay</w:t>
            </w:r>
            <w:r w:rsidRPr="00DA13F2">
              <w:rPr>
                <w:rFonts w:ascii="Book Antiqua" w:hAnsi="Book Antiqua"/>
                <w:b/>
                <w:vertAlign w:val="superscript"/>
              </w:rPr>
              <w:t xml:space="preserve">1 </w:t>
            </w:r>
            <w:r w:rsidRPr="00DA13F2">
              <w:rPr>
                <w:rFonts w:ascii="Book Antiqua" w:hAnsi="Book Antiqua"/>
                <w:b/>
              </w:rPr>
              <w:t>(d)</w:t>
            </w:r>
          </w:p>
        </w:tc>
        <w:tc>
          <w:tcPr>
            <w:tcW w:w="817" w:type="pct"/>
            <w:gridSpan w:val="2"/>
            <w:tcBorders>
              <w:top w:val="single" w:sz="4" w:space="0" w:color="auto"/>
              <w:bottom w:val="single" w:sz="4" w:space="0" w:color="auto"/>
            </w:tcBorders>
          </w:tcPr>
          <w:p w14:paraId="543EFB78"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Complications (%)</w:t>
            </w:r>
          </w:p>
        </w:tc>
        <w:tc>
          <w:tcPr>
            <w:tcW w:w="569" w:type="pct"/>
            <w:vMerge w:val="restart"/>
            <w:tcBorders>
              <w:top w:val="single" w:sz="4" w:space="0" w:color="auto"/>
              <w:bottom w:val="nil"/>
            </w:tcBorders>
          </w:tcPr>
          <w:p w14:paraId="73F2D982"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Mortality (%)</w:t>
            </w:r>
          </w:p>
        </w:tc>
        <w:tc>
          <w:tcPr>
            <w:tcW w:w="683" w:type="pct"/>
            <w:vMerge w:val="restart"/>
            <w:tcBorders>
              <w:top w:val="single" w:sz="4" w:space="0" w:color="auto"/>
              <w:bottom w:val="nil"/>
            </w:tcBorders>
          </w:tcPr>
          <w:p w14:paraId="02CE208F"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Readmissions (%)</w:t>
            </w:r>
          </w:p>
        </w:tc>
        <w:tc>
          <w:tcPr>
            <w:tcW w:w="1884" w:type="pct"/>
            <w:vMerge w:val="restart"/>
            <w:tcBorders>
              <w:top w:val="single" w:sz="4" w:space="0" w:color="auto"/>
              <w:bottom w:val="nil"/>
            </w:tcBorders>
          </w:tcPr>
          <w:p w14:paraId="4631432E" w14:textId="0366E4A2" w:rsidR="00F07E1C" w:rsidRPr="00DA13F2" w:rsidRDefault="00F07E1C" w:rsidP="00DA13F2">
            <w:pPr>
              <w:adjustRightInd w:val="0"/>
              <w:snapToGrid w:val="0"/>
              <w:spacing w:line="360" w:lineRule="auto"/>
              <w:jc w:val="both"/>
              <w:rPr>
                <w:rFonts w:ascii="Book Antiqua" w:hAnsi="Book Antiqua"/>
                <w:b/>
                <w:color w:val="000000"/>
              </w:rPr>
            </w:pPr>
            <w:r w:rsidRPr="00DA13F2">
              <w:rPr>
                <w:rFonts w:ascii="Book Antiqua" w:hAnsi="Book Antiqua"/>
                <w:b/>
                <w:color w:val="000000"/>
              </w:rPr>
              <w:t>Impact of deviations/non-compliance to clinical pathway</w:t>
            </w:r>
          </w:p>
        </w:tc>
      </w:tr>
      <w:tr w:rsidR="00F07E1C" w:rsidRPr="00DA13F2" w14:paraId="57B79302" w14:textId="77777777" w:rsidTr="005E5B77">
        <w:trPr>
          <w:trHeight w:val="376"/>
          <w:jc w:val="center"/>
        </w:trPr>
        <w:tc>
          <w:tcPr>
            <w:tcW w:w="613" w:type="pct"/>
            <w:vMerge/>
            <w:tcBorders>
              <w:top w:val="nil"/>
              <w:bottom w:val="single" w:sz="4" w:space="0" w:color="auto"/>
            </w:tcBorders>
          </w:tcPr>
          <w:p w14:paraId="5927C290" w14:textId="77777777" w:rsidR="00F07E1C" w:rsidRPr="00DA13F2" w:rsidRDefault="00F07E1C" w:rsidP="00DA13F2">
            <w:pPr>
              <w:adjustRightInd w:val="0"/>
              <w:snapToGrid w:val="0"/>
              <w:spacing w:line="360" w:lineRule="auto"/>
              <w:jc w:val="both"/>
              <w:rPr>
                <w:rFonts w:ascii="Book Antiqua" w:hAnsi="Book Antiqua"/>
                <w:b/>
              </w:rPr>
            </w:pPr>
          </w:p>
        </w:tc>
        <w:tc>
          <w:tcPr>
            <w:tcW w:w="434" w:type="pct"/>
            <w:vMerge/>
            <w:tcBorders>
              <w:top w:val="nil"/>
              <w:bottom w:val="single" w:sz="4" w:space="0" w:color="auto"/>
            </w:tcBorders>
          </w:tcPr>
          <w:p w14:paraId="655FFEEE" w14:textId="77777777" w:rsidR="00F07E1C" w:rsidRPr="00DA13F2" w:rsidRDefault="00F07E1C" w:rsidP="00DA13F2">
            <w:pPr>
              <w:adjustRightInd w:val="0"/>
              <w:snapToGrid w:val="0"/>
              <w:spacing w:line="360" w:lineRule="auto"/>
              <w:jc w:val="both"/>
              <w:rPr>
                <w:rFonts w:ascii="Book Antiqua" w:hAnsi="Book Antiqua"/>
                <w:b/>
              </w:rPr>
            </w:pPr>
          </w:p>
        </w:tc>
        <w:tc>
          <w:tcPr>
            <w:tcW w:w="419" w:type="pct"/>
            <w:tcBorders>
              <w:top w:val="single" w:sz="4" w:space="0" w:color="auto"/>
              <w:bottom w:val="single" w:sz="4" w:space="0" w:color="auto"/>
            </w:tcBorders>
          </w:tcPr>
          <w:p w14:paraId="2EC3CA87" w14:textId="77777777" w:rsidR="00F07E1C" w:rsidRPr="00DA13F2" w:rsidRDefault="00F07E1C" w:rsidP="00DA13F2">
            <w:pPr>
              <w:adjustRightInd w:val="0"/>
              <w:snapToGrid w:val="0"/>
              <w:spacing w:line="360" w:lineRule="auto"/>
              <w:jc w:val="both"/>
              <w:rPr>
                <w:rFonts w:ascii="Book Antiqua" w:hAnsi="Book Antiqua"/>
                <w:b/>
              </w:rPr>
            </w:pPr>
            <w:r w:rsidRPr="00DA13F2">
              <w:rPr>
                <w:rFonts w:ascii="Book Antiqua" w:hAnsi="Book Antiqua"/>
                <w:b/>
              </w:rPr>
              <w:t>Overall</w:t>
            </w:r>
          </w:p>
        </w:tc>
        <w:tc>
          <w:tcPr>
            <w:tcW w:w="398" w:type="pct"/>
            <w:tcBorders>
              <w:top w:val="single" w:sz="4" w:space="0" w:color="auto"/>
              <w:bottom w:val="single" w:sz="4" w:space="0" w:color="auto"/>
            </w:tcBorders>
          </w:tcPr>
          <w:p w14:paraId="283D5D42" w14:textId="0479985B" w:rsidR="00F07E1C" w:rsidRPr="00DA13F2" w:rsidRDefault="005E00C5" w:rsidP="00DA13F2">
            <w:pPr>
              <w:adjustRightInd w:val="0"/>
              <w:snapToGrid w:val="0"/>
              <w:spacing w:line="360" w:lineRule="auto"/>
              <w:jc w:val="both"/>
              <w:rPr>
                <w:rFonts w:ascii="Book Antiqua" w:hAnsi="Book Antiqua"/>
                <w:b/>
              </w:rPr>
            </w:pPr>
            <w:r w:rsidRPr="00DA13F2">
              <w:rPr>
                <w:rFonts w:ascii="Book Antiqua" w:hAnsi="Book Antiqua"/>
                <w:b/>
              </w:rPr>
              <w:t>≥ CD 3</w:t>
            </w:r>
          </w:p>
        </w:tc>
        <w:tc>
          <w:tcPr>
            <w:tcW w:w="569" w:type="pct"/>
            <w:vMerge/>
            <w:tcBorders>
              <w:top w:val="nil"/>
              <w:bottom w:val="single" w:sz="4" w:space="0" w:color="auto"/>
            </w:tcBorders>
          </w:tcPr>
          <w:p w14:paraId="552F7A00" w14:textId="77777777" w:rsidR="00F07E1C" w:rsidRPr="00DA13F2" w:rsidRDefault="00F07E1C" w:rsidP="00DA13F2">
            <w:pPr>
              <w:adjustRightInd w:val="0"/>
              <w:snapToGrid w:val="0"/>
              <w:spacing w:line="360" w:lineRule="auto"/>
              <w:jc w:val="both"/>
              <w:rPr>
                <w:rFonts w:ascii="Book Antiqua" w:hAnsi="Book Antiqua"/>
                <w:b/>
              </w:rPr>
            </w:pPr>
          </w:p>
        </w:tc>
        <w:tc>
          <w:tcPr>
            <w:tcW w:w="683" w:type="pct"/>
            <w:vMerge/>
            <w:tcBorders>
              <w:top w:val="nil"/>
              <w:bottom w:val="single" w:sz="4" w:space="0" w:color="auto"/>
            </w:tcBorders>
          </w:tcPr>
          <w:p w14:paraId="196847B7" w14:textId="77777777" w:rsidR="00F07E1C" w:rsidRPr="00DA13F2" w:rsidRDefault="00F07E1C" w:rsidP="00DA13F2">
            <w:pPr>
              <w:adjustRightInd w:val="0"/>
              <w:snapToGrid w:val="0"/>
              <w:spacing w:line="360" w:lineRule="auto"/>
              <w:jc w:val="both"/>
              <w:rPr>
                <w:rFonts w:ascii="Book Antiqua" w:hAnsi="Book Antiqua"/>
                <w:b/>
              </w:rPr>
            </w:pPr>
          </w:p>
        </w:tc>
        <w:tc>
          <w:tcPr>
            <w:tcW w:w="1884" w:type="pct"/>
            <w:vMerge/>
            <w:tcBorders>
              <w:top w:val="nil"/>
              <w:bottom w:val="single" w:sz="4" w:space="0" w:color="auto"/>
            </w:tcBorders>
          </w:tcPr>
          <w:p w14:paraId="5093F8AB" w14:textId="77777777" w:rsidR="00F07E1C" w:rsidRPr="00DA13F2" w:rsidRDefault="00F07E1C" w:rsidP="00DA13F2">
            <w:pPr>
              <w:adjustRightInd w:val="0"/>
              <w:snapToGrid w:val="0"/>
              <w:spacing w:line="360" w:lineRule="auto"/>
              <w:jc w:val="both"/>
              <w:rPr>
                <w:rFonts w:ascii="Book Antiqua" w:hAnsi="Book Antiqua"/>
                <w:b/>
              </w:rPr>
            </w:pPr>
          </w:p>
        </w:tc>
      </w:tr>
      <w:tr w:rsidR="00F07E1C" w:rsidRPr="00DA13F2" w14:paraId="3C5A4878" w14:textId="77777777" w:rsidTr="00AB48B8">
        <w:trPr>
          <w:trHeight w:val="367"/>
          <w:jc w:val="center"/>
        </w:trPr>
        <w:tc>
          <w:tcPr>
            <w:tcW w:w="613" w:type="pct"/>
            <w:tcBorders>
              <w:top w:val="single" w:sz="4" w:space="0" w:color="auto"/>
              <w:bottom w:val="nil"/>
            </w:tcBorders>
          </w:tcPr>
          <w:p w14:paraId="388F9A3B"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Braga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[16]</w:t>
            </w:r>
          </w:p>
        </w:tc>
        <w:tc>
          <w:tcPr>
            <w:tcW w:w="434" w:type="pct"/>
            <w:tcBorders>
              <w:top w:val="single" w:sz="4" w:space="0" w:color="auto"/>
              <w:bottom w:val="nil"/>
            </w:tcBorders>
          </w:tcPr>
          <w:p w14:paraId="781C8F7D"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14.6 ± 9.8</w:t>
            </w:r>
          </w:p>
        </w:tc>
        <w:tc>
          <w:tcPr>
            <w:tcW w:w="419" w:type="pct"/>
            <w:tcBorders>
              <w:top w:val="single" w:sz="4" w:space="0" w:color="auto"/>
              <w:bottom w:val="nil"/>
            </w:tcBorders>
          </w:tcPr>
          <w:p w14:paraId="7AB9A83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60</w:t>
            </w:r>
          </w:p>
        </w:tc>
        <w:tc>
          <w:tcPr>
            <w:tcW w:w="398" w:type="pct"/>
            <w:tcBorders>
              <w:top w:val="single" w:sz="4" w:space="0" w:color="auto"/>
              <w:bottom w:val="nil"/>
            </w:tcBorders>
          </w:tcPr>
          <w:p w14:paraId="3F7839D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20</w:t>
            </w:r>
          </w:p>
        </w:tc>
        <w:tc>
          <w:tcPr>
            <w:tcW w:w="569" w:type="pct"/>
            <w:tcBorders>
              <w:top w:val="single" w:sz="4" w:space="0" w:color="auto"/>
              <w:bottom w:val="nil"/>
            </w:tcBorders>
          </w:tcPr>
          <w:p w14:paraId="0250264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3.5</w:t>
            </w:r>
          </w:p>
        </w:tc>
        <w:tc>
          <w:tcPr>
            <w:tcW w:w="683" w:type="pct"/>
            <w:tcBorders>
              <w:top w:val="single" w:sz="4" w:space="0" w:color="auto"/>
              <w:bottom w:val="nil"/>
            </w:tcBorders>
          </w:tcPr>
          <w:p w14:paraId="57D85F1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12.2</w:t>
            </w:r>
          </w:p>
        </w:tc>
        <w:tc>
          <w:tcPr>
            <w:tcW w:w="1884" w:type="pct"/>
            <w:tcBorders>
              <w:top w:val="single" w:sz="4" w:space="0" w:color="auto"/>
              <w:bottom w:val="nil"/>
            </w:tcBorders>
          </w:tcPr>
          <w:p w14:paraId="1661ADEE" w14:textId="1716127E"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Significantly lower deviations in patients with uneventful post-operative course</w:t>
            </w:r>
            <w:r w:rsidR="00E5036D" w:rsidRPr="00DA13F2">
              <w:rPr>
                <w:rFonts w:ascii="Book Antiqua" w:hAnsi="Book Antiqua"/>
              </w:rPr>
              <w:t>;</w:t>
            </w:r>
            <w:r w:rsidR="00E5036D" w:rsidRPr="00DA13F2">
              <w:rPr>
                <w:rFonts w:ascii="Book Antiqua" w:hAnsi="Book Antiqua"/>
                <w:lang w:eastAsia="zh-CN"/>
              </w:rPr>
              <w:t xml:space="preserve"> </w:t>
            </w:r>
            <w:r w:rsidRPr="00DA13F2">
              <w:rPr>
                <w:rFonts w:ascii="Book Antiqua" w:hAnsi="Book Antiqua"/>
              </w:rPr>
              <w:t>Lower compliance correlated with severity</w:t>
            </w:r>
            <w:r w:rsidR="00E5036D" w:rsidRPr="00DA13F2">
              <w:rPr>
                <w:rFonts w:ascii="Book Antiqua" w:hAnsi="Book Antiqua"/>
              </w:rPr>
              <w:t xml:space="preserve"> of postoperative complications;</w:t>
            </w:r>
            <w:r w:rsidR="00E5036D" w:rsidRPr="00DA13F2">
              <w:rPr>
                <w:rFonts w:ascii="Book Antiqua" w:hAnsi="Book Antiqua"/>
                <w:lang w:eastAsia="zh-CN"/>
              </w:rPr>
              <w:t xml:space="preserve"> </w:t>
            </w:r>
            <w:r w:rsidRPr="00DA13F2">
              <w:rPr>
                <w:rFonts w:ascii="Book Antiqua" w:hAnsi="Book Antiqua"/>
              </w:rPr>
              <w:t>Low compliance to early oral feeding most likely to be associated with postoperative complications</w:t>
            </w:r>
          </w:p>
        </w:tc>
      </w:tr>
      <w:tr w:rsidR="00F07E1C" w:rsidRPr="00DA13F2" w14:paraId="37E220F6" w14:textId="77777777" w:rsidTr="00AB48B8">
        <w:trPr>
          <w:trHeight w:val="367"/>
          <w:jc w:val="center"/>
        </w:trPr>
        <w:tc>
          <w:tcPr>
            <w:tcW w:w="613" w:type="pct"/>
            <w:tcBorders>
              <w:top w:val="nil"/>
            </w:tcBorders>
          </w:tcPr>
          <w:p w14:paraId="6E9B0898"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Zouros</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[17]</w:t>
            </w:r>
          </w:p>
        </w:tc>
        <w:tc>
          <w:tcPr>
            <w:tcW w:w="434" w:type="pct"/>
            <w:tcBorders>
              <w:top w:val="nil"/>
            </w:tcBorders>
          </w:tcPr>
          <w:p w14:paraId="4CA5A9B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9.7 ± 5.6</w:t>
            </w:r>
          </w:p>
        </w:tc>
        <w:tc>
          <w:tcPr>
            <w:tcW w:w="419" w:type="pct"/>
            <w:tcBorders>
              <w:top w:val="nil"/>
            </w:tcBorders>
          </w:tcPr>
          <w:p w14:paraId="0A6D1DD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34.7</w:t>
            </w:r>
          </w:p>
        </w:tc>
        <w:tc>
          <w:tcPr>
            <w:tcW w:w="398" w:type="pct"/>
            <w:tcBorders>
              <w:top w:val="nil"/>
            </w:tcBorders>
          </w:tcPr>
          <w:p w14:paraId="171D74D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14.7</w:t>
            </w:r>
          </w:p>
        </w:tc>
        <w:tc>
          <w:tcPr>
            <w:tcW w:w="569" w:type="pct"/>
            <w:tcBorders>
              <w:top w:val="nil"/>
            </w:tcBorders>
          </w:tcPr>
          <w:p w14:paraId="6018A33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4</w:t>
            </w:r>
          </w:p>
        </w:tc>
        <w:tc>
          <w:tcPr>
            <w:tcW w:w="683" w:type="pct"/>
            <w:tcBorders>
              <w:top w:val="nil"/>
            </w:tcBorders>
          </w:tcPr>
          <w:p w14:paraId="2C395A08"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6.7</w:t>
            </w:r>
          </w:p>
        </w:tc>
        <w:tc>
          <w:tcPr>
            <w:tcW w:w="1884" w:type="pct"/>
            <w:tcBorders>
              <w:top w:val="nil"/>
            </w:tcBorders>
          </w:tcPr>
          <w:p w14:paraId="2F3FA678" w14:textId="1EC9F1B4"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&lt;</w:t>
            </w:r>
            <w:r w:rsidR="00E5036D" w:rsidRPr="00DA13F2">
              <w:rPr>
                <w:rFonts w:ascii="Book Antiqua" w:hAnsi="Book Antiqua"/>
              </w:rPr>
              <w:t xml:space="preserve"> 100</w:t>
            </w:r>
            <w:r w:rsidRPr="00DA13F2">
              <w:rPr>
                <w:rFonts w:ascii="Book Antiqua" w:hAnsi="Book Antiqua"/>
              </w:rPr>
              <w:t xml:space="preserve">% compliance associated with significantly higher rates of postoperative complications (72.7% </w:t>
            </w:r>
            <w:r w:rsidRPr="00DA13F2">
              <w:rPr>
                <w:rFonts w:ascii="Book Antiqua" w:hAnsi="Book Antiqua"/>
                <w:i/>
                <w:iCs/>
              </w:rPr>
              <w:t>vs</w:t>
            </w:r>
            <w:r w:rsidRPr="00DA13F2">
              <w:rPr>
                <w:rFonts w:ascii="Book Antiqua" w:hAnsi="Book Antiqua"/>
              </w:rPr>
              <w:t xml:space="preserve"> 20.8%; </w:t>
            </w:r>
            <w:r w:rsidRPr="00DA13F2">
              <w:rPr>
                <w:rFonts w:ascii="Book Antiqua" w:hAnsi="Book Antiqua"/>
                <w:i/>
                <w:iCs/>
              </w:rPr>
              <w:t>P</w:t>
            </w:r>
            <w:r w:rsidRPr="00DA13F2">
              <w:rPr>
                <w:rFonts w:ascii="Book Antiqua" w:hAnsi="Book Antiqua"/>
              </w:rPr>
              <w:t xml:space="preserve"> &lt; 0.001)</w:t>
            </w:r>
          </w:p>
        </w:tc>
      </w:tr>
      <w:tr w:rsidR="00F07E1C" w:rsidRPr="00DA13F2" w14:paraId="6E0C7FCB" w14:textId="77777777" w:rsidTr="00AB48B8">
        <w:trPr>
          <w:trHeight w:val="367"/>
          <w:jc w:val="center"/>
        </w:trPr>
        <w:tc>
          <w:tcPr>
            <w:tcW w:w="613" w:type="pct"/>
          </w:tcPr>
          <w:p w14:paraId="79174F43"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Kagedan</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[18]</w:t>
            </w:r>
          </w:p>
        </w:tc>
        <w:tc>
          <w:tcPr>
            <w:tcW w:w="434" w:type="pct"/>
          </w:tcPr>
          <w:p w14:paraId="0E48ABA3" w14:textId="6A197FA8"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9 (7</w:t>
            </w:r>
            <w:r w:rsidR="005E5B77">
              <w:rPr>
                <w:rFonts w:ascii="Book Antiqua" w:hAnsi="Book Antiqua"/>
              </w:rPr>
              <w:t>-</w:t>
            </w:r>
            <w:r w:rsidRPr="00DA13F2">
              <w:rPr>
                <w:rFonts w:ascii="Book Antiqua" w:hAnsi="Book Antiqua"/>
              </w:rPr>
              <w:t>14)</w:t>
            </w:r>
          </w:p>
        </w:tc>
        <w:tc>
          <w:tcPr>
            <w:tcW w:w="419" w:type="pct"/>
          </w:tcPr>
          <w:p w14:paraId="14ED4E14" w14:textId="23E06512"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398" w:type="pct"/>
          </w:tcPr>
          <w:p w14:paraId="6ED92224" w14:textId="6298A2D7"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569" w:type="pct"/>
          </w:tcPr>
          <w:p w14:paraId="1AFFA6DB"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0.8</w:t>
            </w:r>
          </w:p>
        </w:tc>
        <w:tc>
          <w:tcPr>
            <w:tcW w:w="683" w:type="pct"/>
          </w:tcPr>
          <w:p w14:paraId="5CB0E91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w:t>
            </w:r>
          </w:p>
        </w:tc>
        <w:tc>
          <w:tcPr>
            <w:tcW w:w="1884" w:type="pct"/>
          </w:tcPr>
          <w:p w14:paraId="09E9EBEC" w14:textId="6FB75E84"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&lt; 100</w:t>
            </w:r>
            <w:r w:rsidR="00F07E1C" w:rsidRPr="00DA13F2">
              <w:rPr>
                <w:rFonts w:ascii="Book Antiqua" w:hAnsi="Book Antiqua"/>
              </w:rPr>
              <w:t xml:space="preserve">% compliance associated with longer length of stay (13 </w:t>
            </w:r>
            <w:r w:rsidR="00F07E1C" w:rsidRPr="00DA13F2">
              <w:rPr>
                <w:rFonts w:ascii="Book Antiqua" w:hAnsi="Book Antiqua"/>
                <w:i/>
                <w:iCs/>
              </w:rPr>
              <w:t xml:space="preserve">vs </w:t>
            </w:r>
            <w:r w:rsidR="00F07E1C" w:rsidRPr="00DA13F2">
              <w:rPr>
                <w:rFonts w:ascii="Book Antiqua" w:hAnsi="Book Antiqua"/>
              </w:rPr>
              <w:t xml:space="preserve">7 d, </w:t>
            </w:r>
            <w:r w:rsidR="00F07E1C" w:rsidRPr="00DA13F2">
              <w:rPr>
                <w:rFonts w:ascii="Book Antiqua" w:hAnsi="Book Antiqua"/>
                <w:i/>
                <w:iCs/>
              </w:rPr>
              <w:t xml:space="preserve">P </w:t>
            </w:r>
            <w:r w:rsidR="00F07E1C" w:rsidRPr="00DA13F2">
              <w:rPr>
                <w:rFonts w:ascii="Book Antiqua" w:hAnsi="Book Antiqua"/>
              </w:rPr>
              <w:t xml:space="preserve">&lt; 0.001) and greater mean total cost of the index postoperative hospitalization ($20392.81 CAD </w:t>
            </w:r>
            <w:r w:rsidR="00F07E1C" w:rsidRPr="00DA13F2">
              <w:rPr>
                <w:rFonts w:ascii="Book Antiqua" w:hAnsi="Book Antiqua"/>
                <w:i/>
                <w:iCs/>
              </w:rPr>
              <w:t>vs</w:t>
            </w:r>
            <w:r w:rsidR="00F07E1C" w:rsidRPr="00DA13F2">
              <w:rPr>
                <w:rFonts w:ascii="Book Antiqua" w:hAnsi="Book Antiqua"/>
              </w:rPr>
              <w:t xml:space="preserve"> $10562.28 CAD, </w:t>
            </w:r>
            <w:r w:rsidR="00F07E1C" w:rsidRPr="00DA13F2">
              <w:rPr>
                <w:rFonts w:ascii="Book Antiqua" w:hAnsi="Book Antiqua"/>
                <w:i/>
                <w:iCs/>
              </w:rPr>
              <w:t>P</w:t>
            </w:r>
            <w:r w:rsidR="00F07E1C" w:rsidRPr="00DA13F2">
              <w:rPr>
                <w:rFonts w:ascii="Book Antiqua" w:hAnsi="Book Antiqua"/>
              </w:rPr>
              <w:t xml:space="preserve"> &lt; 0.002)</w:t>
            </w:r>
          </w:p>
        </w:tc>
      </w:tr>
      <w:tr w:rsidR="00F07E1C" w:rsidRPr="00DA13F2" w14:paraId="395B5FA0" w14:textId="77777777" w:rsidTr="00AB48B8">
        <w:trPr>
          <w:trHeight w:val="367"/>
          <w:jc w:val="center"/>
        </w:trPr>
        <w:tc>
          <w:tcPr>
            <w:tcW w:w="613" w:type="pct"/>
          </w:tcPr>
          <w:p w14:paraId="708F7E63" w14:textId="57BD85BE" w:rsidR="00F07E1C" w:rsidRPr="00DA13F2" w:rsidRDefault="005E5B77" w:rsidP="00DA13F2">
            <w:pPr>
              <w:pStyle w:val="a4"/>
              <w:adjustRightInd w:val="0"/>
              <w:snapToGrid w:val="0"/>
              <w:spacing w:line="360" w:lineRule="auto"/>
              <w:jc w:val="both"/>
              <w:rPr>
                <w:rFonts w:ascii="Book Antiqua" w:hAnsi="Book Antiqua" w:cs="Times New Roman"/>
                <w:sz w:val="24"/>
                <w:szCs w:val="24"/>
              </w:rPr>
            </w:pPr>
            <w:r w:rsidRPr="005E5B77">
              <w:rPr>
                <w:rFonts w:ascii="Book Antiqua" w:hAnsi="Book Antiqua"/>
              </w:rPr>
              <w:lastRenderedPageBreak/>
              <w:t>Tremblay St-Germain</w:t>
            </w:r>
            <w:r w:rsidRPr="00DA13F2">
              <w:rPr>
                <w:rFonts w:ascii="Book Antiqua" w:hAnsi="Book Antiqua" w:cs="Times New Roman"/>
                <w:i/>
                <w:iCs/>
                <w:sz w:val="24"/>
                <w:szCs w:val="24"/>
              </w:rPr>
              <w:t xml:space="preserve"> </w:t>
            </w:r>
            <w:r w:rsidR="00F07E1C" w:rsidRPr="00DA13F2">
              <w:rPr>
                <w:rFonts w:ascii="Book Antiqua" w:hAnsi="Book Antiqua" w:cs="Times New Roman"/>
                <w:i/>
                <w:iCs/>
                <w:sz w:val="24"/>
                <w:szCs w:val="24"/>
              </w:rPr>
              <w:t>et al</w:t>
            </w:r>
            <w:r w:rsidR="00F07E1C" w:rsidRPr="00DA13F2">
              <w:rPr>
                <w:rFonts w:ascii="Book Antiqua" w:hAnsi="Book Antiqua" w:cs="Times New Roman"/>
                <w:sz w:val="24"/>
                <w:szCs w:val="24"/>
                <w:vertAlign w:val="superscript"/>
              </w:rPr>
              <w:t>[20]</w:t>
            </w:r>
          </w:p>
        </w:tc>
        <w:tc>
          <w:tcPr>
            <w:tcW w:w="434" w:type="pct"/>
          </w:tcPr>
          <w:p w14:paraId="4BF08EAE" w14:textId="023678D2"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 (4</w:t>
            </w:r>
            <w:r w:rsidR="005E5B77">
              <w:rPr>
                <w:rFonts w:ascii="Book Antiqua" w:hAnsi="Book Antiqua"/>
              </w:rPr>
              <w:t>-</w:t>
            </w:r>
            <w:r w:rsidRPr="00DA13F2">
              <w:rPr>
                <w:rFonts w:ascii="Book Antiqua" w:hAnsi="Book Antiqua"/>
              </w:rPr>
              <w:t>35)</w:t>
            </w:r>
          </w:p>
        </w:tc>
        <w:tc>
          <w:tcPr>
            <w:tcW w:w="419" w:type="pct"/>
          </w:tcPr>
          <w:p w14:paraId="669E86A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67.5</w:t>
            </w:r>
          </w:p>
        </w:tc>
        <w:tc>
          <w:tcPr>
            <w:tcW w:w="398" w:type="pct"/>
          </w:tcPr>
          <w:p w14:paraId="6AA0552F"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29</w:t>
            </w:r>
          </w:p>
        </w:tc>
        <w:tc>
          <w:tcPr>
            <w:tcW w:w="569" w:type="pct"/>
          </w:tcPr>
          <w:p w14:paraId="23F0E5D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0</w:t>
            </w:r>
          </w:p>
        </w:tc>
        <w:tc>
          <w:tcPr>
            <w:tcW w:w="683" w:type="pct"/>
          </w:tcPr>
          <w:p w14:paraId="6BADFC9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22</w:t>
            </w:r>
            <w:r w:rsidRPr="00DA13F2">
              <w:rPr>
                <w:rFonts w:ascii="Book Antiqua" w:hAnsi="Book Antiqua"/>
                <w:vertAlign w:val="superscript"/>
              </w:rPr>
              <w:t>2</w:t>
            </w:r>
          </w:p>
        </w:tc>
        <w:tc>
          <w:tcPr>
            <w:tcW w:w="1884" w:type="pct"/>
          </w:tcPr>
          <w:p w14:paraId="0CBFE907" w14:textId="5EC678CE"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Failure to remove urinary catheter by POD 3, and initiate solid diet ≤ POD 4 (</w:t>
            </w:r>
            <w:r w:rsidRPr="00DA13F2">
              <w:rPr>
                <w:rFonts w:ascii="Book Antiqua" w:hAnsi="Book Antiqua"/>
                <w:i/>
                <w:iCs/>
              </w:rPr>
              <w:t>P</w:t>
            </w:r>
            <w:r w:rsidRPr="00DA13F2">
              <w:rPr>
                <w:rFonts w:ascii="Book Antiqua" w:hAnsi="Book Antiqua"/>
              </w:rPr>
              <w:t xml:space="preserve"> &lt; 0.01 and </w:t>
            </w:r>
            <w:r w:rsidRPr="00DA13F2">
              <w:rPr>
                <w:rFonts w:ascii="Book Antiqua" w:hAnsi="Book Antiqua"/>
                <w:i/>
                <w:iCs/>
              </w:rPr>
              <w:t>P</w:t>
            </w:r>
            <w:r w:rsidRPr="00DA13F2">
              <w:rPr>
                <w:rFonts w:ascii="Book Antiqua" w:hAnsi="Book Antiqua"/>
              </w:rPr>
              <w:t xml:space="preserve"> &lt; 0.001, respectively), more likely to have prolonged length of stay (&gt; 8 d)</w:t>
            </w:r>
          </w:p>
        </w:tc>
      </w:tr>
      <w:tr w:rsidR="00F07E1C" w:rsidRPr="00DA13F2" w14:paraId="61C50478" w14:textId="77777777" w:rsidTr="00AB48B8">
        <w:trPr>
          <w:trHeight w:val="367"/>
          <w:jc w:val="center"/>
        </w:trPr>
        <w:tc>
          <w:tcPr>
            <w:tcW w:w="613" w:type="pct"/>
          </w:tcPr>
          <w:p w14:paraId="01704BCE"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Agarwal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[23]</w:t>
            </w:r>
          </w:p>
        </w:tc>
        <w:tc>
          <w:tcPr>
            <w:tcW w:w="434" w:type="pct"/>
          </w:tcPr>
          <w:p w14:paraId="4C18C6AC" w14:textId="043904C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12 (4</w:t>
            </w:r>
            <w:r w:rsidR="005E5B77">
              <w:rPr>
                <w:rFonts w:ascii="Book Antiqua" w:hAnsi="Book Antiqua"/>
              </w:rPr>
              <w:t>-</w:t>
            </w:r>
            <w:r w:rsidRPr="00DA13F2">
              <w:rPr>
                <w:rFonts w:ascii="Book Antiqua" w:hAnsi="Book Antiqua"/>
              </w:rPr>
              <w:t>78)</w:t>
            </w:r>
          </w:p>
        </w:tc>
        <w:tc>
          <w:tcPr>
            <w:tcW w:w="419" w:type="pct"/>
          </w:tcPr>
          <w:p w14:paraId="6D8A8E19" w14:textId="0F2713E7" w:rsidR="00F07E1C" w:rsidRPr="00DA13F2" w:rsidRDefault="00600639" w:rsidP="00DA13F2">
            <w:pPr>
              <w:adjustRightInd w:val="0"/>
              <w:snapToGrid w:val="0"/>
              <w:spacing w:line="360" w:lineRule="auto"/>
              <w:jc w:val="both"/>
              <w:rPr>
                <w:rFonts w:ascii="Book Antiqua" w:hAnsi="Book Antiqua"/>
              </w:rPr>
            </w:pPr>
            <w:r w:rsidRPr="00DA13F2">
              <w:rPr>
                <w:rFonts w:ascii="Book Antiqua" w:hAnsi="Book Antiqua"/>
              </w:rPr>
              <w:t>63.2</w:t>
            </w:r>
          </w:p>
        </w:tc>
        <w:tc>
          <w:tcPr>
            <w:tcW w:w="398" w:type="pct"/>
          </w:tcPr>
          <w:p w14:paraId="777A43AC" w14:textId="007B105C" w:rsidR="00F07E1C" w:rsidRPr="00DA13F2" w:rsidRDefault="00600639" w:rsidP="00DA13F2">
            <w:pPr>
              <w:adjustRightInd w:val="0"/>
              <w:snapToGrid w:val="0"/>
              <w:spacing w:line="360" w:lineRule="auto"/>
              <w:jc w:val="both"/>
              <w:rPr>
                <w:rFonts w:ascii="Book Antiqua" w:hAnsi="Book Antiqua"/>
              </w:rPr>
            </w:pPr>
            <w:r w:rsidRPr="00DA13F2">
              <w:rPr>
                <w:rFonts w:ascii="Book Antiqua" w:hAnsi="Book Antiqua"/>
              </w:rPr>
              <w:t>33.2</w:t>
            </w:r>
          </w:p>
        </w:tc>
        <w:tc>
          <w:tcPr>
            <w:tcW w:w="569" w:type="pct"/>
          </w:tcPr>
          <w:p w14:paraId="2883219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3.5 </w:t>
            </w:r>
          </w:p>
        </w:tc>
        <w:tc>
          <w:tcPr>
            <w:tcW w:w="683" w:type="pct"/>
          </w:tcPr>
          <w:p w14:paraId="49AC33F6"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7.8 </w:t>
            </w:r>
          </w:p>
        </w:tc>
        <w:tc>
          <w:tcPr>
            <w:tcW w:w="1884" w:type="pct"/>
          </w:tcPr>
          <w:p w14:paraId="6E522E3E" w14:textId="0AD4E5AB"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&lt; 80% compliance associated with significantly increased major complications (44%</w:t>
            </w:r>
            <w:r w:rsidRPr="00DA13F2">
              <w:rPr>
                <w:rFonts w:ascii="Book Antiqua" w:hAnsi="Book Antiqua"/>
                <w:i/>
                <w:iCs/>
              </w:rPr>
              <w:t xml:space="preserve"> vs</w:t>
            </w:r>
            <w:r w:rsidRPr="00DA13F2">
              <w:rPr>
                <w:rFonts w:ascii="Book Antiqua" w:hAnsi="Book Antiqua"/>
              </w:rPr>
              <w:t xml:space="preserve"> 28.7%, </w:t>
            </w:r>
            <w:r w:rsidRPr="00DA13F2">
              <w:rPr>
                <w:rFonts w:ascii="Book Antiqua" w:hAnsi="Book Antiqua"/>
                <w:i/>
                <w:iCs/>
              </w:rPr>
              <w:t>P</w:t>
            </w:r>
            <w:r w:rsidRPr="00DA13F2">
              <w:rPr>
                <w:rFonts w:ascii="Book Antiqua" w:hAnsi="Book Antiqua"/>
              </w:rPr>
              <w:t xml:space="preserve"> &lt; 0.004), CR-POPF (32.7% </w:t>
            </w:r>
            <w:r w:rsidRPr="00DA13F2">
              <w:rPr>
                <w:rFonts w:ascii="Book Antiqua" w:hAnsi="Book Antiqua"/>
                <w:i/>
                <w:iCs/>
              </w:rPr>
              <w:t>vs</w:t>
            </w:r>
            <w:r w:rsidRPr="00DA13F2">
              <w:rPr>
                <w:rFonts w:ascii="Book Antiqua" w:hAnsi="Book Antiqua"/>
              </w:rPr>
              <w:t xml:space="preserve"> 20.8%, </w:t>
            </w:r>
            <w:r w:rsidRPr="00DA13F2">
              <w:rPr>
                <w:rFonts w:ascii="Book Antiqua" w:hAnsi="Book Antiqua"/>
                <w:i/>
                <w:iCs/>
              </w:rPr>
              <w:t xml:space="preserve">P </w:t>
            </w:r>
            <w:r w:rsidRPr="00DA13F2">
              <w:rPr>
                <w:rFonts w:ascii="Book Antiqua" w:hAnsi="Book Antiqua"/>
              </w:rPr>
              <w:t>&lt; 0.012), longer length of stay [15 (4</w:t>
            </w:r>
            <w:r w:rsidR="005E5B77">
              <w:rPr>
                <w:rFonts w:ascii="Book Antiqua" w:hAnsi="Book Antiqua"/>
              </w:rPr>
              <w:t>-</w:t>
            </w:r>
            <w:r w:rsidRPr="00DA13F2">
              <w:rPr>
                <w:rFonts w:ascii="Book Antiqua" w:hAnsi="Book Antiqua"/>
              </w:rPr>
              <w:t xml:space="preserve">61) </w:t>
            </w:r>
            <w:r w:rsidRPr="00DA13F2">
              <w:rPr>
                <w:rFonts w:ascii="Book Antiqua" w:hAnsi="Book Antiqua"/>
                <w:i/>
                <w:iCs/>
              </w:rPr>
              <w:t xml:space="preserve">vs </w:t>
            </w:r>
            <w:r w:rsidRPr="00DA13F2">
              <w:rPr>
                <w:rFonts w:ascii="Book Antiqua" w:hAnsi="Book Antiqua"/>
              </w:rPr>
              <w:t>11 (5</w:t>
            </w:r>
            <w:r w:rsidR="005E5B77">
              <w:rPr>
                <w:rFonts w:ascii="Book Antiqua" w:hAnsi="Book Antiqua"/>
              </w:rPr>
              <w:t>-</w:t>
            </w:r>
            <w:r w:rsidRPr="00DA13F2">
              <w:rPr>
                <w:rFonts w:ascii="Book Antiqua" w:hAnsi="Book Antiqua"/>
              </w:rPr>
              <w:t xml:space="preserve">78), </w:t>
            </w:r>
            <w:r w:rsidRPr="00DA13F2">
              <w:rPr>
                <w:rFonts w:ascii="Book Antiqua" w:hAnsi="Book Antiqua"/>
                <w:i/>
                <w:iCs/>
              </w:rPr>
              <w:t>P</w:t>
            </w:r>
            <w:r w:rsidRPr="00DA13F2">
              <w:rPr>
                <w:rFonts w:ascii="Book Antiqua" w:hAnsi="Book Antiqua"/>
              </w:rPr>
              <w:t xml:space="preserve"> &lt; 0.001)], re-explorations (17.2% </w:t>
            </w:r>
            <w:r w:rsidRPr="00DA13F2">
              <w:rPr>
                <w:rFonts w:ascii="Book Antiqua" w:hAnsi="Book Antiqua"/>
                <w:i/>
                <w:iCs/>
              </w:rPr>
              <w:t>vs</w:t>
            </w:r>
            <w:r w:rsidRPr="00DA13F2">
              <w:rPr>
                <w:rFonts w:ascii="Book Antiqua" w:hAnsi="Book Antiqua"/>
              </w:rPr>
              <w:t xml:space="preserve"> 6.8%, </w:t>
            </w:r>
            <w:r w:rsidRPr="00DA13F2">
              <w:rPr>
                <w:rFonts w:ascii="Book Antiqua" w:hAnsi="Book Antiqua"/>
                <w:i/>
                <w:iCs/>
              </w:rPr>
              <w:t xml:space="preserve">P </w:t>
            </w:r>
            <w:r w:rsidRPr="00DA13F2">
              <w:rPr>
                <w:rFonts w:ascii="Book Antiqua" w:hAnsi="Book Antiqua"/>
              </w:rPr>
              <w:t xml:space="preserve">&lt; 0.002), escalation of antibiotics (24.1% </w:t>
            </w:r>
            <w:r w:rsidRPr="00DA13F2">
              <w:rPr>
                <w:rFonts w:ascii="Book Antiqua" w:hAnsi="Book Antiqua"/>
                <w:i/>
                <w:iCs/>
              </w:rPr>
              <w:t xml:space="preserve">vs </w:t>
            </w:r>
            <w:r w:rsidRPr="00DA13F2">
              <w:rPr>
                <w:rFonts w:ascii="Book Antiqua" w:hAnsi="Book Antiqua"/>
              </w:rPr>
              <w:t xml:space="preserve">14.7%, </w:t>
            </w:r>
            <w:r w:rsidRPr="00DA13F2">
              <w:rPr>
                <w:rFonts w:ascii="Book Antiqua" w:hAnsi="Book Antiqua"/>
                <w:i/>
                <w:iCs/>
              </w:rPr>
              <w:t xml:space="preserve">P </w:t>
            </w:r>
            <w:r w:rsidRPr="00DA13F2">
              <w:rPr>
                <w:rFonts w:ascii="Book Antiqua" w:hAnsi="Book Antiqua"/>
              </w:rPr>
              <w:t xml:space="preserve">&lt; 0.025) and mortality (6.8% </w:t>
            </w:r>
            <w:r w:rsidRPr="00DA13F2">
              <w:rPr>
                <w:rFonts w:ascii="Book Antiqua" w:hAnsi="Book Antiqua"/>
                <w:i/>
                <w:iCs/>
              </w:rPr>
              <w:t>vs</w:t>
            </w:r>
            <w:r w:rsidRPr="00DA13F2">
              <w:rPr>
                <w:rFonts w:ascii="Book Antiqua" w:hAnsi="Book Antiqua"/>
              </w:rPr>
              <w:t xml:space="preserve"> 2.1%, </w:t>
            </w:r>
            <w:r w:rsidRPr="00DA13F2">
              <w:rPr>
                <w:rFonts w:ascii="Book Antiqua" w:hAnsi="Book Antiqua"/>
                <w:i/>
                <w:iCs/>
              </w:rPr>
              <w:t>P</w:t>
            </w:r>
            <w:r w:rsidRPr="00DA13F2">
              <w:rPr>
                <w:rFonts w:ascii="Book Antiqua" w:hAnsi="Book Antiqua"/>
              </w:rPr>
              <w:t xml:space="preserve"> = 0.021)</w:t>
            </w:r>
          </w:p>
        </w:tc>
      </w:tr>
      <w:tr w:rsidR="00F07E1C" w:rsidRPr="00DA13F2" w14:paraId="7A86F536" w14:textId="77777777" w:rsidTr="00AB48B8">
        <w:trPr>
          <w:trHeight w:val="367"/>
          <w:jc w:val="center"/>
        </w:trPr>
        <w:tc>
          <w:tcPr>
            <w:tcW w:w="613" w:type="pct"/>
          </w:tcPr>
          <w:p w14:paraId="5E496AD9"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Williamsson</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[24]</w:t>
            </w:r>
          </w:p>
        </w:tc>
        <w:tc>
          <w:tcPr>
            <w:tcW w:w="434" w:type="pct"/>
          </w:tcPr>
          <w:p w14:paraId="4194FF5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12 (6-97)</w:t>
            </w:r>
          </w:p>
        </w:tc>
        <w:tc>
          <w:tcPr>
            <w:tcW w:w="419" w:type="pct"/>
          </w:tcPr>
          <w:p w14:paraId="0C13A344"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69.4</w:t>
            </w:r>
          </w:p>
        </w:tc>
        <w:tc>
          <w:tcPr>
            <w:tcW w:w="398" w:type="pct"/>
          </w:tcPr>
          <w:p w14:paraId="686B1D3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21.25 </w:t>
            </w:r>
          </w:p>
        </w:tc>
        <w:tc>
          <w:tcPr>
            <w:tcW w:w="569" w:type="pct"/>
          </w:tcPr>
          <w:p w14:paraId="704C21E3"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1.25</w:t>
            </w:r>
          </w:p>
        </w:tc>
        <w:tc>
          <w:tcPr>
            <w:tcW w:w="683" w:type="pct"/>
          </w:tcPr>
          <w:p w14:paraId="33BD050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16.25</w:t>
            </w:r>
            <w:r w:rsidRPr="00DA13F2">
              <w:rPr>
                <w:rFonts w:ascii="Book Antiqua" w:hAnsi="Book Antiqua"/>
                <w:vertAlign w:val="superscript"/>
              </w:rPr>
              <w:t>2</w:t>
            </w:r>
          </w:p>
        </w:tc>
        <w:tc>
          <w:tcPr>
            <w:tcW w:w="1884" w:type="pct"/>
          </w:tcPr>
          <w:p w14:paraId="776BB836" w14:textId="32DB0CB9"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&lt; 50% compliance associated with delayed discharge [10 (6</w:t>
            </w:r>
            <w:r w:rsidR="005E5B77">
              <w:rPr>
                <w:rFonts w:ascii="Book Antiqua" w:hAnsi="Book Antiqua"/>
              </w:rPr>
              <w:t>-</w:t>
            </w:r>
            <w:r w:rsidRPr="00DA13F2">
              <w:rPr>
                <w:rFonts w:ascii="Book Antiqua" w:hAnsi="Book Antiqua"/>
              </w:rPr>
              <w:t xml:space="preserve">77) </w:t>
            </w:r>
            <w:r w:rsidRPr="00DA13F2">
              <w:rPr>
                <w:rFonts w:ascii="Book Antiqua" w:hAnsi="Book Antiqua"/>
                <w:i/>
                <w:iCs/>
              </w:rPr>
              <w:t>vs</w:t>
            </w:r>
            <w:r w:rsidRPr="00DA13F2">
              <w:rPr>
                <w:rFonts w:ascii="Book Antiqua" w:hAnsi="Book Antiqua"/>
              </w:rPr>
              <w:t xml:space="preserve"> 23 (8</w:t>
            </w:r>
            <w:r w:rsidR="005E5B77">
              <w:rPr>
                <w:rFonts w:ascii="Book Antiqua" w:hAnsi="Book Antiqua"/>
              </w:rPr>
              <w:t>-</w:t>
            </w:r>
            <w:r w:rsidRPr="00DA13F2">
              <w:rPr>
                <w:rFonts w:ascii="Book Antiqua" w:hAnsi="Book Antiqua"/>
              </w:rPr>
              <w:t xml:space="preserve">97) d] and higher incidence of CD </w:t>
            </w:r>
            <w:r w:rsidRPr="00DA13F2">
              <w:rPr>
                <w:rFonts w:ascii="Book Antiqua" w:hAnsi="Book Antiqua" w:cs="Calibri"/>
              </w:rPr>
              <w:t xml:space="preserve">≥ </w:t>
            </w:r>
            <w:r w:rsidRPr="00DA13F2">
              <w:rPr>
                <w:rFonts w:ascii="Book Antiqua" w:hAnsi="Book Antiqua"/>
              </w:rPr>
              <w:t xml:space="preserve">3A complications [21 (16%) </w:t>
            </w:r>
            <w:r w:rsidRPr="00DA13F2">
              <w:rPr>
                <w:rFonts w:ascii="Book Antiqua" w:hAnsi="Book Antiqua"/>
                <w:i/>
                <w:iCs/>
              </w:rPr>
              <w:t>vs</w:t>
            </w:r>
            <w:r w:rsidRPr="00DA13F2">
              <w:rPr>
                <w:rFonts w:ascii="Book Antiqua" w:hAnsi="Book Antiqua"/>
              </w:rPr>
              <w:t xml:space="preserve"> 13 (50%)]</w:t>
            </w:r>
            <w:r w:rsidR="00E5036D" w:rsidRPr="00DA13F2">
              <w:rPr>
                <w:rFonts w:ascii="Book Antiqua" w:hAnsi="Book Antiqua"/>
              </w:rPr>
              <w:t xml:space="preserve">; </w:t>
            </w:r>
            <w:r w:rsidRPr="00DA13F2">
              <w:rPr>
                <w:rFonts w:ascii="Book Antiqua" w:hAnsi="Book Antiqua"/>
              </w:rPr>
              <w:t>≥ 90% (</w:t>
            </w:r>
            <w:r w:rsidRPr="00DA13F2">
              <w:rPr>
                <w:rFonts w:ascii="Book Antiqua" w:hAnsi="Book Antiqua"/>
                <w:i/>
                <w:iCs/>
              </w:rPr>
              <w:t>n</w:t>
            </w:r>
            <w:r w:rsidRPr="00DA13F2">
              <w:rPr>
                <w:rFonts w:ascii="Book Antiqua" w:hAnsi="Book Antiqua"/>
              </w:rPr>
              <w:t xml:space="preserve"> = 13) compliance had a median discharge of POD 8 (7</w:t>
            </w:r>
            <w:r w:rsidR="005E5B77">
              <w:rPr>
                <w:rFonts w:ascii="Book Antiqua" w:hAnsi="Book Antiqua"/>
              </w:rPr>
              <w:t>-</w:t>
            </w:r>
            <w:r w:rsidRPr="00DA13F2">
              <w:rPr>
                <w:rFonts w:ascii="Book Antiqua" w:hAnsi="Book Antiqua"/>
              </w:rPr>
              <w:t xml:space="preserve">9) and no </w:t>
            </w:r>
            <w:r w:rsidRPr="00DA13F2">
              <w:rPr>
                <w:rFonts w:ascii="Book Antiqua" w:hAnsi="Book Antiqua"/>
              </w:rPr>
              <w:lastRenderedPageBreak/>
              <w:t>complication ≥ CD3A</w:t>
            </w:r>
          </w:p>
        </w:tc>
      </w:tr>
      <w:tr w:rsidR="00F07E1C" w:rsidRPr="00DA13F2" w14:paraId="4587D604" w14:textId="77777777" w:rsidTr="00AB48B8">
        <w:trPr>
          <w:trHeight w:val="459"/>
          <w:jc w:val="center"/>
        </w:trPr>
        <w:tc>
          <w:tcPr>
            <w:tcW w:w="613" w:type="pct"/>
          </w:tcPr>
          <w:p w14:paraId="267A13BA"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Karunakaran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[6]</w:t>
            </w:r>
          </w:p>
        </w:tc>
        <w:tc>
          <w:tcPr>
            <w:tcW w:w="434" w:type="pct"/>
          </w:tcPr>
          <w:p w14:paraId="34538AD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10.8 ± 5.8</w:t>
            </w:r>
          </w:p>
        </w:tc>
        <w:tc>
          <w:tcPr>
            <w:tcW w:w="419" w:type="pct"/>
          </w:tcPr>
          <w:p w14:paraId="0401D311"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71</w:t>
            </w:r>
          </w:p>
        </w:tc>
        <w:tc>
          <w:tcPr>
            <w:tcW w:w="398" w:type="pct"/>
          </w:tcPr>
          <w:p w14:paraId="550AE3C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23.5</w:t>
            </w:r>
          </w:p>
        </w:tc>
        <w:tc>
          <w:tcPr>
            <w:tcW w:w="569" w:type="pct"/>
          </w:tcPr>
          <w:p w14:paraId="1DD22B4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6.2</w:t>
            </w:r>
          </w:p>
        </w:tc>
        <w:tc>
          <w:tcPr>
            <w:tcW w:w="683" w:type="pct"/>
          </w:tcPr>
          <w:p w14:paraId="22D23927"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23.7</w:t>
            </w:r>
            <w:r w:rsidRPr="00DA13F2">
              <w:rPr>
                <w:rFonts w:ascii="Book Antiqua" w:hAnsi="Book Antiqua"/>
                <w:vertAlign w:val="superscript"/>
              </w:rPr>
              <w:t>2</w:t>
            </w:r>
          </w:p>
        </w:tc>
        <w:tc>
          <w:tcPr>
            <w:tcW w:w="1884" w:type="pct"/>
          </w:tcPr>
          <w:p w14:paraId="75E74D27" w14:textId="0952D103" w:rsidR="00F07E1C" w:rsidRPr="00DA13F2" w:rsidRDefault="00F07E1C" w:rsidP="00DA13F2">
            <w:pPr>
              <w:adjustRightInd w:val="0"/>
              <w:snapToGrid w:val="0"/>
              <w:spacing w:line="360" w:lineRule="auto"/>
              <w:jc w:val="both"/>
              <w:rPr>
                <w:rFonts w:ascii="Book Antiqua" w:hAnsi="Book Antiqua"/>
                <w:b/>
                <w:u w:val="single"/>
              </w:rPr>
            </w:pPr>
            <w:r w:rsidRPr="00DA13F2">
              <w:rPr>
                <w:rFonts w:ascii="Book Antiqua" w:hAnsi="Book Antiqua"/>
              </w:rPr>
              <w:t xml:space="preserve">&lt; 50% compliance significantly higher risk of complications [DGE (79.7% </w:t>
            </w:r>
            <w:r w:rsidRPr="00DA13F2">
              <w:rPr>
                <w:rFonts w:ascii="Book Antiqua" w:hAnsi="Book Antiqua"/>
                <w:i/>
                <w:iCs/>
              </w:rPr>
              <w:t>vs</w:t>
            </w:r>
            <w:r w:rsidRPr="00DA13F2">
              <w:rPr>
                <w:rFonts w:ascii="Book Antiqua" w:hAnsi="Book Antiqua"/>
              </w:rPr>
              <w:t xml:space="preserve"> 19.4%, </w:t>
            </w:r>
            <w:r w:rsidRPr="00DA13F2">
              <w:rPr>
                <w:rFonts w:ascii="Book Antiqua" w:hAnsi="Book Antiqua"/>
                <w:i/>
                <w:iCs/>
              </w:rPr>
              <w:t>P</w:t>
            </w:r>
            <w:r w:rsidRPr="00DA13F2">
              <w:rPr>
                <w:rFonts w:ascii="Book Antiqua" w:hAnsi="Book Antiqua"/>
              </w:rPr>
              <w:t xml:space="preserve"> = 0.0001); POPF (22.2% </w:t>
            </w:r>
            <w:r w:rsidRPr="00DA13F2">
              <w:rPr>
                <w:rFonts w:ascii="Book Antiqua" w:hAnsi="Book Antiqua"/>
                <w:i/>
                <w:iCs/>
              </w:rPr>
              <w:t xml:space="preserve">vs </w:t>
            </w:r>
            <w:r w:rsidRPr="00DA13F2">
              <w:rPr>
                <w:rFonts w:ascii="Book Antiqua" w:hAnsi="Book Antiqua"/>
              </w:rPr>
              <w:t xml:space="preserve">8.1%, </w:t>
            </w:r>
            <w:r w:rsidRPr="00DA13F2">
              <w:rPr>
                <w:rFonts w:ascii="Book Antiqua" w:hAnsi="Book Antiqua"/>
                <w:i/>
                <w:iCs/>
              </w:rPr>
              <w:t xml:space="preserve">P </w:t>
            </w:r>
            <w:r w:rsidRPr="00DA13F2">
              <w:rPr>
                <w:rFonts w:ascii="Book Antiqua" w:hAnsi="Book Antiqua"/>
              </w:rPr>
              <w:t xml:space="preserve">&lt; 0.025); CD 3/4 complications (37.5% </w:t>
            </w:r>
            <w:r w:rsidRPr="00DA13F2">
              <w:rPr>
                <w:rFonts w:ascii="Book Antiqua" w:hAnsi="Book Antiqua"/>
                <w:i/>
                <w:iCs/>
              </w:rPr>
              <w:t>vs</w:t>
            </w:r>
            <w:r w:rsidRPr="00DA13F2">
              <w:rPr>
                <w:rFonts w:ascii="Book Antiqua" w:hAnsi="Book Antiqua"/>
              </w:rPr>
              <w:t xml:space="preserve"> 6.1%, </w:t>
            </w:r>
            <w:r w:rsidRPr="00DA13F2">
              <w:rPr>
                <w:rFonts w:ascii="Book Antiqua" w:hAnsi="Book Antiqua"/>
                <w:i/>
                <w:iCs/>
              </w:rPr>
              <w:t>P</w:t>
            </w:r>
            <w:r w:rsidRPr="00DA13F2">
              <w:rPr>
                <w:rFonts w:ascii="Book Antiqua" w:hAnsi="Book Antiqua"/>
              </w:rPr>
              <w:t xml:space="preserve"> &lt; 0.0001)], longer length of stay (14 </w:t>
            </w:r>
            <w:r w:rsidRPr="00DA13F2">
              <w:rPr>
                <w:rFonts w:ascii="Book Antiqua" w:hAnsi="Book Antiqua"/>
                <w:i/>
                <w:iCs/>
              </w:rPr>
              <w:t>vs</w:t>
            </w:r>
            <w:r w:rsidRPr="00DA13F2">
              <w:rPr>
                <w:rFonts w:ascii="Book Antiqua" w:hAnsi="Book Antiqua"/>
              </w:rPr>
              <w:t xml:space="preserve"> 10.8 d, </w:t>
            </w:r>
            <w:r w:rsidRPr="00DA13F2">
              <w:rPr>
                <w:rFonts w:ascii="Book Antiqua" w:hAnsi="Book Antiqua"/>
                <w:i/>
              </w:rPr>
              <w:t>P</w:t>
            </w:r>
            <w:r w:rsidRPr="00DA13F2">
              <w:rPr>
                <w:rFonts w:ascii="Book Antiqua" w:hAnsi="Book Antiqua"/>
              </w:rPr>
              <w:t xml:space="preserve"> &lt; 0.0001), 90-d readmissions (40.7% </w:t>
            </w:r>
            <w:r w:rsidRPr="00DA13F2">
              <w:rPr>
                <w:rFonts w:ascii="Book Antiqua" w:hAnsi="Book Antiqua"/>
                <w:i/>
                <w:iCs/>
              </w:rPr>
              <w:t xml:space="preserve">vs </w:t>
            </w:r>
            <w:r w:rsidRPr="00DA13F2">
              <w:rPr>
                <w:rFonts w:ascii="Book Antiqua" w:hAnsi="Book Antiqua"/>
              </w:rPr>
              <w:t xml:space="preserve">14.3%, </w:t>
            </w:r>
            <w:r w:rsidRPr="00DA13F2">
              <w:rPr>
                <w:rFonts w:ascii="Book Antiqua" w:hAnsi="Book Antiqua"/>
                <w:i/>
                <w:iCs/>
              </w:rPr>
              <w:t xml:space="preserve">P </w:t>
            </w:r>
            <w:r w:rsidRPr="00DA13F2">
              <w:rPr>
                <w:rFonts w:ascii="Book Antiqua" w:hAnsi="Book Antiqua"/>
              </w:rPr>
              <w:t xml:space="preserve">= 0.0001) and mortality (14.1% </w:t>
            </w:r>
            <w:r w:rsidRPr="00DA13F2">
              <w:rPr>
                <w:rFonts w:ascii="Book Antiqua" w:hAnsi="Book Antiqua"/>
                <w:i/>
                <w:iCs/>
              </w:rPr>
              <w:t>vs</w:t>
            </w:r>
            <w:r w:rsidRPr="00DA13F2">
              <w:rPr>
                <w:rFonts w:ascii="Book Antiqua" w:hAnsi="Book Antiqua"/>
              </w:rPr>
              <w:t xml:space="preserve"> 1%, </w:t>
            </w:r>
            <w:r w:rsidRPr="00DA13F2">
              <w:rPr>
                <w:rFonts w:ascii="Book Antiqua" w:hAnsi="Book Antiqua"/>
                <w:i/>
                <w:iCs/>
              </w:rPr>
              <w:t>P</w:t>
            </w:r>
            <w:r w:rsidRPr="00DA13F2">
              <w:rPr>
                <w:rFonts w:ascii="Book Antiqua" w:hAnsi="Book Antiqua"/>
              </w:rPr>
              <w:t xml:space="preserve"> &lt; 0.003)</w:t>
            </w:r>
          </w:p>
        </w:tc>
      </w:tr>
      <w:tr w:rsidR="00F07E1C" w:rsidRPr="00DA13F2" w14:paraId="77F2B089" w14:textId="77777777" w:rsidTr="00AB48B8">
        <w:trPr>
          <w:jc w:val="center"/>
        </w:trPr>
        <w:tc>
          <w:tcPr>
            <w:tcW w:w="613" w:type="pct"/>
          </w:tcPr>
          <w:p w14:paraId="072A333E" w14:textId="77777777" w:rsidR="00F07E1C" w:rsidRPr="00DA13F2" w:rsidRDefault="00F07E1C" w:rsidP="00DA13F2">
            <w:pPr>
              <w:pStyle w:val="a4"/>
              <w:adjustRightInd w:val="0"/>
              <w:snapToGrid w:val="0"/>
              <w:spacing w:line="360" w:lineRule="auto"/>
              <w:jc w:val="both"/>
              <w:rPr>
                <w:rFonts w:ascii="Book Antiqua" w:hAnsi="Book Antiqua" w:cs="Times New Roman"/>
                <w:color w:val="00B0F0"/>
                <w:sz w:val="24"/>
                <w:szCs w:val="24"/>
              </w:rPr>
            </w:pPr>
            <w:proofErr w:type="spellStart"/>
            <w:r w:rsidRPr="00DA13F2">
              <w:rPr>
                <w:rFonts w:ascii="Book Antiqua" w:hAnsi="Book Antiqua" w:cs="Times New Roman"/>
                <w:sz w:val="24"/>
                <w:szCs w:val="24"/>
              </w:rPr>
              <w:t>Roulin</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[10]</w:t>
            </w:r>
          </w:p>
        </w:tc>
        <w:tc>
          <w:tcPr>
            <w:tcW w:w="434" w:type="pct"/>
          </w:tcPr>
          <w:p w14:paraId="0D7560EC" w14:textId="7489452E"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14 (9-22)</w:t>
            </w:r>
          </w:p>
        </w:tc>
        <w:tc>
          <w:tcPr>
            <w:tcW w:w="419" w:type="pct"/>
          </w:tcPr>
          <w:p w14:paraId="6B13EF69" w14:textId="35F30CE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83.7</w:t>
            </w:r>
          </w:p>
        </w:tc>
        <w:tc>
          <w:tcPr>
            <w:tcW w:w="398" w:type="pct"/>
          </w:tcPr>
          <w:p w14:paraId="76D47964" w14:textId="4842DD93"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36.9</w:t>
            </w:r>
          </w:p>
        </w:tc>
        <w:tc>
          <w:tcPr>
            <w:tcW w:w="569" w:type="pct"/>
          </w:tcPr>
          <w:p w14:paraId="5041E10C"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3.1</w:t>
            </w:r>
          </w:p>
        </w:tc>
        <w:tc>
          <w:tcPr>
            <w:tcW w:w="683" w:type="pct"/>
          </w:tcPr>
          <w:p w14:paraId="0A635C9C"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11.3</w:t>
            </w:r>
          </w:p>
        </w:tc>
        <w:tc>
          <w:tcPr>
            <w:tcW w:w="1884" w:type="pct"/>
          </w:tcPr>
          <w:p w14:paraId="20E47895" w14:textId="1C9E9FDE"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&lt; 70% compliance significantly increased length of stay [15 (10</w:t>
            </w:r>
            <w:r w:rsidR="005E5B77">
              <w:rPr>
                <w:rFonts w:ascii="Book Antiqua" w:hAnsi="Book Antiqua"/>
              </w:rPr>
              <w:t>-</w:t>
            </w:r>
            <w:r w:rsidRPr="00DA13F2">
              <w:rPr>
                <w:rFonts w:ascii="Book Antiqua" w:hAnsi="Book Antiqua"/>
              </w:rPr>
              <w:t xml:space="preserve">23) </w:t>
            </w:r>
            <w:r w:rsidRPr="00DA13F2">
              <w:rPr>
                <w:rFonts w:ascii="Book Antiqua" w:hAnsi="Book Antiqua"/>
                <w:i/>
                <w:iCs/>
              </w:rPr>
              <w:t>vs</w:t>
            </w:r>
            <w:r w:rsidRPr="00DA13F2">
              <w:rPr>
                <w:rFonts w:ascii="Book Antiqua" w:hAnsi="Book Antiqua"/>
              </w:rPr>
              <w:t xml:space="preserve"> 11 (7</w:t>
            </w:r>
            <w:r w:rsidR="005E5B77">
              <w:rPr>
                <w:rFonts w:ascii="Book Antiqua" w:hAnsi="Book Antiqua"/>
              </w:rPr>
              <w:t>-</w:t>
            </w:r>
            <w:r w:rsidRPr="00DA13F2">
              <w:rPr>
                <w:rFonts w:ascii="Book Antiqua" w:hAnsi="Book Antiqua"/>
              </w:rPr>
              <w:t xml:space="preserve">16) d, </w:t>
            </w:r>
            <w:r w:rsidRPr="00DA13F2">
              <w:rPr>
                <w:rFonts w:ascii="Book Antiqua" w:hAnsi="Book Antiqua"/>
                <w:i/>
                <w:iCs/>
              </w:rPr>
              <w:t>P</w:t>
            </w:r>
            <w:r w:rsidRPr="00DA13F2">
              <w:rPr>
                <w:rFonts w:ascii="Book Antiqua" w:hAnsi="Book Antiqua"/>
              </w:rPr>
              <w:t xml:space="preserve"> &lt; 0.001], and overall (88.9% </w:t>
            </w:r>
            <w:r w:rsidRPr="00DA13F2">
              <w:rPr>
                <w:rFonts w:ascii="Book Antiqua" w:hAnsi="Book Antiqua"/>
                <w:i/>
                <w:iCs/>
              </w:rPr>
              <w:t>vs</w:t>
            </w:r>
            <w:r w:rsidRPr="00DA13F2">
              <w:rPr>
                <w:rFonts w:ascii="Book Antiqua" w:hAnsi="Book Antiqua"/>
              </w:rPr>
              <w:t xml:space="preserve"> 78.8%, </w:t>
            </w:r>
            <w:r w:rsidRPr="00DA13F2">
              <w:rPr>
                <w:rFonts w:ascii="Book Antiqua" w:hAnsi="Book Antiqua"/>
                <w:i/>
                <w:iCs/>
              </w:rPr>
              <w:t xml:space="preserve">P </w:t>
            </w:r>
            <w:r w:rsidRPr="00DA13F2">
              <w:rPr>
                <w:rFonts w:ascii="Book Antiqua" w:hAnsi="Book Antiqua"/>
              </w:rPr>
              <w:t xml:space="preserve">&lt; 0.029) and major (43.6 </w:t>
            </w:r>
            <w:r w:rsidRPr="00DA13F2">
              <w:rPr>
                <w:rFonts w:ascii="Book Antiqua" w:hAnsi="Book Antiqua"/>
                <w:i/>
                <w:iCs/>
              </w:rPr>
              <w:t>vs</w:t>
            </w:r>
            <w:r w:rsidRPr="00DA13F2">
              <w:rPr>
                <w:rFonts w:ascii="Book Antiqua" w:hAnsi="Book Antiqua"/>
              </w:rPr>
              <w:t xml:space="preserve"> 28.2,</w:t>
            </w:r>
            <w:r w:rsidRPr="00DA13F2">
              <w:rPr>
                <w:rFonts w:ascii="Book Antiqua" w:hAnsi="Book Antiqua"/>
                <w:i/>
                <w:iCs/>
              </w:rPr>
              <w:t xml:space="preserve"> P</w:t>
            </w:r>
            <w:r w:rsidRPr="00DA13F2">
              <w:rPr>
                <w:rFonts w:ascii="Book Antiqua" w:hAnsi="Book Antiqua"/>
              </w:rPr>
              <w:t xml:space="preserve"> &lt; 0.012) complications (especially respiratory and infectious)</w:t>
            </w:r>
          </w:p>
        </w:tc>
      </w:tr>
      <w:tr w:rsidR="00F07E1C" w:rsidRPr="00DA13F2" w14:paraId="5B7E1B6A" w14:textId="77777777" w:rsidTr="00AB48B8">
        <w:trPr>
          <w:trHeight w:val="446"/>
          <w:jc w:val="center"/>
        </w:trPr>
        <w:tc>
          <w:tcPr>
            <w:tcW w:w="613" w:type="pct"/>
          </w:tcPr>
          <w:p w14:paraId="346B71C1"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proofErr w:type="spellStart"/>
            <w:r w:rsidRPr="00DA13F2">
              <w:rPr>
                <w:rFonts w:ascii="Book Antiqua" w:hAnsi="Book Antiqua" w:cs="Times New Roman"/>
                <w:sz w:val="24"/>
                <w:szCs w:val="24"/>
              </w:rPr>
              <w:t>Tankel</w:t>
            </w:r>
            <w:proofErr w:type="spellEnd"/>
            <w:r w:rsidRPr="00DA13F2">
              <w:rPr>
                <w:rFonts w:ascii="Book Antiqua" w:hAnsi="Book Antiqua" w:cs="Times New Roman"/>
                <w:sz w:val="24"/>
                <w:szCs w:val="24"/>
              </w:rPr>
              <w:t xml:space="preserve">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[21]</w:t>
            </w:r>
          </w:p>
        </w:tc>
        <w:tc>
          <w:tcPr>
            <w:tcW w:w="434" w:type="pct"/>
          </w:tcPr>
          <w:p w14:paraId="18F7C7D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14 (6-100)</w:t>
            </w:r>
          </w:p>
        </w:tc>
        <w:tc>
          <w:tcPr>
            <w:tcW w:w="419" w:type="pct"/>
          </w:tcPr>
          <w:p w14:paraId="74BB3F73" w14:textId="140FA3BB"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398" w:type="pct"/>
          </w:tcPr>
          <w:p w14:paraId="4E7E1AA2"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21.6</w:t>
            </w:r>
          </w:p>
        </w:tc>
        <w:tc>
          <w:tcPr>
            <w:tcW w:w="569" w:type="pct"/>
          </w:tcPr>
          <w:p w14:paraId="56D09C6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2.1</w:t>
            </w:r>
          </w:p>
        </w:tc>
        <w:tc>
          <w:tcPr>
            <w:tcW w:w="683" w:type="pct"/>
          </w:tcPr>
          <w:p w14:paraId="1C0E112A"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28.9</w:t>
            </w:r>
          </w:p>
        </w:tc>
        <w:tc>
          <w:tcPr>
            <w:tcW w:w="1884" w:type="pct"/>
          </w:tcPr>
          <w:p w14:paraId="62B52CA2" w14:textId="61EF88C6"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&lt; 100</w:t>
            </w:r>
            <w:r w:rsidR="00F07E1C" w:rsidRPr="00DA13F2">
              <w:rPr>
                <w:rFonts w:ascii="Book Antiqua" w:hAnsi="Book Antiqua"/>
              </w:rPr>
              <w:t>% compliance had a longer length of stay ≥ 14 d</w:t>
            </w:r>
          </w:p>
        </w:tc>
      </w:tr>
      <w:tr w:rsidR="00F07E1C" w:rsidRPr="00DA13F2" w14:paraId="2AEDE52E" w14:textId="77777777" w:rsidTr="00AB48B8">
        <w:trPr>
          <w:jc w:val="center"/>
        </w:trPr>
        <w:tc>
          <w:tcPr>
            <w:tcW w:w="613" w:type="pct"/>
          </w:tcPr>
          <w:p w14:paraId="0FEEA62D"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Capretti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[22]</w:t>
            </w:r>
          </w:p>
        </w:tc>
        <w:tc>
          <w:tcPr>
            <w:tcW w:w="434" w:type="pct"/>
          </w:tcPr>
          <w:p w14:paraId="5169B8B4"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14.1 ± 8.6</w:t>
            </w:r>
          </w:p>
        </w:tc>
        <w:tc>
          <w:tcPr>
            <w:tcW w:w="419" w:type="pct"/>
          </w:tcPr>
          <w:p w14:paraId="5FDFBF9C"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54.6</w:t>
            </w:r>
          </w:p>
        </w:tc>
        <w:tc>
          <w:tcPr>
            <w:tcW w:w="398" w:type="pct"/>
          </w:tcPr>
          <w:p w14:paraId="25C6A4EE"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15.6</w:t>
            </w:r>
          </w:p>
        </w:tc>
        <w:tc>
          <w:tcPr>
            <w:tcW w:w="569" w:type="pct"/>
          </w:tcPr>
          <w:p w14:paraId="50B20F75"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1</w:t>
            </w:r>
          </w:p>
        </w:tc>
        <w:tc>
          <w:tcPr>
            <w:tcW w:w="683" w:type="pct"/>
          </w:tcPr>
          <w:p w14:paraId="5A07E2E7"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3.4</w:t>
            </w:r>
          </w:p>
        </w:tc>
        <w:tc>
          <w:tcPr>
            <w:tcW w:w="1884" w:type="pct"/>
          </w:tcPr>
          <w:p w14:paraId="7B98AB3B" w14:textId="5E4831CE"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 xml:space="preserve">Sum of failed ERP components/deviations significantly correlated with postoperative </w:t>
            </w:r>
            <w:r w:rsidRPr="00DA13F2">
              <w:rPr>
                <w:rFonts w:ascii="Book Antiqua" w:hAnsi="Book Antiqua"/>
              </w:rPr>
              <w:lastRenderedPageBreak/>
              <w:t>complications</w:t>
            </w:r>
          </w:p>
        </w:tc>
      </w:tr>
      <w:tr w:rsidR="00F07E1C" w:rsidRPr="00DA13F2" w14:paraId="1B099BE4" w14:textId="77777777" w:rsidTr="00AB48B8">
        <w:trPr>
          <w:trHeight w:val="50"/>
          <w:jc w:val="center"/>
        </w:trPr>
        <w:tc>
          <w:tcPr>
            <w:tcW w:w="613" w:type="pct"/>
          </w:tcPr>
          <w:p w14:paraId="037DDB2C" w14:textId="77777777" w:rsidR="00F07E1C" w:rsidRPr="00DA13F2" w:rsidRDefault="00F07E1C" w:rsidP="00DA13F2">
            <w:pPr>
              <w:pStyle w:val="a4"/>
              <w:adjustRightInd w:val="0"/>
              <w:snapToGrid w:val="0"/>
              <w:spacing w:line="360" w:lineRule="auto"/>
              <w:jc w:val="both"/>
              <w:rPr>
                <w:rFonts w:ascii="Book Antiqua" w:hAnsi="Book Antiqua" w:cs="Times New Roman"/>
                <w:sz w:val="24"/>
                <w:szCs w:val="24"/>
              </w:rPr>
            </w:pPr>
            <w:r w:rsidRPr="00DA13F2">
              <w:rPr>
                <w:rFonts w:ascii="Book Antiqua" w:hAnsi="Book Antiqua" w:cs="Times New Roman"/>
                <w:sz w:val="24"/>
                <w:szCs w:val="24"/>
              </w:rPr>
              <w:t xml:space="preserve">St-Amour </w:t>
            </w:r>
            <w:r w:rsidRPr="00DA13F2">
              <w:rPr>
                <w:rFonts w:ascii="Book Antiqua" w:hAnsi="Book Antiqua" w:cs="Times New Roman"/>
                <w:i/>
                <w:iCs/>
                <w:sz w:val="24"/>
                <w:szCs w:val="24"/>
              </w:rPr>
              <w:t>et al</w:t>
            </w:r>
            <w:r w:rsidRPr="00DA13F2">
              <w:rPr>
                <w:rFonts w:ascii="Book Antiqua" w:hAnsi="Book Antiqua" w:cs="Times New Roman"/>
                <w:sz w:val="24"/>
                <w:szCs w:val="24"/>
                <w:vertAlign w:val="superscript"/>
              </w:rPr>
              <w:t>[19]</w:t>
            </w:r>
          </w:p>
        </w:tc>
        <w:tc>
          <w:tcPr>
            <w:tcW w:w="434" w:type="pct"/>
          </w:tcPr>
          <w:p w14:paraId="0E4DE913" w14:textId="550CEA8B"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419" w:type="pct"/>
          </w:tcPr>
          <w:p w14:paraId="5DF33952" w14:textId="03CD1D6E"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398" w:type="pct"/>
          </w:tcPr>
          <w:p w14:paraId="56EADA33" w14:textId="5C829FBD"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569" w:type="pct"/>
          </w:tcPr>
          <w:p w14:paraId="0AC1C773" w14:textId="4C8E2522"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683" w:type="pct"/>
          </w:tcPr>
          <w:p w14:paraId="470D2FFD" w14:textId="40FB7149" w:rsidR="00F07E1C" w:rsidRPr="00DA13F2" w:rsidRDefault="00E5036D" w:rsidP="00DA13F2">
            <w:pPr>
              <w:adjustRightInd w:val="0"/>
              <w:snapToGrid w:val="0"/>
              <w:spacing w:line="360" w:lineRule="auto"/>
              <w:jc w:val="both"/>
              <w:rPr>
                <w:rFonts w:ascii="Book Antiqua" w:hAnsi="Book Antiqua"/>
              </w:rPr>
            </w:pPr>
            <w:r w:rsidRPr="00DA13F2">
              <w:rPr>
                <w:rFonts w:ascii="Book Antiqua" w:hAnsi="Book Antiqua"/>
              </w:rPr>
              <w:t>NA</w:t>
            </w:r>
          </w:p>
        </w:tc>
        <w:tc>
          <w:tcPr>
            <w:tcW w:w="1884" w:type="pct"/>
          </w:tcPr>
          <w:p w14:paraId="5FF6D300" w14:textId="77777777"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rPr>
              <w:t>No significant effect of ERAS</w:t>
            </w:r>
            <w:r w:rsidRPr="005E5B77">
              <w:rPr>
                <w:rFonts w:ascii="Book Antiqua" w:hAnsi="Book Antiqua"/>
                <w:vertAlign w:val="superscript"/>
              </w:rPr>
              <w:t>®</w:t>
            </w:r>
            <w:r w:rsidRPr="00DA13F2">
              <w:rPr>
                <w:rFonts w:ascii="Book Antiqua" w:hAnsi="Book Antiqua"/>
              </w:rPr>
              <w:t xml:space="preserve"> compliance on time to receipt of adjuvant chemotherapy from surgery, or disease-free survival</w:t>
            </w:r>
          </w:p>
        </w:tc>
      </w:tr>
    </w:tbl>
    <w:p w14:paraId="08A0BE54" w14:textId="714EB932" w:rsidR="00F07E1C" w:rsidRPr="00DA13F2" w:rsidRDefault="00F07E1C" w:rsidP="00DA13F2">
      <w:pPr>
        <w:adjustRightInd w:val="0"/>
        <w:snapToGrid w:val="0"/>
        <w:spacing w:line="360" w:lineRule="auto"/>
        <w:jc w:val="both"/>
        <w:rPr>
          <w:rFonts w:ascii="Book Antiqua" w:hAnsi="Book Antiqua"/>
        </w:rPr>
      </w:pPr>
      <w:r w:rsidRPr="00DA13F2">
        <w:rPr>
          <w:rFonts w:ascii="Book Antiqua" w:hAnsi="Book Antiqua"/>
          <w:vertAlign w:val="superscript"/>
        </w:rPr>
        <w:t>1</w:t>
      </w:r>
      <w:r w:rsidRPr="00DA13F2">
        <w:rPr>
          <w:rFonts w:ascii="Book Antiqua" w:hAnsi="Book Antiqua"/>
        </w:rPr>
        <w:t xml:space="preserve">Expressed either as median (range) or mean (± </w:t>
      </w:r>
      <w:r w:rsidR="005E00C5" w:rsidRPr="00DA13F2">
        <w:rPr>
          <w:rFonts w:ascii="Book Antiqua" w:hAnsi="Book Antiqua"/>
        </w:rPr>
        <w:t>SD</w:t>
      </w:r>
      <w:r w:rsidRPr="00DA13F2">
        <w:rPr>
          <w:rFonts w:ascii="Book Antiqua" w:hAnsi="Book Antiqua"/>
        </w:rPr>
        <w:t>)</w:t>
      </w:r>
      <w:r w:rsidRPr="00DA13F2">
        <w:rPr>
          <w:rFonts w:ascii="Book Antiqua" w:hAnsi="Book Antiqua"/>
          <w:lang w:eastAsia="zh-CN"/>
        </w:rPr>
        <w:t xml:space="preserve">; </w:t>
      </w:r>
      <w:r w:rsidRPr="00DA13F2">
        <w:rPr>
          <w:rFonts w:ascii="Book Antiqua" w:hAnsi="Book Antiqua"/>
          <w:vertAlign w:val="superscript"/>
        </w:rPr>
        <w:t>2</w:t>
      </w:r>
      <w:r w:rsidRPr="00DA13F2">
        <w:rPr>
          <w:rFonts w:ascii="Book Antiqua" w:hAnsi="Book Antiqua"/>
        </w:rPr>
        <w:t>90-</w:t>
      </w:r>
      <w:r w:rsidR="005E00C5" w:rsidRPr="00DA13F2">
        <w:rPr>
          <w:rFonts w:ascii="Book Antiqua" w:hAnsi="Book Antiqua"/>
        </w:rPr>
        <w:t>d</w:t>
      </w:r>
      <w:r w:rsidRPr="00DA13F2">
        <w:rPr>
          <w:rFonts w:ascii="Book Antiqua" w:hAnsi="Book Antiqua"/>
        </w:rPr>
        <w:t xml:space="preserve"> readmissions (as opposed to others reporting 30-d readmissions)</w:t>
      </w:r>
      <w:bookmarkEnd w:id="66"/>
      <w:r w:rsidR="005E00C5" w:rsidRPr="00DA13F2">
        <w:rPr>
          <w:rFonts w:ascii="Book Antiqua" w:hAnsi="Book Antiqua"/>
        </w:rPr>
        <w:t>.</w:t>
      </w:r>
      <w:r w:rsidRPr="00DA13F2">
        <w:rPr>
          <w:rFonts w:ascii="Book Antiqua" w:hAnsi="Book Antiqua"/>
        </w:rPr>
        <w:t xml:space="preserve"> CD: </w:t>
      </w:r>
      <w:proofErr w:type="spellStart"/>
      <w:r w:rsidRPr="00DA13F2">
        <w:rPr>
          <w:rFonts w:ascii="Book Antiqua" w:hAnsi="Book Antiqua"/>
        </w:rPr>
        <w:t>Clavien-</w:t>
      </w:r>
      <w:r w:rsidR="00AB48B8" w:rsidRPr="00DA13F2">
        <w:rPr>
          <w:rFonts w:ascii="Book Antiqua" w:hAnsi="Book Antiqua"/>
        </w:rPr>
        <w:t>dindo</w:t>
      </w:r>
      <w:proofErr w:type="spellEnd"/>
      <w:r w:rsidRPr="00DA13F2">
        <w:rPr>
          <w:rFonts w:ascii="Book Antiqua" w:hAnsi="Book Antiqua"/>
        </w:rPr>
        <w:t xml:space="preserve">; CAD: Canadian dollars; CR-POPF: Clinically-relevant post-pancreatectomy pancreatic fistula; DGE: Delayed gastric emptying; ERAS: Enhanced recovery after surgery; ERP: Enhanced recovery pathway; </w:t>
      </w:r>
      <w:r w:rsidR="00E5036D" w:rsidRPr="00DA13F2">
        <w:rPr>
          <w:rFonts w:ascii="Book Antiqua" w:hAnsi="Book Antiqua"/>
        </w:rPr>
        <w:t>NA</w:t>
      </w:r>
      <w:r w:rsidRPr="00DA13F2">
        <w:rPr>
          <w:rFonts w:ascii="Book Antiqua" w:hAnsi="Book Antiqua"/>
        </w:rPr>
        <w:t>: Not available; POD: Post-operative day.</w:t>
      </w:r>
    </w:p>
    <w:sectPr w:rsidR="00F07E1C" w:rsidRPr="00DA13F2" w:rsidSect="00410FFE">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D7709" w14:textId="77777777" w:rsidR="00843360" w:rsidRDefault="00843360" w:rsidP="00650E84">
      <w:r>
        <w:separator/>
      </w:r>
    </w:p>
  </w:endnote>
  <w:endnote w:type="continuationSeparator" w:id="0">
    <w:p w14:paraId="6358434D" w14:textId="77777777" w:rsidR="00843360" w:rsidRDefault="00843360" w:rsidP="006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466080"/>
      <w:docPartObj>
        <w:docPartGallery w:val="Page Numbers (Bottom of Page)"/>
        <w:docPartUnique/>
      </w:docPartObj>
    </w:sdtPr>
    <w:sdtEndPr/>
    <w:sdtContent>
      <w:sdt>
        <w:sdtPr>
          <w:id w:val="-1769616900"/>
          <w:docPartObj>
            <w:docPartGallery w:val="Page Numbers (Top of Page)"/>
            <w:docPartUnique/>
          </w:docPartObj>
        </w:sdtPr>
        <w:sdtEndPr/>
        <w:sdtContent>
          <w:p w14:paraId="2F75D6C1" w14:textId="1924B90E" w:rsidR="00E5036D" w:rsidRDefault="00E5036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2782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27828">
              <w:rPr>
                <w:b/>
                <w:bCs/>
                <w:noProof/>
              </w:rPr>
              <w:t>34</w:t>
            </w:r>
            <w:r>
              <w:rPr>
                <w:b/>
                <w:bCs/>
                <w:sz w:val="24"/>
                <w:szCs w:val="24"/>
              </w:rPr>
              <w:fldChar w:fldCharType="end"/>
            </w:r>
          </w:p>
        </w:sdtContent>
      </w:sdt>
    </w:sdtContent>
  </w:sdt>
  <w:p w14:paraId="5EB2D5F4" w14:textId="77777777" w:rsidR="00E5036D" w:rsidRDefault="00E503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F771" w14:textId="77777777" w:rsidR="00843360" w:rsidRDefault="00843360" w:rsidP="00650E84">
      <w:r>
        <w:separator/>
      </w:r>
    </w:p>
  </w:footnote>
  <w:footnote w:type="continuationSeparator" w:id="0">
    <w:p w14:paraId="1D0C26B5" w14:textId="77777777" w:rsidR="00843360" w:rsidRDefault="00843360" w:rsidP="0065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A1"/>
    <w:rsid w:val="00016C16"/>
    <w:rsid w:val="000227FF"/>
    <w:rsid w:val="00045166"/>
    <w:rsid w:val="00082C85"/>
    <w:rsid w:val="000879C7"/>
    <w:rsid w:val="00097383"/>
    <w:rsid w:val="000B36C7"/>
    <w:rsid w:val="000B7C1A"/>
    <w:rsid w:val="001339C5"/>
    <w:rsid w:val="00162C6B"/>
    <w:rsid w:val="001E014F"/>
    <w:rsid w:val="001E7652"/>
    <w:rsid w:val="00235037"/>
    <w:rsid w:val="002F1A0F"/>
    <w:rsid w:val="0036084D"/>
    <w:rsid w:val="003E485B"/>
    <w:rsid w:val="00410FFE"/>
    <w:rsid w:val="004501DF"/>
    <w:rsid w:val="0045480F"/>
    <w:rsid w:val="004C6A96"/>
    <w:rsid w:val="004D123E"/>
    <w:rsid w:val="004D62F0"/>
    <w:rsid w:val="00512DC5"/>
    <w:rsid w:val="0051410F"/>
    <w:rsid w:val="00547513"/>
    <w:rsid w:val="005706E8"/>
    <w:rsid w:val="005B3C05"/>
    <w:rsid w:val="005C3855"/>
    <w:rsid w:val="005E00C5"/>
    <w:rsid w:val="005E5B77"/>
    <w:rsid w:val="005F5C6A"/>
    <w:rsid w:val="00600639"/>
    <w:rsid w:val="00650E84"/>
    <w:rsid w:val="006749CA"/>
    <w:rsid w:val="00683548"/>
    <w:rsid w:val="006851BB"/>
    <w:rsid w:val="006A6595"/>
    <w:rsid w:val="006A7F9B"/>
    <w:rsid w:val="006B5CBA"/>
    <w:rsid w:val="007054CB"/>
    <w:rsid w:val="00747180"/>
    <w:rsid w:val="00827828"/>
    <w:rsid w:val="00843360"/>
    <w:rsid w:val="00846D3B"/>
    <w:rsid w:val="00903104"/>
    <w:rsid w:val="009417E0"/>
    <w:rsid w:val="00964393"/>
    <w:rsid w:val="009D08AF"/>
    <w:rsid w:val="00A170E8"/>
    <w:rsid w:val="00A77B3E"/>
    <w:rsid w:val="00A93367"/>
    <w:rsid w:val="00AB48B8"/>
    <w:rsid w:val="00B03A33"/>
    <w:rsid w:val="00B9243C"/>
    <w:rsid w:val="00BC7D7B"/>
    <w:rsid w:val="00C124FD"/>
    <w:rsid w:val="00CA2A55"/>
    <w:rsid w:val="00CD0FEC"/>
    <w:rsid w:val="00D80E85"/>
    <w:rsid w:val="00DA13F2"/>
    <w:rsid w:val="00DC77BB"/>
    <w:rsid w:val="00E5036D"/>
    <w:rsid w:val="00E64A76"/>
    <w:rsid w:val="00E87E57"/>
    <w:rsid w:val="00F07E1C"/>
    <w:rsid w:val="00F31C2E"/>
    <w:rsid w:val="00F9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EDCA1"/>
  <w15:docId w15:val="{97417E0D-28D5-4BA7-833C-48557B83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4D62F0"/>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D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6084D"/>
    <w:rPr>
      <w:rFonts w:asciiTheme="minorHAnsi" w:hAnsiTheme="minorHAnsi" w:cstheme="minorBidi"/>
      <w:sz w:val="22"/>
      <w:szCs w:val="22"/>
      <w:lang w:val="en-IN"/>
    </w:rPr>
  </w:style>
  <w:style w:type="paragraph" w:styleId="a5">
    <w:name w:val="header"/>
    <w:basedOn w:val="a"/>
    <w:link w:val="a6"/>
    <w:unhideWhenUsed/>
    <w:rsid w:val="00650E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50E84"/>
    <w:rPr>
      <w:sz w:val="18"/>
      <w:szCs w:val="18"/>
    </w:rPr>
  </w:style>
  <w:style w:type="paragraph" w:styleId="a7">
    <w:name w:val="footer"/>
    <w:basedOn w:val="a"/>
    <w:link w:val="a8"/>
    <w:uiPriority w:val="99"/>
    <w:unhideWhenUsed/>
    <w:rsid w:val="00650E84"/>
    <w:pPr>
      <w:tabs>
        <w:tab w:val="center" w:pos="4153"/>
        <w:tab w:val="right" w:pos="8306"/>
      </w:tabs>
      <w:snapToGrid w:val="0"/>
    </w:pPr>
    <w:rPr>
      <w:sz w:val="18"/>
      <w:szCs w:val="18"/>
    </w:rPr>
  </w:style>
  <w:style w:type="character" w:customStyle="1" w:styleId="a8">
    <w:name w:val="页脚 字符"/>
    <w:basedOn w:val="a0"/>
    <w:link w:val="a7"/>
    <w:uiPriority w:val="99"/>
    <w:rsid w:val="00650E84"/>
    <w:rPr>
      <w:sz w:val="18"/>
      <w:szCs w:val="18"/>
    </w:rPr>
  </w:style>
  <w:style w:type="table" w:customStyle="1" w:styleId="2">
    <w:name w:val="网格型2"/>
    <w:basedOn w:val="a1"/>
    <w:next w:val="a3"/>
    <w:uiPriority w:val="39"/>
    <w:rsid w:val="00650E84"/>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aa"/>
    <w:qFormat/>
    <w:rsid w:val="00F07E1C"/>
    <w:pPr>
      <w:spacing w:before="240" w:after="60" w:line="312" w:lineRule="auto"/>
      <w:jc w:val="center"/>
      <w:outlineLvl w:val="1"/>
    </w:pPr>
    <w:rPr>
      <w:rFonts w:asciiTheme="minorHAnsi" w:hAnsiTheme="minorHAnsi" w:cstheme="minorBidi"/>
      <w:b/>
      <w:bCs/>
      <w:kern w:val="28"/>
      <w:sz w:val="32"/>
      <w:szCs w:val="32"/>
    </w:rPr>
  </w:style>
  <w:style w:type="character" w:customStyle="1" w:styleId="aa">
    <w:name w:val="副标题 字符"/>
    <w:basedOn w:val="a0"/>
    <w:link w:val="a9"/>
    <w:rsid w:val="00F07E1C"/>
    <w:rPr>
      <w:rFonts w:asciiTheme="minorHAnsi" w:hAnsiTheme="minorHAnsi" w:cstheme="minorBidi"/>
      <w:b/>
      <w:bCs/>
      <w:kern w:val="28"/>
      <w:sz w:val="32"/>
      <w:szCs w:val="32"/>
    </w:rPr>
  </w:style>
  <w:style w:type="character" w:styleId="ab">
    <w:name w:val="Strong"/>
    <w:basedOn w:val="a0"/>
    <w:qFormat/>
    <w:rsid w:val="00F07E1C"/>
    <w:rPr>
      <w:b/>
      <w:bCs/>
    </w:rPr>
  </w:style>
  <w:style w:type="paragraph" w:styleId="ac">
    <w:name w:val="List Paragraph"/>
    <w:basedOn w:val="a"/>
    <w:uiPriority w:val="34"/>
    <w:qFormat/>
    <w:rsid w:val="00F07E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prisma-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2021-03-11T19:51:00Z</dcterms:created>
  <dcterms:modified xsi:type="dcterms:W3CDTF">2021-03-11T19:51:00Z</dcterms:modified>
</cp:coreProperties>
</file>