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680CC" w14:textId="77777777" w:rsidR="00A77B3E" w:rsidRDefault="0073593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47E535" w14:textId="77777777" w:rsidR="00A77B3E" w:rsidRDefault="007359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61472</w:t>
      </w:r>
    </w:p>
    <w:p w14:paraId="5330E696" w14:textId="77777777" w:rsidR="00A77B3E" w:rsidRDefault="0073593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0AFB83" w14:textId="77777777" w:rsidR="00A77B3E" w:rsidRDefault="00A77B3E">
      <w:pPr>
        <w:spacing w:line="360" w:lineRule="auto"/>
        <w:jc w:val="both"/>
      </w:pPr>
    </w:p>
    <w:p w14:paraId="3E5F7D19" w14:textId="77777777" w:rsidR="00A77B3E" w:rsidRDefault="00735932">
      <w:pPr>
        <w:spacing w:line="360" w:lineRule="auto"/>
        <w:jc w:val="both"/>
      </w:pPr>
      <w:r>
        <w:rPr>
          <w:rFonts w:ascii="Book Antiqua" w:eastAsia="Book Antiqua" w:hAnsi="Book Antiqua" w:cs="Book Antiqua"/>
          <w:b/>
          <w:bCs/>
          <w:color w:val="000000"/>
        </w:rPr>
        <w:t>Combined immune checkpoint inhibitors of CTLA4 and PD-1 for hepatic melanoma of unknown primary origin: A case report</w:t>
      </w:r>
    </w:p>
    <w:p w14:paraId="704EFDDF" w14:textId="77777777" w:rsidR="00A77B3E" w:rsidRDefault="00A77B3E">
      <w:pPr>
        <w:spacing w:line="360" w:lineRule="auto"/>
        <w:jc w:val="both"/>
      </w:pPr>
    </w:p>
    <w:p w14:paraId="216E5364" w14:textId="1D6EAC0F" w:rsidR="00A77B3E" w:rsidRDefault="00735932">
      <w:pPr>
        <w:spacing w:line="360" w:lineRule="auto"/>
        <w:jc w:val="both"/>
      </w:pPr>
      <w:r>
        <w:rPr>
          <w:rFonts w:ascii="Book Antiqua" w:eastAsia="Book Antiqua" w:hAnsi="Book Antiqua" w:cs="Book Antiqua"/>
          <w:color w:val="000000"/>
        </w:rPr>
        <w:t xml:space="preserve">Chen AC </w:t>
      </w:r>
      <w:r>
        <w:rPr>
          <w:rFonts w:ascii="Book Antiqua" w:eastAsia="Book Antiqua" w:hAnsi="Book Antiqua" w:cs="Book Antiqua"/>
          <w:i/>
          <w:iCs/>
          <w:color w:val="000000"/>
        </w:rPr>
        <w:t>et al</w:t>
      </w:r>
      <w:r>
        <w:rPr>
          <w:rFonts w:ascii="Book Antiqua" w:eastAsia="Book Antiqua" w:hAnsi="Book Antiqua" w:cs="Book Antiqua"/>
          <w:color w:val="000000"/>
        </w:rPr>
        <w:t>. Immunoth</w:t>
      </w:r>
      <w:r w:rsidR="003A6D7C">
        <w:rPr>
          <w:rFonts w:ascii="Book Antiqua" w:eastAsia="Book Antiqua" w:hAnsi="Book Antiqua" w:cs="Book Antiqua"/>
          <w:color w:val="000000"/>
        </w:rPr>
        <w:t>erapy for hepatic melanoma of unknown primary</w:t>
      </w:r>
    </w:p>
    <w:p w14:paraId="2081F514" w14:textId="77777777" w:rsidR="00A77B3E" w:rsidRDefault="00A77B3E">
      <w:pPr>
        <w:spacing w:line="360" w:lineRule="auto"/>
        <w:jc w:val="both"/>
      </w:pPr>
    </w:p>
    <w:p w14:paraId="34A3BA43" w14:textId="77777777" w:rsidR="00A77B3E" w:rsidRDefault="00735932">
      <w:pPr>
        <w:spacing w:line="360" w:lineRule="auto"/>
        <w:jc w:val="both"/>
      </w:pPr>
      <w:r>
        <w:rPr>
          <w:rFonts w:ascii="Book Antiqua" w:eastAsia="Book Antiqua" w:hAnsi="Book Antiqua" w:cs="Book Antiqua"/>
          <w:color w:val="000000"/>
        </w:rPr>
        <w:t>An-Che Cheng, Yi-Jia Lin, Sung-Hua Chiu, Yu-Lueng Shih</w:t>
      </w:r>
    </w:p>
    <w:p w14:paraId="082D6673" w14:textId="77777777" w:rsidR="00A77B3E" w:rsidRDefault="00A77B3E">
      <w:pPr>
        <w:spacing w:line="360" w:lineRule="auto"/>
        <w:jc w:val="both"/>
      </w:pPr>
    </w:p>
    <w:p w14:paraId="50BFEF8A" w14:textId="77777777" w:rsidR="00A77B3E" w:rsidRDefault="00735932">
      <w:pPr>
        <w:spacing w:line="360" w:lineRule="auto"/>
        <w:jc w:val="both"/>
      </w:pPr>
      <w:r>
        <w:rPr>
          <w:rFonts w:ascii="Book Antiqua" w:eastAsia="Book Antiqua" w:hAnsi="Book Antiqua" w:cs="Book Antiqua"/>
          <w:b/>
          <w:bCs/>
          <w:color w:val="000000"/>
        </w:rPr>
        <w:t xml:space="preserve">An-Che Cheng, </w:t>
      </w:r>
      <w:r>
        <w:rPr>
          <w:rFonts w:ascii="Book Antiqua" w:eastAsia="Book Antiqua" w:hAnsi="Book Antiqua" w:cs="Book Antiqua"/>
          <w:color w:val="000000"/>
        </w:rPr>
        <w:t>Department of Internal Medicine, Tri-Service General Hospital, National Defense Medical Center, Taipei 114, Taiwan</w:t>
      </w:r>
    </w:p>
    <w:p w14:paraId="6E556FF3" w14:textId="77777777" w:rsidR="00A77B3E" w:rsidRDefault="00A77B3E">
      <w:pPr>
        <w:spacing w:line="360" w:lineRule="auto"/>
        <w:jc w:val="both"/>
      </w:pPr>
    </w:p>
    <w:p w14:paraId="5EB4AFEB" w14:textId="77777777" w:rsidR="00A77B3E" w:rsidRDefault="00735932">
      <w:pPr>
        <w:spacing w:line="360" w:lineRule="auto"/>
        <w:jc w:val="both"/>
      </w:pPr>
      <w:r>
        <w:rPr>
          <w:rFonts w:ascii="Book Antiqua" w:eastAsia="Book Antiqua" w:hAnsi="Book Antiqua" w:cs="Book Antiqua"/>
          <w:b/>
          <w:bCs/>
          <w:color w:val="000000"/>
        </w:rPr>
        <w:t xml:space="preserve">Yi-Jia Lin, </w:t>
      </w:r>
      <w:r>
        <w:rPr>
          <w:rFonts w:ascii="Book Antiqua" w:eastAsia="Book Antiqua" w:hAnsi="Book Antiqua" w:cs="Book Antiqua"/>
          <w:color w:val="000000"/>
        </w:rPr>
        <w:t>Department of Pathology, Tri-Service General Hospital, National Defense Medical Center, Taipei 114, Taiwan</w:t>
      </w:r>
    </w:p>
    <w:p w14:paraId="54CDA0EA" w14:textId="77777777" w:rsidR="00A77B3E" w:rsidRDefault="00A77B3E">
      <w:pPr>
        <w:spacing w:line="360" w:lineRule="auto"/>
        <w:jc w:val="both"/>
      </w:pPr>
    </w:p>
    <w:p w14:paraId="6FA302FA" w14:textId="77777777" w:rsidR="00A77B3E" w:rsidRDefault="00735932">
      <w:pPr>
        <w:spacing w:line="360" w:lineRule="auto"/>
        <w:jc w:val="both"/>
      </w:pPr>
      <w:r>
        <w:rPr>
          <w:rFonts w:ascii="Book Antiqua" w:eastAsia="Book Antiqua" w:hAnsi="Book Antiqua" w:cs="Book Antiqua"/>
          <w:b/>
          <w:bCs/>
          <w:color w:val="000000"/>
        </w:rPr>
        <w:t xml:space="preserve">Sung-Hua Chiu, </w:t>
      </w:r>
      <w:r>
        <w:rPr>
          <w:rFonts w:ascii="Book Antiqua" w:eastAsia="Book Antiqua" w:hAnsi="Book Antiqua" w:cs="Book Antiqua"/>
          <w:color w:val="000000"/>
        </w:rPr>
        <w:t>Department of Radiology, Tri-Service General Hospital, National Defense Medical Center, Taipei 114, Taiwan</w:t>
      </w:r>
    </w:p>
    <w:p w14:paraId="5BB62615" w14:textId="77777777" w:rsidR="00A77B3E" w:rsidRDefault="00A77B3E">
      <w:pPr>
        <w:spacing w:line="360" w:lineRule="auto"/>
        <w:jc w:val="both"/>
      </w:pPr>
    </w:p>
    <w:p w14:paraId="75DFD7CE" w14:textId="77777777" w:rsidR="00A77B3E" w:rsidRDefault="00735932">
      <w:pPr>
        <w:spacing w:line="360" w:lineRule="auto"/>
        <w:jc w:val="both"/>
      </w:pPr>
      <w:r>
        <w:rPr>
          <w:rFonts w:ascii="Book Antiqua" w:eastAsia="Book Antiqua" w:hAnsi="Book Antiqua" w:cs="Book Antiqua"/>
          <w:b/>
          <w:bCs/>
          <w:color w:val="000000"/>
        </w:rPr>
        <w:t xml:space="preserve">Yu-Lueng Shih, </w:t>
      </w:r>
      <w:r>
        <w:rPr>
          <w:rFonts w:ascii="Book Antiqua" w:eastAsia="Book Antiqua" w:hAnsi="Book Antiqua" w:cs="Book Antiqua"/>
          <w:color w:val="000000"/>
        </w:rPr>
        <w:t>Department of Internal Medicine, Division of Gastroenterology, Tri-Service General Hospital, National Defense Medical Center, Taipei 114, Taiwan</w:t>
      </w:r>
    </w:p>
    <w:p w14:paraId="2766F46C" w14:textId="77777777" w:rsidR="00A77B3E" w:rsidRDefault="00A77B3E">
      <w:pPr>
        <w:spacing w:line="360" w:lineRule="auto"/>
        <w:jc w:val="both"/>
      </w:pPr>
    </w:p>
    <w:p w14:paraId="33BB8D01" w14:textId="0D7645C1" w:rsidR="00A77B3E" w:rsidRDefault="0073593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Cheng</w:t>
      </w:r>
      <w:r>
        <w:rPr>
          <w:rFonts w:ascii="Book Antiqua" w:eastAsia="Book Antiqua" w:hAnsi="Book Antiqua" w:cs="Book Antiqua"/>
          <w:color w:val="000000"/>
          <w:shd w:val="clear" w:color="auto" w:fill="FFFFFF"/>
        </w:rPr>
        <w:t xml:space="preserve"> AC</w:t>
      </w:r>
      <w:r w:rsidR="0091544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collected</w:t>
      </w:r>
      <w:r w:rsidR="00915444">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clinical information</w:t>
      </w:r>
      <w:r w:rsidR="00915444">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reviewed and drafted the manuscript; Lin YJ collected and interpreted the pathological findings; Chiu</w:t>
      </w:r>
      <w:r>
        <w:rPr>
          <w:rFonts w:ascii="Book Antiqua" w:eastAsia="Book Antiqua" w:hAnsi="Book Antiqua" w:cs="Book Antiqua"/>
          <w:color w:val="000000"/>
        </w:rPr>
        <w:t xml:space="preserve"> SH </w:t>
      </w:r>
      <w:r>
        <w:rPr>
          <w:rFonts w:ascii="Book Antiqua" w:eastAsia="Book Antiqua" w:hAnsi="Book Antiqua" w:cs="Book Antiqua"/>
          <w:color w:val="000000"/>
          <w:shd w:val="clear" w:color="auto" w:fill="FFFFFF"/>
        </w:rPr>
        <w:t xml:space="preserve">analyzed and interpreted the imaging findings; </w:t>
      </w:r>
      <w:r>
        <w:rPr>
          <w:rFonts w:ascii="Book Antiqua" w:eastAsia="Book Antiqua" w:hAnsi="Book Antiqua" w:cs="Book Antiqua"/>
          <w:color w:val="000000"/>
        </w:rPr>
        <w:t xml:space="preserve">Shih YL </w:t>
      </w:r>
      <w:r>
        <w:rPr>
          <w:rFonts w:ascii="Book Antiqua" w:eastAsia="Book Antiqua" w:hAnsi="Book Antiqua" w:cs="Book Antiqua"/>
          <w:color w:val="000000"/>
          <w:shd w:val="clear" w:color="auto" w:fill="FFFFFF"/>
        </w:rPr>
        <w:t>revised the manuscript for important intellectual content</w:t>
      </w:r>
      <w:r>
        <w:rPr>
          <w:rFonts w:ascii="Book Antiqua" w:eastAsia="Book Antiqua" w:hAnsi="Book Antiqua" w:cs="Book Antiqua"/>
          <w:color w:val="000000"/>
        </w:rPr>
        <w:t>; all authors read and approved the final manuscript.</w:t>
      </w:r>
    </w:p>
    <w:p w14:paraId="3D1D3AED" w14:textId="77777777" w:rsidR="00A77B3E" w:rsidRDefault="00A77B3E">
      <w:pPr>
        <w:spacing w:line="360" w:lineRule="auto"/>
        <w:jc w:val="both"/>
      </w:pPr>
    </w:p>
    <w:p w14:paraId="256A6E97" w14:textId="5ED7F97B" w:rsidR="00A77B3E" w:rsidRDefault="00735932">
      <w:pPr>
        <w:spacing w:line="360" w:lineRule="auto"/>
        <w:jc w:val="both"/>
      </w:pPr>
      <w:r>
        <w:rPr>
          <w:rFonts w:ascii="Book Antiqua" w:eastAsia="Book Antiqua" w:hAnsi="Book Antiqua" w:cs="Book Antiqua"/>
          <w:b/>
          <w:bCs/>
          <w:color w:val="000000"/>
        </w:rPr>
        <w:t xml:space="preserve">Corresponding author: Yu-Lueng Shih, PhD, Academic Research, Associate Professor, Attending Doctor, </w:t>
      </w:r>
      <w:r>
        <w:rPr>
          <w:rFonts w:ascii="Book Antiqua" w:eastAsia="Book Antiqua" w:hAnsi="Book Antiqua" w:cs="Book Antiqua"/>
          <w:color w:val="000000"/>
        </w:rPr>
        <w:t>Department of Internal Medicine, Division of Gastroenterology, Tri-</w:t>
      </w:r>
      <w:r>
        <w:rPr>
          <w:rFonts w:ascii="Book Antiqua" w:eastAsia="Book Antiqua" w:hAnsi="Book Antiqua" w:cs="Book Antiqua"/>
          <w:color w:val="000000"/>
        </w:rPr>
        <w:lastRenderedPageBreak/>
        <w:t>Service General Hospital, National Defense Medical Ce</w:t>
      </w:r>
      <w:r>
        <w:rPr>
          <w:rFonts w:ascii="Book Antiqua" w:eastAsia="Book Antiqua" w:hAnsi="Book Antiqua" w:cs="Book Antiqua"/>
          <w:color w:val="000000"/>
        </w:rPr>
        <w:t>nter, No</w:t>
      </w:r>
      <w:r w:rsidR="00915444">
        <w:rPr>
          <w:rFonts w:ascii="Book Antiqua" w:eastAsia="Book Antiqua" w:hAnsi="Book Antiqua" w:cs="Book Antiqua"/>
          <w:color w:val="000000"/>
        </w:rPr>
        <w:t>.</w:t>
      </w:r>
      <w:r>
        <w:rPr>
          <w:rFonts w:ascii="Book Antiqua" w:eastAsia="Book Antiqua" w:hAnsi="Book Antiqua" w:cs="Book Antiqua"/>
          <w:color w:val="000000"/>
        </w:rPr>
        <w:t xml:space="preserve"> 325</w:t>
      </w:r>
      <w:r w:rsidR="00426C67">
        <w:rPr>
          <w:rFonts w:ascii="Book Antiqua" w:eastAsia="Book Antiqua" w:hAnsi="Book Antiqua" w:cs="Book Antiqua"/>
          <w:color w:val="000000"/>
        </w:rPr>
        <w:t xml:space="preserve"> </w:t>
      </w:r>
      <w:r>
        <w:rPr>
          <w:rFonts w:ascii="Book Antiqua" w:eastAsia="Book Antiqua" w:hAnsi="Book Antiqua" w:cs="Book Antiqua"/>
          <w:color w:val="000000"/>
        </w:rPr>
        <w:t>Section 2, Cheng-Kung Road, Neihu, Taipei 114, Taiwan. albreb@ms28.hinet.net</w:t>
      </w:r>
    </w:p>
    <w:p w14:paraId="7F215E2F" w14:textId="77777777" w:rsidR="00A77B3E" w:rsidRDefault="00A77B3E">
      <w:pPr>
        <w:spacing w:line="360" w:lineRule="auto"/>
        <w:jc w:val="both"/>
      </w:pPr>
    </w:p>
    <w:p w14:paraId="3E272E48" w14:textId="77777777" w:rsidR="00A77B3E" w:rsidRDefault="007359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12, 2020</w:t>
      </w:r>
    </w:p>
    <w:p w14:paraId="002747B8" w14:textId="77777777" w:rsidR="00A77B3E" w:rsidRDefault="0073593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2021</w:t>
      </w:r>
    </w:p>
    <w:p w14:paraId="7DF6FCDC" w14:textId="027AF587" w:rsidR="00A77B3E" w:rsidRDefault="00735932">
      <w:pPr>
        <w:spacing w:line="360" w:lineRule="auto"/>
        <w:jc w:val="both"/>
      </w:pPr>
      <w:r>
        <w:rPr>
          <w:rFonts w:ascii="Book Antiqua" w:eastAsia="Book Antiqua" w:hAnsi="Book Antiqua" w:cs="Book Antiqua"/>
          <w:b/>
          <w:bCs/>
          <w:color w:val="000000"/>
        </w:rPr>
        <w:t xml:space="preserve">Accepted: </w:t>
      </w:r>
      <w:r w:rsidR="002A6549" w:rsidRPr="002A6549">
        <w:rPr>
          <w:rFonts w:ascii="Book Antiqua" w:eastAsia="Book Antiqua" w:hAnsi="Book Antiqua" w:cs="Book Antiqua"/>
          <w:color w:val="000000"/>
        </w:rPr>
        <w:t>February 22, 2021</w:t>
      </w:r>
    </w:p>
    <w:p w14:paraId="074F8BC6" w14:textId="77777777" w:rsidR="00A77B3E" w:rsidRDefault="00735932">
      <w:pPr>
        <w:spacing w:line="360" w:lineRule="auto"/>
        <w:jc w:val="both"/>
      </w:pPr>
      <w:r>
        <w:rPr>
          <w:rFonts w:ascii="Book Antiqua" w:eastAsia="Book Antiqua" w:hAnsi="Book Antiqua" w:cs="Book Antiqua"/>
          <w:b/>
          <w:bCs/>
          <w:color w:val="000000"/>
        </w:rPr>
        <w:t xml:space="preserve">Published online: </w:t>
      </w:r>
    </w:p>
    <w:p w14:paraId="11B1D29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DE7E1E2" w14:textId="77777777" w:rsidR="00A77B3E" w:rsidRDefault="00735932">
      <w:pPr>
        <w:spacing w:line="360" w:lineRule="auto"/>
        <w:jc w:val="both"/>
      </w:pPr>
      <w:r>
        <w:rPr>
          <w:rFonts w:ascii="Book Antiqua" w:eastAsia="Book Antiqua" w:hAnsi="Book Antiqua" w:cs="Book Antiqua"/>
          <w:b/>
          <w:color w:val="000000"/>
        </w:rPr>
        <w:lastRenderedPageBreak/>
        <w:t>Abstract</w:t>
      </w:r>
    </w:p>
    <w:p w14:paraId="73D199CD" w14:textId="77777777" w:rsidR="00A77B3E" w:rsidRDefault="00735932">
      <w:pPr>
        <w:spacing w:line="360" w:lineRule="auto"/>
        <w:jc w:val="both"/>
      </w:pPr>
      <w:r>
        <w:rPr>
          <w:rFonts w:ascii="Book Antiqua" w:eastAsia="Book Antiqua" w:hAnsi="Book Antiqua" w:cs="Book Antiqua"/>
          <w:color w:val="000000"/>
        </w:rPr>
        <w:t>BACKGROUND</w:t>
      </w:r>
    </w:p>
    <w:p w14:paraId="4B0653AB" w14:textId="047E27C6" w:rsidR="00A77B3E" w:rsidRDefault="00735932">
      <w:pPr>
        <w:spacing w:line="360" w:lineRule="auto"/>
        <w:jc w:val="both"/>
      </w:pPr>
      <w:r>
        <w:rPr>
          <w:rFonts w:ascii="Book Antiqua" w:eastAsia="Book Antiqua" w:hAnsi="Book Antiqua" w:cs="Book Antiqua"/>
          <w:color w:val="000000"/>
        </w:rPr>
        <w:t>Melanoma is uncommonly found in lymph nodes, subcutaneous tissue, or visceral organs without a primary lesion, where it is identified as metastatic melanoma with unknown primary (MUP). Hepatic MUP is extremely rare and has a poor prognosis. There is limited informati</w:t>
      </w:r>
      <w:r>
        <w:rPr>
          <w:rFonts w:ascii="Book Antiqua" w:eastAsia="Book Antiqua" w:hAnsi="Book Antiqua" w:cs="Book Antiqua"/>
          <w:color w:val="000000"/>
        </w:rPr>
        <w:t xml:space="preserve">on on </w:t>
      </w:r>
      <w:r w:rsidR="00915444">
        <w:rPr>
          <w:rFonts w:ascii="Book Antiqua" w:eastAsia="Book Antiqua" w:hAnsi="Book Antiqua" w:cs="Book Antiqua"/>
          <w:color w:val="000000"/>
        </w:rPr>
        <w:t xml:space="preserve">its </w:t>
      </w:r>
      <w:r>
        <w:rPr>
          <w:rFonts w:ascii="Book Antiqua" w:eastAsia="Book Antiqua" w:hAnsi="Book Antiqua" w:cs="Book Antiqua"/>
          <w:color w:val="000000"/>
        </w:rPr>
        <w:t>pathogen</w:t>
      </w:r>
      <w:r>
        <w:rPr>
          <w:rFonts w:ascii="Book Antiqua" w:eastAsia="Book Antiqua" w:hAnsi="Book Antiqua" w:cs="Book Antiqua"/>
          <w:color w:val="000000"/>
        </w:rPr>
        <w:t xml:space="preserve">esis, clinical and imaging features, </w:t>
      </w:r>
      <w:r w:rsidR="005C2D8F">
        <w:rPr>
          <w:rFonts w:ascii="Book Antiqua" w:eastAsia="Book Antiqua" w:hAnsi="Book Antiqua" w:cs="Book Antiqua"/>
          <w:color w:val="000000"/>
        </w:rPr>
        <w:t xml:space="preserve">and </w:t>
      </w:r>
      <w:r>
        <w:rPr>
          <w:rFonts w:ascii="Book Antiqua" w:eastAsia="Book Antiqua" w:hAnsi="Book Antiqua" w:cs="Book Antiqua"/>
          <w:color w:val="000000"/>
        </w:rPr>
        <w:t>pathological findings. There are no guidelines for the use of immune checkpoint inhibitors (ICIs) in hepatic MUP, and the treatment outcome has rarely been reported.</w:t>
      </w:r>
    </w:p>
    <w:p w14:paraId="4CC4AD3F" w14:textId="77777777" w:rsidR="00A77B3E" w:rsidRDefault="00A77B3E">
      <w:pPr>
        <w:spacing w:line="360" w:lineRule="auto"/>
        <w:jc w:val="both"/>
      </w:pPr>
    </w:p>
    <w:p w14:paraId="303739D5" w14:textId="77777777" w:rsidR="00A77B3E" w:rsidRDefault="00735932">
      <w:pPr>
        <w:spacing w:line="360" w:lineRule="auto"/>
        <w:jc w:val="both"/>
      </w:pPr>
      <w:r>
        <w:rPr>
          <w:rFonts w:ascii="Book Antiqua" w:eastAsia="Book Antiqua" w:hAnsi="Book Antiqua" w:cs="Book Antiqua"/>
          <w:color w:val="000000"/>
        </w:rPr>
        <w:t>CASE SUMMARY</w:t>
      </w:r>
    </w:p>
    <w:p w14:paraId="51B26217" w14:textId="05041BCC" w:rsidR="00A77B3E" w:rsidRDefault="00735932">
      <w:pPr>
        <w:spacing w:line="360" w:lineRule="auto"/>
        <w:jc w:val="both"/>
      </w:pPr>
      <w:r>
        <w:rPr>
          <w:rFonts w:ascii="Book Antiqua" w:eastAsia="Book Antiqua" w:hAnsi="Book Antiqua" w:cs="Book Antiqua"/>
          <w:color w:val="000000"/>
        </w:rPr>
        <w:t>A 42-yea</w:t>
      </w:r>
      <w:r>
        <w:rPr>
          <w:rFonts w:ascii="Book Antiqua" w:eastAsia="Book Antiqua" w:hAnsi="Book Antiqua" w:cs="Book Antiqua"/>
          <w:color w:val="000000"/>
        </w:rPr>
        <w:t xml:space="preserve">r-old </w:t>
      </w:r>
      <w:r w:rsidR="00915444">
        <w:rPr>
          <w:rFonts w:ascii="Book Antiqua" w:eastAsia="Book Antiqua" w:hAnsi="Book Antiqua" w:cs="Book Antiqua"/>
          <w:color w:val="000000"/>
        </w:rPr>
        <w:t xml:space="preserve">woman </w:t>
      </w:r>
      <w:r>
        <w:rPr>
          <w:rFonts w:ascii="Book Antiqua" w:eastAsia="Book Antiqua" w:hAnsi="Book Antiqua" w:cs="Book Antiqua"/>
          <w:color w:val="000000"/>
        </w:rPr>
        <w:t>presented</w:t>
      </w:r>
      <w:r>
        <w:rPr>
          <w:rFonts w:ascii="Book Antiqua" w:eastAsia="Book Antiqua" w:hAnsi="Book Antiqua" w:cs="Book Antiqua"/>
          <w:color w:val="000000"/>
        </w:rPr>
        <w:t xml:space="preserve"> to our hospital with hepatic tumors found incidentally during a routine check-up. Contrast-enhanced abdominal computerized tomography showed multiple mass lesions in the liver. Pathological results revealed melanoma, which was confirmed by immunohistochemical stainin</w:t>
      </w:r>
      <w:r w:rsidR="001F201D">
        <w:rPr>
          <w:rFonts w:ascii="Book Antiqua" w:eastAsia="Book Antiqua" w:hAnsi="Book Antiqua" w:cs="Book Antiqua"/>
          <w:color w:val="000000"/>
        </w:rPr>
        <w:t>g for HMB-45(+), Melan-A(+), S-100</w:t>
      </w:r>
      <w:r>
        <w:rPr>
          <w:rFonts w:ascii="Book Antiqua" w:eastAsia="Book Antiqua" w:hAnsi="Book Antiqua" w:cs="Book Antiqua"/>
          <w:color w:val="000000"/>
        </w:rPr>
        <w:t>(+), and SOX10(+). There was no evidence of primary cutaneous, ocular, gastrointestinal, or anal lesion on a comprehensive examination. The patient was diagnosed with hepatic MUP. She rece</w:t>
      </w:r>
      <w:r>
        <w:rPr>
          <w:rFonts w:ascii="Book Antiqua" w:eastAsia="Book Antiqua" w:hAnsi="Book Antiqua" w:cs="Book Antiqua"/>
          <w:color w:val="000000"/>
        </w:rPr>
        <w:t>ived</w:t>
      </w:r>
      <w:r w:rsidR="00915444">
        <w:rPr>
          <w:rFonts w:ascii="Book Antiqua" w:eastAsia="Book Antiqua" w:hAnsi="Book Antiqua" w:cs="Book Antiqua"/>
          <w:color w:val="000000"/>
        </w:rPr>
        <w:t xml:space="preserve"> </w:t>
      </w:r>
      <w:r>
        <w:rPr>
          <w:rFonts w:ascii="Book Antiqua" w:eastAsia="Book Antiqua" w:hAnsi="Book Antiqua" w:cs="Book Antiqua"/>
          <w:color w:val="000000"/>
        </w:rPr>
        <w:t xml:space="preserve">combined antibodies against cytotoxic T-lymphocyte-associated antigen 4 (CTLA-4, ipilimumab) and programmed death protein-1 (PD-1, nivolumab). She died of hepatic failure </w:t>
      </w:r>
      <w:r w:rsidR="00915444">
        <w:rPr>
          <w:rFonts w:ascii="Book Antiqua" w:eastAsia="Book Antiqua" w:hAnsi="Book Antiqua" w:cs="Book Antiqua"/>
          <w:color w:val="000000"/>
        </w:rPr>
        <w:t xml:space="preserve">9 mo </w:t>
      </w:r>
      <w:r>
        <w:rPr>
          <w:rFonts w:ascii="Book Antiqua" w:eastAsia="Book Antiqua" w:hAnsi="Book Antiqua" w:cs="Book Antiqua"/>
          <w:color w:val="000000"/>
        </w:rPr>
        <w:t xml:space="preserve">after hepatic MUP was diagnosed. </w:t>
      </w:r>
      <w:r w:rsidR="00915444">
        <w:rPr>
          <w:rFonts w:ascii="Book Antiqua" w:eastAsia="Book Antiqua" w:hAnsi="Book Antiqua" w:cs="Book Antiqua"/>
          <w:color w:val="000000"/>
        </w:rPr>
        <w:t xml:space="preserve">This </w:t>
      </w:r>
      <w:r>
        <w:rPr>
          <w:rFonts w:ascii="Book Antiqua" w:eastAsia="Book Antiqua" w:hAnsi="Book Antiqua" w:cs="Book Antiqua"/>
          <w:color w:val="000000"/>
        </w:rPr>
        <w:t>the first case of hepatic MUP treated with combined ipilimumab and nivolumab,</w:t>
      </w:r>
      <w:r w:rsidR="002A6549">
        <w:rPr>
          <w:rFonts w:ascii="Book Antiqua" w:eastAsia="Book Antiqua" w:hAnsi="Book Antiqua" w:cs="Book Antiqua"/>
          <w:color w:val="000000"/>
        </w:rPr>
        <w:t xml:space="preserve"> </w:t>
      </w:r>
      <w:r w:rsidR="00AA4A8A">
        <w:rPr>
          <w:rFonts w:ascii="Book Antiqua" w:eastAsia="Book Antiqua" w:hAnsi="Book Antiqua" w:cs="Book Antiqua"/>
          <w:color w:val="000000"/>
        </w:rPr>
        <w:t xml:space="preserve">who </w:t>
      </w:r>
      <w:r>
        <w:rPr>
          <w:rFonts w:ascii="Book Antiqua" w:eastAsia="Book Antiqua" w:hAnsi="Book Antiqua" w:cs="Book Antiqua"/>
          <w:color w:val="000000"/>
        </w:rPr>
        <w:t xml:space="preserve">showed better outcome than </w:t>
      </w:r>
      <w:r>
        <w:rPr>
          <w:rFonts w:ascii="Book Antiqua" w:eastAsia="Book Antiqua" w:hAnsi="Book Antiqua" w:cs="Book Antiqua"/>
          <w:color w:val="000000"/>
        </w:rPr>
        <w:t>previous cases.</w:t>
      </w:r>
    </w:p>
    <w:p w14:paraId="4369F1A9" w14:textId="77777777" w:rsidR="00A77B3E" w:rsidRDefault="00A77B3E">
      <w:pPr>
        <w:spacing w:line="360" w:lineRule="auto"/>
        <w:jc w:val="both"/>
      </w:pPr>
    </w:p>
    <w:p w14:paraId="5268AA0C" w14:textId="77777777" w:rsidR="00A77B3E" w:rsidRDefault="00735932">
      <w:pPr>
        <w:spacing w:line="360" w:lineRule="auto"/>
        <w:jc w:val="both"/>
      </w:pPr>
      <w:r>
        <w:rPr>
          <w:rFonts w:ascii="Book Antiqua" w:eastAsia="Book Antiqua" w:hAnsi="Book Antiqua" w:cs="Book Antiqua"/>
          <w:color w:val="000000"/>
        </w:rPr>
        <w:t>CONCLUSION</w:t>
      </w:r>
    </w:p>
    <w:p w14:paraId="14507D68" w14:textId="65FC67E0" w:rsidR="00A77B3E" w:rsidRDefault="00AA4A8A">
      <w:pPr>
        <w:spacing w:line="360" w:lineRule="auto"/>
        <w:jc w:val="both"/>
      </w:pPr>
      <w:r>
        <w:rPr>
          <w:rFonts w:ascii="Book Antiqua" w:eastAsia="Book Antiqua" w:hAnsi="Book Antiqua" w:cs="Book Antiqua"/>
          <w:color w:val="000000"/>
        </w:rPr>
        <w:t>C</w:t>
      </w:r>
      <w:r w:rsidR="00735932">
        <w:rPr>
          <w:rFonts w:ascii="Book Antiqua" w:eastAsia="Book Antiqua" w:hAnsi="Book Antiqua" w:cs="Book Antiqua"/>
          <w:color w:val="000000"/>
        </w:rPr>
        <w:t xml:space="preserve">ombined </w:t>
      </w:r>
      <w:r>
        <w:rPr>
          <w:rFonts w:ascii="Book Antiqua" w:eastAsia="Book Antiqua" w:hAnsi="Book Antiqua" w:cs="Book Antiqua"/>
          <w:color w:val="000000"/>
        </w:rPr>
        <w:t>ICIs</w:t>
      </w:r>
      <w:r w:rsidDel="00AA4A8A">
        <w:rPr>
          <w:rFonts w:ascii="Book Antiqua" w:eastAsia="Book Antiqua" w:hAnsi="Book Antiqua" w:cs="Book Antiqua"/>
          <w:color w:val="000000"/>
        </w:rPr>
        <w:t xml:space="preserve"> </w:t>
      </w:r>
      <w:r>
        <w:rPr>
          <w:rFonts w:ascii="Book Antiqua" w:eastAsia="Book Antiqua" w:hAnsi="Book Antiqua" w:cs="Book Antiqua"/>
          <w:color w:val="000000"/>
        </w:rPr>
        <w:t>of</w:t>
      </w:r>
      <w:r w:rsidR="00735932">
        <w:rPr>
          <w:rFonts w:ascii="Book Antiqua" w:eastAsia="Book Antiqua" w:hAnsi="Book Antiqua" w:cs="Book Antiqua"/>
          <w:color w:val="000000"/>
        </w:rPr>
        <w:t xml:space="preserve"> PD-1 and CT</w:t>
      </w:r>
      <w:r w:rsidR="00735932">
        <w:rPr>
          <w:rFonts w:ascii="Book Antiqua" w:eastAsia="Book Antiqua" w:hAnsi="Book Antiqua" w:cs="Book Antiqua"/>
          <w:color w:val="000000"/>
        </w:rPr>
        <w:t>LA-4 may be considered as t</w:t>
      </w:r>
      <w:r w:rsidR="00735932">
        <w:rPr>
          <w:rFonts w:ascii="Book Antiqua" w:eastAsia="Book Antiqua" w:hAnsi="Book Antiqua" w:cs="Book Antiqua"/>
          <w:color w:val="000000"/>
        </w:rPr>
        <w:t>he first</w:t>
      </w:r>
      <w:r>
        <w:rPr>
          <w:rFonts w:ascii="Book Antiqua" w:eastAsia="Book Antiqua" w:hAnsi="Book Antiqua" w:cs="Book Antiqua"/>
          <w:color w:val="000000"/>
        </w:rPr>
        <w:t>-</w:t>
      </w:r>
      <w:r w:rsidR="00735932">
        <w:rPr>
          <w:rFonts w:ascii="Book Antiqua" w:eastAsia="Book Antiqua" w:hAnsi="Book Antiqua" w:cs="Book Antiqua"/>
          <w:color w:val="000000"/>
        </w:rPr>
        <w:t xml:space="preserve">line </w:t>
      </w:r>
      <w:r w:rsidR="00735932">
        <w:rPr>
          <w:rFonts w:ascii="Book Antiqua" w:eastAsia="Book Antiqua" w:hAnsi="Book Antiqua" w:cs="Book Antiqua"/>
          <w:color w:val="000000"/>
        </w:rPr>
        <w:t>therapy for patients with hepatic MUP.</w:t>
      </w:r>
    </w:p>
    <w:p w14:paraId="6EE7B999" w14:textId="77777777" w:rsidR="00A77B3E" w:rsidRDefault="00A77B3E">
      <w:pPr>
        <w:spacing w:line="360" w:lineRule="auto"/>
        <w:jc w:val="both"/>
      </w:pPr>
    </w:p>
    <w:p w14:paraId="4AC812F9" w14:textId="572420EC" w:rsidR="00A77B3E" w:rsidRDefault="0073593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Metastatic melanoma with unknown primary; Liver metastasis; Immune checkpoint inhibitor; </w:t>
      </w:r>
      <w:r w:rsidR="00B569E7">
        <w:rPr>
          <w:rFonts w:ascii="Book Antiqua" w:eastAsia="Book Antiqua" w:hAnsi="Book Antiqua" w:cs="Book Antiqua"/>
          <w:color w:val="000000"/>
        </w:rPr>
        <w:t>P</w:t>
      </w:r>
      <w:r w:rsidR="00B569E7" w:rsidRPr="00B569E7">
        <w:rPr>
          <w:rFonts w:ascii="Book Antiqua" w:eastAsia="Book Antiqua" w:hAnsi="Book Antiqua" w:cs="Book Antiqua"/>
          <w:color w:val="000000"/>
        </w:rPr>
        <w:t>rogrammed death protein-1</w:t>
      </w:r>
      <w:r>
        <w:rPr>
          <w:rFonts w:ascii="Book Antiqua" w:eastAsia="Book Antiqua" w:hAnsi="Book Antiqua" w:cs="Book Antiqua"/>
          <w:color w:val="000000"/>
        </w:rPr>
        <w:t xml:space="preserve">; </w:t>
      </w:r>
      <w:r w:rsidR="00B569E7">
        <w:rPr>
          <w:rFonts w:ascii="Book Antiqua" w:eastAsia="Book Antiqua" w:hAnsi="Book Antiqua" w:cs="Book Antiqua"/>
          <w:color w:val="000000"/>
        </w:rPr>
        <w:t>C</w:t>
      </w:r>
      <w:r w:rsidR="00B569E7" w:rsidRPr="00B569E7">
        <w:rPr>
          <w:rFonts w:ascii="Book Antiqua" w:eastAsia="Book Antiqua" w:hAnsi="Book Antiqua" w:cs="Book Antiqua"/>
          <w:color w:val="000000"/>
        </w:rPr>
        <w:t>ytotoxic T-lymphocyte-associated antigen 4</w:t>
      </w:r>
      <w:r>
        <w:rPr>
          <w:rFonts w:ascii="Book Antiqua" w:eastAsia="Book Antiqua" w:hAnsi="Book Antiqua" w:cs="Book Antiqua"/>
          <w:color w:val="000000"/>
        </w:rPr>
        <w:t>; Case report</w:t>
      </w:r>
    </w:p>
    <w:p w14:paraId="788CC5FA" w14:textId="77777777" w:rsidR="00A77B3E" w:rsidRDefault="00A77B3E">
      <w:pPr>
        <w:spacing w:line="360" w:lineRule="auto"/>
        <w:jc w:val="both"/>
      </w:pPr>
    </w:p>
    <w:p w14:paraId="4B93FAC3" w14:textId="77777777" w:rsidR="00A77B3E" w:rsidRDefault="00735932">
      <w:pPr>
        <w:spacing w:line="360" w:lineRule="auto"/>
        <w:jc w:val="both"/>
      </w:pPr>
      <w:r>
        <w:rPr>
          <w:rFonts w:ascii="Book Antiqua" w:eastAsia="Book Antiqua" w:hAnsi="Book Antiqua" w:cs="Book Antiqua"/>
          <w:color w:val="000000"/>
        </w:rPr>
        <w:t xml:space="preserve">Cheng AC, Lin YJ, Chiu SH, Shih YL. Combined immune checkpoint inhibitors of CTLA4 and PD-1 for hepatic melanoma of unknown primary origin: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707D6E5" w14:textId="77777777" w:rsidR="00A77B3E" w:rsidRDefault="00A77B3E">
      <w:pPr>
        <w:spacing w:line="360" w:lineRule="auto"/>
        <w:jc w:val="both"/>
      </w:pPr>
    </w:p>
    <w:p w14:paraId="52CBD0AE" w14:textId="1D20EF82" w:rsidR="00A77B3E" w:rsidRDefault="0073593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metastatic melanoma with an unknown primary site (MUP) is extremely rare and there is limited inform</w:t>
      </w:r>
      <w:r>
        <w:rPr>
          <w:rFonts w:ascii="Book Antiqua" w:eastAsia="Book Antiqua" w:hAnsi="Book Antiqua" w:cs="Book Antiqua"/>
          <w:color w:val="000000"/>
        </w:rPr>
        <w:t xml:space="preserve">ation on </w:t>
      </w:r>
      <w:r w:rsidR="00AA4A8A">
        <w:rPr>
          <w:rFonts w:ascii="Book Antiqua" w:eastAsia="Book Antiqua" w:hAnsi="Book Antiqua" w:cs="Book Antiqua"/>
          <w:color w:val="000000"/>
        </w:rPr>
        <w:t xml:space="preserve">its </w:t>
      </w:r>
      <w:r>
        <w:rPr>
          <w:rFonts w:ascii="Book Antiqua" w:eastAsia="Book Antiqua" w:hAnsi="Book Antiqua" w:cs="Book Antiqua"/>
          <w:color w:val="000000"/>
        </w:rPr>
        <w:t>pathogenesis, clinical and imaging features, pathological findings</w:t>
      </w:r>
      <w:r w:rsidR="00AA4A8A">
        <w:rPr>
          <w:rFonts w:ascii="Book Antiqua" w:eastAsia="Book Antiqua" w:hAnsi="Book Antiqua" w:cs="Book Antiqua"/>
          <w:color w:val="000000"/>
        </w:rPr>
        <w:t>,</w:t>
      </w:r>
      <w:r>
        <w:rPr>
          <w:rFonts w:ascii="Book Antiqua" w:eastAsia="Book Antiqua" w:hAnsi="Book Antiqua" w:cs="Book Antiqua"/>
          <w:color w:val="000000"/>
        </w:rPr>
        <w:t xml:space="preserve"> and treatment outcome. There are no guidelines for the use of immune checkpoint inhibitors (ICIs) in hepatic MUP. We report the first case of hepatic MUP treated </w:t>
      </w:r>
      <w:r w:rsidR="00AA4A8A">
        <w:rPr>
          <w:rFonts w:ascii="Book Antiqua" w:eastAsia="Book Antiqua" w:hAnsi="Book Antiqua" w:cs="Book Antiqua"/>
          <w:color w:val="000000"/>
        </w:rPr>
        <w:t xml:space="preserve">with combined </w:t>
      </w:r>
      <w:r>
        <w:rPr>
          <w:rFonts w:ascii="Book Antiqua" w:eastAsia="Book Antiqua" w:hAnsi="Book Antiqua" w:cs="Book Antiqua"/>
          <w:color w:val="000000"/>
        </w:rPr>
        <w:t xml:space="preserve">ICIs </w:t>
      </w:r>
      <w:r w:rsidR="00AA4A8A">
        <w:rPr>
          <w:rFonts w:ascii="Book Antiqua" w:eastAsia="Book Antiqua" w:hAnsi="Book Antiqua" w:cs="Book Antiqua"/>
          <w:color w:val="000000"/>
        </w:rPr>
        <w:t>of</w:t>
      </w:r>
      <w:r>
        <w:rPr>
          <w:rFonts w:ascii="Book Antiqua" w:eastAsia="Book Antiqua" w:hAnsi="Book Antiqua" w:cs="Book Antiqua"/>
          <w:color w:val="000000"/>
        </w:rPr>
        <w:t xml:space="preserve"> </w:t>
      </w:r>
      <w:r w:rsidRPr="00735932">
        <w:rPr>
          <w:rFonts w:ascii="Book Antiqua" w:eastAsia="Book Antiqua" w:hAnsi="Book Antiqua" w:cs="Book Antiqua"/>
          <w:color w:val="000000"/>
        </w:rPr>
        <w:t>cytotoxic T-lymphocyte-associated antigen 4 (CTLA</w:t>
      </w:r>
      <w:r>
        <w:rPr>
          <w:rFonts w:ascii="Book Antiqua" w:eastAsia="Book Antiqua" w:hAnsi="Book Antiqua" w:cs="Book Antiqua"/>
          <w:color w:val="000000"/>
        </w:rPr>
        <w:t xml:space="preserve">-4) and programmed death protein-1 (PD-1), describing the clinical features, imaging, pathological findings, and outcome. This case showed better treatment outcome than previous cases of hepatic MUP. </w:t>
      </w:r>
      <w:r w:rsidR="00AA4A8A">
        <w:rPr>
          <w:rFonts w:ascii="Book Antiqua" w:eastAsia="Book Antiqua" w:hAnsi="Book Antiqua" w:cs="Book Antiqua"/>
          <w:color w:val="000000"/>
        </w:rPr>
        <w:t>C</w:t>
      </w:r>
      <w:r>
        <w:rPr>
          <w:rFonts w:ascii="Book Antiqua" w:eastAsia="Book Antiqua" w:hAnsi="Book Antiqua" w:cs="Book Antiqua"/>
          <w:color w:val="000000"/>
        </w:rPr>
        <w:t xml:space="preserve">ombined </w:t>
      </w:r>
      <w:r w:rsidR="00AA4A8A">
        <w:rPr>
          <w:rFonts w:ascii="Book Antiqua" w:eastAsia="Book Antiqua" w:hAnsi="Book Antiqua" w:cs="Book Antiqua"/>
          <w:color w:val="000000"/>
        </w:rPr>
        <w:t xml:space="preserve">ICIs of </w:t>
      </w:r>
      <w:r>
        <w:rPr>
          <w:rFonts w:ascii="Book Antiqua" w:eastAsia="Book Antiqua" w:hAnsi="Book Antiqua" w:cs="Book Antiqua"/>
          <w:color w:val="000000"/>
        </w:rPr>
        <w:t>PD-1 and C</w:t>
      </w:r>
      <w:r>
        <w:rPr>
          <w:rFonts w:ascii="Book Antiqua" w:eastAsia="Book Antiqua" w:hAnsi="Book Antiqua" w:cs="Book Antiqua"/>
          <w:color w:val="000000"/>
        </w:rPr>
        <w:t>TLA-4 may be considered a</w:t>
      </w:r>
      <w:r>
        <w:rPr>
          <w:rFonts w:ascii="Book Antiqua" w:eastAsia="Book Antiqua" w:hAnsi="Book Antiqua" w:cs="Book Antiqua"/>
          <w:color w:val="000000"/>
        </w:rPr>
        <w:t>s the first</w:t>
      </w:r>
      <w:r w:rsidR="00AA4A8A">
        <w:rPr>
          <w:rFonts w:ascii="Book Antiqua" w:eastAsia="Book Antiqua" w:hAnsi="Book Antiqua" w:cs="Book Antiqua"/>
          <w:color w:val="000000"/>
        </w:rPr>
        <w:t>-</w:t>
      </w:r>
      <w:r>
        <w:rPr>
          <w:rFonts w:ascii="Book Antiqua" w:eastAsia="Book Antiqua" w:hAnsi="Book Antiqua" w:cs="Book Antiqua"/>
          <w:color w:val="000000"/>
        </w:rPr>
        <w:t>line therap</w:t>
      </w:r>
      <w:r>
        <w:rPr>
          <w:rFonts w:ascii="Book Antiqua" w:eastAsia="Book Antiqua" w:hAnsi="Book Antiqua" w:cs="Book Antiqua"/>
          <w:color w:val="000000"/>
        </w:rPr>
        <w:t>y for patients with hepatic MUP.</w:t>
      </w:r>
    </w:p>
    <w:p w14:paraId="7011739B" w14:textId="77777777" w:rsidR="00A77B3E" w:rsidRDefault="00A77B3E">
      <w:pPr>
        <w:spacing w:line="360" w:lineRule="auto"/>
        <w:jc w:val="both"/>
      </w:pPr>
    </w:p>
    <w:p w14:paraId="688CFDB0" w14:textId="77777777" w:rsidR="00A77B3E" w:rsidRDefault="00735932">
      <w:pPr>
        <w:spacing w:line="360" w:lineRule="auto"/>
        <w:jc w:val="both"/>
      </w:pPr>
      <w:r>
        <w:rPr>
          <w:rFonts w:ascii="Book Antiqua" w:eastAsia="Book Antiqua" w:hAnsi="Book Antiqua" w:cs="Book Antiqua"/>
          <w:b/>
          <w:caps/>
          <w:color w:val="000000"/>
          <w:u w:val="single"/>
        </w:rPr>
        <w:t>INTRODUCTION</w:t>
      </w:r>
    </w:p>
    <w:p w14:paraId="03ED36DC" w14:textId="588E5DFA" w:rsidR="00A77B3E" w:rsidRDefault="00735932" w:rsidP="000F512E">
      <w:pPr>
        <w:spacing w:line="360" w:lineRule="auto"/>
        <w:jc w:val="both"/>
      </w:pPr>
      <w:r>
        <w:rPr>
          <w:rFonts w:ascii="Book Antiqua" w:eastAsia="Book Antiqua" w:hAnsi="Book Antiqua" w:cs="Book Antiqua"/>
          <w:color w:val="000000"/>
        </w:rPr>
        <w:t>Metastatic melanoma is a fatal disease that is difficult to treat. Most metastatic melanomas have known primary sites, including the skin, eyes, and mucous membranes. It is rarely found in lymph nodes (</w:t>
      </w:r>
      <w:bookmarkStart w:id="0" w:name="_Hlk64540860"/>
      <w:r>
        <w:rPr>
          <w:rFonts w:ascii="Book Antiqua" w:eastAsia="Book Antiqua" w:hAnsi="Book Antiqua" w:cs="Book Antiqua"/>
          <w:color w:val="000000"/>
        </w:rPr>
        <w:t>LNs</w:t>
      </w:r>
      <w:bookmarkEnd w:id="0"/>
      <w:r>
        <w:rPr>
          <w:rFonts w:ascii="Book Antiqua" w:eastAsia="Book Antiqua" w:hAnsi="Book Antiqua" w:cs="Book Antiqua"/>
          <w:color w:val="000000"/>
        </w:rPr>
        <w:t>), subcutaneous tissue, or visceral organs, without a cutaneous, mucosal, or ocular primary lesion, where it is identified as metastatic melanoma with unknown primary (MUP)</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Previous studies have suggested that patients with MUP have better clinical outcomes than those with stage-matched melanoma of known primary (MKP) and the consequence may be associated with the protective immune response of the host</w:t>
      </w:r>
      <w:r>
        <w:rPr>
          <w:rFonts w:ascii="Book Antiqua" w:eastAsia="Book Antiqua" w:hAnsi="Book Antiqua" w:cs="Book Antiqua"/>
          <w:color w:val="000000"/>
          <w:szCs w:val="30"/>
          <w:vertAlign w:val="superscript"/>
        </w:rPr>
        <w:t>[2,3,4]</w:t>
      </w:r>
      <w:r>
        <w:rPr>
          <w:rFonts w:ascii="Book Antiqua" w:eastAsia="Book Antiqua" w:hAnsi="Book Antiqua" w:cs="Book Antiqua"/>
          <w:color w:val="000000"/>
        </w:rPr>
        <w:t>. Therefore, it is considered that MUP may have a biology different from that of MKP. However, according to the National Comprehensive Cancer Network clinical practice guidelines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metastatic melanoma, including metastatic MKP and MUP, are treated using a similar approach, regardless of the subtype.</w:t>
      </w:r>
    </w:p>
    <w:p w14:paraId="3E5E5B4E" w14:textId="19D13F09" w:rsidR="00A77B3E" w:rsidRDefault="00735932">
      <w:pPr>
        <w:spacing w:line="360" w:lineRule="auto"/>
        <w:ind w:firstLine="480"/>
        <w:jc w:val="both"/>
      </w:pPr>
      <w:r>
        <w:rPr>
          <w:rFonts w:ascii="Book Antiqua" w:eastAsia="Book Antiqua" w:hAnsi="Book Antiqua" w:cs="Book Antiqua"/>
          <w:color w:val="000000"/>
        </w:rPr>
        <w:lastRenderedPageBreak/>
        <w:t>In the new era of immunotherapies, immune checkpoint inhibitors (ICIs) including antibodies against programmed death protein-1 (PD-1, nivolumab) and cytotoxic T-lymphocyte-associated antigen 4 (CTLA-4, ipilimumab) are the drugs widely used for melanoma treatment. ICIs act by blocking the inhibitory receptors of immune system elements on T cells (PD-1, CTLA4), thereby leading to the activation of tumor-specific T cells to destroy tumor cells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Rec</w:t>
      </w:r>
      <w:r>
        <w:rPr>
          <w:rFonts w:ascii="Book Antiqua" w:eastAsia="Book Antiqua" w:hAnsi="Book Antiqua" w:cs="Book Antiqua"/>
          <w:color w:val="000000"/>
        </w:rPr>
        <w:t>ently,</w:t>
      </w:r>
      <w:r w:rsidR="00AA4A8A" w:rsidRPr="00AA4A8A">
        <w:rPr>
          <w:rFonts w:ascii="Book Antiqua" w:eastAsia="Book Antiqua" w:hAnsi="Book Antiqua" w:cs="Book Antiqua"/>
          <w:color w:val="000000"/>
        </w:rPr>
        <w:t xml:space="preserve"> </w:t>
      </w:r>
      <w:r w:rsidR="00AA4A8A">
        <w:rPr>
          <w:rFonts w:ascii="Book Antiqua" w:eastAsia="Book Antiqua" w:hAnsi="Book Antiqua" w:cs="Book Antiqua"/>
          <w:color w:val="000000"/>
        </w:rPr>
        <w:t>combined</w:t>
      </w:r>
      <w:r>
        <w:rPr>
          <w:rFonts w:ascii="Book Antiqua" w:eastAsia="Book Antiqua" w:hAnsi="Book Antiqua" w:cs="Book Antiqua"/>
          <w:color w:val="000000"/>
        </w:rPr>
        <w:t xml:space="preserve"> nivolumab and ipilimumab were reported to have survival benefits in patients with metastatic melanoma and became the standard of care in clinical practice</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However, there are no specific guidelines for the use of ICIs in hepatic MUP, and the treatment outcome has rarely been reported. We present the case of a 42-year-old female patient with hepatic MUP, who received </w:t>
      </w:r>
      <w:r w:rsidR="00AA4A8A">
        <w:rPr>
          <w:rFonts w:ascii="Book Antiqua" w:eastAsia="Book Antiqua" w:hAnsi="Book Antiqua" w:cs="Book Antiqua"/>
          <w:color w:val="000000"/>
        </w:rPr>
        <w:t xml:space="preserve">combined </w:t>
      </w:r>
      <w:r>
        <w:rPr>
          <w:rFonts w:ascii="Book Antiqua" w:eastAsia="Book Antiqua" w:hAnsi="Book Antiqua" w:cs="Book Antiqua"/>
          <w:color w:val="000000"/>
        </w:rPr>
        <w:t xml:space="preserve">ICIs </w:t>
      </w:r>
      <w:r w:rsidR="00AA4A8A">
        <w:rPr>
          <w:rFonts w:ascii="Book Antiqua" w:eastAsia="Book Antiqua" w:hAnsi="Book Antiqua" w:cs="Book Antiqua"/>
          <w:color w:val="000000"/>
        </w:rPr>
        <w:t>of</w:t>
      </w:r>
      <w:r>
        <w:rPr>
          <w:rFonts w:ascii="Book Antiqua" w:eastAsia="Book Antiqua" w:hAnsi="Book Antiqua" w:cs="Book Antiqua"/>
          <w:color w:val="000000"/>
        </w:rPr>
        <w:t xml:space="preserve"> PD-1 and CTLA4. To the best of our knowledge, this is the first hepatic MUP treated with</w:t>
      </w:r>
      <w:r w:rsidR="00AA4A8A">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AA4A8A" w:rsidRPr="00AA4A8A">
        <w:rPr>
          <w:rFonts w:ascii="Book Antiqua" w:eastAsia="Book Antiqua" w:hAnsi="Book Antiqua" w:cs="Book Antiqua"/>
          <w:color w:val="000000"/>
        </w:rPr>
        <w:t xml:space="preserve"> </w:t>
      </w:r>
      <w:r w:rsidR="00AA4A8A">
        <w:rPr>
          <w:rFonts w:ascii="Book Antiqua" w:eastAsia="Book Antiqua" w:hAnsi="Book Antiqua" w:cs="Book Antiqua"/>
          <w:color w:val="000000"/>
        </w:rPr>
        <w:t>ICIs of</w:t>
      </w:r>
      <w:r>
        <w:rPr>
          <w:rFonts w:ascii="Book Antiqua" w:eastAsia="Book Antiqua" w:hAnsi="Book Antiqua" w:cs="Book Antiqua"/>
          <w:color w:val="000000"/>
        </w:rPr>
        <w:t xml:space="preserve"> CTLA-4 </w:t>
      </w:r>
      <w:r>
        <w:rPr>
          <w:rFonts w:ascii="Book Antiqua" w:eastAsia="Book Antiqua" w:hAnsi="Book Antiqua" w:cs="Book Antiqua"/>
          <w:color w:val="000000"/>
        </w:rPr>
        <w:t>and PD-1 that showed better survival outcome than previous cases of hepatic MUP</w:t>
      </w:r>
      <w:r>
        <w:rPr>
          <w:rFonts w:ascii="Book Antiqua" w:eastAsia="Book Antiqua" w:hAnsi="Book Antiqua" w:cs="Book Antiqua"/>
          <w:color w:val="000000"/>
          <w:szCs w:val="30"/>
          <w:vertAlign w:val="superscript"/>
        </w:rPr>
        <w:t>[9,10,11]</w:t>
      </w:r>
      <w:r>
        <w:rPr>
          <w:rFonts w:ascii="Book Antiqua" w:eastAsia="Book Antiqua" w:hAnsi="Book Antiqua" w:cs="Book Antiqua"/>
          <w:color w:val="000000"/>
        </w:rPr>
        <w:t>.</w:t>
      </w:r>
    </w:p>
    <w:p w14:paraId="44E1A0D1" w14:textId="77777777" w:rsidR="00A77B3E" w:rsidRDefault="00A77B3E">
      <w:pPr>
        <w:spacing w:line="360" w:lineRule="auto"/>
        <w:ind w:firstLine="480"/>
        <w:jc w:val="both"/>
      </w:pPr>
    </w:p>
    <w:p w14:paraId="1EE357D5" w14:textId="77777777" w:rsidR="00A77B3E" w:rsidRDefault="00735932">
      <w:pPr>
        <w:spacing w:line="360" w:lineRule="auto"/>
        <w:jc w:val="both"/>
      </w:pPr>
      <w:r>
        <w:rPr>
          <w:rFonts w:ascii="Book Antiqua" w:eastAsia="Book Antiqua" w:hAnsi="Book Antiqua" w:cs="Book Antiqua"/>
          <w:b/>
          <w:caps/>
          <w:color w:val="000000"/>
          <w:u w:val="single"/>
        </w:rPr>
        <w:t>CASE PRESENTATION</w:t>
      </w:r>
    </w:p>
    <w:p w14:paraId="12AD3B0E" w14:textId="77777777" w:rsidR="00A77B3E" w:rsidRDefault="00735932">
      <w:pPr>
        <w:spacing w:line="360" w:lineRule="auto"/>
        <w:jc w:val="both"/>
      </w:pPr>
      <w:r>
        <w:rPr>
          <w:rFonts w:ascii="Book Antiqua" w:eastAsia="Book Antiqua" w:hAnsi="Book Antiqua" w:cs="Book Antiqua"/>
          <w:b/>
          <w:i/>
          <w:color w:val="000000"/>
        </w:rPr>
        <w:t>Chief complaints</w:t>
      </w:r>
    </w:p>
    <w:p w14:paraId="1ABF562A" w14:textId="77777777" w:rsidR="00A77B3E" w:rsidRDefault="00735932">
      <w:pPr>
        <w:spacing w:line="360" w:lineRule="auto"/>
        <w:jc w:val="both"/>
      </w:pPr>
      <w:r>
        <w:rPr>
          <w:rFonts w:ascii="Book Antiqua" w:eastAsia="Book Antiqua" w:hAnsi="Book Antiqua" w:cs="Book Antiqua"/>
          <w:color w:val="000000"/>
        </w:rPr>
        <w:t>A 42-year-old Taiwanese woman was admitted to our hospital due to hepatic tumors found incidentally during a routine check-up.</w:t>
      </w:r>
    </w:p>
    <w:p w14:paraId="39594713" w14:textId="77777777" w:rsidR="00A77B3E" w:rsidRDefault="00A77B3E">
      <w:pPr>
        <w:spacing w:line="360" w:lineRule="auto"/>
        <w:jc w:val="both"/>
      </w:pPr>
    </w:p>
    <w:p w14:paraId="3108781F" w14:textId="77777777" w:rsidR="00A77B3E" w:rsidRDefault="00735932">
      <w:pPr>
        <w:spacing w:line="360" w:lineRule="auto"/>
        <w:jc w:val="both"/>
      </w:pPr>
      <w:r>
        <w:rPr>
          <w:rFonts w:ascii="Book Antiqua" w:eastAsia="Book Antiqua" w:hAnsi="Book Antiqua" w:cs="Book Antiqua"/>
          <w:b/>
          <w:i/>
          <w:color w:val="000000"/>
        </w:rPr>
        <w:t>History of present illness</w:t>
      </w:r>
    </w:p>
    <w:p w14:paraId="2CF51D65" w14:textId="77777777" w:rsidR="00A77B3E" w:rsidRDefault="00735932">
      <w:pPr>
        <w:spacing w:line="360" w:lineRule="auto"/>
        <w:jc w:val="both"/>
      </w:pPr>
      <w:r>
        <w:rPr>
          <w:rFonts w:ascii="Book Antiqua" w:eastAsia="Book Antiqua" w:hAnsi="Book Antiqua" w:cs="Book Antiqua"/>
          <w:color w:val="000000"/>
        </w:rPr>
        <w:t>The patient denied any symptoms including abdominal pain, loss of body weight, and anorexia.</w:t>
      </w:r>
    </w:p>
    <w:p w14:paraId="52758741" w14:textId="77777777" w:rsidR="00A77B3E" w:rsidRDefault="00A77B3E">
      <w:pPr>
        <w:spacing w:line="360" w:lineRule="auto"/>
        <w:jc w:val="both"/>
      </w:pPr>
    </w:p>
    <w:p w14:paraId="01D2A11C" w14:textId="77777777" w:rsidR="00A77B3E" w:rsidRDefault="00735932">
      <w:pPr>
        <w:spacing w:line="360" w:lineRule="auto"/>
        <w:jc w:val="both"/>
      </w:pPr>
      <w:r>
        <w:rPr>
          <w:rFonts w:ascii="Book Antiqua" w:eastAsia="Book Antiqua" w:hAnsi="Book Antiqua" w:cs="Book Antiqua"/>
          <w:b/>
          <w:i/>
          <w:color w:val="000000"/>
        </w:rPr>
        <w:t>History of past illness</w:t>
      </w:r>
    </w:p>
    <w:p w14:paraId="087B5025" w14:textId="1663DAAD" w:rsidR="00A77B3E" w:rsidRDefault="00735932">
      <w:pPr>
        <w:spacing w:line="360" w:lineRule="auto"/>
        <w:jc w:val="both"/>
      </w:pPr>
      <w:r>
        <w:rPr>
          <w:rFonts w:ascii="Book Antiqua" w:eastAsia="Book Antiqua" w:hAnsi="Book Antiqua" w:cs="Book Antiqua"/>
          <w:color w:val="000000"/>
        </w:rPr>
        <w:t>The patient d</w:t>
      </w:r>
      <w:r>
        <w:rPr>
          <w:rFonts w:ascii="Book Antiqua" w:eastAsia="Book Antiqua" w:hAnsi="Book Antiqua" w:cs="Book Antiqua"/>
          <w:color w:val="000000"/>
        </w:rPr>
        <w:t xml:space="preserve">enied </w:t>
      </w:r>
      <w:r w:rsidR="00AA4A8A">
        <w:rPr>
          <w:rFonts w:ascii="Book Antiqua" w:eastAsia="Book Antiqua" w:hAnsi="Book Antiqua" w:cs="Book Antiqua"/>
          <w:color w:val="000000"/>
        </w:rPr>
        <w:t xml:space="preserve">any </w:t>
      </w:r>
      <w:r>
        <w:rPr>
          <w:rFonts w:ascii="Book Antiqua" w:eastAsia="Book Antiqua" w:hAnsi="Book Antiqua" w:cs="Book Antiqua"/>
          <w:color w:val="000000"/>
        </w:rPr>
        <w:t xml:space="preserve">history </w:t>
      </w:r>
      <w:r>
        <w:rPr>
          <w:rFonts w:ascii="Book Antiqua" w:eastAsia="Book Antiqua" w:hAnsi="Book Antiqua" w:cs="Book Antiqua"/>
          <w:color w:val="000000"/>
        </w:rPr>
        <w:t>of liver disease, including chronic hepatitis B or C viral infection. She was not taking any medications such as oral contraceptives or estrogens. She had been smoking 2 to 5 cigarettes per day for ten years but denied alcohol use. Her family history was negative for hereditary disease or malignancy.</w:t>
      </w:r>
    </w:p>
    <w:p w14:paraId="34FAD132" w14:textId="77777777" w:rsidR="00A77B3E" w:rsidRDefault="00A77B3E">
      <w:pPr>
        <w:spacing w:line="360" w:lineRule="auto"/>
        <w:jc w:val="both"/>
      </w:pPr>
    </w:p>
    <w:p w14:paraId="15384934" w14:textId="77777777" w:rsidR="00A77B3E" w:rsidRDefault="00735932">
      <w:pPr>
        <w:spacing w:line="360" w:lineRule="auto"/>
        <w:jc w:val="both"/>
      </w:pPr>
      <w:r>
        <w:rPr>
          <w:rFonts w:ascii="Book Antiqua" w:eastAsia="Book Antiqua" w:hAnsi="Book Antiqua" w:cs="Book Antiqua"/>
          <w:b/>
          <w:i/>
          <w:color w:val="000000"/>
        </w:rPr>
        <w:lastRenderedPageBreak/>
        <w:t>Physical examination</w:t>
      </w:r>
    </w:p>
    <w:p w14:paraId="2B5D01CB" w14:textId="77777777" w:rsidR="00A77B3E" w:rsidRDefault="00735932">
      <w:pPr>
        <w:spacing w:line="360" w:lineRule="auto"/>
        <w:jc w:val="both"/>
      </w:pPr>
      <w:r>
        <w:rPr>
          <w:rFonts w:ascii="Book Antiqua" w:eastAsia="Book Antiqua" w:hAnsi="Book Antiqua" w:cs="Book Antiqua"/>
          <w:color w:val="000000"/>
        </w:rPr>
        <w:t>Physical examination revealed no yellowish discoloration of the skin or sclera. There was no superficial lymph node enlargement, including the neck and the supraclavicular, axillary, and inguinal regions. The abdomen was soft with no shifting dullness or tenderness.</w:t>
      </w:r>
    </w:p>
    <w:p w14:paraId="2A1AA18A" w14:textId="77777777" w:rsidR="00A77B3E" w:rsidRDefault="00A77B3E">
      <w:pPr>
        <w:spacing w:line="360" w:lineRule="auto"/>
        <w:jc w:val="both"/>
      </w:pPr>
    </w:p>
    <w:p w14:paraId="5AB3E7F9" w14:textId="77777777" w:rsidR="00A77B3E" w:rsidRDefault="00735932">
      <w:pPr>
        <w:spacing w:line="360" w:lineRule="auto"/>
        <w:jc w:val="both"/>
      </w:pPr>
      <w:r>
        <w:rPr>
          <w:rFonts w:ascii="Book Antiqua" w:eastAsia="Book Antiqua" w:hAnsi="Book Antiqua" w:cs="Book Antiqua"/>
          <w:b/>
          <w:i/>
          <w:color w:val="000000"/>
        </w:rPr>
        <w:t>Laboratory examinations</w:t>
      </w:r>
    </w:p>
    <w:p w14:paraId="532D35B1" w14:textId="0E3A8DEB" w:rsidR="00A77B3E" w:rsidRDefault="00AA4A8A">
      <w:pPr>
        <w:spacing w:line="360" w:lineRule="auto"/>
        <w:jc w:val="both"/>
      </w:pPr>
      <w:r>
        <w:rPr>
          <w:rFonts w:ascii="Book Antiqua" w:eastAsia="Book Antiqua" w:hAnsi="Book Antiqua" w:cs="Book Antiqua"/>
          <w:color w:val="000000"/>
        </w:rPr>
        <w:t>R</w:t>
      </w:r>
      <w:r w:rsidR="00735932">
        <w:rPr>
          <w:rFonts w:ascii="Book Antiqua" w:eastAsia="Book Antiqua" w:hAnsi="Book Antiqua" w:cs="Book Antiqua"/>
          <w:color w:val="000000"/>
        </w:rPr>
        <w:t xml:space="preserve">outine blood tests revealed the following: </w:t>
      </w:r>
      <w:r>
        <w:rPr>
          <w:rFonts w:ascii="Book Antiqua" w:eastAsia="Book Antiqua" w:hAnsi="Book Antiqua" w:cs="Book Antiqua"/>
          <w:color w:val="000000"/>
        </w:rPr>
        <w:t xml:space="preserve">White </w:t>
      </w:r>
      <w:r w:rsidR="00735932">
        <w:rPr>
          <w:rFonts w:ascii="Book Antiqua" w:eastAsia="Book Antiqua" w:hAnsi="Book Antiqua" w:cs="Book Antiqua"/>
          <w:color w:val="000000"/>
        </w:rPr>
        <w:t>blood cell cou</w:t>
      </w:r>
      <w:r w:rsidR="005C2D8F">
        <w:rPr>
          <w:rFonts w:ascii="Book Antiqua" w:eastAsia="Book Antiqua" w:hAnsi="Book Antiqua" w:cs="Book Antiqua"/>
          <w:color w:val="000000"/>
        </w:rPr>
        <w:t>nt, 9</w:t>
      </w:r>
      <w:r w:rsidR="005C2D8F" w:rsidRPr="005C2D8F">
        <w:rPr>
          <w:rFonts w:ascii="Book Antiqua" w:eastAsia="Book Antiqua" w:hAnsi="Book Antiqua" w:cs="Book Antiqua"/>
          <w:color w:val="000000"/>
        </w:rPr>
        <w:t>950</w:t>
      </w:r>
      <w:r w:rsidR="00707BC5" w:rsidRPr="005C2D8F">
        <w:rPr>
          <w:rFonts w:ascii="Book Antiqua" w:eastAsia="Book Antiqua" w:hAnsi="Book Antiqua" w:cs="Book Antiqua"/>
          <w:color w:val="000000"/>
        </w:rPr>
        <w:t>/</w:t>
      </w:r>
      <w:r w:rsidR="005C2D8F" w:rsidRPr="005C2D8F">
        <w:rPr>
          <w:rFonts w:ascii="Book Antiqua" w:hAnsi="Book Antiqua" w:cs="Segoe UI"/>
          <w:color w:val="333333"/>
          <w:shd w:val="clear" w:color="auto" w:fill="FCFCFC"/>
        </w:rPr>
        <w:t>µ</w:t>
      </w:r>
      <w:r w:rsidR="00735932" w:rsidRPr="005C2D8F">
        <w:rPr>
          <w:rFonts w:ascii="Book Antiqua" w:eastAsia="Book Antiqua" w:hAnsi="Book Antiqua" w:cs="Book Antiqua"/>
          <w:color w:val="000000"/>
        </w:rPr>
        <w:t xml:space="preserve">L; </w:t>
      </w:r>
      <w:r w:rsidR="00735932">
        <w:rPr>
          <w:rFonts w:ascii="Book Antiqua" w:eastAsia="Book Antiqua" w:hAnsi="Book Antiqua" w:cs="Book Antiqua"/>
          <w:color w:val="000000"/>
        </w:rPr>
        <w:t>hemoglobin, 15.0 g/dL; prothrombin time, 10.6 s; and international normalized ratio, 1.0. Biochemistry metrics included aspartate aminotransferase, 37 U/L; alanine aminotransferase, 82 U/L; total bilirubin, 0.6 mg/dL; albumin, 3.5 g/dL; alkaline phosphatase, 167 U/L</w:t>
      </w:r>
      <w:r>
        <w:rPr>
          <w:rFonts w:ascii="Book Antiqua" w:eastAsia="Book Antiqua" w:hAnsi="Book Antiqua" w:cs="Book Antiqua"/>
          <w:color w:val="000000"/>
        </w:rPr>
        <w:t>;</w:t>
      </w:r>
      <w:r w:rsidR="00735932">
        <w:rPr>
          <w:rFonts w:ascii="Book Antiqua" w:eastAsia="Book Antiqua" w:hAnsi="Book Antiqua" w:cs="Book Antiqua"/>
          <w:color w:val="000000"/>
        </w:rPr>
        <w:t xml:space="preserve"> and lactate dehydrogenase (LDH), 180 U/L. Viral serology showed negativity for hepatitis B surface antigen and anti-hepatitis C virus antibodies. The tumor markers alpha-fetoprotein, carcinoembryonic antigen, cancer antigen 199, and cancer antigen 125 were all in the normal range.</w:t>
      </w:r>
    </w:p>
    <w:p w14:paraId="08719DFF" w14:textId="77777777" w:rsidR="00A77B3E" w:rsidRDefault="00735932">
      <w:pPr>
        <w:spacing w:line="360" w:lineRule="auto"/>
        <w:jc w:val="both"/>
      </w:pPr>
      <w:r>
        <w:rPr>
          <w:rFonts w:ascii="Book Antiqua" w:eastAsia="Book Antiqua" w:hAnsi="Book Antiqua" w:cs="Book Antiqua"/>
          <w:b/>
          <w:i/>
          <w:color w:val="000000"/>
        </w:rPr>
        <w:t>Imaging examinations</w:t>
      </w:r>
    </w:p>
    <w:p w14:paraId="09C6F92F" w14:textId="343EFD88" w:rsidR="00A77B3E" w:rsidRDefault="00735932">
      <w:pPr>
        <w:spacing w:line="360" w:lineRule="auto"/>
        <w:jc w:val="both"/>
      </w:pPr>
      <w:r>
        <w:rPr>
          <w:rFonts w:ascii="Book Antiqua" w:eastAsia="Book Antiqua" w:hAnsi="Book Antiqua" w:cs="Book Antiqua"/>
          <w:color w:val="000000"/>
        </w:rPr>
        <w:t>Tri-phasic, contrast-enhanced abdominal computer tomography (CT) revealed several heterogeneous masses and nodules in both lobes of the liver with a maximal size of 8.3 cm at segment 4. The masses showed uneven en</w:t>
      </w:r>
      <w:r>
        <w:rPr>
          <w:rFonts w:ascii="Book Antiqua" w:eastAsia="Book Antiqua" w:hAnsi="Book Antiqua" w:cs="Book Antiqua"/>
          <w:color w:val="000000"/>
        </w:rPr>
        <w:t xml:space="preserve">hancement </w:t>
      </w:r>
      <w:r w:rsidR="00AA4A8A">
        <w:rPr>
          <w:rFonts w:ascii="Book Antiqua" w:eastAsia="Book Antiqua" w:hAnsi="Book Antiqua" w:cs="Book Antiqua"/>
          <w:color w:val="000000"/>
        </w:rPr>
        <w:t xml:space="preserve">in </w:t>
      </w:r>
      <w:r>
        <w:rPr>
          <w:rFonts w:ascii="Book Antiqua" w:eastAsia="Book Antiqua" w:hAnsi="Book Antiqua" w:cs="Book Antiqua"/>
          <w:color w:val="000000"/>
        </w:rPr>
        <w:t xml:space="preserve">the arterial phase (Figure 1A). The enhancement washout </w:t>
      </w:r>
      <w:r w:rsidR="00AA4A8A">
        <w:rPr>
          <w:rFonts w:ascii="Book Antiqua" w:eastAsia="Book Antiqua" w:hAnsi="Book Antiqua" w:cs="Book Antiqua"/>
          <w:color w:val="000000"/>
        </w:rPr>
        <w:t xml:space="preserve">occurred in </w:t>
      </w:r>
      <w:r>
        <w:rPr>
          <w:rFonts w:ascii="Book Antiqua" w:eastAsia="Book Antiqua" w:hAnsi="Book Antiqua" w:cs="Book Antiqua"/>
          <w:color w:val="000000"/>
        </w:rPr>
        <w:t>the portal ve</w:t>
      </w:r>
      <w:r>
        <w:rPr>
          <w:rFonts w:ascii="Book Antiqua" w:eastAsia="Book Antiqua" w:hAnsi="Book Antiqua" w:cs="Book Antiqua"/>
          <w:color w:val="000000"/>
        </w:rPr>
        <w:t>nous phase (Figure 1B) and delayed phase (Figure 1C).</w:t>
      </w:r>
    </w:p>
    <w:p w14:paraId="315246BC" w14:textId="77777777" w:rsidR="00A77B3E" w:rsidRDefault="00A77B3E">
      <w:pPr>
        <w:spacing w:line="360" w:lineRule="auto"/>
        <w:jc w:val="both"/>
      </w:pPr>
    </w:p>
    <w:p w14:paraId="3C7058CA" w14:textId="77777777" w:rsidR="00A77B3E" w:rsidRDefault="00735932">
      <w:pPr>
        <w:spacing w:line="360" w:lineRule="auto"/>
        <w:jc w:val="both"/>
      </w:pPr>
      <w:r>
        <w:rPr>
          <w:rFonts w:ascii="Book Antiqua" w:eastAsia="Book Antiqua" w:hAnsi="Book Antiqua" w:cs="Book Antiqua"/>
          <w:b/>
          <w:bCs/>
          <w:i/>
          <w:iCs/>
          <w:color w:val="000000"/>
        </w:rPr>
        <w:t>Further diagnostic work-up</w:t>
      </w:r>
    </w:p>
    <w:p w14:paraId="3D0B0397" w14:textId="6F911DA6" w:rsidR="00A77B3E" w:rsidRDefault="00735932">
      <w:pPr>
        <w:spacing w:line="360" w:lineRule="auto"/>
        <w:jc w:val="both"/>
      </w:pPr>
      <w:r>
        <w:rPr>
          <w:rFonts w:ascii="Book Antiqua" w:eastAsia="Book Antiqua" w:hAnsi="Book Antiqua" w:cs="Book Antiqua"/>
          <w:color w:val="000000"/>
        </w:rPr>
        <w:t>A percutaneous ultrasound-guided liver biopsy was performed on the patient. Microscopical examination showed epithelioid tumor cells with moderate nuclear atypia, as well as focal intracytoplasmic melanin pigments arranged in solid nests infiltrating in the liver parenchyma (Figure 2A). Immunohistochemical staining revealed that the specimen was HMB45 diffusely positive (Figure 2B), Melan-A diffusely positive (Figure 2C), SOX10 diffusely positive (Figure 2D), cytokeratin negat</w:t>
      </w:r>
      <w:r>
        <w:rPr>
          <w:rFonts w:ascii="Book Antiqua" w:eastAsia="Book Antiqua" w:hAnsi="Book Antiqua" w:cs="Book Antiqua"/>
          <w:color w:val="000000"/>
        </w:rPr>
        <w:t xml:space="preserve">ive (Figure 2E), </w:t>
      </w:r>
      <w:r w:rsidR="00AA4A8A">
        <w:rPr>
          <w:rFonts w:ascii="Book Antiqua" w:eastAsia="Book Antiqua" w:hAnsi="Book Antiqua" w:cs="Book Antiqua"/>
          <w:color w:val="000000"/>
        </w:rPr>
        <w:t xml:space="preserve">and </w:t>
      </w:r>
      <w:r>
        <w:rPr>
          <w:rFonts w:ascii="Book Antiqua" w:eastAsia="Book Antiqua" w:hAnsi="Book Antiqua" w:cs="Book Antiqua"/>
          <w:color w:val="000000"/>
        </w:rPr>
        <w:t>BRAF-</w:t>
      </w:r>
      <w:r>
        <w:rPr>
          <w:rFonts w:ascii="Book Antiqua" w:eastAsia="Book Antiqua" w:hAnsi="Book Antiqua" w:cs="Book Antiqua"/>
          <w:color w:val="000000"/>
        </w:rPr>
        <w:lastRenderedPageBreak/>
        <w:t>V600E</w:t>
      </w:r>
      <w:r w:rsidR="00AA4A8A" w:rsidRPr="00AA4A8A">
        <w:rPr>
          <w:rFonts w:ascii="Book Antiqua" w:eastAsia="Book Antiqua" w:hAnsi="Book Antiqua" w:cs="Book Antiqua"/>
          <w:color w:val="000000"/>
        </w:rPr>
        <w:t xml:space="preserve"> </w:t>
      </w:r>
      <w:r w:rsidR="00AA4A8A">
        <w:rPr>
          <w:rFonts w:ascii="Book Antiqua" w:eastAsia="Book Antiqua" w:hAnsi="Book Antiqua" w:cs="Book Antiqua"/>
          <w:color w:val="000000"/>
        </w:rPr>
        <w:t>positive</w:t>
      </w:r>
      <w:r>
        <w:rPr>
          <w:rFonts w:ascii="Book Antiqua" w:eastAsia="Book Antiqua" w:hAnsi="Book Antiqua" w:cs="Book Antiqua"/>
          <w:color w:val="000000"/>
        </w:rPr>
        <w:t xml:space="preserve"> (Figure 2F). Based on the findings of p</w:t>
      </w:r>
      <w:r>
        <w:rPr>
          <w:rFonts w:ascii="Book Antiqua" w:eastAsia="Book Antiqua" w:hAnsi="Book Antiqua" w:cs="Book Antiqua"/>
          <w:color w:val="000000"/>
        </w:rPr>
        <w:t>athological and immunohistochemical staining, melanoma was diagnosed.</w:t>
      </w:r>
    </w:p>
    <w:p w14:paraId="6A959943" w14:textId="2D2B61F1" w:rsidR="00A77B3E" w:rsidRDefault="00735932" w:rsidP="00735932">
      <w:pPr>
        <w:spacing w:line="360" w:lineRule="auto"/>
        <w:ind w:firstLineChars="100" w:firstLine="240"/>
        <w:jc w:val="both"/>
      </w:pPr>
      <w:r>
        <w:rPr>
          <w:rFonts w:ascii="Book Antiqua" w:eastAsia="Book Antiqua" w:hAnsi="Book Antiqua" w:cs="Book Antiqua"/>
          <w:color w:val="000000"/>
        </w:rPr>
        <w:t>After the pathologic diagnosis was confirmed, a detailed medical history was recorded. The patient had no history of any excised melanocytic or pigmented lesion. Comprehensive and rigorous examinations were performed. No skin lesions were found on her skin surface, including the scalp, face, soles of the feet, genitalia</w:t>
      </w:r>
      <w:r w:rsidR="00A44707">
        <w:rPr>
          <w:rFonts w:ascii="Book Antiqua" w:eastAsia="Book Antiqua" w:hAnsi="Book Antiqua" w:cs="Book Antiqua"/>
          <w:color w:val="000000"/>
        </w:rPr>
        <w:t>,</w:t>
      </w:r>
      <w:r>
        <w:rPr>
          <w:rFonts w:ascii="Book Antiqua" w:eastAsia="Book Antiqua" w:hAnsi="Book Antiqua" w:cs="Book Antiqua"/>
          <w:color w:val="000000"/>
        </w:rPr>
        <w:t xml:space="preserve"> and anus. Otolaryngologic and ophthalmologic examinations were normal. Upper gastrointestinal panendoscopy and colonoscopy showed negative results. Positron emission tomography-computer tomography (PET-CT) was </w:t>
      </w:r>
      <w:r>
        <w:rPr>
          <w:rFonts w:ascii="Book Antiqua" w:eastAsia="Book Antiqua" w:hAnsi="Book Antiqua" w:cs="Book Antiqua"/>
          <w:color w:val="000000"/>
        </w:rPr>
        <w:t xml:space="preserve">performed and showed multiple fluorodeoxyglucose (FDG)-avid mass lesions in the bilateral lobes of </w:t>
      </w:r>
      <w:r w:rsidR="00AA4A8A">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AA4A8A">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most prominent being about 8.2 cm in size at segment 4 with </w:t>
      </w:r>
      <w:r w:rsidR="00AA4A8A">
        <w:rPr>
          <w:rFonts w:ascii="Book Antiqua" w:eastAsia="Book Antiqua" w:hAnsi="Book Antiqua" w:cs="Book Antiqua"/>
          <w:color w:val="000000"/>
        </w:rPr>
        <w:t xml:space="preserve">an maximum </w:t>
      </w:r>
      <w:r>
        <w:rPr>
          <w:rFonts w:ascii="Book Antiqua" w:eastAsia="Book Antiqua" w:hAnsi="Book Antiqua" w:cs="Book Antiqua"/>
          <w:color w:val="000000"/>
        </w:rPr>
        <w:t xml:space="preserve">standardized uptake value </w:t>
      </w:r>
      <w:r w:rsidR="00AA4A8A">
        <w:rPr>
          <w:rFonts w:ascii="Book Antiqua" w:eastAsia="Book Antiqua" w:hAnsi="Book Antiqua" w:cs="Book Antiqua"/>
          <w:color w:val="000000"/>
        </w:rPr>
        <w:t>of</w:t>
      </w:r>
      <w:r>
        <w:rPr>
          <w:rFonts w:ascii="Book Antiqua" w:eastAsia="Book Antiqua" w:hAnsi="Book Antiqua" w:cs="Book Antiqua"/>
          <w:color w:val="000000"/>
        </w:rPr>
        <w:t xml:space="preserve"> 11.9. No marked FDG-avid primary cutaneous melanom</w:t>
      </w:r>
      <w:r>
        <w:rPr>
          <w:rFonts w:ascii="Book Antiqua" w:eastAsia="Book Antiqua" w:hAnsi="Book Antiqua" w:cs="Book Antiqua"/>
          <w:color w:val="000000"/>
        </w:rPr>
        <w:t>a lesion was found.</w:t>
      </w:r>
    </w:p>
    <w:p w14:paraId="08257E47" w14:textId="77777777" w:rsidR="00A77B3E" w:rsidRDefault="00A77B3E">
      <w:pPr>
        <w:spacing w:line="360" w:lineRule="auto"/>
        <w:jc w:val="both"/>
      </w:pPr>
    </w:p>
    <w:p w14:paraId="216A2297" w14:textId="77777777" w:rsidR="00A77B3E" w:rsidRDefault="00735932">
      <w:pPr>
        <w:spacing w:line="360" w:lineRule="auto"/>
        <w:jc w:val="both"/>
      </w:pPr>
      <w:r>
        <w:rPr>
          <w:rFonts w:ascii="Book Antiqua" w:eastAsia="Book Antiqua" w:hAnsi="Book Antiqua" w:cs="Book Antiqua"/>
          <w:b/>
          <w:caps/>
          <w:color w:val="000000"/>
          <w:u w:val="single"/>
        </w:rPr>
        <w:t>FINAL DIAGNOSIS</w:t>
      </w:r>
    </w:p>
    <w:p w14:paraId="7FBDC88D" w14:textId="400B0A97" w:rsidR="00A77B3E" w:rsidRDefault="00735932">
      <w:pPr>
        <w:spacing w:line="360" w:lineRule="auto"/>
        <w:jc w:val="both"/>
      </w:pPr>
      <w:r>
        <w:rPr>
          <w:rFonts w:ascii="Book Antiqua" w:eastAsia="Book Antiqua" w:hAnsi="Book Antiqua" w:cs="Book Antiqua"/>
          <w:color w:val="000000"/>
        </w:rPr>
        <w:t>The final diagnosis of the presen</w:t>
      </w:r>
      <w:r>
        <w:rPr>
          <w:rFonts w:ascii="Book Antiqua" w:eastAsia="Book Antiqua" w:hAnsi="Book Antiqua" w:cs="Book Antiqua"/>
          <w:color w:val="000000"/>
        </w:rPr>
        <w:t xml:space="preserve">ted case </w:t>
      </w:r>
      <w:r w:rsidR="00AA4A8A">
        <w:rPr>
          <w:rFonts w:ascii="Book Antiqua" w:eastAsia="Book Antiqua" w:hAnsi="Book Antiqua" w:cs="Book Antiqua"/>
          <w:color w:val="000000"/>
        </w:rPr>
        <w:t xml:space="preserve">was </w:t>
      </w:r>
      <w:r>
        <w:rPr>
          <w:rFonts w:ascii="Book Antiqua" w:eastAsia="Book Antiqua" w:hAnsi="Book Antiqua" w:cs="Book Antiqua"/>
          <w:color w:val="000000"/>
        </w:rPr>
        <w:t>hepatic</w:t>
      </w:r>
      <w:r w:rsidR="00AA4A8A">
        <w:rPr>
          <w:rFonts w:ascii="Book Antiqua" w:eastAsia="Book Antiqua" w:hAnsi="Book Antiqua" w:cs="Book Antiqua"/>
          <w:color w:val="000000"/>
        </w:rPr>
        <w:t xml:space="preserve"> </w:t>
      </w:r>
      <w:r w:rsidRPr="00735932">
        <w:rPr>
          <w:rFonts w:ascii="Book Antiqua" w:eastAsia="Book Antiqua" w:hAnsi="Book Antiqua" w:cs="Book Antiqua"/>
          <w:color w:val="000000"/>
        </w:rPr>
        <w:t>MUP</w:t>
      </w:r>
      <w:r>
        <w:rPr>
          <w:rFonts w:ascii="Book Antiqua" w:eastAsia="Book Antiqua" w:hAnsi="Book Antiqua" w:cs="Book Antiqua"/>
          <w:color w:val="000000"/>
        </w:rPr>
        <w:t>.</w:t>
      </w:r>
    </w:p>
    <w:p w14:paraId="2EC3D74A" w14:textId="77777777" w:rsidR="00A77B3E" w:rsidRDefault="00A77B3E">
      <w:pPr>
        <w:spacing w:line="360" w:lineRule="auto"/>
        <w:jc w:val="both"/>
      </w:pPr>
    </w:p>
    <w:p w14:paraId="2A26F459" w14:textId="77777777" w:rsidR="00A77B3E" w:rsidRDefault="00735932">
      <w:pPr>
        <w:spacing w:line="360" w:lineRule="auto"/>
        <w:jc w:val="both"/>
      </w:pPr>
      <w:r>
        <w:rPr>
          <w:rFonts w:ascii="Book Antiqua" w:eastAsia="Book Antiqua" w:hAnsi="Book Antiqua" w:cs="Book Antiqua"/>
          <w:b/>
          <w:caps/>
          <w:color w:val="000000"/>
          <w:u w:val="single"/>
        </w:rPr>
        <w:t>TREATMENT</w:t>
      </w:r>
    </w:p>
    <w:p w14:paraId="3378B23B" w14:textId="5EA8A58C" w:rsidR="00A77B3E" w:rsidRDefault="00735932">
      <w:pPr>
        <w:spacing w:line="360" w:lineRule="auto"/>
        <w:jc w:val="both"/>
      </w:pPr>
      <w:r>
        <w:rPr>
          <w:rFonts w:ascii="Book Antiqua" w:eastAsia="Book Antiqua" w:hAnsi="Book Antiqua" w:cs="Book Antiqua"/>
          <w:color w:val="000000"/>
        </w:rPr>
        <w:t>The patient initially received combin</w:t>
      </w:r>
      <w:r>
        <w:rPr>
          <w:rFonts w:ascii="Book Antiqua" w:eastAsia="Book Antiqua" w:hAnsi="Book Antiqua" w:cs="Book Antiqua"/>
          <w:color w:val="000000"/>
        </w:rPr>
        <w:t>ed target</w:t>
      </w:r>
      <w:r w:rsidR="00AA4A8A">
        <w:rPr>
          <w:rFonts w:ascii="Book Antiqua" w:eastAsia="Book Antiqua" w:hAnsi="Book Antiqua" w:cs="Book Antiqua"/>
          <w:color w:val="000000"/>
        </w:rPr>
        <w:t>ed</w:t>
      </w:r>
      <w:r>
        <w:rPr>
          <w:rFonts w:ascii="Book Antiqua" w:eastAsia="Book Antiqua" w:hAnsi="Book Antiqua" w:cs="Book Antiqua"/>
          <w:color w:val="000000"/>
        </w:rPr>
        <w:t xml:space="preserve"> therapy with BRAF and MEK inhibitors, which was terminated one month later because of the adverse effects. She underwent immunotherapy with combined nivolumab (1 mg/kg body weight) and ipilimumab (3 mg/kg body weight) every </w:t>
      </w:r>
      <w:r w:rsidR="00AA4A8A">
        <w:rPr>
          <w:rFonts w:ascii="Book Antiqua" w:eastAsia="Book Antiqua" w:hAnsi="Book Antiqua" w:cs="Book Antiqua"/>
          <w:color w:val="000000"/>
        </w:rPr>
        <w:t xml:space="preserve">3 </w:t>
      </w:r>
      <w:r>
        <w:rPr>
          <w:rFonts w:ascii="Book Antiqua" w:eastAsia="Book Antiqua" w:hAnsi="Book Antiqua" w:cs="Book Antiqua"/>
          <w:color w:val="000000"/>
        </w:rPr>
        <w:t>wk for four cycles. After four cycles of nivolumab and ipilimumab treatment, enhanced abdominal computed tomography (CT) showed stable disease</w:t>
      </w:r>
      <w:r w:rsidR="003221E3">
        <w:rPr>
          <w:rFonts w:ascii="Book Antiqua" w:eastAsia="Book Antiqua" w:hAnsi="Book Antiqua" w:cs="Book Antiqua"/>
          <w:color w:val="000000"/>
        </w:rPr>
        <w:t>.</w:t>
      </w:r>
      <w:r>
        <w:rPr>
          <w:rFonts w:ascii="Book Antiqua" w:eastAsia="Book Antiqua" w:hAnsi="Book Antiqua" w:cs="Book Antiqua"/>
          <w:color w:val="000000"/>
        </w:rPr>
        <w:t xml:space="preserve"> Then, she received another six cycles of nivolumab at a dose of 3 mg/kg body weight every </w:t>
      </w:r>
      <w:r w:rsidR="009B79BB">
        <w:rPr>
          <w:rFonts w:ascii="Book Antiqua" w:eastAsia="Book Antiqua" w:hAnsi="Book Antiqua" w:cs="Book Antiqua"/>
          <w:color w:val="000000"/>
        </w:rPr>
        <w:t xml:space="preserve">2 </w:t>
      </w:r>
      <w:r>
        <w:rPr>
          <w:rFonts w:ascii="Book Antiqua" w:eastAsia="Book Antiqua" w:hAnsi="Book Antiqua" w:cs="Book Antiqua"/>
          <w:color w:val="000000"/>
        </w:rPr>
        <w:t xml:space="preserve">wk. </w:t>
      </w:r>
    </w:p>
    <w:p w14:paraId="385A483E" w14:textId="77777777" w:rsidR="00A77B3E" w:rsidRDefault="00A77B3E">
      <w:pPr>
        <w:spacing w:line="360" w:lineRule="auto"/>
        <w:jc w:val="both"/>
      </w:pPr>
    </w:p>
    <w:p w14:paraId="7A923EF2" w14:textId="77777777" w:rsidR="00A77B3E" w:rsidRDefault="00735932">
      <w:pPr>
        <w:spacing w:line="360" w:lineRule="auto"/>
        <w:jc w:val="both"/>
      </w:pPr>
      <w:r>
        <w:rPr>
          <w:rFonts w:ascii="Book Antiqua" w:eastAsia="Book Antiqua" w:hAnsi="Book Antiqua" w:cs="Book Antiqua"/>
          <w:b/>
          <w:caps/>
          <w:color w:val="000000"/>
          <w:u w:val="single"/>
        </w:rPr>
        <w:t>OUTCOME AND FOLLOW-UP</w:t>
      </w:r>
    </w:p>
    <w:p w14:paraId="5785D49B" w14:textId="6E4351BE" w:rsidR="00A77B3E" w:rsidRDefault="00735932">
      <w:pPr>
        <w:spacing w:line="360" w:lineRule="auto"/>
        <w:jc w:val="both"/>
      </w:pPr>
      <w:r>
        <w:rPr>
          <w:rFonts w:ascii="Book Antiqua" w:eastAsia="Book Antiqua" w:hAnsi="Book Antiqua" w:cs="Book Antiqua"/>
          <w:color w:val="000000"/>
        </w:rPr>
        <w:t>After six cycles of nivolumab, progression of hepatic melanomas was noted. The patient died of hepatic fa</w:t>
      </w:r>
      <w:r>
        <w:rPr>
          <w:rFonts w:ascii="Book Antiqua" w:eastAsia="Book Antiqua" w:hAnsi="Book Antiqua" w:cs="Book Antiqua"/>
          <w:color w:val="000000"/>
        </w:rPr>
        <w:t xml:space="preserve">ilure </w:t>
      </w:r>
      <w:r w:rsidR="009B79BB">
        <w:rPr>
          <w:rFonts w:ascii="Book Antiqua" w:eastAsia="Book Antiqua" w:hAnsi="Book Antiqua" w:cs="Book Antiqua"/>
          <w:color w:val="000000"/>
        </w:rPr>
        <w:t xml:space="preserve">9 </w:t>
      </w:r>
      <w:r>
        <w:rPr>
          <w:rFonts w:ascii="Book Antiqua" w:eastAsia="Book Antiqua" w:hAnsi="Book Antiqua" w:cs="Book Antiqua"/>
          <w:color w:val="000000"/>
        </w:rPr>
        <w:t>mo after hepatic MUP was diagnosed.</w:t>
      </w:r>
    </w:p>
    <w:p w14:paraId="443A208A" w14:textId="77777777" w:rsidR="00A77B3E" w:rsidRDefault="00A77B3E">
      <w:pPr>
        <w:spacing w:line="360" w:lineRule="auto"/>
        <w:jc w:val="both"/>
      </w:pPr>
    </w:p>
    <w:p w14:paraId="04FF2CFF" w14:textId="77777777" w:rsidR="00A77B3E" w:rsidRDefault="00735932">
      <w:pPr>
        <w:spacing w:line="360" w:lineRule="auto"/>
        <w:jc w:val="both"/>
      </w:pPr>
      <w:r>
        <w:rPr>
          <w:rFonts w:ascii="Book Antiqua" w:eastAsia="Book Antiqua" w:hAnsi="Book Antiqua" w:cs="Book Antiqua"/>
          <w:b/>
          <w:caps/>
          <w:color w:val="000000"/>
          <w:u w:val="single"/>
        </w:rPr>
        <w:t>DISCUSSION</w:t>
      </w:r>
    </w:p>
    <w:p w14:paraId="4C6DE477" w14:textId="567C088A" w:rsidR="00A77B3E" w:rsidRDefault="00735932" w:rsidP="007C0338">
      <w:pPr>
        <w:spacing w:line="360" w:lineRule="auto"/>
        <w:jc w:val="both"/>
      </w:pPr>
      <w:r>
        <w:rPr>
          <w:rFonts w:ascii="Book Antiqua" w:eastAsia="Book Antiqua" w:hAnsi="Book Antiqua" w:cs="Book Antiqua"/>
          <w:color w:val="000000"/>
        </w:rPr>
        <w:t>MUP is defined as melanoma discovered in subcutaneous tissue, LNs, or visceral organs without a cutaneous, ocular, or mucosal primary site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diagnostic criteria for MUP, proposed by Das</w:t>
      </w:r>
      <w:r w:rsidR="002A6549">
        <w:rPr>
          <w:rFonts w:ascii="Book Antiqua" w:eastAsia="Book Antiqua" w:hAnsi="Book Antiqua" w:cs="Book Antiqua"/>
          <w:color w:val="000000"/>
        </w:rPr>
        <w:t>g</w:t>
      </w:r>
      <w:r>
        <w:rPr>
          <w:rFonts w:ascii="Book Antiqua" w:eastAsia="Book Antiqua" w:hAnsi="Book Antiqua" w:cs="Book Antiqua"/>
          <w:color w:val="000000"/>
        </w:rPr>
        <w:t xml:space="preserve">upta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9B79BB">
        <w:rPr>
          <w:rFonts w:ascii="Book Antiqua" w:eastAsia="Book Antiqua" w:hAnsi="Book Antiqua" w:cs="Book Antiqua"/>
          <w:color w:val="000000"/>
        </w:rPr>
        <w:t xml:space="preserve">are </w:t>
      </w:r>
      <w:r>
        <w:rPr>
          <w:rFonts w:ascii="Book Antiqua" w:eastAsia="Book Antiqua" w:hAnsi="Book Antiqua" w:cs="Book Antiqua"/>
          <w:color w:val="000000"/>
        </w:rPr>
        <w:t xml:space="preserve">as follows. First, metastatic melanoma was confirmed clinically, histologically, and immunohistochemically. Second, there was no history of melanocytic, pigmented lesions </w:t>
      </w:r>
      <w:r w:rsidR="009B79BB">
        <w:rPr>
          <w:rFonts w:ascii="Book Antiqua" w:eastAsia="Book Antiqua" w:hAnsi="Book Antiqua" w:cs="Book Antiqua"/>
          <w:color w:val="000000"/>
        </w:rPr>
        <w:t xml:space="preserve">that </w:t>
      </w:r>
      <w:r>
        <w:rPr>
          <w:rFonts w:ascii="Book Antiqua" w:eastAsia="Book Antiqua" w:hAnsi="Book Antiqua" w:cs="Book Antiqua"/>
          <w:color w:val="000000"/>
        </w:rPr>
        <w:t>were excise</w:t>
      </w:r>
      <w:r>
        <w:rPr>
          <w:rFonts w:ascii="Book Antiqua" w:eastAsia="Book Antiqua" w:hAnsi="Book Antiqua" w:cs="Book Antiqua"/>
          <w:color w:val="000000"/>
        </w:rPr>
        <w:t>d without a histological examination. Third, unusual primary sites, including oral, urogenital, otolaryngologic, ophthalmologic, and anal areas, were excluded. The diagnosis of MUP in our case was based on the patient’s clinical history, physical and laboratory examinations, imaging studies, and pathological findings. The findings of upper gastrointestinal panendoscopy and colonoscopy excluded primary lesions from the gastrointestinal tract. The findings of PET-CT supported the final diagnosis.</w:t>
      </w:r>
    </w:p>
    <w:p w14:paraId="2EE27B0E" w14:textId="2005F487" w:rsidR="00A77B3E" w:rsidRDefault="00735932">
      <w:pPr>
        <w:spacing w:line="360" w:lineRule="auto"/>
        <w:ind w:firstLine="480"/>
        <w:jc w:val="both"/>
      </w:pPr>
      <w:r>
        <w:rPr>
          <w:rFonts w:ascii="Book Antiqua" w:eastAsia="Book Antiqua" w:hAnsi="Book Antiqua" w:cs="Book Antiqua"/>
          <w:color w:val="000000"/>
        </w:rPr>
        <w:t>The incidence of MUP comprises approximately 3% of all melanoma cases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MUP is most commonly diagnosed in LNs (approximately 60%), followed by subcutaneous sites (approximately 30%). It occurs least in visceral organs (approximately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Hepatic MUP is extremely rare. Only five previous English studies in PubMed were related to hepatic MUP</w:t>
      </w:r>
      <w:r w:rsidR="00256002">
        <w:rPr>
          <w:rFonts w:ascii="Book Antiqua" w:eastAsia="Book Antiqua" w:hAnsi="Book Antiqua" w:cs="Book Antiqua"/>
          <w:color w:val="000000"/>
          <w:szCs w:val="30"/>
          <w:vertAlign w:val="superscript"/>
        </w:rPr>
        <w:t>[9</w:t>
      </w:r>
      <w:r w:rsidR="007C0338">
        <w:rPr>
          <w:rFonts w:ascii="Book Antiqua" w:eastAsia="Book Antiqua" w:hAnsi="Book Antiqua" w:cs="Book Antiqua"/>
          <w:color w:val="000000"/>
          <w:szCs w:val="30"/>
          <w:vertAlign w:val="superscript"/>
        </w:rPr>
        <w:t>-</w:t>
      </w:r>
      <w:r w:rsidR="0025600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(Table 1). The clinical symptoms and image findings of hepatic MUP are nonspecific. Previous case reports suggested that patients may experience abdominal pain, anorexia, or weight loss. However, our patient did not have these symptoms. Image findings in previous cases included single or multiple lesions. In our case, contrast-enhanced abdominal CT showed multiple masses with uneven enhancement in the arterial phase and washout in the portal venous and delayed phases. Hypervascular neoplasms, such as hepatocellular carcinoma, hepatic hemangioma, hepatic angiosarcoma, and metastases, were initially considered.</w:t>
      </w:r>
    </w:p>
    <w:p w14:paraId="4197890D" w14:textId="6F607B49" w:rsidR="00A77B3E" w:rsidRDefault="00735932">
      <w:pPr>
        <w:spacing w:line="360" w:lineRule="auto"/>
        <w:ind w:firstLine="480"/>
        <w:jc w:val="both"/>
      </w:pPr>
      <w:r>
        <w:rPr>
          <w:rFonts w:ascii="Book Antiqua" w:eastAsia="Book Antiqua" w:hAnsi="Book Antiqua" w:cs="Book Antiqua"/>
          <w:color w:val="000000"/>
        </w:rPr>
        <w:t>The pathological characteristics of melanoma can mimic epithelial, hematologic, mesenchymal, and neural tumors. Immunohistochemi</w:t>
      </w:r>
      <w:r>
        <w:rPr>
          <w:rFonts w:ascii="Book Antiqua" w:eastAsia="Book Antiqua" w:hAnsi="Book Antiqua" w:cs="Book Antiqua"/>
          <w:color w:val="000000"/>
        </w:rPr>
        <w:t xml:space="preserve">cal </w:t>
      </w:r>
      <w:r w:rsidR="009B79BB">
        <w:rPr>
          <w:rFonts w:ascii="Book Antiqua" w:eastAsia="Book Antiqua" w:hAnsi="Book Antiqua" w:cs="Book Antiqua"/>
          <w:color w:val="000000"/>
        </w:rPr>
        <w:t xml:space="preserve">staining </w:t>
      </w:r>
      <w:r>
        <w:rPr>
          <w:rFonts w:ascii="Book Antiqua" w:eastAsia="Book Antiqua" w:hAnsi="Book Antiqua" w:cs="Book Antiqua"/>
          <w:color w:val="000000"/>
        </w:rPr>
        <w:t>can provi</w:t>
      </w:r>
      <w:r>
        <w:rPr>
          <w:rFonts w:ascii="Book Antiqua" w:eastAsia="Book Antiqua" w:hAnsi="Book Antiqua" w:cs="Book Antiqua"/>
          <w:color w:val="000000"/>
        </w:rPr>
        <w:t xml:space="preserve">de valuable information to distinguish melanomas. In our case, the specimen showed epithelioid-like tumor cells with moderate nuclear atypia, arranged in solid nests with low mitotic figures </w:t>
      </w:r>
      <w:r>
        <w:rPr>
          <w:rFonts w:ascii="Book Antiqua" w:eastAsia="Book Antiqua" w:hAnsi="Book Antiqua" w:cs="Book Antiqua"/>
          <w:color w:val="000000"/>
        </w:rPr>
        <w:lastRenderedPageBreak/>
        <w:t>and no tumor necrosis. The differential diagnosis for these findings included hepatocellular carcinoma, metastatic carcinoma of breast origin, and metastatic neuroendocrine tumor. Immunohistochemical staining revea</w:t>
      </w:r>
      <w:r w:rsidR="00383F4D">
        <w:rPr>
          <w:rFonts w:ascii="Book Antiqua" w:eastAsia="Book Antiqua" w:hAnsi="Book Antiqua" w:cs="Book Antiqua"/>
          <w:color w:val="000000"/>
        </w:rPr>
        <w:t>led that the specimen was HMB45(+), Melan-A(+), SOX10(+), S100</w:t>
      </w:r>
      <w:r>
        <w:rPr>
          <w:rFonts w:ascii="Book Antiqua" w:eastAsia="Book Antiqua" w:hAnsi="Book Antiqua" w:cs="Book Antiqua"/>
          <w:color w:val="000000"/>
        </w:rPr>
        <w:t>(+), Hepa-1(-),</w:t>
      </w:r>
      <w:r w:rsidR="00383F4D">
        <w:rPr>
          <w:rFonts w:ascii="Book Antiqua" w:eastAsia="Book Antiqua" w:hAnsi="Book Antiqua" w:cs="Book Antiqua"/>
          <w:color w:val="000000"/>
        </w:rPr>
        <w:t xml:space="preserve"> Cytokeratin(-), and INSM-1</w:t>
      </w:r>
      <w:r>
        <w:rPr>
          <w:rFonts w:ascii="Book Antiqua" w:eastAsia="Book Antiqua" w:hAnsi="Book Antiqua" w:cs="Book Antiqua"/>
          <w:color w:val="000000"/>
        </w:rPr>
        <w:t>(-). Malignant melanoma was diagnosed based on these results.</w:t>
      </w:r>
    </w:p>
    <w:p w14:paraId="6D717DB4" w14:textId="57BA4199" w:rsidR="00A77B3E" w:rsidRDefault="00735932">
      <w:pPr>
        <w:spacing w:line="360" w:lineRule="auto"/>
        <w:ind w:firstLine="480"/>
        <w:jc w:val="both"/>
      </w:pPr>
      <w:r>
        <w:rPr>
          <w:rFonts w:ascii="Book Antiqua" w:eastAsia="Book Antiqua" w:hAnsi="Book Antiqua" w:cs="Book Antiqua"/>
          <w:color w:val="000000"/>
        </w:rPr>
        <w:t>According to the American Joint Committee on Cancer eighth edition cancer staging manual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MUP in </w:t>
      </w:r>
      <w:r w:rsidRPr="00735932">
        <w:rPr>
          <w:rFonts w:ascii="Book Antiqua" w:eastAsia="Book Antiqua" w:hAnsi="Book Antiqua" w:cs="Book Antiqua"/>
          <w:color w:val="000000"/>
        </w:rPr>
        <w:t>LNs</w:t>
      </w:r>
      <w:r>
        <w:rPr>
          <w:rFonts w:ascii="Book Antiqua" w:eastAsia="Book Antiqua" w:hAnsi="Book Antiqua" w:cs="Book Antiqua"/>
          <w:color w:val="000000"/>
        </w:rPr>
        <w:t xml:space="preserve"> indicates stage III disease, and MUP in visceral organs, soft tissue, including muscle, and non-regional lymph node, indicates stage IV disease. Our patient had multiple melanomas in the liver, confirming the diagnosis of stage IV disease. Recent studies have demonstrated that inhibition of BRAF and MEK improved the overall survival among patients with BRAF V600–mutated metastatic melanoma</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In addition, </w:t>
      </w:r>
      <w:r w:rsidR="009B79BB">
        <w:rPr>
          <w:rFonts w:ascii="Book Antiqua" w:eastAsia="Book Antiqua" w:hAnsi="Book Antiqua" w:cs="Book Antiqua"/>
          <w:color w:val="000000"/>
        </w:rPr>
        <w:t xml:space="preserve">combined </w:t>
      </w:r>
      <w:r>
        <w:rPr>
          <w:rFonts w:ascii="Book Antiqua" w:eastAsia="Book Antiqua" w:hAnsi="Book Antiqua" w:cs="Book Antiqua"/>
          <w:color w:val="000000"/>
        </w:rPr>
        <w:t xml:space="preserve">ICIs </w:t>
      </w:r>
      <w:r w:rsidR="009B79BB">
        <w:rPr>
          <w:rFonts w:ascii="Book Antiqua" w:eastAsia="Book Antiqua" w:hAnsi="Book Antiqua" w:cs="Book Antiqua"/>
          <w:color w:val="000000"/>
        </w:rPr>
        <w:t>of</w:t>
      </w:r>
      <w:r>
        <w:rPr>
          <w:rFonts w:ascii="Book Antiqua" w:eastAsia="Book Antiqua" w:hAnsi="Book Antiqua" w:cs="Book Antiqua"/>
          <w:color w:val="000000"/>
        </w:rPr>
        <w:t xml:space="preserve"> CTLA-4 (ipilimumab) and PD-1 (nivolumab) were shown to have survival benefits in patients with metastatic melanoma</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Our patient initially received a combination of BRAF and MEK inhibitors because she possessed BRAF-V600E gene mutations and health insurance support. However, this was discontinued because she could not tolerate the adverse effect. She then received</w:t>
      </w:r>
      <w:r w:rsidR="009B79BB" w:rsidRPr="009B79BB">
        <w:rPr>
          <w:rFonts w:ascii="Book Antiqua" w:eastAsia="Book Antiqua" w:hAnsi="Book Antiqua" w:cs="Book Antiqua"/>
          <w:color w:val="000000"/>
        </w:rPr>
        <w:t xml:space="preserve"> </w:t>
      </w:r>
      <w:r w:rsidR="009B79BB">
        <w:rPr>
          <w:rFonts w:ascii="Book Antiqua" w:eastAsia="Book Antiqua" w:hAnsi="Book Antiqua" w:cs="Book Antiqua"/>
          <w:color w:val="000000"/>
        </w:rPr>
        <w:t>combined</w:t>
      </w:r>
      <w:r>
        <w:rPr>
          <w:rFonts w:ascii="Book Antiqua" w:eastAsia="Book Antiqua" w:hAnsi="Book Antiqua" w:cs="Book Antiqua"/>
          <w:color w:val="000000"/>
        </w:rPr>
        <w:t xml:space="preserve"> ICIs </w:t>
      </w:r>
      <w:r w:rsidR="009B79BB">
        <w:rPr>
          <w:rFonts w:ascii="Book Antiqua" w:eastAsia="Book Antiqua" w:hAnsi="Book Antiqua" w:cs="Book Antiqua"/>
          <w:color w:val="000000"/>
        </w:rPr>
        <w:t>of</w:t>
      </w:r>
      <w:r>
        <w:rPr>
          <w:rFonts w:ascii="Book Antiqua" w:eastAsia="Book Antiqua" w:hAnsi="Book Antiqua" w:cs="Book Antiqua"/>
          <w:color w:val="000000"/>
        </w:rPr>
        <w:t xml:space="preserve"> CTLA-4 (ipilimumab) and PD-1 (nivolumab), but this was not effective. The patient died </w:t>
      </w:r>
      <w:r w:rsidR="009B79BB">
        <w:rPr>
          <w:rFonts w:ascii="Book Antiqua" w:eastAsia="Book Antiqua" w:hAnsi="Book Antiqua" w:cs="Book Antiqua"/>
          <w:color w:val="000000"/>
        </w:rPr>
        <w:t xml:space="preserve">9 </w:t>
      </w:r>
      <w:r>
        <w:rPr>
          <w:rFonts w:ascii="Book Antiqua" w:eastAsia="Book Antiqua" w:hAnsi="Book Antiqua" w:cs="Book Antiqua"/>
          <w:color w:val="000000"/>
        </w:rPr>
        <w:t>mo after initial diagnosis. To the best of our knowledge, this was the first hepatic MUP case</w:t>
      </w:r>
      <w:r w:rsidR="009B79BB">
        <w:rPr>
          <w:rFonts w:ascii="Book Antiqua" w:eastAsia="Book Antiqua" w:hAnsi="Book Antiqua" w:cs="Book Antiqua"/>
          <w:color w:val="000000"/>
        </w:rPr>
        <w:t xml:space="preserve"> </w:t>
      </w:r>
      <w:r>
        <w:rPr>
          <w:rFonts w:ascii="Book Antiqua" w:eastAsia="Book Antiqua" w:hAnsi="Book Antiqua" w:cs="Book Antiqua"/>
          <w:color w:val="000000"/>
        </w:rPr>
        <w:t>treated w</w:t>
      </w:r>
      <w:r>
        <w:rPr>
          <w:rFonts w:ascii="Book Antiqua" w:eastAsia="Book Antiqua" w:hAnsi="Book Antiqua" w:cs="Book Antiqua"/>
          <w:color w:val="000000"/>
        </w:rPr>
        <w:t>ith ICIs, which improved survival time compared to previous cases</w:t>
      </w:r>
      <w:r>
        <w:rPr>
          <w:rFonts w:ascii="Book Antiqua" w:eastAsia="Book Antiqua" w:hAnsi="Book Antiqua" w:cs="Book Antiqua"/>
          <w:color w:val="000000"/>
          <w:szCs w:val="30"/>
          <w:vertAlign w:val="superscript"/>
        </w:rPr>
        <w:t>[9</w:t>
      </w:r>
      <w:r w:rsidR="002C45D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35F05542" w14:textId="67DE008D" w:rsidR="00A77B3E" w:rsidRDefault="00735932">
      <w:pPr>
        <w:spacing w:line="360" w:lineRule="auto"/>
        <w:ind w:firstLine="480"/>
        <w:jc w:val="both"/>
      </w:pPr>
      <w:r>
        <w:rPr>
          <w:rFonts w:ascii="Book Antiqua" w:eastAsia="Book Antiqua" w:hAnsi="Book Antiqua" w:cs="Book Antiqua"/>
          <w:color w:val="000000"/>
        </w:rPr>
        <w:t xml:space="preserve">The prognostic factors for patients with MUP include the number of involved </w:t>
      </w:r>
      <w:r w:rsidRPr="00735932">
        <w:rPr>
          <w:rFonts w:ascii="Book Antiqua" w:eastAsia="Book Antiqua" w:hAnsi="Book Antiqua" w:cs="Book Antiqua"/>
          <w:color w:val="000000"/>
        </w:rPr>
        <w:t>LNs</w:t>
      </w:r>
      <w:r>
        <w:rPr>
          <w:rFonts w:ascii="Book Antiqua" w:eastAsia="Book Antiqua" w:hAnsi="Book Antiqua" w:cs="Book Antiqua"/>
          <w:color w:val="000000"/>
        </w:rPr>
        <w:t xml:space="preserve"> and visceral metastases, age, and serum lactate dehydrogenase (LDH) level</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Liver function impairment caused by hepatic metastatic melanoma is usually not severe. However, patients from previous reports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initially presented with mild liver dysfunction, which rapidly developed to acute liver failure within days, subsequently leading to death</w:t>
      </w:r>
      <w:r>
        <w:rPr>
          <w:rFonts w:ascii="Book Antiqua" w:eastAsia="Book Antiqua" w:hAnsi="Book Antiqua" w:cs="Book Antiqua"/>
          <w:color w:val="000000"/>
          <w:szCs w:val="30"/>
          <w:vertAlign w:val="superscript"/>
        </w:rPr>
        <w:t>[9</w:t>
      </w:r>
      <w:r w:rsidR="002C45D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All patients had significantly increased serum LDH levels while liver lesions were detected</w:t>
      </w:r>
      <w:r>
        <w:rPr>
          <w:rFonts w:ascii="Book Antiqua" w:eastAsia="Book Antiqua" w:hAnsi="Book Antiqua" w:cs="Book Antiqua"/>
          <w:color w:val="000000"/>
          <w:szCs w:val="30"/>
          <w:vertAlign w:val="superscript"/>
        </w:rPr>
        <w:t>[9</w:t>
      </w:r>
      <w:r w:rsidR="002C45D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may suggest that elevated serum LD</w:t>
      </w:r>
      <w:bookmarkStart w:id="1" w:name="_GoBack"/>
      <w:r>
        <w:rPr>
          <w:rFonts w:ascii="Book Antiqua" w:eastAsia="Book Antiqua" w:hAnsi="Book Antiqua" w:cs="Book Antiqua"/>
          <w:color w:val="000000"/>
        </w:rPr>
        <w:t xml:space="preserve">H level was </w:t>
      </w:r>
      <w:bookmarkEnd w:id="1"/>
      <w:r>
        <w:rPr>
          <w:rFonts w:ascii="Book Antiqua" w:eastAsia="Book Antiqua" w:hAnsi="Book Antiqua" w:cs="Book Antiqua"/>
          <w:color w:val="000000"/>
        </w:rPr>
        <w:t>a risk factor for hepatic failure among patients with hepatic metastatic melanoma. Our case had normal serum LDH levels during the initial diagnosis, which may indicate a more favorable outcome than the other cases</w:t>
      </w:r>
      <w:r>
        <w:rPr>
          <w:rFonts w:ascii="Book Antiqua" w:eastAsia="Book Antiqua" w:hAnsi="Book Antiqua" w:cs="Book Antiqua"/>
          <w:color w:val="000000"/>
          <w:szCs w:val="30"/>
          <w:vertAlign w:val="superscript"/>
        </w:rPr>
        <w:t>[9</w:t>
      </w:r>
      <w:r w:rsidR="003C4E20" w:rsidRPr="003C4E20">
        <w:rPr>
          <w:rFonts w:ascii="Book Antiqua" w:hAnsi="Book Antiqua" w:cs="Book Antiqua"/>
          <w:color w:val="000000"/>
          <w:szCs w:val="30"/>
          <w:vertAlign w:val="superscript"/>
          <w:lang w:eastAsia="zh-CN"/>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600389FC" w14:textId="1F737642" w:rsidR="00A77B3E" w:rsidRDefault="00735932">
      <w:pPr>
        <w:spacing w:line="360" w:lineRule="auto"/>
        <w:ind w:firstLine="480"/>
        <w:jc w:val="both"/>
      </w:pPr>
      <w:r>
        <w:rPr>
          <w:rFonts w:ascii="Book Antiqua" w:eastAsia="Book Antiqua" w:hAnsi="Book Antiqua" w:cs="Book Antiqua"/>
          <w:color w:val="000000"/>
        </w:rPr>
        <w:lastRenderedPageBreak/>
        <w:t>The biological phenomenon of MUP is still not well understood. Various theories have been proposed for MUP. A more commonly accepted theory is the spontaneous regression of a previously unrecognized primary melanoma after metastatic spread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The spontaneous regression of melanoma occurs through an immune process. For example, studies have shown that regressing melanomas were characterized by an increased number of tumor-infiltrating T-lymphocytes and the expression of the interleukin 2 receptor, which is an activation marker for T-lymphocytes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Cellular immune response to melanoma-associated antigens has been thought to induce spontaneous regression, mediated by cytotoxic lymphocytes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humoral immune response for melanoma tumor destruction caused by antibody attachment to melanoma cell membranes has been identified using immunofluorescence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These host antitumor immune responses were associated</w:t>
      </w:r>
      <w:r>
        <w:rPr>
          <w:rFonts w:ascii="Book Antiqua" w:eastAsia="Book Antiqua" w:hAnsi="Book Antiqua" w:cs="Book Antiqua"/>
          <w:color w:val="000000"/>
        </w:rPr>
        <w:t xml:space="preserve"> with </w:t>
      </w:r>
      <w:r w:rsidR="00D81430">
        <w:rPr>
          <w:rFonts w:ascii="Book Antiqua" w:eastAsia="Book Antiqua" w:hAnsi="Book Antiqua" w:cs="Book Antiqua"/>
          <w:color w:val="000000"/>
        </w:rPr>
        <w:t xml:space="preserve">a </w:t>
      </w:r>
      <w:r>
        <w:rPr>
          <w:rFonts w:ascii="Book Antiqua" w:eastAsia="Book Antiqua" w:hAnsi="Book Antiqua" w:cs="Book Antiqua"/>
          <w:color w:val="000000"/>
        </w:rPr>
        <w:t>better surv</w:t>
      </w:r>
      <w:r>
        <w:rPr>
          <w:rFonts w:ascii="Book Antiqua" w:eastAsia="Book Antiqua" w:hAnsi="Book Antiqua" w:cs="Book Antiqua"/>
          <w:color w:val="000000"/>
        </w:rPr>
        <w:t>ival in patients with MUP than in patients with stage-matched MKP</w:t>
      </w:r>
      <w:r>
        <w:rPr>
          <w:rFonts w:ascii="Book Antiqua" w:eastAsia="Book Antiqua" w:hAnsi="Book Antiqua" w:cs="Book Antiqua"/>
          <w:color w:val="000000"/>
          <w:szCs w:val="30"/>
          <w:vertAlign w:val="superscript"/>
        </w:rPr>
        <w:t>[2</w:t>
      </w:r>
      <w:r w:rsidR="005865A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association between antitumor immune response and clinical significance remains speculative. Further investigations are required to understand the regulatory network between melanoma and the immune system.</w:t>
      </w:r>
    </w:p>
    <w:p w14:paraId="02D16D8E" w14:textId="433DEBDB" w:rsidR="00A77B3E" w:rsidRDefault="00735932" w:rsidP="00735932">
      <w:pPr>
        <w:spacing w:line="360" w:lineRule="auto"/>
        <w:ind w:firstLineChars="100" w:firstLine="240"/>
        <w:jc w:val="both"/>
      </w:pPr>
      <w:r>
        <w:rPr>
          <w:rFonts w:ascii="Book Antiqua" w:eastAsia="Book Antiqua" w:hAnsi="Book Antiqua" w:cs="Book Antiqua"/>
          <w:color w:val="000000"/>
        </w:rPr>
        <w:t>PD-1 is a cell surface receptor commonly found in activated T cells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PD-1 signaling inhibits T cell-mediated immune responses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the microenvironment, PD-1 signaling, which is highly expressed in tumor-infiltrating lymphocytes in melanoma, promotes T cell dysfunction and apoptosis and confers resistance to tumor cells against cytotoxic T cell (CD8+)-mediated tumor cell killing, finally leading to tumor progression</w:t>
      </w:r>
      <w:r>
        <w:rPr>
          <w:rFonts w:ascii="Book Antiqua" w:eastAsia="Book Antiqua" w:hAnsi="Book Antiqua" w:cs="Book Antiqua"/>
          <w:color w:val="000000"/>
          <w:szCs w:val="30"/>
          <w:vertAlign w:val="superscript"/>
        </w:rPr>
        <w:t>[6,24]</w:t>
      </w:r>
      <w:r>
        <w:rPr>
          <w:rFonts w:ascii="Book Antiqua" w:eastAsia="Book Antiqua" w:hAnsi="Book Antiqua" w:cs="Book Antiqua"/>
          <w:color w:val="000000"/>
        </w:rPr>
        <w:t>. CTLA-4 is a receptor on the surface of activated T cells, and it mediates immunosuppression by inhibition at the T-cell receptor immune synapse and the signaling pathway of CD28, thereby reducing immune responses to tumor antigens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Recently, preclinical studies and clinical trials have shown the synergistic effect of antitumor r</w:t>
      </w:r>
      <w:r>
        <w:rPr>
          <w:rFonts w:ascii="Book Antiqua" w:eastAsia="Book Antiqua" w:hAnsi="Book Antiqua" w:cs="Book Antiqua"/>
          <w:color w:val="000000"/>
        </w:rPr>
        <w:t xml:space="preserve">esponses using </w:t>
      </w:r>
      <w:r>
        <w:rPr>
          <w:rFonts w:ascii="Book Antiqua" w:eastAsia="Book Antiqua" w:hAnsi="Book Antiqua" w:cs="Book Antiqua"/>
          <w:color w:val="000000"/>
        </w:rPr>
        <w:t>combin</w:t>
      </w:r>
      <w:r>
        <w:rPr>
          <w:rFonts w:ascii="Book Antiqua" w:eastAsia="Book Antiqua" w:hAnsi="Book Antiqua" w:cs="Book Antiqua"/>
          <w:color w:val="000000"/>
        </w:rPr>
        <w:t>ed</w:t>
      </w:r>
      <w:r w:rsidR="00D81430">
        <w:rPr>
          <w:rFonts w:ascii="Book Antiqua" w:eastAsia="Book Antiqua" w:hAnsi="Book Antiqua" w:cs="Book Antiqua"/>
          <w:color w:val="000000"/>
        </w:rPr>
        <w:t xml:space="preserve"> anti-</w:t>
      </w:r>
      <w:r>
        <w:rPr>
          <w:rFonts w:ascii="Book Antiqua" w:eastAsia="Book Antiqua" w:hAnsi="Book Antiqua" w:cs="Book Antiqua"/>
          <w:color w:val="000000"/>
        </w:rPr>
        <w:t>PD-1 and anti-CT</w:t>
      </w:r>
      <w:r>
        <w:rPr>
          <w:rFonts w:ascii="Book Antiqua" w:eastAsia="Book Antiqua" w:hAnsi="Book Antiqua" w:cs="Book Antiqua"/>
          <w:color w:val="000000"/>
        </w:rPr>
        <w:t>LA-4 compared with that observed in single-agent blockade in patients with metastatic melanoma</w:t>
      </w:r>
      <w:r>
        <w:rPr>
          <w:rFonts w:ascii="Book Antiqua" w:eastAsia="Book Antiqua" w:hAnsi="Book Antiqua" w:cs="Book Antiqua"/>
          <w:color w:val="000000"/>
          <w:szCs w:val="30"/>
          <w:vertAlign w:val="superscript"/>
        </w:rPr>
        <w:t>[7,8,25]</w:t>
      </w:r>
      <w:r>
        <w:rPr>
          <w:rFonts w:ascii="Book Antiqua" w:eastAsia="Book Antiqua" w:hAnsi="Book Antiqua" w:cs="Book Antiqua"/>
          <w:color w:val="000000"/>
        </w:rPr>
        <w:t xml:space="preserve">. However, clinical trials of combination ICIs have not reported patients with hepatic MUP specifically. The patient in our case, who was treated with a combination of nivolumab plus ipilimumab, showed </w:t>
      </w:r>
      <w:r>
        <w:rPr>
          <w:rFonts w:ascii="Book Antiqua" w:eastAsia="Book Antiqua" w:hAnsi="Book Antiqua" w:cs="Book Antiqua"/>
          <w:color w:val="000000"/>
        </w:rPr>
        <w:lastRenderedPageBreak/>
        <w:t>better outcome than patients in previous cases who did not receive immunotherapy. Based on the immune-mediated spontaneous regression as previously discussed and the present case, hepatic MUP patients may be good candidates for combined ICI therapy due to enhanced anti-tumor immune responses under combined ICI treatment. Further studies are needed in the future to investigate the subtype of melanoma under immunotherapy.</w:t>
      </w:r>
    </w:p>
    <w:p w14:paraId="37648E5E" w14:textId="77777777" w:rsidR="00A77B3E" w:rsidRDefault="00A77B3E">
      <w:pPr>
        <w:spacing w:line="360" w:lineRule="auto"/>
        <w:jc w:val="both"/>
      </w:pPr>
    </w:p>
    <w:p w14:paraId="27B68551" w14:textId="77777777" w:rsidR="00A77B3E" w:rsidRDefault="00735932">
      <w:pPr>
        <w:spacing w:line="360" w:lineRule="auto"/>
        <w:jc w:val="both"/>
      </w:pPr>
      <w:r>
        <w:rPr>
          <w:rFonts w:ascii="Book Antiqua" w:eastAsia="Book Antiqua" w:hAnsi="Book Antiqua" w:cs="Book Antiqua"/>
          <w:b/>
          <w:caps/>
          <w:color w:val="000000"/>
          <w:u w:val="single"/>
        </w:rPr>
        <w:t>CONCLUSION</w:t>
      </w:r>
    </w:p>
    <w:p w14:paraId="202544C0" w14:textId="29191B6D" w:rsidR="00A77B3E" w:rsidRDefault="00735932">
      <w:pPr>
        <w:spacing w:line="360" w:lineRule="auto"/>
        <w:jc w:val="both"/>
      </w:pPr>
      <w:r>
        <w:rPr>
          <w:rFonts w:ascii="Book Antiqua" w:eastAsia="Book Antiqua" w:hAnsi="Book Antiqua" w:cs="Book Antiqua"/>
          <w:color w:val="000000"/>
        </w:rPr>
        <w:t>We report the first case of hepatic MU</w:t>
      </w:r>
      <w:r>
        <w:rPr>
          <w:rFonts w:ascii="Book Antiqua" w:eastAsia="Book Antiqua" w:hAnsi="Book Antiqua" w:cs="Book Antiqua"/>
          <w:color w:val="000000"/>
        </w:rPr>
        <w:t>P treated</w:t>
      </w:r>
      <w:r w:rsidR="00D81430">
        <w:rPr>
          <w:rFonts w:ascii="Book Antiqua" w:eastAsia="Book Antiqua" w:hAnsi="Book Antiqua" w:cs="Book Antiqua"/>
          <w:color w:val="000000"/>
        </w:rPr>
        <w:t xml:space="preserve"> </w:t>
      </w:r>
      <w:r>
        <w:rPr>
          <w:rFonts w:ascii="Book Antiqua" w:eastAsia="Book Antiqua" w:hAnsi="Book Antiqua" w:cs="Book Antiqua"/>
          <w:color w:val="000000"/>
        </w:rPr>
        <w:t xml:space="preserve">with combined </w:t>
      </w:r>
      <w:r w:rsidR="00D81430">
        <w:rPr>
          <w:rFonts w:ascii="Book Antiqua" w:eastAsia="Book Antiqua" w:hAnsi="Book Antiqua" w:cs="Book Antiqua"/>
          <w:color w:val="000000"/>
        </w:rPr>
        <w:t xml:space="preserve">ICIs of </w:t>
      </w:r>
      <w:r>
        <w:rPr>
          <w:rFonts w:ascii="Book Antiqua" w:eastAsia="Book Antiqua" w:hAnsi="Book Antiqua" w:cs="Book Antiqua"/>
          <w:color w:val="000000"/>
        </w:rPr>
        <w:t>CTLA-4 and PD-1, describing the clinical features, imaging, pathological findings, and treatment outcome. Clinical guidelines may consider</w:t>
      </w:r>
      <w:r w:rsidR="00D81430">
        <w:rPr>
          <w:rFonts w:ascii="Book Antiqua" w:eastAsia="Book Antiqua" w:hAnsi="Book Antiqua" w:cs="Book Antiqua"/>
          <w:color w:val="000000"/>
        </w:rPr>
        <w:t xml:space="preserve"> </w:t>
      </w:r>
      <w:r>
        <w:rPr>
          <w:rFonts w:ascii="Book Antiqua" w:eastAsia="Book Antiqua" w:hAnsi="Book Antiqua" w:cs="Book Antiqua"/>
          <w:color w:val="000000"/>
        </w:rPr>
        <w:t xml:space="preserve">combined </w:t>
      </w:r>
      <w:r w:rsidR="00D81430">
        <w:rPr>
          <w:rFonts w:ascii="Book Antiqua" w:eastAsia="Book Antiqua" w:hAnsi="Book Antiqua" w:cs="Book Antiqua"/>
          <w:color w:val="000000"/>
        </w:rPr>
        <w:t xml:space="preserve">ICIs of </w:t>
      </w:r>
      <w:r>
        <w:rPr>
          <w:rFonts w:ascii="Book Antiqua" w:eastAsia="Book Antiqua" w:hAnsi="Book Antiqua" w:cs="Book Antiqua"/>
          <w:color w:val="000000"/>
        </w:rPr>
        <w:t>PD-1 a</w:t>
      </w:r>
      <w:r>
        <w:rPr>
          <w:rFonts w:ascii="Book Antiqua" w:eastAsia="Book Antiqua" w:hAnsi="Book Antiqua" w:cs="Book Antiqua"/>
          <w:color w:val="000000"/>
        </w:rPr>
        <w:t xml:space="preserve">nd CTLA-4 as the </w:t>
      </w:r>
      <w:r>
        <w:rPr>
          <w:rFonts w:ascii="Book Antiqua" w:eastAsia="Book Antiqua" w:hAnsi="Book Antiqua" w:cs="Book Antiqua"/>
          <w:color w:val="000000"/>
        </w:rPr>
        <w:t>first</w:t>
      </w:r>
      <w:r w:rsidR="00D81430">
        <w:rPr>
          <w:rFonts w:ascii="Book Antiqua" w:eastAsia="Book Antiqua" w:hAnsi="Book Antiqua" w:cs="Book Antiqua"/>
          <w:color w:val="000000"/>
        </w:rPr>
        <w:t>-</w:t>
      </w:r>
      <w:r>
        <w:rPr>
          <w:rFonts w:ascii="Book Antiqua" w:eastAsia="Book Antiqua" w:hAnsi="Book Antiqua" w:cs="Book Antiqua"/>
          <w:color w:val="000000"/>
        </w:rPr>
        <w:t xml:space="preserve">line </w:t>
      </w:r>
      <w:r>
        <w:rPr>
          <w:rFonts w:ascii="Book Antiqua" w:eastAsia="Book Antiqua" w:hAnsi="Book Antiqua" w:cs="Book Antiqua"/>
          <w:color w:val="000000"/>
        </w:rPr>
        <w:t>therapy for patients with hepatic MUP. Further studies should be conducted for gaining a better understanding of the immune regulation intersects and clinical outcomes in patients with hepatic MUP who are treated with ICIs.</w:t>
      </w:r>
    </w:p>
    <w:p w14:paraId="50CB48CC" w14:textId="77777777" w:rsidR="00A77B3E" w:rsidRDefault="00A77B3E">
      <w:pPr>
        <w:spacing w:line="360" w:lineRule="auto"/>
        <w:jc w:val="both"/>
      </w:pPr>
    </w:p>
    <w:p w14:paraId="21B4AC27" w14:textId="77777777" w:rsidR="00A77B3E" w:rsidRDefault="00735932">
      <w:pPr>
        <w:spacing w:line="360" w:lineRule="auto"/>
        <w:jc w:val="both"/>
      </w:pPr>
      <w:r>
        <w:rPr>
          <w:rFonts w:ascii="Book Antiqua" w:eastAsia="Book Antiqua" w:hAnsi="Book Antiqua" w:cs="Book Antiqua"/>
          <w:b/>
          <w:color w:val="000000"/>
        </w:rPr>
        <w:t>REFERENCES</w:t>
      </w:r>
    </w:p>
    <w:p w14:paraId="2B3D192E" w14:textId="03C98981" w:rsidR="00A77B3E" w:rsidRDefault="0073593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w:t>
      </w:r>
      <w:r w:rsidR="005865AE">
        <w:rPr>
          <w:rFonts w:ascii="Book Antiqua" w:eastAsia="Book Antiqua" w:hAnsi="Book Antiqua" w:cs="Book Antiqua"/>
          <w:b/>
          <w:bCs/>
          <w:color w:val="000000"/>
        </w:rPr>
        <w:t>asgupta</w:t>
      </w:r>
      <w:r>
        <w:rPr>
          <w:rFonts w:ascii="Book Antiqua" w:eastAsia="Book Antiqua" w:hAnsi="Book Antiqua" w:cs="Book Antiqua"/>
          <w:b/>
          <w:bCs/>
          <w:color w:val="000000"/>
        </w:rPr>
        <w:t xml:space="preserve"> T</w:t>
      </w:r>
      <w:r>
        <w:rPr>
          <w:rFonts w:ascii="Book Antiqua" w:eastAsia="Book Antiqua" w:hAnsi="Book Antiqua" w:cs="Book Antiqua"/>
          <w:color w:val="000000"/>
        </w:rPr>
        <w:t>, B</w:t>
      </w:r>
      <w:r w:rsidR="005865AE">
        <w:rPr>
          <w:rFonts w:ascii="Book Antiqua" w:eastAsia="Book Antiqua" w:hAnsi="Book Antiqua" w:cs="Book Antiqua"/>
          <w:color w:val="000000"/>
        </w:rPr>
        <w:t>owden</w:t>
      </w:r>
      <w:r>
        <w:rPr>
          <w:rFonts w:ascii="Book Antiqua" w:eastAsia="Book Antiqua" w:hAnsi="Book Antiqua" w:cs="Book Antiqua"/>
          <w:color w:val="000000"/>
        </w:rPr>
        <w:t xml:space="preserve"> L, B</w:t>
      </w:r>
      <w:r w:rsidR="005865AE">
        <w:rPr>
          <w:rFonts w:ascii="Book Antiqua" w:eastAsia="Book Antiqua" w:hAnsi="Book Antiqua" w:cs="Book Antiqua"/>
          <w:color w:val="000000"/>
        </w:rPr>
        <w:t>erg</w:t>
      </w:r>
      <w:r>
        <w:rPr>
          <w:rFonts w:ascii="Book Antiqua" w:eastAsia="Book Antiqua" w:hAnsi="Book Antiqua" w:cs="Book Antiqua"/>
          <w:color w:val="000000"/>
        </w:rPr>
        <w:t xml:space="preserve"> JW. </w:t>
      </w:r>
      <w:r w:rsidR="005865AE" w:rsidRPr="005865AE">
        <w:rPr>
          <w:rFonts w:ascii="Book Antiqua" w:eastAsia="Book Antiqua" w:hAnsi="Book Antiqua" w:cs="Book Antiqua"/>
          <w:caps/>
          <w:color w:val="000000"/>
        </w:rPr>
        <w:t>m</w:t>
      </w:r>
      <w:r w:rsidR="005865AE">
        <w:rPr>
          <w:rFonts w:ascii="Book Antiqua" w:eastAsia="Book Antiqua" w:hAnsi="Book Antiqua" w:cs="Book Antiqua"/>
          <w:color w:val="000000"/>
        </w:rPr>
        <w:t>alignant melanoma of unknown primary origin</w:t>
      </w:r>
      <w:r>
        <w:rPr>
          <w:rFonts w:ascii="Book Antiqua" w:eastAsia="Book Antiqua" w:hAnsi="Book Antiqua" w:cs="Book Antiqua"/>
          <w:color w:val="000000"/>
        </w:rPr>
        <w:t xml:space="preserve">. </w:t>
      </w:r>
      <w:r>
        <w:rPr>
          <w:rFonts w:ascii="Book Antiqua" w:eastAsia="Book Antiqua" w:hAnsi="Book Antiqua" w:cs="Book Antiqua"/>
          <w:i/>
          <w:iCs/>
          <w:color w:val="000000"/>
        </w:rPr>
        <w:t>Surg Gynecol Obstet</w:t>
      </w:r>
      <w:r>
        <w:rPr>
          <w:rFonts w:ascii="Book Antiqua" w:eastAsia="Book Antiqua" w:hAnsi="Book Antiqua" w:cs="Book Antiqua"/>
          <w:color w:val="000000"/>
        </w:rPr>
        <w:t xml:space="preserve"> 1963; </w:t>
      </w:r>
      <w:r>
        <w:rPr>
          <w:rFonts w:ascii="Book Antiqua" w:eastAsia="Book Antiqua" w:hAnsi="Book Antiqua" w:cs="Book Antiqua"/>
          <w:b/>
          <w:bCs/>
          <w:color w:val="000000"/>
        </w:rPr>
        <w:t>117</w:t>
      </w:r>
      <w:r>
        <w:rPr>
          <w:rFonts w:ascii="Book Antiqua" w:eastAsia="Book Antiqua" w:hAnsi="Book Antiqua" w:cs="Book Antiqua"/>
          <w:color w:val="000000"/>
        </w:rPr>
        <w:t>: 341-345 [PMID: 14080349]</w:t>
      </w:r>
    </w:p>
    <w:p w14:paraId="61FBB859" w14:textId="77777777" w:rsidR="00A77B3E" w:rsidRDefault="0073593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Lee CC</w:t>
      </w:r>
      <w:r>
        <w:rPr>
          <w:rFonts w:ascii="Book Antiqua" w:eastAsia="Book Antiqua" w:hAnsi="Book Antiqua" w:cs="Book Antiqua"/>
          <w:color w:val="000000"/>
        </w:rPr>
        <w:t xml:space="preserve">, Faries MB, Wanek LA, Morton DL. Improved survival for stage IV melanoma from an unknown primary site.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3489-3495 [PMID: 19451446 DOI: 10.1200/JCO.2008.18.9845]</w:t>
      </w:r>
    </w:p>
    <w:p w14:paraId="10DC28D8" w14:textId="77777777" w:rsidR="00A77B3E" w:rsidRDefault="0073593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Bae JM</w:t>
      </w:r>
      <w:r>
        <w:rPr>
          <w:rFonts w:ascii="Book Antiqua" w:eastAsia="Book Antiqua" w:hAnsi="Book Antiqua" w:cs="Book Antiqua"/>
          <w:color w:val="000000"/>
        </w:rPr>
        <w:t xml:space="preserve">, Choi YY, Kim DS, Lee JH, Jang HS, Lee JH, Kim H, Oh BH, Roh MR, Nam KA, Chung KY. Metastatic melanomas of unknown primary show better prognosis than those of known primary: a systematic review and meta-analysis of observational studies.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72</w:t>
      </w:r>
      <w:r>
        <w:rPr>
          <w:rFonts w:ascii="Book Antiqua" w:eastAsia="Book Antiqua" w:hAnsi="Book Antiqua" w:cs="Book Antiqua"/>
          <w:color w:val="000000"/>
        </w:rPr>
        <w:t>: 59-70 [PMID: 25440435 DOI: 10.1016/j.jaad.2014.09.029]</w:t>
      </w:r>
    </w:p>
    <w:p w14:paraId="69179945" w14:textId="77777777" w:rsidR="00A77B3E" w:rsidRDefault="0073593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Verver D</w:t>
      </w:r>
      <w:r>
        <w:rPr>
          <w:rFonts w:ascii="Book Antiqua" w:eastAsia="Book Antiqua" w:hAnsi="Book Antiqua" w:cs="Book Antiqua"/>
          <w:color w:val="000000"/>
        </w:rPr>
        <w:t xml:space="preserve">, van der Veldt A, van Akkooi A, Verhoef C, Grünhagen DJ, Louwman WJ. Treatment of melanoma of unknown primary in the era of immunotherapy and targeted therapy: A Dutch population-based study.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26-34 [PMID: 30801710 DOI: 10.1002/ijc.32229]</w:t>
      </w:r>
    </w:p>
    <w:p w14:paraId="495FCBC0" w14:textId="4BF45EB5" w:rsidR="00A77B3E" w:rsidRDefault="00735932">
      <w:pPr>
        <w:spacing w:line="360" w:lineRule="auto"/>
        <w:jc w:val="both"/>
      </w:pPr>
      <w:r w:rsidRPr="00B1397B">
        <w:rPr>
          <w:rFonts w:ascii="Book Antiqua" w:eastAsia="Book Antiqua" w:hAnsi="Book Antiqua" w:cs="Book Antiqua"/>
          <w:color w:val="000000"/>
          <w:highlight w:val="yellow"/>
        </w:rPr>
        <w:lastRenderedPageBreak/>
        <w:t xml:space="preserve">5 </w:t>
      </w:r>
      <w:r w:rsidRPr="00B1397B">
        <w:rPr>
          <w:rFonts w:ascii="Book Antiqua" w:eastAsia="Book Antiqua" w:hAnsi="Book Antiqua" w:cs="Book Antiqua"/>
          <w:b/>
          <w:bCs/>
          <w:color w:val="000000"/>
          <w:highlight w:val="yellow"/>
        </w:rPr>
        <w:t>National Comprehensive Cancer Network.</w:t>
      </w:r>
      <w:r w:rsidRPr="00B1397B">
        <w:rPr>
          <w:rFonts w:ascii="Book Antiqua" w:eastAsia="Book Antiqua" w:hAnsi="Book Antiqua" w:cs="Book Antiqua"/>
          <w:color w:val="000000"/>
          <w:highlight w:val="yellow"/>
        </w:rPr>
        <w:t xml:space="preserve"> NCCN Clinical Practice Guidelines in Oncology: Cutaneous Melanoma (Version 1.2021). </w:t>
      </w:r>
      <w:r w:rsidR="00F0357C" w:rsidRPr="00B1397B">
        <w:rPr>
          <w:rFonts w:ascii="Book Antiqua" w:eastAsia="Book Antiqua" w:hAnsi="Book Antiqua" w:cs="Book Antiqua"/>
          <w:color w:val="000000"/>
          <w:highlight w:val="yellow"/>
        </w:rPr>
        <w:t>Nov 25</w:t>
      </w:r>
      <w:r w:rsidR="00F0357C">
        <w:rPr>
          <w:rFonts w:ascii="Book Antiqua" w:eastAsia="Book Antiqua" w:hAnsi="Book Antiqua" w:cs="Book Antiqua"/>
          <w:color w:val="000000"/>
          <w:highlight w:val="yellow"/>
        </w:rPr>
        <w:t xml:space="preserve">, </w:t>
      </w:r>
      <w:r w:rsidRPr="00B1397B">
        <w:rPr>
          <w:rFonts w:ascii="Book Antiqua" w:eastAsia="Book Antiqua" w:hAnsi="Book Antiqua" w:cs="Book Antiqua"/>
          <w:color w:val="000000"/>
          <w:highlight w:val="yellow"/>
        </w:rPr>
        <w:t>2020 [cited</w:t>
      </w:r>
      <w:r w:rsidR="00F0357C">
        <w:rPr>
          <w:rFonts w:ascii="Book Antiqua" w:eastAsia="Book Antiqua" w:hAnsi="Book Antiqua" w:cs="Book Antiqua"/>
          <w:color w:val="000000"/>
          <w:highlight w:val="yellow"/>
        </w:rPr>
        <w:t xml:space="preserve"> </w:t>
      </w:r>
      <w:r w:rsidRPr="00B1397B">
        <w:rPr>
          <w:rFonts w:ascii="Book Antiqua" w:eastAsia="Book Antiqua" w:hAnsi="Book Antiqua" w:cs="Book Antiqua"/>
          <w:color w:val="000000"/>
          <w:highlight w:val="yellow"/>
        </w:rPr>
        <w:t>December</w:t>
      </w:r>
      <w:r w:rsidR="00F0357C">
        <w:rPr>
          <w:rFonts w:ascii="Book Antiqua" w:eastAsia="Book Antiqua" w:hAnsi="Book Antiqua" w:cs="Book Antiqua"/>
          <w:color w:val="000000"/>
          <w:highlight w:val="yellow"/>
        </w:rPr>
        <w:t xml:space="preserve"> </w:t>
      </w:r>
      <w:r w:rsidR="00F0357C" w:rsidRPr="00B1397B">
        <w:rPr>
          <w:rFonts w:ascii="Book Antiqua" w:eastAsia="Book Antiqua" w:hAnsi="Book Antiqua" w:cs="Book Antiqua"/>
          <w:color w:val="000000"/>
          <w:highlight w:val="yellow"/>
        </w:rPr>
        <w:t>1</w:t>
      </w:r>
      <w:r w:rsidR="00F0357C">
        <w:rPr>
          <w:rFonts w:ascii="Book Antiqua" w:eastAsia="Book Antiqua" w:hAnsi="Book Antiqua" w:cs="Book Antiqua"/>
          <w:color w:val="000000"/>
          <w:highlight w:val="yellow"/>
        </w:rPr>
        <w:t>,</w:t>
      </w:r>
      <w:r w:rsidRPr="00B1397B">
        <w:rPr>
          <w:rFonts w:ascii="Book Antiqua" w:eastAsia="Book Antiqua" w:hAnsi="Book Antiqua" w:cs="Book Antiqua"/>
          <w:color w:val="000000"/>
          <w:highlight w:val="yellow"/>
        </w:rPr>
        <w:t xml:space="preserve"> 2020] [Internet]. Available from: http://www.nccn.org</w:t>
      </w:r>
      <w:r w:rsidR="00B1397B">
        <w:rPr>
          <w:rFonts w:ascii="Book Antiqua" w:eastAsia="Book Antiqua" w:hAnsi="Book Antiqua" w:cs="Book Antiqua"/>
          <w:color w:val="000000"/>
        </w:rPr>
        <w:t xml:space="preserve"> </w:t>
      </w:r>
    </w:p>
    <w:p w14:paraId="7B185CDD" w14:textId="77777777" w:rsidR="00A77B3E" w:rsidRDefault="0073593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Seidel JA</w:t>
      </w:r>
      <w:r>
        <w:rPr>
          <w:rFonts w:ascii="Book Antiqua" w:eastAsia="Book Antiqua" w:hAnsi="Book Antiqua" w:cs="Book Antiqua"/>
          <w:color w:val="000000"/>
        </w:rPr>
        <w:t xml:space="preserve">, Otsuka A, Kabashima K. Anti-PD-1 and Anti-CTLA-4 Therapies in Cancer: Mechanisms of Action, Efficacy, and Limitations.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86 [PMID: 29644214 DOI: 10.3389/fonc.2018.00086]</w:t>
      </w:r>
    </w:p>
    <w:p w14:paraId="70AF7B80" w14:textId="77777777" w:rsidR="00A77B3E" w:rsidRDefault="0073593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Hodi FS</w:t>
      </w:r>
      <w:r>
        <w:rPr>
          <w:rFonts w:ascii="Book Antiqua" w:eastAsia="Book Antiqua" w:hAnsi="Book Antiqua" w:cs="Book Antiqua"/>
          <w:color w:val="000000"/>
        </w:rPr>
        <w:t xml:space="preserve">, Chiarion-Sileni V, Gonzalez R, Grob JJ, Rutkowski P, Cowey CL, Lao CD, Schadendorf D, Wagstaff J, Dummer R, Ferrucci PF, Smylie M, Hill A, Hogg D, Marquez-Rodas I, Jiang J, Rizzo J, Larkin J, Wolchok JD. Nivolumab plus ipilimumab or nivolumab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ipilimumab alone in advanced melanoma (CheckMate 067): 4-year outcomes of a multicentre, randomised,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1480-1492 [PMID: 30361170 DOI: 10.1016/S1470-2045(18)30700-9]</w:t>
      </w:r>
    </w:p>
    <w:p w14:paraId="1721C906" w14:textId="77777777" w:rsidR="00A77B3E" w:rsidRDefault="0073593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Larkin J</w:t>
      </w:r>
      <w:r>
        <w:rPr>
          <w:rFonts w:ascii="Book Antiqua" w:eastAsia="Book Antiqua" w:hAnsi="Book Antiqua" w:cs="Book Antiqua"/>
          <w:color w:val="000000"/>
        </w:rPr>
        <w:t xml:space="preserve">, Chiarion-Sileni V, Gonzalez R, Grob JJ, Rutkowski P, Lao CD, Cowey CL, Schadendorf D, Wagstaff J, Dummer R, Ferrucci PF, Smylie M, Hogg D, Hill A, Márquez-Rodas I, Haanen J, Guidoboni M, Maio M, Schöffski P, Carlino MS, Lebbé C, McArthur G, Ascierto PA, Daniels GA, Long GV, Bastholt L, Rizzo JI, Balogh A, Moshyk A, Hodi FS, Wolchok JD. Five-Year Survival with Combined Nivolumab and Ipilimumab in Advanced Melanoma.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1535-1546 [PMID: 31562797 DOI: 10.1056/NEJMoa1910836]</w:t>
      </w:r>
    </w:p>
    <w:p w14:paraId="0629B7D6" w14:textId="77777777" w:rsidR="00A77B3E" w:rsidRDefault="0073593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Watanabe S, Masaki T, Kurokohchi K, Kinekawa F, Inoue H, Uchida N, Kuriyama S. Fulminant hepatic failure caused by malignant melanoma of unknown primary origin.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804-806 [PMID: 15338379 DOI: 10.1007/s00535-003-1379-1]</w:t>
      </w:r>
    </w:p>
    <w:p w14:paraId="097E3941" w14:textId="77777777" w:rsidR="00A77B3E" w:rsidRDefault="0073593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Shan GD</w:t>
      </w:r>
      <w:r>
        <w:rPr>
          <w:rFonts w:ascii="Book Antiqua" w:eastAsia="Book Antiqua" w:hAnsi="Book Antiqua" w:cs="Book Antiqua"/>
          <w:color w:val="000000"/>
        </w:rPr>
        <w:t xml:space="preserve">, Xu GQ, Chen LH, Wang ZM, Jin EY, Hu FL, Li YM. Diffuse liver infiltration by melanoma of unknown primary origin: one case report and literature review.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2093-2096 [PMID: 20009398 DOI: 10.2169/internalmedicine.48.2542]</w:t>
      </w:r>
    </w:p>
    <w:p w14:paraId="4A67220B" w14:textId="77777777" w:rsidR="00A77B3E" w:rsidRDefault="0073593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Tomita H, Hisamatsu K, Hatano Y, Yoshida K, Hara A. Acute Liver Failure Associated with Diffuse Hepatic Infiltration of Malignant Melanoma of Unknown </w:t>
      </w:r>
      <w:r>
        <w:rPr>
          <w:rFonts w:ascii="Book Antiqua" w:eastAsia="Book Antiqua" w:hAnsi="Book Antiqua" w:cs="Book Antiqua"/>
          <w:color w:val="000000"/>
        </w:rPr>
        <w:lastRenderedPageBreak/>
        <w:t xml:space="preserve">Primary Origin.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1361-1364 [PMID: 26027987 DOI: 10.2169/internalmedicine.54.3428]</w:t>
      </w:r>
    </w:p>
    <w:p w14:paraId="7191D902" w14:textId="77777777" w:rsidR="00A77B3E" w:rsidRDefault="0073593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Kamposioras K</w:t>
      </w:r>
      <w:r>
        <w:rPr>
          <w:rFonts w:ascii="Book Antiqua" w:eastAsia="Book Antiqua" w:hAnsi="Book Antiqua" w:cs="Book Antiqua"/>
          <w:color w:val="000000"/>
        </w:rPr>
        <w:t xml:space="preserve">, Pentheroudakis G, Pectasides D, Pavlidis N. Malignant melanoma of unknown primary site. To make the long story short. A systematic review of the literature.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78</w:t>
      </w:r>
      <w:r>
        <w:rPr>
          <w:rFonts w:ascii="Book Antiqua" w:eastAsia="Book Antiqua" w:hAnsi="Book Antiqua" w:cs="Book Antiqua"/>
          <w:color w:val="000000"/>
        </w:rPr>
        <w:t>: 112-126 [PMID: 20570171 DOI: 10.1016/j.critrevonc.2010.04.007]</w:t>
      </w:r>
    </w:p>
    <w:p w14:paraId="033F19D7" w14:textId="77777777" w:rsidR="00A77B3E" w:rsidRDefault="0073593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Savoia P</w:t>
      </w:r>
      <w:r>
        <w:rPr>
          <w:rFonts w:ascii="Book Antiqua" w:eastAsia="Book Antiqua" w:hAnsi="Book Antiqua" w:cs="Book Antiqua"/>
          <w:color w:val="000000"/>
        </w:rPr>
        <w:t xml:space="preserve">, Fava P, Osella-Abate S, Nardò T, Comessatti A, Quaglino P, Bernengo MG. Melanoma of unknown primary site: a 33-year experience at the Turin Melanoma Centre. </w:t>
      </w:r>
      <w:r>
        <w:rPr>
          <w:rFonts w:ascii="Book Antiqua" w:eastAsia="Book Antiqua" w:hAnsi="Book Antiqua" w:cs="Book Antiqua"/>
          <w:i/>
          <w:iCs/>
          <w:color w:val="000000"/>
        </w:rPr>
        <w:t>Melanoma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227-232 [PMID: 20449885]</w:t>
      </w:r>
    </w:p>
    <w:p w14:paraId="26CF072D" w14:textId="77777777" w:rsidR="00A77B3E" w:rsidRDefault="0073593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Bostanci O</w:t>
      </w:r>
      <w:r>
        <w:rPr>
          <w:rFonts w:ascii="Book Antiqua" w:eastAsia="Book Antiqua" w:hAnsi="Book Antiqua" w:cs="Book Antiqua"/>
          <w:color w:val="000000"/>
        </w:rPr>
        <w:t xml:space="preserve">, Kartal K, Battal M. Liver metastases of unknown primary: malignant melanoma. </w:t>
      </w:r>
      <w:r>
        <w:rPr>
          <w:rFonts w:ascii="Book Antiqua" w:eastAsia="Book Antiqua" w:hAnsi="Book Antiqua" w:cs="Book Antiqua"/>
          <w:i/>
          <w:iCs/>
          <w:color w:val="000000"/>
        </w:rPr>
        <w:t>Case Reports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131708 [PMID: 25374724 DOI: 10.1155/2014/131708]</w:t>
      </w:r>
    </w:p>
    <w:p w14:paraId="6F531A6B" w14:textId="77777777" w:rsidR="00A77B3E" w:rsidRDefault="0073593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Yenıova Ö</w:t>
      </w:r>
      <w:r>
        <w:rPr>
          <w:rFonts w:ascii="Book Antiqua" w:eastAsia="Book Antiqua" w:hAnsi="Book Antiqua" w:cs="Book Antiqua"/>
          <w:color w:val="000000"/>
        </w:rPr>
        <w:t xml:space="preserve">, Altinbaş A, Ersoy O, Aydinli M, Bayraktar Y. Metastatic liver malignant melanoma of unknown origin.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420-421 [PMID: 22965523 DOI: 10.4318/tjg.2012.0375]</w:t>
      </w:r>
    </w:p>
    <w:p w14:paraId="6229803E" w14:textId="77777777" w:rsidR="00A77B3E" w:rsidRDefault="0073593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Gershenwald JE</w:t>
      </w:r>
      <w:r>
        <w:rPr>
          <w:rFonts w:ascii="Book Antiqua" w:eastAsia="Book Antiqua" w:hAnsi="Book Antiqua" w:cs="Book Antiqua"/>
          <w:color w:val="000000"/>
        </w:rPr>
        <w:t xml:space="preserve">, Scolyer RA, Hess KR, Sondak VK, Long GV, Ross MI, Lazar AJ, Faries MB, Kirkwood JM, McArthur GA, Haydu LE, Eggermont AMM, Flaherty KT, Balch CM, Thompson JF; for members of the American Joint Committee on Cancer Melanoma Expert Panel and the International Melanoma Database and Discovery Platform. Melanoma staging: Evidence-based changes in the American Joint Committee on Cancer eighth edition cancer staging manual.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472-492 [PMID: 29028110 DOI: 10.3322/caac.21409]</w:t>
      </w:r>
    </w:p>
    <w:p w14:paraId="6D29B0A6" w14:textId="77777777" w:rsidR="00A77B3E" w:rsidRDefault="0073593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Long GV</w:t>
      </w:r>
      <w:r>
        <w:rPr>
          <w:rFonts w:ascii="Book Antiqua" w:eastAsia="Book Antiqua" w:hAnsi="Book Antiqua" w:cs="Book Antiqua"/>
          <w:color w:val="000000"/>
        </w:rPr>
        <w:t xml:space="preserve">, Flaherty KT, Stroyakovskiy D, Gogas H, Levchenko E, de Braud F, Larkin J, Garbe C, Jouary T, Hauschild A, Chiarion-Sileni V, Lebbe C, Mandalà M, Millward M, Arance A, Bondarenko I, Haanen JBAG, Hansson J, Utikal J, Ferraresi V, Mohr P, Probachai V, Schadendorf D, Nathan P, Robert C, Ribas A, Davies MA, Lane SR, Legos JJ, Mookerjee B, Grob JJ. Dabrafenib plus trametinib </w:t>
      </w:r>
      <w:r>
        <w:rPr>
          <w:rFonts w:ascii="Book Antiqua" w:eastAsia="Book Antiqua" w:hAnsi="Book Antiqua" w:cs="Book Antiqua"/>
          <w:i/>
          <w:iCs/>
          <w:color w:val="000000"/>
        </w:rPr>
        <w:t>vs</w:t>
      </w:r>
      <w:r>
        <w:rPr>
          <w:rFonts w:ascii="Book Antiqua" w:eastAsia="Book Antiqua" w:hAnsi="Book Antiqua" w:cs="Book Antiqua"/>
          <w:color w:val="000000"/>
        </w:rPr>
        <w:t xml:space="preserve"> dabrafenib monotherapy in patients with metastatic BRAF V600E/K-mutant melanoma: long-term survival and </w:t>
      </w:r>
      <w:r>
        <w:rPr>
          <w:rFonts w:ascii="Book Antiqua" w:eastAsia="Book Antiqua" w:hAnsi="Book Antiqua" w:cs="Book Antiqua"/>
          <w:color w:val="000000"/>
        </w:rPr>
        <w:lastRenderedPageBreak/>
        <w:t xml:space="preserve">safety analysis of a phase 3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1631-1639 [PMID: 28475671 DOI: 10.1093/annonc/mdx176]</w:t>
      </w:r>
    </w:p>
    <w:p w14:paraId="736AC03F" w14:textId="77777777" w:rsidR="00A77B3E" w:rsidRDefault="0073593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Larkin J</w:t>
      </w:r>
      <w:r>
        <w:rPr>
          <w:rFonts w:ascii="Book Antiqua" w:eastAsia="Book Antiqua" w:hAnsi="Book Antiqua" w:cs="Book Antiqua"/>
          <w:color w:val="000000"/>
        </w:rPr>
        <w:t xml:space="preserve">, Ascierto PA, Dréno B, Atkinson V, Liszkay G, Maio M, Mandalà M, Demidov L, Stroyakovskiy D, Thomas L, de la Cruz-Merino L, Dutriaux C, Garbe C, Sovak MA, Chang I, Choong N, Hack SP, McArthur GA, Ribas A. Combined vemurafenib and cobimetinib in BRAF-mutated melanoma.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1867-1876 [PMID: 25265494 DOI: 10.1056/NEJMoa1408868]</w:t>
      </w:r>
    </w:p>
    <w:p w14:paraId="615E191C" w14:textId="77777777" w:rsidR="00A77B3E" w:rsidRDefault="0073593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Pfeil AF</w:t>
      </w:r>
      <w:r>
        <w:rPr>
          <w:rFonts w:ascii="Book Antiqua" w:eastAsia="Book Antiqua" w:hAnsi="Book Antiqua" w:cs="Book Antiqua"/>
          <w:color w:val="000000"/>
        </w:rPr>
        <w:t xml:space="preserve">, Leiter U, Buettner PG, Eigentler TK, Weide B, Meier F, Garbe C. Melanoma of unknown primary is correctly classified by the AJCC melanoma classification from 2009. </w:t>
      </w:r>
      <w:r>
        <w:rPr>
          <w:rFonts w:ascii="Book Antiqua" w:eastAsia="Book Antiqua" w:hAnsi="Book Antiqua" w:cs="Book Antiqua"/>
          <w:i/>
          <w:iCs/>
          <w:color w:val="000000"/>
        </w:rPr>
        <w:t>Melanoma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228-234 [PMID: 21502902 DOI: 10.1097/CMR.0b013e32834577ec]</w:t>
      </w:r>
    </w:p>
    <w:p w14:paraId="71F63A7C" w14:textId="77777777" w:rsidR="00A77B3E" w:rsidRDefault="0073593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Lee CC</w:t>
      </w:r>
      <w:r>
        <w:rPr>
          <w:rFonts w:ascii="Book Antiqua" w:eastAsia="Book Antiqua" w:hAnsi="Book Antiqua" w:cs="Book Antiqua"/>
          <w:color w:val="000000"/>
        </w:rPr>
        <w:t xml:space="preserve">, Faries MB, Wanek LA, Morton DL. Improved survival after lymphadenectomy for nodal metastasis from an unknown primary melanoma.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535-541 [PMID: 18235114 DOI: 10.1200/JCO.2007.14.0285]</w:t>
      </w:r>
    </w:p>
    <w:p w14:paraId="0E2E95CB" w14:textId="77777777" w:rsidR="00A77B3E" w:rsidRDefault="0073593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Smith JL Jr</w:t>
      </w:r>
      <w:r>
        <w:rPr>
          <w:rFonts w:ascii="Book Antiqua" w:eastAsia="Book Antiqua" w:hAnsi="Book Antiqua" w:cs="Book Antiqua"/>
          <w:color w:val="000000"/>
        </w:rPr>
        <w:t xml:space="preserve">, Stehlin JS Jr. Spontaneous regression of primary malignant melanomas with regional metastases.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1965; </w:t>
      </w:r>
      <w:r>
        <w:rPr>
          <w:rFonts w:ascii="Book Antiqua" w:eastAsia="Book Antiqua" w:hAnsi="Book Antiqua" w:cs="Book Antiqua"/>
          <w:b/>
          <w:bCs/>
          <w:color w:val="000000"/>
        </w:rPr>
        <w:t>18</w:t>
      </w:r>
      <w:r>
        <w:rPr>
          <w:rFonts w:ascii="Book Antiqua" w:eastAsia="Book Antiqua" w:hAnsi="Book Antiqua" w:cs="Book Antiqua"/>
          <w:color w:val="000000"/>
        </w:rPr>
        <w:t>: 1399-1415 [PMID: 5844157 DOI: 10.1002/1097-0142(196511)18:11&lt;1399::aid-cncr2820181104&gt;3.0.co;2-r]</w:t>
      </w:r>
    </w:p>
    <w:p w14:paraId="2C355235" w14:textId="77777777" w:rsidR="00A77B3E" w:rsidRDefault="0073593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Haanen JB</w:t>
      </w:r>
      <w:r>
        <w:rPr>
          <w:rFonts w:ascii="Book Antiqua" w:eastAsia="Book Antiqua" w:hAnsi="Book Antiqua" w:cs="Book Antiqua"/>
          <w:color w:val="000000"/>
        </w:rPr>
        <w:t xml:space="preserve">, Baars A, Gomez R, Weder P, Smits M, de Gruijl TD, von Blomberg BM, Bloemena E, Scheper RJ, van Ham SM, Pinedo HM, van den Eertwegh AJ. Melanoma-specific tumor-infiltrating lymphocytes but not circulating melanoma-specific T cells may predict survival in resected advanced-stage melanoma patients.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451-458 [PMID: 16034562 DOI: 10.1007/s00262-005-0018-5]</w:t>
      </w:r>
    </w:p>
    <w:p w14:paraId="149F7D58" w14:textId="77777777" w:rsidR="00A77B3E" w:rsidRDefault="0073593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Saleh FH</w:t>
      </w:r>
      <w:r>
        <w:rPr>
          <w:rFonts w:ascii="Book Antiqua" w:eastAsia="Book Antiqua" w:hAnsi="Book Antiqua" w:cs="Book Antiqua"/>
          <w:color w:val="000000"/>
        </w:rPr>
        <w:t xml:space="preserve">, Crotty KA, Hersey P, Menzies SW. Primary melanoma tumour regression associated with an immune response to the tumour-associated antigen melan-A/MART-1.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94</w:t>
      </w:r>
      <w:r>
        <w:rPr>
          <w:rFonts w:ascii="Book Antiqua" w:eastAsia="Book Antiqua" w:hAnsi="Book Antiqua" w:cs="Book Antiqua"/>
          <w:color w:val="000000"/>
        </w:rPr>
        <w:t>: 551-557 [PMID: 11745443 DOI: 10.1002/ijc.1491]</w:t>
      </w:r>
    </w:p>
    <w:p w14:paraId="45985463" w14:textId="77777777" w:rsidR="00A77B3E" w:rsidRDefault="0073593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 F</w:t>
      </w:r>
      <w:r>
        <w:rPr>
          <w:rFonts w:ascii="Book Antiqua" w:eastAsia="Book Antiqua" w:hAnsi="Book Antiqua" w:cs="Book Antiqua"/>
          <w:color w:val="000000"/>
        </w:rPr>
        <w:t>, Zhang Z, Xuan Y, Zhang D, Liu J, Li A, Wang S, Li T, Shi X, Zhang Y. PD-1 abrogates the prolonged persistence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CAR-T cells with 4-1BB co-stimulation.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164 [PMID: 32843615 DOI: 10.1038/s41392-020-00277-6]</w:t>
      </w:r>
    </w:p>
    <w:p w14:paraId="7FEA3560" w14:textId="184BD50C" w:rsidR="00A77B3E" w:rsidRDefault="00735932">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Gellrich FF</w:t>
      </w:r>
      <w:r>
        <w:rPr>
          <w:rFonts w:ascii="Book Antiqua" w:eastAsia="Book Antiqua" w:hAnsi="Book Antiqua" w:cs="Book Antiqua"/>
          <w:color w:val="000000"/>
        </w:rPr>
        <w:t xml:space="preserve">, Schmitz M, Beissert S, Meier F. Anti-PD-1 and Novel Combinations in the Treatment of Melanoma-An Update.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sidRPr="00735932">
        <w:rPr>
          <w:rFonts w:ascii="Book Antiqua" w:eastAsia="Book Antiqua" w:hAnsi="Book Antiqua" w:cs="Book Antiqua"/>
          <w:color w:val="000000"/>
        </w:rPr>
        <w:t>: 223</w:t>
      </w:r>
      <w:r>
        <w:rPr>
          <w:rFonts w:ascii="Book Antiqua" w:eastAsia="Book Antiqua" w:hAnsi="Book Antiqua" w:cs="Book Antiqua"/>
          <w:color w:val="000000"/>
        </w:rPr>
        <w:t xml:space="preserve"> [PMID: 31947592 DOI: 10.3390/jcm9010223]</w:t>
      </w:r>
    </w:p>
    <w:p w14:paraId="570E94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6EFF65" w14:textId="77777777" w:rsidR="00A77B3E" w:rsidRDefault="00735932">
      <w:pPr>
        <w:spacing w:line="360" w:lineRule="auto"/>
        <w:jc w:val="both"/>
      </w:pPr>
      <w:r>
        <w:rPr>
          <w:rFonts w:ascii="Book Antiqua" w:eastAsia="Book Antiqua" w:hAnsi="Book Antiqua" w:cs="Book Antiqua"/>
          <w:b/>
          <w:color w:val="000000"/>
        </w:rPr>
        <w:lastRenderedPageBreak/>
        <w:t>Footnotes</w:t>
      </w:r>
    </w:p>
    <w:p w14:paraId="6E48A2C0" w14:textId="77777777" w:rsidR="00A77B3E" w:rsidRDefault="007359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3989084" w14:textId="77777777" w:rsidR="00A77B3E" w:rsidRDefault="00A77B3E">
      <w:pPr>
        <w:spacing w:line="360" w:lineRule="auto"/>
        <w:jc w:val="both"/>
      </w:pPr>
    </w:p>
    <w:p w14:paraId="3EED0007" w14:textId="77777777" w:rsidR="00A77B3E" w:rsidRDefault="007359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 to disclose.</w:t>
      </w:r>
    </w:p>
    <w:p w14:paraId="2526F1EC" w14:textId="77777777" w:rsidR="00A77B3E" w:rsidRDefault="00A77B3E">
      <w:pPr>
        <w:spacing w:line="360" w:lineRule="auto"/>
        <w:jc w:val="both"/>
      </w:pPr>
    </w:p>
    <w:p w14:paraId="621BBB5B" w14:textId="77777777" w:rsidR="00A77B3E" w:rsidRDefault="0073593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EF7CFB" w14:textId="77777777" w:rsidR="00A77B3E" w:rsidRDefault="00A77B3E">
      <w:pPr>
        <w:spacing w:line="360" w:lineRule="auto"/>
        <w:jc w:val="both"/>
      </w:pPr>
    </w:p>
    <w:p w14:paraId="6A9A8ABD" w14:textId="77777777" w:rsidR="00A77B3E" w:rsidRDefault="007359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C96188" w14:textId="77777777" w:rsidR="00A77B3E" w:rsidRDefault="00A77B3E">
      <w:pPr>
        <w:spacing w:line="360" w:lineRule="auto"/>
        <w:jc w:val="both"/>
      </w:pPr>
    </w:p>
    <w:p w14:paraId="59AF7552" w14:textId="7255B113" w:rsidR="00A77B3E" w:rsidRDefault="0073593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07115">
        <w:rPr>
          <w:rFonts w:ascii="Book Antiqua" w:eastAsia="Book Antiqua" w:hAnsi="Book Antiqua" w:cs="Book Antiqua"/>
          <w:color w:val="000000"/>
        </w:rPr>
        <w:t>m</w:t>
      </w:r>
      <w:r>
        <w:rPr>
          <w:rFonts w:ascii="Book Antiqua" w:eastAsia="Book Antiqua" w:hAnsi="Book Antiqua" w:cs="Book Antiqua"/>
          <w:color w:val="000000"/>
        </w:rPr>
        <w:t>anuscript</w:t>
      </w:r>
    </w:p>
    <w:p w14:paraId="3B34BF9A" w14:textId="77777777" w:rsidR="00A77B3E" w:rsidRDefault="00A77B3E">
      <w:pPr>
        <w:spacing w:line="360" w:lineRule="auto"/>
        <w:jc w:val="both"/>
      </w:pPr>
    </w:p>
    <w:p w14:paraId="71A7579A" w14:textId="77777777" w:rsidR="00A77B3E" w:rsidRDefault="007359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12, 2020</w:t>
      </w:r>
    </w:p>
    <w:p w14:paraId="3BD894EC" w14:textId="77777777" w:rsidR="00A77B3E" w:rsidRDefault="007359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2020</w:t>
      </w:r>
    </w:p>
    <w:p w14:paraId="7ED603D0" w14:textId="77777777" w:rsidR="00A77B3E" w:rsidRDefault="00735932">
      <w:pPr>
        <w:spacing w:line="360" w:lineRule="auto"/>
        <w:jc w:val="both"/>
      </w:pPr>
      <w:r>
        <w:rPr>
          <w:rFonts w:ascii="Book Antiqua" w:eastAsia="Book Antiqua" w:hAnsi="Book Antiqua" w:cs="Book Antiqua"/>
          <w:b/>
          <w:color w:val="000000"/>
        </w:rPr>
        <w:t xml:space="preserve">Article in press: </w:t>
      </w:r>
    </w:p>
    <w:p w14:paraId="735D39D8" w14:textId="77777777" w:rsidR="00A77B3E" w:rsidRDefault="00A77B3E">
      <w:pPr>
        <w:spacing w:line="360" w:lineRule="auto"/>
        <w:jc w:val="both"/>
      </w:pPr>
    </w:p>
    <w:p w14:paraId="5A811A43" w14:textId="02563178" w:rsidR="00A77B3E" w:rsidRDefault="007359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1083A">
        <w:rPr>
          <w:rFonts w:ascii="Book Antiqua" w:eastAsia="Book Antiqua" w:hAnsi="Book Antiqua" w:cs="Book Antiqua"/>
          <w:color w:val="000000"/>
        </w:rPr>
        <w:t>h</w:t>
      </w:r>
      <w:r>
        <w:rPr>
          <w:rFonts w:ascii="Book Antiqua" w:eastAsia="Book Antiqua" w:hAnsi="Book Antiqua" w:cs="Book Antiqua"/>
          <w:color w:val="000000"/>
        </w:rPr>
        <w:t>epatology</w:t>
      </w:r>
    </w:p>
    <w:p w14:paraId="25D973DA" w14:textId="77777777" w:rsidR="00A77B3E" w:rsidRDefault="007359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23E412C" w14:textId="77777777" w:rsidR="00A77B3E" w:rsidRDefault="00735932">
      <w:pPr>
        <w:spacing w:line="360" w:lineRule="auto"/>
        <w:jc w:val="both"/>
      </w:pPr>
      <w:r>
        <w:rPr>
          <w:rFonts w:ascii="Book Antiqua" w:eastAsia="Book Antiqua" w:hAnsi="Book Antiqua" w:cs="Book Antiqua"/>
          <w:b/>
          <w:color w:val="000000"/>
        </w:rPr>
        <w:t>Peer-review report’s scientific quality classification</w:t>
      </w:r>
    </w:p>
    <w:p w14:paraId="4956F9B2" w14:textId="77777777" w:rsidR="00A77B3E" w:rsidRDefault="00735932">
      <w:pPr>
        <w:spacing w:line="360" w:lineRule="auto"/>
        <w:jc w:val="both"/>
      </w:pPr>
      <w:r>
        <w:rPr>
          <w:rFonts w:ascii="Book Antiqua" w:eastAsia="Book Antiqua" w:hAnsi="Book Antiqua" w:cs="Book Antiqua"/>
          <w:color w:val="000000"/>
        </w:rPr>
        <w:t>Grade A (Excellent): 0</w:t>
      </w:r>
    </w:p>
    <w:p w14:paraId="28B5EACC" w14:textId="77777777" w:rsidR="00A77B3E" w:rsidRDefault="00735932">
      <w:pPr>
        <w:spacing w:line="360" w:lineRule="auto"/>
        <w:jc w:val="both"/>
      </w:pPr>
      <w:r>
        <w:rPr>
          <w:rFonts w:ascii="Book Antiqua" w:eastAsia="Book Antiqua" w:hAnsi="Book Antiqua" w:cs="Book Antiqua"/>
          <w:color w:val="000000"/>
        </w:rPr>
        <w:t>Grade B (Very good): B</w:t>
      </w:r>
    </w:p>
    <w:p w14:paraId="65FD525F" w14:textId="2BA148FF" w:rsidR="00A77B3E" w:rsidRDefault="00735932">
      <w:pPr>
        <w:spacing w:line="360" w:lineRule="auto"/>
        <w:jc w:val="both"/>
      </w:pPr>
      <w:r>
        <w:rPr>
          <w:rFonts w:ascii="Book Antiqua" w:eastAsia="Book Antiqua" w:hAnsi="Book Antiqua" w:cs="Book Antiqua"/>
          <w:color w:val="000000"/>
        </w:rPr>
        <w:t>Grade C (Good): C</w:t>
      </w:r>
    </w:p>
    <w:p w14:paraId="424E048B" w14:textId="77777777" w:rsidR="00A77B3E" w:rsidRDefault="00735932">
      <w:pPr>
        <w:spacing w:line="360" w:lineRule="auto"/>
        <w:jc w:val="both"/>
      </w:pPr>
      <w:r>
        <w:rPr>
          <w:rFonts w:ascii="Book Antiqua" w:eastAsia="Book Antiqua" w:hAnsi="Book Antiqua" w:cs="Book Antiqua"/>
          <w:color w:val="000000"/>
        </w:rPr>
        <w:lastRenderedPageBreak/>
        <w:t>Grade D (Fair): 0</w:t>
      </w:r>
    </w:p>
    <w:p w14:paraId="46110FE7" w14:textId="77777777" w:rsidR="00A77B3E" w:rsidRDefault="00735932">
      <w:pPr>
        <w:spacing w:line="360" w:lineRule="auto"/>
        <w:jc w:val="both"/>
      </w:pPr>
      <w:r>
        <w:rPr>
          <w:rFonts w:ascii="Book Antiqua" w:eastAsia="Book Antiqua" w:hAnsi="Book Antiqua" w:cs="Book Antiqua"/>
          <w:color w:val="000000"/>
        </w:rPr>
        <w:t>Grade E (Poor): 0</w:t>
      </w:r>
    </w:p>
    <w:p w14:paraId="179BEEBB" w14:textId="77777777" w:rsidR="00A77B3E" w:rsidRDefault="00A77B3E">
      <w:pPr>
        <w:spacing w:line="360" w:lineRule="auto"/>
        <w:jc w:val="both"/>
      </w:pPr>
    </w:p>
    <w:p w14:paraId="54223F4B" w14:textId="2BA7C94E" w:rsidR="00A77B3E" w:rsidRDefault="007359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Uhlmann D, Xu ZL</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D81430" w:rsidRPr="005C2D8F">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5E449F4E" w14:textId="77777777" w:rsidR="00AE7CF7" w:rsidRDefault="00AE7CF7">
      <w:pPr>
        <w:spacing w:line="360" w:lineRule="auto"/>
        <w:jc w:val="both"/>
        <w:sectPr w:rsidR="00AE7CF7">
          <w:pgSz w:w="12240" w:h="15840"/>
          <w:pgMar w:top="1440" w:right="1440" w:bottom="1440" w:left="1440" w:header="720" w:footer="720" w:gutter="0"/>
          <w:cols w:space="720"/>
          <w:docGrid w:linePitch="360"/>
        </w:sectPr>
      </w:pPr>
    </w:p>
    <w:p w14:paraId="40E30566" w14:textId="77777777" w:rsidR="00A77B3E" w:rsidRDefault="00735932">
      <w:pPr>
        <w:spacing w:line="360" w:lineRule="auto"/>
        <w:jc w:val="both"/>
      </w:pPr>
      <w:r>
        <w:rPr>
          <w:rFonts w:ascii="Book Antiqua" w:eastAsia="Book Antiqua" w:hAnsi="Book Antiqua" w:cs="Book Antiqua"/>
          <w:b/>
          <w:color w:val="000000"/>
        </w:rPr>
        <w:lastRenderedPageBreak/>
        <w:t>Figure Legends</w:t>
      </w:r>
    </w:p>
    <w:p w14:paraId="4EDCE425" w14:textId="77777777" w:rsidR="00256002" w:rsidRDefault="00735932" w:rsidP="00735932">
      <w:pPr>
        <w:spacing w:line="360" w:lineRule="auto"/>
        <w:rPr>
          <w:rFonts w:ascii="Book Antiqua" w:eastAsia="PMingLiU" w:hAnsi="Book Antiqua"/>
          <w:b/>
        </w:rPr>
      </w:pPr>
      <w:r>
        <w:rPr>
          <w:rFonts w:ascii="Book Antiqua" w:eastAsia="PMingLiU" w:hAnsi="Book Antiqua"/>
          <w:noProof/>
          <w:lang w:eastAsia="zh-CN"/>
        </w:rPr>
        <w:drawing>
          <wp:inline distT="0" distB="0" distL="0" distR="0" wp14:anchorId="0724A274" wp14:editId="5E595D8C">
            <wp:extent cx="5891882" cy="140451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8689" cy="1408525"/>
                    </a:xfrm>
                    <a:prstGeom prst="rect">
                      <a:avLst/>
                    </a:prstGeom>
                  </pic:spPr>
                </pic:pic>
              </a:graphicData>
            </a:graphic>
          </wp:inline>
        </w:drawing>
      </w:r>
    </w:p>
    <w:p w14:paraId="5761AE43" w14:textId="2EC9C941" w:rsidR="00735932" w:rsidRPr="00154A64" w:rsidRDefault="00735932" w:rsidP="00E27F60">
      <w:pPr>
        <w:spacing w:line="360" w:lineRule="auto"/>
        <w:jc w:val="both"/>
        <w:rPr>
          <w:rFonts w:ascii="Book Antiqua" w:eastAsia="PMingLiU" w:hAnsi="Book Antiqua"/>
        </w:rPr>
      </w:pPr>
      <w:r w:rsidRPr="00035534">
        <w:rPr>
          <w:rFonts w:ascii="Book Antiqua" w:eastAsia="PMingLiU" w:hAnsi="Book Antiqua"/>
          <w:b/>
        </w:rPr>
        <w:t>Figure 1</w:t>
      </w:r>
      <w:r w:rsidRPr="00035534">
        <w:rPr>
          <w:rFonts w:ascii="Book Antiqua" w:hAnsi="Book Antiqua"/>
          <w:b/>
        </w:rPr>
        <w:t xml:space="preserve"> </w:t>
      </w:r>
      <w:r w:rsidRPr="00035534">
        <w:rPr>
          <w:rFonts w:ascii="Book Antiqua" w:eastAsia="PMingLiU" w:hAnsi="Book Antiqua"/>
          <w:b/>
        </w:rPr>
        <w:t>Tri-phasic, contrast-enhanced abdominal computer tomography</w:t>
      </w:r>
      <w:r w:rsidRPr="00A36860">
        <w:rPr>
          <w:rFonts w:ascii="Book Antiqua" w:eastAsia="PMingLiU" w:hAnsi="Book Antiqua"/>
          <w:b/>
        </w:rPr>
        <w:t>.</w:t>
      </w:r>
      <w:r>
        <w:rPr>
          <w:rFonts w:ascii="Book Antiqua" w:eastAsia="PMingLiU" w:hAnsi="Book Antiqua"/>
        </w:rPr>
        <w:t xml:space="preserve"> There were </w:t>
      </w:r>
      <w:r w:rsidRPr="00154A64">
        <w:rPr>
          <w:rFonts w:ascii="Book Antiqua" w:eastAsia="PMingLiU" w:hAnsi="Book Antiqua"/>
        </w:rPr>
        <w:t>heterogeneous masses in the liver with a maxim</w:t>
      </w:r>
      <w:r w:rsidRPr="00154A64">
        <w:rPr>
          <w:rFonts w:ascii="Book Antiqua" w:eastAsia="PMingLiU" w:hAnsi="Book Antiqua"/>
        </w:rPr>
        <w:t>al size</w:t>
      </w:r>
      <w:r>
        <w:rPr>
          <w:rFonts w:ascii="Book Antiqua" w:eastAsia="PMingLiU" w:hAnsi="Book Antiqua"/>
        </w:rPr>
        <w:t xml:space="preserve"> of 8.3 cm at segment 4 (arrow). A: </w:t>
      </w:r>
      <w:r w:rsidR="00D02CC4">
        <w:rPr>
          <w:rFonts w:ascii="Book Antiqua" w:eastAsia="PMingLiU" w:hAnsi="Book Antiqua"/>
        </w:rPr>
        <w:t>C</w:t>
      </w:r>
      <w:r>
        <w:rPr>
          <w:rFonts w:ascii="Book Antiqua" w:eastAsia="PMingLiU" w:hAnsi="Book Antiqua"/>
        </w:rPr>
        <w:t xml:space="preserve">ontrast </w:t>
      </w:r>
      <w:r w:rsidR="00D02CC4" w:rsidRPr="00154A64">
        <w:rPr>
          <w:rFonts w:ascii="Book Antiqua" w:eastAsia="PMingLiU" w:hAnsi="Book Antiqua"/>
        </w:rPr>
        <w:t>enhance</w:t>
      </w:r>
      <w:r w:rsidR="00D02CC4">
        <w:rPr>
          <w:rFonts w:ascii="Book Antiqua" w:eastAsia="PMingLiU" w:hAnsi="Book Antiqua"/>
        </w:rPr>
        <w:t xml:space="preserve">ment in </w:t>
      </w:r>
      <w:r>
        <w:rPr>
          <w:rFonts w:ascii="Book Antiqua" w:eastAsia="PMingLiU" w:hAnsi="Book Antiqua"/>
        </w:rPr>
        <w:t xml:space="preserve">the </w:t>
      </w:r>
      <w:r w:rsidRPr="00154A64">
        <w:rPr>
          <w:rFonts w:ascii="Book Antiqua" w:eastAsia="PMingLiU" w:hAnsi="Book Antiqua"/>
        </w:rPr>
        <w:t>arterial phase</w:t>
      </w:r>
      <w:r>
        <w:rPr>
          <w:rFonts w:ascii="Book Antiqua" w:eastAsia="PMingLiU" w:hAnsi="Book Antiqua"/>
        </w:rPr>
        <w:t xml:space="preserve">; B: </w:t>
      </w:r>
      <w:r w:rsidR="00D02CC4">
        <w:rPr>
          <w:rFonts w:ascii="Book Antiqua" w:eastAsia="PMingLiU" w:hAnsi="Book Antiqua"/>
        </w:rPr>
        <w:t>C</w:t>
      </w:r>
      <w:r>
        <w:rPr>
          <w:rFonts w:ascii="Book Antiqua" w:eastAsia="PMingLiU" w:hAnsi="Book Antiqua"/>
        </w:rPr>
        <w:t>ontrast</w:t>
      </w:r>
      <w:r w:rsidR="005C2D8F">
        <w:rPr>
          <w:rFonts w:ascii="Book Antiqua" w:eastAsia="PMingLiU" w:hAnsi="Book Antiqua"/>
        </w:rPr>
        <w:t xml:space="preserve"> </w:t>
      </w:r>
      <w:r w:rsidRPr="00154A64">
        <w:rPr>
          <w:rFonts w:ascii="Book Antiqua" w:eastAsia="PMingLiU" w:hAnsi="Book Antiqua"/>
        </w:rPr>
        <w:t xml:space="preserve">washout </w:t>
      </w:r>
      <w:r w:rsidR="00D02CC4">
        <w:rPr>
          <w:rFonts w:ascii="Book Antiqua" w:eastAsia="PMingLiU" w:hAnsi="Book Antiqua"/>
        </w:rPr>
        <w:t>i</w:t>
      </w:r>
      <w:r w:rsidR="00D02CC4" w:rsidRPr="00154A64">
        <w:rPr>
          <w:rFonts w:ascii="Book Antiqua" w:eastAsia="PMingLiU" w:hAnsi="Book Antiqua"/>
        </w:rPr>
        <w:t xml:space="preserve">n </w:t>
      </w:r>
      <w:r w:rsidRPr="00154A64">
        <w:rPr>
          <w:rFonts w:ascii="Book Antiqua" w:eastAsia="PMingLiU" w:hAnsi="Book Antiqua"/>
        </w:rPr>
        <w:t>the portal venous phase</w:t>
      </w:r>
      <w:r>
        <w:rPr>
          <w:rFonts w:ascii="Book Antiqua" w:eastAsia="PMingLiU" w:hAnsi="Book Antiqua"/>
        </w:rPr>
        <w:t>;</w:t>
      </w:r>
      <w:r w:rsidRPr="00154A64">
        <w:rPr>
          <w:rFonts w:ascii="Book Antiqua" w:eastAsia="PMingLiU" w:hAnsi="Book Antiqua"/>
        </w:rPr>
        <w:t xml:space="preserve"> </w:t>
      </w:r>
      <w:r>
        <w:rPr>
          <w:rFonts w:ascii="Book Antiqua" w:eastAsia="PMingLiU" w:hAnsi="Book Antiqua"/>
        </w:rPr>
        <w:t xml:space="preserve">C: </w:t>
      </w:r>
      <w:r w:rsidR="00D02CC4">
        <w:rPr>
          <w:rFonts w:ascii="Book Antiqua" w:eastAsia="PMingLiU" w:hAnsi="Book Antiqua"/>
        </w:rPr>
        <w:t>C</w:t>
      </w:r>
      <w:r>
        <w:rPr>
          <w:rFonts w:ascii="Book Antiqua" w:eastAsia="PMingLiU" w:hAnsi="Book Antiqua"/>
        </w:rPr>
        <w:t>ontrast</w:t>
      </w:r>
      <w:r w:rsidRPr="00154A64">
        <w:rPr>
          <w:rFonts w:ascii="Book Antiqua" w:eastAsia="PMingLiU" w:hAnsi="Book Antiqua"/>
        </w:rPr>
        <w:t xml:space="preserve"> washout </w:t>
      </w:r>
      <w:r w:rsidR="00D02CC4">
        <w:rPr>
          <w:rFonts w:ascii="Book Antiqua" w:eastAsia="PMingLiU" w:hAnsi="Book Antiqua"/>
        </w:rPr>
        <w:t>i</w:t>
      </w:r>
      <w:r w:rsidR="00D02CC4" w:rsidRPr="00154A64">
        <w:rPr>
          <w:rFonts w:ascii="Book Antiqua" w:eastAsia="PMingLiU" w:hAnsi="Book Antiqua"/>
        </w:rPr>
        <w:t xml:space="preserve">n </w:t>
      </w:r>
      <w:r w:rsidRPr="00154A64">
        <w:rPr>
          <w:rFonts w:ascii="Book Antiqua" w:eastAsia="PMingLiU" w:hAnsi="Book Antiqua"/>
        </w:rPr>
        <w:t>the delay</w:t>
      </w:r>
      <w:r w:rsidR="00D02CC4">
        <w:rPr>
          <w:rFonts w:ascii="Book Antiqua" w:eastAsia="PMingLiU" w:hAnsi="Book Antiqua"/>
        </w:rPr>
        <w:t>ed</w:t>
      </w:r>
      <w:r w:rsidRPr="00154A64">
        <w:rPr>
          <w:rFonts w:ascii="Book Antiqua" w:eastAsia="PMingLiU" w:hAnsi="Book Antiqua"/>
        </w:rPr>
        <w:t xml:space="preserve"> phase</w:t>
      </w:r>
      <w:r>
        <w:rPr>
          <w:rFonts w:ascii="Book Antiqua" w:eastAsia="PMingLiU" w:hAnsi="Book Antiqua"/>
        </w:rPr>
        <w:t>.</w:t>
      </w:r>
    </w:p>
    <w:p w14:paraId="6788D8A9" w14:textId="7B0AB981" w:rsidR="00735932" w:rsidRPr="00154A64" w:rsidRDefault="00735932" w:rsidP="00735932">
      <w:pPr>
        <w:rPr>
          <w:rFonts w:ascii="Book Antiqua" w:eastAsia="PMingLiU" w:hAnsi="Book Antiqua"/>
        </w:rPr>
      </w:pPr>
      <w:r>
        <w:rPr>
          <w:rFonts w:ascii="Book Antiqua" w:eastAsia="PMingLiU" w:hAnsi="Book Antiqua"/>
        </w:rPr>
        <w:br w:type="page"/>
      </w:r>
      <w:r w:rsidRPr="00655870">
        <w:rPr>
          <w:rFonts w:ascii="Book Antiqua" w:hAnsi="Book Antiqua"/>
          <w:noProof/>
          <w:lang w:eastAsia="zh-CN"/>
        </w:rPr>
        <w:lastRenderedPageBreak/>
        <w:drawing>
          <wp:inline distT="0" distB="0" distL="0" distR="0" wp14:anchorId="72004CE5" wp14:editId="09725AF1">
            <wp:extent cx="5858759" cy="29626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439" cy="2968057"/>
                    </a:xfrm>
                    <a:prstGeom prst="rect">
                      <a:avLst/>
                    </a:prstGeom>
                    <a:noFill/>
                  </pic:spPr>
                </pic:pic>
              </a:graphicData>
            </a:graphic>
          </wp:inline>
        </w:drawing>
      </w:r>
    </w:p>
    <w:p w14:paraId="07ECB2A6" w14:textId="197D4430" w:rsidR="00735932" w:rsidRPr="00154A64" w:rsidRDefault="00735932" w:rsidP="00A756B6">
      <w:pPr>
        <w:spacing w:line="360" w:lineRule="auto"/>
        <w:jc w:val="both"/>
        <w:rPr>
          <w:rFonts w:ascii="Book Antiqua" w:eastAsia="PMingLiU" w:hAnsi="Book Antiqua"/>
        </w:rPr>
      </w:pPr>
      <w:r w:rsidRPr="00035534">
        <w:rPr>
          <w:rFonts w:ascii="Book Antiqua" w:eastAsia="PMingLiU" w:hAnsi="Book Antiqua"/>
          <w:b/>
        </w:rPr>
        <w:t>Figure 2 Pathological results of the lesions.</w:t>
      </w:r>
      <w:r>
        <w:rPr>
          <w:rFonts w:ascii="Book Antiqua" w:eastAsia="PMingLiU" w:hAnsi="Book Antiqua"/>
          <w:b/>
        </w:rPr>
        <w:t xml:space="preserve"> </w:t>
      </w:r>
      <w:r w:rsidRPr="00035534">
        <w:rPr>
          <w:rFonts w:ascii="Book Antiqua" w:eastAsia="PMingLiU" w:hAnsi="Book Antiqua"/>
        </w:rPr>
        <w:t>A:</w:t>
      </w:r>
      <w:r>
        <w:rPr>
          <w:rFonts w:ascii="Book Antiqua" w:eastAsia="PMingLiU" w:hAnsi="Book Antiqua"/>
        </w:rPr>
        <w:t xml:space="preserve"> </w:t>
      </w:r>
      <w:r w:rsidRPr="00154A64">
        <w:rPr>
          <w:rFonts w:ascii="Book Antiqua" w:eastAsia="PMingLiU" w:hAnsi="Book Antiqua"/>
        </w:rPr>
        <w:t xml:space="preserve">Pathological examinations showed epithelioid tumor cells with moderate nuclear atypia, and focal intracytoplasmic melanin pigments in solid nests infiltrating in the </w:t>
      </w:r>
      <w:r>
        <w:rPr>
          <w:rFonts w:ascii="Book Antiqua" w:eastAsia="PMingLiU" w:hAnsi="Book Antiqua"/>
        </w:rPr>
        <w:t>liver parenchyma (</w:t>
      </w:r>
      <w:r w:rsidR="00A44707" w:rsidRPr="00A44707">
        <w:rPr>
          <w:rFonts w:ascii="Book Antiqua" w:eastAsia="PMingLiU" w:hAnsi="Book Antiqua"/>
        </w:rPr>
        <w:t>hematoxylin and eosin</w:t>
      </w:r>
      <w:r>
        <w:rPr>
          <w:rFonts w:ascii="Book Antiqua" w:eastAsia="PMingLiU" w:hAnsi="Book Antiqua"/>
        </w:rPr>
        <w:t>, 400 ×);</w:t>
      </w:r>
      <w:r w:rsidRPr="00154A64">
        <w:rPr>
          <w:rFonts w:ascii="Book Antiqua" w:eastAsia="PMingLiU" w:hAnsi="Book Antiqua"/>
        </w:rPr>
        <w:t xml:space="preserve"> </w:t>
      </w:r>
      <w:r>
        <w:rPr>
          <w:rFonts w:ascii="Book Antiqua" w:eastAsia="PMingLiU" w:hAnsi="Book Antiqua"/>
        </w:rPr>
        <w:t xml:space="preserve">B: </w:t>
      </w:r>
      <w:r w:rsidRPr="00154A64">
        <w:rPr>
          <w:rFonts w:ascii="Book Antiqua" w:eastAsia="PMingLiU" w:hAnsi="Book Antiqua"/>
        </w:rPr>
        <w:t>Immunohistochemical stain</w:t>
      </w:r>
      <w:r w:rsidRPr="00154A64">
        <w:rPr>
          <w:rFonts w:ascii="Book Antiqua" w:eastAsia="PMingLiU" w:hAnsi="Book Antiqua"/>
        </w:rPr>
        <w:t>ing reve</w:t>
      </w:r>
      <w:r>
        <w:rPr>
          <w:rFonts w:ascii="Book Antiqua" w:eastAsia="PMingLiU" w:hAnsi="Book Antiqua"/>
        </w:rPr>
        <w:t xml:space="preserve">aled </w:t>
      </w:r>
      <w:r w:rsidR="00D02CC4">
        <w:rPr>
          <w:rFonts w:ascii="Book Antiqua" w:eastAsia="PMingLiU" w:hAnsi="Book Antiqua"/>
        </w:rPr>
        <w:t xml:space="preserve">that the tumor cells were </w:t>
      </w:r>
      <w:r>
        <w:rPr>
          <w:rFonts w:ascii="Book Antiqua" w:eastAsia="PMingLiU" w:hAnsi="Book Antiqua"/>
        </w:rPr>
        <w:t xml:space="preserve">HMB45 </w:t>
      </w:r>
      <w:r>
        <w:rPr>
          <w:rFonts w:ascii="Book Antiqua" w:eastAsia="PMingLiU" w:hAnsi="Book Antiqua"/>
        </w:rPr>
        <w:t xml:space="preserve">positive </w:t>
      </w:r>
      <w:r w:rsidR="00A44707">
        <w:rPr>
          <w:rFonts w:ascii="Book Antiqua" w:eastAsia="PMingLiU" w:hAnsi="Book Antiqua"/>
        </w:rPr>
        <w:t>[</w:t>
      </w:r>
      <w:bookmarkStart w:id="2" w:name="_Hlk64624171"/>
      <w:r w:rsidR="00A44707" w:rsidRPr="00A44707">
        <w:rPr>
          <w:rFonts w:ascii="Book Antiqua" w:eastAsia="PMingLiU" w:hAnsi="Book Antiqua"/>
        </w:rPr>
        <w:t xml:space="preserve">avidin-biotin complex </w:t>
      </w:r>
      <w:r w:rsidR="00A44707">
        <w:rPr>
          <w:rFonts w:ascii="Book Antiqua" w:eastAsia="PMingLiU" w:hAnsi="Book Antiqua"/>
        </w:rPr>
        <w:t>(</w:t>
      </w:r>
      <w:r>
        <w:rPr>
          <w:rFonts w:ascii="Book Antiqua" w:eastAsia="PMingLiU" w:hAnsi="Book Antiqua"/>
        </w:rPr>
        <w:t>ABC</w:t>
      </w:r>
      <w:r w:rsidR="00A44707">
        <w:rPr>
          <w:rFonts w:ascii="Book Antiqua" w:eastAsia="PMingLiU" w:hAnsi="Book Antiqua"/>
        </w:rPr>
        <w:t>)</w:t>
      </w:r>
      <w:bookmarkEnd w:id="2"/>
      <w:r>
        <w:rPr>
          <w:rFonts w:ascii="Book Antiqua" w:eastAsia="PMingLiU" w:hAnsi="Book Antiqua"/>
        </w:rPr>
        <w:t>, 400 ×</w:t>
      </w:r>
      <w:r w:rsidR="00A44707">
        <w:rPr>
          <w:rFonts w:ascii="Book Antiqua" w:eastAsia="PMingLiU" w:hAnsi="Book Antiqua"/>
        </w:rPr>
        <w:t>]</w:t>
      </w:r>
      <w:r>
        <w:rPr>
          <w:rFonts w:ascii="Book Antiqua" w:eastAsia="PMingLiU" w:hAnsi="Book Antiqua"/>
        </w:rPr>
        <w:t>; C:</w:t>
      </w:r>
      <w:r w:rsidRPr="00154A64">
        <w:rPr>
          <w:rFonts w:ascii="Book Antiqua" w:eastAsia="PMingLiU" w:hAnsi="Book Antiqua"/>
        </w:rPr>
        <w:t xml:space="preserve"> </w:t>
      </w:r>
      <w:r>
        <w:rPr>
          <w:rFonts w:ascii="Book Antiqua" w:eastAsia="PMingLiU" w:hAnsi="Book Antiqua"/>
        </w:rPr>
        <w:t xml:space="preserve">Melan-A positive (ABC, 400 ×); D: </w:t>
      </w:r>
      <w:r w:rsidRPr="00154A64">
        <w:rPr>
          <w:rFonts w:ascii="Book Antiqua" w:eastAsia="PMingLiU" w:hAnsi="Book Antiqua"/>
        </w:rPr>
        <w:t>SOX10 positive (ABC, 400</w:t>
      </w:r>
      <w:r>
        <w:rPr>
          <w:rFonts w:ascii="Book Antiqua" w:eastAsia="PMingLiU" w:hAnsi="Book Antiqua"/>
        </w:rPr>
        <w:t xml:space="preserve"> </w:t>
      </w:r>
      <w:r w:rsidRPr="00154A64">
        <w:rPr>
          <w:rFonts w:ascii="Book Antiqua" w:eastAsia="PMingLiU" w:hAnsi="Book Antiqua"/>
        </w:rPr>
        <w:t>×)</w:t>
      </w:r>
      <w:r>
        <w:rPr>
          <w:rFonts w:ascii="Book Antiqua" w:eastAsia="PMingLiU" w:hAnsi="Book Antiqua"/>
        </w:rPr>
        <w:t>; E:</w:t>
      </w:r>
      <w:r w:rsidRPr="00154A64">
        <w:rPr>
          <w:rFonts w:ascii="Book Antiqua" w:eastAsia="PMingLiU" w:hAnsi="Book Antiqua"/>
        </w:rPr>
        <w:t xml:space="preserve"> cyto</w:t>
      </w:r>
      <w:r>
        <w:rPr>
          <w:rFonts w:ascii="Book Antiqua" w:eastAsia="PMingLiU" w:hAnsi="Book Antiqua"/>
        </w:rPr>
        <w:t xml:space="preserve">keratin negative (ABC, 400 ×); F: </w:t>
      </w:r>
      <w:r w:rsidRPr="00154A64">
        <w:rPr>
          <w:rFonts w:ascii="Book Antiqua" w:eastAsia="PMingLiU" w:hAnsi="Book Antiqua"/>
        </w:rPr>
        <w:t xml:space="preserve">BRAF V600E positive </w:t>
      </w:r>
      <w:r>
        <w:rPr>
          <w:rFonts w:ascii="Book Antiqua" w:eastAsia="PMingLiU" w:hAnsi="Book Antiqua"/>
        </w:rPr>
        <w:t>(ABC, 400 ×).</w:t>
      </w:r>
    </w:p>
    <w:p w14:paraId="539F9F69" w14:textId="43AD9BE0" w:rsidR="00735932" w:rsidRPr="00655870" w:rsidRDefault="00735932" w:rsidP="00A756B6">
      <w:pPr>
        <w:spacing w:line="360" w:lineRule="auto"/>
        <w:rPr>
          <w:rFonts w:ascii="Book Antiqua" w:hAnsi="Book Antiqua" w:cstheme="majorHAnsi"/>
          <w:b/>
          <w:bCs/>
        </w:rPr>
      </w:pPr>
      <w:r>
        <w:rPr>
          <w:rFonts w:ascii="Book Antiqua" w:hAnsi="Book Antiqua"/>
        </w:rPr>
        <w:br w:type="page"/>
      </w:r>
      <w:r w:rsidRPr="00655870">
        <w:rPr>
          <w:rFonts w:ascii="Book Antiqua" w:hAnsi="Book Antiqua" w:cstheme="majorHAnsi"/>
          <w:b/>
          <w:bCs/>
        </w:rPr>
        <w:lastRenderedPageBreak/>
        <w:t>Table 1 Overview of the clinical symptoms, image findings, treatment, and prognosis in relevant research and the case in study</w:t>
      </w:r>
    </w:p>
    <w:tbl>
      <w:tblPr>
        <w:tblStyle w:val="a5"/>
        <w:tblW w:w="5192" w:type="pct"/>
        <w:jc w:val="center"/>
        <w:tblBorders>
          <w:top w:val="single" w:sz="4" w:space="0" w:color="auto"/>
          <w:left w:val="none" w:sz="0" w:space="0" w:color="auto"/>
          <w:bottom w:val="single" w:sz="4" w:space="0" w:color="auto"/>
          <w:right w:val="none" w:sz="0" w:space="0" w:color="auto"/>
        </w:tblBorders>
        <w:tblLayout w:type="fixed"/>
        <w:tblLook w:val="0620" w:firstRow="1" w:lastRow="0" w:firstColumn="0" w:lastColumn="0" w:noHBand="1" w:noVBand="1"/>
      </w:tblPr>
      <w:tblGrid>
        <w:gridCol w:w="1770"/>
        <w:gridCol w:w="1463"/>
        <w:gridCol w:w="244"/>
        <w:gridCol w:w="9"/>
        <w:gridCol w:w="1606"/>
        <w:gridCol w:w="156"/>
        <w:gridCol w:w="163"/>
        <w:gridCol w:w="156"/>
        <w:gridCol w:w="163"/>
        <w:gridCol w:w="156"/>
        <w:gridCol w:w="2086"/>
        <w:gridCol w:w="156"/>
        <w:gridCol w:w="1435"/>
        <w:gridCol w:w="156"/>
      </w:tblGrid>
      <w:tr w:rsidR="00735932" w:rsidRPr="00655870" w14:paraId="288F5505" w14:textId="77777777" w:rsidTr="00FF2827">
        <w:trPr>
          <w:gridAfter w:val="1"/>
          <w:cnfStyle w:val="100000000000" w:firstRow="1" w:lastRow="0" w:firstColumn="0" w:lastColumn="0" w:oddVBand="0" w:evenVBand="0" w:oddHBand="0" w:evenHBand="0" w:firstRowFirstColumn="0" w:firstRowLastColumn="0" w:lastRowFirstColumn="0" w:lastRowLastColumn="0"/>
          <w:wAfter w:w="80" w:type="pct"/>
          <w:jc w:val="center"/>
        </w:trPr>
        <w:tc>
          <w:tcPr>
            <w:tcW w:w="911" w:type="pct"/>
            <w:tcBorders>
              <w:top w:val="single" w:sz="4" w:space="0" w:color="auto"/>
              <w:bottom w:val="single" w:sz="4" w:space="0" w:color="auto"/>
            </w:tcBorders>
            <w:shd w:val="clear" w:color="auto" w:fill="auto"/>
          </w:tcPr>
          <w:p w14:paraId="2DB36A12" w14:textId="2D85F99B" w:rsidR="00735932" w:rsidRPr="00655870" w:rsidRDefault="009403A6" w:rsidP="00FF2827">
            <w:pPr>
              <w:adjustRightInd w:val="0"/>
              <w:snapToGrid w:val="0"/>
              <w:spacing w:line="360" w:lineRule="auto"/>
              <w:rPr>
                <w:rFonts w:ascii="Book Antiqua" w:hAnsi="Book Antiqua" w:cstheme="majorHAnsi"/>
                <w:color w:val="000000" w:themeColor="text1"/>
                <w:lang w:eastAsia="zh-CN"/>
              </w:rPr>
            </w:pPr>
            <w:r>
              <w:rPr>
                <w:rFonts w:ascii="Book Antiqua" w:hAnsi="Book Antiqua" w:cstheme="majorHAnsi" w:hint="eastAsia"/>
                <w:color w:val="000000" w:themeColor="text1"/>
                <w:lang w:eastAsia="zh-CN"/>
              </w:rPr>
              <w:t>R</w:t>
            </w:r>
            <w:r>
              <w:rPr>
                <w:rFonts w:ascii="Book Antiqua" w:hAnsi="Book Antiqua" w:cstheme="majorHAnsi"/>
                <w:color w:val="000000" w:themeColor="text1"/>
                <w:lang w:eastAsia="zh-CN"/>
              </w:rPr>
              <w:t>ef.</w:t>
            </w:r>
          </w:p>
        </w:tc>
        <w:tc>
          <w:tcPr>
            <w:tcW w:w="753" w:type="pct"/>
            <w:tcBorders>
              <w:top w:val="single" w:sz="4" w:space="0" w:color="auto"/>
              <w:bottom w:val="single" w:sz="4" w:space="0" w:color="auto"/>
            </w:tcBorders>
            <w:shd w:val="clear" w:color="auto" w:fill="auto"/>
          </w:tcPr>
          <w:p w14:paraId="56F8EFBB"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Clinical symptoms</w:t>
            </w:r>
          </w:p>
        </w:tc>
        <w:tc>
          <w:tcPr>
            <w:tcW w:w="131" w:type="pct"/>
            <w:gridSpan w:val="2"/>
            <w:tcBorders>
              <w:top w:val="single" w:sz="4" w:space="0" w:color="auto"/>
              <w:bottom w:val="single" w:sz="4" w:space="0" w:color="auto"/>
            </w:tcBorders>
            <w:shd w:val="clear" w:color="auto" w:fill="auto"/>
          </w:tcPr>
          <w:p w14:paraId="2711C5CE"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 </w:t>
            </w:r>
          </w:p>
        </w:tc>
        <w:tc>
          <w:tcPr>
            <w:tcW w:w="826" w:type="pct"/>
            <w:tcBorders>
              <w:top w:val="single" w:sz="4" w:space="0" w:color="auto"/>
              <w:bottom w:val="single" w:sz="4" w:space="0" w:color="auto"/>
            </w:tcBorders>
            <w:shd w:val="clear" w:color="auto" w:fill="auto"/>
          </w:tcPr>
          <w:p w14:paraId="6FDE46C0"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Image findings (computed tomography)</w:t>
            </w:r>
          </w:p>
        </w:tc>
        <w:tc>
          <w:tcPr>
            <w:tcW w:w="164" w:type="pct"/>
            <w:gridSpan w:val="2"/>
            <w:tcBorders>
              <w:top w:val="single" w:sz="4" w:space="0" w:color="auto"/>
              <w:bottom w:val="single" w:sz="4" w:space="0" w:color="auto"/>
            </w:tcBorders>
            <w:shd w:val="clear" w:color="auto" w:fill="auto"/>
          </w:tcPr>
          <w:p w14:paraId="3D4D2890"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tcBorders>
              <w:top w:val="single" w:sz="4" w:space="0" w:color="auto"/>
              <w:bottom w:val="single" w:sz="4" w:space="0" w:color="auto"/>
            </w:tcBorders>
            <w:shd w:val="clear" w:color="auto" w:fill="auto"/>
          </w:tcPr>
          <w:p w14:paraId="5419FD0B"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tcBorders>
              <w:top w:val="single" w:sz="4" w:space="0" w:color="auto"/>
              <w:bottom w:val="single" w:sz="4" w:space="0" w:color="auto"/>
            </w:tcBorders>
            <w:shd w:val="clear" w:color="auto" w:fill="auto"/>
          </w:tcPr>
          <w:p w14:paraId="040D7BF2"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Treatment</w:t>
            </w:r>
          </w:p>
        </w:tc>
        <w:tc>
          <w:tcPr>
            <w:tcW w:w="818" w:type="pct"/>
            <w:gridSpan w:val="2"/>
            <w:tcBorders>
              <w:top w:val="single" w:sz="4" w:space="0" w:color="auto"/>
              <w:bottom w:val="single" w:sz="4" w:space="0" w:color="auto"/>
            </w:tcBorders>
            <w:shd w:val="clear" w:color="auto" w:fill="auto"/>
          </w:tcPr>
          <w:p w14:paraId="1458AA70"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Prognosis</w:t>
            </w:r>
          </w:p>
        </w:tc>
      </w:tr>
      <w:tr w:rsidR="00735932" w:rsidRPr="00655870" w14:paraId="2663BF64" w14:textId="77777777" w:rsidTr="00FF2827">
        <w:trPr>
          <w:jc w:val="center"/>
        </w:trPr>
        <w:tc>
          <w:tcPr>
            <w:tcW w:w="911" w:type="pct"/>
            <w:tcBorders>
              <w:top w:val="single" w:sz="4" w:space="0" w:color="auto"/>
            </w:tcBorders>
            <w:shd w:val="clear" w:color="auto" w:fill="auto"/>
          </w:tcPr>
          <w:p w14:paraId="1DBD5B7D" w14:textId="3D3A2A5C" w:rsidR="00735932" w:rsidRPr="00345D13" w:rsidRDefault="00735932" w:rsidP="009403A6">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Tanaka</w:t>
            </w:r>
            <w:r w:rsidR="009403A6">
              <w:rPr>
                <w:rFonts w:ascii="Book Antiqua" w:hAnsi="Book Antiqua" w:cstheme="majorHAnsi"/>
                <w:color w:val="000000" w:themeColor="text1"/>
              </w:rPr>
              <w:t xml:space="preserve"> </w:t>
            </w:r>
            <w:r w:rsidRPr="00655870">
              <w:rPr>
                <w:rFonts w:ascii="Book Antiqua" w:hAnsi="Book Antiqua" w:cstheme="majorHAnsi"/>
                <w:i/>
                <w:iCs/>
                <w:color w:val="000000" w:themeColor="text1"/>
              </w:rPr>
              <w:t>et al</w:t>
            </w:r>
            <w:r w:rsidRPr="000B19A2">
              <w:rPr>
                <w:rFonts w:ascii="Book Antiqua" w:eastAsia="PMingLiU" w:hAnsi="Book Antiqua" w:cs="Times New Roman"/>
                <w:color w:val="000000" w:themeColor="text1"/>
                <w:vertAlign w:val="superscript"/>
              </w:rPr>
              <w:t>[9</w:t>
            </w:r>
            <w:r w:rsidRPr="000B19A2">
              <w:rPr>
                <w:rFonts w:ascii="Book Antiqua" w:eastAsia="PMingLiU" w:hAnsi="Book Antiqua" w:cs="Times New Roman" w:hint="eastAsia"/>
                <w:color w:val="000000" w:themeColor="text1"/>
                <w:vertAlign w:val="superscript"/>
              </w:rPr>
              <w:t>]</w:t>
            </w:r>
          </w:p>
        </w:tc>
        <w:tc>
          <w:tcPr>
            <w:tcW w:w="753" w:type="pct"/>
            <w:tcBorders>
              <w:top w:val="single" w:sz="4" w:space="0" w:color="auto"/>
            </w:tcBorders>
            <w:shd w:val="clear" w:color="auto" w:fill="auto"/>
          </w:tcPr>
          <w:p w14:paraId="046B8682"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Anorexia,</w:t>
            </w:r>
          </w:p>
          <w:p w14:paraId="2C13D044"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abdominal distension </w:t>
            </w:r>
          </w:p>
          <w:p w14:paraId="0F298C89"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26" w:type="pct"/>
            <w:tcBorders>
              <w:top w:val="single" w:sz="4" w:space="0" w:color="auto"/>
            </w:tcBorders>
            <w:shd w:val="clear" w:color="auto" w:fill="auto"/>
          </w:tcPr>
          <w:p w14:paraId="4801105A"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tcBorders>
              <w:top w:val="single" w:sz="4" w:space="0" w:color="auto"/>
            </w:tcBorders>
            <w:shd w:val="clear" w:color="auto" w:fill="auto"/>
          </w:tcPr>
          <w:p w14:paraId="6BDD2974"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Disseminated liver infiltrations</w:t>
            </w:r>
          </w:p>
        </w:tc>
        <w:tc>
          <w:tcPr>
            <w:tcW w:w="164" w:type="pct"/>
            <w:gridSpan w:val="2"/>
            <w:tcBorders>
              <w:top w:val="single" w:sz="4" w:space="0" w:color="auto"/>
            </w:tcBorders>
            <w:shd w:val="clear" w:color="auto" w:fill="auto"/>
          </w:tcPr>
          <w:p w14:paraId="1E8C4266"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tcBorders>
              <w:top w:val="single" w:sz="4" w:space="0" w:color="auto"/>
            </w:tcBorders>
            <w:shd w:val="clear" w:color="auto" w:fill="auto"/>
          </w:tcPr>
          <w:p w14:paraId="05DC1541"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tcBorders>
              <w:top w:val="single" w:sz="4" w:space="0" w:color="auto"/>
            </w:tcBorders>
            <w:shd w:val="clear" w:color="auto" w:fill="auto"/>
          </w:tcPr>
          <w:p w14:paraId="67281C0D"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Palliative therapy</w:t>
            </w:r>
          </w:p>
        </w:tc>
        <w:tc>
          <w:tcPr>
            <w:tcW w:w="818" w:type="pct"/>
            <w:gridSpan w:val="2"/>
            <w:tcBorders>
              <w:top w:val="single" w:sz="4" w:space="0" w:color="auto"/>
            </w:tcBorders>
            <w:shd w:val="clear" w:color="auto" w:fill="auto"/>
          </w:tcPr>
          <w:p w14:paraId="08C91CD5" w14:textId="3D6C36A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Died 10 d after diagnosis</w:t>
            </w:r>
          </w:p>
        </w:tc>
      </w:tr>
      <w:tr w:rsidR="00735932" w:rsidRPr="00655870" w14:paraId="3BCE8942" w14:textId="77777777" w:rsidTr="00FF2827">
        <w:trPr>
          <w:jc w:val="center"/>
        </w:trPr>
        <w:tc>
          <w:tcPr>
            <w:tcW w:w="911" w:type="pct"/>
            <w:shd w:val="clear" w:color="auto" w:fill="auto"/>
          </w:tcPr>
          <w:p w14:paraId="5BB23904" w14:textId="42668438" w:rsidR="00735932" w:rsidRPr="00655870" w:rsidRDefault="00735932" w:rsidP="009403A6">
            <w:pPr>
              <w:adjustRightInd w:val="0"/>
              <w:snapToGrid w:val="0"/>
              <w:spacing w:line="360" w:lineRule="auto"/>
              <w:rPr>
                <w:rFonts w:ascii="Book Antiqua" w:hAnsi="Book Antiqua" w:cstheme="majorHAnsi"/>
                <w:color w:val="000000" w:themeColor="text1"/>
                <w:vertAlign w:val="superscript"/>
              </w:rPr>
            </w:pPr>
            <w:r w:rsidRPr="00655870">
              <w:rPr>
                <w:rFonts w:ascii="Book Antiqua" w:hAnsi="Book Antiqua" w:cstheme="majorHAnsi"/>
                <w:color w:val="000000" w:themeColor="text1"/>
              </w:rPr>
              <w:t>Shan</w:t>
            </w:r>
            <w:r w:rsidR="009403A6">
              <w:rPr>
                <w:rFonts w:ascii="Book Antiqua" w:hAnsi="Book Antiqua" w:cstheme="majorHAnsi"/>
                <w:color w:val="000000" w:themeColor="text1"/>
              </w:rPr>
              <w:t xml:space="preserve"> </w:t>
            </w:r>
            <w:r w:rsidRPr="00655870">
              <w:rPr>
                <w:rFonts w:ascii="Book Antiqua" w:hAnsi="Book Antiqua" w:cstheme="majorHAnsi"/>
                <w:i/>
                <w:iCs/>
                <w:color w:val="000000" w:themeColor="text1"/>
              </w:rPr>
              <w:t>et al</w:t>
            </w:r>
            <w:r w:rsidRPr="000B19A2">
              <w:rPr>
                <w:rFonts w:ascii="Book Antiqua" w:eastAsia="PMingLiU" w:hAnsi="Book Antiqua" w:cs="Times New Roman"/>
                <w:color w:val="000000" w:themeColor="text1"/>
                <w:vertAlign w:val="superscript"/>
              </w:rPr>
              <w:t>[</w:t>
            </w:r>
            <w:r>
              <w:rPr>
                <w:rFonts w:ascii="Book Antiqua" w:eastAsia="PMingLiU" w:hAnsi="Book Antiqua" w:cs="Times New Roman"/>
                <w:color w:val="000000" w:themeColor="text1"/>
                <w:vertAlign w:val="superscript"/>
              </w:rPr>
              <w:t>10</w:t>
            </w:r>
            <w:r w:rsidRPr="000B19A2">
              <w:rPr>
                <w:rFonts w:ascii="Book Antiqua" w:eastAsia="PMingLiU" w:hAnsi="Book Antiqua" w:cs="Times New Roman" w:hint="eastAsia"/>
                <w:color w:val="000000" w:themeColor="text1"/>
                <w:vertAlign w:val="superscript"/>
              </w:rPr>
              <w:t>]</w:t>
            </w:r>
          </w:p>
        </w:tc>
        <w:tc>
          <w:tcPr>
            <w:tcW w:w="753" w:type="pct"/>
            <w:shd w:val="clear" w:color="auto" w:fill="auto"/>
          </w:tcPr>
          <w:p w14:paraId="5F42388D"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Anorexia, abdominal distension</w:t>
            </w:r>
          </w:p>
          <w:p w14:paraId="0A805ADC"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26" w:type="pct"/>
            <w:shd w:val="clear" w:color="auto" w:fill="auto"/>
          </w:tcPr>
          <w:p w14:paraId="792A5108"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shd w:val="clear" w:color="auto" w:fill="auto"/>
          </w:tcPr>
          <w:p w14:paraId="67739910"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Enlarged liver without individual lesion</w:t>
            </w:r>
          </w:p>
          <w:p w14:paraId="58C3F013"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6FDDED01"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2FDA32FB"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shd w:val="clear" w:color="auto" w:fill="auto"/>
          </w:tcPr>
          <w:p w14:paraId="60E28526"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Traditional medicine</w:t>
            </w:r>
          </w:p>
        </w:tc>
        <w:tc>
          <w:tcPr>
            <w:tcW w:w="818" w:type="pct"/>
            <w:gridSpan w:val="2"/>
            <w:shd w:val="clear" w:color="auto" w:fill="auto"/>
          </w:tcPr>
          <w:p w14:paraId="6D1AE4F5" w14:textId="1F4C1306"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Died 31 d after diagnosis</w:t>
            </w:r>
          </w:p>
        </w:tc>
      </w:tr>
      <w:tr w:rsidR="00735932" w:rsidRPr="00655870" w14:paraId="20B214FE" w14:textId="77777777" w:rsidTr="00FF2827">
        <w:trPr>
          <w:jc w:val="center"/>
        </w:trPr>
        <w:tc>
          <w:tcPr>
            <w:tcW w:w="911" w:type="pct"/>
            <w:shd w:val="clear" w:color="auto" w:fill="auto"/>
          </w:tcPr>
          <w:p w14:paraId="7D74855C" w14:textId="65251B70" w:rsidR="00735932" w:rsidRPr="00655870" w:rsidRDefault="00735932" w:rsidP="009403A6">
            <w:pPr>
              <w:adjustRightInd w:val="0"/>
              <w:snapToGrid w:val="0"/>
              <w:spacing w:line="360" w:lineRule="auto"/>
              <w:rPr>
                <w:rFonts w:ascii="Book Antiqua" w:hAnsi="Book Antiqua" w:cstheme="majorHAnsi"/>
                <w:color w:val="000000" w:themeColor="text1"/>
                <w:vertAlign w:val="superscript"/>
              </w:rPr>
            </w:pPr>
            <w:r w:rsidRPr="00655870">
              <w:rPr>
                <w:rFonts w:ascii="Book Antiqua" w:hAnsi="Book Antiqua" w:cstheme="majorHAnsi"/>
                <w:color w:val="000000" w:themeColor="text1"/>
              </w:rPr>
              <w:t>Yenıova</w:t>
            </w:r>
            <w:r w:rsidR="009403A6">
              <w:rPr>
                <w:rFonts w:ascii="Book Antiqua" w:hAnsi="Book Antiqua" w:cstheme="majorHAnsi"/>
                <w:color w:val="000000" w:themeColor="text1"/>
              </w:rPr>
              <w:t xml:space="preserve"> </w:t>
            </w:r>
            <w:r w:rsidRPr="00655870">
              <w:rPr>
                <w:rFonts w:ascii="Book Antiqua" w:hAnsi="Book Antiqua" w:cstheme="majorHAnsi"/>
                <w:i/>
                <w:iCs/>
                <w:color w:val="000000" w:themeColor="text1"/>
              </w:rPr>
              <w:t>et al</w:t>
            </w:r>
            <w:r w:rsidRPr="000B19A2">
              <w:rPr>
                <w:rFonts w:ascii="Book Antiqua" w:eastAsia="PMingLiU" w:hAnsi="Book Antiqua" w:cs="Times New Roman"/>
                <w:color w:val="000000" w:themeColor="text1"/>
                <w:vertAlign w:val="superscript"/>
              </w:rPr>
              <w:t>[</w:t>
            </w:r>
            <w:r>
              <w:rPr>
                <w:rFonts w:ascii="Book Antiqua" w:eastAsia="PMingLiU" w:hAnsi="Book Antiqua" w:cs="Times New Roman"/>
                <w:color w:val="000000" w:themeColor="text1"/>
                <w:vertAlign w:val="superscript"/>
              </w:rPr>
              <w:t>15</w:t>
            </w:r>
            <w:r w:rsidRPr="000B19A2">
              <w:rPr>
                <w:rFonts w:ascii="Book Antiqua" w:eastAsia="PMingLiU" w:hAnsi="Book Antiqua" w:cs="Times New Roman" w:hint="eastAsia"/>
                <w:color w:val="000000" w:themeColor="text1"/>
                <w:vertAlign w:val="superscript"/>
              </w:rPr>
              <w:t>]</w:t>
            </w:r>
          </w:p>
        </w:tc>
        <w:tc>
          <w:tcPr>
            <w:tcW w:w="753" w:type="pct"/>
            <w:shd w:val="clear" w:color="auto" w:fill="auto"/>
          </w:tcPr>
          <w:p w14:paraId="7A2D1933"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Abdominal distension, weight loss </w:t>
            </w:r>
          </w:p>
          <w:p w14:paraId="2F2CA041"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26" w:type="pct"/>
            <w:shd w:val="clear" w:color="auto" w:fill="auto"/>
          </w:tcPr>
          <w:p w14:paraId="5E0CB8A6"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shd w:val="clear" w:color="auto" w:fill="auto"/>
          </w:tcPr>
          <w:p w14:paraId="2914ACBF"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Multiple masses in the liver</w:t>
            </w:r>
          </w:p>
        </w:tc>
        <w:tc>
          <w:tcPr>
            <w:tcW w:w="164" w:type="pct"/>
            <w:gridSpan w:val="2"/>
            <w:shd w:val="clear" w:color="auto" w:fill="auto"/>
          </w:tcPr>
          <w:p w14:paraId="1933D935"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7520741B"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shd w:val="clear" w:color="auto" w:fill="auto"/>
          </w:tcPr>
          <w:p w14:paraId="7913364D"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Palliative care </w:t>
            </w:r>
          </w:p>
        </w:tc>
        <w:tc>
          <w:tcPr>
            <w:tcW w:w="818" w:type="pct"/>
            <w:gridSpan w:val="2"/>
            <w:shd w:val="clear" w:color="auto" w:fill="auto"/>
          </w:tcPr>
          <w:p w14:paraId="711729F8"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Not stated</w:t>
            </w:r>
          </w:p>
        </w:tc>
      </w:tr>
      <w:tr w:rsidR="00735932" w:rsidRPr="00655870" w14:paraId="108A47CD" w14:textId="77777777" w:rsidTr="00FF2827">
        <w:trPr>
          <w:jc w:val="center"/>
        </w:trPr>
        <w:tc>
          <w:tcPr>
            <w:tcW w:w="911" w:type="pct"/>
            <w:shd w:val="clear" w:color="auto" w:fill="auto"/>
          </w:tcPr>
          <w:p w14:paraId="6ADC1E86" w14:textId="500A8DD1" w:rsidR="00735932" w:rsidRPr="00655870" w:rsidRDefault="00735932" w:rsidP="009403A6">
            <w:pPr>
              <w:adjustRightInd w:val="0"/>
              <w:snapToGrid w:val="0"/>
              <w:spacing w:line="360" w:lineRule="auto"/>
              <w:rPr>
                <w:rFonts w:ascii="Book Antiqua" w:hAnsi="Book Antiqua" w:cstheme="majorHAnsi"/>
                <w:color w:val="000000" w:themeColor="text1"/>
                <w:vertAlign w:val="superscript"/>
              </w:rPr>
            </w:pPr>
            <w:r w:rsidRPr="00655870">
              <w:rPr>
                <w:rFonts w:ascii="Book Antiqua" w:hAnsi="Book Antiqua" w:cstheme="majorHAnsi"/>
                <w:color w:val="000000" w:themeColor="text1"/>
              </w:rPr>
              <w:t>Bostanci</w:t>
            </w:r>
            <w:r w:rsidR="009403A6">
              <w:rPr>
                <w:rFonts w:ascii="Book Antiqua" w:hAnsi="Book Antiqua" w:cstheme="majorHAnsi"/>
                <w:color w:val="000000" w:themeColor="text1"/>
              </w:rPr>
              <w:t xml:space="preserve"> </w:t>
            </w:r>
            <w:r w:rsidRPr="00655870">
              <w:rPr>
                <w:rFonts w:ascii="Book Antiqua" w:hAnsi="Book Antiqua" w:cstheme="majorHAnsi"/>
                <w:i/>
                <w:iCs/>
                <w:color w:val="000000" w:themeColor="text1"/>
              </w:rPr>
              <w:t>et al</w:t>
            </w:r>
            <w:r w:rsidRPr="000B19A2">
              <w:rPr>
                <w:rFonts w:ascii="Book Antiqua" w:eastAsia="PMingLiU" w:hAnsi="Book Antiqua" w:cs="Times New Roman"/>
                <w:color w:val="000000" w:themeColor="text1"/>
                <w:vertAlign w:val="superscript"/>
              </w:rPr>
              <w:t>[</w:t>
            </w:r>
            <w:r>
              <w:rPr>
                <w:rFonts w:ascii="Book Antiqua" w:eastAsia="PMingLiU" w:hAnsi="Book Antiqua" w:cs="Times New Roman"/>
                <w:color w:val="000000" w:themeColor="text1"/>
                <w:vertAlign w:val="superscript"/>
              </w:rPr>
              <w:t>14</w:t>
            </w:r>
            <w:r w:rsidRPr="000B19A2">
              <w:rPr>
                <w:rFonts w:ascii="Book Antiqua" w:eastAsia="PMingLiU" w:hAnsi="Book Antiqua" w:cs="Times New Roman" w:hint="eastAsia"/>
                <w:color w:val="000000" w:themeColor="text1"/>
                <w:vertAlign w:val="superscript"/>
              </w:rPr>
              <w:t>]</w:t>
            </w:r>
          </w:p>
        </w:tc>
        <w:tc>
          <w:tcPr>
            <w:tcW w:w="753" w:type="pct"/>
            <w:shd w:val="clear" w:color="auto" w:fill="auto"/>
          </w:tcPr>
          <w:p w14:paraId="2A2D2189" w14:textId="6ED475AE" w:rsidR="00735932" w:rsidRPr="00A770F3" w:rsidRDefault="00735932" w:rsidP="00FF2827">
            <w:pPr>
              <w:adjustRightInd w:val="0"/>
              <w:snapToGrid w:val="0"/>
              <w:spacing w:line="360" w:lineRule="auto"/>
              <w:rPr>
                <w:rFonts w:ascii="Book Antiqua" w:eastAsia="PMingLiU" w:hAnsi="Book Antiqua" w:cstheme="majorHAnsi"/>
                <w:color w:val="000000" w:themeColor="text1"/>
              </w:rPr>
            </w:pPr>
            <w:r w:rsidRPr="00655870">
              <w:rPr>
                <w:rFonts w:ascii="Book Antiqua" w:hAnsi="Book Antiqua" w:cstheme="majorHAnsi"/>
                <w:color w:val="000000" w:themeColor="text1"/>
              </w:rPr>
              <w:t xml:space="preserve">Right upper quadrant abdominal pain, weight loss </w:t>
            </w:r>
          </w:p>
        </w:tc>
        <w:tc>
          <w:tcPr>
            <w:tcW w:w="126" w:type="pct"/>
            <w:shd w:val="clear" w:color="auto" w:fill="auto"/>
          </w:tcPr>
          <w:p w14:paraId="206C5FBC"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shd w:val="clear" w:color="auto" w:fill="auto"/>
          </w:tcPr>
          <w:p w14:paraId="78A17667"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Cystic lesion in the left lobe of the liver </w:t>
            </w:r>
          </w:p>
        </w:tc>
        <w:tc>
          <w:tcPr>
            <w:tcW w:w="164" w:type="pct"/>
            <w:gridSpan w:val="2"/>
            <w:shd w:val="clear" w:color="auto" w:fill="auto"/>
          </w:tcPr>
          <w:p w14:paraId="654835B7"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1E41A7B1"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shd w:val="clear" w:color="auto" w:fill="auto"/>
          </w:tcPr>
          <w:p w14:paraId="57CAEE97"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Surgical excision</w:t>
            </w:r>
          </w:p>
        </w:tc>
        <w:tc>
          <w:tcPr>
            <w:tcW w:w="818" w:type="pct"/>
            <w:gridSpan w:val="2"/>
            <w:shd w:val="clear" w:color="auto" w:fill="auto"/>
          </w:tcPr>
          <w:p w14:paraId="1F300707" w14:textId="2946808D"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Discharged 4 d post- surgery without compliance to follow-up</w:t>
            </w:r>
          </w:p>
        </w:tc>
      </w:tr>
      <w:tr w:rsidR="00735932" w:rsidRPr="00655870" w14:paraId="62524850" w14:textId="77777777" w:rsidTr="00FF2827">
        <w:trPr>
          <w:jc w:val="center"/>
        </w:trPr>
        <w:tc>
          <w:tcPr>
            <w:tcW w:w="911" w:type="pct"/>
            <w:shd w:val="clear" w:color="auto" w:fill="auto"/>
          </w:tcPr>
          <w:p w14:paraId="6DFE9BC6" w14:textId="5E94BDE4" w:rsidR="00735932" w:rsidRPr="00655870" w:rsidRDefault="00735932" w:rsidP="009403A6">
            <w:pPr>
              <w:adjustRightInd w:val="0"/>
              <w:snapToGrid w:val="0"/>
              <w:spacing w:line="360" w:lineRule="auto"/>
              <w:rPr>
                <w:rFonts w:ascii="Book Antiqua" w:hAnsi="Book Antiqua" w:cstheme="majorHAnsi"/>
                <w:color w:val="000000" w:themeColor="text1"/>
                <w:vertAlign w:val="superscript"/>
              </w:rPr>
            </w:pPr>
            <w:r w:rsidRPr="00655870">
              <w:rPr>
                <w:rFonts w:ascii="Book Antiqua" w:hAnsi="Book Antiqua" w:cstheme="majorHAnsi"/>
                <w:color w:val="000000" w:themeColor="text1"/>
              </w:rPr>
              <w:t>Tanaka</w:t>
            </w:r>
            <w:r w:rsidR="009403A6">
              <w:rPr>
                <w:rFonts w:ascii="Book Antiqua" w:hAnsi="Book Antiqua" w:cstheme="majorHAnsi"/>
                <w:color w:val="000000" w:themeColor="text1"/>
              </w:rPr>
              <w:t xml:space="preserve"> </w:t>
            </w:r>
            <w:r w:rsidRPr="00655870">
              <w:rPr>
                <w:rFonts w:ascii="Book Antiqua" w:hAnsi="Book Antiqua" w:cstheme="majorHAnsi"/>
                <w:i/>
                <w:iCs/>
                <w:color w:val="000000" w:themeColor="text1"/>
              </w:rPr>
              <w:t>et al</w:t>
            </w:r>
            <w:r w:rsidRPr="000B19A2">
              <w:rPr>
                <w:rFonts w:ascii="Book Antiqua" w:eastAsia="PMingLiU" w:hAnsi="Book Antiqua" w:cs="Times New Roman"/>
                <w:color w:val="000000" w:themeColor="text1"/>
                <w:vertAlign w:val="superscript"/>
              </w:rPr>
              <w:t>[</w:t>
            </w:r>
            <w:r>
              <w:rPr>
                <w:rFonts w:ascii="Book Antiqua" w:eastAsia="PMingLiU" w:hAnsi="Book Antiqua" w:cs="Times New Roman"/>
                <w:color w:val="000000" w:themeColor="text1"/>
                <w:vertAlign w:val="superscript"/>
              </w:rPr>
              <w:t>11</w:t>
            </w:r>
            <w:r w:rsidRPr="000B19A2">
              <w:rPr>
                <w:rFonts w:ascii="Book Antiqua" w:eastAsia="PMingLiU" w:hAnsi="Book Antiqua" w:cs="Times New Roman" w:hint="eastAsia"/>
                <w:color w:val="000000" w:themeColor="text1"/>
                <w:vertAlign w:val="superscript"/>
              </w:rPr>
              <w:t>]</w:t>
            </w:r>
          </w:p>
        </w:tc>
        <w:tc>
          <w:tcPr>
            <w:tcW w:w="753" w:type="pct"/>
            <w:shd w:val="clear" w:color="auto" w:fill="auto"/>
          </w:tcPr>
          <w:p w14:paraId="5BAAFE5A" w14:textId="77777777" w:rsidR="00735932" w:rsidRPr="00655870" w:rsidRDefault="00735932" w:rsidP="00FF2827">
            <w:pPr>
              <w:autoSpaceDE w:val="0"/>
              <w:autoSpaceDN w:val="0"/>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Fever, multiple sites of </w:t>
            </w:r>
            <w:r w:rsidRPr="00655870">
              <w:rPr>
                <w:rFonts w:ascii="Book Antiqua" w:hAnsi="Book Antiqua" w:cstheme="majorHAnsi"/>
                <w:color w:val="000000" w:themeColor="text1"/>
              </w:rPr>
              <w:lastRenderedPageBreak/>
              <w:t>erythema with crusting on the</w:t>
            </w:r>
          </w:p>
          <w:p w14:paraId="49ECB39D"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trunk region</w:t>
            </w:r>
          </w:p>
        </w:tc>
        <w:tc>
          <w:tcPr>
            <w:tcW w:w="126" w:type="pct"/>
            <w:shd w:val="clear" w:color="auto" w:fill="auto"/>
          </w:tcPr>
          <w:p w14:paraId="18B35D9D"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shd w:val="clear" w:color="auto" w:fill="auto"/>
          </w:tcPr>
          <w:p w14:paraId="341AFFC4"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Multiple poorly</w:t>
            </w:r>
          </w:p>
          <w:p w14:paraId="0AD2D0BB"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lastRenderedPageBreak/>
              <w:t>defined irregularly shaped masses in the liver</w:t>
            </w:r>
          </w:p>
        </w:tc>
        <w:tc>
          <w:tcPr>
            <w:tcW w:w="164" w:type="pct"/>
            <w:gridSpan w:val="2"/>
            <w:shd w:val="clear" w:color="auto" w:fill="auto"/>
          </w:tcPr>
          <w:p w14:paraId="549E5732"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5983FB05"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shd w:val="clear" w:color="auto" w:fill="auto"/>
          </w:tcPr>
          <w:p w14:paraId="3741D133"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Palliative therapy</w:t>
            </w:r>
          </w:p>
        </w:tc>
        <w:tc>
          <w:tcPr>
            <w:tcW w:w="818" w:type="pct"/>
            <w:gridSpan w:val="2"/>
            <w:shd w:val="clear" w:color="auto" w:fill="auto"/>
          </w:tcPr>
          <w:p w14:paraId="730357F5" w14:textId="7B58D403"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Died 47 d after diagnosis</w:t>
            </w:r>
          </w:p>
        </w:tc>
      </w:tr>
      <w:tr w:rsidR="00735932" w:rsidRPr="00655870" w14:paraId="5776E464" w14:textId="77777777" w:rsidTr="00FF2827">
        <w:trPr>
          <w:jc w:val="center"/>
        </w:trPr>
        <w:tc>
          <w:tcPr>
            <w:tcW w:w="911" w:type="pct"/>
            <w:shd w:val="clear" w:color="auto" w:fill="auto"/>
          </w:tcPr>
          <w:p w14:paraId="09AD1E13" w14:textId="737BDFAB"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Case in </w:t>
            </w:r>
            <w:r w:rsidR="007E0BA9">
              <w:rPr>
                <w:rFonts w:ascii="Book Antiqua" w:hAnsi="Book Antiqua" w:cstheme="majorHAnsi"/>
                <w:color w:val="000000" w:themeColor="text1"/>
              </w:rPr>
              <w:t>s</w:t>
            </w:r>
            <w:r w:rsidRPr="00655870">
              <w:rPr>
                <w:rFonts w:ascii="Book Antiqua" w:hAnsi="Book Antiqua" w:cstheme="majorHAnsi"/>
                <w:color w:val="000000" w:themeColor="text1"/>
              </w:rPr>
              <w:t xml:space="preserve">tudy </w:t>
            </w:r>
          </w:p>
        </w:tc>
        <w:tc>
          <w:tcPr>
            <w:tcW w:w="753" w:type="pct"/>
            <w:shd w:val="clear" w:color="auto" w:fill="auto"/>
          </w:tcPr>
          <w:p w14:paraId="51677FCA" w14:textId="77777777" w:rsidR="00735932" w:rsidRPr="00655870" w:rsidRDefault="00735932" w:rsidP="00FF2827">
            <w:pPr>
              <w:autoSpaceDE w:val="0"/>
              <w:autoSpaceDN w:val="0"/>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No significant symptoms</w:t>
            </w:r>
          </w:p>
        </w:tc>
        <w:tc>
          <w:tcPr>
            <w:tcW w:w="126" w:type="pct"/>
            <w:shd w:val="clear" w:color="auto" w:fill="auto"/>
          </w:tcPr>
          <w:p w14:paraId="0A9E4DC4"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911" w:type="pct"/>
            <w:gridSpan w:val="3"/>
            <w:shd w:val="clear" w:color="auto" w:fill="auto"/>
          </w:tcPr>
          <w:p w14:paraId="761A0276"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eastAsia="PMingLiU" w:hAnsi="Book Antiqua" w:cstheme="majorHAnsi"/>
                <w:color w:val="000000" w:themeColor="text1"/>
              </w:rPr>
              <w:t>Multiple heterogeneous masses and nodules in both lobes of the liver</w:t>
            </w:r>
          </w:p>
        </w:tc>
        <w:tc>
          <w:tcPr>
            <w:tcW w:w="164" w:type="pct"/>
            <w:gridSpan w:val="2"/>
            <w:shd w:val="clear" w:color="auto" w:fill="auto"/>
          </w:tcPr>
          <w:p w14:paraId="5EDD53CA"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64" w:type="pct"/>
            <w:gridSpan w:val="2"/>
            <w:shd w:val="clear" w:color="auto" w:fill="auto"/>
          </w:tcPr>
          <w:p w14:paraId="6BE44E03" w14:textId="77777777" w:rsidR="00735932" w:rsidRPr="00655870" w:rsidRDefault="00735932" w:rsidP="00FF2827">
            <w:pPr>
              <w:adjustRightInd w:val="0"/>
              <w:snapToGrid w:val="0"/>
              <w:spacing w:line="360" w:lineRule="auto"/>
              <w:rPr>
                <w:rFonts w:ascii="Book Antiqua" w:hAnsi="Book Antiqua" w:cstheme="majorHAnsi"/>
                <w:color w:val="000000" w:themeColor="text1"/>
              </w:rPr>
            </w:pPr>
          </w:p>
        </w:tc>
        <w:tc>
          <w:tcPr>
            <w:tcW w:w="1153" w:type="pct"/>
            <w:gridSpan w:val="2"/>
            <w:shd w:val="clear" w:color="auto" w:fill="auto"/>
          </w:tcPr>
          <w:p w14:paraId="3091BCEE" w14:textId="7240942F"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Immunotherapy with combined </w:t>
            </w:r>
            <w:r w:rsidR="007E0BA9">
              <w:rPr>
                <w:rFonts w:ascii="Book Antiqua" w:hAnsi="Book Antiqua" w:cstheme="majorHAnsi"/>
                <w:color w:val="000000" w:themeColor="text1"/>
              </w:rPr>
              <w:t>n</w:t>
            </w:r>
            <w:r w:rsidRPr="00655870">
              <w:rPr>
                <w:rFonts w:ascii="Book Antiqua" w:hAnsi="Book Antiqua" w:cstheme="majorHAnsi"/>
                <w:color w:val="000000" w:themeColor="text1"/>
              </w:rPr>
              <w:t xml:space="preserve">ivolumab </w:t>
            </w:r>
          </w:p>
          <w:p w14:paraId="6209C968" w14:textId="3281D306" w:rsidR="00735932" w:rsidRPr="00655870" w:rsidRDefault="00735932">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 xml:space="preserve">and </w:t>
            </w:r>
            <w:r w:rsidR="007E0BA9">
              <w:rPr>
                <w:rFonts w:ascii="Book Antiqua" w:hAnsi="Book Antiqua" w:cstheme="majorHAnsi"/>
                <w:color w:val="000000" w:themeColor="text1"/>
              </w:rPr>
              <w:t>i</w:t>
            </w:r>
            <w:r w:rsidRPr="00655870">
              <w:rPr>
                <w:rFonts w:ascii="Book Antiqua" w:hAnsi="Book Antiqua" w:cstheme="majorHAnsi"/>
                <w:color w:val="000000" w:themeColor="text1"/>
              </w:rPr>
              <w:t>pilimumab</w:t>
            </w:r>
          </w:p>
        </w:tc>
        <w:tc>
          <w:tcPr>
            <w:tcW w:w="818" w:type="pct"/>
            <w:gridSpan w:val="2"/>
            <w:shd w:val="clear" w:color="auto" w:fill="auto"/>
          </w:tcPr>
          <w:p w14:paraId="2C80778B" w14:textId="6FE6D4C7" w:rsidR="00735932" w:rsidRPr="00655870" w:rsidRDefault="00735932" w:rsidP="00FF2827">
            <w:pPr>
              <w:adjustRightInd w:val="0"/>
              <w:snapToGrid w:val="0"/>
              <w:spacing w:line="360" w:lineRule="auto"/>
              <w:rPr>
                <w:rFonts w:ascii="Book Antiqua" w:hAnsi="Book Antiqua" w:cstheme="majorHAnsi"/>
                <w:color w:val="000000" w:themeColor="text1"/>
              </w:rPr>
            </w:pPr>
            <w:r w:rsidRPr="00655870">
              <w:rPr>
                <w:rFonts w:ascii="Book Antiqua" w:hAnsi="Book Antiqua" w:cstheme="majorHAnsi"/>
                <w:color w:val="000000" w:themeColor="text1"/>
              </w:rPr>
              <w:t>Died 9 mo after diagnosis</w:t>
            </w:r>
          </w:p>
        </w:tc>
      </w:tr>
    </w:tbl>
    <w:p w14:paraId="6052FC22" w14:textId="14607D86"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8FE67" w14:textId="77777777" w:rsidR="00817583" w:rsidRDefault="00817583" w:rsidP="00B569E7">
      <w:r>
        <w:separator/>
      </w:r>
    </w:p>
  </w:endnote>
  <w:endnote w:type="continuationSeparator" w:id="0">
    <w:p w14:paraId="33CFE7EE" w14:textId="77777777" w:rsidR="00817583" w:rsidRDefault="00817583" w:rsidP="00B5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300660"/>
      <w:docPartObj>
        <w:docPartGallery w:val="Page Numbers (Bottom of Page)"/>
        <w:docPartUnique/>
      </w:docPartObj>
    </w:sdtPr>
    <w:sdtEndPr/>
    <w:sdtContent>
      <w:sdt>
        <w:sdtPr>
          <w:id w:val="-1705238520"/>
          <w:docPartObj>
            <w:docPartGallery w:val="Page Numbers (Top of Page)"/>
            <w:docPartUnique/>
          </w:docPartObj>
        </w:sdtPr>
        <w:sdtEndPr/>
        <w:sdtContent>
          <w:p w14:paraId="07205ADD" w14:textId="6726B319" w:rsidR="00335AF7" w:rsidRDefault="00335AF7" w:rsidP="00335AF7">
            <w:pPr>
              <w:pStyle w:val="a4"/>
              <w:jc w:val="right"/>
            </w:pPr>
            <w:r w:rsidRPr="00335AF7">
              <w:rPr>
                <w:rFonts w:ascii="Book Antiqua" w:hAnsi="Book Antiqua"/>
                <w:sz w:val="24"/>
                <w:szCs w:val="24"/>
                <w:lang w:val="zh-CN" w:eastAsia="zh-CN"/>
              </w:rPr>
              <w:t xml:space="preserve"> </w:t>
            </w:r>
            <w:r w:rsidRPr="00335AF7">
              <w:rPr>
                <w:rFonts w:ascii="Book Antiqua" w:hAnsi="Book Antiqua"/>
                <w:b/>
                <w:bCs/>
                <w:sz w:val="24"/>
                <w:szCs w:val="24"/>
              </w:rPr>
              <w:fldChar w:fldCharType="begin"/>
            </w:r>
            <w:r w:rsidRPr="00335AF7">
              <w:rPr>
                <w:rFonts w:ascii="Book Antiqua" w:hAnsi="Book Antiqua"/>
                <w:b/>
                <w:bCs/>
                <w:sz w:val="24"/>
                <w:szCs w:val="24"/>
              </w:rPr>
              <w:instrText>PAGE</w:instrText>
            </w:r>
            <w:r w:rsidRPr="00335AF7">
              <w:rPr>
                <w:rFonts w:ascii="Book Antiqua" w:hAnsi="Book Antiqua"/>
                <w:b/>
                <w:bCs/>
                <w:sz w:val="24"/>
                <w:szCs w:val="24"/>
              </w:rPr>
              <w:fldChar w:fldCharType="separate"/>
            </w:r>
            <w:r w:rsidR="0064392E">
              <w:rPr>
                <w:rFonts w:ascii="Book Antiqua" w:hAnsi="Book Antiqua"/>
                <w:b/>
                <w:bCs/>
                <w:noProof/>
                <w:sz w:val="24"/>
                <w:szCs w:val="24"/>
              </w:rPr>
              <w:t>20</w:t>
            </w:r>
            <w:r w:rsidRPr="00335AF7">
              <w:rPr>
                <w:rFonts w:ascii="Book Antiqua" w:hAnsi="Book Antiqua"/>
                <w:b/>
                <w:bCs/>
                <w:sz w:val="24"/>
                <w:szCs w:val="24"/>
              </w:rPr>
              <w:fldChar w:fldCharType="end"/>
            </w:r>
            <w:r w:rsidRPr="00335AF7">
              <w:rPr>
                <w:rFonts w:ascii="Book Antiqua" w:hAnsi="Book Antiqua"/>
                <w:sz w:val="24"/>
                <w:szCs w:val="24"/>
                <w:lang w:val="zh-CN" w:eastAsia="zh-CN"/>
              </w:rPr>
              <w:t xml:space="preserve"> / </w:t>
            </w:r>
            <w:r w:rsidRPr="00335AF7">
              <w:rPr>
                <w:rFonts w:ascii="Book Antiqua" w:hAnsi="Book Antiqua"/>
                <w:b/>
                <w:bCs/>
                <w:sz w:val="24"/>
                <w:szCs w:val="24"/>
              </w:rPr>
              <w:fldChar w:fldCharType="begin"/>
            </w:r>
            <w:r w:rsidRPr="00335AF7">
              <w:rPr>
                <w:rFonts w:ascii="Book Antiqua" w:hAnsi="Book Antiqua"/>
                <w:b/>
                <w:bCs/>
                <w:sz w:val="24"/>
                <w:szCs w:val="24"/>
              </w:rPr>
              <w:instrText>NUMPAGES</w:instrText>
            </w:r>
            <w:r w:rsidRPr="00335AF7">
              <w:rPr>
                <w:rFonts w:ascii="Book Antiqua" w:hAnsi="Book Antiqua"/>
                <w:b/>
                <w:bCs/>
                <w:sz w:val="24"/>
                <w:szCs w:val="24"/>
              </w:rPr>
              <w:fldChar w:fldCharType="separate"/>
            </w:r>
            <w:r w:rsidR="0064392E">
              <w:rPr>
                <w:rFonts w:ascii="Book Antiqua" w:hAnsi="Book Antiqua"/>
                <w:b/>
                <w:bCs/>
                <w:noProof/>
                <w:sz w:val="24"/>
                <w:szCs w:val="24"/>
              </w:rPr>
              <w:t>21</w:t>
            </w:r>
            <w:r w:rsidRPr="00335AF7">
              <w:rPr>
                <w:rFonts w:ascii="Book Antiqua" w:hAnsi="Book Antiqua"/>
                <w:b/>
                <w:bCs/>
                <w:sz w:val="24"/>
                <w:szCs w:val="24"/>
              </w:rPr>
              <w:fldChar w:fldCharType="end"/>
            </w:r>
          </w:p>
        </w:sdtContent>
      </w:sdt>
    </w:sdtContent>
  </w:sdt>
  <w:p w14:paraId="25B9C300" w14:textId="77777777" w:rsidR="00335AF7" w:rsidRDefault="00335A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D7AF9" w14:textId="77777777" w:rsidR="00817583" w:rsidRDefault="00817583" w:rsidP="00B569E7">
      <w:r>
        <w:separator/>
      </w:r>
    </w:p>
  </w:footnote>
  <w:footnote w:type="continuationSeparator" w:id="0">
    <w:p w14:paraId="29019140" w14:textId="77777777" w:rsidR="00817583" w:rsidRDefault="00817583" w:rsidP="00B569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4278"/>
    <w:rsid w:val="00034EB7"/>
    <w:rsid w:val="00041E31"/>
    <w:rsid w:val="0008568A"/>
    <w:rsid w:val="000F512E"/>
    <w:rsid w:val="00107115"/>
    <w:rsid w:val="001743E7"/>
    <w:rsid w:val="001E0C73"/>
    <w:rsid w:val="001F201D"/>
    <w:rsid w:val="001F224D"/>
    <w:rsid w:val="00214106"/>
    <w:rsid w:val="00256002"/>
    <w:rsid w:val="002A6549"/>
    <w:rsid w:val="002B1D4D"/>
    <w:rsid w:val="002C45D6"/>
    <w:rsid w:val="00320BC6"/>
    <w:rsid w:val="003221E3"/>
    <w:rsid w:val="00335AF7"/>
    <w:rsid w:val="00383F4D"/>
    <w:rsid w:val="003A6D7C"/>
    <w:rsid w:val="003C4E20"/>
    <w:rsid w:val="00426C67"/>
    <w:rsid w:val="004C72CD"/>
    <w:rsid w:val="004F7F6E"/>
    <w:rsid w:val="00505771"/>
    <w:rsid w:val="00512358"/>
    <w:rsid w:val="005865AE"/>
    <w:rsid w:val="005B47FA"/>
    <w:rsid w:val="005C0EC7"/>
    <w:rsid w:val="005C2D8F"/>
    <w:rsid w:val="00615EF6"/>
    <w:rsid w:val="0064392E"/>
    <w:rsid w:val="00682BC0"/>
    <w:rsid w:val="006E5746"/>
    <w:rsid w:val="00707BC5"/>
    <w:rsid w:val="00734220"/>
    <w:rsid w:val="00735932"/>
    <w:rsid w:val="00797CB1"/>
    <w:rsid w:val="007C0338"/>
    <w:rsid w:val="007C0EBA"/>
    <w:rsid w:val="007E0BA9"/>
    <w:rsid w:val="007F7A73"/>
    <w:rsid w:val="00817583"/>
    <w:rsid w:val="00861016"/>
    <w:rsid w:val="00876D01"/>
    <w:rsid w:val="008B3AD7"/>
    <w:rsid w:val="00915444"/>
    <w:rsid w:val="009403A6"/>
    <w:rsid w:val="0097609A"/>
    <w:rsid w:val="0099797D"/>
    <w:rsid w:val="009B79BB"/>
    <w:rsid w:val="009C0F80"/>
    <w:rsid w:val="00A1083A"/>
    <w:rsid w:val="00A10F74"/>
    <w:rsid w:val="00A11F00"/>
    <w:rsid w:val="00A44707"/>
    <w:rsid w:val="00A756B6"/>
    <w:rsid w:val="00A770F3"/>
    <w:rsid w:val="00A77B3E"/>
    <w:rsid w:val="00AA4A8A"/>
    <w:rsid w:val="00AE0528"/>
    <w:rsid w:val="00AE7CF7"/>
    <w:rsid w:val="00B1397B"/>
    <w:rsid w:val="00B569E7"/>
    <w:rsid w:val="00CA2A55"/>
    <w:rsid w:val="00CC2179"/>
    <w:rsid w:val="00D02CC4"/>
    <w:rsid w:val="00D81430"/>
    <w:rsid w:val="00DA3A6A"/>
    <w:rsid w:val="00DB1A59"/>
    <w:rsid w:val="00DB5847"/>
    <w:rsid w:val="00DD386A"/>
    <w:rsid w:val="00E27F60"/>
    <w:rsid w:val="00F0357C"/>
    <w:rsid w:val="00F81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5EA97"/>
  <w15:docId w15:val="{E6370C24-C12B-4DF6-B5DB-D3DAFAF2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569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569E7"/>
    <w:rPr>
      <w:sz w:val="18"/>
      <w:szCs w:val="18"/>
    </w:rPr>
  </w:style>
  <w:style w:type="paragraph" w:styleId="a4">
    <w:name w:val="footer"/>
    <w:basedOn w:val="a"/>
    <w:link w:val="Char0"/>
    <w:uiPriority w:val="99"/>
    <w:unhideWhenUsed/>
    <w:rsid w:val="00B569E7"/>
    <w:pPr>
      <w:tabs>
        <w:tab w:val="center" w:pos="4153"/>
        <w:tab w:val="right" w:pos="8306"/>
      </w:tabs>
      <w:snapToGrid w:val="0"/>
    </w:pPr>
    <w:rPr>
      <w:sz w:val="18"/>
      <w:szCs w:val="18"/>
    </w:rPr>
  </w:style>
  <w:style w:type="character" w:customStyle="1" w:styleId="Char0">
    <w:name w:val="页脚 Char"/>
    <w:basedOn w:val="a0"/>
    <w:link w:val="a4"/>
    <w:uiPriority w:val="99"/>
    <w:rsid w:val="00B569E7"/>
    <w:rPr>
      <w:sz w:val="18"/>
      <w:szCs w:val="18"/>
    </w:rPr>
  </w:style>
  <w:style w:type="table" w:styleId="a5">
    <w:name w:val="Light List"/>
    <w:basedOn w:val="a1"/>
    <w:uiPriority w:val="61"/>
    <w:rsid w:val="00735932"/>
    <w:rPr>
      <w:rFonts w:asciiTheme="minorHAnsi" w:hAnsiTheme="minorHAnsi" w:cstheme="minorBidi"/>
      <w:sz w:val="22"/>
      <w:szCs w:val="22"/>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6">
    <w:name w:val="Hyperlink"/>
    <w:basedOn w:val="a0"/>
    <w:unhideWhenUsed/>
    <w:rsid w:val="00B1397B"/>
    <w:rPr>
      <w:color w:val="0000FF" w:themeColor="hyperlink"/>
      <w:u w:val="single"/>
    </w:rPr>
  </w:style>
  <w:style w:type="character" w:styleId="a7">
    <w:name w:val="annotation reference"/>
    <w:basedOn w:val="a0"/>
    <w:semiHidden/>
    <w:unhideWhenUsed/>
    <w:rsid w:val="00AA4A8A"/>
    <w:rPr>
      <w:sz w:val="21"/>
      <w:szCs w:val="21"/>
    </w:rPr>
  </w:style>
  <w:style w:type="paragraph" w:styleId="a8">
    <w:name w:val="annotation text"/>
    <w:basedOn w:val="a"/>
    <w:link w:val="Char1"/>
    <w:semiHidden/>
    <w:unhideWhenUsed/>
    <w:rsid w:val="00AA4A8A"/>
  </w:style>
  <w:style w:type="character" w:customStyle="1" w:styleId="Char1">
    <w:name w:val="批注文字 Char"/>
    <w:basedOn w:val="a0"/>
    <w:link w:val="a8"/>
    <w:semiHidden/>
    <w:rsid w:val="00AA4A8A"/>
    <w:rPr>
      <w:sz w:val="24"/>
      <w:szCs w:val="24"/>
    </w:rPr>
  </w:style>
  <w:style w:type="paragraph" w:styleId="a9">
    <w:name w:val="annotation subject"/>
    <w:basedOn w:val="a8"/>
    <w:next w:val="a8"/>
    <w:link w:val="Char2"/>
    <w:semiHidden/>
    <w:unhideWhenUsed/>
    <w:rsid w:val="00AA4A8A"/>
    <w:rPr>
      <w:b/>
      <w:bCs/>
    </w:rPr>
  </w:style>
  <w:style w:type="character" w:customStyle="1" w:styleId="Char2">
    <w:name w:val="批注主题 Char"/>
    <w:basedOn w:val="Char1"/>
    <w:link w:val="a9"/>
    <w:semiHidden/>
    <w:rsid w:val="00AA4A8A"/>
    <w:rPr>
      <w:b/>
      <w:bCs/>
      <w:sz w:val="24"/>
      <w:szCs w:val="24"/>
    </w:rPr>
  </w:style>
  <w:style w:type="paragraph" w:styleId="aa">
    <w:name w:val="Revision"/>
    <w:hidden/>
    <w:uiPriority w:val="99"/>
    <w:semiHidden/>
    <w:rsid w:val="00AA4A8A"/>
    <w:rPr>
      <w:sz w:val="24"/>
      <w:szCs w:val="24"/>
    </w:rPr>
  </w:style>
  <w:style w:type="paragraph" w:styleId="ab">
    <w:name w:val="Balloon Text"/>
    <w:basedOn w:val="a"/>
    <w:link w:val="Char3"/>
    <w:semiHidden/>
    <w:unhideWhenUsed/>
    <w:rsid w:val="00AA4A8A"/>
    <w:rPr>
      <w:sz w:val="18"/>
      <w:szCs w:val="18"/>
    </w:rPr>
  </w:style>
  <w:style w:type="character" w:customStyle="1" w:styleId="Char3">
    <w:name w:val="批注框文本 Char"/>
    <w:basedOn w:val="a0"/>
    <w:link w:val="ab"/>
    <w:semiHidden/>
    <w:rsid w:val="00AA4A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4</cp:revision>
  <dcterms:created xsi:type="dcterms:W3CDTF">2021-03-01T13:57:00Z</dcterms:created>
  <dcterms:modified xsi:type="dcterms:W3CDTF">2021-03-01T14:02:00Z</dcterms:modified>
</cp:coreProperties>
</file>