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5E8C9"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Name of Journal: </w:t>
      </w:r>
      <w:r w:rsidRPr="00E2495E">
        <w:rPr>
          <w:rFonts w:ascii="Book Antiqua" w:eastAsia="Book Antiqua" w:hAnsi="Book Antiqua" w:cs="Book Antiqua"/>
          <w:i/>
          <w:color w:val="000000"/>
        </w:rPr>
        <w:t>World Journal of Clinical Cases</w:t>
      </w:r>
    </w:p>
    <w:p w14:paraId="06E0482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NO: </w:t>
      </w:r>
      <w:r w:rsidRPr="00E2495E">
        <w:rPr>
          <w:rFonts w:ascii="Book Antiqua" w:eastAsia="Book Antiqua" w:hAnsi="Book Antiqua" w:cs="Book Antiqua"/>
          <w:color w:val="000000"/>
        </w:rPr>
        <w:t>61505</w:t>
      </w:r>
    </w:p>
    <w:p w14:paraId="653BDD0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Type: </w:t>
      </w:r>
      <w:r w:rsidRPr="00E2495E">
        <w:rPr>
          <w:rFonts w:ascii="Book Antiqua" w:eastAsia="Book Antiqua" w:hAnsi="Book Antiqua" w:cs="Book Antiqua"/>
          <w:color w:val="000000"/>
        </w:rPr>
        <w:t>CASE REPORT</w:t>
      </w:r>
    </w:p>
    <w:p w14:paraId="449C0501" w14:textId="77777777" w:rsidR="00A77B3E" w:rsidRPr="00E2495E" w:rsidRDefault="00A77B3E" w:rsidP="00E2495E">
      <w:pPr>
        <w:spacing w:line="360" w:lineRule="auto"/>
        <w:jc w:val="both"/>
        <w:rPr>
          <w:rFonts w:ascii="Book Antiqua" w:hAnsi="Book Antiqua"/>
        </w:rPr>
      </w:pPr>
    </w:p>
    <w:p w14:paraId="3078C391" w14:textId="34E0E774" w:rsidR="00A77B3E" w:rsidRPr="00E2495E" w:rsidRDefault="00CC37E2" w:rsidP="00E2495E">
      <w:pPr>
        <w:spacing w:line="360" w:lineRule="auto"/>
        <w:jc w:val="both"/>
        <w:rPr>
          <w:rFonts w:ascii="Book Antiqua" w:hAnsi="Book Antiqua"/>
        </w:rPr>
      </w:pPr>
      <w:r w:rsidRPr="00CC37E2">
        <w:rPr>
          <w:rFonts w:ascii="Book Antiqua" w:eastAsia="Book Antiqua" w:hAnsi="Book Antiqua" w:cs="Book Antiqua"/>
          <w:b/>
          <w:bCs/>
          <w:color w:val="000000"/>
        </w:rPr>
        <w:t xml:space="preserve">Bone marrow inhibition induced by azathioprine </w:t>
      </w:r>
      <w:r w:rsidR="00B6005B">
        <w:rPr>
          <w:rFonts w:ascii="Book Antiqua" w:eastAsia="Book Antiqua" w:hAnsi="Book Antiqua" w:cs="Book Antiqua"/>
          <w:b/>
          <w:bCs/>
          <w:color w:val="000000"/>
        </w:rPr>
        <w:t xml:space="preserve">in a patient </w:t>
      </w:r>
      <w:r w:rsidRPr="00CC37E2">
        <w:rPr>
          <w:rFonts w:ascii="Book Antiqua" w:eastAsia="Book Antiqua" w:hAnsi="Book Antiqua" w:cs="Book Antiqua"/>
          <w:b/>
          <w:bCs/>
          <w:color w:val="000000"/>
        </w:rPr>
        <w:t>without mutation in the thiopurine S-methyltransferase pathogenic site</w:t>
      </w:r>
      <w:r w:rsidR="00D835DC" w:rsidRPr="00CC37E2">
        <w:rPr>
          <w:rFonts w:ascii="Book Antiqua" w:eastAsia="Book Antiqua" w:hAnsi="Book Antiqua" w:cs="Book Antiqua"/>
          <w:b/>
          <w:bCs/>
          <w:color w:val="000000"/>
        </w:rPr>
        <w:t>:</w:t>
      </w:r>
      <w:r w:rsidR="00D835DC" w:rsidRPr="00CC37E2">
        <w:rPr>
          <w:rFonts w:ascii="Book Antiqua" w:eastAsia="Book Antiqua" w:hAnsi="Book Antiqua" w:cs="Book Antiqua"/>
          <w:b/>
          <w:color w:val="000000"/>
        </w:rPr>
        <w:t xml:space="preserve"> A case report</w:t>
      </w:r>
    </w:p>
    <w:p w14:paraId="23F3611A" w14:textId="77777777" w:rsidR="00A77B3E" w:rsidRPr="00E2495E" w:rsidRDefault="00A77B3E" w:rsidP="00E2495E">
      <w:pPr>
        <w:spacing w:line="360" w:lineRule="auto"/>
        <w:jc w:val="both"/>
        <w:rPr>
          <w:rFonts w:ascii="Book Antiqua" w:hAnsi="Book Antiqua"/>
        </w:rPr>
      </w:pPr>
    </w:p>
    <w:p w14:paraId="4AE0EA9A" w14:textId="30FB46A9" w:rsidR="00A77B3E" w:rsidRPr="00E2495E" w:rsidRDefault="000C1598" w:rsidP="00E2495E">
      <w:pPr>
        <w:spacing w:line="360" w:lineRule="auto"/>
        <w:jc w:val="both"/>
        <w:rPr>
          <w:rFonts w:ascii="Book Antiqua" w:hAnsi="Book Antiqua"/>
        </w:rPr>
      </w:pPr>
      <w:r w:rsidRPr="00E2495E">
        <w:rPr>
          <w:rFonts w:ascii="Book Antiqua" w:eastAsia="Book Antiqua" w:hAnsi="Book Antiqua" w:cs="Book Antiqua"/>
          <w:color w:val="000000"/>
        </w:rPr>
        <w:t xml:space="preserve">Zhou </w:t>
      </w:r>
      <w:r>
        <w:rPr>
          <w:rFonts w:ascii="Book Antiqua" w:eastAsia="Book Antiqua" w:hAnsi="Book Antiqua" w:cs="Book Antiqua"/>
          <w:color w:val="000000"/>
        </w:rPr>
        <w:t xml:space="preserve">XS </w:t>
      </w:r>
      <w:r w:rsidRPr="000C159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835DC" w:rsidRPr="00E2495E">
        <w:rPr>
          <w:rFonts w:ascii="Book Antiqua" w:eastAsia="Book Antiqua" w:hAnsi="Book Antiqua" w:cs="Book Antiqua"/>
          <w:color w:val="000000"/>
        </w:rPr>
        <w:t>Azathioprine-induced bone marrow inhibition</w:t>
      </w:r>
    </w:p>
    <w:p w14:paraId="3194ECB7" w14:textId="77777777" w:rsidR="00A77B3E" w:rsidRPr="00E2495E" w:rsidRDefault="00A77B3E" w:rsidP="00E2495E">
      <w:pPr>
        <w:spacing w:line="360" w:lineRule="auto"/>
        <w:jc w:val="both"/>
        <w:rPr>
          <w:rFonts w:ascii="Book Antiqua" w:hAnsi="Book Antiqua"/>
        </w:rPr>
      </w:pPr>
    </w:p>
    <w:p w14:paraId="3949E8FF" w14:textId="5A909B91"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Xiao</w:t>
      </w:r>
      <w:r w:rsidR="000C1598">
        <w:rPr>
          <w:rFonts w:ascii="Book Antiqua" w:eastAsia="Book Antiqua" w:hAnsi="Book Antiqua" w:cs="Book Antiqua"/>
          <w:color w:val="000000"/>
        </w:rPr>
        <w:t>-S</w:t>
      </w:r>
      <w:r w:rsidRPr="00E2495E">
        <w:rPr>
          <w:rFonts w:ascii="Book Antiqua" w:eastAsia="Book Antiqua" w:hAnsi="Book Antiqua" w:cs="Book Antiqua"/>
          <w:color w:val="000000"/>
        </w:rPr>
        <w:t>huang Zhou, Yuan</w:t>
      </w:r>
      <w:r w:rsidR="000C1598">
        <w:rPr>
          <w:rFonts w:ascii="Book Antiqua" w:eastAsia="Book Antiqua" w:hAnsi="Book Antiqua" w:cs="Book Antiqua"/>
          <w:color w:val="000000"/>
        </w:rPr>
        <w:t>-Y</w:t>
      </w:r>
      <w:r w:rsidRPr="00E2495E">
        <w:rPr>
          <w:rFonts w:ascii="Book Antiqua" w:eastAsia="Book Antiqua" w:hAnsi="Book Antiqua" w:cs="Book Antiqua"/>
          <w:color w:val="000000"/>
        </w:rPr>
        <w:t>ue Lu, Yan</w:t>
      </w:r>
      <w:r w:rsidR="000C1598">
        <w:rPr>
          <w:rFonts w:ascii="Book Antiqua" w:eastAsia="Book Antiqua" w:hAnsi="Book Antiqua" w:cs="Book Antiqua"/>
          <w:color w:val="000000"/>
        </w:rPr>
        <w:t>-F</w:t>
      </w:r>
      <w:r w:rsidRPr="00E2495E">
        <w:rPr>
          <w:rFonts w:ascii="Book Antiqua" w:eastAsia="Book Antiqua" w:hAnsi="Book Antiqua" w:cs="Book Antiqua"/>
          <w:color w:val="000000"/>
        </w:rPr>
        <w:t>ang Gao, Wen Shao, Jia Yao</w:t>
      </w:r>
    </w:p>
    <w:p w14:paraId="637C412C" w14:textId="19580923" w:rsidR="00A77B3E" w:rsidRDefault="00A77B3E" w:rsidP="00E2495E">
      <w:pPr>
        <w:spacing w:line="360" w:lineRule="auto"/>
        <w:jc w:val="both"/>
        <w:rPr>
          <w:rFonts w:ascii="Book Antiqua" w:hAnsi="Book Antiqua"/>
        </w:rPr>
      </w:pPr>
    </w:p>
    <w:p w14:paraId="385A0CAD" w14:textId="77777777" w:rsidR="004023F5" w:rsidRPr="00CB7CE6" w:rsidRDefault="004023F5" w:rsidP="004023F5">
      <w:pPr>
        <w:spacing w:line="360" w:lineRule="auto"/>
        <w:jc w:val="both"/>
        <w:rPr>
          <w:rFonts w:ascii="Book Antiqua" w:hAnsi="Book Antiqua"/>
        </w:rPr>
      </w:pPr>
      <w:r w:rsidRPr="00CB7CE6">
        <w:rPr>
          <w:rFonts w:ascii="Book Antiqua" w:eastAsia="Book Antiqua" w:hAnsi="Book Antiqua" w:cs="Book Antiqua"/>
          <w:b/>
          <w:bCs/>
        </w:rPr>
        <w:t xml:space="preserve">Xiao-Shuang Zhou, </w:t>
      </w:r>
      <w:r w:rsidRPr="00CB7CE6">
        <w:rPr>
          <w:rFonts w:ascii="Book Antiqua" w:eastAsia="Book Antiqua" w:hAnsi="Book Antiqua" w:cs="Book Antiqua"/>
        </w:rPr>
        <w:t>College of Biomedical Engineering, Taiyuan University of Technology, Taiyuan 030012, Shanxi Province, China</w:t>
      </w:r>
    </w:p>
    <w:p w14:paraId="616344FA" w14:textId="77777777" w:rsidR="004023F5" w:rsidRPr="00CB7CE6" w:rsidRDefault="004023F5" w:rsidP="00E2495E">
      <w:pPr>
        <w:spacing w:line="360" w:lineRule="auto"/>
        <w:jc w:val="both"/>
        <w:rPr>
          <w:rFonts w:ascii="Book Antiqua" w:hAnsi="Book Antiqua"/>
        </w:rPr>
      </w:pPr>
    </w:p>
    <w:p w14:paraId="2D4372AB" w14:textId="331C1932" w:rsidR="00A77B3E" w:rsidRPr="00CB7CE6" w:rsidRDefault="00D835DC" w:rsidP="00E2495E">
      <w:pPr>
        <w:spacing w:line="360" w:lineRule="auto"/>
        <w:jc w:val="both"/>
        <w:rPr>
          <w:rFonts w:ascii="Book Antiqua" w:hAnsi="Book Antiqua"/>
        </w:rPr>
      </w:pPr>
      <w:r w:rsidRPr="00CB7CE6">
        <w:rPr>
          <w:rFonts w:ascii="Book Antiqua" w:eastAsia="Book Antiqua" w:hAnsi="Book Antiqua" w:cs="Book Antiqua"/>
          <w:b/>
          <w:bCs/>
        </w:rPr>
        <w:t>Xiao</w:t>
      </w:r>
      <w:r w:rsidR="00B023B3" w:rsidRPr="00CB7CE6">
        <w:rPr>
          <w:rFonts w:ascii="Book Antiqua" w:eastAsia="Book Antiqua" w:hAnsi="Book Antiqua" w:cs="Book Antiqua"/>
          <w:b/>
          <w:bCs/>
        </w:rPr>
        <w:t>-S</w:t>
      </w:r>
      <w:r w:rsidRPr="00CB7CE6">
        <w:rPr>
          <w:rFonts w:ascii="Book Antiqua" w:eastAsia="Book Antiqua" w:hAnsi="Book Antiqua" w:cs="Book Antiqua"/>
          <w:b/>
          <w:bCs/>
        </w:rPr>
        <w:t xml:space="preserve">huang Zhou, </w:t>
      </w:r>
      <w:r w:rsidR="00B023B3" w:rsidRPr="00CB7CE6">
        <w:rPr>
          <w:rFonts w:ascii="Book Antiqua" w:eastAsia="Book Antiqua" w:hAnsi="Book Antiqua" w:cs="Book Antiqua"/>
          <w:b/>
          <w:bCs/>
        </w:rPr>
        <w:t xml:space="preserve">Yuan-Yue Lu, Yan-Fang Gao, </w:t>
      </w:r>
      <w:r w:rsidRPr="00CB7CE6">
        <w:rPr>
          <w:rFonts w:ascii="Book Antiqua" w:eastAsia="Book Antiqua" w:hAnsi="Book Antiqua" w:cs="Book Antiqua"/>
        </w:rPr>
        <w:t xml:space="preserve">Department of Nephrology, The Affiliated People's Hospital of Shanxi Medical University, Taiyuan 030032, </w:t>
      </w:r>
      <w:r w:rsidR="00B023B3" w:rsidRPr="00CB7CE6">
        <w:rPr>
          <w:rFonts w:ascii="Book Antiqua" w:eastAsia="Book Antiqua" w:hAnsi="Book Antiqua" w:cs="Book Antiqua"/>
        </w:rPr>
        <w:t>Shanxi Province</w:t>
      </w:r>
      <w:r w:rsidRPr="00CB7CE6">
        <w:rPr>
          <w:rFonts w:ascii="Book Antiqua" w:eastAsia="Book Antiqua" w:hAnsi="Book Antiqua" w:cs="Book Antiqua"/>
        </w:rPr>
        <w:t>, China</w:t>
      </w:r>
    </w:p>
    <w:p w14:paraId="14075C20" w14:textId="77777777" w:rsidR="00A77B3E" w:rsidRPr="00E2495E" w:rsidRDefault="00A77B3E" w:rsidP="00E2495E">
      <w:pPr>
        <w:spacing w:line="360" w:lineRule="auto"/>
        <w:jc w:val="both"/>
        <w:rPr>
          <w:rFonts w:ascii="Book Antiqua" w:hAnsi="Book Antiqua"/>
        </w:rPr>
      </w:pPr>
    </w:p>
    <w:p w14:paraId="7966027A" w14:textId="67E80598"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Wen Shao, </w:t>
      </w:r>
      <w:r w:rsidR="00B023B3" w:rsidRPr="00E2495E">
        <w:rPr>
          <w:rFonts w:ascii="Book Antiqua" w:eastAsia="Book Antiqua" w:hAnsi="Book Antiqua" w:cs="Book Antiqua"/>
          <w:b/>
          <w:bCs/>
          <w:color w:val="000000"/>
        </w:rPr>
        <w:t xml:space="preserve">Jia Yao, </w:t>
      </w:r>
      <w:r w:rsidRPr="00E2495E">
        <w:rPr>
          <w:rFonts w:ascii="Book Antiqua" w:eastAsia="Book Antiqua" w:hAnsi="Book Antiqua" w:cs="Book Antiqua"/>
          <w:color w:val="000000"/>
        </w:rPr>
        <w:t>Department of Gastroenterology, Shanxi Bethune Hospital, Taiyuan 030012, Shanxi</w:t>
      </w:r>
      <w:r w:rsidR="00B023B3">
        <w:rPr>
          <w:rFonts w:ascii="Book Antiqua" w:eastAsia="Book Antiqua" w:hAnsi="Book Antiqua" w:cs="Book Antiqua"/>
          <w:color w:val="000000"/>
        </w:rPr>
        <w:t xml:space="preserve"> Province</w:t>
      </w:r>
      <w:r w:rsidRPr="00E2495E">
        <w:rPr>
          <w:rFonts w:ascii="Book Antiqua" w:eastAsia="Book Antiqua" w:hAnsi="Book Antiqua" w:cs="Book Antiqua"/>
          <w:color w:val="000000"/>
        </w:rPr>
        <w:t>, China</w:t>
      </w:r>
    </w:p>
    <w:p w14:paraId="584CA21C" w14:textId="77777777" w:rsidR="00A77B3E" w:rsidRPr="00E2495E" w:rsidRDefault="00A77B3E" w:rsidP="00E2495E">
      <w:pPr>
        <w:spacing w:line="360" w:lineRule="auto"/>
        <w:jc w:val="both"/>
        <w:rPr>
          <w:rFonts w:ascii="Book Antiqua" w:hAnsi="Book Antiqua"/>
        </w:rPr>
      </w:pPr>
    </w:p>
    <w:p w14:paraId="0EF403D6" w14:textId="6FF224D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Author contributions: </w:t>
      </w:r>
      <w:r w:rsidRPr="00E2495E">
        <w:rPr>
          <w:rFonts w:ascii="Book Antiqua" w:eastAsia="Book Antiqua" w:hAnsi="Book Antiqua" w:cs="Book Antiqua"/>
          <w:color w:val="000000"/>
        </w:rPr>
        <w:t>Zhou</w:t>
      </w:r>
      <w:r w:rsidR="004911A6">
        <w:rPr>
          <w:rFonts w:ascii="Book Antiqua" w:eastAsia="Book Antiqua" w:hAnsi="Book Antiqua" w:cs="Book Antiqua"/>
          <w:color w:val="000000"/>
        </w:rPr>
        <w:t xml:space="preserve"> XS</w:t>
      </w:r>
      <w:r w:rsidRPr="00E2495E">
        <w:rPr>
          <w:rFonts w:ascii="Book Antiqua" w:eastAsia="Book Antiqua" w:hAnsi="Book Antiqua" w:cs="Book Antiqua"/>
          <w:color w:val="000000"/>
        </w:rPr>
        <w:t xml:space="preserve"> and Lu</w:t>
      </w:r>
      <w:r w:rsidR="004911A6">
        <w:rPr>
          <w:rFonts w:ascii="Book Antiqua" w:eastAsia="Book Antiqua" w:hAnsi="Book Antiqua" w:cs="Book Antiqua"/>
          <w:color w:val="000000"/>
        </w:rPr>
        <w:t xml:space="preserve"> YY</w:t>
      </w:r>
      <w:r w:rsidRPr="00E2495E">
        <w:rPr>
          <w:rFonts w:ascii="Book Antiqua" w:eastAsia="Book Antiqua" w:hAnsi="Book Antiqua" w:cs="Book Antiqua"/>
          <w:color w:val="000000"/>
        </w:rPr>
        <w:t xml:space="preserve"> reviewed the literature and contributed to manuscript drafting; Gao</w:t>
      </w:r>
      <w:r w:rsidR="004911A6">
        <w:rPr>
          <w:rFonts w:ascii="Book Antiqua" w:eastAsia="Book Antiqua" w:hAnsi="Book Antiqua" w:cs="Book Antiqua"/>
          <w:color w:val="000000"/>
        </w:rPr>
        <w:t xml:space="preserve"> YF</w:t>
      </w:r>
      <w:r w:rsidRPr="00E2495E">
        <w:rPr>
          <w:rFonts w:ascii="Book Antiqua" w:eastAsia="Book Antiqua" w:hAnsi="Book Antiqua" w:cs="Book Antiqua"/>
          <w:color w:val="000000"/>
        </w:rPr>
        <w:t xml:space="preserve"> and Shao</w:t>
      </w:r>
      <w:r w:rsidR="004911A6">
        <w:rPr>
          <w:rFonts w:ascii="Book Antiqua" w:eastAsia="Book Antiqua" w:hAnsi="Book Antiqua" w:cs="Book Antiqua"/>
          <w:color w:val="000000"/>
        </w:rPr>
        <w:t xml:space="preserve"> W</w:t>
      </w:r>
      <w:r w:rsidRPr="00E2495E">
        <w:rPr>
          <w:rFonts w:ascii="Book Antiqua" w:eastAsia="Book Antiqua" w:hAnsi="Book Antiqua" w:cs="Book Antiqua"/>
          <w:color w:val="000000"/>
        </w:rPr>
        <w:t xml:space="preserve"> collected </w:t>
      </w:r>
      <w:r w:rsidR="00B6005B">
        <w:rPr>
          <w:rFonts w:ascii="Book Antiqua" w:eastAsia="Book Antiqua" w:hAnsi="Book Antiqua" w:cs="Book Antiqua"/>
          <w:color w:val="000000"/>
        </w:rPr>
        <w:t xml:space="preserve">the </w:t>
      </w:r>
      <w:r w:rsidRPr="00E2495E">
        <w:rPr>
          <w:rFonts w:ascii="Book Antiqua" w:eastAsia="Book Antiqua" w:hAnsi="Book Antiqua" w:cs="Book Antiqua"/>
          <w:color w:val="000000"/>
        </w:rPr>
        <w:t>data and participated in manuscript drafting; Yao</w:t>
      </w:r>
      <w:r w:rsidR="004911A6">
        <w:rPr>
          <w:rFonts w:ascii="Book Antiqua" w:eastAsia="Book Antiqua" w:hAnsi="Book Antiqua" w:cs="Book Antiqua"/>
          <w:color w:val="000000"/>
        </w:rPr>
        <w:t xml:space="preserve"> J</w:t>
      </w:r>
      <w:r w:rsidRPr="00E2495E">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 </w:t>
      </w:r>
    </w:p>
    <w:p w14:paraId="4243DF4A" w14:textId="77777777" w:rsidR="00A77B3E" w:rsidRPr="00E2495E" w:rsidRDefault="00A77B3E" w:rsidP="00E2495E">
      <w:pPr>
        <w:spacing w:line="360" w:lineRule="auto"/>
        <w:jc w:val="both"/>
        <w:rPr>
          <w:rFonts w:ascii="Book Antiqua" w:hAnsi="Book Antiqua"/>
        </w:rPr>
      </w:pPr>
    </w:p>
    <w:p w14:paraId="40D9FCB7" w14:textId="24142E7C"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lastRenderedPageBreak/>
        <w:t xml:space="preserve">Corresponding author: Jia Yao, MD, Doctor, </w:t>
      </w:r>
      <w:r w:rsidRPr="00E2495E">
        <w:rPr>
          <w:rFonts w:ascii="Book Antiqua" w:eastAsia="Book Antiqua" w:hAnsi="Book Antiqua" w:cs="Book Antiqua"/>
          <w:color w:val="000000"/>
        </w:rPr>
        <w:t>Department of Gastroenterology, Shanxi Bethune Hospital,</w:t>
      </w:r>
      <w:r w:rsidR="004911A6">
        <w:rPr>
          <w:rFonts w:ascii="Book Antiqua" w:eastAsia="Book Antiqua" w:hAnsi="Book Antiqua" w:cs="Book Antiqua"/>
          <w:color w:val="000000"/>
        </w:rPr>
        <w:t xml:space="preserve"> No.</w:t>
      </w:r>
      <w:r w:rsidRPr="00E2495E">
        <w:rPr>
          <w:rFonts w:ascii="Book Antiqua" w:eastAsia="Book Antiqua" w:hAnsi="Book Antiqua" w:cs="Book Antiqua"/>
          <w:color w:val="000000"/>
        </w:rPr>
        <w:t xml:space="preserve"> 99 Longcheng Street, Xiaodian District,</w:t>
      </w:r>
      <w:r w:rsidR="004911A6">
        <w:rPr>
          <w:rFonts w:ascii="Book Antiqua" w:eastAsia="Book Antiqua" w:hAnsi="Book Antiqua" w:cs="Book Antiqua"/>
          <w:color w:val="000000"/>
        </w:rPr>
        <w:t xml:space="preserve"> </w:t>
      </w:r>
      <w:r w:rsidRPr="00E2495E">
        <w:rPr>
          <w:rFonts w:ascii="Book Antiqua" w:eastAsia="Book Antiqua" w:hAnsi="Book Antiqua" w:cs="Book Antiqua"/>
          <w:color w:val="000000"/>
        </w:rPr>
        <w:t>Taiyuan 030012, Shanxi</w:t>
      </w:r>
      <w:r w:rsidR="004911A6">
        <w:rPr>
          <w:rFonts w:ascii="Book Antiqua" w:eastAsia="Book Antiqua" w:hAnsi="Book Antiqua" w:cs="Book Antiqua"/>
          <w:color w:val="000000"/>
        </w:rPr>
        <w:t xml:space="preserve"> Province</w:t>
      </w:r>
      <w:r w:rsidRPr="00E2495E">
        <w:rPr>
          <w:rFonts w:ascii="Book Antiqua" w:eastAsia="Book Antiqua" w:hAnsi="Book Antiqua" w:cs="Book Antiqua"/>
          <w:color w:val="000000"/>
        </w:rPr>
        <w:t>, China. 18535118814@163.com</w:t>
      </w:r>
    </w:p>
    <w:p w14:paraId="05C0C25D" w14:textId="77777777" w:rsidR="00A77B3E" w:rsidRPr="00E2495E" w:rsidRDefault="00A77B3E" w:rsidP="00E2495E">
      <w:pPr>
        <w:spacing w:line="360" w:lineRule="auto"/>
        <w:jc w:val="both"/>
        <w:rPr>
          <w:rFonts w:ascii="Book Antiqua" w:hAnsi="Book Antiqua"/>
        </w:rPr>
      </w:pPr>
    </w:p>
    <w:p w14:paraId="4EED210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Received: </w:t>
      </w:r>
      <w:r w:rsidRPr="00E2495E">
        <w:rPr>
          <w:rFonts w:ascii="Book Antiqua" w:eastAsia="Book Antiqua" w:hAnsi="Book Antiqua" w:cs="Book Antiqua"/>
          <w:color w:val="000000"/>
        </w:rPr>
        <w:t>December 10, 2020</w:t>
      </w:r>
    </w:p>
    <w:p w14:paraId="7A181E8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Revised: </w:t>
      </w:r>
      <w:r w:rsidRPr="00E2495E">
        <w:rPr>
          <w:rFonts w:ascii="Book Antiqua" w:eastAsia="Book Antiqua" w:hAnsi="Book Antiqua" w:cs="Book Antiqua"/>
          <w:color w:val="000000"/>
        </w:rPr>
        <w:t>January 20, 2021</w:t>
      </w:r>
    </w:p>
    <w:p w14:paraId="0A58AC04" w14:textId="5913C210" w:rsidR="00A77B3E" w:rsidRPr="00D65DE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Accepted: </w:t>
      </w:r>
      <w:r w:rsidR="00D65DEE" w:rsidRPr="00D65DEE">
        <w:rPr>
          <w:rFonts w:ascii="Book Antiqua" w:eastAsia="Book Antiqua" w:hAnsi="Book Antiqua" w:cs="Book Antiqua"/>
          <w:color w:val="000000"/>
        </w:rPr>
        <w:t>March 24, 2021</w:t>
      </w:r>
    </w:p>
    <w:p w14:paraId="06CBD020" w14:textId="6AC02B4B" w:rsidR="00A77B3E" w:rsidRPr="00697363"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Published online:</w:t>
      </w:r>
      <w:r w:rsidRPr="00697363">
        <w:rPr>
          <w:rFonts w:ascii="Book Antiqua" w:eastAsia="Book Antiqua" w:hAnsi="Book Antiqua" w:cs="Book Antiqua"/>
          <w:color w:val="000000"/>
        </w:rPr>
        <w:t xml:space="preserve"> </w:t>
      </w:r>
      <w:r w:rsidR="00697363" w:rsidRPr="00697363">
        <w:rPr>
          <w:rFonts w:ascii="Book Antiqua" w:eastAsia="Book Antiqua" w:hAnsi="Book Antiqua" w:cs="Book Antiqua"/>
          <w:color w:val="000000"/>
        </w:rPr>
        <w:t>June 16, 2021</w:t>
      </w:r>
    </w:p>
    <w:p w14:paraId="53FC17B7" w14:textId="77777777" w:rsidR="00A77B3E" w:rsidRPr="00E2495E" w:rsidRDefault="00A77B3E" w:rsidP="00E2495E">
      <w:pPr>
        <w:spacing w:line="360" w:lineRule="auto"/>
        <w:jc w:val="both"/>
        <w:rPr>
          <w:rFonts w:ascii="Book Antiqua" w:hAnsi="Book Antiqua"/>
        </w:rPr>
        <w:sectPr w:rsidR="00A77B3E" w:rsidRPr="00E2495E">
          <w:footerReference w:type="default" r:id="rId6"/>
          <w:pgSz w:w="12240" w:h="15840"/>
          <w:pgMar w:top="1440" w:right="1440" w:bottom="1440" w:left="1440" w:header="720" w:footer="720" w:gutter="0"/>
          <w:cols w:space="720"/>
          <w:docGrid w:linePitch="360"/>
        </w:sectPr>
      </w:pPr>
    </w:p>
    <w:p w14:paraId="0926BB4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Abstract</w:t>
      </w:r>
    </w:p>
    <w:p w14:paraId="2DEA2BB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BACKGROUND</w:t>
      </w:r>
    </w:p>
    <w:p w14:paraId="0B9BDE6E" w14:textId="57C44B9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Azathioprine (AZA) and its close analog 6-mercaptopurine are thiopurines widely used in the treatment of patients with cancer, organ transplantation, and autoimmune or inflammatory diseases, including systemic lupus erythematosus. Bone marrow inhibition is a common side effect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and severe bone marrow inhibition is related to decreased </w:t>
      </w:r>
      <w:r w:rsidR="00187C4E" w:rsidRPr="00187C4E">
        <w:rPr>
          <w:rFonts w:ascii="Book Antiqua" w:eastAsia="Book Antiqua" w:hAnsi="Book Antiqua" w:cs="Book Antiqua"/>
          <w:color w:val="000000"/>
        </w:rPr>
        <w:t>thiopurine S-methyltransferase</w:t>
      </w:r>
      <w:r w:rsidR="00187C4E" w:rsidRPr="00187C4E">
        <w:rPr>
          <w:rFonts w:ascii="Book Antiqua" w:eastAsia="Book Antiqua" w:hAnsi="Book Antiqua" w:cs="Book Antiqua" w:hint="eastAsia"/>
          <w:color w:val="000000"/>
        </w:rPr>
        <w:t xml:space="preserve"> (T</w:t>
      </w:r>
      <w:r w:rsidR="00187C4E" w:rsidRPr="00187C4E">
        <w:rPr>
          <w:rFonts w:ascii="Book Antiqua" w:eastAsia="Book Antiqua" w:hAnsi="Book Antiqua" w:cs="Book Antiqua"/>
          <w:color w:val="000000"/>
        </w:rPr>
        <w:t>PMT</w:t>
      </w:r>
      <w:r w:rsidR="00187C4E" w:rsidRPr="00187C4E">
        <w:rPr>
          <w:rFonts w:ascii="Book Antiqua" w:eastAsia="Book Antiqua" w:hAnsi="Book Antiqua" w:cs="Book Antiqua" w:hint="eastAsia"/>
          <w:color w:val="000000"/>
        </w:rPr>
        <w:t>)</w:t>
      </w:r>
      <w:r w:rsidRPr="00E2495E">
        <w:rPr>
          <w:rFonts w:ascii="Book Antiqua" w:eastAsia="Book Antiqua" w:hAnsi="Book Antiqua" w:cs="Book Antiqua"/>
          <w:color w:val="000000"/>
        </w:rPr>
        <w:t xml:space="preserve"> activity. </w:t>
      </w:r>
    </w:p>
    <w:p w14:paraId="75B0D85B" w14:textId="77777777" w:rsidR="00A77B3E" w:rsidRPr="00E2495E" w:rsidRDefault="00A77B3E" w:rsidP="00E2495E">
      <w:pPr>
        <w:spacing w:line="360" w:lineRule="auto"/>
        <w:jc w:val="both"/>
        <w:rPr>
          <w:rFonts w:ascii="Book Antiqua" w:hAnsi="Book Antiqua"/>
        </w:rPr>
      </w:pPr>
    </w:p>
    <w:p w14:paraId="1C69165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CASE SUMMARY</w:t>
      </w:r>
    </w:p>
    <w:p w14:paraId="0689F3A0" w14:textId="5B62261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We herein report a patient with proliferative lupus nephritis who was using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for maintenance therapy, had no</w:t>
      </w:r>
      <w:r w:rsidRPr="00E2495E">
        <w:rPr>
          <w:rStyle w:val="15"/>
          <w:rFonts w:ascii="Book Antiqua" w:eastAsia="Book Antiqua" w:hAnsi="Book Antiqua" w:cs="Book Antiqua"/>
          <w:color w:val="000000"/>
        </w:rPr>
        <w:t xml:space="preserve"> common </w:t>
      </w:r>
      <w:r w:rsidRPr="00E2495E">
        <w:rPr>
          <w:rStyle w:val="15"/>
          <w:rFonts w:ascii="Book Antiqua" w:eastAsia="Book Antiqua" w:hAnsi="Book Antiqua" w:cs="Book Antiqua"/>
          <w:i/>
          <w:iCs/>
          <w:color w:val="000000"/>
        </w:rPr>
        <w:t>TPMT</w:t>
      </w:r>
      <w:r w:rsidRPr="00E2495E">
        <w:rPr>
          <w:rStyle w:val="15"/>
          <w:rFonts w:ascii="Book Antiqua" w:eastAsia="Book Antiqua" w:hAnsi="Book Antiqua" w:cs="Book Antiqua"/>
          <w:color w:val="000000"/>
        </w:rPr>
        <w:t xml:space="preserve"> pathogenic site mutations</w:t>
      </w:r>
      <w:r w:rsidR="00B6005B">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w:t>
      </w:r>
      <w:r w:rsidRPr="00E2495E">
        <w:rPr>
          <w:rFonts w:ascii="Book Antiqua" w:eastAsia="Book Antiqua" w:hAnsi="Book Antiqua" w:cs="Book Antiqua"/>
          <w:color w:val="000000"/>
        </w:rPr>
        <w:t>exhibited severe bone marrow inhibition on the 15</w:t>
      </w:r>
      <w:r w:rsidRPr="00E2495E">
        <w:rPr>
          <w:rFonts w:ascii="Book Antiqua" w:eastAsia="Book Antiqua" w:hAnsi="Book Antiqua" w:cs="Book Antiqua"/>
          <w:color w:val="000000"/>
          <w:vertAlign w:val="superscript"/>
        </w:rPr>
        <w:t>th</w:t>
      </w:r>
      <w:r w:rsidRPr="00E2495E">
        <w:rPr>
          <w:rFonts w:ascii="Book Antiqua" w:eastAsia="Book Antiqua" w:hAnsi="Book Antiqua" w:cs="Book Antiqua"/>
          <w:color w:val="000000"/>
        </w:rPr>
        <w:t xml:space="preserve"> day after oral administration. </w:t>
      </w:r>
    </w:p>
    <w:p w14:paraId="7553FE90" w14:textId="77777777" w:rsidR="00A77B3E" w:rsidRPr="00E2495E" w:rsidRDefault="00A77B3E" w:rsidP="00E2495E">
      <w:pPr>
        <w:spacing w:line="360" w:lineRule="auto"/>
        <w:jc w:val="both"/>
        <w:rPr>
          <w:rFonts w:ascii="Book Antiqua" w:hAnsi="Book Antiqua"/>
        </w:rPr>
      </w:pPr>
    </w:p>
    <w:p w14:paraId="3259D86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CONCLUSION</w:t>
      </w:r>
    </w:p>
    <w:p w14:paraId="3BD04F5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This report alerts physicians to the fact that even though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has no common pathogenic site mutation, severe myelosuppression may also occur. </w:t>
      </w:r>
    </w:p>
    <w:p w14:paraId="417FDD72" w14:textId="77777777" w:rsidR="00A77B3E" w:rsidRPr="00E2495E" w:rsidRDefault="00A77B3E" w:rsidP="00E2495E">
      <w:pPr>
        <w:spacing w:line="360" w:lineRule="auto"/>
        <w:jc w:val="both"/>
        <w:rPr>
          <w:rFonts w:ascii="Book Antiqua" w:hAnsi="Book Antiqua"/>
        </w:rPr>
      </w:pPr>
    </w:p>
    <w:p w14:paraId="615F4464" w14:textId="46A07BD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Key Words: </w:t>
      </w:r>
      <w:r w:rsidR="004911A6">
        <w:rPr>
          <w:rFonts w:ascii="Book Antiqua" w:eastAsia="Book Antiqua" w:hAnsi="Book Antiqua" w:cs="Book Antiqua"/>
          <w:color w:val="000000"/>
        </w:rPr>
        <w:t>A</w:t>
      </w:r>
      <w:r w:rsidRPr="00E2495E">
        <w:rPr>
          <w:rFonts w:ascii="Book Antiqua" w:eastAsia="Book Antiqua" w:hAnsi="Book Antiqua" w:cs="Book Antiqua"/>
          <w:color w:val="000000"/>
        </w:rPr>
        <w:t>zathioprine</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187C4E" w:rsidRPr="00CB7CE6">
        <w:rPr>
          <w:rFonts w:ascii="Book Antiqua" w:eastAsia="Book Antiqua" w:hAnsi="Book Antiqua" w:cs="Book Antiqua"/>
          <w:iCs/>
          <w:color w:val="000000"/>
        </w:rPr>
        <w:t>Thiopurine S-methyltransferase</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B</w:t>
      </w:r>
      <w:r w:rsidRPr="00E2495E">
        <w:rPr>
          <w:rFonts w:ascii="Book Antiqua" w:eastAsia="Book Antiqua" w:hAnsi="Book Antiqua" w:cs="Book Antiqua"/>
          <w:color w:val="000000"/>
        </w:rPr>
        <w:t>one marrow inhibition</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L</w:t>
      </w:r>
      <w:r w:rsidRPr="00E2495E">
        <w:rPr>
          <w:rFonts w:ascii="Book Antiqua" w:eastAsia="Book Antiqua" w:hAnsi="Book Antiqua" w:cs="Book Antiqua"/>
          <w:color w:val="000000"/>
        </w:rPr>
        <w:t>upus nephritis</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4911A6">
        <w:rPr>
          <w:rFonts w:ascii="Book Antiqua" w:eastAsia="Book Antiqua" w:hAnsi="Book Antiqua" w:cs="Book Antiqua"/>
          <w:color w:val="000000"/>
        </w:rPr>
        <w:t>C</w:t>
      </w:r>
      <w:r w:rsidRPr="00E2495E">
        <w:rPr>
          <w:rFonts w:ascii="Book Antiqua" w:eastAsia="Book Antiqua" w:hAnsi="Book Antiqua" w:cs="Book Antiqua"/>
          <w:color w:val="000000"/>
        </w:rPr>
        <w:t>ase report</w:t>
      </w:r>
    </w:p>
    <w:p w14:paraId="3370EE71" w14:textId="77777777" w:rsidR="00D31688" w:rsidRDefault="00D31688" w:rsidP="00D31688">
      <w:pPr>
        <w:spacing w:line="360" w:lineRule="auto"/>
        <w:jc w:val="both"/>
        <w:rPr>
          <w:lang w:eastAsia="zh-CN"/>
        </w:rPr>
      </w:pPr>
    </w:p>
    <w:p w14:paraId="0E7826C4" w14:textId="77777777" w:rsidR="00D31688" w:rsidRDefault="00D31688" w:rsidP="00D3168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273EC25" w14:textId="77777777" w:rsidR="00D31688" w:rsidRDefault="00D31688" w:rsidP="00D31688">
      <w:pPr>
        <w:spacing w:line="360" w:lineRule="auto"/>
        <w:jc w:val="both"/>
        <w:rPr>
          <w:lang w:eastAsia="zh-CN"/>
        </w:rPr>
      </w:pPr>
    </w:p>
    <w:p w14:paraId="435D0068" w14:textId="234D6E2F" w:rsidR="00297A19" w:rsidRDefault="00D31688" w:rsidP="00E2495E">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D835DC" w:rsidRPr="00E2495E">
        <w:rPr>
          <w:rFonts w:ascii="Book Antiqua" w:eastAsia="Book Antiqua" w:hAnsi="Book Antiqua" w:cs="Book Antiqua"/>
          <w:color w:val="000000"/>
        </w:rPr>
        <w:t>Zhou X</w:t>
      </w:r>
      <w:r w:rsidR="004911A6">
        <w:rPr>
          <w:rFonts w:ascii="Book Antiqua" w:eastAsia="Book Antiqua" w:hAnsi="Book Antiqua" w:cs="Book Antiqua"/>
          <w:color w:val="000000"/>
        </w:rPr>
        <w:t>S</w:t>
      </w:r>
      <w:r w:rsidR="00D835DC" w:rsidRPr="00E2495E">
        <w:rPr>
          <w:rFonts w:ascii="Book Antiqua" w:eastAsia="Book Antiqua" w:hAnsi="Book Antiqua" w:cs="Book Antiqua"/>
          <w:color w:val="000000"/>
        </w:rPr>
        <w:t>, Lu Y</w:t>
      </w:r>
      <w:r w:rsidR="004911A6">
        <w:rPr>
          <w:rFonts w:ascii="Book Antiqua" w:eastAsia="Book Antiqua" w:hAnsi="Book Antiqua" w:cs="Book Antiqua"/>
          <w:color w:val="000000"/>
        </w:rPr>
        <w:t>Y</w:t>
      </w:r>
      <w:r w:rsidR="00D835DC" w:rsidRPr="00E2495E">
        <w:rPr>
          <w:rFonts w:ascii="Book Antiqua" w:eastAsia="Book Antiqua" w:hAnsi="Book Antiqua" w:cs="Book Antiqua"/>
          <w:color w:val="000000"/>
        </w:rPr>
        <w:t>, Gao Y</w:t>
      </w:r>
      <w:r w:rsidR="004911A6">
        <w:rPr>
          <w:rFonts w:ascii="Book Antiqua" w:eastAsia="Book Antiqua" w:hAnsi="Book Antiqua" w:cs="Book Antiqua"/>
          <w:color w:val="000000"/>
        </w:rPr>
        <w:t>F</w:t>
      </w:r>
      <w:r w:rsidR="00D835DC" w:rsidRPr="00E2495E">
        <w:rPr>
          <w:rFonts w:ascii="Book Antiqua" w:eastAsia="Book Antiqua" w:hAnsi="Book Antiqua" w:cs="Book Antiqua"/>
          <w:color w:val="000000"/>
        </w:rPr>
        <w:t xml:space="preserve">, Shao W, Yao J. </w:t>
      </w:r>
      <w:r w:rsidR="00CC37E2" w:rsidRPr="00CC37E2">
        <w:rPr>
          <w:rFonts w:ascii="Book Antiqua" w:eastAsia="Book Antiqua" w:hAnsi="Book Antiqua" w:cs="Book Antiqua"/>
          <w:color w:val="000000"/>
        </w:rPr>
        <w:t xml:space="preserve">Bone marrow inhibition induced by azathioprine </w:t>
      </w:r>
      <w:r w:rsidR="00B6005B">
        <w:rPr>
          <w:rFonts w:ascii="Book Antiqua" w:eastAsia="Book Antiqua" w:hAnsi="Book Antiqua" w:cs="Book Antiqua"/>
          <w:color w:val="000000"/>
        </w:rPr>
        <w:t>in a patient</w:t>
      </w:r>
      <w:r w:rsidR="00B6005B" w:rsidRPr="00CC37E2">
        <w:rPr>
          <w:rFonts w:ascii="Book Antiqua" w:eastAsia="Book Antiqua" w:hAnsi="Book Antiqua" w:cs="Book Antiqua"/>
          <w:color w:val="000000"/>
        </w:rPr>
        <w:t xml:space="preserve"> </w:t>
      </w:r>
      <w:r w:rsidR="00CC37E2" w:rsidRPr="00CC37E2">
        <w:rPr>
          <w:rFonts w:ascii="Book Antiqua" w:eastAsia="Book Antiqua" w:hAnsi="Book Antiqua" w:cs="Book Antiqua"/>
          <w:color w:val="000000"/>
        </w:rPr>
        <w:t>without mutation in the thiopurine S-methyltransferase pathogenic site: A case report</w:t>
      </w:r>
      <w:r w:rsidR="00D835DC" w:rsidRPr="00E2495E">
        <w:rPr>
          <w:rFonts w:ascii="Book Antiqua" w:eastAsia="Book Antiqua" w:hAnsi="Book Antiqua" w:cs="Book Antiqua"/>
          <w:color w:val="000000"/>
        </w:rPr>
        <w:t xml:space="preserve">. </w:t>
      </w:r>
      <w:r w:rsidR="00D835DC" w:rsidRPr="00E2495E">
        <w:rPr>
          <w:rFonts w:ascii="Book Antiqua" w:eastAsia="Book Antiqua" w:hAnsi="Book Antiqua" w:cs="Book Antiqua"/>
          <w:i/>
          <w:iCs/>
          <w:color w:val="000000"/>
        </w:rPr>
        <w:t>World J Clin Cases</w:t>
      </w:r>
      <w:r w:rsidR="00D835DC" w:rsidRPr="00E2495E">
        <w:rPr>
          <w:rFonts w:ascii="Book Antiqua" w:eastAsia="Book Antiqua" w:hAnsi="Book Antiqua" w:cs="Book Antiqua"/>
          <w:color w:val="000000"/>
        </w:rPr>
        <w:t xml:space="preserve"> 2021; </w:t>
      </w:r>
      <w:r w:rsidR="002758B3" w:rsidRPr="002758B3">
        <w:rPr>
          <w:rFonts w:ascii="Book Antiqua" w:eastAsia="Book Antiqua" w:hAnsi="Book Antiqua" w:cs="Book Antiqua"/>
          <w:color w:val="000000"/>
        </w:rPr>
        <w:t>4230-4237</w:t>
      </w:r>
      <w:r w:rsidR="00C7455E">
        <w:rPr>
          <w:rFonts w:ascii="Book Antiqua" w:eastAsia="Book Antiqua" w:hAnsi="Book Antiqua" w:cs="Book Antiqua"/>
          <w:color w:val="000000"/>
        </w:rPr>
        <w:t xml:space="preserve"> </w:t>
      </w:r>
    </w:p>
    <w:p w14:paraId="3B3CC9D2" w14:textId="712F254D" w:rsidR="00297A19" w:rsidRDefault="00C7455E" w:rsidP="00E249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URL: </w:t>
      </w:r>
      <w:hyperlink r:id="rId7" w:history="1">
        <w:r w:rsidR="00297A19" w:rsidRPr="00297A19">
          <w:rPr>
            <w:rStyle w:val="ae"/>
            <w:rFonts w:ascii="Book Antiqua" w:eastAsia="Book Antiqua" w:hAnsi="Book Antiqua" w:cs="Book Antiqua"/>
            <w:color w:val="000000" w:themeColor="text1"/>
            <w:u w:val="none"/>
          </w:rPr>
          <w:t>https://www.wjgnet.com/2307-8960/full/v9/i17/</w:t>
        </w:r>
        <w:r w:rsidR="002758B3" w:rsidRPr="002758B3">
          <w:rPr>
            <w:rFonts w:ascii="Book Antiqua" w:eastAsia="Book Antiqua" w:hAnsi="Book Antiqua" w:cs="Book Antiqua"/>
            <w:color w:val="000000"/>
          </w:rPr>
          <w:t>4230</w:t>
        </w:r>
        <w:r w:rsidR="00297A19" w:rsidRPr="00297A19">
          <w:rPr>
            <w:rStyle w:val="ae"/>
            <w:rFonts w:ascii="Book Antiqua" w:eastAsia="Book Antiqua" w:hAnsi="Book Antiqua" w:cs="Book Antiqua"/>
            <w:color w:val="000000" w:themeColor="text1"/>
            <w:u w:val="none"/>
          </w:rPr>
          <w:t>.htm</w:t>
        </w:r>
      </w:hyperlink>
      <w:r>
        <w:rPr>
          <w:rFonts w:ascii="Book Antiqua" w:eastAsia="Book Antiqua" w:hAnsi="Book Antiqua" w:cs="Book Antiqua"/>
          <w:color w:val="000000"/>
        </w:rPr>
        <w:t xml:space="preserve"> </w:t>
      </w:r>
    </w:p>
    <w:p w14:paraId="20D9DDB8" w14:textId="5C9598B3" w:rsidR="00A77B3E" w:rsidRDefault="00C7455E" w:rsidP="00E249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DOI: https://dx.doi.org/10.12998/wjcc.v9.i17.</w:t>
      </w:r>
      <w:r w:rsidR="00297A19" w:rsidRPr="00297A19">
        <w:rPr>
          <w:rFonts w:ascii="Book Antiqua" w:eastAsia="Book Antiqua" w:hAnsi="Book Antiqua" w:cs="Book Antiqua"/>
          <w:color w:val="000000"/>
        </w:rPr>
        <w:t xml:space="preserve"> </w:t>
      </w:r>
      <w:r w:rsidR="002758B3" w:rsidRPr="002758B3">
        <w:rPr>
          <w:rFonts w:ascii="Book Antiqua" w:eastAsia="Book Antiqua" w:hAnsi="Book Antiqua" w:cs="Book Antiqua"/>
          <w:color w:val="000000"/>
        </w:rPr>
        <w:t>4230</w:t>
      </w:r>
    </w:p>
    <w:p w14:paraId="359F85E2" w14:textId="77777777" w:rsidR="00C7455E" w:rsidRPr="00E2495E" w:rsidRDefault="00C7455E" w:rsidP="00E2495E">
      <w:pPr>
        <w:spacing w:line="360" w:lineRule="auto"/>
        <w:jc w:val="both"/>
        <w:rPr>
          <w:rFonts w:ascii="Book Antiqua" w:hAnsi="Book Antiqua"/>
        </w:rPr>
      </w:pPr>
    </w:p>
    <w:p w14:paraId="7DB71C05" w14:textId="5A327DAB" w:rsidR="00A77B3E" w:rsidRPr="004911A6"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b/>
          <w:bCs/>
          <w:color w:val="000000"/>
        </w:rPr>
        <w:lastRenderedPageBreak/>
        <w:t xml:space="preserve">Core Tip: </w:t>
      </w:r>
      <w:r w:rsidR="00187C4E" w:rsidRPr="00CB7CE6">
        <w:rPr>
          <w:rFonts w:ascii="Book Antiqua" w:eastAsia="Book Antiqua" w:hAnsi="Book Antiqua" w:cs="Book Antiqua"/>
          <w:iCs/>
          <w:color w:val="000000"/>
        </w:rPr>
        <w:t>Thiopurine S-methyltransferase</w:t>
      </w:r>
      <w:r w:rsidR="00187C4E" w:rsidRPr="00187C4E">
        <w:rPr>
          <w:rFonts w:ascii="Book Antiqua" w:eastAsia="Book Antiqua" w:hAnsi="Book Antiqua" w:cs="Book Antiqua" w:hint="eastAsia"/>
          <w:color w:val="000000"/>
        </w:rPr>
        <w:t xml:space="preserve"> (</w:t>
      </w:r>
      <w:r w:rsidR="00187C4E" w:rsidRPr="00187C4E">
        <w:rPr>
          <w:rFonts w:ascii="Book Antiqua" w:eastAsia="Book Antiqua" w:hAnsi="Book Antiqua" w:cs="Book Antiqua" w:hint="eastAsia"/>
          <w:i/>
          <w:iCs/>
          <w:color w:val="000000"/>
        </w:rPr>
        <w:t>T</w:t>
      </w:r>
      <w:r w:rsidR="00187C4E" w:rsidRPr="00187C4E">
        <w:rPr>
          <w:rFonts w:ascii="Book Antiqua" w:eastAsia="Book Antiqua" w:hAnsi="Book Antiqua" w:cs="Book Antiqua"/>
          <w:i/>
          <w:iCs/>
          <w:color w:val="000000"/>
        </w:rPr>
        <w:t>PMT</w:t>
      </w:r>
      <w:r w:rsidR="00187C4E" w:rsidRPr="00187C4E">
        <w:rPr>
          <w:rFonts w:ascii="Book Antiqua" w:eastAsia="Book Antiqua" w:hAnsi="Book Antiqua" w:cs="Book Antiqua" w:hint="eastAsia"/>
          <w:color w:val="000000"/>
        </w:rPr>
        <w:t>)</w:t>
      </w:r>
      <w:r w:rsidRPr="00E2495E">
        <w:rPr>
          <w:rFonts w:ascii="Book Antiqua" w:eastAsia="Book Antiqua" w:hAnsi="Book Antiqua" w:cs="Book Antiqua"/>
          <w:color w:val="000000"/>
        </w:rPr>
        <w:t xml:space="preserve"> gene polymorphism testing alone cannot fully predict the occurrence of azathioprine</w:t>
      </w:r>
      <w:r w:rsidR="004911A6" w:rsidRPr="004911A6">
        <w:rPr>
          <w:rFonts w:ascii="Book Antiqua" w:eastAsia="Book Antiqua" w:hAnsi="Book Antiqua" w:cs="Book Antiqua"/>
          <w:color w:val="000000"/>
        </w:rPr>
        <w:t xml:space="preserve"> </w:t>
      </w:r>
      <w:r w:rsidR="004911A6">
        <w:rPr>
          <w:rFonts w:ascii="Book Antiqua" w:eastAsia="Book Antiqua" w:hAnsi="Book Antiqua" w:cs="Book Antiqua"/>
          <w:color w:val="000000"/>
        </w:rPr>
        <w:t>(</w:t>
      </w:r>
      <w:r w:rsidR="004911A6" w:rsidRPr="00E2495E">
        <w:rPr>
          <w:rFonts w:ascii="Book Antiqua" w:eastAsia="Book Antiqua" w:hAnsi="Book Antiqua" w:cs="Book Antiqua"/>
          <w:color w:val="000000"/>
        </w:rPr>
        <w:t>AZA</w:t>
      </w:r>
      <w:r w:rsidR="004911A6">
        <w:rPr>
          <w:rFonts w:ascii="Book Antiqua" w:eastAsia="Book Antiqua" w:hAnsi="Book Antiqua" w:cs="Book Antiqua"/>
          <w:color w:val="000000"/>
        </w:rPr>
        <w:t>)</w:t>
      </w:r>
      <w:r w:rsidRPr="00E2495E">
        <w:rPr>
          <w:rFonts w:ascii="Book Antiqua" w:eastAsia="Book Antiqua" w:hAnsi="Book Antiqua" w:cs="Book Antiqua"/>
          <w:color w:val="000000"/>
        </w:rPr>
        <w:t xml:space="preserve"> adverse reactions such as bone marrow inhibition and alopecia. According to the literature mentioned above</w:t>
      </w:r>
      <w:r w:rsidRPr="00E2495E">
        <w:rPr>
          <w:rFonts w:ascii="Book Antiqua" w:eastAsia="Book Antiqua" w:hAnsi="Book Antiqua" w:cs="Book Antiqua"/>
          <w:i/>
          <w:iCs/>
          <w:color w:val="000000"/>
        </w:rPr>
        <w:t xml:space="preserve">, </w:t>
      </w:r>
      <w:r w:rsidR="00187C4E" w:rsidRPr="00CB7CE6">
        <w:rPr>
          <w:rFonts w:ascii="Book Antiqua" w:eastAsia="Book Antiqua" w:hAnsi="Book Antiqua" w:cs="Book Antiqua"/>
          <w:iCs/>
          <w:color w:val="000000"/>
        </w:rPr>
        <w:t>nucleoside diphosphate-linked moiety X motif 15</w:t>
      </w:r>
      <w:r w:rsidRPr="00E2495E">
        <w:rPr>
          <w:rFonts w:ascii="Book Antiqua" w:eastAsia="Book Antiqua" w:hAnsi="Book Antiqua" w:cs="Book Antiqua"/>
          <w:color w:val="000000"/>
        </w:rPr>
        <w:t xml:space="preserve"> </w:t>
      </w:r>
      <w:r w:rsidR="00187C4E">
        <w:rPr>
          <w:rFonts w:ascii="Book Antiqua" w:eastAsia="Book Antiqua" w:hAnsi="Book Antiqua" w:cs="Book Antiqua"/>
          <w:color w:val="000000"/>
        </w:rPr>
        <w:t>(</w:t>
      </w:r>
      <w:r w:rsidR="00187C4E" w:rsidRPr="00E2495E">
        <w:rPr>
          <w:rFonts w:ascii="Book Antiqua" w:eastAsia="Book Antiqua" w:hAnsi="Book Antiqua" w:cs="Book Antiqua"/>
          <w:i/>
          <w:iCs/>
          <w:color w:val="000000"/>
        </w:rPr>
        <w:t>NUDT 15</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and </w:t>
      </w:r>
      <w:r w:rsidR="00C5317E" w:rsidRPr="00CB7CE6">
        <w:rPr>
          <w:rFonts w:ascii="Book Antiqua" w:eastAsia="Book Antiqua" w:hAnsi="Book Antiqua" w:cs="Book Antiqua"/>
          <w:iCs/>
          <w:color w:val="000000"/>
        </w:rPr>
        <w:t>inosine triphosphate pyrophosphatase</w:t>
      </w:r>
      <w:r w:rsidR="00C5317E" w:rsidRPr="00E2495E">
        <w:rPr>
          <w:rFonts w:ascii="Book Antiqua" w:eastAsia="Book Antiqua" w:hAnsi="Book Antiqua" w:cs="Book Antiqua"/>
          <w:color w:val="000000"/>
        </w:rPr>
        <w:t xml:space="preserve"> (</w:t>
      </w:r>
      <w:r w:rsidR="00C5317E" w:rsidRPr="00C5317E">
        <w:rPr>
          <w:rFonts w:ascii="Book Antiqua" w:eastAsia="Book Antiqua" w:hAnsi="Book Antiqua" w:cs="Book Antiqua"/>
          <w:i/>
          <w:iCs/>
          <w:color w:val="000000"/>
        </w:rPr>
        <w:t>ITPA</w:t>
      </w:r>
      <w:r w:rsidR="00C5317E"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gene polymorphism tests should also be performed to predict 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and further guide initial medication. On the other hand,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should be used with caution, and whole blood examination and liver and kidney function should be closely monitored during the entire treatment with AZA regardless of the status of</w:t>
      </w:r>
      <w:r w:rsidRPr="00E2495E">
        <w:rPr>
          <w:rFonts w:ascii="Book Antiqua" w:eastAsia="Book Antiqua" w:hAnsi="Book Antiqua" w:cs="Book Antiqua"/>
          <w:i/>
          <w:iCs/>
          <w:color w:val="000000"/>
        </w:rPr>
        <w:t xml:space="preserve"> TPMT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 xml:space="preserve">NUDT </w:t>
      </w:r>
      <w:r w:rsidR="00B6005B" w:rsidRPr="00E2495E">
        <w:rPr>
          <w:rFonts w:ascii="Book Antiqua" w:eastAsia="Book Antiqua" w:hAnsi="Book Antiqua" w:cs="Book Antiqua"/>
          <w:i/>
          <w:iCs/>
          <w:color w:val="000000"/>
        </w:rPr>
        <w:t>15</w:t>
      </w:r>
      <w:r w:rsidR="00B6005B">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and </w:t>
      </w:r>
      <w:r w:rsidRPr="00E2495E">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w:t>
      </w:r>
    </w:p>
    <w:p w14:paraId="74BAEF9D" w14:textId="37192A6B" w:rsidR="00A77B3E" w:rsidRPr="00E2495E" w:rsidRDefault="004911A6" w:rsidP="00E2495E">
      <w:pPr>
        <w:spacing w:line="360" w:lineRule="auto"/>
        <w:jc w:val="both"/>
        <w:rPr>
          <w:rFonts w:ascii="Book Antiqua" w:hAnsi="Book Antiqua"/>
        </w:rPr>
      </w:pPr>
      <w:r>
        <w:rPr>
          <w:rFonts w:ascii="Book Antiqua" w:eastAsia="Book Antiqua" w:hAnsi="Book Antiqua" w:cs="Book Antiqua"/>
          <w:b/>
          <w:caps/>
          <w:color w:val="000000"/>
          <w:u w:val="single"/>
        </w:rPr>
        <w:br w:type="page"/>
      </w:r>
      <w:r w:rsidR="00D835DC" w:rsidRPr="00E2495E">
        <w:rPr>
          <w:rFonts w:ascii="Book Antiqua" w:eastAsia="Book Antiqua" w:hAnsi="Book Antiqua" w:cs="Book Antiqua"/>
          <w:b/>
          <w:caps/>
          <w:color w:val="000000"/>
          <w:u w:val="single"/>
        </w:rPr>
        <w:lastRenderedPageBreak/>
        <w:t>INTRODUCTION</w:t>
      </w:r>
    </w:p>
    <w:p w14:paraId="4287475B" w14:textId="08D82B8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Azathioprine (AZA) and its close analog 6-mercaptopurine (6-MP) are thiopurines widely used in the treatment of patients with autoimmune inner-ear disease</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1</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inflammatory bowel disease</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2</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hematological malignancies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3</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rheumatoid arthritis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4</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autoimmune bullous diseases</w:t>
      </w:r>
      <w:r w:rsidR="00E83FE8" w:rsidRPr="00E83FE8">
        <w:rPr>
          <w:rFonts w:ascii="Book Antiqua" w:eastAsia="Book Antiqua" w:hAnsi="Book Antiqua" w:cs="Book Antiqua"/>
          <w:color w:val="000000"/>
          <w:vertAlign w:val="superscript"/>
        </w:rPr>
        <w:t>[</w:t>
      </w:r>
      <w:r w:rsidRPr="00E83FE8">
        <w:rPr>
          <w:rFonts w:ascii="Book Antiqua" w:eastAsia="Book Antiqua" w:hAnsi="Book Antiqua" w:cs="Book Antiqua"/>
          <w:color w:val="000000"/>
          <w:vertAlign w:val="superscript"/>
        </w:rPr>
        <w:t>5</w:t>
      </w:r>
      <w:r w:rsidR="00B6005B" w:rsidRPr="00E83FE8">
        <w:rPr>
          <w:rFonts w:ascii="Book Antiqua" w:eastAsia="Book Antiqua" w:hAnsi="Book Antiqua" w:cs="Book Antiqua"/>
          <w:color w:val="000000"/>
          <w:vertAlign w:val="superscript"/>
        </w:rPr>
        <w:t>]</w:t>
      </w:r>
      <w:r w:rsidR="00B6005B" w:rsidRPr="00CB7CE6">
        <w:rPr>
          <w:rFonts w:ascii="Book Antiqua" w:eastAsia="Book Antiqua" w:hAnsi="Book Antiqua" w:cs="Book Antiqua"/>
          <w:color w:val="000000"/>
        </w:rPr>
        <w:t>,</w:t>
      </w:r>
      <w:r w:rsidR="00B6005B">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and systemic lupus erythematosus</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6</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Adverse reactions to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are mainly reflected as bone marrow inhibition, hepatic function lesions</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rash. Severe bone marrow inhibition is relevant to the patient’s </w:t>
      </w:r>
      <w:r w:rsidR="00187C4E">
        <w:rPr>
          <w:rFonts w:ascii="Book Antiqua" w:eastAsia="Book Antiqua" w:hAnsi="Book Antiqua" w:cs="Book Antiqua"/>
          <w:color w:val="000000"/>
        </w:rPr>
        <w:t>t</w:t>
      </w:r>
      <w:r w:rsidR="00187C4E" w:rsidRPr="00187C4E">
        <w:rPr>
          <w:rFonts w:ascii="Book Antiqua" w:eastAsia="Book Antiqua" w:hAnsi="Book Antiqua" w:cs="Book Antiqua"/>
          <w:color w:val="000000"/>
        </w:rPr>
        <w:t>hiopurine S-methyltransferase (TPMT)</w:t>
      </w:r>
      <w:r w:rsidRPr="00E2495E">
        <w:rPr>
          <w:rFonts w:ascii="Book Antiqua" w:eastAsia="Book Antiqua" w:hAnsi="Book Antiqua" w:cs="Book Antiqua"/>
          <w:color w:val="000000"/>
        </w:rPr>
        <w:t xml:space="preserve"> activity and the pathogenic mutation of </w:t>
      </w:r>
      <w:r w:rsidRPr="00E2495E">
        <w:rPr>
          <w:rFonts w:ascii="Book Antiqua" w:eastAsia="Book Antiqua" w:hAnsi="Book Antiqua" w:cs="Book Antiqua"/>
          <w:i/>
          <w:iCs/>
          <w:color w:val="000000"/>
        </w:rPr>
        <w:t>TPMT</w:t>
      </w:r>
      <w:r w:rsidR="00E83FE8" w:rsidRP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7</w:t>
      </w:r>
      <w:r w:rsidR="00E83FE8">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 case of severe bone marrow suppression in a patient with lupus nephritis induced by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but without a common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pathogenic site mutation is reported in this paper.</w:t>
      </w:r>
    </w:p>
    <w:p w14:paraId="5AC9487F" w14:textId="77777777" w:rsidR="00A77B3E" w:rsidRPr="00E2495E" w:rsidRDefault="00A77B3E" w:rsidP="00E2495E">
      <w:pPr>
        <w:spacing w:line="360" w:lineRule="auto"/>
        <w:jc w:val="both"/>
        <w:rPr>
          <w:rFonts w:ascii="Book Antiqua" w:hAnsi="Book Antiqua"/>
        </w:rPr>
      </w:pPr>
    </w:p>
    <w:p w14:paraId="76EF133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CASE PRESENTATION</w:t>
      </w:r>
    </w:p>
    <w:p w14:paraId="4CC01D96"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Chief complaints</w:t>
      </w:r>
    </w:p>
    <w:p w14:paraId="013BD4CB" w14:textId="6809821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patient, a 22-year-old </w:t>
      </w:r>
      <w:r w:rsidR="00B6005B">
        <w:rPr>
          <w:rFonts w:ascii="Book Antiqua" w:eastAsia="Book Antiqua" w:hAnsi="Book Antiqua" w:cs="Book Antiqua"/>
          <w:color w:val="000000"/>
        </w:rPr>
        <w:t>woman</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of Chinese Han ethnicity, was admitted for severe edema of the facial region and two lower limbs over 3 mo. </w:t>
      </w:r>
    </w:p>
    <w:p w14:paraId="6F5F264B" w14:textId="77777777" w:rsidR="00A77B3E" w:rsidRPr="00E2495E" w:rsidRDefault="00A77B3E" w:rsidP="00E2495E">
      <w:pPr>
        <w:spacing w:line="360" w:lineRule="auto"/>
        <w:jc w:val="both"/>
        <w:rPr>
          <w:rFonts w:ascii="Book Antiqua" w:hAnsi="Book Antiqua"/>
        </w:rPr>
      </w:pPr>
    </w:p>
    <w:p w14:paraId="304CEE1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History of present illness</w:t>
      </w:r>
    </w:p>
    <w:p w14:paraId="12564AC3" w14:textId="3F2EAB3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 developed</w:t>
      </w:r>
      <w:r w:rsidR="00B6005B" w:rsidRPr="00B6005B">
        <w:rPr>
          <w:rFonts w:ascii="Book Antiqua" w:eastAsia="Book Antiqua" w:hAnsi="Book Antiqua" w:cs="Book Antiqua"/>
          <w:color w:val="000000"/>
        </w:rPr>
        <w:t xml:space="preserve"> </w:t>
      </w:r>
      <w:r w:rsidR="00B6005B" w:rsidRPr="00E2495E">
        <w:rPr>
          <w:rFonts w:ascii="Book Antiqua" w:eastAsia="Book Antiqua" w:hAnsi="Book Antiqua" w:cs="Book Antiqua"/>
          <w:color w:val="000000"/>
        </w:rPr>
        <w:t>edema of</w:t>
      </w:r>
      <w:r w:rsidRPr="00E2495E">
        <w:rPr>
          <w:rFonts w:ascii="Book Antiqua" w:eastAsia="Book Antiqua" w:hAnsi="Book Antiqua" w:cs="Book Antiqua"/>
          <w:color w:val="000000"/>
        </w:rPr>
        <w:t xml:space="preserve"> the facial region and two lower limbs 3 mo ago without obvious cause.</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Her symptoms were mild in the morning and severe in the</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afternoon.</w:t>
      </w:r>
      <w:r w:rsidR="00E83FE8">
        <w:rPr>
          <w:rFonts w:ascii="Book Antiqua" w:eastAsia="Book Antiqua" w:hAnsi="Book Antiqua" w:cs="Book Antiqua"/>
          <w:color w:val="000000"/>
        </w:rPr>
        <w:t xml:space="preserve"> </w:t>
      </w:r>
      <w:r w:rsidRPr="00E2495E">
        <w:rPr>
          <w:rFonts w:ascii="Book Antiqua" w:eastAsia="Book Antiqua" w:hAnsi="Book Antiqua" w:cs="Book Antiqua"/>
          <w:color w:val="000000"/>
        </w:rPr>
        <w:t>At the same time</w:t>
      </w:r>
      <w:r w:rsidR="00E83FE8" w:rsidRPr="00E83FE8">
        <w:rPr>
          <w:rFonts w:ascii="Book Antiqua" w:eastAsia="宋体" w:hAnsi="Book Antiqua" w:cs="宋体"/>
          <w:color w:val="000000"/>
          <w:lang w:eastAsia="zh-CN"/>
        </w:rPr>
        <w:t>,</w:t>
      </w:r>
      <w:r w:rsidR="00E83FE8">
        <w:rPr>
          <w:rFonts w:ascii="宋体" w:eastAsia="宋体" w:hAnsi="宋体" w:cs="宋体"/>
          <w:color w:val="000000"/>
          <w:lang w:eastAsia="zh-CN"/>
        </w:rPr>
        <w:t xml:space="preserve"> </w:t>
      </w:r>
      <w:r w:rsidR="00B6005B" w:rsidRPr="00E2495E">
        <w:rPr>
          <w:rFonts w:ascii="Book Antiqua" w:eastAsia="Book Antiqua" w:hAnsi="Book Antiqua" w:cs="Book Antiqua"/>
          <w:color w:val="000000"/>
        </w:rPr>
        <w:t>s</w:t>
      </w:r>
      <w:r w:rsidRPr="00E2495E">
        <w:rPr>
          <w:rFonts w:ascii="Book Antiqua" w:eastAsia="Book Antiqua" w:hAnsi="Book Antiqua" w:cs="Book Antiqua"/>
          <w:color w:val="000000"/>
        </w:rPr>
        <w:t>he experienced migratory pain of the small joints, which improved after movement, as well as decreased urinary volume, weakness</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poor appetite. </w:t>
      </w:r>
    </w:p>
    <w:p w14:paraId="137ED7FC" w14:textId="77777777" w:rsidR="00A77B3E" w:rsidRPr="00E2495E" w:rsidRDefault="00A77B3E" w:rsidP="00E2495E">
      <w:pPr>
        <w:spacing w:line="360" w:lineRule="auto"/>
        <w:jc w:val="both"/>
        <w:rPr>
          <w:rFonts w:ascii="Book Antiqua" w:hAnsi="Book Antiqua"/>
        </w:rPr>
      </w:pPr>
    </w:p>
    <w:p w14:paraId="04309A6B"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History of past illness</w:t>
      </w:r>
    </w:p>
    <w:p w14:paraId="57A0B35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patient had a free previous medical history. </w:t>
      </w:r>
    </w:p>
    <w:p w14:paraId="5C60D227" w14:textId="77777777" w:rsidR="00A77B3E" w:rsidRPr="00E2495E" w:rsidRDefault="00A77B3E" w:rsidP="00E2495E">
      <w:pPr>
        <w:spacing w:line="360" w:lineRule="auto"/>
        <w:jc w:val="both"/>
        <w:rPr>
          <w:rFonts w:ascii="Book Antiqua" w:hAnsi="Book Antiqua"/>
        </w:rPr>
      </w:pPr>
    </w:p>
    <w:p w14:paraId="096B1C01"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Physical examination</w:t>
      </w:r>
    </w:p>
    <w:p w14:paraId="6D1E132D" w14:textId="4FD0E68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patient’s temperature was 36.6 °C, heart rate was 78 bpm, respiratory rate was 20 breaths per minute, blood pressure was 122/80 mmHg</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oxygen saturation in room air was 98%. The patient was conscious and she complied with the physician's physical </w:t>
      </w:r>
      <w:r w:rsidRPr="00E2495E">
        <w:rPr>
          <w:rFonts w:ascii="Book Antiqua" w:eastAsia="Book Antiqua" w:hAnsi="Book Antiqua" w:cs="Book Antiqua"/>
          <w:color w:val="000000"/>
        </w:rPr>
        <w:lastRenderedPageBreak/>
        <w:t>examination. Her</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heart, lungs, and abdomen examinations showed no significant abnormalities, no percussion pain in her kidney area,</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and severe </w:t>
      </w:r>
      <w:r w:rsidR="00B6005B">
        <w:rPr>
          <w:rFonts w:ascii="Book Antiqua" w:eastAsia="Book Antiqua" w:hAnsi="Book Antiqua" w:cs="Book Antiqua"/>
          <w:color w:val="000000"/>
        </w:rPr>
        <w:t>pitting</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edema in both lower extremities.</w:t>
      </w:r>
    </w:p>
    <w:p w14:paraId="35D283C2" w14:textId="77777777" w:rsidR="00A77B3E" w:rsidRPr="00E2495E" w:rsidRDefault="00A77B3E" w:rsidP="00E2495E">
      <w:pPr>
        <w:spacing w:line="360" w:lineRule="auto"/>
        <w:jc w:val="both"/>
        <w:rPr>
          <w:rFonts w:ascii="Book Antiqua" w:hAnsi="Book Antiqua"/>
        </w:rPr>
      </w:pPr>
    </w:p>
    <w:p w14:paraId="68157E38"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i/>
          <w:color w:val="000000"/>
        </w:rPr>
        <w:t>Laboratory examinations</w:t>
      </w:r>
    </w:p>
    <w:p w14:paraId="1B9814E5" w14:textId="218AA894"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Routine urine examination revealed the following: Proteinuria +++, hematuria ++; phase of urinary red blood cells: </w:t>
      </w:r>
      <w:r w:rsidR="00B738C9">
        <w:rPr>
          <w:rFonts w:ascii="Book Antiqua" w:eastAsia="Book Antiqua" w:hAnsi="Book Antiqua" w:cs="Book Antiqua"/>
          <w:color w:val="000000"/>
        </w:rPr>
        <w:t>D</w:t>
      </w:r>
      <w:r w:rsidRPr="00E2495E">
        <w:rPr>
          <w:rFonts w:ascii="Book Antiqua" w:eastAsia="Book Antiqua" w:hAnsi="Book Antiqua" w:cs="Book Antiqua"/>
          <w:color w:val="000000"/>
        </w:rPr>
        <w:t xml:space="preserve">eformed erythrocytosis 70%, urine protein quantitation 4.2 g/24 h; urea nitrogen 15.7 mmol/L, and serum creatinine 141.4 μmol/L. Routine blood test results were as follows: </w:t>
      </w:r>
      <w:r w:rsidR="00B738C9">
        <w:rPr>
          <w:rFonts w:ascii="Book Antiqua" w:eastAsia="Book Antiqua" w:hAnsi="Book Antiqua" w:cs="Book Antiqua"/>
          <w:color w:val="000000"/>
        </w:rPr>
        <w:t>H</w:t>
      </w:r>
      <w:r w:rsidRPr="00E2495E">
        <w:rPr>
          <w:rFonts w:ascii="Book Antiqua" w:eastAsia="Book Antiqua" w:hAnsi="Book Antiqua" w:cs="Book Antiqua"/>
          <w:color w:val="000000"/>
        </w:rPr>
        <w:t>emoglobin 92 g/L, white blood cells 4.8</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blood platelets 218</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antinuclear antibody 1:3200, cytoplasmic granules 1:1000, ds-DNA antibody &gt;</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1:3200, C3 0.56 g/L, </w:t>
      </w:r>
      <w:r w:rsidR="00B6005B">
        <w:rPr>
          <w:rFonts w:ascii="Book Antiqua" w:eastAsia="Book Antiqua" w:hAnsi="Book Antiqua" w:cs="Book Antiqua"/>
          <w:color w:val="000000"/>
        </w:rPr>
        <w:t xml:space="preserve">and </w:t>
      </w:r>
      <w:r w:rsidRPr="00E2495E">
        <w:rPr>
          <w:rFonts w:ascii="Book Antiqua" w:eastAsia="Book Antiqua" w:hAnsi="Book Antiqua" w:cs="Book Antiqua"/>
          <w:color w:val="000000"/>
        </w:rPr>
        <w:t xml:space="preserve">C4 0.22 g/L. </w:t>
      </w:r>
    </w:p>
    <w:p w14:paraId="1C9A3D5C" w14:textId="77777777" w:rsidR="00A77B3E" w:rsidRPr="00E2495E" w:rsidRDefault="00A77B3E" w:rsidP="00E2495E">
      <w:pPr>
        <w:spacing w:line="360" w:lineRule="auto"/>
        <w:jc w:val="both"/>
        <w:rPr>
          <w:rFonts w:ascii="Book Antiqua" w:hAnsi="Book Antiqua"/>
        </w:rPr>
      </w:pPr>
    </w:p>
    <w:p w14:paraId="6430A0A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i/>
          <w:iCs/>
          <w:color w:val="000000"/>
        </w:rPr>
        <w:t xml:space="preserve">Further diagnostic work-up </w:t>
      </w:r>
    </w:p>
    <w:p w14:paraId="38900348" w14:textId="1DFFA7DF"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Pathological results showed 35 glomeruli in the punctured renal tissue, including </w:t>
      </w:r>
      <w:r w:rsidR="00B6005B">
        <w:rPr>
          <w:rFonts w:ascii="Book Antiqua" w:eastAsia="Book Antiqua" w:hAnsi="Book Antiqua" w:cs="Book Antiqua"/>
          <w:color w:val="000000"/>
        </w:rPr>
        <w:t>one</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with global sclerosis, </w:t>
      </w:r>
      <w:r w:rsidR="00B6005B">
        <w:rPr>
          <w:rFonts w:ascii="Book Antiqua" w:eastAsia="Book Antiqua" w:hAnsi="Book Antiqua" w:cs="Book Antiqua"/>
          <w:color w:val="000000"/>
        </w:rPr>
        <w:t>two</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with ischemic sclerosis, and the remaining glomeruli with diffuse proliferation of mesangial cells and endothelial cells, accompanied by segmental dual-track formation of a thickened basement membrane, segmental Meyer's loop, leukocyte infiltration</w:t>
      </w:r>
      <w:r w:rsidR="00B6005B">
        <w:rPr>
          <w:rFonts w:ascii="Book Antiqua" w:eastAsia="Book Antiqua" w:hAnsi="Book Antiqua" w:cs="Book Antiqua"/>
          <w:color w:val="000000"/>
        </w:rPr>
        <w:t>,</w:t>
      </w:r>
      <w:r w:rsidRPr="00E2495E">
        <w:rPr>
          <w:rFonts w:ascii="Book Antiqua" w:eastAsia="Book Antiqua" w:hAnsi="Book Antiqua" w:cs="Book Antiqua"/>
          <w:color w:val="000000"/>
        </w:rPr>
        <w:t xml:space="preserve"> and segmental microthrombus formation. Fuchsinophilic protein deposition can be found at the mesangial region and subepithelial region, including fibrin crescent formation of </w:t>
      </w:r>
      <w:r w:rsidR="00B6005B">
        <w:rPr>
          <w:rFonts w:ascii="Book Antiqua" w:eastAsia="Book Antiqua" w:hAnsi="Book Antiqua" w:cs="Book Antiqua"/>
          <w:color w:val="000000"/>
        </w:rPr>
        <w:t>one</w:t>
      </w:r>
      <w:r w:rsidR="00B6005B"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cell. The kidney tubular epithelium exhibited granular and vacuolar degeneration, as well as multifocal atrophy. The renal interstitium showed multishaped lymphocyte and monocyte infiltration, together with mild thickening of the arteriole wall. Paraffin</w:t>
      </w:r>
      <w:r w:rsidR="000E2A06">
        <w:rPr>
          <w:rFonts w:ascii="Book Antiqua" w:eastAsia="Book Antiqua" w:hAnsi="Book Antiqua" w:cs="Book Antiqua"/>
          <w:color w:val="000000"/>
        </w:rPr>
        <w:t xml:space="preserve"> </w:t>
      </w:r>
      <w:r w:rsidRPr="00E2495E">
        <w:rPr>
          <w:rFonts w:ascii="Book Antiqua" w:eastAsia="Book Antiqua" w:hAnsi="Book Antiqua" w:cs="Book Antiqua"/>
          <w:color w:val="000000"/>
        </w:rPr>
        <w:t>immunofluorescence</w:t>
      </w:r>
      <w:r w:rsidR="000E2A06">
        <w:rPr>
          <w:rFonts w:ascii="Book Antiqua" w:eastAsia="Book Antiqua" w:hAnsi="Book Antiqua" w:cs="Book Antiqua"/>
          <w:color w:val="000000"/>
        </w:rPr>
        <w:t xml:space="preserve"> revealed</w:t>
      </w:r>
      <w:r w:rsidRPr="00E2495E">
        <w:rPr>
          <w:rFonts w:ascii="Book Antiqua" w:eastAsia="Book Antiqua" w:hAnsi="Book Antiqua" w:cs="Book Antiqua"/>
          <w:color w:val="000000"/>
        </w:rPr>
        <w:t xml:space="preserve">: </w:t>
      </w:r>
      <w:r w:rsidR="00B738C9">
        <w:rPr>
          <w:rFonts w:ascii="Book Antiqua" w:eastAsia="Book Antiqua" w:hAnsi="Book Antiqua" w:cs="Book Antiqua"/>
          <w:color w:val="000000"/>
        </w:rPr>
        <w:t>I</w:t>
      </w:r>
      <w:r w:rsidR="00B738C9" w:rsidRPr="00B738C9">
        <w:rPr>
          <w:rFonts w:ascii="Book Antiqua" w:eastAsia="Book Antiqua" w:hAnsi="Book Antiqua" w:cs="Book Antiqua"/>
          <w:color w:val="000000"/>
        </w:rPr>
        <w:t>mmunoglobulin</w:t>
      </w:r>
      <w:r w:rsidR="00B738C9" w:rsidRPr="00E2495E">
        <w:rPr>
          <w:rFonts w:ascii="Book Antiqua" w:eastAsia="Book Antiqua" w:hAnsi="Book Antiqua" w:cs="Book Antiqua"/>
          <w:color w:val="000000"/>
        </w:rPr>
        <w:t xml:space="preserve"> </w:t>
      </w:r>
      <w:r w:rsidR="00B738C9">
        <w:rPr>
          <w:rFonts w:ascii="Book Antiqua" w:eastAsia="Book Antiqua" w:hAnsi="Book Antiqua" w:cs="Book Antiqua"/>
          <w:color w:val="000000"/>
        </w:rPr>
        <w:t>(</w:t>
      </w:r>
      <w:r w:rsidRPr="00E2495E">
        <w:rPr>
          <w:rFonts w:ascii="Book Antiqua" w:eastAsia="Book Antiqua" w:hAnsi="Book Antiqua" w:cs="Book Antiqua"/>
          <w:color w:val="000000"/>
        </w:rPr>
        <w:t>Ig</w:t>
      </w:r>
      <w:r w:rsidR="00B738C9">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G (++), IgA (++), IgM (++), C3 (+), </w:t>
      </w:r>
      <w:r w:rsidR="00B738C9">
        <w:rPr>
          <w:rFonts w:ascii="Book Antiqua" w:eastAsia="Book Antiqua" w:hAnsi="Book Antiqua" w:cs="Book Antiqua"/>
          <w:color w:val="000000"/>
        </w:rPr>
        <w:t>f</w:t>
      </w:r>
      <w:r w:rsidR="00B738C9" w:rsidRPr="00B738C9">
        <w:rPr>
          <w:rFonts w:ascii="Book Antiqua" w:eastAsia="Book Antiqua" w:hAnsi="Book Antiqua" w:cs="Book Antiqua"/>
          <w:color w:val="000000"/>
        </w:rPr>
        <w:t xml:space="preserve">all </w:t>
      </w:r>
      <w:r w:rsidR="00B738C9">
        <w:rPr>
          <w:rFonts w:ascii="Book Antiqua" w:eastAsia="Book Antiqua" w:hAnsi="Book Antiqua" w:cs="Book Antiqua"/>
          <w:color w:val="000000"/>
        </w:rPr>
        <w:t>r</w:t>
      </w:r>
      <w:r w:rsidR="00B738C9" w:rsidRPr="00B738C9">
        <w:rPr>
          <w:rFonts w:ascii="Book Antiqua" w:eastAsia="Book Antiqua" w:hAnsi="Book Antiqua" w:cs="Book Antiqua"/>
          <w:color w:val="000000"/>
        </w:rPr>
        <w:t xml:space="preserve">isk </w:t>
      </w:r>
      <w:r w:rsidR="00B738C9">
        <w:rPr>
          <w:rFonts w:ascii="Book Antiqua" w:eastAsia="Book Antiqua" w:hAnsi="Book Antiqua" w:cs="Book Antiqua"/>
          <w:color w:val="000000"/>
        </w:rPr>
        <w:t>a</w:t>
      </w:r>
      <w:r w:rsidR="00B738C9" w:rsidRPr="00B738C9">
        <w:rPr>
          <w:rFonts w:ascii="Book Antiqua" w:eastAsia="Book Antiqua" w:hAnsi="Book Antiqua" w:cs="Book Antiqua"/>
          <w:color w:val="000000"/>
        </w:rPr>
        <w:t>ssessment</w:t>
      </w:r>
      <w:r w:rsidRPr="00E2495E">
        <w:rPr>
          <w:rFonts w:ascii="Book Antiqua" w:eastAsia="Book Antiqua" w:hAnsi="Book Antiqua" w:cs="Book Antiqua"/>
          <w:color w:val="000000"/>
        </w:rPr>
        <w:t xml:space="preserve"> (+), C1q (++), </w:t>
      </w:r>
      <w:r w:rsidR="000E2A06">
        <w:rPr>
          <w:rFonts w:ascii="Book Antiqua" w:eastAsia="Book Antiqua" w:hAnsi="Book Antiqua" w:cs="Book Antiqua"/>
          <w:color w:val="000000"/>
        </w:rPr>
        <w:t xml:space="preserve">and </w:t>
      </w:r>
      <w:r w:rsidRPr="00E2495E">
        <w:rPr>
          <w:rFonts w:ascii="Book Antiqua" w:eastAsia="Book Antiqua" w:hAnsi="Book Antiqua" w:cs="Book Antiqua"/>
          <w:color w:val="000000"/>
        </w:rPr>
        <w:t xml:space="preserve">granular deposition </w:t>
      </w:r>
      <w:r w:rsidR="00B979EC">
        <w:rPr>
          <w:rFonts w:ascii="Book Antiqua" w:eastAsia="Book Antiqua" w:hAnsi="Book Antiqua" w:cs="Book Antiqua"/>
          <w:color w:val="000000"/>
        </w:rPr>
        <w:t>along</w:t>
      </w:r>
      <w:r w:rsidRPr="00E2495E">
        <w:rPr>
          <w:rFonts w:ascii="Book Antiqua" w:eastAsia="Book Antiqua" w:hAnsi="Book Antiqua" w:cs="Book Antiqua"/>
          <w:color w:val="000000"/>
        </w:rPr>
        <w:t xml:space="preserve"> the mesangial region and capillary wall. Combined with clinical findings, this condition was considered diffuse proliferative </w:t>
      </w:r>
      <w:r w:rsidRPr="00E2495E">
        <w:rPr>
          <w:rStyle w:val="15"/>
          <w:rFonts w:ascii="Book Antiqua" w:eastAsia="Book Antiqua" w:hAnsi="Book Antiqua" w:cs="Book Antiqua"/>
          <w:color w:val="000000"/>
        </w:rPr>
        <w:t>lupus nephritis, with IV-G</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(A), AI</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11,</w:t>
      </w:r>
      <w:r w:rsidR="000E2A06">
        <w:rPr>
          <w:rStyle w:val="15"/>
          <w:rFonts w:ascii="Book Antiqua" w:eastAsia="Book Antiqua" w:hAnsi="Book Antiqua" w:cs="Book Antiqua"/>
          <w:color w:val="000000"/>
        </w:rPr>
        <w:t xml:space="preserve"> and</w:t>
      </w:r>
      <w:r w:rsidRPr="00E2495E">
        <w:rPr>
          <w:rStyle w:val="15"/>
          <w:rFonts w:ascii="Book Antiqua" w:eastAsia="Book Antiqua" w:hAnsi="Book Antiqua" w:cs="Book Antiqua"/>
          <w:color w:val="000000"/>
        </w:rPr>
        <w:t xml:space="preserve"> CI</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w:t>
      </w:r>
      <w:r w:rsidR="008D3A95">
        <w:rPr>
          <w:rStyle w:val="15"/>
          <w:rFonts w:ascii="Book Antiqua" w:eastAsia="Book Antiqua" w:hAnsi="Book Antiqua" w:cs="Book Antiqua"/>
          <w:color w:val="000000"/>
        </w:rPr>
        <w:t xml:space="preserve"> </w:t>
      </w:r>
      <w:r w:rsidRPr="00E2495E">
        <w:rPr>
          <w:rStyle w:val="15"/>
          <w:rFonts w:ascii="Book Antiqua" w:eastAsia="Book Antiqua" w:hAnsi="Book Antiqua" w:cs="Book Antiqua"/>
          <w:color w:val="000000"/>
        </w:rPr>
        <w:t>5. AI</w:t>
      </w:r>
      <w:r w:rsidR="007464C2">
        <w:rPr>
          <w:rStyle w:val="15"/>
          <w:rFonts w:ascii="Book Antiqua" w:eastAsia="Book Antiqua" w:hAnsi="Book Antiqua" w:cs="Book Antiqua"/>
          <w:color w:val="000000"/>
        </w:rPr>
        <w:t xml:space="preserve"> was scored as follows</w:t>
      </w:r>
      <w:r w:rsidRPr="00E2495E">
        <w:rPr>
          <w:rStyle w:val="15"/>
          <w:rFonts w:ascii="Book Antiqua" w:eastAsia="Book Antiqua" w:hAnsi="Book Antiqua" w:cs="Book Antiqua"/>
          <w:color w:val="000000"/>
        </w:rPr>
        <w:t xml:space="preserve">: </w:t>
      </w:r>
      <w:r w:rsidR="007464C2">
        <w:rPr>
          <w:rStyle w:val="15"/>
          <w:rFonts w:ascii="Book Antiqua" w:eastAsia="Book Antiqua" w:hAnsi="Book Antiqua" w:cs="Book Antiqua"/>
          <w:color w:val="000000"/>
        </w:rPr>
        <w:t>C</w:t>
      </w:r>
      <w:r w:rsidR="007464C2" w:rsidRPr="00E2495E">
        <w:rPr>
          <w:rStyle w:val="15"/>
          <w:rFonts w:ascii="Book Antiqua" w:eastAsia="Book Antiqua" w:hAnsi="Book Antiqua" w:cs="Book Antiqua"/>
          <w:color w:val="000000"/>
        </w:rPr>
        <w:t xml:space="preserve">ellular </w:t>
      </w:r>
      <w:r w:rsidRPr="00E2495E">
        <w:rPr>
          <w:rStyle w:val="15"/>
          <w:rFonts w:ascii="Book Antiqua" w:eastAsia="Book Antiqua" w:hAnsi="Book Antiqua" w:cs="Book Antiqua"/>
          <w:color w:val="000000"/>
        </w:rPr>
        <w:t>proliferation (2 points), leukocyte infiltration (1 point), nuclear fragmentation/fibrinoid necrosis (2 points), cell crescent (0 points), Meyer's loop/thrombus (2 points)</w:t>
      </w:r>
      <w:r w:rsidR="007464C2">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interstitial monocyte infiltration (2 points). CI</w:t>
      </w:r>
      <w:r w:rsidR="007464C2">
        <w:rPr>
          <w:rStyle w:val="15"/>
          <w:rFonts w:ascii="Book Antiqua" w:eastAsia="Book Antiqua" w:hAnsi="Book Antiqua" w:cs="Book Antiqua"/>
          <w:color w:val="000000"/>
        </w:rPr>
        <w:t xml:space="preserve"> was scored </w:t>
      </w:r>
      <w:r w:rsidR="007464C2">
        <w:rPr>
          <w:rStyle w:val="15"/>
          <w:rFonts w:ascii="Book Antiqua" w:eastAsia="Book Antiqua" w:hAnsi="Book Antiqua" w:cs="Book Antiqua"/>
          <w:color w:val="000000"/>
        </w:rPr>
        <w:lastRenderedPageBreak/>
        <w:t>as follows</w:t>
      </w:r>
      <w:r w:rsidRPr="00E2495E">
        <w:rPr>
          <w:rStyle w:val="15"/>
          <w:rFonts w:ascii="Book Antiqua" w:eastAsia="Book Antiqua" w:hAnsi="Book Antiqua" w:cs="Book Antiqua"/>
          <w:color w:val="000000"/>
        </w:rPr>
        <w:t xml:space="preserve">: </w:t>
      </w:r>
      <w:r w:rsidR="008D3A95">
        <w:rPr>
          <w:rStyle w:val="15"/>
          <w:rFonts w:ascii="Book Antiqua" w:eastAsia="Book Antiqua" w:hAnsi="Book Antiqua" w:cs="Book Antiqua"/>
          <w:color w:val="000000"/>
        </w:rPr>
        <w:t>S</w:t>
      </w:r>
      <w:r w:rsidRPr="00E2495E">
        <w:rPr>
          <w:rStyle w:val="15"/>
          <w:rFonts w:ascii="Book Antiqua" w:eastAsia="Book Antiqua" w:hAnsi="Book Antiqua" w:cs="Book Antiqua"/>
          <w:color w:val="000000"/>
        </w:rPr>
        <w:t>clerosis (2 points), fibrin crescent (0 points), tubular atrophy (2 points)</w:t>
      </w:r>
      <w:r w:rsidR="007464C2">
        <w:rPr>
          <w:rStyle w:val="15"/>
          <w:rFonts w:ascii="Book Antiqua" w:eastAsia="Book Antiqua" w:hAnsi="Book Antiqua" w:cs="Book Antiqua"/>
          <w:color w:val="000000"/>
        </w:rPr>
        <w:t>,</w:t>
      </w:r>
      <w:r w:rsidRPr="00E2495E">
        <w:rPr>
          <w:rStyle w:val="15"/>
          <w:rFonts w:ascii="Book Antiqua" w:eastAsia="Book Antiqua" w:hAnsi="Book Antiqua" w:cs="Book Antiqua"/>
          <w:color w:val="000000"/>
        </w:rPr>
        <w:t xml:space="preserve"> and interstitial fibrosis (2 points) (Figure 1).</w:t>
      </w:r>
    </w:p>
    <w:p w14:paraId="07DAA81E" w14:textId="77777777" w:rsidR="00A77B3E" w:rsidRPr="00E2495E" w:rsidRDefault="00A77B3E" w:rsidP="00E2495E">
      <w:pPr>
        <w:spacing w:line="360" w:lineRule="auto"/>
        <w:jc w:val="both"/>
        <w:rPr>
          <w:rFonts w:ascii="Book Antiqua" w:hAnsi="Book Antiqua"/>
        </w:rPr>
      </w:pPr>
    </w:p>
    <w:p w14:paraId="6A703AE5" w14:textId="599BDAE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i/>
          <w:iCs/>
          <w:color w:val="000000"/>
        </w:rPr>
        <w:t>TPMT</w:t>
      </w:r>
      <w:r w:rsidRPr="00E2495E">
        <w:rPr>
          <w:rFonts w:ascii="Book Antiqua" w:eastAsia="Book Antiqua" w:hAnsi="Book Antiqua" w:cs="Book Antiqua"/>
          <w:b/>
          <w:bCs/>
          <w:i/>
          <w:color w:val="000000"/>
        </w:rPr>
        <w:t xml:space="preserve"> genotyping testing (</w:t>
      </w:r>
      <w:r w:rsidR="007464C2">
        <w:rPr>
          <w:rFonts w:ascii="Book Antiqua" w:eastAsia="Book Antiqua" w:hAnsi="Book Antiqua" w:cs="Book Antiqua"/>
          <w:b/>
          <w:bCs/>
          <w:i/>
          <w:color w:val="000000"/>
        </w:rPr>
        <w:t>four</w:t>
      </w:r>
      <w:r w:rsidR="007464C2" w:rsidRPr="004911A6">
        <w:rPr>
          <w:rFonts w:ascii="Book Antiqua" w:eastAsia="Book Antiqua" w:hAnsi="Book Antiqua" w:cs="Book Antiqua"/>
          <w:color w:val="000000"/>
        </w:rPr>
        <w:t xml:space="preserve"> </w:t>
      </w:r>
      <w:r w:rsidR="004911A6" w:rsidRPr="004911A6">
        <w:rPr>
          <w:rFonts w:ascii="Book Antiqua" w:eastAsia="Book Antiqua" w:hAnsi="Book Antiqua" w:cs="Book Antiqua"/>
          <w:b/>
          <w:bCs/>
          <w:i/>
          <w:iCs/>
          <w:color w:val="000000"/>
        </w:rPr>
        <w:t>single nucleotide polymorphisms</w:t>
      </w:r>
      <w:r w:rsidRPr="00E2495E">
        <w:rPr>
          <w:rFonts w:ascii="Book Antiqua" w:eastAsia="Book Antiqua" w:hAnsi="Book Antiqua" w:cs="Book Antiqua"/>
          <w:b/>
          <w:bCs/>
          <w:i/>
          <w:color w:val="000000"/>
        </w:rPr>
        <w:t xml:space="preserve">, single base extension method) </w:t>
      </w:r>
    </w:p>
    <w:p w14:paraId="6E9065A4" w14:textId="54D00806" w:rsidR="00A77B3E" w:rsidRPr="00E2495E" w:rsidRDefault="00D835DC" w:rsidP="00E2495E">
      <w:pPr>
        <w:spacing w:line="360" w:lineRule="auto"/>
        <w:jc w:val="both"/>
        <w:rPr>
          <w:rFonts w:ascii="Book Antiqua" w:hAnsi="Book Antiqua"/>
        </w:rPr>
      </w:pPr>
      <w:r w:rsidRPr="00E2495E">
        <w:rPr>
          <w:rStyle w:val="16"/>
          <w:rFonts w:ascii="Book Antiqua" w:eastAsia="Book Antiqua" w:hAnsi="Book Antiqua" w:cs="Book Antiqua"/>
          <w:color w:val="000000"/>
        </w:rPr>
        <w:t xml:space="preserve">After consideration of the renal puncture results, oral administration of prednisone was begun at 50 mg/d, and meanwhile, cyclophosphamide was applied through intravenous injection at a dosage of 1.0 g monthly, which lasted for a consecutive 6 mo and was stopped after an accumulative use of 6 g. </w:t>
      </w:r>
      <w:r w:rsidRPr="00E2495E">
        <w:rPr>
          <w:rFonts w:ascii="Book Antiqua" w:eastAsia="Book Antiqua" w:hAnsi="Book Antiqua" w:cs="Book Antiqua"/>
          <w:color w:val="000000"/>
        </w:rPr>
        <w:t xml:space="preserve">The serum creatinine fluctuated within an approximate range of 120-160 μmol/L, and blood albumin fluctuated from approximately 29-35 g/L. Then, the patient began to take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50 mg/d as maintenance treatment but experienced extensive alopecia and shedding of pubic hair on the 13</w:t>
      </w:r>
      <w:r w:rsidRPr="00E2495E">
        <w:rPr>
          <w:rFonts w:ascii="Book Antiqua" w:eastAsia="Book Antiqua" w:hAnsi="Book Antiqua" w:cs="Book Antiqua"/>
          <w:color w:val="000000"/>
          <w:vertAlign w:val="superscript"/>
        </w:rPr>
        <w:t>th</w:t>
      </w:r>
      <w:r w:rsidRPr="00E2495E">
        <w:rPr>
          <w:rFonts w:ascii="Book Antiqua" w:eastAsia="Book Antiqua" w:hAnsi="Book Antiqua" w:cs="Book Antiqua"/>
          <w:color w:val="000000"/>
        </w:rPr>
        <w:t xml:space="preserve"> day after oral administration. Pharyngalgia appeared on the 14</w:t>
      </w:r>
      <w:r w:rsidRPr="00E2495E">
        <w:rPr>
          <w:rFonts w:ascii="Book Antiqua" w:eastAsia="Book Antiqua" w:hAnsi="Book Antiqua" w:cs="Book Antiqua"/>
          <w:color w:val="000000"/>
          <w:vertAlign w:val="superscript"/>
        </w:rPr>
        <w:t xml:space="preserve">th </w:t>
      </w:r>
      <w:r w:rsidRPr="00E2495E">
        <w:rPr>
          <w:rFonts w:ascii="Book Antiqua" w:eastAsia="Book Antiqua" w:hAnsi="Book Antiqua" w:cs="Book Antiqua"/>
          <w:color w:val="000000"/>
        </w:rPr>
        <w:t xml:space="preserve">day, and fever with a body temperature up to 42 </w:t>
      </w:r>
      <w:r w:rsidRPr="00E2495E">
        <w:rPr>
          <w:rFonts w:ascii="宋体" w:eastAsia="宋体" w:hAnsi="宋体" w:cs="宋体" w:hint="eastAsia"/>
          <w:color w:val="000000"/>
        </w:rPr>
        <w:t>℃</w:t>
      </w:r>
      <w:r w:rsidRPr="00E2495E">
        <w:rPr>
          <w:rFonts w:ascii="Book Antiqua" w:eastAsia="Book Antiqua" w:hAnsi="Book Antiqua" w:cs="Book Antiqua"/>
          <w:color w:val="000000"/>
        </w:rPr>
        <w:t xml:space="preserve"> occurred on the 15</w:t>
      </w:r>
      <w:r w:rsidRPr="00E2495E">
        <w:rPr>
          <w:rFonts w:ascii="Book Antiqua" w:eastAsia="Book Antiqua" w:hAnsi="Book Antiqua" w:cs="Book Antiqua"/>
          <w:color w:val="000000"/>
          <w:vertAlign w:val="superscript"/>
        </w:rPr>
        <w:t xml:space="preserve">th </w:t>
      </w:r>
      <w:r w:rsidRPr="00E2495E">
        <w:rPr>
          <w:rFonts w:ascii="Book Antiqua" w:eastAsia="Book Antiqua" w:hAnsi="Book Antiqua" w:cs="Book Antiqua"/>
          <w:color w:val="000000"/>
        </w:rPr>
        <w:t xml:space="preserve">day. The patient came to the hospital for the second time. Physical examination revealed the following: </w:t>
      </w:r>
      <w:r w:rsidR="00187C4E">
        <w:rPr>
          <w:rFonts w:ascii="Book Antiqua" w:eastAsia="Book Antiqua" w:hAnsi="Book Antiqua" w:cs="Book Antiqua"/>
          <w:color w:val="000000"/>
        </w:rPr>
        <w:t>B</w:t>
      </w:r>
      <w:r w:rsidRPr="00E2495E">
        <w:rPr>
          <w:rFonts w:ascii="Book Antiqua" w:eastAsia="Book Antiqua" w:hAnsi="Book Antiqua" w:cs="Book Antiqua"/>
          <w:color w:val="000000"/>
        </w:rPr>
        <w:t>ody temperature</w:t>
      </w:r>
      <w:r w:rsidR="007464C2">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39.4 </w:t>
      </w:r>
      <w:r w:rsidRPr="00E2495E">
        <w:rPr>
          <w:rFonts w:ascii="宋体" w:eastAsia="宋体" w:hAnsi="宋体" w:cs="宋体" w:hint="eastAsia"/>
          <w:color w:val="000000"/>
        </w:rPr>
        <w:t>℃</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pulse</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92 times/min</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breath</w:t>
      </w:r>
      <w:r w:rsidR="007464C2">
        <w:rPr>
          <w:rFonts w:ascii="Book Antiqua" w:eastAsia="Book Antiqua" w:hAnsi="Book Antiqua" w:cs="Book Antiqua"/>
          <w:color w:val="000000"/>
        </w:rPr>
        <w:t xml:space="preserve"> rate,</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22 times/min</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blood pressure</w:t>
      </w:r>
      <w:r w:rsidR="007464C2">
        <w:rPr>
          <w:rFonts w:ascii="Book Antiqua" w:eastAsia="Book Antiqua" w:hAnsi="Book Antiqua" w:cs="Book Antiqua"/>
          <w:color w:val="000000"/>
        </w:rPr>
        <w:t>,</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182/100 mmHg. The patient exhibited clear consciousness and emotional distress; she presented scattered chromatosis on her skin, and a rash was found on the inner surface of the bilateral thighs. Pharyngeal congestion was noted, and the breath sounds of the two lungs were clear. The heart rate was 92 times/min. The abdomen was flat, soft, and free from tenderness or rebound tenderness, and there was no liver or spleen involvement. </w:t>
      </w:r>
      <w:r w:rsidR="00B979EC">
        <w:rPr>
          <w:rFonts w:ascii="Book Antiqua" w:eastAsia="Book Antiqua" w:hAnsi="Book Antiqua" w:cs="Book Antiqua"/>
          <w:color w:val="000000"/>
        </w:rPr>
        <w:t>R</w:t>
      </w:r>
      <w:r w:rsidR="00B979EC" w:rsidRPr="00E2495E">
        <w:rPr>
          <w:rFonts w:ascii="Book Antiqua" w:eastAsia="Book Antiqua" w:hAnsi="Book Antiqua" w:cs="Book Antiqua"/>
          <w:color w:val="000000"/>
        </w:rPr>
        <w:t>outine blood work</w:t>
      </w:r>
      <w:r w:rsidR="00B979EC" w:rsidRPr="00E2495E" w:rsidDel="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showed the following:</w:t>
      </w:r>
      <w:r w:rsidR="00B979EC">
        <w:rPr>
          <w:rFonts w:ascii="Book Antiqua" w:eastAsia="Book Antiqua" w:hAnsi="Book Antiqua" w:cs="Book Antiqua"/>
          <w:color w:val="000000"/>
        </w:rPr>
        <w:t xml:space="preserve"> </w:t>
      </w:r>
      <w:r w:rsidR="00187C4E">
        <w:rPr>
          <w:rFonts w:ascii="Book Antiqua" w:eastAsia="Book Antiqua" w:hAnsi="Book Antiqua" w:cs="Book Antiqua"/>
          <w:color w:val="000000"/>
        </w:rPr>
        <w:t>H</w:t>
      </w:r>
      <w:r w:rsidRPr="00E2495E">
        <w:rPr>
          <w:rFonts w:ascii="Book Antiqua" w:eastAsia="Book Antiqua" w:hAnsi="Book Antiqua" w:cs="Book Antiqua"/>
          <w:color w:val="000000"/>
        </w:rPr>
        <w:t>emoglobin 72 g/L, white blood cell count 1.25</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blood platelet count 13</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/L, lymphocyte ratio 95.7%, neutrophil ratio 1.6</w:t>
      </w:r>
      <w:r w:rsidR="007464C2" w:rsidRPr="00E2495E">
        <w:rPr>
          <w:rFonts w:ascii="Book Antiqua" w:eastAsia="Book Antiqua" w:hAnsi="Book Antiqua" w:cs="Book Antiqua"/>
          <w:color w:val="000000"/>
        </w:rPr>
        <w:t>%</w:t>
      </w:r>
      <w:r w:rsidR="007464C2">
        <w:rPr>
          <w:rFonts w:ascii="Book Antiqua" w:eastAsia="Book Antiqua" w:hAnsi="Book Antiqua" w:cs="Book Antiqua"/>
          <w:color w:val="000000"/>
        </w:rPr>
        <w:t xml:space="preserve">, </w:t>
      </w:r>
      <w:r w:rsidRPr="00E2495E">
        <w:rPr>
          <w:rFonts w:ascii="Book Antiqua" w:eastAsia="Book Antiqua" w:hAnsi="Book Antiqua" w:cs="Book Antiqua"/>
          <w:color w:val="000000"/>
        </w:rPr>
        <w:t>and neutrophil count 0.01</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10</w:t>
      </w:r>
      <w:r w:rsidRPr="00E2495E">
        <w:rPr>
          <w:rFonts w:ascii="Book Antiqua" w:eastAsia="Book Antiqua" w:hAnsi="Book Antiqua" w:cs="Book Antiqua"/>
          <w:color w:val="000000"/>
          <w:vertAlign w:val="superscript"/>
        </w:rPr>
        <w:t>9</w:t>
      </w:r>
      <w:r w:rsidRPr="00E2495E">
        <w:rPr>
          <w:rFonts w:ascii="Book Antiqua" w:eastAsia="Book Antiqua" w:hAnsi="Book Antiqua" w:cs="Book Antiqua"/>
          <w:color w:val="000000"/>
        </w:rPr>
        <w:t xml:space="preserve">/L </w:t>
      </w:r>
      <w:r w:rsidRPr="00E2495E">
        <w:rPr>
          <w:rStyle w:val="16"/>
          <w:rFonts w:ascii="Book Antiqua" w:eastAsia="Book Antiqua" w:hAnsi="Book Antiqua" w:cs="Book Antiqua"/>
          <w:color w:val="000000"/>
        </w:rPr>
        <w:t>(Figure 2)</w:t>
      </w:r>
      <w:r w:rsidRPr="00E2495E">
        <w:rPr>
          <w:rFonts w:ascii="Book Antiqua" w:eastAsia="Book Antiqua" w:hAnsi="Book Antiqua" w:cs="Book Antiqua"/>
          <w:color w:val="000000"/>
        </w:rPr>
        <w:t xml:space="preserve">. The results of the bone marrow biopsy were as follows: </w:t>
      </w:r>
      <w:r w:rsidR="00187C4E">
        <w:rPr>
          <w:rFonts w:ascii="Book Antiqua" w:eastAsia="Book Antiqua" w:hAnsi="Book Antiqua" w:cs="Book Antiqua"/>
          <w:color w:val="000000"/>
        </w:rPr>
        <w:t>M</w:t>
      </w:r>
      <w:r w:rsidRPr="00E2495E">
        <w:rPr>
          <w:rFonts w:ascii="Book Antiqua" w:eastAsia="Book Antiqua" w:hAnsi="Book Antiqua" w:cs="Book Antiqua"/>
          <w:color w:val="000000"/>
        </w:rPr>
        <w:t>yelodysplasia low in the myelogram</w:t>
      </w:r>
      <w:r w:rsidR="007464C2">
        <w:rPr>
          <w:rFonts w:ascii="Book Antiqua" w:eastAsia="Book Antiqua" w:hAnsi="Book Antiqua" w:cs="Book Antiqua"/>
          <w:color w:val="000000"/>
        </w:rPr>
        <w:t xml:space="preserve"> and</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focal hyperplasia in bone marrow tissue with active hyperplasia in some areas (</w:t>
      </w:r>
      <w:r w:rsidRPr="00E2495E">
        <w:rPr>
          <w:rStyle w:val="16"/>
          <w:rFonts w:ascii="Book Antiqua" w:eastAsia="Book Antiqua" w:hAnsi="Book Antiqua" w:cs="Book Antiqua"/>
          <w:color w:val="000000"/>
        </w:rPr>
        <w:t>Figure</w:t>
      </w:r>
      <w:r w:rsidRPr="00E2495E">
        <w:rPr>
          <w:rFonts w:ascii="Book Antiqua" w:eastAsia="Book Antiqua" w:hAnsi="Book Antiqua" w:cs="Book Antiqua"/>
          <w:color w:val="000000"/>
        </w:rPr>
        <w:t xml:space="preserve"> 3). Routine urinalysis results were as follows: Protein (+), occult blood 2+, </w:t>
      </w:r>
      <w:r w:rsidR="007464C2">
        <w:rPr>
          <w:rFonts w:ascii="Book Antiqua" w:eastAsia="Book Antiqua" w:hAnsi="Book Antiqua" w:cs="Book Antiqua"/>
          <w:color w:val="000000"/>
        </w:rPr>
        <w:t xml:space="preserve">and </w:t>
      </w:r>
      <w:r w:rsidR="006371B2" w:rsidRPr="006371B2">
        <w:rPr>
          <w:rFonts w:ascii="Book Antiqua" w:hAnsi="Book Antiqua"/>
          <w:lang w:eastAsia="zh-CN"/>
        </w:rPr>
        <w:t>Epstein-Barr</w:t>
      </w:r>
      <w:r w:rsidR="006371B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virus</w:t>
      </w:r>
      <w:r w:rsidR="006371B2">
        <w:rPr>
          <w:rFonts w:ascii="Book Antiqua" w:eastAsia="Book Antiqua" w:hAnsi="Book Antiqua" w:cs="Book Antiqua"/>
          <w:color w:val="000000"/>
        </w:rPr>
        <w:t xml:space="preserve"> (</w:t>
      </w:r>
      <w:r w:rsidR="006371B2" w:rsidRPr="00E2495E">
        <w:rPr>
          <w:rFonts w:ascii="Book Antiqua" w:eastAsia="Book Antiqua" w:hAnsi="Book Antiqua" w:cs="Book Antiqua"/>
          <w:color w:val="000000"/>
        </w:rPr>
        <w:t>EB</w:t>
      </w:r>
      <w:r w:rsidR="006371B2">
        <w:rPr>
          <w:rFonts w:ascii="Book Antiqua" w:eastAsia="Book Antiqua" w:hAnsi="Book Antiqua" w:cs="Book Antiqua"/>
          <w:color w:val="000000"/>
        </w:rPr>
        <w:t>V)</w:t>
      </w:r>
      <w:r w:rsidR="006371B2" w:rsidRPr="00E2495E">
        <w:rPr>
          <w:rFonts w:ascii="Book Antiqua" w:eastAsia="Book Antiqua" w:hAnsi="Book Antiqua" w:cs="Book Antiqua"/>
          <w:color w:val="000000"/>
        </w:rPr>
        <w:t xml:space="preserve"> </w:t>
      </w:r>
      <w:r w:rsidR="007464C2" w:rsidRPr="00E2495E">
        <w:rPr>
          <w:rFonts w:ascii="Book Antiqua" w:eastAsia="Book Antiqua" w:hAnsi="Book Antiqua" w:cs="Book Antiqua"/>
          <w:color w:val="000000"/>
        </w:rPr>
        <w:t>positiv</w:t>
      </w:r>
      <w:r w:rsidR="007464C2">
        <w:rPr>
          <w:rFonts w:ascii="Book Antiqua" w:eastAsia="Book Antiqua" w:hAnsi="Book Antiqua" w:cs="Book Antiqua"/>
          <w:color w:val="000000"/>
        </w:rPr>
        <w:t>ity</w:t>
      </w:r>
      <w:r w:rsidR="007464C2"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(3.58</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 10</w:t>
      </w:r>
      <w:r w:rsidRPr="00E2495E">
        <w:rPr>
          <w:rFonts w:ascii="Book Antiqua" w:eastAsia="Book Antiqua" w:hAnsi="Book Antiqua" w:cs="Book Antiqua"/>
          <w:color w:val="000000"/>
          <w:vertAlign w:val="superscript"/>
        </w:rPr>
        <w:t>4</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genotyping testing (</w:t>
      </w:r>
      <w:r w:rsidR="007464C2">
        <w:rPr>
          <w:rFonts w:ascii="Book Antiqua" w:eastAsia="Book Antiqua" w:hAnsi="Book Antiqua" w:cs="Book Antiqua"/>
          <w:color w:val="000000"/>
        </w:rPr>
        <w:t>four</w:t>
      </w:r>
      <w:r w:rsidR="007464C2" w:rsidRPr="004911A6">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 xml:space="preserve">, single base extension method) revealed the following: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3C</w:t>
      </w:r>
      <w:r w:rsidRPr="00E2495E">
        <w:rPr>
          <w:rFonts w:ascii="Book Antiqua" w:eastAsia="Book Antiqua" w:hAnsi="Book Antiqua" w:cs="Book Antiqua"/>
          <w:color w:val="000000"/>
        </w:rPr>
        <w:t xml:space="preserve"> gene polymorphism (719A&gt;G) (this site is the most </w:t>
      </w:r>
      <w:r w:rsidRPr="00E2495E">
        <w:rPr>
          <w:rFonts w:ascii="Book Antiqua" w:eastAsia="Book Antiqua" w:hAnsi="Book Antiqua" w:cs="Book Antiqua"/>
          <w:color w:val="000000"/>
        </w:rPr>
        <w:lastRenderedPageBreak/>
        <w:t xml:space="preserve">common gene mutation site in Asians) test result: A/A; </w:t>
      </w:r>
      <w:r w:rsidRPr="00E2495E">
        <w:rPr>
          <w:rFonts w:ascii="Book Antiqua" w:eastAsia="Book Antiqua" w:hAnsi="Book Antiqua" w:cs="Book Antiqua"/>
          <w:i/>
          <w:iCs/>
          <w:color w:val="000000"/>
        </w:rPr>
        <w:t>TPMT 3B</w:t>
      </w:r>
      <w:r w:rsidRPr="00E2495E">
        <w:rPr>
          <w:rFonts w:ascii="Book Antiqua" w:eastAsia="Book Antiqua" w:hAnsi="Book Antiqua" w:cs="Book Antiqua"/>
          <w:color w:val="000000"/>
        </w:rPr>
        <w:t xml:space="preserve"> gene polymorphism (460G&gt;A) test result: G/G;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E2495E">
        <w:rPr>
          <w:rFonts w:ascii="Book Antiqua" w:eastAsia="Book Antiqua" w:hAnsi="Book Antiqua" w:cs="Book Antiqua"/>
          <w:i/>
          <w:iCs/>
          <w:color w:val="000000"/>
        </w:rPr>
        <w:t>2</w:t>
      </w:r>
      <w:r w:rsidRPr="00E2495E">
        <w:rPr>
          <w:rFonts w:ascii="Book Antiqua" w:eastAsia="Book Antiqua" w:hAnsi="Book Antiqua" w:cs="Book Antiqua"/>
          <w:color w:val="000000"/>
        </w:rPr>
        <w:t xml:space="preserve"> gene polymorphism (238G&gt;C) test result: G/G; no abnormity was found in any of the above results.</w:t>
      </w:r>
    </w:p>
    <w:p w14:paraId="3498277C" w14:textId="77777777" w:rsidR="00A77B3E" w:rsidRPr="00E2495E" w:rsidRDefault="00A77B3E" w:rsidP="00E2495E">
      <w:pPr>
        <w:spacing w:line="360" w:lineRule="auto"/>
        <w:jc w:val="both"/>
        <w:rPr>
          <w:rFonts w:ascii="Book Antiqua" w:hAnsi="Book Antiqua"/>
        </w:rPr>
      </w:pPr>
    </w:p>
    <w:p w14:paraId="4C2F90E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MULTIDISCIPLINARY EXPERT CONSULTATION</w:t>
      </w:r>
    </w:p>
    <w:p w14:paraId="57D67AA8"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Hematology expert opinion</w:t>
      </w:r>
    </w:p>
    <w:p w14:paraId="5A2C5439" w14:textId="5AECB433" w:rsidR="00A77B3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color w:val="000000"/>
        </w:rPr>
        <w:t>Combined with the patient’s medical history, laboratory tests</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examination results, it has been established that the patient has severe bone marrow suppression. The patient had no bone marrow suppression before the medication. She appeared after the medication. Considering the possibility of bone marrow suppression caused by the drug, it is recommended that the patient stop</w:t>
      </w:r>
      <w:r w:rsidR="00B979EC">
        <w:rPr>
          <w:rFonts w:ascii="Book Antiqua" w:eastAsia="Book Antiqua" w:hAnsi="Book Antiqua" w:cs="Book Antiqua"/>
          <w:color w:val="000000"/>
        </w:rPr>
        <w:t>s it</w:t>
      </w:r>
      <w:r w:rsidRPr="00E2495E">
        <w:rPr>
          <w:rFonts w:ascii="Book Antiqua" w:eastAsia="Book Antiqua" w:hAnsi="Book Antiqua" w:cs="Book Antiqua"/>
          <w:color w:val="000000"/>
        </w:rPr>
        <w:t xml:space="preserve"> in time</w:t>
      </w:r>
      <w:r w:rsidR="00187C4E">
        <w:rPr>
          <w:rFonts w:ascii="Book Antiqua" w:eastAsia="Book Antiqua" w:hAnsi="Book Antiqua" w:cs="Book Antiqua"/>
          <w:color w:val="000000"/>
        </w:rPr>
        <w:t>.</w:t>
      </w:r>
      <w:r w:rsidR="00187C4E">
        <w:rPr>
          <w:rStyle w:val="apple-converted-space"/>
          <w:rFonts w:ascii="Book Antiqua" w:eastAsia="Book Antiqua" w:hAnsi="Book Antiqua" w:cs="Book Antiqua"/>
          <w:color w:val="000000"/>
        </w:rPr>
        <w:t xml:space="preserve"> </w:t>
      </w:r>
    </w:p>
    <w:p w14:paraId="57B08817" w14:textId="77777777" w:rsidR="00187C4E" w:rsidRPr="00E2495E" w:rsidRDefault="00187C4E" w:rsidP="00E2495E">
      <w:pPr>
        <w:spacing w:line="360" w:lineRule="auto"/>
        <w:jc w:val="both"/>
        <w:rPr>
          <w:rFonts w:ascii="Book Antiqua" w:hAnsi="Book Antiqua"/>
        </w:rPr>
      </w:pPr>
    </w:p>
    <w:p w14:paraId="71A7FCB3"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Opinions of rheumatology experts</w:t>
      </w:r>
    </w:p>
    <w:p w14:paraId="549651BE" w14:textId="528B10FA" w:rsidR="00A77B3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color w:val="000000"/>
        </w:rPr>
        <w:t>The patient currently has systemic lupus erythematosus and lupus nephritis, and suffers from EB</w:t>
      </w:r>
      <w:r w:rsidR="006371B2">
        <w:rPr>
          <w:rFonts w:ascii="Book Antiqua" w:eastAsia="Book Antiqua" w:hAnsi="Book Antiqua" w:cs="Book Antiqua"/>
          <w:color w:val="000000"/>
        </w:rPr>
        <w:t>V</w:t>
      </w:r>
      <w:r w:rsidRPr="00E2495E">
        <w:rPr>
          <w:rFonts w:ascii="Book Antiqua" w:eastAsia="Book Antiqua" w:hAnsi="Book Antiqua" w:cs="Book Antiqua"/>
          <w:color w:val="000000"/>
        </w:rPr>
        <w:t xml:space="preserve"> infection. It is recommended that the patient be given oral hormones to control systemic lupus erythematosus activities and receive antiviral treatment.</w:t>
      </w:r>
    </w:p>
    <w:p w14:paraId="3C172382" w14:textId="77777777" w:rsidR="00187C4E" w:rsidRPr="00E2495E" w:rsidRDefault="00187C4E" w:rsidP="00E2495E">
      <w:pPr>
        <w:spacing w:line="360" w:lineRule="auto"/>
        <w:jc w:val="both"/>
        <w:rPr>
          <w:rFonts w:ascii="Book Antiqua" w:hAnsi="Book Antiqua"/>
        </w:rPr>
      </w:pPr>
    </w:p>
    <w:p w14:paraId="25CAC376" w14:textId="77777777" w:rsidR="00A77B3E" w:rsidRPr="00187C4E" w:rsidRDefault="00D835DC" w:rsidP="00E2495E">
      <w:pPr>
        <w:spacing w:line="360" w:lineRule="auto"/>
        <w:jc w:val="both"/>
        <w:rPr>
          <w:rFonts w:ascii="Book Antiqua" w:hAnsi="Book Antiqua"/>
          <w:i/>
          <w:iCs/>
        </w:rPr>
      </w:pPr>
      <w:r w:rsidRPr="00187C4E">
        <w:rPr>
          <w:rFonts w:ascii="Book Antiqua" w:eastAsia="Book Antiqua" w:hAnsi="Book Antiqua" w:cs="Book Antiqua"/>
          <w:b/>
          <w:bCs/>
          <w:i/>
          <w:iCs/>
          <w:color w:val="000000"/>
        </w:rPr>
        <w:t>Nephrology expert opinion</w:t>
      </w:r>
    </w:p>
    <w:p w14:paraId="6EB94CBF" w14:textId="7CC2B59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The patient is currently suffering from chronic renal insufficiency, and nephrotic anemia should be corrected, avoiding the use of nephrotoxic drugs</w:t>
      </w:r>
      <w:r w:rsidR="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and delaying the progression of kidney disease.</w:t>
      </w:r>
      <w:r w:rsidR="00187C4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It is recommended that </w:t>
      </w:r>
      <w:r w:rsidR="00B979EC">
        <w:rPr>
          <w:rFonts w:ascii="Book Antiqua" w:eastAsia="Book Antiqua" w:hAnsi="Book Antiqua" w:cs="Book Antiqua"/>
          <w:color w:val="000000"/>
        </w:rPr>
        <w:t xml:space="preserve">the </w:t>
      </w:r>
      <w:r w:rsidR="00B979EC" w:rsidRPr="00E2495E">
        <w:rPr>
          <w:rFonts w:ascii="Book Antiqua" w:eastAsia="Book Antiqua" w:hAnsi="Book Antiqua" w:cs="Book Antiqua"/>
          <w:color w:val="000000"/>
        </w:rPr>
        <w:t>patient</w:t>
      </w:r>
      <w:r w:rsidR="00B979EC">
        <w:rPr>
          <w:rFonts w:ascii="Book Antiqua" w:eastAsia="Book Antiqua" w:hAnsi="Book Antiqua" w:cs="Book Antiqua"/>
          <w:color w:val="000000"/>
        </w:rPr>
        <w:t xml:space="preserve"> be</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regularly check</w:t>
      </w:r>
      <w:r w:rsidR="00B979EC">
        <w:rPr>
          <w:rFonts w:ascii="Book Antiqua" w:eastAsia="Book Antiqua" w:hAnsi="Book Antiqua" w:cs="Book Antiqua"/>
          <w:color w:val="000000"/>
        </w:rPr>
        <w:t>ed</w:t>
      </w:r>
      <w:r w:rsidRPr="00E2495E">
        <w:rPr>
          <w:rFonts w:ascii="Book Antiqua" w:eastAsia="Book Antiqua" w:hAnsi="Book Antiqua" w:cs="Book Antiqua"/>
          <w:color w:val="000000"/>
        </w:rPr>
        <w:t xml:space="preserve"> and evaluate</w:t>
      </w:r>
      <w:r w:rsidR="00B979EC">
        <w:rPr>
          <w:rFonts w:ascii="Book Antiqua" w:eastAsia="Book Antiqua" w:hAnsi="Book Antiqua" w:cs="Book Antiqua"/>
          <w:color w:val="000000"/>
        </w:rPr>
        <w:t>d</w:t>
      </w:r>
      <w:r w:rsidRPr="00E2495E">
        <w:rPr>
          <w:rFonts w:ascii="Book Antiqua" w:eastAsia="Book Antiqua" w:hAnsi="Book Antiqua" w:cs="Book Antiqua"/>
          <w:color w:val="000000"/>
        </w:rPr>
        <w:t xml:space="preserve"> </w:t>
      </w:r>
      <w:r w:rsidR="00B979EC">
        <w:rPr>
          <w:rFonts w:ascii="Book Antiqua" w:eastAsia="Book Antiqua" w:hAnsi="Book Antiqua" w:cs="Book Antiqua"/>
          <w:color w:val="000000"/>
        </w:rPr>
        <w:t xml:space="preserve">for </w:t>
      </w:r>
      <w:r w:rsidRPr="00E2495E">
        <w:rPr>
          <w:rFonts w:ascii="Book Antiqua" w:eastAsia="Book Antiqua" w:hAnsi="Book Antiqua" w:cs="Book Antiqua"/>
          <w:color w:val="000000"/>
        </w:rPr>
        <w:t>renal function.</w:t>
      </w:r>
    </w:p>
    <w:p w14:paraId="55C23525" w14:textId="77777777" w:rsidR="00A77B3E" w:rsidRPr="00E2495E" w:rsidRDefault="00A77B3E" w:rsidP="00E2495E">
      <w:pPr>
        <w:spacing w:line="360" w:lineRule="auto"/>
        <w:jc w:val="both"/>
        <w:rPr>
          <w:rFonts w:ascii="Book Antiqua" w:hAnsi="Book Antiqua"/>
        </w:rPr>
      </w:pPr>
    </w:p>
    <w:p w14:paraId="167DACBA"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FINAL DIAGNOSIS</w:t>
      </w:r>
    </w:p>
    <w:p w14:paraId="6E581EB4" w14:textId="30C4D51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Systematic lupus erythematosus, lupus nephritis, chronic renal insufficiency, hypertension phase-3, drug-related bone marrow inhibition, granulocytopenia</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EB</w:t>
      </w:r>
      <w:r w:rsidR="006371B2">
        <w:rPr>
          <w:rFonts w:ascii="Book Antiqua" w:eastAsia="Book Antiqua" w:hAnsi="Book Antiqua" w:cs="Book Antiqua"/>
          <w:color w:val="000000"/>
        </w:rPr>
        <w:t>V</w:t>
      </w:r>
      <w:r w:rsidRPr="00E2495E">
        <w:rPr>
          <w:rFonts w:ascii="Book Antiqua" w:eastAsia="Book Antiqua" w:hAnsi="Book Antiqua" w:cs="Book Antiqua"/>
          <w:color w:val="000000"/>
        </w:rPr>
        <w:t xml:space="preserve"> infection.</w:t>
      </w:r>
    </w:p>
    <w:p w14:paraId="459ED601" w14:textId="77777777" w:rsidR="00A77B3E" w:rsidRPr="00E2495E" w:rsidRDefault="00A77B3E" w:rsidP="00E2495E">
      <w:pPr>
        <w:spacing w:line="360" w:lineRule="auto"/>
        <w:jc w:val="both"/>
        <w:rPr>
          <w:rFonts w:ascii="Book Antiqua" w:hAnsi="Book Antiqua"/>
        </w:rPr>
      </w:pPr>
    </w:p>
    <w:p w14:paraId="7984AC8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TREATMENT</w:t>
      </w:r>
    </w:p>
    <w:p w14:paraId="71DB4115" w14:textId="21F5C45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Although the patient had no common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pathogenic site mutation, the relationship of severe bone marrow inhibition and alopecia with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was recognized and the treatment stopped in a timely manner. Treatment with ganciclovir, meropenem, cystatin sodium, linezolid</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itraconazole was given, with transfusion of suspended red blood cells, plasma</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blood platelets, as well as injection of filgrastim, recombinant human interleukin-11</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erythropoietin. Moreover, the oral administration of prednisone at 10 mg/d was carried out to control systematic lupus erythematosus.</w:t>
      </w:r>
    </w:p>
    <w:p w14:paraId="035CA9A9" w14:textId="77777777" w:rsidR="00A77B3E" w:rsidRPr="00E2495E" w:rsidRDefault="00A77B3E" w:rsidP="00E2495E">
      <w:pPr>
        <w:spacing w:line="360" w:lineRule="auto"/>
        <w:jc w:val="both"/>
        <w:rPr>
          <w:rFonts w:ascii="Book Antiqua" w:hAnsi="Book Antiqua"/>
        </w:rPr>
      </w:pPr>
    </w:p>
    <w:p w14:paraId="14E5629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OUTCOME AND FOLLOW-UP</w:t>
      </w:r>
    </w:p>
    <w:p w14:paraId="3F03ABB8" w14:textId="54BD6D7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Three weeks later, the patient’s body temperature decreased to normal, with routine blood </w:t>
      </w:r>
      <w:r w:rsidR="00B979EC">
        <w:rPr>
          <w:rFonts w:ascii="Book Antiqua" w:eastAsia="Book Antiqua" w:hAnsi="Book Antiqua" w:cs="Book Antiqua"/>
          <w:color w:val="000000"/>
        </w:rPr>
        <w:t xml:space="preserve">parameters </w:t>
      </w:r>
      <w:r w:rsidR="00B979EC" w:rsidRPr="00E2495E">
        <w:rPr>
          <w:rFonts w:ascii="Book Antiqua" w:eastAsia="Book Antiqua" w:hAnsi="Book Antiqua" w:cs="Book Antiqua"/>
          <w:color w:val="000000"/>
        </w:rPr>
        <w:t>recover</w:t>
      </w:r>
      <w:r w:rsidR="00B979EC">
        <w:rPr>
          <w:rFonts w:ascii="Book Antiqua" w:eastAsia="Book Antiqua" w:hAnsi="Book Antiqua" w:cs="Book Antiqua"/>
          <w:color w:val="000000"/>
        </w:rPr>
        <w:t>ing</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to normal values, as well as blood creatine levels at 161 μmol/L. More than 2 mo after AZA was withdrawn, the patient's hair regrew. Serum creatinine was maintained at 160-190 μmol/L.</w:t>
      </w:r>
    </w:p>
    <w:p w14:paraId="0ADF9786" w14:textId="77777777" w:rsidR="00A77B3E" w:rsidRPr="00E2495E" w:rsidRDefault="00A77B3E" w:rsidP="00E2495E">
      <w:pPr>
        <w:spacing w:line="360" w:lineRule="auto"/>
        <w:jc w:val="both"/>
        <w:rPr>
          <w:rFonts w:ascii="Book Antiqua" w:hAnsi="Book Antiqua"/>
        </w:rPr>
      </w:pPr>
    </w:p>
    <w:p w14:paraId="3EC4B5D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DISCUSSION</w:t>
      </w:r>
    </w:p>
    <w:p w14:paraId="1B7FC701" w14:textId="6A391AD0"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The enzyme activity of TPMT is key to the safe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which strongly inactivates thiopurine metabolites (6-MP and </w:t>
      </w:r>
      <w:r w:rsidR="00187C4E" w:rsidRPr="00187C4E">
        <w:rPr>
          <w:rFonts w:ascii="Book Antiqua" w:eastAsia="Book Antiqua" w:hAnsi="Book Antiqua" w:cs="Book Antiqua"/>
          <w:color w:val="000000"/>
        </w:rPr>
        <w:t>6-thiguanine nucleotide</w:t>
      </w:r>
      <w:r w:rsidRPr="00E2495E">
        <w:rPr>
          <w:rFonts w:ascii="Book Antiqua" w:eastAsia="Book Antiqua" w:hAnsi="Book Antiqua" w:cs="Book Antiqua"/>
          <w:color w:val="000000"/>
        </w:rPr>
        <w:t>) to protect the body from thiopurine cytotoxicity</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8</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allelic polymorphism testing shows that the 3/100-14/100 crowd is heterozygous, and its enzyme activity is 50% of that of the normal crowd, while the 1/3736-1/178 crowd is completely defective</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9</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r w:rsidRPr="00E2495E">
        <w:rPr>
          <w:rFonts w:ascii="Book Antiqua" w:eastAsia="Book Antiqua" w:hAnsi="Book Antiqua" w:cs="Book Antiqua"/>
          <w:color w:val="000000"/>
          <w:vertAlign w:val="superscript"/>
        </w:rPr>
        <w:t xml:space="preserve"> </w:t>
      </w:r>
      <w:r w:rsidRPr="00E2495E">
        <w:rPr>
          <w:rFonts w:ascii="Book Antiqua" w:eastAsia="Book Antiqua" w:hAnsi="Book Antiqua" w:cs="Book Antiqua"/>
          <w:color w:val="000000"/>
        </w:rPr>
        <w:t>Hence, the U</w:t>
      </w:r>
      <w:r w:rsidR="00187C4E">
        <w:rPr>
          <w:rFonts w:ascii="Book Antiqua" w:eastAsia="Book Antiqua" w:hAnsi="Book Antiqua" w:cs="Book Antiqua"/>
          <w:color w:val="000000"/>
        </w:rPr>
        <w:t xml:space="preserve">nited </w:t>
      </w:r>
      <w:r w:rsidRPr="00E2495E">
        <w:rPr>
          <w:rFonts w:ascii="Book Antiqua" w:eastAsia="Book Antiqua" w:hAnsi="Book Antiqua" w:cs="Book Antiqua"/>
          <w:color w:val="000000"/>
        </w:rPr>
        <w:t>S</w:t>
      </w:r>
      <w:r w:rsidR="00187C4E">
        <w:rPr>
          <w:rFonts w:ascii="Book Antiqua" w:eastAsia="Book Antiqua" w:hAnsi="Book Antiqua" w:cs="Book Antiqua"/>
          <w:color w:val="000000"/>
        </w:rPr>
        <w:t>tates</w:t>
      </w:r>
      <w:r w:rsidRPr="00E2495E">
        <w:rPr>
          <w:rFonts w:ascii="Book Antiqua" w:eastAsia="Book Antiqua" w:hAnsi="Book Antiqua" w:cs="Book Antiqua"/>
          <w:color w:val="000000"/>
        </w:rPr>
        <w:t xml:space="preserve"> Food and Drug Administration and World Gastroenterology Organization recommend that </w:t>
      </w:r>
      <w:r w:rsidRPr="00187C4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levels be tested prior to treatment and hold that those with low TPMT enzyme activity (those with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homozygotes) shall prevent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and those with median or normal enzyme activity can be used to an appropriate extent with routine blood tests to avoid severe adverse reactions</w:t>
      </w:r>
      <w:r w:rsidR="00187C4E" w:rsidRPr="00187C4E">
        <w:rPr>
          <w:rFonts w:ascii="Book Antiqua" w:eastAsia="Book Antiqua" w:hAnsi="Book Antiqua" w:cs="Book Antiqua"/>
          <w:color w:val="000000"/>
          <w:vertAlign w:val="superscript"/>
        </w:rPr>
        <w:t>[</w:t>
      </w:r>
      <w:r w:rsidRPr="00187C4E">
        <w:rPr>
          <w:rFonts w:ascii="Book Antiqua" w:eastAsia="Book Antiqua" w:hAnsi="Book Antiqua" w:cs="Book Antiqua"/>
          <w:color w:val="000000"/>
          <w:vertAlign w:val="superscript"/>
        </w:rPr>
        <w:t>1</w:t>
      </w:r>
      <w:r w:rsidRPr="00E2495E">
        <w:rPr>
          <w:rFonts w:ascii="Book Antiqua" w:eastAsia="Book Antiqua" w:hAnsi="Book Antiqua" w:cs="Book Antiqua"/>
          <w:color w:val="000000"/>
          <w:vertAlign w:val="superscript"/>
        </w:rPr>
        <w:t>0</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Among Chinese Han people, there may be those without TPMT activity or with homozygous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mutations. The most common alleles are </w:t>
      </w:r>
      <w:r w:rsidRPr="00E2495E">
        <w:rPr>
          <w:rFonts w:ascii="Book Antiqua" w:eastAsia="Book Antiqua" w:hAnsi="Book Antiqua" w:cs="Book Antiqua"/>
          <w:i/>
          <w:iCs/>
          <w:color w:val="000000"/>
        </w:rPr>
        <w:t>TPMT*3C</w:t>
      </w:r>
      <w:r w:rsidR="00187C4E" w:rsidRP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11</w:t>
      </w:r>
      <w:r w:rsidR="00187C4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w:t>
      </w:r>
    </w:p>
    <w:p w14:paraId="10022E0F" w14:textId="60AFCA56" w:rsidR="00A77B3E" w:rsidRPr="00E2495E" w:rsidRDefault="00D835DC" w:rsidP="00E2495E">
      <w:pPr>
        <w:spacing w:line="360" w:lineRule="auto"/>
        <w:ind w:firstLine="480"/>
        <w:jc w:val="both"/>
        <w:rPr>
          <w:rFonts w:ascii="Book Antiqua" w:hAnsi="Book Antiqua"/>
        </w:rPr>
      </w:pPr>
      <w:r w:rsidRPr="00E2495E">
        <w:rPr>
          <w:rFonts w:ascii="Book Antiqua" w:eastAsia="Book Antiqua" w:hAnsi="Book Antiqua" w:cs="Book Antiqua"/>
          <w:color w:val="000000"/>
        </w:rPr>
        <w:t>The patient in this paper experienced severe bone marrow inhibition, agranulocytosis</w:t>
      </w:r>
      <w:r w:rsidR="00B979EC">
        <w:rPr>
          <w:rFonts w:ascii="Book Antiqua" w:eastAsia="Book Antiqua" w:hAnsi="Book Antiqua" w:cs="Book Antiqua"/>
          <w:color w:val="000000"/>
        </w:rPr>
        <w:t>,</w:t>
      </w:r>
      <w:r w:rsidRPr="00E2495E">
        <w:rPr>
          <w:rFonts w:ascii="Book Antiqua" w:eastAsia="Book Antiqua" w:hAnsi="Book Antiqua" w:cs="Book Antiqua"/>
          <w:color w:val="000000"/>
        </w:rPr>
        <w:t xml:space="preserve"> and alopecia 15 d after the use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w:t>
      </w:r>
      <w:r w:rsidRPr="00E2495E">
        <w:rPr>
          <w:rFonts w:ascii="Book Antiqua" w:eastAsia="Book Antiqua" w:hAnsi="Book Antiqua" w:cs="Book Antiqua"/>
          <w:color w:val="000000"/>
        </w:rPr>
        <w:lastRenderedPageBreak/>
        <w:t xml:space="preserve">test showed no abnormity in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Possible reasons for this result are as follows: (1) </w:t>
      </w:r>
      <w:r w:rsidR="00B979EC">
        <w:rPr>
          <w:rFonts w:ascii="Book Antiqua" w:eastAsia="Book Antiqua" w:hAnsi="Book Antiqua" w:cs="Book Antiqua"/>
          <w:color w:val="000000"/>
        </w:rPr>
        <w:t>O</w:t>
      </w:r>
      <w:r w:rsidR="00B979EC" w:rsidRPr="00E2495E">
        <w:rPr>
          <w:rFonts w:ascii="Book Antiqua" w:eastAsia="Book Antiqua" w:hAnsi="Book Antiqua" w:cs="Book Antiqua"/>
          <w:color w:val="000000"/>
        </w:rPr>
        <w:t xml:space="preserve">ver </w:t>
      </w:r>
      <w:r w:rsidRPr="00E2495E">
        <w:rPr>
          <w:rFonts w:ascii="Book Antiqua" w:eastAsia="Book Antiqua" w:hAnsi="Book Antiqua" w:cs="Book Antiqua"/>
          <w:color w:val="000000"/>
        </w:rPr>
        <w:t xml:space="preserve">40 polymorphisms in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have been documented to have an effect on the enzymatic activity of TPMT at present, and we did not test all the sites sufficiently</w:t>
      </w:r>
      <w:r w:rsidR="00187C4E">
        <w:rPr>
          <w:rFonts w:ascii="Book Antiqua" w:eastAsia="Book Antiqua" w:hAnsi="Book Antiqua" w:cs="Book Antiqua"/>
          <w:color w:val="000000"/>
        </w:rPr>
        <w:t>;</w:t>
      </w:r>
      <w:r w:rsidRPr="00E2495E">
        <w:rPr>
          <w:rFonts w:ascii="Book Antiqua" w:eastAsia="Book Antiqua" w:hAnsi="Book Antiqua" w:cs="Book Antiqua"/>
          <w:color w:val="000000"/>
        </w:rPr>
        <w:t xml:space="preserve"> (2) </w:t>
      </w:r>
      <w:r w:rsidR="00187C4E">
        <w:rPr>
          <w:rFonts w:ascii="Book Antiqua" w:eastAsia="Book Antiqua" w:hAnsi="Book Antiqua" w:cs="Book Antiqua"/>
          <w:color w:val="000000"/>
        </w:rPr>
        <w:t>i</w:t>
      </w:r>
      <w:r w:rsidRPr="00E2495E">
        <w:rPr>
          <w:rFonts w:ascii="Book Antiqua" w:eastAsia="Book Antiqua" w:hAnsi="Book Antiqua" w:cs="Book Antiqua"/>
          <w:color w:val="000000"/>
        </w:rPr>
        <w:t xml:space="preserve">n addition to TPMT, the activity of other enzymes, such as nucleoside diphosphate-linked moiety X motif 15 (NUDT 15) and inosine triphosphate pyrophosphatase (ITPA), also affects the metabolic process of AZA and is linked with the toxicity of </w:t>
      </w:r>
      <w:r w:rsidR="004911A6" w:rsidRPr="00E2495E">
        <w:rPr>
          <w:rFonts w:ascii="Book Antiqua" w:eastAsia="Book Antiqua" w:hAnsi="Book Antiqua" w:cs="Book Antiqua"/>
          <w:color w:val="000000"/>
        </w:rPr>
        <w:t>AZA</w:t>
      </w:r>
      <w:r w:rsidR="00C5317E" w:rsidRP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12-15</w:t>
      </w:r>
      <w:r w:rsid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rPr>
        <w:t xml:space="preserve">. Unfortunately, in this case, the </w:t>
      </w:r>
      <w:r w:rsidRPr="00E2495E">
        <w:rPr>
          <w:rFonts w:ascii="Book Antiqua" w:eastAsia="Book Antiqua" w:hAnsi="Book Antiqua" w:cs="Book Antiqua"/>
          <w:i/>
          <w:iCs/>
          <w:color w:val="000000"/>
        </w:rPr>
        <w:t>NUDT 15</w:t>
      </w:r>
      <w:r w:rsidRPr="00E2495E">
        <w:rPr>
          <w:rFonts w:ascii="Book Antiqua" w:eastAsia="Book Antiqua" w:hAnsi="Book Antiqua" w:cs="Book Antiqua"/>
          <w:color w:val="000000"/>
        </w:rPr>
        <w:t xml:space="preserve"> and </w:t>
      </w:r>
      <w:r w:rsidRPr="00E2495E">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gene polymorphisms were not detected, and we do not know if there is any abnormality of this gene in the patient</w:t>
      </w:r>
      <w:r w:rsidR="00187C4E">
        <w:rPr>
          <w:rFonts w:ascii="Book Antiqua" w:eastAsia="Book Antiqua" w:hAnsi="Book Antiqua" w:cs="Book Antiqua"/>
          <w:color w:val="000000"/>
        </w:rPr>
        <w:t>;</w:t>
      </w:r>
      <w:r w:rsidRPr="00E2495E">
        <w:rPr>
          <w:rFonts w:ascii="Book Antiqua" w:eastAsia="Book Antiqua" w:hAnsi="Book Antiqua" w:cs="Book Antiqua"/>
          <w:color w:val="000000"/>
        </w:rPr>
        <w:t xml:space="preserve"> (3) </w:t>
      </w:r>
      <w:r w:rsidR="00B979EC">
        <w:rPr>
          <w:rFonts w:ascii="Book Antiqua" w:eastAsia="Book Antiqua" w:hAnsi="Book Antiqua" w:cs="Book Antiqua"/>
          <w:color w:val="000000"/>
        </w:rPr>
        <w:t>t</w:t>
      </w:r>
      <w:r w:rsidR="00B979EC" w:rsidRPr="00E2495E">
        <w:rPr>
          <w:rFonts w:ascii="Book Antiqua" w:eastAsia="Book Antiqua" w:hAnsi="Book Antiqua" w:cs="Book Antiqua"/>
          <w:color w:val="000000"/>
        </w:rPr>
        <w:t xml:space="preserve">here </w:t>
      </w:r>
      <w:r w:rsidRPr="00E2495E">
        <w:rPr>
          <w:rFonts w:ascii="Book Antiqua" w:eastAsia="Book Antiqua" w:hAnsi="Book Antiqua" w:cs="Book Antiqua"/>
          <w:color w:val="000000"/>
        </w:rPr>
        <w:t>may be other factors related to the toxicity of AZA that have not yet been found or validated, such as fat mass and obesity-associated protein</w:t>
      </w:r>
      <w:r w:rsidR="00C5317E" w:rsidRPr="00C5317E">
        <w:rPr>
          <w:rFonts w:ascii="Book Antiqua" w:eastAsia="Book Antiqua" w:hAnsi="Book Antiqua" w:cs="Book Antiqua"/>
          <w:color w:val="000000"/>
          <w:vertAlign w:val="superscript"/>
        </w:rPr>
        <w:t>[</w:t>
      </w:r>
      <w:r w:rsidRPr="00E2495E">
        <w:rPr>
          <w:rFonts w:ascii="Book Antiqua" w:eastAsia="Book Antiqua" w:hAnsi="Book Antiqua" w:cs="Book Antiqua"/>
          <w:color w:val="000000"/>
          <w:vertAlign w:val="superscript"/>
        </w:rPr>
        <w:t>16</w:t>
      </w:r>
      <w:r w:rsidR="00C5317E">
        <w:rPr>
          <w:rFonts w:ascii="Book Antiqua" w:eastAsia="Book Antiqua" w:hAnsi="Book Antiqua" w:cs="Book Antiqua"/>
          <w:color w:val="000000"/>
          <w:vertAlign w:val="superscript"/>
        </w:rPr>
        <w:t>]</w:t>
      </w:r>
      <w:r w:rsidR="00C5317E">
        <w:rPr>
          <w:rFonts w:ascii="Book Antiqua" w:eastAsia="Book Antiqua" w:hAnsi="Book Antiqua" w:cs="Book Antiqua"/>
          <w:color w:val="000000"/>
        </w:rPr>
        <w:t>; and</w:t>
      </w:r>
      <w:r w:rsidRPr="00E2495E">
        <w:rPr>
          <w:rFonts w:ascii="Book Antiqua" w:eastAsia="Book Antiqua" w:hAnsi="Book Antiqua" w:cs="Book Antiqua"/>
          <w:color w:val="000000"/>
        </w:rPr>
        <w:t xml:space="preserve"> (4) </w:t>
      </w:r>
      <w:r w:rsidR="00C5317E">
        <w:rPr>
          <w:rFonts w:ascii="Book Antiqua" w:eastAsia="Book Antiqua" w:hAnsi="Book Antiqua" w:cs="Book Antiqua"/>
          <w:color w:val="000000"/>
        </w:rPr>
        <w:t>i</w:t>
      </w:r>
      <w:r w:rsidRPr="00E2495E">
        <w:rPr>
          <w:rFonts w:ascii="Book Antiqua" w:eastAsia="Book Antiqua" w:hAnsi="Book Antiqua" w:cs="Book Antiqua"/>
          <w:color w:val="000000"/>
        </w:rPr>
        <w:t xml:space="preserve">n addition, this patient </w:t>
      </w:r>
      <w:r w:rsidR="00B979EC" w:rsidRPr="00E2495E">
        <w:rPr>
          <w:rFonts w:ascii="Book Antiqua" w:eastAsia="Book Antiqua" w:hAnsi="Book Antiqua" w:cs="Book Antiqua"/>
          <w:color w:val="000000"/>
        </w:rPr>
        <w:t>d</w:t>
      </w:r>
      <w:r w:rsidR="00B979EC">
        <w:rPr>
          <w:rFonts w:ascii="Book Antiqua" w:eastAsia="Book Antiqua" w:hAnsi="Book Antiqua" w:cs="Book Antiqua"/>
          <w:color w:val="000000"/>
        </w:rPr>
        <w:t>id</w:t>
      </w:r>
      <w:r w:rsidR="00B979EC"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have</w:t>
      </w:r>
      <w:r w:rsidR="00B979EC">
        <w:rPr>
          <w:rFonts w:ascii="Book Antiqua" w:eastAsia="Book Antiqua" w:hAnsi="Book Antiqua" w:cs="Book Antiqua"/>
          <w:color w:val="000000"/>
        </w:rPr>
        <w:t xml:space="preserve"> </w:t>
      </w:r>
      <w:r w:rsidRPr="00E2495E">
        <w:rPr>
          <w:rFonts w:ascii="Book Antiqua" w:eastAsia="Book Antiqua" w:hAnsi="Book Antiqua" w:cs="Book Antiqua"/>
          <w:color w:val="000000"/>
        </w:rPr>
        <w:t>hypoproteinemia and decreased renal function, which may cause an increase in plasma concentration and the occurrence of adverse reactions.</w:t>
      </w:r>
    </w:p>
    <w:p w14:paraId="3EADADDF" w14:textId="77777777" w:rsidR="00A77B3E" w:rsidRPr="00E2495E" w:rsidRDefault="00A77B3E" w:rsidP="00E2495E">
      <w:pPr>
        <w:spacing w:line="360" w:lineRule="auto"/>
        <w:ind w:firstLine="480"/>
        <w:jc w:val="both"/>
        <w:rPr>
          <w:rFonts w:ascii="Book Antiqua" w:hAnsi="Book Antiqua"/>
        </w:rPr>
      </w:pPr>
    </w:p>
    <w:p w14:paraId="27F4153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aps/>
          <w:color w:val="000000"/>
          <w:u w:val="single"/>
        </w:rPr>
        <w:t>CONCLUSION</w:t>
      </w:r>
    </w:p>
    <w:p w14:paraId="59DF74BD" w14:textId="52F2228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This case alerts us that even though the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has no common pathogenic site mutation, severe myelosuppression may also occur. The adverse reactions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are caused by polygenes and multiple factors. Only </w:t>
      </w:r>
      <w:r w:rsidRPr="00DF265D">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 polymorphism testing cannot fully predict 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such as bone marrow inhibition and alopecia. According to the literature mentioned above, </w:t>
      </w:r>
      <w:r w:rsidRPr="00DF265D">
        <w:rPr>
          <w:rFonts w:ascii="Book Antiqua" w:eastAsia="Book Antiqua" w:hAnsi="Book Antiqua" w:cs="Book Antiqua"/>
          <w:i/>
          <w:iCs/>
          <w:color w:val="000000"/>
        </w:rPr>
        <w:t>NUDT 15</w:t>
      </w:r>
      <w:r w:rsidRPr="00E2495E">
        <w:rPr>
          <w:rFonts w:ascii="Book Antiqua" w:eastAsia="Book Antiqua" w:hAnsi="Book Antiqua" w:cs="Book Antiqua"/>
          <w:color w:val="000000"/>
        </w:rPr>
        <w:t xml:space="preserve"> and </w:t>
      </w:r>
      <w:r w:rsidRPr="00DF265D">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gene polymorphism tests should be performed as well to predict the occurrence of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adverse reactions and further guide initial medication. On the other hand, </w:t>
      </w:r>
      <w:r w:rsidR="004911A6" w:rsidRPr="00E2495E">
        <w:rPr>
          <w:rFonts w:ascii="Book Antiqua" w:eastAsia="Book Antiqua" w:hAnsi="Book Antiqua" w:cs="Book Antiqua"/>
          <w:color w:val="000000"/>
        </w:rPr>
        <w:t>AZA</w:t>
      </w:r>
      <w:r w:rsidRPr="00E2495E">
        <w:rPr>
          <w:rFonts w:ascii="Book Antiqua" w:eastAsia="Book Antiqua" w:hAnsi="Book Antiqua" w:cs="Book Antiqua"/>
          <w:color w:val="000000"/>
        </w:rPr>
        <w:t xml:space="preserve"> should be used with caution, and whole blood examination and liver and kidney function should be closely monitored during the entire treatment of AZA regardless of the status of </w:t>
      </w:r>
      <w:r w:rsidRPr="00DF265D">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w:t>
      </w:r>
      <w:r w:rsidRPr="00DF265D">
        <w:rPr>
          <w:rFonts w:ascii="Book Antiqua" w:eastAsia="Book Antiqua" w:hAnsi="Book Antiqua" w:cs="Book Antiqua"/>
          <w:i/>
          <w:iCs/>
          <w:color w:val="000000"/>
        </w:rPr>
        <w:t xml:space="preserve">NUDT </w:t>
      </w:r>
      <w:r w:rsidR="00B979EC" w:rsidRPr="00DF265D">
        <w:rPr>
          <w:rFonts w:ascii="Book Antiqua" w:eastAsia="Book Antiqua" w:hAnsi="Book Antiqua" w:cs="Book Antiqua"/>
          <w:i/>
          <w:iCs/>
          <w:color w:val="000000"/>
        </w:rPr>
        <w:t>15</w:t>
      </w:r>
      <w:r w:rsidR="00B979EC">
        <w:rPr>
          <w:rFonts w:ascii="Book Antiqua" w:eastAsia="Book Antiqua" w:hAnsi="Book Antiqua" w:cs="Book Antiqua"/>
          <w:i/>
          <w:iCs/>
          <w:color w:val="000000"/>
        </w:rPr>
        <w:t xml:space="preserve">, </w:t>
      </w:r>
      <w:r w:rsidRPr="00E2495E">
        <w:rPr>
          <w:rFonts w:ascii="Book Antiqua" w:eastAsia="Book Antiqua" w:hAnsi="Book Antiqua" w:cs="Book Antiqua"/>
          <w:color w:val="000000"/>
        </w:rPr>
        <w:t xml:space="preserve">and </w:t>
      </w:r>
      <w:r w:rsidRPr="00DF265D">
        <w:rPr>
          <w:rFonts w:ascii="Book Antiqua" w:eastAsia="Book Antiqua" w:hAnsi="Book Antiqua" w:cs="Book Antiqua"/>
          <w:i/>
          <w:iCs/>
          <w:color w:val="000000"/>
        </w:rPr>
        <w:t>ITPA</w:t>
      </w:r>
      <w:r w:rsidRPr="00E2495E">
        <w:rPr>
          <w:rFonts w:ascii="Book Antiqua" w:eastAsia="Book Antiqua" w:hAnsi="Book Antiqua" w:cs="Book Antiqua"/>
          <w:color w:val="000000"/>
        </w:rPr>
        <w:t xml:space="preserve"> </w:t>
      </w:r>
      <w:r w:rsidR="004911A6" w:rsidRPr="004911A6">
        <w:rPr>
          <w:rFonts w:ascii="Book Antiqua" w:eastAsia="Book Antiqua" w:hAnsi="Book Antiqua" w:cs="Book Antiqua"/>
          <w:color w:val="000000"/>
        </w:rPr>
        <w:t>single nucleotide polymorphisms</w:t>
      </w:r>
      <w:r w:rsidRPr="00E2495E">
        <w:rPr>
          <w:rFonts w:ascii="Book Antiqua" w:eastAsia="Book Antiqua" w:hAnsi="Book Antiqua" w:cs="Book Antiqua"/>
          <w:color w:val="000000"/>
        </w:rPr>
        <w:t>.</w:t>
      </w:r>
    </w:p>
    <w:p w14:paraId="6C8E5D9C" w14:textId="77777777" w:rsidR="00A77B3E" w:rsidRPr="00E2495E" w:rsidRDefault="00A77B3E" w:rsidP="00E2495E">
      <w:pPr>
        <w:spacing w:line="360" w:lineRule="auto"/>
        <w:jc w:val="both"/>
        <w:rPr>
          <w:rFonts w:ascii="Book Antiqua" w:hAnsi="Book Antiqua"/>
        </w:rPr>
      </w:pPr>
    </w:p>
    <w:p w14:paraId="2CAA198B" w14:textId="77777777" w:rsidR="00A77B3E" w:rsidRPr="00E2495E" w:rsidRDefault="00D835DC" w:rsidP="00E2495E">
      <w:pPr>
        <w:spacing w:line="360" w:lineRule="auto"/>
        <w:jc w:val="both"/>
        <w:rPr>
          <w:rFonts w:ascii="Book Antiqua" w:hAnsi="Book Antiqua"/>
          <w:lang w:val="pt-BR"/>
        </w:rPr>
      </w:pPr>
      <w:r w:rsidRPr="00E2495E">
        <w:rPr>
          <w:rFonts w:ascii="Book Antiqua" w:eastAsia="Book Antiqua" w:hAnsi="Book Antiqua" w:cs="Book Antiqua"/>
          <w:b/>
          <w:color w:val="000000"/>
          <w:lang w:val="pt-BR"/>
        </w:rPr>
        <w:t>REFERENCES</w:t>
      </w:r>
    </w:p>
    <w:p w14:paraId="14A2A451" w14:textId="1E5E01F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lang w:val="pt-BR"/>
        </w:rPr>
        <w:lastRenderedPageBreak/>
        <w:t xml:space="preserve">1 </w:t>
      </w:r>
      <w:r w:rsidRPr="00E2495E">
        <w:rPr>
          <w:rFonts w:ascii="Book Antiqua" w:eastAsia="Book Antiqua" w:hAnsi="Book Antiqua" w:cs="Book Antiqua"/>
          <w:b/>
          <w:bCs/>
          <w:color w:val="000000"/>
          <w:lang w:val="pt-BR"/>
        </w:rPr>
        <w:t>Saraçaydin A</w:t>
      </w:r>
      <w:r w:rsidRPr="00E2495E">
        <w:rPr>
          <w:rFonts w:ascii="Book Antiqua" w:eastAsia="Book Antiqua" w:hAnsi="Book Antiqua" w:cs="Book Antiqua"/>
          <w:color w:val="000000"/>
          <w:lang w:val="pt-BR"/>
        </w:rPr>
        <w:t xml:space="preserve">, Katircioglu S, Katircioglu S, Karatay MC. </w:t>
      </w:r>
      <w:r w:rsidRPr="00E2495E">
        <w:rPr>
          <w:rFonts w:ascii="Book Antiqua" w:eastAsia="Book Antiqua" w:hAnsi="Book Antiqua" w:cs="Book Antiqua"/>
          <w:color w:val="000000"/>
        </w:rPr>
        <w:t xml:space="preserve">Azathioprine in combination with steroids in the treatment of autoimmune inner-ear disease. </w:t>
      </w:r>
      <w:r w:rsidRPr="00E2495E">
        <w:rPr>
          <w:rFonts w:ascii="Book Antiqua" w:eastAsia="Book Antiqua" w:hAnsi="Book Antiqua" w:cs="Book Antiqua"/>
          <w:i/>
          <w:iCs/>
          <w:color w:val="000000"/>
        </w:rPr>
        <w:t>J Int Med Res</w:t>
      </w:r>
      <w:r w:rsidRPr="00E2495E">
        <w:rPr>
          <w:rFonts w:ascii="Book Antiqua" w:eastAsia="Book Antiqua" w:hAnsi="Book Antiqua" w:cs="Book Antiqua"/>
          <w:color w:val="000000"/>
        </w:rPr>
        <w:t xml:space="preserve"> 1993; </w:t>
      </w:r>
      <w:r w:rsidRPr="00E2495E">
        <w:rPr>
          <w:rFonts w:ascii="Book Antiqua" w:eastAsia="Book Antiqua" w:hAnsi="Book Antiqua" w:cs="Book Antiqua"/>
          <w:b/>
          <w:bCs/>
          <w:color w:val="000000"/>
        </w:rPr>
        <w:t>21</w:t>
      </w:r>
      <w:r w:rsidRPr="00E2495E">
        <w:rPr>
          <w:rFonts w:ascii="Book Antiqua" w:eastAsia="Book Antiqua" w:hAnsi="Book Antiqua" w:cs="Book Antiqua"/>
          <w:color w:val="000000"/>
        </w:rPr>
        <w:t>: 192-196 [PMID: 8112477 DOI: 10.1177/030006059302100404]</w:t>
      </w:r>
    </w:p>
    <w:p w14:paraId="3E868175" w14:textId="177D6D3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2 </w:t>
      </w:r>
      <w:r w:rsidRPr="00E2495E">
        <w:rPr>
          <w:rFonts w:ascii="Book Antiqua" w:eastAsia="Book Antiqua" w:hAnsi="Book Antiqua" w:cs="Book Antiqua"/>
          <w:b/>
          <w:bCs/>
          <w:color w:val="000000"/>
        </w:rPr>
        <w:t>Gearry RB</w:t>
      </w:r>
      <w:r w:rsidRPr="00E2495E">
        <w:rPr>
          <w:rFonts w:ascii="Book Antiqua" w:eastAsia="Book Antiqua" w:hAnsi="Book Antiqua" w:cs="Book Antiqua"/>
          <w:color w:val="000000"/>
        </w:rPr>
        <w:t xml:space="preserve">, Barclay ML. Azathioprine and 6-mercaptopurine pharmacogenetics and metabolite monitoring in inflammatory bowel disease. </w:t>
      </w:r>
      <w:r w:rsidRPr="00E2495E">
        <w:rPr>
          <w:rFonts w:ascii="Book Antiqua" w:eastAsia="Book Antiqua" w:hAnsi="Book Antiqua" w:cs="Book Antiqua"/>
          <w:i/>
          <w:iCs/>
          <w:color w:val="000000"/>
        </w:rPr>
        <w:t>J Gastroenterol Hepatol</w:t>
      </w:r>
      <w:r w:rsidRPr="00E2495E">
        <w:rPr>
          <w:rFonts w:ascii="Book Antiqua" w:eastAsia="Book Antiqua" w:hAnsi="Book Antiqua" w:cs="Book Antiqua"/>
          <w:color w:val="000000"/>
        </w:rPr>
        <w:t xml:space="preserve"> 2005; </w:t>
      </w:r>
      <w:r w:rsidRPr="00E2495E">
        <w:rPr>
          <w:rFonts w:ascii="Book Antiqua" w:eastAsia="Book Antiqua" w:hAnsi="Book Antiqua" w:cs="Book Antiqua"/>
          <w:b/>
          <w:bCs/>
          <w:color w:val="000000"/>
        </w:rPr>
        <w:t>20</w:t>
      </w:r>
      <w:r w:rsidRPr="00E2495E">
        <w:rPr>
          <w:rFonts w:ascii="Book Antiqua" w:eastAsia="Book Antiqua" w:hAnsi="Book Antiqua" w:cs="Book Antiqua"/>
          <w:color w:val="000000"/>
        </w:rPr>
        <w:t>: 1149-1157 [PMID: 16048561 DOI: 10.1111/j.1440-1746.2005.03832.x]</w:t>
      </w:r>
    </w:p>
    <w:p w14:paraId="49212AAA" w14:textId="41D2C731"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3 </w:t>
      </w:r>
      <w:r w:rsidRPr="00E2495E">
        <w:rPr>
          <w:rFonts w:ascii="Book Antiqua" w:eastAsia="Book Antiqua" w:hAnsi="Book Antiqua" w:cs="Book Antiqua"/>
          <w:b/>
          <w:bCs/>
          <w:color w:val="000000"/>
        </w:rPr>
        <w:t>Bhatia S</w:t>
      </w:r>
      <w:r w:rsidRPr="00E2495E">
        <w:rPr>
          <w:rFonts w:ascii="Book Antiqua" w:eastAsia="Book Antiqua" w:hAnsi="Book Antiqua" w:cs="Book Antiqua"/>
          <w:color w:val="000000"/>
        </w:rPr>
        <w:t xml:space="preserve">, Landier W, Hageman L, Chen Y, Kim H, Sun CL, Kornegay N, Evans WE, Angiolillo AL, Bostrom B, Casillas J, Lew G, Maloney KW, Mascarenhas L, Ritchey AK, Termuhlen AM, Carroll WL, Wong FL, Relling MV. Systemic Exposure to Thiopurines and Risk of Relapse in Children With Acute Lymphoblastic Leukemia: A Children's Oncology Group Study. </w:t>
      </w:r>
      <w:r w:rsidRPr="00E2495E">
        <w:rPr>
          <w:rFonts w:ascii="Book Antiqua" w:eastAsia="Book Antiqua" w:hAnsi="Book Antiqua" w:cs="Book Antiqua"/>
          <w:i/>
          <w:iCs/>
          <w:color w:val="000000"/>
        </w:rPr>
        <w:t>JAMA Oncol</w:t>
      </w:r>
      <w:r w:rsidRPr="00E2495E">
        <w:rPr>
          <w:rFonts w:ascii="Book Antiqua" w:eastAsia="Book Antiqua" w:hAnsi="Book Antiqua" w:cs="Book Antiqua"/>
          <w:color w:val="000000"/>
        </w:rPr>
        <w:t xml:space="preserve"> 2015; </w:t>
      </w:r>
      <w:r w:rsidRPr="00E2495E">
        <w:rPr>
          <w:rFonts w:ascii="Book Antiqua" w:eastAsia="Book Antiqua" w:hAnsi="Book Antiqua" w:cs="Book Antiqua"/>
          <w:b/>
          <w:bCs/>
          <w:color w:val="000000"/>
        </w:rPr>
        <w:t>1</w:t>
      </w:r>
      <w:r w:rsidRPr="00E2495E">
        <w:rPr>
          <w:rFonts w:ascii="Book Antiqua" w:eastAsia="Book Antiqua" w:hAnsi="Book Antiqua" w:cs="Book Antiqua"/>
          <w:color w:val="000000"/>
        </w:rPr>
        <w:t>: 287-295 [PMID: 26181173 DOI: 10.1001/jamaoncol.2015.0245]</w:t>
      </w:r>
    </w:p>
    <w:p w14:paraId="186E8856" w14:textId="4E308D3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4 </w:t>
      </w:r>
      <w:r w:rsidRPr="00E2495E">
        <w:rPr>
          <w:rFonts w:ascii="Book Antiqua" w:eastAsia="Book Antiqua" w:hAnsi="Book Antiqua" w:cs="Book Antiqua"/>
          <w:b/>
          <w:bCs/>
          <w:color w:val="000000"/>
        </w:rPr>
        <w:t>Ramiro S</w:t>
      </w:r>
      <w:r w:rsidRPr="00E2495E">
        <w:rPr>
          <w:rFonts w:ascii="Book Antiqua" w:eastAsia="Book Antiqua" w:hAnsi="Book Antiqua" w:cs="Book Antiqua"/>
          <w:color w:val="000000"/>
        </w:rPr>
        <w:t xml:space="preserve">, Gaujoux-Viala C, Nam JL, Smolen JS, Buch M, Gossec L, van der Heijde D, Winthrop K, Landewé R. Safety of synthetic and biological DMARDs: a systematic literature review informing the 2013 update of the EULAR recommendations for management of rheumatoid arthritis. </w:t>
      </w:r>
      <w:r w:rsidRPr="00E2495E">
        <w:rPr>
          <w:rFonts w:ascii="Book Antiqua" w:eastAsia="Book Antiqua" w:hAnsi="Book Antiqua" w:cs="Book Antiqua"/>
          <w:i/>
          <w:iCs/>
          <w:color w:val="000000"/>
        </w:rPr>
        <w:t>Ann Rheum Dis</w:t>
      </w:r>
      <w:r w:rsidRPr="00E2495E">
        <w:rPr>
          <w:rFonts w:ascii="Book Antiqua" w:eastAsia="Book Antiqua" w:hAnsi="Book Antiqua" w:cs="Book Antiqua"/>
          <w:color w:val="000000"/>
        </w:rPr>
        <w:t xml:space="preserve"> 2014; </w:t>
      </w:r>
      <w:r w:rsidRPr="00E2495E">
        <w:rPr>
          <w:rFonts w:ascii="Book Antiqua" w:eastAsia="Book Antiqua" w:hAnsi="Book Antiqua" w:cs="Book Antiqua"/>
          <w:b/>
          <w:bCs/>
          <w:color w:val="000000"/>
        </w:rPr>
        <w:t>73</w:t>
      </w:r>
      <w:r w:rsidRPr="00E2495E">
        <w:rPr>
          <w:rFonts w:ascii="Book Antiqua" w:eastAsia="Book Antiqua" w:hAnsi="Book Antiqua" w:cs="Book Antiqua"/>
          <w:color w:val="000000"/>
        </w:rPr>
        <w:t>: 529-535 [PMID: 24401994 DOI: 10.1136/annrheumdis-2013-204575]</w:t>
      </w:r>
    </w:p>
    <w:p w14:paraId="63711725" w14:textId="37A5B4AB"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5 </w:t>
      </w:r>
      <w:r w:rsidRPr="00E2495E">
        <w:rPr>
          <w:rFonts w:ascii="Book Antiqua" w:eastAsia="Book Antiqua" w:hAnsi="Book Antiqua" w:cs="Book Antiqua"/>
          <w:b/>
          <w:bCs/>
          <w:color w:val="000000"/>
        </w:rPr>
        <w:t>Chams-Davatchi C</w:t>
      </w:r>
      <w:r w:rsidRPr="00E2495E">
        <w:rPr>
          <w:rFonts w:ascii="Book Antiqua" w:eastAsia="Book Antiqua" w:hAnsi="Book Antiqua" w:cs="Book Antiqua"/>
          <w:color w:val="000000"/>
        </w:rPr>
        <w:t xml:space="preserve">, Mortazavizadeh A, Daneshpazhooh M, Davatchi F, Balighi K, Esmaili N, Akhyani M, Hallaji Z, Seirafi H, Mortazavi H. Randomized double blind trial of prednisolone and azathioprine, vs. prednisolone and placebo, in the treatment of pemphigus vulgaris. </w:t>
      </w:r>
      <w:r w:rsidRPr="00E2495E">
        <w:rPr>
          <w:rFonts w:ascii="Book Antiqua" w:eastAsia="Book Antiqua" w:hAnsi="Book Antiqua" w:cs="Book Antiqua"/>
          <w:i/>
          <w:iCs/>
          <w:color w:val="000000"/>
        </w:rPr>
        <w:t>J Eur Acad Dermatol Venereol</w:t>
      </w:r>
      <w:r w:rsidRPr="00E2495E">
        <w:rPr>
          <w:rFonts w:ascii="Book Antiqua" w:eastAsia="Book Antiqua" w:hAnsi="Book Antiqua" w:cs="Book Antiqua"/>
          <w:color w:val="000000"/>
        </w:rPr>
        <w:t xml:space="preserve"> 2013; </w:t>
      </w:r>
      <w:r w:rsidRPr="00E2495E">
        <w:rPr>
          <w:rFonts w:ascii="Book Antiqua" w:eastAsia="Book Antiqua" w:hAnsi="Book Antiqua" w:cs="Book Antiqua"/>
          <w:b/>
          <w:bCs/>
          <w:color w:val="000000"/>
        </w:rPr>
        <w:t>27</w:t>
      </w:r>
      <w:r w:rsidRPr="00E2495E">
        <w:rPr>
          <w:rFonts w:ascii="Book Antiqua" w:eastAsia="Book Antiqua" w:hAnsi="Book Antiqua" w:cs="Book Antiqua"/>
          <w:color w:val="000000"/>
        </w:rPr>
        <w:t>: 1285-1292 [PMID: 23062214 DOI: 10.1111/j.1468-3083.2012.04717.x]</w:t>
      </w:r>
    </w:p>
    <w:p w14:paraId="0491C05C" w14:textId="6B10E779"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6 </w:t>
      </w:r>
      <w:r w:rsidRPr="00E2495E">
        <w:rPr>
          <w:rFonts w:ascii="Book Antiqua" w:eastAsia="Book Antiqua" w:hAnsi="Book Antiqua" w:cs="Book Antiqua"/>
          <w:b/>
          <w:bCs/>
          <w:color w:val="000000"/>
        </w:rPr>
        <w:t>Abu-Shakra M</w:t>
      </w:r>
      <w:r w:rsidRPr="00E2495E">
        <w:rPr>
          <w:rFonts w:ascii="Book Antiqua" w:eastAsia="Book Antiqua" w:hAnsi="Book Antiqua" w:cs="Book Antiqua"/>
          <w:color w:val="000000"/>
        </w:rPr>
        <w:t xml:space="preserve">, Shoenfeld Y. Azathioprine therapy for patients with systemic lupus erythematosus. </w:t>
      </w:r>
      <w:r w:rsidRPr="00E2495E">
        <w:rPr>
          <w:rFonts w:ascii="Book Antiqua" w:eastAsia="Book Antiqua" w:hAnsi="Book Antiqua" w:cs="Book Antiqua"/>
          <w:i/>
          <w:iCs/>
          <w:color w:val="000000"/>
        </w:rPr>
        <w:t>Lupus</w:t>
      </w:r>
      <w:r w:rsidRPr="00E2495E">
        <w:rPr>
          <w:rFonts w:ascii="Book Antiqua" w:eastAsia="Book Antiqua" w:hAnsi="Book Antiqua" w:cs="Book Antiqua"/>
          <w:color w:val="000000"/>
        </w:rPr>
        <w:t xml:space="preserve"> 2001; </w:t>
      </w:r>
      <w:r w:rsidRPr="00E2495E">
        <w:rPr>
          <w:rFonts w:ascii="Book Antiqua" w:eastAsia="Book Antiqua" w:hAnsi="Book Antiqua" w:cs="Book Antiqua"/>
          <w:b/>
          <w:bCs/>
          <w:color w:val="000000"/>
        </w:rPr>
        <w:t>10</w:t>
      </w:r>
      <w:r w:rsidRPr="00E2495E">
        <w:rPr>
          <w:rFonts w:ascii="Book Antiqua" w:eastAsia="Book Antiqua" w:hAnsi="Book Antiqua" w:cs="Book Antiqua"/>
          <w:color w:val="000000"/>
        </w:rPr>
        <w:t>: 152-153 [PMID: 11315344 DOI: 10.1191/096120301676669495]</w:t>
      </w:r>
    </w:p>
    <w:p w14:paraId="668D3BB2" w14:textId="028D079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7 </w:t>
      </w:r>
      <w:r w:rsidRPr="00E2495E">
        <w:rPr>
          <w:rFonts w:ascii="Book Antiqua" w:eastAsia="Book Antiqua" w:hAnsi="Book Antiqua" w:cs="Book Antiqua"/>
          <w:b/>
          <w:bCs/>
          <w:color w:val="000000"/>
        </w:rPr>
        <w:t>Meggitt SJ</w:t>
      </w:r>
      <w:r w:rsidRPr="00E2495E">
        <w:rPr>
          <w:rFonts w:ascii="Book Antiqua" w:eastAsia="Book Antiqua" w:hAnsi="Book Antiqua" w:cs="Book Antiqua"/>
          <w:color w:val="000000"/>
        </w:rPr>
        <w:t xml:space="preserve">, Gray JC, Reynolds NJ. Azathioprine dosed by thiopurine methyltransferase activity for moderate-to-severe atopic eczema: a double-blind, randomised controlled trial. </w:t>
      </w:r>
      <w:r w:rsidRPr="00E2495E">
        <w:rPr>
          <w:rFonts w:ascii="Book Antiqua" w:eastAsia="Book Antiqua" w:hAnsi="Book Antiqua" w:cs="Book Antiqua"/>
          <w:i/>
          <w:iCs/>
          <w:color w:val="000000"/>
        </w:rPr>
        <w:t>Lancet</w:t>
      </w:r>
      <w:r w:rsidRPr="00E2495E">
        <w:rPr>
          <w:rFonts w:ascii="Book Antiqua" w:eastAsia="Book Antiqua" w:hAnsi="Book Antiqua" w:cs="Book Antiqua"/>
          <w:color w:val="000000"/>
        </w:rPr>
        <w:t xml:space="preserve"> 2006; </w:t>
      </w:r>
      <w:r w:rsidRPr="00E2495E">
        <w:rPr>
          <w:rFonts w:ascii="Book Antiqua" w:eastAsia="Book Antiqua" w:hAnsi="Book Antiqua" w:cs="Book Antiqua"/>
          <w:b/>
          <w:bCs/>
          <w:color w:val="000000"/>
        </w:rPr>
        <w:t>367</w:t>
      </w:r>
      <w:r w:rsidRPr="00E2495E">
        <w:rPr>
          <w:rFonts w:ascii="Book Antiqua" w:eastAsia="Book Antiqua" w:hAnsi="Book Antiqua" w:cs="Book Antiqua"/>
          <w:color w:val="000000"/>
        </w:rPr>
        <w:t>: 839-846 [PMID: 16530578 DOI: 10.1016/S0140-6736(06)68340-2]</w:t>
      </w:r>
    </w:p>
    <w:p w14:paraId="5338174B" w14:textId="7769F935"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8 </w:t>
      </w:r>
      <w:r w:rsidRPr="00E2495E">
        <w:rPr>
          <w:rFonts w:ascii="Book Antiqua" w:eastAsia="Book Antiqua" w:hAnsi="Book Antiqua" w:cs="Book Antiqua"/>
          <w:b/>
          <w:bCs/>
          <w:color w:val="000000"/>
        </w:rPr>
        <w:t>Booth RA</w:t>
      </w:r>
      <w:r w:rsidRPr="00E2495E">
        <w:rPr>
          <w:rFonts w:ascii="Book Antiqua" w:eastAsia="Book Antiqua" w:hAnsi="Book Antiqua" w:cs="Book Antiqua"/>
          <w:color w:val="000000"/>
        </w:rPr>
        <w:t xml:space="preserve">, Ansari MT, Loit E, Tricco AC, Weeks L, Doucette S, Skidmore B, Sears M, Sy R, Karsh J. Assessment of thiopurine S-methyltransferase activity in patients prescribed thiopurines: a systematic review. </w:t>
      </w:r>
      <w:r w:rsidRPr="00E2495E">
        <w:rPr>
          <w:rFonts w:ascii="Book Antiqua" w:eastAsia="Book Antiqua" w:hAnsi="Book Antiqua" w:cs="Book Antiqua"/>
          <w:i/>
          <w:iCs/>
          <w:color w:val="000000"/>
        </w:rPr>
        <w:t>Ann Intern Med</w:t>
      </w:r>
      <w:r w:rsidRPr="00E2495E">
        <w:rPr>
          <w:rFonts w:ascii="Book Antiqua" w:eastAsia="Book Antiqua" w:hAnsi="Book Antiqua" w:cs="Book Antiqua"/>
          <w:color w:val="000000"/>
        </w:rPr>
        <w:t xml:space="preserve"> 2011; </w:t>
      </w:r>
      <w:r w:rsidRPr="00E2495E">
        <w:rPr>
          <w:rFonts w:ascii="Book Antiqua" w:eastAsia="Book Antiqua" w:hAnsi="Book Antiqua" w:cs="Book Antiqua"/>
          <w:b/>
          <w:bCs/>
          <w:color w:val="000000"/>
        </w:rPr>
        <w:t>154</w:t>
      </w:r>
      <w:r w:rsidRPr="00E2495E">
        <w:rPr>
          <w:rFonts w:ascii="Book Antiqua" w:eastAsia="Book Antiqua" w:hAnsi="Book Antiqua" w:cs="Book Antiqua"/>
          <w:color w:val="000000"/>
        </w:rPr>
        <w:t>: 814-823, W-295-8 [PMID: 21690596 DOI: 10.7326/0003-4819-154-12-201106210-00009]</w:t>
      </w:r>
    </w:p>
    <w:p w14:paraId="29E28D36" w14:textId="378A6B08"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9 </w:t>
      </w:r>
      <w:r w:rsidRPr="00E2495E">
        <w:rPr>
          <w:rFonts w:ascii="Book Antiqua" w:eastAsia="Book Antiqua" w:hAnsi="Book Antiqua" w:cs="Book Antiqua"/>
          <w:b/>
          <w:bCs/>
          <w:color w:val="000000"/>
        </w:rPr>
        <w:t>Relling MV</w:t>
      </w:r>
      <w:r w:rsidRPr="00E2495E">
        <w:rPr>
          <w:rFonts w:ascii="Book Antiqua" w:eastAsia="Book Antiqua" w:hAnsi="Book Antiqua" w:cs="Book Antiqua"/>
          <w:color w:val="000000"/>
        </w:rPr>
        <w:t xml:space="preserve">, Gardner EE, Sandborn WJ, Schmiegelow K, Pui CH, Yee SW, Stein CM, Carrillo M, Evans WE, Klein TE; Clinical Pharmacogenetics Implementation Consortium. Clinical Pharmacogenetics Implementation Consortium guidelines for thiopurine methyltransferase genotype and thiopurine dosing. </w:t>
      </w:r>
      <w:r w:rsidRPr="00E2495E">
        <w:rPr>
          <w:rFonts w:ascii="Book Antiqua" w:eastAsia="Book Antiqua" w:hAnsi="Book Antiqua" w:cs="Book Antiqua"/>
          <w:i/>
          <w:iCs/>
          <w:color w:val="000000"/>
        </w:rPr>
        <w:t>Clin Pharmacol Ther</w:t>
      </w:r>
      <w:r w:rsidRPr="00E2495E">
        <w:rPr>
          <w:rFonts w:ascii="Book Antiqua" w:eastAsia="Book Antiqua" w:hAnsi="Book Antiqua" w:cs="Book Antiqua"/>
          <w:color w:val="000000"/>
        </w:rPr>
        <w:t xml:space="preserve"> 2011; </w:t>
      </w:r>
      <w:r w:rsidRPr="00E2495E">
        <w:rPr>
          <w:rFonts w:ascii="Book Antiqua" w:eastAsia="Book Antiqua" w:hAnsi="Book Antiqua" w:cs="Book Antiqua"/>
          <w:b/>
          <w:bCs/>
          <w:color w:val="000000"/>
        </w:rPr>
        <w:t>89</w:t>
      </w:r>
      <w:r w:rsidRPr="00E2495E">
        <w:rPr>
          <w:rFonts w:ascii="Book Antiqua" w:eastAsia="Book Antiqua" w:hAnsi="Book Antiqua" w:cs="Book Antiqua"/>
          <w:color w:val="000000"/>
        </w:rPr>
        <w:t>: 387-391 [PMID: 21270794 DOI: 10.1038/clpt.2010.320]</w:t>
      </w:r>
    </w:p>
    <w:p w14:paraId="735018D8" w14:textId="5438D75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10 </w:t>
      </w:r>
      <w:r w:rsidRPr="00E2495E">
        <w:rPr>
          <w:rFonts w:ascii="Book Antiqua" w:eastAsia="Book Antiqua" w:hAnsi="Book Antiqua" w:cs="Book Antiqua"/>
          <w:b/>
          <w:bCs/>
          <w:color w:val="000000"/>
        </w:rPr>
        <w:t>Sanderson JD</w:t>
      </w:r>
      <w:r w:rsidRPr="00E2495E">
        <w:rPr>
          <w:rFonts w:ascii="Book Antiqua" w:eastAsia="Book Antiqua" w:hAnsi="Book Antiqua" w:cs="Book Antiqua"/>
          <w:color w:val="000000"/>
        </w:rPr>
        <w:t xml:space="preserve">. TPMT Testing Before Starting Azathioprine or Mercaptopurine: Surely Just Do It? </w:t>
      </w:r>
      <w:r w:rsidRPr="00E2495E">
        <w:rPr>
          <w:rFonts w:ascii="Book Antiqua" w:eastAsia="Book Antiqua" w:hAnsi="Book Antiqua" w:cs="Book Antiqua"/>
          <w:i/>
          <w:iCs/>
          <w:color w:val="000000"/>
        </w:rPr>
        <w:t>Gastroenterology</w:t>
      </w:r>
      <w:r w:rsidRPr="00E2495E">
        <w:rPr>
          <w:rFonts w:ascii="Book Antiqua" w:eastAsia="Book Antiqua" w:hAnsi="Book Antiqua" w:cs="Book Antiqua"/>
          <w:color w:val="000000"/>
        </w:rPr>
        <w:t xml:space="preserve"> 2015; </w:t>
      </w:r>
      <w:r w:rsidRPr="00E2495E">
        <w:rPr>
          <w:rFonts w:ascii="Book Antiqua" w:eastAsia="Book Antiqua" w:hAnsi="Book Antiqua" w:cs="Book Antiqua"/>
          <w:b/>
          <w:bCs/>
          <w:color w:val="000000"/>
        </w:rPr>
        <w:t>149</w:t>
      </w:r>
      <w:r w:rsidRPr="00E2495E">
        <w:rPr>
          <w:rFonts w:ascii="Book Antiqua" w:eastAsia="Book Antiqua" w:hAnsi="Book Antiqua" w:cs="Book Antiqua"/>
          <w:color w:val="000000"/>
        </w:rPr>
        <w:t>: 850-853 [PMID: 26311276 DOI: 10.1053/j.gastro.2015.08.040]</w:t>
      </w:r>
    </w:p>
    <w:p w14:paraId="62D61A91" w14:textId="23AAF33D"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11 </w:t>
      </w:r>
      <w:r w:rsidRPr="00E2495E">
        <w:rPr>
          <w:rFonts w:ascii="Book Antiqua" w:eastAsia="Book Antiqua" w:hAnsi="Book Antiqua" w:cs="Book Antiqua"/>
          <w:b/>
          <w:bCs/>
          <w:color w:val="000000"/>
        </w:rPr>
        <w:t>Zhang LR</w:t>
      </w:r>
      <w:r w:rsidRPr="00E2495E">
        <w:rPr>
          <w:rFonts w:ascii="Book Antiqua" w:eastAsia="Book Antiqua" w:hAnsi="Book Antiqua" w:cs="Book Antiqua"/>
          <w:color w:val="000000"/>
        </w:rPr>
        <w:t xml:space="preserve">, Song DK, Zhang W, Zhao J, Jia LJ, Xing DL. Efficient screening method of the thiopurine methyltransferase polymorphisms for patients considering taking thiopurine drugs in a Chinese Han population in Henan Province (central China). </w:t>
      </w:r>
      <w:r w:rsidRPr="00E2495E">
        <w:rPr>
          <w:rFonts w:ascii="Book Antiqua" w:eastAsia="Book Antiqua" w:hAnsi="Book Antiqua" w:cs="Book Antiqua"/>
          <w:i/>
          <w:iCs/>
          <w:color w:val="000000"/>
        </w:rPr>
        <w:t>Clin Chim Acta</w:t>
      </w:r>
      <w:r w:rsidRPr="00E2495E">
        <w:rPr>
          <w:rFonts w:ascii="Book Antiqua" w:eastAsia="Book Antiqua" w:hAnsi="Book Antiqua" w:cs="Book Antiqua"/>
          <w:color w:val="000000"/>
        </w:rPr>
        <w:t xml:space="preserve"> 2007; </w:t>
      </w:r>
      <w:r w:rsidRPr="00E2495E">
        <w:rPr>
          <w:rFonts w:ascii="Book Antiqua" w:eastAsia="Book Antiqua" w:hAnsi="Book Antiqua" w:cs="Book Antiqua"/>
          <w:b/>
          <w:bCs/>
          <w:color w:val="000000"/>
        </w:rPr>
        <w:t>376</w:t>
      </w:r>
      <w:r w:rsidRPr="00E2495E">
        <w:rPr>
          <w:rFonts w:ascii="Book Antiqua" w:eastAsia="Book Antiqua" w:hAnsi="Book Antiqua" w:cs="Book Antiqua"/>
          <w:color w:val="000000"/>
        </w:rPr>
        <w:t>: 45-51 [PMID: 16952345 DOI: 10.1016/j.cca.2006.07.010]</w:t>
      </w:r>
    </w:p>
    <w:p w14:paraId="4AC60F82" w14:textId="7042269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12 </w:t>
      </w:r>
      <w:r w:rsidRPr="00E2495E">
        <w:rPr>
          <w:rFonts w:ascii="Book Antiqua" w:eastAsia="Book Antiqua" w:hAnsi="Book Antiqua" w:cs="Book Antiqua"/>
          <w:b/>
          <w:bCs/>
          <w:color w:val="000000"/>
        </w:rPr>
        <w:t>Yang J</w:t>
      </w:r>
      <w:r w:rsidRPr="00E2495E">
        <w:rPr>
          <w:rFonts w:ascii="Book Antiqua" w:eastAsia="Book Antiqua" w:hAnsi="Book Antiqua" w:cs="Book Antiqua"/>
          <w:color w:val="000000"/>
        </w:rPr>
        <w:t xml:space="preserve">, Wang P, Qin Z, Jia M, Zhang C, Tian X, Zheng Y, Zhang A, Zhang X, Liu S. </w:t>
      </w:r>
      <w:r w:rsidRPr="00E2495E">
        <w:rPr>
          <w:rFonts w:ascii="Book Antiqua" w:eastAsia="Book Antiqua" w:hAnsi="Book Antiqua" w:cs="Book Antiqua"/>
          <w:i/>
          <w:iCs/>
          <w:color w:val="000000"/>
        </w:rPr>
        <w:t>NUDT15</w:t>
      </w:r>
      <w:r w:rsidRPr="00E2495E">
        <w:rPr>
          <w:rFonts w:ascii="Book Antiqua" w:eastAsia="Book Antiqua" w:hAnsi="Book Antiqua" w:cs="Book Antiqua"/>
          <w:color w:val="000000"/>
        </w:rPr>
        <w:t xml:space="preserve"> and </w:t>
      </w:r>
      <w:r w:rsidRPr="00E2495E">
        <w:rPr>
          <w:rFonts w:ascii="Book Antiqua" w:eastAsia="Book Antiqua" w:hAnsi="Book Antiqua" w:cs="Book Antiqua"/>
          <w:i/>
          <w:iCs/>
          <w:color w:val="000000"/>
        </w:rPr>
        <w:t>TPMT</w:t>
      </w:r>
      <w:r w:rsidRPr="00E2495E">
        <w:rPr>
          <w:rFonts w:ascii="Book Antiqua" w:eastAsia="Book Antiqua" w:hAnsi="Book Antiqua" w:cs="Book Antiqua"/>
          <w:color w:val="000000"/>
        </w:rPr>
        <w:t xml:space="preserve"> Genetic Polymorphisms Are Related to Azathioprine Intolerance in Chinese Patients with Rheumatic Diseases. </w:t>
      </w:r>
      <w:r w:rsidRPr="00E2495E">
        <w:rPr>
          <w:rFonts w:ascii="Book Antiqua" w:eastAsia="Book Antiqua" w:hAnsi="Book Antiqua" w:cs="Book Antiqua"/>
          <w:i/>
          <w:iCs/>
          <w:color w:val="000000"/>
        </w:rPr>
        <w:t>Genet Test Mol Biomarkers</w:t>
      </w:r>
      <w:r w:rsidRPr="00E2495E">
        <w:rPr>
          <w:rFonts w:ascii="Book Antiqua" w:eastAsia="Book Antiqua" w:hAnsi="Book Antiqua" w:cs="Book Antiqua"/>
          <w:color w:val="000000"/>
        </w:rPr>
        <w:t xml:space="preserve"> 2019; </w:t>
      </w:r>
      <w:r w:rsidRPr="00E2495E">
        <w:rPr>
          <w:rFonts w:ascii="Book Antiqua" w:eastAsia="Book Antiqua" w:hAnsi="Book Antiqua" w:cs="Book Antiqua"/>
          <w:b/>
          <w:bCs/>
          <w:color w:val="000000"/>
        </w:rPr>
        <w:t>23</w:t>
      </w:r>
      <w:r w:rsidRPr="00E2495E">
        <w:rPr>
          <w:rFonts w:ascii="Book Antiqua" w:eastAsia="Book Antiqua" w:hAnsi="Book Antiqua" w:cs="Book Antiqua"/>
          <w:color w:val="000000"/>
        </w:rPr>
        <w:t>: 751-757 [PMID: 31556692 DOI: 10.1089/gtmb.2018.0313]</w:t>
      </w:r>
    </w:p>
    <w:p w14:paraId="2B4DB81C" w14:textId="34CED72E"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13 </w:t>
      </w:r>
      <w:r w:rsidRPr="00E2495E">
        <w:rPr>
          <w:rFonts w:ascii="Book Antiqua" w:eastAsia="Book Antiqua" w:hAnsi="Book Antiqua" w:cs="Book Antiqua"/>
          <w:b/>
          <w:bCs/>
          <w:color w:val="000000"/>
        </w:rPr>
        <w:t>Ailing Z</w:t>
      </w:r>
      <w:r w:rsidRPr="00E2495E">
        <w:rPr>
          <w:rFonts w:ascii="Book Antiqua" w:eastAsia="Book Antiqua" w:hAnsi="Book Antiqua" w:cs="Book Antiqua"/>
          <w:color w:val="000000"/>
        </w:rPr>
        <w:t xml:space="preserve">, Jing Y, Jingli L, Yun X, Xiaojian Z. Further evidence that a variant of the gene NUDT15 may be an important predictor of azathioprine-induced toxicity in Chinese subjects: a case report. </w:t>
      </w:r>
      <w:r w:rsidRPr="00E2495E">
        <w:rPr>
          <w:rFonts w:ascii="Book Antiqua" w:eastAsia="Book Antiqua" w:hAnsi="Book Antiqua" w:cs="Book Antiqua"/>
          <w:i/>
          <w:iCs/>
          <w:color w:val="000000"/>
        </w:rPr>
        <w:t>J Clin Pharm Ther</w:t>
      </w:r>
      <w:r w:rsidRPr="00E2495E">
        <w:rPr>
          <w:rFonts w:ascii="Book Antiqua" w:eastAsia="Book Antiqua" w:hAnsi="Book Antiqua" w:cs="Book Antiqua"/>
          <w:color w:val="000000"/>
        </w:rPr>
        <w:t xml:space="preserve"> 2016; </w:t>
      </w:r>
      <w:r w:rsidRPr="00E2495E">
        <w:rPr>
          <w:rFonts w:ascii="Book Antiqua" w:eastAsia="Book Antiqua" w:hAnsi="Book Antiqua" w:cs="Book Antiqua"/>
          <w:b/>
          <w:bCs/>
          <w:color w:val="000000"/>
        </w:rPr>
        <w:t>41</w:t>
      </w:r>
      <w:r w:rsidRPr="00E2495E">
        <w:rPr>
          <w:rFonts w:ascii="Book Antiqua" w:eastAsia="Book Antiqua" w:hAnsi="Book Antiqua" w:cs="Book Antiqua"/>
          <w:color w:val="000000"/>
        </w:rPr>
        <w:t>: 572-574 [PMID: 27381176 DOI: 10.1111/jcpt.12420]</w:t>
      </w:r>
    </w:p>
    <w:p w14:paraId="5F9CC164" w14:textId="7E21CA43"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14 </w:t>
      </w:r>
      <w:r w:rsidRPr="00E2495E">
        <w:rPr>
          <w:rFonts w:ascii="Book Antiqua" w:eastAsia="Book Antiqua" w:hAnsi="Book Antiqua" w:cs="Book Antiqua"/>
          <w:b/>
          <w:bCs/>
          <w:color w:val="000000"/>
        </w:rPr>
        <w:t>Kishibe M</w:t>
      </w:r>
      <w:r w:rsidRPr="00E2495E">
        <w:rPr>
          <w:rFonts w:ascii="Book Antiqua" w:eastAsia="Book Antiqua" w:hAnsi="Book Antiqua" w:cs="Book Antiqua"/>
          <w:color w:val="000000"/>
        </w:rPr>
        <w:t xml:space="preserve">, Nozaki H, Fujii M, Iinuma S, Ohtsubo S, Igawa S, Kanno K, Honma M, Kishibe K, Okamoto K, Ishida-Yamamoto A. Severe thiopurine-induced leukocytopenia and hair loss in Japanese patients with defective NUDT15 variant: Retrospective case-control study. </w:t>
      </w:r>
      <w:r w:rsidRPr="00E2495E">
        <w:rPr>
          <w:rFonts w:ascii="Book Antiqua" w:eastAsia="Book Antiqua" w:hAnsi="Book Antiqua" w:cs="Book Antiqua"/>
          <w:i/>
          <w:iCs/>
          <w:color w:val="000000"/>
        </w:rPr>
        <w:t>J Dermatol</w:t>
      </w:r>
      <w:r w:rsidRPr="00E2495E">
        <w:rPr>
          <w:rFonts w:ascii="Book Antiqua" w:eastAsia="Book Antiqua" w:hAnsi="Book Antiqua" w:cs="Book Antiqua"/>
          <w:color w:val="000000"/>
        </w:rPr>
        <w:t xml:space="preserve"> 2018; </w:t>
      </w:r>
      <w:r w:rsidRPr="00E2495E">
        <w:rPr>
          <w:rFonts w:ascii="Book Antiqua" w:eastAsia="Book Antiqua" w:hAnsi="Book Antiqua" w:cs="Book Antiqua"/>
          <w:b/>
          <w:bCs/>
          <w:color w:val="000000"/>
        </w:rPr>
        <w:t>45</w:t>
      </w:r>
      <w:r w:rsidRPr="00E2495E">
        <w:rPr>
          <w:rFonts w:ascii="Book Antiqua" w:eastAsia="Book Antiqua" w:hAnsi="Book Antiqua" w:cs="Book Antiqua"/>
          <w:color w:val="000000"/>
        </w:rPr>
        <w:t>: 1160-1165 [PMID: 30101994 DOI: 10.1111/1346-8138.14588]</w:t>
      </w:r>
    </w:p>
    <w:p w14:paraId="1BB41483" w14:textId="71596246"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 xml:space="preserve">15 </w:t>
      </w:r>
      <w:r w:rsidRPr="00E2495E">
        <w:rPr>
          <w:rFonts w:ascii="Book Antiqua" w:eastAsia="Book Antiqua" w:hAnsi="Book Antiqua" w:cs="Book Antiqua"/>
          <w:b/>
          <w:bCs/>
          <w:color w:val="000000"/>
        </w:rPr>
        <w:t>Steponaitiene R</w:t>
      </w:r>
      <w:r w:rsidRPr="00E2495E">
        <w:rPr>
          <w:rFonts w:ascii="Book Antiqua" w:eastAsia="Book Antiqua" w:hAnsi="Book Antiqua" w:cs="Book Antiqua"/>
          <w:color w:val="000000"/>
        </w:rPr>
        <w:t xml:space="preserve">, Kupcinskas J, Survilaite S, Varkalaite G, Jonaitis L, Kiudelis G, Denapiene G, Valantinas J, Skieceviciene J, Kupcinskas L. TPMT and ITPA genetic variants in Lithuanian inflammatory bowel disease patients: Prevalence and azathioprine-related side effects. </w:t>
      </w:r>
      <w:r w:rsidRPr="00E2495E">
        <w:rPr>
          <w:rFonts w:ascii="Book Antiqua" w:eastAsia="Book Antiqua" w:hAnsi="Book Antiqua" w:cs="Book Antiqua"/>
          <w:i/>
          <w:iCs/>
          <w:color w:val="000000"/>
        </w:rPr>
        <w:t>Adv Med Sci</w:t>
      </w:r>
      <w:r w:rsidRPr="00E2495E">
        <w:rPr>
          <w:rFonts w:ascii="Book Antiqua" w:eastAsia="Book Antiqua" w:hAnsi="Book Antiqua" w:cs="Book Antiqua"/>
          <w:color w:val="000000"/>
        </w:rPr>
        <w:t xml:space="preserve"> 2016; </w:t>
      </w:r>
      <w:r w:rsidRPr="00E2495E">
        <w:rPr>
          <w:rFonts w:ascii="Book Antiqua" w:eastAsia="Book Antiqua" w:hAnsi="Book Antiqua" w:cs="Book Antiqua"/>
          <w:b/>
          <w:bCs/>
          <w:color w:val="000000"/>
        </w:rPr>
        <w:t>61</w:t>
      </w:r>
      <w:r w:rsidRPr="00E2495E">
        <w:rPr>
          <w:rFonts w:ascii="Book Antiqua" w:eastAsia="Book Antiqua" w:hAnsi="Book Antiqua" w:cs="Book Antiqua"/>
          <w:color w:val="000000"/>
        </w:rPr>
        <w:t>: 135-140 [PMID: 26674571 DOI: 10.1016/j.advms.2015.09.008]</w:t>
      </w:r>
    </w:p>
    <w:p w14:paraId="6683B0BE" w14:textId="0D1C140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 xml:space="preserve">16 </w:t>
      </w:r>
      <w:r w:rsidRPr="00E2495E">
        <w:rPr>
          <w:rFonts w:ascii="Book Antiqua" w:eastAsia="Book Antiqua" w:hAnsi="Book Antiqua" w:cs="Book Antiqua"/>
          <w:b/>
          <w:bCs/>
          <w:color w:val="000000"/>
        </w:rPr>
        <w:t>Chang JY</w:t>
      </w:r>
      <w:r w:rsidRPr="00E2495E">
        <w:rPr>
          <w:rFonts w:ascii="Book Antiqua" w:eastAsia="Book Antiqua" w:hAnsi="Book Antiqua" w:cs="Book Antiqua"/>
          <w:color w:val="000000"/>
        </w:rPr>
        <w:t xml:space="preserve">, Park SJ, Jung ES, Jung SA, Moon CM, Chun J, Park JJ, Kim ES, Park Y, Kim TI, Kim WH, Cheon JH. Genotype-based Treatment With Thiopurine Reduces Incidence of Myelosuppression in Patients With Inflammatory Bowel Diseases. </w:t>
      </w:r>
      <w:r w:rsidRPr="00E2495E">
        <w:rPr>
          <w:rFonts w:ascii="Book Antiqua" w:eastAsia="Book Antiqua" w:hAnsi="Book Antiqua" w:cs="Book Antiqua"/>
          <w:i/>
          <w:iCs/>
          <w:color w:val="000000"/>
        </w:rPr>
        <w:t>Clin Gastroenterol Hepatol</w:t>
      </w:r>
      <w:r w:rsidRPr="00E2495E">
        <w:rPr>
          <w:rFonts w:ascii="Book Antiqua" w:eastAsia="Book Antiqua" w:hAnsi="Book Antiqua" w:cs="Book Antiqua"/>
          <w:color w:val="000000"/>
        </w:rPr>
        <w:t xml:space="preserve"> 2020; </w:t>
      </w:r>
      <w:r w:rsidRPr="00E2495E">
        <w:rPr>
          <w:rFonts w:ascii="Book Antiqua" w:eastAsia="Book Antiqua" w:hAnsi="Book Antiqua" w:cs="Book Antiqua"/>
          <w:b/>
          <w:bCs/>
          <w:color w:val="000000"/>
        </w:rPr>
        <w:t>18</w:t>
      </w:r>
      <w:r w:rsidRPr="00E2495E">
        <w:rPr>
          <w:rFonts w:ascii="Book Antiqua" w:eastAsia="Book Antiqua" w:hAnsi="Book Antiqua" w:cs="Book Antiqua"/>
          <w:color w:val="000000"/>
        </w:rPr>
        <w:t>: 2010-2018.e2 [PMID: 31446180 DOI: 10.1016/j.cgh.2019.08.034]</w:t>
      </w:r>
    </w:p>
    <w:p w14:paraId="652049FB" w14:textId="77777777" w:rsidR="00A77B3E" w:rsidRPr="00E2495E" w:rsidRDefault="00A77B3E" w:rsidP="00E2495E">
      <w:pPr>
        <w:spacing w:line="360" w:lineRule="auto"/>
        <w:jc w:val="both"/>
        <w:rPr>
          <w:rFonts w:ascii="Book Antiqua" w:hAnsi="Book Antiqua"/>
        </w:rPr>
        <w:sectPr w:rsidR="00A77B3E" w:rsidRPr="00E2495E">
          <w:pgSz w:w="12240" w:h="15840"/>
          <w:pgMar w:top="1440" w:right="1440" w:bottom="1440" w:left="1440" w:header="720" w:footer="720" w:gutter="0"/>
          <w:cols w:space="720"/>
          <w:docGrid w:linePitch="360"/>
        </w:sectPr>
      </w:pPr>
    </w:p>
    <w:p w14:paraId="22C2FDA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Footnotes</w:t>
      </w:r>
    </w:p>
    <w:p w14:paraId="2D8A8102" w14:textId="2E23745A"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Informed consent statement: </w:t>
      </w:r>
      <w:r w:rsidRPr="00E2495E">
        <w:rPr>
          <w:rFonts w:ascii="Book Antiqua" w:eastAsia="Book Antiqua" w:hAnsi="Book Antiqua" w:cs="Book Antiqua"/>
          <w:color w:val="000000"/>
        </w:rPr>
        <w:t xml:space="preserve">The procedure performed in the study was in accordance with the 1964 Helsinki Declaration and its later amendments or comparable ethical standards. Informed consent was obtained from </w:t>
      </w:r>
      <w:r w:rsidR="00B979EC">
        <w:rPr>
          <w:rFonts w:ascii="Book Antiqua" w:eastAsia="Book Antiqua" w:hAnsi="Book Antiqua" w:cs="Book Antiqua"/>
          <w:color w:val="000000"/>
        </w:rPr>
        <w:t>the patient</w:t>
      </w:r>
      <w:r w:rsidRPr="00E2495E">
        <w:rPr>
          <w:rFonts w:ascii="Book Antiqua" w:eastAsia="Book Antiqua" w:hAnsi="Book Antiqua" w:cs="Book Antiqua"/>
          <w:color w:val="000000"/>
        </w:rPr>
        <w:t xml:space="preserve"> included in the study.</w:t>
      </w:r>
    </w:p>
    <w:p w14:paraId="3583F52E" w14:textId="77777777" w:rsidR="00A77B3E" w:rsidRPr="00E2495E" w:rsidRDefault="00A77B3E" w:rsidP="00E2495E">
      <w:pPr>
        <w:spacing w:line="360" w:lineRule="auto"/>
        <w:jc w:val="both"/>
        <w:rPr>
          <w:rFonts w:ascii="Book Antiqua" w:hAnsi="Book Antiqua"/>
        </w:rPr>
      </w:pPr>
    </w:p>
    <w:p w14:paraId="2261BC2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Conflict-of-interest statement: </w:t>
      </w:r>
      <w:r w:rsidRPr="00E2495E">
        <w:rPr>
          <w:rFonts w:ascii="Book Antiqua" w:eastAsia="Book Antiqua" w:hAnsi="Book Antiqua" w:cs="Book Antiqua"/>
          <w:color w:val="000000"/>
        </w:rPr>
        <w:t>There are no conflicts of interest or commercial interests to declare.</w:t>
      </w:r>
    </w:p>
    <w:p w14:paraId="1A7CFBB7" w14:textId="77777777" w:rsidR="00A77B3E" w:rsidRPr="00E2495E" w:rsidRDefault="00A77B3E" w:rsidP="00E2495E">
      <w:pPr>
        <w:spacing w:line="360" w:lineRule="auto"/>
        <w:jc w:val="both"/>
        <w:rPr>
          <w:rFonts w:ascii="Book Antiqua" w:hAnsi="Book Antiqua"/>
        </w:rPr>
      </w:pPr>
    </w:p>
    <w:p w14:paraId="47D16E80"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CARE Checklist (2016) statement: </w:t>
      </w:r>
      <w:r w:rsidRPr="00E2495E">
        <w:rPr>
          <w:rFonts w:ascii="Book Antiqua" w:eastAsia="Book Antiqua" w:hAnsi="Book Antiqua" w:cs="Book Antiqua"/>
          <w:color w:val="000000"/>
        </w:rPr>
        <w:t>The authors have read the CARE Checklist (2016), and the manuscript was prepared and revised according to the CARE Checklist (2016).</w:t>
      </w:r>
    </w:p>
    <w:p w14:paraId="4889083B" w14:textId="77777777" w:rsidR="00A77B3E" w:rsidRPr="00E2495E" w:rsidRDefault="00A77B3E" w:rsidP="00E2495E">
      <w:pPr>
        <w:spacing w:line="360" w:lineRule="auto"/>
        <w:jc w:val="both"/>
        <w:rPr>
          <w:rFonts w:ascii="Book Antiqua" w:hAnsi="Book Antiqua"/>
        </w:rPr>
      </w:pPr>
    </w:p>
    <w:p w14:paraId="4C0D903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 xml:space="preserve">Open-Access: </w:t>
      </w:r>
      <w:r w:rsidRPr="00E2495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6213C0" w14:textId="77777777" w:rsidR="00A77B3E" w:rsidRPr="00E2495E" w:rsidRDefault="00A77B3E" w:rsidP="00E2495E">
      <w:pPr>
        <w:spacing w:line="360" w:lineRule="auto"/>
        <w:jc w:val="both"/>
        <w:rPr>
          <w:rFonts w:ascii="Book Antiqua" w:hAnsi="Book Antiqua"/>
        </w:rPr>
      </w:pPr>
    </w:p>
    <w:p w14:paraId="309C8611" w14:textId="323C58DF"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Manuscript source: </w:t>
      </w:r>
      <w:r w:rsidRPr="00E2495E">
        <w:rPr>
          <w:rFonts w:ascii="Book Antiqua" w:eastAsia="Book Antiqua" w:hAnsi="Book Antiqua" w:cs="Book Antiqua"/>
          <w:color w:val="000000"/>
        </w:rPr>
        <w:t xml:space="preserve">Unsolicited </w:t>
      </w:r>
      <w:r w:rsidR="008D276F">
        <w:rPr>
          <w:rFonts w:ascii="Book Antiqua" w:eastAsia="Book Antiqua" w:hAnsi="Book Antiqua" w:cs="Book Antiqua"/>
          <w:color w:val="000000"/>
        </w:rPr>
        <w:t>m</w:t>
      </w:r>
      <w:r w:rsidRPr="00E2495E">
        <w:rPr>
          <w:rFonts w:ascii="Book Antiqua" w:eastAsia="Book Antiqua" w:hAnsi="Book Antiqua" w:cs="Book Antiqua"/>
          <w:color w:val="000000"/>
        </w:rPr>
        <w:t>anuscript</w:t>
      </w:r>
    </w:p>
    <w:p w14:paraId="7FD0016E" w14:textId="77777777" w:rsidR="00A77B3E" w:rsidRPr="00E2495E" w:rsidRDefault="00A77B3E" w:rsidP="00E2495E">
      <w:pPr>
        <w:spacing w:line="360" w:lineRule="auto"/>
        <w:jc w:val="both"/>
        <w:rPr>
          <w:rFonts w:ascii="Book Antiqua" w:hAnsi="Book Antiqua"/>
        </w:rPr>
      </w:pPr>
    </w:p>
    <w:p w14:paraId="69D3CF32"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Peer-review started: </w:t>
      </w:r>
      <w:r w:rsidRPr="00E2495E">
        <w:rPr>
          <w:rFonts w:ascii="Book Antiqua" w:eastAsia="Book Antiqua" w:hAnsi="Book Antiqua" w:cs="Book Antiqua"/>
          <w:color w:val="000000"/>
        </w:rPr>
        <w:t>December 10, 2020</w:t>
      </w:r>
    </w:p>
    <w:p w14:paraId="7DC0A34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First decision: </w:t>
      </w:r>
      <w:r w:rsidRPr="00E2495E">
        <w:rPr>
          <w:rFonts w:ascii="Book Antiqua" w:eastAsia="Book Antiqua" w:hAnsi="Book Antiqua" w:cs="Book Antiqua"/>
          <w:color w:val="000000"/>
        </w:rPr>
        <w:t>January 7, 2021</w:t>
      </w:r>
    </w:p>
    <w:p w14:paraId="6244CD22" w14:textId="65D20D91"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Article in press: </w:t>
      </w:r>
      <w:r w:rsidR="00697363" w:rsidRPr="00D65DEE">
        <w:rPr>
          <w:rFonts w:ascii="Book Antiqua" w:eastAsia="Book Antiqua" w:hAnsi="Book Antiqua" w:cs="Book Antiqua"/>
          <w:color w:val="000000"/>
        </w:rPr>
        <w:t>March 24, 2021</w:t>
      </w:r>
    </w:p>
    <w:p w14:paraId="047E7263" w14:textId="77777777" w:rsidR="00A77B3E" w:rsidRPr="00E2495E" w:rsidRDefault="00A77B3E" w:rsidP="00E2495E">
      <w:pPr>
        <w:spacing w:line="360" w:lineRule="auto"/>
        <w:jc w:val="both"/>
        <w:rPr>
          <w:rFonts w:ascii="Book Antiqua" w:hAnsi="Book Antiqua"/>
        </w:rPr>
      </w:pPr>
    </w:p>
    <w:p w14:paraId="01F6FC10" w14:textId="4354DE02"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8D276F" w:rsidRPr="004E2923">
        <w:rPr>
          <w:rFonts w:ascii="Book Antiqua" w:eastAsia="微软雅黑" w:hAnsi="Book Antiqua" w:cs="宋体"/>
        </w:rPr>
        <w:t>Medicine, research and experimental</w:t>
      </w:r>
      <w:bookmarkEnd w:id="0"/>
      <w:bookmarkEnd w:id="1"/>
      <w:bookmarkEnd w:id="2"/>
    </w:p>
    <w:p w14:paraId="7B3098D9"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 xml:space="preserve">Country/Territory of origin: </w:t>
      </w:r>
      <w:r w:rsidRPr="00E2495E">
        <w:rPr>
          <w:rFonts w:ascii="Book Antiqua" w:eastAsia="Book Antiqua" w:hAnsi="Book Antiqua" w:cs="Book Antiqua"/>
          <w:color w:val="000000"/>
        </w:rPr>
        <w:t>China</w:t>
      </w:r>
    </w:p>
    <w:p w14:paraId="1264AF07"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t>Peer-review report’s scientific quality classification</w:t>
      </w:r>
    </w:p>
    <w:p w14:paraId="3B9B6334"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A (Excellent): 0</w:t>
      </w:r>
    </w:p>
    <w:p w14:paraId="53399C8E" w14:textId="55479A7C"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B (Very good): B</w:t>
      </w:r>
      <w:r w:rsidR="006D40A4">
        <w:rPr>
          <w:rFonts w:ascii="Book Antiqua" w:eastAsia="Book Antiqua" w:hAnsi="Book Antiqua" w:cs="Book Antiqua"/>
          <w:color w:val="000000"/>
        </w:rPr>
        <w:t>, B</w:t>
      </w:r>
    </w:p>
    <w:p w14:paraId="6437C52E"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lastRenderedPageBreak/>
        <w:t>Grade C (Good): 0</w:t>
      </w:r>
    </w:p>
    <w:p w14:paraId="4A946E7F"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D (Fair): 0</w:t>
      </w:r>
    </w:p>
    <w:p w14:paraId="3B5FD07C"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color w:val="000000"/>
        </w:rPr>
        <w:t>Grade E (Poor): 0</w:t>
      </w:r>
    </w:p>
    <w:p w14:paraId="65CDF06C" w14:textId="77777777" w:rsidR="00A77B3E" w:rsidRPr="00E2495E" w:rsidRDefault="00A77B3E" w:rsidP="00E2495E">
      <w:pPr>
        <w:spacing w:line="360" w:lineRule="auto"/>
        <w:jc w:val="both"/>
        <w:rPr>
          <w:rFonts w:ascii="Book Antiqua" w:hAnsi="Book Antiqua"/>
        </w:rPr>
      </w:pPr>
    </w:p>
    <w:p w14:paraId="288D5519" w14:textId="71691A63" w:rsidR="00A77B3E" w:rsidRPr="00697363" w:rsidRDefault="00D835DC" w:rsidP="00E2495E">
      <w:pPr>
        <w:spacing w:line="360" w:lineRule="auto"/>
        <w:jc w:val="both"/>
        <w:rPr>
          <w:rFonts w:ascii="Book Antiqua" w:eastAsia="Book Antiqua" w:hAnsi="Book Antiqua" w:cs="Book Antiqua"/>
          <w:bCs/>
          <w:color w:val="000000"/>
        </w:rPr>
      </w:pPr>
      <w:r w:rsidRPr="00E2495E">
        <w:rPr>
          <w:rFonts w:ascii="Book Antiqua" w:eastAsia="Book Antiqua" w:hAnsi="Book Antiqua" w:cs="Book Antiqua"/>
          <w:b/>
          <w:color w:val="000000"/>
        </w:rPr>
        <w:t xml:space="preserve">P-Reviewer: </w:t>
      </w:r>
      <w:r w:rsidRPr="00E2495E">
        <w:rPr>
          <w:rFonts w:ascii="Book Antiqua" w:eastAsia="Book Antiqua" w:hAnsi="Book Antiqua" w:cs="Book Antiqua"/>
          <w:color w:val="000000"/>
        </w:rPr>
        <w:t>Innocenti T</w:t>
      </w:r>
      <w:r w:rsidRPr="00E2495E">
        <w:rPr>
          <w:rFonts w:ascii="Book Antiqua" w:eastAsia="Book Antiqua" w:hAnsi="Book Antiqua" w:cs="Book Antiqua"/>
          <w:b/>
          <w:color w:val="000000"/>
        </w:rPr>
        <w:t xml:space="preserve"> S-Editor: </w:t>
      </w:r>
      <w:r w:rsidRPr="00E2495E">
        <w:rPr>
          <w:rFonts w:ascii="Book Antiqua" w:eastAsia="Book Antiqua" w:hAnsi="Book Antiqua" w:cs="Book Antiqua"/>
          <w:color w:val="000000"/>
        </w:rPr>
        <w:t>Fan JR</w:t>
      </w:r>
      <w:r w:rsidRPr="00E2495E">
        <w:rPr>
          <w:rFonts w:ascii="Book Antiqua" w:eastAsia="Book Antiqua" w:hAnsi="Book Antiqua" w:cs="Book Antiqua"/>
          <w:b/>
          <w:color w:val="000000"/>
        </w:rPr>
        <w:t xml:space="preserve"> L-Editor: </w:t>
      </w:r>
      <w:r w:rsidR="00B979EC" w:rsidRPr="00CB7CE6">
        <w:rPr>
          <w:rFonts w:ascii="Book Antiqua" w:eastAsia="Book Antiqua" w:hAnsi="Book Antiqua" w:cs="Book Antiqua"/>
          <w:color w:val="000000"/>
        </w:rPr>
        <w:t>Wang TQ</w:t>
      </w:r>
      <w:r w:rsidRPr="00E2495E">
        <w:rPr>
          <w:rFonts w:ascii="Book Antiqua" w:eastAsia="Book Antiqua" w:hAnsi="Book Antiqua" w:cs="Book Antiqua"/>
          <w:b/>
          <w:color w:val="000000"/>
        </w:rPr>
        <w:t xml:space="preserve"> P-Editor: </w:t>
      </w:r>
      <w:r w:rsidR="00697363" w:rsidRPr="00697363">
        <w:rPr>
          <w:rFonts w:ascii="Book Antiqua" w:eastAsia="Book Antiqua" w:hAnsi="Book Antiqua" w:cs="Book Antiqua"/>
          <w:bCs/>
          <w:color w:val="000000"/>
        </w:rPr>
        <w:t>Li JH</w:t>
      </w:r>
    </w:p>
    <w:p w14:paraId="20E47EB9" w14:textId="77777777" w:rsidR="002E1EE6" w:rsidRPr="00E2495E" w:rsidRDefault="002E1EE6" w:rsidP="00E2495E">
      <w:pPr>
        <w:spacing w:line="360" w:lineRule="auto"/>
        <w:jc w:val="both"/>
        <w:rPr>
          <w:rFonts w:ascii="Book Antiqua" w:hAnsi="Book Antiqua"/>
        </w:rPr>
        <w:sectPr w:rsidR="002E1EE6" w:rsidRPr="00E2495E">
          <w:pgSz w:w="12240" w:h="15840"/>
          <w:pgMar w:top="1440" w:right="1440" w:bottom="1440" w:left="1440" w:header="720" w:footer="720" w:gutter="0"/>
          <w:cols w:space="720"/>
          <w:docGrid w:linePitch="360"/>
        </w:sectPr>
      </w:pPr>
    </w:p>
    <w:p w14:paraId="51066F35" w14:textId="77777777"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color w:val="000000"/>
        </w:rPr>
        <w:lastRenderedPageBreak/>
        <w:t>Figure Legends</w:t>
      </w:r>
    </w:p>
    <w:p w14:paraId="130513CD" w14:textId="68536935" w:rsidR="004E08D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11F8363C" wp14:editId="32EDC1B6">
            <wp:extent cx="4565683" cy="20355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6294" cy="2049181"/>
                    </a:xfrm>
                    <a:prstGeom prst="rect">
                      <a:avLst/>
                    </a:prstGeom>
                  </pic:spPr>
                </pic:pic>
              </a:graphicData>
            </a:graphic>
          </wp:inline>
        </w:drawing>
      </w:r>
    </w:p>
    <w:p w14:paraId="62F7F7E2" w14:textId="6DD87941" w:rsidR="00823AB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040FE1D7" wp14:editId="6CB829EB">
            <wp:extent cx="4528745" cy="1979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8711" cy="1988604"/>
                    </a:xfrm>
                    <a:prstGeom prst="rect">
                      <a:avLst/>
                    </a:prstGeom>
                  </pic:spPr>
                </pic:pic>
              </a:graphicData>
            </a:graphic>
          </wp:inline>
        </w:drawing>
      </w:r>
    </w:p>
    <w:p w14:paraId="24B0A8ED" w14:textId="1205C5F7" w:rsidR="00823ABE" w:rsidRPr="00E2495E" w:rsidRDefault="00823AB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02885001" wp14:editId="06DFBE8D">
            <wp:extent cx="4563316" cy="1979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342" cy="1987262"/>
                    </a:xfrm>
                    <a:prstGeom prst="rect">
                      <a:avLst/>
                    </a:prstGeom>
                  </pic:spPr>
                </pic:pic>
              </a:graphicData>
            </a:graphic>
          </wp:inline>
        </w:drawing>
      </w:r>
    </w:p>
    <w:p w14:paraId="35AC5CCF" w14:textId="4F35A856" w:rsidR="00A77B3E" w:rsidRPr="00E2495E" w:rsidRDefault="00D835DC" w:rsidP="00E2495E">
      <w:pPr>
        <w:spacing w:line="360" w:lineRule="auto"/>
        <w:jc w:val="both"/>
        <w:rPr>
          <w:rFonts w:ascii="Book Antiqua" w:hAnsi="Book Antiqua"/>
        </w:rPr>
      </w:pPr>
      <w:r w:rsidRPr="00E2495E">
        <w:rPr>
          <w:rFonts w:ascii="Book Antiqua" w:eastAsia="Book Antiqua" w:hAnsi="Book Antiqua" w:cs="Book Antiqua"/>
          <w:b/>
          <w:bCs/>
          <w:color w:val="000000"/>
        </w:rPr>
        <w:t>Figure 1 Biopsy pathology</w:t>
      </w:r>
      <w:r w:rsidR="00A851B0" w:rsidRPr="00E2495E">
        <w:rPr>
          <w:rFonts w:ascii="Book Antiqua" w:eastAsia="Book Antiqua" w:hAnsi="Book Antiqua" w:cs="Book Antiqua"/>
          <w:b/>
          <w:bCs/>
          <w:color w:val="000000"/>
        </w:rPr>
        <w:t>.</w:t>
      </w:r>
      <w:r w:rsidR="00A851B0" w:rsidRPr="00E2495E">
        <w:rPr>
          <w:rFonts w:ascii="Book Antiqua" w:hAnsi="Book Antiqua"/>
          <w:b/>
          <w:bCs/>
          <w:lang w:eastAsia="zh-CN"/>
        </w:rPr>
        <w:t xml:space="preserve"> </w:t>
      </w:r>
      <w:r w:rsidR="006B443A" w:rsidRPr="00E2495E">
        <w:rPr>
          <w:rFonts w:ascii="Book Antiqua" w:eastAsia="Book Antiqua" w:hAnsi="Book Antiqua" w:cs="Book Antiqua"/>
          <w:color w:val="000000"/>
        </w:rPr>
        <w:t xml:space="preserve">A: </w:t>
      </w:r>
      <w:r w:rsidRPr="00E2495E">
        <w:rPr>
          <w:rFonts w:ascii="Book Antiqua" w:eastAsia="Book Antiqua" w:hAnsi="Book Antiqua" w:cs="Book Antiqua"/>
          <w:color w:val="000000"/>
        </w:rPr>
        <w:t>Thickened basement membrane (hematoxylin-eosin staining, ×</w:t>
      </w:r>
      <w:r w:rsidR="006B443A"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B:</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P</w:t>
      </w:r>
      <w:r w:rsidRPr="00E2495E">
        <w:rPr>
          <w:rFonts w:ascii="Book Antiqua" w:eastAsia="Book Antiqua" w:hAnsi="Book Antiqua" w:cs="Book Antiqua"/>
          <w:color w:val="000000"/>
        </w:rPr>
        <w:t>roliferation of mesangial cells and endothelial cells (periodic acid–Schiff stain,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C:</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S</w:t>
      </w:r>
      <w:r w:rsidRPr="00E2495E">
        <w:rPr>
          <w:rFonts w:ascii="Book Antiqua" w:eastAsia="Book Antiqua" w:hAnsi="Book Antiqua" w:cs="Book Antiqua"/>
          <w:color w:val="000000"/>
        </w:rPr>
        <w:t>egmental wire loop (</w:t>
      </w:r>
      <w:r w:rsidR="00B979EC">
        <w:rPr>
          <w:rFonts w:ascii="Book Antiqua" w:eastAsia="Book Antiqua" w:hAnsi="Book Antiqua" w:cs="Book Antiqua"/>
          <w:color w:val="000000"/>
        </w:rPr>
        <w:t>M</w:t>
      </w:r>
      <w:r w:rsidR="00B979EC" w:rsidRPr="00E2495E">
        <w:rPr>
          <w:rFonts w:ascii="Book Antiqua" w:eastAsia="Book Antiqua" w:hAnsi="Book Antiqua" w:cs="Book Antiqua"/>
          <w:color w:val="000000"/>
        </w:rPr>
        <w:t>asson</w:t>
      </w:r>
      <w:r w:rsidRPr="00E2495E">
        <w:rPr>
          <w:rFonts w:ascii="Book Antiqua" w:eastAsia="Book Antiqua" w:hAnsi="Book Antiqua" w:cs="Book Antiqua"/>
          <w:color w:val="000000"/>
        </w:rPr>
        <w:t>,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D:</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S</w:t>
      </w:r>
      <w:r w:rsidRPr="00E2495E">
        <w:rPr>
          <w:rFonts w:ascii="Book Antiqua" w:eastAsia="Book Antiqua" w:hAnsi="Book Antiqua" w:cs="Book Antiqua"/>
          <w:color w:val="000000"/>
        </w:rPr>
        <w:t>egmental dual track formation (periodic acid-silver methenamine, × 400)</w:t>
      </w:r>
      <w:r w:rsidR="006B443A" w:rsidRPr="00E2495E">
        <w:rPr>
          <w:rFonts w:ascii="Book Antiqua" w:eastAsia="Book Antiqua" w:hAnsi="Book Antiqua" w:cs="Book Antiqua"/>
          <w:color w:val="000000"/>
        </w:rPr>
        <w:t>;</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E</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and</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F:</w:t>
      </w:r>
      <w:r w:rsidRPr="00E2495E">
        <w:rPr>
          <w:rFonts w:ascii="Book Antiqua" w:eastAsia="Book Antiqua" w:hAnsi="Book Antiqua" w:cs="Book Antiqua"/>
          <w:color w:val="000000"/>
        </w:rPr>
        <w:t xml:space="preserve"> </w:t>
      </w:r>
      <w:r w:rsidR="006B443A" w:rsidRPr="00E2495E">
        <w:rPr>
          <w:rFonts w:ascii="Book Antiqua" w:eastAsia="Book Antiqua" w:hAnsi="Book Antiqua" w:cs="Book Antiqua"/>
          <w:color w:val="000000"/>
        </w:rPr>
        <w:t>G</w:t>
      </w:r>
      <w:r w:rsidRPr="00E2495E">
        <w:rPr>
          <w:rFonts w:ascii="Book Antiqua" w:eastAsia="Book Antiqua" w:hAnsi="Book Antiqua" w:cs="Book Antiqua"/>
          <w:color w:val="000000"/>
        </w:rPr>
        <w:t>ranular deposition along the mesangial region and capillary wall (immunofluorescence, × 400).</w:t>
      </w:r>
    </w:p>
    <w:p w14:paraId="745A7B4B" w14:textId="630505F9" w:rsidR="006B443A" w:rsidRPr="00E2495E" w:rsidRDefault="00823ABE" w:rsidP="00E2495E">
      <w:pPr>
        <w:spacing w:line="360" w:lineRule="auto"/>
        <w:jc w:val="both"/>
        <w:rPr>
          <w:rFonts w:ascii="Book Antiqua" w:hAnsi="Book Antiqua"/>
          <w:noProof/>
        </w:rPr>
      </w:pPr>
      <w:r w:rsidRPr="00E2495E">
        <w:rPr>
          <w:rFonts w:ascii="Book Antiqua" w:eastAsia="Book Antiqua" w:hAnsi="Book Antiqua" w:cs="Book Antiqua"/>
          <w:color w:val="000000"/>
        </w:rPr>
        <w:br w:type="page"/>
      </w:r>
      <w:r w:rsidR="00010BFE" w:rsidRPr="00E2495E">
        <w:rPr>
          <w:rFonts w:ascii="Book Antiqua" w:hAnsi="Book Antiqua"/>
          <w:noProof/>
          <w:lang w:eastAsia="zh-CN"/>
        </w:rPr>
        <w:lastRenderedPageBreak/>
        <w:drawing>
          <wp:inline distT="0" distB="0" distL="0" distR="0" wp14:anchorId="58D5CC7F" wp14:editId="6FC7416F">
            <wp:extent cx="2977337" cy="177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207" cy="1795241"/>
                    </a:xfrm>
                    <a:prstGeom prst="rect">
                      <a:avLst/>
                    </a:prstGeom>
                  </pic:spPr>
                </pic:pic>
              </a:graphicData>
            </a:graphic>
          </wp:inline>
        </w:drawing>
      </w:r>
      <w:r w:rsidR="00010BFE" w:rsidRPr="00E2495E">
        <w:rPr>
          <w:rFonts w:ascii="Book Antiqua" w:hAnsi="Book Antiqua"/>
          <w:noProof/>
        </w:rPr>
        <w:t xml:space="preserve"> </w:t>
      </w:r>
      <w:r w:rsidR="00010BFE" w:rsidRPr="00E2495E">
        <w:rPr>
          <w:rFonts w:ascii="Book Antiqua" w:hAnsi="Book Antiqua"/>
          <w:noProof/>
          <w:lang w:eastAsia="zh-CN"/>
        </w:rPr>
        <w:drawing>
          <wp:inline distT="0" distB="0" distL="0" distR="0" wp14:anchorId="7B2471A7" wp14:editId="4C689410">
            <wp:extent cx="2764790" cy="1771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4097" cy="1783703"/>
                    </a:xfrm>
                    <a:prstGeom prst="rect">
                      <a:avLst/>
                    </a:prstGeom>
                  </pic:spPr>
                </pic:pic>
              </a:graphicData>
            </a:graphic>
          </wp:inline>
        </w:drawing>
      </w:r>
    </w:p>
    <w:p w14:paraId="52C30B54" w14:textId="7B08B6B1" w:rsidR="00010BFE" w:rsidRPr="00E2495E" w:rsidRDefault="00010BFE" w:rsidP="00E2495E">
      <w:pPr>
        <w:spacing w:line="360" w:lineRule="auto"/>
        <w:jc w:val="both"/>
        <w:rPr>
          <w:rFonts w:ascii="Book Antiqua" w:eastAsia="Book Antiqua" w:hAnsi="Book Antiqua" w:cs="Book Antiqua"/>
          <w:color w:val="000000"/>
        </w:rPr>
      </w:pPr>
      <w:r w:rsidRPr="00E2495E">
        <w:rPr>
          <w:rFonts w:ascii="Book Antiqua" w:hAnsi="Book Antiqua"/>
          <w:noProof/>
          <w:lang w:eastAsia="zh-CN"/>
        </w:rPr>
        <w:drawing>
          <wp:inline distT="0" distB="0" distL="0" distR="0" wp14:anchorId="18559C57" wp14:editId="10DC636C">
            <wp:extent cx="2844800" cy="1968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896" cy="1980083"/>
                    </a:xfrm>
                    <a:prstGeom prst="rect">
                      <a:avLst/>
                    </a:prstGeom>
                  </pic:spPr>
                </pic:pic>
              </a:graphicData>
            </a:graphic>
          </wp:inline>
        </w:drawing>
      </w:r>
    </w:p>
    <w:p w14:paraId="3071305D" w14:textId="2321837C" w:rsidR="00A77B3E" w:rsidRPr="00E2495E" w:rsidRDefault="00D835DC" w:rsidP="00E2495E">
      <w:pPr>
        <w:spacing w:line="360" w:lineRule="auto"/>
        <w:jc w:val="both"/>
        <w:rPr>
          <w:rFonts w:ascii="Book Antiqua" w:eastAsia="Book Antiqua" w:hAnsi="Book Antiqua" w:cs="Book Antiqua"/>
          <w:color w:val="000000"/>
        </w:rPr>
      </w:pPr>
      <w:r w:rsidRPr="00E2495E">
        <w:rPr>
          <w:rFonts w:ascii="Book Antiqua" w:eastAsia="Book Antiqua" w:hAnsi="Book Antiqua" w:cs="Book Antiqua"/>
          <w:b/>
          <w:bCs/>
          <w:color w:val="000000"/>
        </w:rPr>
        <w:t xml:space="preserve">Figure 2 </w:t>
      </w:r>
      <w:r w:rsidR="00B979EC" w:rsidRPr="00B979EC">
        <w:rPr>
          <w:rFonts w:ascii="Book Antiqua" w:eastAsia="Book Antiqua" w:hAnsi="Book Antiqua" w:cs="Book Antiqua"/>
          <w:b/>
          <w:bCs/>
          <w:color w:val="000000"/>
        </w:rPr>
        <w:t>Routine blood work</w:t>
      </w:r>
      <w:r w:rsidR="00B979EC">
        <w:rPr>
          <w:rFonts w:ascii="Book Antiqua" w:eastAsia="Book Antiqua" w:hAnsi="Book Antiqua" w:cs="Book Antiqua"/>
          <w:b/>
          <w:bCs/>
          <w:color w:val="000000"/>
        </w:rPr>
        <w:t>.</w:t>
      </w:r>
      <w:r w:rsidR="00B979EC" w:rsidRPr="00B979EC">
        <w:rPr>
          <w:rFonts w:ascii="Book Antiqua" w:eastAsia="Book Antiqua" w:hAnsi="Book Antiqua" w:cs="Book Antiqua"/>
          <w:b/>
          <w:bCs/>
          <w:color w:val="000000"/>
        </w:rPr>
        <w:t xml:space="preserve"> </w:t>
      </w:r>
      <w:r w:rsidR="00272D15" w:rsidRPr="00CB7CE6">
        <w:rPr>
          <w:rFonts w:ascii="Book Antiqua" w:eastAsia="Book Antiqua" w:hAnsi="Book Antiqua" w:cs="Book Antiqua"/>
          <w:bCs/>
          <w:color w:val="000000"/>
        </w:rPr>
        <w:t>The ‘baseline’ time point is the initiation of azathioprine therapy.</w:t>
      </w:r>
      <w:r w:rsidR="00272D15" w:rsidRPr="00E2495E">
        <w:rPr>
          <w:rFonts w:ascii="Book Antiqua" w:eastAsia="Book Antiqua" w:hAnsi="Book Antiqua" w:cs="Book Antiqua"/>
          <w:b/>
          <w:bCs/>
          <w:color w:val="000000"/>
        </w:rPr>
        <w:t xml:space="preserve"> </w:t>
      </w:r>
      <w:r w:rsidR="00272D15" w:rsidRPr="00E2495E">
        <w:rPr>
          <w:rFonts w:ascii="Book Antiqua" w:eastAsia="Book Antiqua" w:hAnsi="Book Antiqua" w:cs="Book Antiqua"/>
          <w:color w:val="000000"/>
        </w:rPr>
        <w:t>Four weeks after azathioprine therapy was stopped, all values returned to their baseline levels. A: Changes in the white blood cell count. The increase in the white blood cell count after azathioprine therapy was stopped was caused by the injection of filgrastim; B: Changes in hemoglobin; C: Changes in the platelet count.</w:t>
      </w:r>
      <w:r w:rsidR="00272D15" w:rsidRPr="00E2495E">
        <w:rPr>
          <w:rFonts w:ascii="Book Antiqua" w:eastAsia="Book Antiqua" w:hAnsi="Book Antiqua" w:cs="Book Antiqua"/>
          <w:color w:val="000000"/>
        </w:rPr>
        <w:cr/>
      </w:r>
      <w:r w:rsidR="00823ABE" w:rsidRPr="00E2495E">
        <w:rPr>
          <w:rFonts w:ascii="Book Antiqua" w:eastAsia="Book Antiqua" w:hAnsi="Book Antiqua" w:cs="Book Antiqua"/>
          <w:color w:val="000000"/>
        </w:rPr>
        <w:cr/>
      </w:r>
      <w:r w:rsidR="00272D15" w:rsidRPr="00E2495E">
        <w:rPr>
          <w:rFonts w:ascii="Book Antiqua" w:eastAsia="Book Antiqua" w:hAnsi="Book Antiqua" w:cs="Book Antiqua"/>
          <w:color w:val="000000"/>
        </w:rPr>
        <w:br w:type="page"/>
      </w:r>
      <w:r w:rsidR="00E85547" w:rsidRPr="00E2495E">
        <w:rPr>
          <w:rFonts w:ascii="Book Antiqua" w:hAnsi="Book Antiqua"/>
          <w:noProof/>
          <w:lang w:eastAsia="zh-CN"/>
        </w:rPr>
        <w:lastRenderedPageBreak/>
        <w:drawing>
          <wp:inline distT="0" distB="0" distL="0" distR="0" wp14:anchorId="2E0B1862" wp14:editId="17125F78">
            <wp:extent cx="592455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
                    <a:stretch/>
                  </pic:blipFill>
                  <pic:spPr bwMode="auto">
                    <a:xfrm>
                      <a:off x="0" y="0"/>
                      <a:ext cx="5924550" cy="2971800"/>
                    </a:xfrm>
                    <a:prstGeom prst="rect">
                      <a:avLst/>
                    </a:prstGeom>
                    <a:ln>
                      <a:noFill/>
                    </a:ln>
                    <a:extLst>
                      <a:ext uri="{53640926-AAD7-44D8-BBD7-CCE9431645EC}">
                        <a14:shadowObscured xmlns:a14="http://schemas.microsoft.com/office/drawing/2010/main"/>
                      </a:ext>
                    </a:extLst>
                  </pic:spPr>
                </pic:pic>
              </a:graphicData>
            </a:graphic>
          </wp:inline>
        </w:drawing>
      </w:r>
    </w:p>
    <w:p w14:paraId="1B93E808" w14:textId="4427984B" w:rsidR="003D73D3" w:rsidRDefault="00D835DC">
      <w:pPr>
        <w:rPr>
          <w:rFonts w:ascii="Book Antiqua" w:eastAsia="Book Antiqua" w:hAnsi="Book Antiqua" w:cs="Book Antiqua"/>
          <w:color w:val="000000"/>
        </w:rPr>
      </w:pPr>
      <w:r w:rsidRPr="00E2495E">
        <w:rPr>
          <w:rFonts w:ascii="Book Antiqua" w:eastAsia="Book Antiqua" w:hAnsi="Book Antiqua" w:cs="Book Antiqua"/>
          <w:b/>
          <w:bCs/>
          <w:color w:val="000000"/>
        </w:rPr>
        <w:t>Figure 3</w:t>
      </w:r>
      <w:r w:rsidR="00F87518" w:rsidRPr="00E2495E">
        <w:rPr>
          <w:rFonts w:ascii="Book Antiqua" w:eastAsia="Book Antiqua" w:hAnsi="Book Antiqua" w:cs="Book Antiqua"/>
          <w:b/>
          <w:bCs/>
          <w:color w:val="000000"/>
        </w:rPr>
        <w:t xml:space="preserve"> </w:t>
      </w:r>
      <w:r w:rsidR="00E85547" w:rsidRPr="00E2495E">
        <w:rPr>
          <w:rFonts w:ascii="Book Antiqua" w:eastAsia="Book Antiqua" w:hAnsi="Book Antiqua" w:cs="Book Antiqua"/>
          <w:b/>
          <w:bCs/>
          <w:color w:val="000000"/>
        </w:rPr>
        <w:t>The results of the bone marrow biopsy</w:t>
      </w:r>
      <w:r w:rsidR="00F87518" w:rsidRPr="00E2495E">
        <w:rPr>
          <w:rFonts w:ascii="Book Antiqua" w:eastAsia="Book Antiqua" w:hAnsi="Book Antiqua" w:cs="Book Antiqua"/>
          <w:b/>
          <w:bCs/>
          <w:color w:val="000000"/>
        </w:rPr>
        <w:t>.</w:t>
      </w:r>
      <w:r w:rsidR="00F87518"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 xml:space="preserve">A: </w:t>
      </w:r>
      <w:r w:rsidR="00F87518" w:rsidRPr="00E2495E">
        <w:rPr>
          <w:rFonts w:ascii="Book Antiqua" w:eastAsia="Book Antiqua" w:hAnsi="Book Antiqua" w:cs="Book Antiqua"/>
          <w:color w:val="000000"/>
        </w:rPr>
        <w:t>Results of bone marrow aspiration-</w:t>
      </w:r>
      <w:r w:rsidR="00DD0678">
        <w:rPr>
          <w:rFonts w:ascii="Book Antiqua" w:eastAsia="Book Antiqua" w:hAnsi="Book Antiqua" w:cs="Book Antiqua"/>
          <w:color w:val="000000"/>
        </w:rPr>
        <w:t>m</w:t>
      </w:r>
      <w:r w:rsidR="00DD0678" w:rsidRPr="00E2495E">
        <w:rPr>
          <w:rFonts w:ascii="Book Antiqua" w:eastAsia="Book Antiqua" w:hAnsi="Book Antiqua" w:cs="Book Antiqua"/>
          <w:color w:val="000000"/>
        </w:rPr>
        <w:t>yelogram</w:t>
      </w:r>
      <w:r w:rsidR="00F87518" w:rsidRPr="00E2495E">
        <w:rPr>
          <w:rFonts w:ascii="Book Antiqua" w:eastAsia="Book Antiqua" w:hAnsi="Book Antiqua" w:cs="Book Antiqua"/>
          <w:color w:val="000000"/>
        </w:rPr>
        <w:t xml:space="preserve">. </w:t>
      </w:r>
      <w:r w:rsidRPr="00E2495E">
        <w:rPr>
          <w:rFonts w:ascii="Book Antiqua" w:eastAsia="Book Antiqua" w:hAnsi="Book Antiqua" w:cs="Book Antiqua"/>
          <w:color w:val="000000"/>
        </w:rPr>
        <w:t>The myelogram showed low myelodysplasia (G = 52.0%, E = 25.0%, G/E = 2.1/1); cells in the lower and middle granulocyte stages were observed, with a low proportion of mesoblastic granulocytes and a high proportion of lobulated nuclei, with obvious abnormal morphology. Cells in the lower erythroid stage could be seen with a higher proportion of late immature red cells, smaller cell bodies, different sizes of mature red cells, and some hollow enlargement. No obvious abnormality was found in lymphocytes; only one naked nucleus was found in the whole sample, with few platelets and no parasites</w:t>
      </w:r>
      <w:r w:rsidR="00E85547" w:rsidRPr="00E2495E">
        <w:rPr>
          <w:rFonts w:ascii="Book Antiqua" w:eastAsia="Book Antiqua" w:hAnsi="Book Antiqua" w:cs="Book Antiqua"/>
          <w:color w:val="000000"/>
        </w:rPr>
        <w:t>; B:</w:t>
      </w:r>
      <w:r w:rsidR="00F87518" w:rsidRPr="00E2495E">
        <w:rPr>
          <w:rFonts w:ascii="Book Antiqua" w:eastAsia="Book Antiqua" w:hAnsi="Book Antiqua" w:cs="Book Antiqua"/>
          <w:b/>
          <w:bCs/>
          <w:color w:val="000000"/>
        </w:rPr>
        <w:t xml:space="preserve"> </w:t>
      </w:r>
      <w:r w:rsidR="00F87518" w:rsidRPr="00E2495E">
        <w:rPr>
          <w:rFonts w:ascii="Book Antiqua" w:eastAsia="Book Antiqua" w:hAnsi="Book Antiqua" w:cs="Book Antiqua"/>
          <w:color w:val="000000"/>
        </w:rPr>
        <w:t xml:space="preserve">Bone marrow biopsy showed focal hyperplasia in some areas (70%) and normal hyperplasia in some areas (40%). </w:t>
      </w:r>
      <w:r w:rsidR="00DD0678">
        <w:rPr>
          <w:rFonts w:ascii="Book Antiqua" w:eastAsia="Book Antiqua" w:hAnsi="Book Antiqua" w:cs="Book Antiqua"/>
          <w:color w:val="000000"/>
        </w:rPr>
        <w:t>T</w:t>
      </w:r>
      <w:r w:rsidR="00F87518" w:rsidRPr="00E2495E">
        <w:rPr>
          <w:rFonts w:ascii="Book Antiqua" w:eastAsia="Book Antiqua" w:hAnsi="Book Antiqua" w:cs="Book Antiqua"/>
          <w:color w:val="000000"/>
        </w:rPr>
        <w:t xml:space="preserve">he proportion of granulocyte red staining was generally normal. Cells at various granulocyte stages were visible, mainly in the middle and late juvenile stage; there were many megakaryocytes, mainly with lobulated nuclei, and some megakaryocytes were less abundant. Reticular fiber staining: </w:t>
      </w:r>
      <w:r w:rsidR="00023232" w:rsidRPr="00E2495E">
        <w:rPr>
          <w:rFonts w:ascii="Book Antiqua" w:eastAsia="Book Antiqua" w:hAnsi="Book Antiqua" w:cs="Book Antiqua"/>
          <w:color w:val="000000"/>
        </w:rPr>
        <w:t>M</w:t>
      </w:r>
      <w:r w:rsidR="00F87518" w:rsidRPr="00E2495E">
        <w:rPr>
          <w:rFonts w:ascii="Book Antiqua" w:eastAsia="Book Antiqua" w:hAnsi="Book Antiqua" w:cs="Book Antiqua"/>
          <w:color w:val="000000"/>
        </w:rPr>
        <w:t>f0 grade iron staining: Negative.</w:t>
      </w:r>
      <w:r w:rsidR="00F87518" w:rsidRPr="00E2495E">
        <w:rPr>
          <w:rFonts w:ascii="Book Antiqua" w:eastAsia="Book Antiqua" w:hAnsi="Book Antiqua" w:cs="Book Antiqua"/>
          <w:color w:val="000000"/>
        </w:rPr>
        <w:cr/>
      </w:r>
      <w:r w:rsidR="003D73D3">
        <w:rPr>
          <w:rFonts w:ascii="Book Antiqua" w:eastAsia="Book Antiqua" w:hAnsi="Book Antiqua" w:cs="Book Antiqua"/>
          <w:color w:val="000000"/>
        </w:rPr>
        <w:br w:type="page"/>
      </w:r>
    </w:p>
    <w:p w14:paraId="276DEE65" w14:textId="77777777" w:rsidR="003D73D3" w:rsidRDefault="003D73D3" w:rsidP="003D73D3">
      <w:pPr>
        <w:jc w:val="center"/>
        <w:rPr>
          <w:rFonts w:ascii="Book Antiqua" w:hAnsi="Book Antiqua"/>
          <w:lang w:eastAsia="zh-CN"/>
        </w:rPr>
      </w:pPr>
    </w:p>
    <w:p w14:paraId="3F5F6F89" w14:textId="77777777" w:rsidR="003D73D3" w:rsidRDefault="003D73D3" w:rsidP="003D73D3">
      <w:pPr>
        <w:jc w:val="center"/>
        <w:rPr>
          <w:rFonts w:ascii="Book Antiqua" w:hAnsi="Book Antiqua"/>
          <w:lang w:eastAsia="zh-CN"/>
        </w:rPr>
      </w:pPr>
    </w:p>
    <w:p w14:paraId="4B46A240" w14:textId="77777777" w:rsidR="003D73D3" w:rsidRDefault="003D73D3" w:rsidP="003D73D3">
      <w:pPr>
        <w:jc w:val="center"/>
        <w:rPr>
          <w:rFonts w:ascii="Book Antiqua" w:hAnsi="Book Antiqua"/>
          <w:lang w:eastAsia="zh-CN"/>
        </w:rPr>
      </w:pPr>
    </w:p>
    <w:p w14:paraId="6FCB5607" w14:textId="77777777" w:rsidR="003D73D3" w:rsidRDefault="003D73D3" w:rsidP="003D73D3">
      <w:pPr>
        <w:jc w:val="center"/>
        <w:rPr>
          <w:rFonts w:ascii="Book Antiqua" w:hAnsi="Book Antiqua"/>
          <w:lang w:eastAsia="zh-CN"/>
        </w:rPr>
      </w:pPr>
    </w:p>
    <w:p w14:paraId="66B03025" w14:textId="77777777" w:rsidR="003D73D3" w:rsidRDefault="003D73D3" w:rsidP="003D73D3">
      <w:pPr>
        <w:jc w:val="center"/>
        <w:rPr>
          <w:rFonts w:ascii="Book Antiqua" w:hAnsi="Book Antiqua"/>
          <w:lang w:eastAsia="zh-CN"/>
        </w:rPr>
      </w:pPr>
    </w:p>
    <w:p w14:paraId="1033E0F9" w14:textId="43564310" w:rsidR="003D73D3" w:rsidRDefault="003D73D3" w:rsidP="003D73D3">
      <w:pPr>
        <w:jc w:val="center"/>
        <w:rPr>
          <w:rFonts w:ascii="Book Antiqua" w:hAnsi="Book Antiqua"/>
          <w:lang w:eastAsia="zh-CN"/>
        </w:rPr>
      </w:pPr>
      <w:r>
        <w:rPr>
          <w:rFonts w:ascii="Book Antiqua" w:hAnsi="Book Antiqua"/>
          <w:noProof/>
          <w:lang w:eastAsia="zh-CN"/>
        </w:rPr>
        <w:drawing>
          <wp:inline distT="0" distB="0" distL="0" distR="0" wp14:anchorId="05D9250E" wp14:editId="768ABBDF">
            <wp:extent cx="2497455" cy="14395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14A68A8" w14:textId="77777777" w:rsidR="003D73D3" w:rsidRDefault="003D73D3" w:rsidP="003D73D3">
      <w:pPr>
        <w:jc w:val="center"/>
        <w:rPr>
          <w:rFonts w:ascii="Book Antiqua" w:hAnsi="Book Antiqua"/>
          <w:lang w:eastAsia="zh-CN"/>
        </w:rPr>
      </w:pPr>
    </w:p>
    <w:p w14:paraId="0E9DB15A" w14:textId="77777777" w:rsidR="003D73D3" w:rsidRDefault="003D73D3" w:rsidP="003D73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2A985A3" w14:textId="77777777" w:rsidR="003D73D3" w:rsidRDefault="003D73D3" w:rsidP="003D73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78A40B" w14:textId="77777777" w:rsidR="003D73D3" w:rsidRDefault="003D73D3" w:rsidP="003D73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3A0E11" w14:textId="77777777" w:rsidR="003D73D3" w:rsidRDefault="003D73D3" w:rsidP="003D73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3A7460" w14:textId="77777777" w:rsidR="003D73D3" w:rsidRDefault="003D73D3" w:rsidP="003D73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8F4452" w14:textId="77777777" w:rsidR="003D73D3" w:rsidRDefault="003D73D3" w:rsidP="003D73D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13CAF2C" w14:textId="77777777" w:rsidR="003D73D3" w:rsidRDefault="003D73D3" w:rsidP="003D73D3">
      <w:pPr>
        <w:jc w:val="center"/>
        <w:rPr>
          <w:rFonts w:ascii="Book Antiqua" w:hAnsi="Book Antiqua"/>
          <w:lang w:eastAsia="zh-CN"/>
        </w:rPr>
      </w:pPr>
    </w:p>
    <w:p w14:paraId="6018D2FF" w14:textId="77777777" w:rsidR="003D73D3" w:rsidRDefault="003D73D3" w:rsidP="003D73D3">
      <w:pPr>
        <w:jc w:val="center"/>
        <w:rPr>
          <w:rFonts w:ascii="Book Antiqua" w:hAnsi="Book Antiqua"/>
          <w:lang w:eastAsia="zh-CN"/>
        </w:rPr>
      </w:pPr>
    </w:p>
    <w:p w14:paraId="33635A54" w14:textId="77777777" w:rsidR="003D73D3" w:rsidRDefault="003D73D3" w:rsidP="003D73D3">
      <w:pPr>
        <w:jc w:val="center"/>
        <w:rPr>
          <w:rFonts w:ascii="Book Antiqua" w:hAnsi="Book Antiqua"/>
          <w:lang w:eastAsia="zh-CN"/>
        </w:rPr>
      </w:pPr>
    </w:p>
    <w:p w14:paraId="058D0C41" w14:textId="1F3E54F4" w:rsidR="003D73D3" w:rsidRDefault="003D73D3" w:rsidP="003D73D3">
      <w:pPr>
        <w:jc w:val="center"/>
        <w:rPr>
          <w:rFonts w:ascii="Book Antiqua" w:hAnsi="Book Antiqua"/>
          <w:lang w:eastAsia="zh-CN"/>
        </w:rPr>
      </w:pPr>
      <w:r>
        <w:rPr>
          <w:rFonts w:ascii="Book Antiqua" w:hAnsi="Book Antiqua"/>
          <w:noProof/>
          <w:lang w:eastAsia="zh-CN"/>
        </w:rPr>
        <w:drawing>
          <wp:inline distT="0" distB="0" distL="0" distR="0" wp14:anchorId="766F5071" wp14:editId="5961FD46">
            <wp:extent cx="1446530" cy="1439545"/>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F1BD4E3" w14:textId="77777777" w:rsidR="003D73D3" w:rsidRDefault="003D73D3" w:rsidP="003D73D3">
      <w:pPr>
        <w:jc w:val="center"/>
        <w:rPr>
          <w:rFonts w:ascii="Book Antiqua" w:hAnsi="Book Antiqua"/>
          <w:lang w:eastAsia="zh-CN"/>
        </w:rPr>
      </w:pPr>
    </w:p>
    <w:p w14:paraId="39C2AF94" w14:textId="77777777" w:rsidR="003D73D3" w:rsidRDefault="003D73D3" w:rsidP="003D73D3">
      <w:pPr>
        <w:jc w:val="center"/>
        <w:rPr>
          <w:rFonts w:ascii="Book Antiqua" w:hAnsi="Book Antiqua"/>
          <w:lang w:eastAsia="zh-CN"/>
        </w:rPr>
      </w:pPr>
    </w:p>
    <w:p w14:paraId="7CD6938F" w14:textId="77777777" w:rsidR="003D73D3" w:rsidRDefault="003D73D3" w:rsidP="003D73D3">
      <w:pPr>
        <w:jc w:val="center"/>
        <w:rPr>
          <w:rFonts w:ascii="Book Antiqua" w:hAnsi="Book Antiqua"/>
          <w:lang w:eastAsia="zh-CN"/>
        </w:rPr>
      </w:pPr>
    </w:p>
    <w:p w14:paraId="4EE7CA23" w14:textId="77777777" w:rsidR="003D73D3" w:rsidRDefault="003D73D3" w:rsidP="003D73D3">
      <w:pPr>
        <w:jc w:val="center"/>
        <w:rPr>
          <w:rFonts w:ascii="Book Antiqua" w:hAnsi="Book Antiqua"/>
          <w:lang w:eastAsia="zh-CN"/>
        </w:rPr>
      </w:pPr>
    </w:p>
    <w:p w14:paraId="2D427DDA" w14:textId="77777777" w:rsidR="003D73D3" w:rsidRDefault="003D73D3" w:rsidP="003D73D3">
      <w:pPr>
        <w:jc w:val="center"/>
        <w:rPr>
          <w:rFonts w:ascii="Book Antiqua" w:hAnsi="Book Antiqua"/>
          <w:lang w:eastAsia="zh-CN"/>
        </w:rPr>
      </w:pPr>
    </w:p>
    <w:p w14:paraId="6AE2E591" w14:textId="77777777" w:rsidR="003D73D3" w:rsidRDefault="003D73D3" w:rsidP="003D73D3">
      <w:pPr>
        <w:jc w:val="center"/>
        <w:rPr>
          <w:rFonts w:ascii="Book Antiqua" w:hAnsi="Book Antiqua"/>
          <w:lang w:eastAsia="zh-CN"/>
        </w:rPr>
      </w:pPr>
    </w:p>
    <w:p w14:paraId="1D8DCF8F" w14:textId="77777777" w:rsidR="003D73D3" w:rsidRDefault="003D73D3" w:rsidP="003D73D3">
      <w:pPr>
        <w:jc w:val="center"/>
        <w:rPr>
          <w:rFonts w:ascii="Book Antiqua" w:hAnsi="Book Antiqua"/>
          <w:lang w:eastAsia="zh-CN"/>
        </w:rPr>
      </w:pPr>
    </w:p>
    <w:p w14:paraId="6460595E" w14:textId="77777777" w:rsidR="003D73D3" w:rsidRDefault="003D73D3" w:rsidP="003D73D3">
      <w:pPr>
        <w:jc w:val="center"/>
        <w:rPr>
          <w:rFonts w:ascii="Book Antiqua" w:hAnsi="Book Antiqua"/>
          <w:lang w:eastAsia="zh-CN"/>
        </w:rPr>
      </w:pPr>
    </w:p>
    <w:p w14:paraId="5F5162BB" w14:textId="77777777" w:rsidR="003D73D3" w:rsidRDefault="003D73D3" w:rsidP="003D73D3">
      <w:pPr>
        <w:jc w:val="center"/>
        <w:rPr>
          <w:rFonts w:ascii="Book Antiqua" w:hAnsi="Book Antiqua"/>
          <w:lang w:eastAsia="zh-CN"/>
        </w:rPr>
      </w:pPr>
    </w:p>
    <w:p w14:paraId="50459C3D" w14:textId="77777777" w:rsidR="003D73D3" w:rsidRDefault="003D73D3" w:rsidP="003D73D3">
      <w:pPr>
        <w:jc w:val="right"/>
        <w:rPr>
          <w:rFonts w:ascii="Book Antiqua" w:hAnsi="Book Antiqua"/>
          <w:color w:val="000000" w:themeColor="text1"/>
          <w:lang w:eastAsia="zh-CN"/>
        </w:rPr>
      </w:pPr>
    </w:p>
    <w:p w14:paraId="1987B71D" w14:textId="77777777" w:rsidR="003D73D3" w:rsidRDefault="003D73D3" w:rsidP="003D73D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E0A42B9" w14:textId="77777777" w:rsidR="00E2495E" w:rsidRPr="00E2495E" w:rsidRDefault="00E2495E" w:rsidP="00E2495E">
      <w:pPr>
        <w:spacing w:line="360" w:lineRule="auto"/>
        <w:jc w:val="both"/>
        <w:rPr>
          <w:rFonts w:ascii="Book Antiqua" w:hAnsi="Book Antiqua"/>
        </w:rPr>
      </w:pPr>
    </w:p>
    <w:sectPr w:rsidR="00E2495E" w:rsidRPr="00E249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470E" w14:textId="77777777" w:rsidR="00C63436" w:rsidRDefault="00C63436" w:rsidP="00210F51">
      <w:r>
        <w:separator/>
      </w:r>
    </w:p>
  </w:endnote>
  <w:endnote w:type="continuationSeparator" w:id="0">
    <w:p w14:paraId="2BD68782" w14:textId="77777777" w:rsidR="00C63436" w:rsidRDefault="00C63436" w:rsidP="002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DE4C" w14:textId="77777777" w:rsidR="00210F51" w:rsidRPr="00210F51" w:rsidRDefault="00210F51" w:rsidP="00210F51">
    <w:pPr>
      <w:pStyle w:val="a5"/>
      <w:jc w:val="right"/>
      <w:rPr>
        <w:rFonts w:ascii="Book Antiqua" w:hAnsi="Book Antiqua"/>
        <w:color w:val="000000" w:themeColor="text1"/>
        <w:sz w:val="24"/>
        <w:szCs w:val="24"/>
      </w:rPr>
    </w:pPr>
    <w:r w:rsidRPr="00210F51">
      <w:rPr>
        <w:rFonts w:ascii="Book Antiqua" w:hAnsi="Book Antiqua"/>
        <w:color w:val="000000" w:themeColor="text1"/>
        <w:sz w:val="24"/>
        <w:szCs w:val="24"/>
        <w:lang w:val="zh-CN" w:eastAsia="zh-CN"/>
      </w:rPr>
      <w:t xml:space="preserve"> </w:t>
    </w:r>
    <w:r w:rsidRPr="00210F51">
      <w:rPr>
        <w:rFonts w:ascii="Book Antiqua" w:hAnsi="Book Antiqua"/>
        <w:color w:val="000000" w:themeColor="text1"/>
        <w:sz w:val="24"/>
        <w:szCs w:val="24"/>
      </w:rPr>
      <w:fldChar w:fldCharType="begin"/>
    </w:r>
    <w:r w:rsidRPr="00210F51">
      <w:rPr>
        <w:rFonts w:ascii="Book Antiqua" w:hAnsi="Book Antiqua"/>
        <w:color w:val="000000" w:themeColor="text1"/>
        <w:sz w:val="24"/>
        <w:szCs w:val="24"/>
      </w:rPr>
      <w:instrText>PAGE  \* Arabic  \* MERGEFORMAT</w:instrText>
    </w:r>
    <w:r w:rsidRPr="00210F51">
      <w:rPr>
        <w:rFonts w:ascii="Book Antiqua" w:hAnsi="Book Antiqua"/>
        <w:color w:val="000000" w:themeColor="text1"/>
        <w:sz w:val="24"/>
        <w:szCs w:val="24"/>
      </w:rPr>
      <w:fldChar w:fldCharType="separate"/>
    </w:r>
    <w:r w:rsidR="00CB7CE6" w:rsidRPr="00CB7CE6">
      <w:rPr>
        <w:rFonts w:ascii="Book Antiqua" w:hAnsi="Book Antiqua"/>
        <w:noProof/>
        <w:color w:val="000000" w:themeColor="text1"/>
        <w:sz w:val="24"/>
        <w:szCs w:val="24"/>
        <w:lang w:val="zh-CN" w:eastAsia="zh-CN"/>
      </w:rPr>
      <w:t>18</w:t>
    </w:r>
    <w:r w:rsidRPr="00210F51">
      <w:rPr>
        <w:rFonts w:ascii="Book Antiqua" w:hAnsi="Book Antiqua"/>
        <w:color w:val="000000" w:themeColor="text1"/>
        <w:sz w:val="24"/>
        <w:szCs w:val="24"/>
      </w:rPr>
      <w:fldChar w:fldCharType="end"/>
    </w:r>
    <w:r w:rsidRPr="00210F51">
      <w:rPr>
        <w:rFonts w:ascii="Book Antiqua" w:hAnsi="Book Antiqua"/>
        <w:color w:val="000000" w:themeColor="text1"/>
        <w:sz w:val="24"/>
        <w:szCs w:val="24"/>
        <w:lang w:val="zh-CN" w:eastAsia="zh-CN"/>
      </w:rPr>
      <w:t xml:space="preserve"> / </w:t>
    </w:r>
    <w:r w:rsidRPr="00210F51">
      <w:rPr>
        <w:rFonts w:ascii="Book Antiqua" w:hAnsi="Book Antiqua"/>
        <w:color w:val="000000" w:themeColor="text1"/>
        <w:sz w:val="24"/>
        <w:szCs w:val="24"/>
      </w:rPr>
      <w:fldChar w:fldCharType="begin"/>
    </w:r>
    <w:r w:rsidRPr="00210F51">
      <w:rPr>
        <w:rFonts w:ascii="Book Antiqua" w:hAnsi="Book Antiqua"/>
        <w:color w:val="000000" w:themeColor="text1"/>
        <w:sz w:val="24"/>
        <w:szCs w:val="24"/>
      </w:rPr>
      <w:instrText>NUMPAGES  \* Arabic  \* MERGEFORMAT</w:instrText>
    </w:r>
    <w:r w:rsidRPr="00210F51">
      <w:rPr>
        <w:rFonts w:ascii="Book Antiqua" w:hAnsi="Book Antiqua"/>
        <w:color w:val="000000" w:themeColor="text1"/>
        <w:sz w:val="24"/>
        <w:szCs w:val="24"/>
      </w:rPr>
      <w:fldChar w:fldCharType="separate"/>
    </w:r>
    <w:r w:rsidR="00CB7CE6" w:rsidRPr="00CB7CE6">
      <w:rPr>
        <w:rFonts w:ascii="Book Antiqua" w:hAnsi="Book Antiqua"/>
        <w:noProof/>
        <w:color w:val="000000" w:themeColor="text1"/>
        <w:sz w:val="24"/>
        <w:szCs w:val="24"/>
        <w:lang w:val="zh-CN" w:eastAsia="zh-CN"/>
      </w:rPr>
      <w:t>18</w:t>
    </w:r>
    <w:r w:rsidRPr="00210F51">
      <w:rPr>
        <w:rFonts w:ascii="Book Antiqua" w:hAnsi="Book Antiqua"/>
        <w:color w:val="000000" w:themeColor="text1"/>
        <w:sz w:val="24"/>
        <w:szCs w:val="24"/>
      </w:rPr>
      <w:fldChar w:fldCharType="end"/>
    </w:r>
  </w:p>
  <w:p w14:paraId="4094C73B" w14:textId="77777777" w:rsidR="00210F51" w:rsidRDefault="00210F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B5BEB" w14:textId="77777777" w:rsidR="00C63436" w:rsidRDefault="00C63436" w:rsidP="00210F51">
      <w:r>
        <w:separator/>
      </w:r>
    </w:p>
  </w:footnote>
  <w:footnote w:type="continuationSeparator" w:id="0">
    <w:p w14:paraId="6E5A0CE8" w14:textId="77777777" w:rsidR="00C63436" w:rsidRDefault="00C63436" w:rsidP="00210F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D34"/>
    <w:rsid w:val="00010BFE"/>
    <w:rsid w:val="00023232"/>
    <w:rsid w:val="000C1598"/>
    <w:rsid w:val="000E2A06"/>
    <w:rsid w:val="00101216"/>
    <w:rsid w:val="00113536"/>
    <w:rsid w:val="00187C4E"/>
    <w:rsid w:val="001B4117"/>
    <w:rsid w:val="00210F51"/>
    <w:rsid w:val="00215A30"/>
    <w:rsid w:val="00234E15"/>
    <w:rsid w:val="00272D15"/>
    <w:rsid w:val="002758B3"/>
    <w:rsid w:val="00297A19"/>
    <w:rsid w:val="002E1EE6"/>
    <w:rsid w:val="002E7C5A"/>
    <w:rsid w:val="002F414A"/>
    <w:rsid w:val="00316627"/>
    <w:rsid w:val="0036383B"/>
    <w:rsid w:val="003D73D3"/>
    <w:rsid w:val="004023F5"/>
    <w:rsid w:val="004911A6"/>
    <w:rsid w:val="004E08DE"/>
    <w:rsid w:val="00500608"/>
    <w:rsid w:val="006371B2"/>
    <w:rsid w:val="0064064C"/>
    <w:rsid w:val="00683BE4"/>
    <w:rsid w:val="00697363"/>
    <w:rsid w:val="006B443A"/>
    <w:rsid w:val="006D40A4"/>
    <w:rsid w:val="007464C2"/>
    <w:rsid w:val="008106C1"/>
    <w:rsid w:val="00823ABE"/>
    <w:rsid w:val="008B5082"/>
    <w:rsid w:val="008D17F0"/>
    <w:rsid w:val="008D276F"/>
    <w:rsid w:val="008D3A95"/>
    <w:rsid w:val="009310AB"/>
    <w:rsid w:val="00953001"/>
    <w:rsid w:val="009F50C0"/>
    <w:rsid w:val="00A51499"/>
    <w:rsid w:val="00A77B3E"/>
    <w:rsid w:val="00A851B0"/>
    <w:rsid w:val="00B023B3"/>
    <w:rsid w:val="00B6005B"/>
    <w:rsid w:val="00B738C9"/>
    <w:rsid w:val="00B959DF"/>
    <w:rsid w:val="00B979EC"/>
    <w:rsid w:val="00BA38F7"/>
    <w:rsid w:val="00C5317E"/>
    <w:rsid w:val="00C63436"/>
    <w:rsid w:val="00C65833"/>
    <w:rsid w:val="00C7455E"/>
    <w:rsid w:val="00CA2A55"/>
    <w:rsid w:val="00CB1551"/>
    <w:rsid w:val="00CB7CE6"/>
    <w:rsid w:val="00CC37E2"/>
    <w:rsid w:val="00D31688"/>
    <w:rsid w:val="00D65DEE"/>
    <w:rsid w:val="00D835DC"/>
    <w:rsid w:val="00DD0678"/>
    <w:rsid w:val="00DF265D"/>
    <w:rsid w:val="00E07AC1"/>
    <w:rsid w:val="00E2495E"/>
    <w:rsid w:val="00E83FE8"/>
    <w:rsid w:val="00E85547"/>
    <w:rsid w:val="00F87518"/>
    <w:rsid w:val="00FD5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78E82"/>
  <w15:docId w15:val="{31E22246-484D-4818-8B0C-4B8A307F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character" w:customStyle="1" w:styleId="apple-converted-space">
    <w:name w:val="apple-converted-space"/>
    <w:basedOn w:val="a0"/>
  </w:style>
  <w:style w:type="paragraph" w:styleId="a3">
    <w:name w:val="header"/>
    <w:basedOn w:val="a"/>
    <w:link w:val="a4"/>
    <w:unhideWhenUsed/>
    <w:rsid w:val="00210F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10F51"/>
    <w:rPr>
      <w:sz w:val="18"/>
      <w:szCs w:val="18"/>
    </w:rPr>
  </w:style>
  <w:style w:type="paragraph" w:styleId="a5">
    <w:name w:val="footer"/>
    <w:basedOn w:val="a"/>
    <w:link w:val="a6"/>
    <w:uiPriority w:val="99"/>
    <w:unhideWhenUsed/>
    <w:rsid w:val="00210F51"/>
    <w:pPr>
      <w:tabs>
        <w:tab w:val="center" w:pos="4153"/>
        <w:tab w:val="right" w:pos="8306"/>
      </w:tabs>
      <w:snapToGrid w:val="0"/>
    </w:pPr>
    <w:rPr>
      <w:sz w:val="18"/>
      <w:szCs w:val="18"/>
    </w:rPr>
  </w:style>
  <w:style w:type="character" w:customStyle="1" w:styleId="a6">
    <w:name w:val="页脚 字符"/>
    <w:basedOn w:val="a0"/>
    <w:link w:val="a5"/>
    <w:uiPriority w:val="99"/>
    <w:rsid w:val="00210F51"/>
    <w:rPr>
      <w:sz w:val="18"/>
      <w:szCs w:val="18"/>
    </w:rPr>
  </w:style>
  <w:style w:type="character" w:styleId="a7">
    <w:name w:val="annotation reference"/>
    <w:basedOn w:val="a0"/>
    <w:semiHidden/>
    <w:unhideWhenUsed/>
    <w:rsid w:val="0064064C"/>
    <w:rPr>
      <w:sz w:val="21"/>
      <w:szCs w:val="21"/>
    </w:rPr>
  </w:style>
  <w:style w:type="paragraph" w:styleId="a8">
    <w:name w:val="annotation text"/>
    <w:basedOn w:val="a"/>
    <w:link w:val="a9"/>
    <w:semiHidden/>
    <w:unhideWhenUsed/>
    <w:rsid w:val="0064064C"/>
  </w:style>
  <w:style w:type="character" w:customStyle="1" w:styleId="a9">
    <w:name w:val="批注文字 字符"/>
    <w:basedOn w:val="a0"/>
    <w:link w:val="a8"/>
    <w:semiHidden/>
    <w:rsid w:val="0064064C"/>
    <w:rPr>
      <w:sz w:val="24"/>
      <w:szCs w:val="24"/>
    </w:rPr>
  </w:style>
  <w:style w:type="paragraph" w:styleId="aa">
    <w:name w:val="annotation subject"/>
    <w:basedOn w:val="a8"/>
    <w:next w:val="a8"/>
    <w:link w:val="ab"/>
    <w:semiHidden/>
    <w:unhideWhenUsed/>
    <w:rsid w:val="0064064C"/>
    <w:rPr>
      <w:b/>
      <w:bCs/>
    </w:rPr>
  </w:style>
  <w:style w:type="character" w:customStyle="1" w:styleId="ab">
    <w:name w:val="批注主题 字符"/>
    <w:basedOn w:val="a9"/>
    <w:link w:val="aa"/>
    <w:semiHidden/>
    <w:rsid w:val="0064064C"/>
    <w:rPr>
      <w:b/>
      <w:bCs/>
      <w:sz w:val="24"/>
      <w:szCs w:val="24"/>
    </w:rPr>
  </w:style>
  <w:style w:type="character" w:customStyle="1" w:styleId="jlqj4b">
    <w:name w:val="jlqj4b"/>
    <w:basedOn w:val="a0"/>
    <w:rsid w:val="00CB1551"/>
  </w:style>
  <w:style w:type="character" w:customStyle="1" w:styleId="dxebaseoffice2010blue">
    <w:name w:val="dxebase_office2010blue"/>
    <w:basedOn w:val="a0"/>
    <w:rsid w:val="00CC37E2"/>
  </w:style>
  <w:style w:type="paragraph" w:styleId="ac">
    <w:name w:val="Balloon Text"/>
    <w:basedOn w:val="a"/>
    <w:link w:val="ad"/>
    <w:semiHidden/>
    <w:unhideWhenUsed/>
    <w:rsid w:val="000E2A06"/>
    <w:rPr>
      <w:sz w:val="18"/>
      <w:szCs w:val="18"/>
    </w:rPr>
  </w:style>
  <w:style w:type="character" w:customStyle="1" w:styleId="ad">
    <w:name w:val="批注框文本 字符"/>
    <w:basedOn w:val="a0"/>
    <w:link w:val="ac"/>
    <w:semiHidden/>
    <w:rsid w:val="000E2A06"/>
    <w:rPr>
      <w:sz w:val="18"/>
      <w:szCs w:val="18"/>
    </w:rPr>
  </w:style>
  <w:style w:type="character" w:styleId="ae">
    <w:name w:val="Hyperlink"/>
    <w:basedOn w:val="a0"/>
    <w:unhideWhenUsed/>
    <w:rsid w:val="00C7455E"/>
    <w:rPr>
      <w:color w:val="0000FF" w:themeColor="hyperlink"/>
      <w:u w:val="single"/>
    </w:rPr>
  </w:style>
  <w:style w:type="character" w:styleId="af">
    <w:name w:val="Unresolved Mention"/>
    <w:basedOn w:val="a0"/>
    <w:uiPriority w:val="99"/>
    <w:semiHidden/>
    <w:unhideWhenUsed/>
    <w:rsid w:val="00C74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10354">
      <w:bodyDiv w:val="1"/>
      <w:marLeft w:val="0"/>
      <w:marRight w:val="0"/>
      <w:marTop w:val="0"/>
      <w:marBottom w:val="0"/>
      <w:divBdr>
        <w:top w:val="none" w:sz="0" w:space="0" w:color="auto"/>
        <w:left w:val="none" w:sz="0" w:space="0" w:color="auto"/>
        <w:bottom w:val="none" w:sz="0" w:space="0" w:color="auto"/>
        <w:right w:val="none" w:sz="0" w:space="0" w:color="auto"/>
      </w:divBdr>
    </w:div>
    <w:div w:id="1178537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9/i17/0000.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3548</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15</cp:revision>
  <dcterms:created xsi:type="dcterms:W3CDTF">2021-04-08T05:21:00Z</dcterms:created>
  <dcterms:modified xsi:type="dcterms:W3CDTF">2021-05-25T01:23:00Z</dcterms:modified>
</cp:coreProperties>
</file>