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9F52D" w14:textId="77777777" w:rsidR="00A77B3E" w:rsidRPr="00BF53C4" w:rsidRDefault="007015BD">
      <w:pPr>
        <w:spacing w:line="360" w:lineRule="auto"/>
        <w:jc w:val="both"/>
      </w:pPr>
      <w:r w:rsidRPr="00BF53C4">
        <w:rPr>
          <w:rFonts w:ascii="Book Antiqua" w:eastAsia="Book Antiqua" w:hAnsi="Book Antiqua" w:cs="Book Antiqua"/>
          <w:b/>
          <w:color w:val="000000"/>
        </w:rPr>
        <w:t xml:space="preserve">Name of Journal: </w:t>
      </w:r>
      <w:r w:rsidRPr="00BF53C4">
        <w:rPr>
          <w:rFonts w:ascii="Book Antiqua" w:eastAsia="Book Antiqua" w:hAnsi="Book Antiqua" w:cs="Book Antiqua"/>
          <w:i/>
          <w:color w:val="000000"/>
        </w:rPr>
        <w:t>World Journal of Clinical Cases</w:t>
      </w:r>
    </w:p>
    <w:p w14:paraId="4C7FC219" w14:textId="77777777" w:rsidR="00A77B3E" w:rsidRPr="00BF53C4" w:rsidRDefault="007015BD">
      <w:pPr>
        <w:spacing w:line="360" w:lineRule="auto"/>
        <w:jc w:val="both"/>
      </w:pPr>
      <w:r w:rsidRPr="00BF53C4">
        <w:rPr>
          <w:rFonts w:ascii="Book Antiqua" w:eastAsia="Book Antiqua" w:hAnsi="Book Antiqua" w:cs="Book Antiqua"/>
          <w:b/>
          <w:color w:val="000000"/>
        </w:rPr>
        <w:t xml:space="preserve">Manuscript NO: </w:t>
      </w:r>
      <w:r w:rsidRPr="00BF53C4">
        <w:rPr>
          <w:rFonts w:ascii="Book Antiqua" w:eastAsia="Book Antiqua" w:hAnsi="Book Antiqua" w:cs="Book Antiqua"/>
          <w:color w:val="000000"/>
        </w:rPr>
        <w:t>61532</w:t>
      </w:r>
    </w:p>
    <w:p w14:paraId="5C46117F" w14:textId="77777777" w:rsidR="00A77B3E" w:rsidRPr="00BF53C4" w:rsidRDefault="007015BD">
      <w:pPr>
        <w:spacing w:line="360" w:lineRule="auto"/>
        <w:jc w:val="both"/>
      </w:pPr>
      <w:r w:rsidRPr="00BF53C4">
        <w:rPr>
          <w:rFonts w:ascii="Book Antiqua" w:eastAsia="Book Antiqua" w:hAnsi="Book Antiqua" w:cs="Book Antiqua"/>
          <w:b/>
          <w:color w:val="000000"/>
        </w:rPr>
        <w:t xml:space="preserve">Manuscript Type: </w:t>
      </w:r>
      <w:r w:rsidRPr="00BF53C4">
        <w:rPr>
          <w:rFonts w:ascii="Book Antiqua" w:eastAsia="Book Antiqua" w:hAnsi="Book Antiqua" w:cs="Book Antiqua"/>
          <w:color w:val="000000"/>
        </w:rPr>
        <w:t>ORIGINAL ARTICLE</w:t>
      </w:r>
    </w:p>
    <w:p w14:paraId="071A1BDE" w14:textId="77777777" w:rsidR="00A77B3E" w:rsidRPr="00BF53C4" w:rsidRDefault="00A77B3E">
      <w:pPr>
        <w:spacing w:line="360" w:lineRule="auto"/>
        <w:jc w:val="both"/>
      </w:pPr>
    </w:p>
    <w:p w14:paraId="0FABC840" w14:textId="77777777" w:rsidR="00A77B3E" w:rsidRPr="00BF53C4" w:rsidRDefault="007015BD">
      <w:pPr>
        <w:spacing w:line="360" w:lineRule="auto"/>
        <w:jc w:val="both"/>
      </w:pPr>
      <w:r w:rsidRPr="00BF53C4">
        <w:rPr>
          <w:rFonts w:ascii="Book Antiqua" w:eastAsia="Book Antiqua" w:hAnsi="Book Antiqua" w:cs="Book Antiqua"/>
          <w:b/>
          <w:i/>
          <w:color w:val="000000"/>
        </w:rPr>
        <w:t>Retrospective Study</w:t>
      </w:r>
    </w:p>
    <w:p w14:paraId="4C2E065B" w14:textId="77777777" w:rsidR="00A77B3E" w:rsidRPr="00BF53C4" w:rsidRDefault="007015BD">
      <w:pPr>
        <w:spacing w:line="360" w:lineRule="auto"/>
        <w:jc w:val="both"/>
      </w:pPr>
      <w:r w:rsidRPr="00BF53C4">
        <w:rPr>
          <w:rFonts w:ascii="Book Antiqua" w:eastAsia="Book Antiqua" w:hAnsi="Book Antiqua" w:cs="Book Antiqua"/>
          <w:b/>
          <w:bCs/>
          <w:color w:val="000000"/>
        </w:rPr>
        <w:t>Ultrasound-guided, direct suprainguinal injection for fascia iliaca block for total hip arthroplasty: A retrospective study</w:t>
      </w:r>
    </w:p>
    <w:p w14:paraId="1CB6B95C" w14:textId="77777777" w:rsidR="00A77B3E" w:rsidRPr="00BF53C4" w:rsidRDefault="00A77B3E">
      <w:pPr>
        <w:spacing w:line="360" w:lineRule="auto"/>
        <w:jc w:val="both"/>
      </w:pPr>
    </w:p>
    <w:p w14:paraId="28F1D245" w14:textId="73DA81C3" w:rsidR="00A77B3E" w:rsidRPr="00BF53C4" w:rsidRDefault="00DD5E9F">
      <w:pPr>
        <w:spacing w:line="360" w:lineRule="auto"/>
        <w:jc w:val="both"/>
      </w:pPr>
      <w:r w:rsidRPr="00BF53C4">
        <w:rPr>
          <w:rFonts w:ascii="Book Antiqua" w:eastAsia="Book Antiqua" w:hAnsi="Book Antiqua" w:cs="Book Antiqua"/>
          <w:color w:val="000000"/>
        </w:rPr>
        <w:t xml:space="preserve">Wang YL </w:t>
      </w:r>
      <w:r w:rsidRPr="00BF53C4">
        <w:rPr>
          <w:rFonts w:ascii="Book Antiqua" w:eastAsia="Book Antiqua" w:hAnsi="Book Antiqua" w:cs="Book Antiqua"/>
          <w:i/>
          <w:iCs/>
          <w:color w:val="000000"/>
        </w:rPr>
        <w:t>et al</w:t>
      </w:r>
      <w:r w:rsidRPr="00BF53C4">
        <w:rPr>
          <w:rFonts w:ascii="Book Antiqua" w:eastAsia="Book Antiqua" w:hAnsi="Book Antiqua" w:cs="Book Antiqua"/>
          <w:color w:val="000000"/>
        </w:rPr>
        <w:t xml:space="preserve">. </w:t>
      </w:r>
      <w:r w:rsidR="007015BD" w:rsidRPr="00BF53C4">
        <w:rPr>
          <w:rFonts w:ascii="Book Antiqua" w:eastAsia="Book Antiqua" w:hAnsi="Book Antiqua" w:cs="Book Antiqua"/>
          <w:color w:val="000000"/>
        </w:rPr>
        <w:t>Suprainguinal fascia iliaca block for THA</w:t>
      </w:r>
    </w:p>
    <w:p w14:paraId="601C5E5B" w14:textId="77777777" w:rsidR="00A77B3E" w:rsidRPr="00BF53C4" w:rsidRDefault="00A77B3E">
      <w:pPr>
        <w:spacing w:line="360" w:lineRule="auto"/>
        <w:jc w:val="both"/>
      </w:pPr>
    </w:p>
    <w:p w14:paraId="3B5CB93A" w14:textId="77777777" w:rsidR="00A77B3E" w:rsidRPr="00BF53C4" w:rsidRDefault="007015BD">
      <w:pPr>
        <w:spacing w:line="360" w:lineRule="auto"/>
        <w:jc w:val="both"/>
      </w:pPr>
      <w:r w:rsidRPr="00BF53C4">
        <w:rPr>
          <w:rFonts w:ascii="Book Antiqua" w:eastAsia="Book Antiqua" w:hAnsi="Book Antiqua" w:cs="Book Antiqua"/>
          <w:color w:val="000000"/>
        </w:rPr>
        <w:t>Ya-Li Wang, Yun-Qing Liu, Hua Ni, Xin-Lei Zhang, Li Ding, Fei Tong, Hong-Ye Chen, Xin-Hua Zhang, Ming-Jian Kong</w:t>
      </w:r>
    </w:p>
    <w:p w14:paraId="6F3ABCAF" w14:textId="77777777" w:rsidR="00A77B3E" w:rsidRPr="00BF53C4" w:rsidRDefault="00A77B3E">
      <w:pPr>
        <w:spacing w:line="360" w:lineRule="auto"/>
        <w:jc w:val="both"/>
      </w:pPr>
    </w:p>
    <w:p w14:paraId="3B6584E1"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Ya-Li Wang, Yun-Qing Liu, Xin-Lei Zhang, Li Ding, Fei Tong, Hong-Ye Chen, Xin-Hua Zhang, Ming-Jian Kong, </w:t>
      </w:r>
      <w:r w:rsidRPr="00BF53C4">
        <w:rPr>
          <w:rFonts w:ascii="Book Antiqua" w:eastAsia="Book Antiqua" w:hAnsi="Book Antiqua" w:cs="Book Antiqua"/>
          <w:color w:val="000000"/>
        </w:rPr>
        <w:t>Department of Anesthesiology, The Second Affiliated Hospital of Xuzhou Medical University, Xuzhou 221000, Jiangsu Province, China</w:t>
      </w:r>
    </w:p>
    <w:p w14:paraId="40A77698" w14:textId="77777777" w:rsidR="00A77B3E" w:rsidRPr="00BF53C4" w:rsidRDefault="00A77B3E">
      <w:pPr>
        <w:spacing w:line="360" w:lineRule="auto"/>
        <w:jc w:val="both"/>
      </w:pPr>
    </w:p>
    <w:p w14:paraId="737D6A4D"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Hua Ni, </w:t>
      </w:r>
      <w:r w:rsidRPr="00BF53C4">
        <w:rPr>
          <w:rFonts w:ascii="Book Antiqua" w:eastAsia="Book Antiqua" w:hAnsi="Book Antiqua" w:cs="Book Antiqua"/>
          <w:color w:val="000000"/>
        </w:rPr>
        <w:t>Rehabilitation Department, The Second Affiliated Hospital of Xuzhou Medical University, Xuzhou 221000, Jiangsu Province, China</w:t>
      </w:r>
    </w:p>
    <w:p w14:paraId="2D63F7F2" w14:textId="77777777" w:rsidR="00A77B3E" w:rsidRPr="00BF53C4" w:rsidRDefault="00A77B3E">
      <w:pPr>
        <w:spacing w:line="360" w:lineRule="auto"/>
        <w:jc w:val="both"/>
      </w:pPr>
    </w:p>
    <w:p w14:paraId="6F2BCF03" w14:textId="5C04CD8B" w:rsidR="00A77B3E" w:rsidRPr="00BF53C4" w:rsidRDefault="007015BD">
      <w:pPr>
        <w:spacing w:line="360" w:lineRule="auto"/>
        <w:jc w:val="both"/>
      </w:pPr>
      <w:r w:rsidRPr="00BF53C4">
        <w:rPr>
          <w:rFonts w:ascii="Book Antiqua" w:eastAsia="Book Antiqua" w:hAnsi="Book Antiqua" w:cs="Book Antiqua"/>
          <w:b/>
          <w:bCs/>
          <w:color w:val="000000"/>
          <w:szCs w:val="21"/>
        </w:rPr>
        <w:t xml:space="preserve">Author contributions: </w:t>
      </w:r>
      <w:r w:rsidR="00DD5E9F" w:rsidRPr="00BF53C4">
        <w:rPr>
          <w:rFonts w:ascii="Book Antiqua" w:eastAsia="Book Antiqua" w:hAnsi="Book Antiqua" w:cs="Book Antiqua"/>
          <w:color w:val="000000"/>
        </w:rPr>
        <w:t xml:space="preserve">Kong </w:t>
      </w:r>
      <w:r w:rsidRPr="00BF53C4">
        <w:rPr>
          <w:rFonts w:ascii="Book Antiqua" w:eastAsia="Book Antiqua" w:hAnsi="Book Antiqua" w:cs="Book Antiqua"/>
          <w:color w:val="000000"/>
        </w:rPr>
        <w:t xml:space="preserve">MJ, </w:t>
      </w:r>
      <w:r w:rsidR="00DD5E9F" w:rsidRPr="00BF53C4">
        <w:rPr>
          <w:rFonts w:ascii="Book Antiqua" w:eastAsia="Book Antiqua" w:hAnsi="Book Antiqua" w:cs="Book Antiqua"/>
          <w:color w:val="000000"/>
        </w:rPr>
        <w:t xml:space="preserve">Wang </w:t>
      </w:r>
      <w:r w:rsidRPr="00BF53C4">
        <w:rPr>
          <w:rFonts w:ascii="Book Antiqua" w:eastAsia="Book Antiqua" w:hAnsi="Book Antiqua" w:cs="Book Antiqua"/>
          <w:color w:val="000000"/>
        </w:rPr>
        <w:t xml:space="preserve">YL and </w:t>
      </w:r>
      <w:r w:rsidR="00DD5E9F" w:rsidRPr="00BF53C4">
        <w:rPr>
          <w:rFonts w:ascii="Book Antiqua" w:eastAsia="Book Antiqua" w:hAnsi="Book Antiqua" w:cs="Book Antiqua"/>
          <w:color w:val="000000"/>
        </w:rPr>
        <w:t xml:space="preserve">Liu </w:t>
      </w:r>
      <w:r w:rsidRPr="00BF53C4">
        <w:rPr>
          <w:rFonts w:ascii="Book Antiqua" w:eastAsia="Book Antiqua" w:hAnsi="Book Antiqua" w:cs="Book Antiqua"/>
          <w:color w:val="000000"/>
        </w:rPr>
        <w:t>YQ participated in interpretation of data, drafted and critically revised the manuscript</w:t>
      </w:r>
      <w:r w:rsidR="00DD5E9F"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 </w:t>
      </w:r>
      <w:r w:rsidR="00DD5E9F" w:rsidRPr="00BF53C4">
        <w:rPr>
          <w:rFonts w:ascii="Book Antiqua" w:eastAsia="Book Antiqua" w:hAnsi="Book Antiqua" w:cs="Book Antiqua"/>
          <w:color w:val="000000"/>
        </w:rPr>
        <w:t xml:space="preserve">Kong </w:t>
      </w:r>
      <w:r w:rsidRPr="00BF53C4">
        <w:rPr>
          <w:rFonts w:ascii="Book Antiqua" w:eastAsia="Book Antiqua" w:hAnsi="Book Antiqua" w:cs="Book Antiqua"/>
          <w:color w:val="000000"/>
        </w:rPr>
        <w:t xml:space="preserve">MJ, </w:t>
      </w:r>
      <w:r w:rsidR="00DD5E9F" w:rsidRPr="00BF53C4">
        <w:rPr>
          <w:rFonts w:ascii="Book Antiqua" w:eastAsia="Book Antiqua" w:hAnsi="Book Antiqua" w:cs="Book Antiqua"/>
          <w:color w:val="000000"/>
        </w:rPr>
        <w:t xml:space="preserve">Wang </w:t>
      </w:r>
      <w:r w:rsidRPr="00BF53C4">
        <w:rPr>
          <w:rFonts w:ascii="Book Antiqua" w:eastAsia="Book Antiqua" w:hAnsi="Book Antiqua" w:cs="Book Antiqua"/>
          <w:color w:val="000000"/>
        </w:rPr>
        <w:t xml:space="preserve">YL, </w:t>
      </w:r>
      <w:r w:rsidR="00DD5E9F" w:rsidRPr="00BF53C4">
        <w:rPr>
          <w:rFonts w:ascii="Book Antiqua" w:eastAsia="Book Antiqua" w:hAnsi="Book Antiqua" w:cs="Book Antiqua"/>
          <w:color w:val="000000"/>
        </w:rPr>
        <w:t xml:space="preserve">Liu </w:t>
      </w:r>
      <w:r w:rsidRPr="00BF53C4">
        <w:rPr>
          <w:rFonts w:ascii="Book Antiqua" w:eastAsia="Book Antiqua" w:hAnsi="Book Antiqua" w:cs="Book Antiqua"/>
          <w:color w:val="000000"/>
        </w:rPr>
        <w:t xml:space="preserve">YQ and </w:t>
      </w:r>
      <w:r w:rsidR="00DD5E9F" w:rsidRPr="00BF53C4">
        <w:rPr>
          <w:rFonts w:ascii="Book Antiqua" w:eastAsia="Book Antiqua" w:hAnsi="Book Antiqua" w:cs="Book Antiqua"/>
          <w:color w:val="000000"/>
        </w:rPr>
        <w:t xml:space="preserve">Ni </w:t>
      </w:r>
      <w:r w:rsidRPr="00BF53C4">
        <w:rPr>
          <w:rFonts w:ascii="Book Antiqua" w:eastAsia="Book Antiqua" w:hAnsi="Book Antiqua" w:cs="Book Antiqua"/>
          <w:color w:val="000000"/>
        </w:rPr>
        <w:t>H contributed to study design, interpretation of data, and critically revised the manuscript</w:t>
      </w:r>
      <w:r w:rsidR="00DD5E9F"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 </w:t>
      </w:r>
      <w:r w:rsidR="00DD5E9F" w:rsidRPr="00BF53C4">
        <w:rPr>
          <w:rFonts w:ascii="Book Antiqua" w:eastAsia="Book Antiqua" w:hAnsi="Book Antiqua" w:cs="Book Antiqua"/>
          <w:color w:val="000000"/>
        </w:rPr>
        <w:t xml:space="preserve">Zhang </w:t>
      </w:r>
      <w:r w:rsidRPr="00BF53C4">
        <w:rPr>
          <w:rFonts w:ascii="Book Antiqua" w:eastAsia="Book Antiqua" w:hAnsi="Book Antiqua" w:cs="Book Antiqua"/>
          <w:color w:val="000000"/>
        </w:rPr>
        <w:t xml:space="preserve">XL, </w:t>
      </w:r>
      <w:r w:rsidR="00DD5E9F" w:rsidRPr="00BF53C4">
        <w:rPr>
          <w:rFonts w:ascii="Book Antiqua" w:eastAsia="Book Antiqua" w:hAnsi="Book Antiqua" w:cs="Book Antiqua"/>
          <w:color w:val="000000"/>
        </w:rPr>
        <w:t xml:space="preserve">Ding </w:t>
      </w:r>
      <w:r w:rsidRPr="00BF53C4">
        <w:rPr>
          <w:rFonts w:ascii="Book Antiqua" w:eastAsia="Book Antiqua" w:hAnsi="Book Antiqua" w:cs="Book Antiqua"/>
          <w:color w:val="000000"/>
        </w:rPr>
        <w:t xml:space="preserve">L and </w:t>
      </w:r>
      <w:r w:rsidR="00DD5E9F" w:rsidRPr="00BF53C4">
        <w:rPr>
          <w:rFonts w:ascii="Book Antiqua" w:eastAsia="Book Antiqua" w:hAnsi="Book Antiqua" w:cs="Book Antiqua"/>
          <w:color w:val="000000"/>
        </w:rPr>
        <w:t xml:space="preserve">Tong </w:t>
      </w:r>
      <w:r w:rsidRPr="00BF53C4">
        <w:rPr>
          <w:rFonts w:ascii="Book Antiqua" w:eastAsia="Book Antiqua" w:hAnsi="Book Antiqua" w:cs="Book Antiqua"/>
          <w:color w:val="000000"/>
        </w:rPr>
        <w:t>F analyzed and assisted in interpretation of the data and assisted in drafting the manuscript</w:t>
      </w:r>
      <w:r w:rsidR="00DD5E9F"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 </w:t>
      </w:r>
      <w:r w:rsidR="00DD5E9F" w:rsidRPr="00BF53C4">
        <w:rPr>
          <w:rFonts w:ascii="Book Antiqua" w:eastAsia="Book Antiqua" w:hAnsi="Book Antiqua" w:cs="Book Antiqua"/>
          <w:color w:val="000000"/>
        </w:rPr>
        <w:t xml:space="preserve">Chen </w:t>
      </w:r>
      <w:r w:rsidRPr="00BF53C4">
        <w:rPr>
          <w:rFonts w:ascii="Book Antiqua" w:eastAsia="Book Antiqua" w:hAnsi="Book Antiqua" w:cs="Book Antiqua"/>
          <w:color w:val="000000"/>
        </w:rPr>
        <w:t xml:space="preserve">HY and </w:t>
      </w:r>
      <w:r w:rsidR="00DD5E9F" w:rsidRPr="00BF53C4">
        <w:rPr>
          <w:rFonts w:ascii="Book Antiqua" w:eastAsia="Book Antiqua" w:hAnsi="Book Antiqua" w:cs="Book Antiqua"/>
          <w:color w:val="000000"/>
        </w:rPr>
        <w:t xml:space="preserve">Zhang </w:t>
      </w:r>
      <w:r w:rsidRPr="00BF53C4">
        <w:rPr>
          <w:rFonts w:ascii="Book Antiqua" w:eastAsia="Book Antiqua" w:hAnsi="Book Antiqua" w:cs="Book Antiqua"/>
          <w:color w:val="000000"/>
        </w:rPr>
        <w:t>XH contributed to interpretation of data and critically revised the manuscript</w:t>
      </w:r>
      <w:r w:rsidR="00DD5E9F"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 </w:t>
      </w:r>
      <w:r w:rsidR="00DD5E9F" w:rsidRPr="00BF53C4">
        <w:rPr>
          <w:rFonts w:ascii="Book Antiqua" w:eastAsia="Book Antiqua" w:hAnsi="Book Antiqua" w:cs="Book Antiqua"/>
          <w:color w:val="000000"/>
        </w:rPr>
        <w:t>a</w:t>
      </w:r>
      <w:r w:rsidRPr="00BF53C4">
        <w:rPr>
          <w:rFonts w:ascii="Book Antiqua" w:eastAsia="Book Antiqua" w:hAnsi="Book Antiqua" w:cs="Book Antiqua"/>
          <w:color w:val="000000"/>
        </w:rPr>
        <w:t>ll authors read and approved the final manuscript.</w:t>
      </w:r>
    </w:p>
    <w:p w14:paraId="7EB18698" w14:textId="77777777" w:rsidR="00A77B3E" w:rsidRPr="00BF53C4" w:rsidRDefault="00A77B3E">
      <w:pPr>
        <w:spacing w:line="360" w:lineRule="auto"/>
        <w:jc w:val="both"/>
      </w:pPr>
    </w:p>
    <w:p w14:paraId="7B85739F" w14:textId="77777777" w:rsidR="00A77B3E" w:rsidRPr="00BF53C4" w:rsidRDefault="007015BD">
      <w:pPr>
        <w:spacing w:line="360" w:lineRule="auto"/>
        <w:jc w:val="both"/>
      </w:pPr>
      <w:r w:rsidRPr="00BF53C4">
        <w:rPr>
          <w:rFonts w:ascii="Book Antiqua" w:eastAsia="Book Antiqua" w:hAnsi="Book Antiqua" w:cs="Book Antiqua"/>
          <w:b/>
          <w:bCs/>
          <w:color w:val="000000"/>
        </w:rPr>
        <w:lastRenderedPageBreak/>
        <w:t xml:space="preserve">Corresponding author: Ming-Jian Kong, PhD, Doctor, </w:t>
      </w:r>
      <w:r w:rsidRPr="00BF53C4">
        <w:rPr>
          <w:rFonts w:ascii="Book Antiqua" w:eastAsia="Book Antiqua" w:hAnsi="Book Antiqua" w:cs="Book Antiqua"/>
          <w:color w:val="000000"/>
        </w:rPr>
        <w:t>Department of Anesthesiology, The Second Affiliated Hospital of Xuzhou Medical University, No. 32 Meijian Road, Quanshan District, Xuzhou 221000, Jiangsu Province, China. mjkong@126.com</w:t>
      </w:r>
    </w:p>
    <w:p w14:paraId="49B18516" w14:textId="77777777" w:rsidR="00A77B3E" w:rsidRPr="00BF53C4" w:rsidRDefault="00A77B3E">
      <w:pPr>
        <w:spacing w:line="360" w:lineRule="auto"/>
        <w:jc w:val="both"/>
      </w:pPr>
    </w:p>
    <w:p w14:paraId="3A4B6D3E"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Received: </w:t>
      </w:r>
      <w:r w:rsidRPr="00BF53C4">
        <w:rPr>
          <w:rFonts w:ascii="Book Antiqua" w:eastAsia="Book Antiqua" w:hAnsi="Book Antiqua" w:cs="Book Antiqua"/>
          <w:color w:val="000000"/>
        </w:rPr>
        <w:t>December 10, 2020</w:t>
      </w:r>
    </w:p>
    <w:p w14:paraId="7AAAAB9A"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Revised: </w:t>
      </w:r>
      <w:r w:rsidRPr="00BF53C4">
        <w:rPr>
          <w:rFonts w:ascii="Book Antiqua" w:eastAsia="Book Antiqua" w:hAnsi="Book Antiqua" w:cs="Book Antiqua"/>
          <w:color w:val="000000"/>
        </w:rPr>
        <w:t>January 31, 2021</w:t>
      </w:r>
    </w:p>
    <w:p w14:paraId="0086291D" w14:textId="1519ED91" w:rsidR="00A77B3E" w:rsidRPr="00BF53C4" w:rsidRDefault="007015BD">
      <w:pPr>
        <w:spacing w:line="360" w:lineRule="auto"/>
        <w:jc w:val="both"/>
      </w:pPr>
      <w:r w:rsidRPr="00BF53C4">
        <w:rPr>
          <w:rFonts w:ascii="Book Antiqua" w:eastAsia="Book Antiqua" w:hAnsi="Book Antiqua" w:cs="Book Antiqua"/>
          <w:b/>
          <w:bCs/>
          <w:color w:val="000000"/>
        </w:rPr>
        <w:t xml:space="preserve">Accepted: </w:t>
      </w:r>
      <w:r w:rsidR="00AD19DB" w:rsidRPr="00BF53C4">
        <w:rPr>
          <w:rFonts w:ascii="Book Antiqua" w:eastAsia="Book Antiqua" w:hAnsi="Book Antiqua" w:cs="Book Antiqua"/>
          <w:color w:val="000000"/>
        </w:rPr>
        <w:t>March 10, 2021</w:t>
      </w:r>
    </w:p>
    <w:p w14:paraId="35E3DBE2" w14:textId="05C627E8" w:rsidR="00A77B3E" w:rsidRPr="00BF53C4" w:rsidRDefault="007015BD">
      <w:pPr>
        <w:spacing w:line="360" w:lineRule="auto"/>
        <w:jc w:val="both"/>
        <w:rPr>
          <w:lang w:eastAsia="zh-CN"/>
        </w:rPr>
      </w:pPr>
      <w:r w:rsidRPr="00BF53C4">
        <w:rPr>
          <w:rFonts w:ascii="Book Antiqua" w:eastAsia="Book Antiqua" w:hAnsi="Book Antiqua" w:cs="Book Antiqua"/>
          <w:b/>
          <w:bCs/>
          <w:color w:val="000000"/>
        </w:rPr>
        <w:t xml:space="preserve">Published online: </w:t>
      </w:r>
      <w:r w:rsidR="005E2967" w:rsidRPr="00BF53C4">
        <w:rPr>
          <w:rFonts w:ascii="Book Antiqua" w:hAnsi="Book Antiqua"/>
          <w:color w:val="000000"/>
          <w:shd w:val="clear" w:color="auto" w:fill="FFFFFF"/>
        </w:rPr>
        <w:t>May 26</w:t>
      </w:r>
      <w:r w:rsidR="005E2967" w:rsidRPr="00BF53C4">
        <w:rPr>
          <w:rFonts w:ascii="Book Antiqua" w:hAnsi="Book Antiqua" w:hint="eastAsia"/>
          <w:color w:val="000000"/>
          <w:shd w:val="clear" w:color="auto" w:fill="FFFFFF"/>
          <w:lang w:eastAsia="zh-CN"/>
        </w:rPr>
        <w:t>, 2021</w:t>
      </w:r>
    </w:p>
    <w:p w14:paraId="0177363D" w14:textId="77777777" w:rsidR="00A77B3E" w:rsidRPr="00BF53C4" w:rsidRDefault="00A77B3E">
      <w:pPr>
        <w:spacing w:line="360" w:lineRule="auto"/>
        <w:jc w:val="both"/>
        <w:sectPr w:rsidR="00A77B3E" w:rsidRPr="00BF53C4">
          <w:footerReference w:type="default" r:id="rId8"/>
          <w:pgSz w:w="12240" w:h="15840"/>
          <w:pgMar w:top="1440" w:right="1440" w:bottom="1440" w:left="1440" w:header="720" w:footer="720" w:gutter="0"/>
          <w:cols w:space="720"/>
          <w:docGrid w:linePitch="360"/>
        </w:sectPr>
      </w:pPr>
    </w:p>
    <w:p w14:paraId="55686586" w14:textId="77777777" w:rsidR="00A77B3E" w:rsidRPr="00BF53C4" w:rsidRDefault="007015BD">
      <w:pPr>
        <w:spacing w:line="360" w:lineRule="auto"/>
        <w:jc w:val="both"/>
      </w:pPr>
      <w:r w:rsidRPr="00BF53C4">
        <w:rPr>
          <w:rFonts w:ascii="Book Antiqua" w:eastAsia="Book Antiqua" w:hAnsi="Book Antiqua" w:cs="Book Antiqua"/>
          <w:b/>
          <w:color w:val="000000"/>
        </w:rPr>
        <w:t>Abstract</w:t>
      </w:r>
    </w:p>
    <w:p w14:paraId="210BBBB2" w14:textId="77777777" w:rsidR="00A77B3E" w:rsidRPr="00BF53C4" w:rsidRDefault="007015BD">
      <w:pPr>
        <w:spacing w:line="360" w:lineRule="auto"/>
        <w:jc w:val="both"/>
      </w:pPr>
      <w:r w:rsidRPr="00BF53C4">
        <w:rPr>
          <w:rFonts w:ascii="Book Antiqua" w:eastAsia="Book Antiqua" w:hAnsi="Book Antiqua" w:cs="Book Antiqua"/>
          <w:color w:val="000000"/>
        </w:rPr>
        <w:t>BACKGROUND</w:t>
      </w:r>
    </w:p>
    <w:p w14:paraId="5A2C5DD3" w14:textId="638D0918" w:rsidR="00A77B3E" w:rsidRPr="00BF53C4" w:rsidRDefault="007015BD">
      <w:pPr>
        <w:spacing w:line="360" w:lineRule="auto"/>
        <w:jc w:val="both"/>
      </w:pPr>
      <w:r w:rsidRPr="00BF53C4">
        <w:rPr>
          <w:rFonts w:ascii="Book Antiqua" w:eastAsia="Book Antiqua" w:hAnsi="Book Antiqua" w:cs="Book Antiqua"/>
          <w:color w:val="000000"/>
        </w:rPr>
        <w:t>Peripheral regional block combined with general anesthesia might be a preferable anesthetic regimen for elderly patients undergoing total hip arthroplasty.</w:t>
      </w:r>
    </w:p>
    <w:p w14:paraId="73185066" w14:textId="77777777" w:rsidR="00A77B3E" w:rsidRPr="00BF53C4" w:rsidRDefault="00A77B3E">
      <w:pPr>
        <w:spacing w:line="360" w:lineRule="auto"/>
        <w:jc w:val="both"/>
      </w:pPr>
    </w:p>
    <w:p w14:paraId="06D156B7" w14:textId="77777777" w:rsidR="00A77B3E" w:rsidRPr="00BF53C4" w:rsidRDefault="007015BD">
      <w:pPr>
        <w:spacing w:line="360" w:lineRule="auto"/>
        <w:jc w:val="both"/>
      </w:pPr>
      <w:r w:rsidRPr="00BF53C4">
        <w:rPr>
          <w:rFonts w:ascii="Book Antiqua" w:eastAsia="Book Antiqua" w:hAnsi="Book Antiqua" w:cs="Book Antiqua"/>
          <w:color w:val="000000"/>
        </w:rPr>
        <w:t>AIM</w:t>
      </w:r>
    </w:p>
    <w:p w14:paraId="27F84F1F" w14:textId="52B8C1D3" w:rsidR="00A77B3E" w:rsidRPr="00BF53C4" w:rsidRDefault="007015BD">
      <w:pPr>
        <w:spacing w:line="360" w:lineRule="auto"/>
        <w:jc w:val="both"/>
      </w:pPr>
      <w:r w:rsidRPr="00BF53C4">
        <w:rPr>
          <w:rFonts w:ascii="Book Antiqua" w:eastAsia="Book Antiqua" w:hAnsi="Book Antiqua" w:cs="Book Antiqua"/>
          <w:color w:val="000000"/>
        </w:rPr>
        <w:t>To investigate whether ultrasound-guided, direct suprainguinal injection for fascia iliaca</w:t>
      </w:r>
      <w:r w:rsidR="00175C1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block accelerated recovery after general anesthesia and </w:t>
      </w:r>
      <w:r w:rsidRPr="00BF53C4">
        <w:rPr>
          <w:rFonts w:ascii="Book Antiqua" w:eastAsia="Book Antiqua" w:hAnsi="Book Antiqua" w:cs="Book Antiqua"/>
          <w:color w:val="000000"/>
          <w:u w:color="000000"/>
        </w:rPr>
        <w:t>relieve</w:t>
      </w:r>
      <w:r w:rsidR="009F6DBC" w:rsidRPr="00BF53C4">
        <w:rPr>
          <w:rFonts w:ascii="Book Antiqua" w:eastAsia="Book Antiqua" w:hAnsi="Book Antiqua" w:cs="Book Antiqua"/>
          <w:color w:val="000000"/>
          <w:u w:color="000000"/>
        </w:rPr>
        <w:t>d</w:t>
      </w:r>
      <w:r w:rsidRPr="00BF53C4">
        <w:rPr>
          <w:rFonts w:ascii="Book Antiqua" w:eastAsia="Book Antiqua" w:hAnsi="Book Antiqua" w:cs="Book Antiqua"/>
          <w:color w:val="000000"/>
        </w:rPr>
        <w:t xml:space="preserve"> postoperative pain after total hip arthroplasty.</w:t>
      </w:r>
    </w:p>
    <w:p w14:paraId="7C002B47" w14:textId="77777777" w:rsidR="00A77B3E" w:rsidRPr="00BF53C4" w:rsidRDefault="00A77B3E">
      <w:pPr>
        <w:spacing w:line="360" w:lineRule="auto"/>
        <w:jc w:val="both"/>
      </w:pPr>
    </w:p>
    <w:p w14:paraId="2D894CE3" w14:textId="77777777" w:rsidR="00A77B3E" w:rsidRPr="00BF53C4" w:rsidRDefault="007015BD">
      <w:pPr>
        <w:spacing w:line="360" w:lineRule="auto"/>
        <w:jc w:val="both"/>
      </w:pPr>
      <w:r w:rsidRPr="00BF53C4">
        <w:rPr>
          <w:rFonts w:ascii="Book Antiqua" w:eastAsia="Book Antiqua" w:hAnsi="Book Antiqua" w:cs="Book Antiqua"/>
          <w:color w:val="000000"/>
        </w:rPr>
        <w:t>METHODS</w:t>
      </w:r>
    </w:p>
    <w:p w14:paraId="07577151" w14:textId="00FD0F8D" w:rsidR="00A77B3E" w:rsidRPr="00BF53C4" w:rsidRDefault="007015BD">
      <w:pPr>
        <w:spacing w:line="360" w:lineRule="auto"/>
        <w:jc w:val="both"/>
      </w:pPr>
      <w:r w:rsidRPr="00BF53C4">
        <w:rPr>
          <w:rFonts w:ascii="Book Antiqua" w:eastAsia="Book Antiqua" w:hAnsi="Book Antiqua" w:cs="Book Antiqua"/>
          <w:color w:val="000000"/>
        </w:rPr>
        <w:t xml:space="preserve">Patients who underwent total hip arthroplasty under general anesthesia in 2015 or 2019 at </w:t>
      </w:r>
      <w:r w:rsidR="00175C10" w:rsidRPr="00BF53C4">
        <w:rPr>
          <w:rFonts w:ascii="Book Antiqua" w:eastAsia="Book Antiqua" w:hAnsi="Book Antiqua" w:cs="Book Antiqua"/>
          <w:color w:val="000000"/>
        </w:rPr>
        <w:t>T</w:t>
      </w:r>
      <w:r w:rsidRPr="00BF53C4">
        <w:rPr>
          <w:rFonts w:ascii="Book Antiqua" w:eastAsia="Book Antiqua" w:hAnsi="Book Antiqua" w:cs="Book Antiqua"/>
          <w:color w:val="000000"/>
        </w:rPr>
        <w:t xml:space="preserve">he Second Affiliated Hospital of Xuzhou Medical University were retrospectively analyzed. The patients were grouped based on whether preoperative suprainguinal fascia iliaca block was performed or not. The time to tracheal extubation and </w:t>
      </w:r>
      <w:r w:rsidR="009F6DBC" w:rsidRPr="00BF53C4">
        <w:rPr>
          <w:rFonts w:ascii="Book Antiqua" w:eastAsia="Book Antiqua" w:hAnsi="Book Antiqua" w:cs="Book Antiqua"/>
          <w:color w:val="000000"/>
        </w:rPr>
        <w:t xml:space="preserve">time </w:t>
      </w:r>
      <w:r w:rsidRPr="00BF53C4">
        <w:rPr>
          <w:rFonts w:ascii="Book Antiqua" w:eastAsia="Book Antiqua" w:hAnsi="Book Antiqua" w:cs="Book Antiqua"/>
          <w:color w:val="000000"/>
        </w:rPr>
        <w:t xml:space="preserve">spent in the post-anesthesia care unit (PACU), intraoperative remifentanil dosage, fentanyl consumption in </w:t>
      </w:r>
      <w:r w:rsidR="009F6DBC"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PACU, postoperative cumulative fentanyl consumption within 48 h after operation, visual analog</w:t>
      </w:r>
      <w:r w:rsidR="009E1A6B" w:rsidRPr="00BF53C4">
        <w:rPr>
          <w:rFonts w:ascii="Book Antiqua" w:eastAsia="Book Antiqua" w:hAnsi="Book Antiqua" w:cs="Book Antiqua"/>
          <w:color w:val="000000"/>
        </w:rPr>
        <w:t>ue</w:t>
      </w:r>
      <w:r w:rsidRPr="00BF53C4">
        <w:rPr>
          <w:rFonts w:ascii="Book Antiqua" w:eastAsia="Book Antiqua" w:hAnsi="Book Antiqua" w:cs="Book Antiqua"/>
          <w:color w:val="000000"/>
        </w:rPr>
        <w:t xml:space="preserve"> scale</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at rest and during movement on the first and second days after surgery, and adverse reactions were compared.</w:t>
      </w:r>
    </w:p>
    <w:p w14:paraId="40A2E387" w14:textId="77777777" w:rsidR="00A77B3E" w:rsidRPr="00BF53C4" w:rsidRDefault="00A77B3E">
      <w:pPr>
        <w:spacing w:line="360" w:lineRule="auto"/>
        <w:jc w:val="both"/>
      </w:pPr>
    </w:p>
    <w:p w14:paraId="43FF873D" w14:textId="77777777" w:rsidR="00A77B3E" w:rsidRPr="00BF53C4" w:rsidRDefault="007015BD">
      <w:pPr>
        <w:spacing w:line="360" w:lineRule="auto"/>
        <w:jc w:val="both"/>
      </w:pPr>
      <w:r w:rsidRPr="00BF53C4">
        <w:rPr>
          <w:rFonts w:ascii="Book Antiqua" w:eastAsia="Book Antiqua" w:hAnsi="Book Antiqua" w:cs="Book Antiqua"/>
          <w:color w:val="000000"/>
        </w:rPr>
        <w:t>RESULTS</w:t>
      </w:r>
    </w:p>
    <w:p w14:paraId="3CF3F6CB" w14:textId="3D81A6DD" w:rsidR="00A77B3E" w:rsidRPr="00BF53C4" w:rsidRDefault="007015BD">
      <w:pPr>
        <w:spacing w:line="360" w:lineRule="auto"/>
        <w:jc w:val="both"/>
      </w:pPr>
      <w:r w:rsidRPr="00BF53C4">
        <w:rPr>
          <w:rFonts w:ascii="Book Antiqua" w:eastAsia="Book Antiqua" w:hAnsi="Book Antiqua" w:cs="Book Antiqua"/>
          <w:color w:val="000000"/>
        </w:rPr>
        <w:t xml:space="preserve">Thirty-one elderly patients who underwent total </w:t>
      </w:r>
      <w:r w:rsidR="009F6DBC" w:rsidRPr="00BF53C4">
        <w:rPr>
          <w:rFonts w:ascii="Book Antiqua" w:eastAsia="Book Antiqua" w:hAnsi="Book Antiqua" w:cs="Book Antiqua"/>
          <w:color w:val="000000"/>
        </w:rPr>
        <w:t xml:space="preserve">hip </w:t>
      </w:r>
      <w:r w:rsidRPr="00BF53C4">
        <w:rPr>
          <w:rFonts w:ascii="Book Antiqua" w:eastAsia="Book Antiqua" w:hAnsi="Book Antiqua" w:cs="Book Antiqua"/>
          <w:color w:val="000000"/>
        </w:rPr>
        <w:t xml:space="preserve">arthroplasty were included in the study (block group, </w:t>
      </w:r>
      <w:r w:rsidRPr="00BF53C4">
        <w:rPr>
          <w:rFonts w:ascii="Book Antiqua" w:eastAsia="Book Antiqua" w:hAnsi="Book Antiqua" w:cs="Book Antiqua"/>
          <w:i/>
          <w:iCs/>
          <w:color w:val="000000"/>
        </w:rPr>
        <w:t>n</w:t>
      </w:r>
      <w:r w:rsidRPr="00BF53C4">
        <w:rPr>
          <w:rFonts w:ascii="Book Antiqua" w:eastAsia="Book Antiqua" w:hAnsi="Book Antiqua" w:cs="Book Antiqua"/>
          <w:color w:val="000000"/>
        </w:rPr>
        <w:t xml:space="preserve"> = 16; no-block group, </w:t>
      </w:r>
      <w:r w:rsidRPr="00BF53C4">
        <w:rPr>
          <w:rFonts w:ascii="Book Antiqua" w:eastAsia="Book Antiqua" w:hAnsi="Book Antiqua" w:cs="Book Antiqua"/>
          <w:i/>
          <w:iCs/>
          <w:color w:val="000000"/>
        </w:rPr>
        <w:t>n</w:t>
      </w:r>
      <w:r w:rsidRPr="00BF53C4">
        <w:rPr>
          <w:rFonts w:ascii="Book Antiqua" w:eastAsia="Book Antiqua" w:hAnsi="Book Antiqua" w:cs="Book Antiqua"/>
          <w:color w:val="000000"/>
        </w:rPr>
        <w:t xml:space="preserve"> = 15). The </w:t>
      </w:r>
      <w:r w:rsidR="00E91917" w:rsidRPr="00BF53C4">
        <w:rPr>
          <w:rFonts w:ascii="Book Antiqua" w:eastAsia="Book Antiqua" w:hAnsi="Book Antiqua" w:cs="Book Antiqua"/>
          <w:color w:val="000000"/>
        </w:rPr>
        <w:t>visual analog scale</w:t>
      </w:r>
      <w:r w:rsidRPr="00BF53C4">
        <w:rPr>
          <w:rFonts w:ascii="Book Antiqua" w:eastAsia="Book Antiqua" w:hAnsi="Book Antiqua" w:cs="Book Antiqua"/>
          <w:color w:val="000000"/>
        </w:rPr>
        <w:t xml:space="preserve"> scores at rest and during movement on the first and second days were significantly lower in the block group than in the no-block group (all </w:t>
      </w:r>
      <w:r w:rsidRPr="00BF53C4">
        <w:rPr>
          <w:rFonts w:ascii="Book Antiqua" w:eastAsia="Book Antiqua" w:hAnsi="Book Antiqua" w:cs="Book Antiqua"/>
          <w:i/>
          <w:iCs/>
          <w:color w:val="000000"/>
        </w:rPr>
        <w:t>P</w:t>
      </w:r>
      <w:r w:rsidR="00175C1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175C1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0.05). Compared with the no-block group, the intraoperative remifentanil dosage was lower, the time to tracheal extubation and the time spent in </w:t>
      </w:r>
      <w:r w:rsidR="009F6DBC"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 xml:space="preserve">PACU were shorter in the block group (all </w:t>
      </w:r>
      <w:r w:rsidRPr="00BF53C4">
        <w:rPr>
          <w:rFonts w:ascii="Book Antiqua" w:eastAsia="Book Antiqua" w:hAnsi="Book Antiqua" w:cs="Book Antiqua"/>
          <w:i/>
          <w:iCs/>
          <w:color w:val="000000"/>
        </w:rPr>
        <w:t>P</w:t>
      </w:r>
      <w:r w:rsidR="00175C1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175C1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0.01). Fentanyl consumption in </w:t>
      </w:r>
      <w:r w:rsidR="009F6DBC"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 xml:space="preserve">PACU and postoperative cumulative fentanyl consumption in 48 h after operation were lower in the block group (all </w:t>
      </w:r>
      <w:r w:rsidRPr="00BF53C4">
        <w:rPr>
          <w:rFonts w:ascii="Book Antiqua" w:eastAsia="Book Antiqua" w:hAnsi="Book Antiqua" w:cs="Book Antiqua"/>
          <w:i/>
          <w:iCs/>
          <w:color w:val="000000"/>
        </w:rPr>
        <w:t>P</w:t>
      </w:r>
      <w:r w:rsidR="00175C1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175C1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0.01). The incidence of dizziness was higher in the no-block group than in the block group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0.037).</w:t>
      </w:r>
    </w:p>
    <w:p w14:paraId="764F9618" w14:textId="77777777" w:rsidR="00A77B3E" w:rsidRPr="00BF53C4" w:rsidRDefault="00A77B3E">
      <w:pPr>
        <w:spacing w:line="360" w:lineRule="auto"/>
        <w:jc w:val="both"/>
      </w:pPr>
    </w:p>
    <w:p w14:paraId="663E1A71" w14:textId="77777777" w:rsidR="00A77B3E" w:rsidRPr="00BF53C4" w:rsidRDefault="007015BD">
      <w:pPr>
        <w:spacing w:line="360" w:lineRule="auto"/>
        <w:jc w:val="both"/>
      </w:pPr>
      <w:r w:rsidRPr="00BF53C4">
        <w:rPr>
          <w:rFonts w:ascii="Book Antiqua" w:eastAsia="Book Antiqua" w:hAnsi="Book Antiqua" w:cs="Book Antiqua"/>
          <w:color w:val="000000"/>
        </w:rPr>
        <w:t>CONCLUSION</w:t>
      </w:r>
    </w:p>
    <w:p w14:paraId="7789477A" w14:textId="77777777" w:rsidR="00A77B3E" w:rsidRPr="00BF53C4" w:rsidRDefault="007015BD">
      <w:pPr>
        <w:spacing w:line="360" w:lineRule="auto"/>
        <w:jc w:val="both"/>
      </w:pPr>
      <w:r w:rsidRPr="00BF53C4">
        <w:rPr>
          <w:rFonts w:ascii="Book Antiqua" w:eastAsia="Book Antiqua" w:hAnsi="Book Antiqua" w:cs="Book Antiqua"/>
          <w:color w:val="000000"/>
        </w:rPr>
        <w:t>Ultrasound-guided, direct suprainguinal injection for fascia iliaca block led to faster recovery after general anesthesia and early postoperative pain relief in elderly patients undergoing total hip arthroplasty.</w:t>
      </w:r>
    </w:p>
    <w:p w14:paraId="6887F8C5" w14:textId="77777777" w:rsidR="00A77B3E" w:rsidRPr="00BF53C4" w:rsidRDefault="00A77B3E">
      <w:pPr>
        <w:spacing w:line="360" w:lineRule="auto"/>
        <w:jc w:val="both"/>
      </w:pPr>
    </w:p>
    <w:p w14:paraId="435F9BAC" w14:textId="7C3AC9CA" w:rsidR="00A77B3E" w:rsidRPr="00BF53C4" w:rsidRDefault="007015BD">
      <w:pPr>
        <w:spacing w:line="360" w:lineRule="auto"/>
        <w:jc w:val="both"/>
      </w:pPr>
      <w:r w:rsidRPr="00BF53C4">
        <w:rPr>
          <w:rFonts w:ascii="Book Antiqua" w:eastAsia="Book Antiqua" w:hAnsi="Book Antiqua" w:cs="Book Antiqua"/>
          <w:b/>
          <w:bCs/>
          <w:color w:val="000000"/>
        </w:rPr>
        <w:t xml:space="preserve">Key Words: </w:t>
      </w:r>
      <w:r w:rsidR="00D17D0A" w:rsidRPr="00BF53C4">
        <w:rPr>
          <w:rFonts w:ascii="Book Antiqua" w:eastAsia="Book Antiqua" w:hAnsi="Book Antiqua" w:cs="Book Antiqua"/>
          <w:color w:val="000000"/>
        </w:rPr>
        <w:t>S</w:t>
      </w:r>
      <w:r w:rsidRPr="00BF53C4">
        <w:rPr>
          <w:rFonts w:ascii="Book Antiqua" w:eastAsia="Book Antiqua" w:hAnsi="Book Antiqua" w:cs="Book Antiqua"/>
          <w:color w:val="000000"/>
        </w:rPr>
        <w:t>uprainguinal fascia iliaca</w:t>
      </w:r>
      <w:r w:rsidR="00D17D0A"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block; </w:t>
      </w:r>
      <w:r w:rsidR="00D17D0A" w:rsidRPr="00BF53C4">
        <w:rPr>
          <w:rFonts w:ascii="Book Antiqua" w:eastAsia="Book Antiqua" w:hAnsi="Book Antiqua" w:cs="Book Antiqua"/>
          <w:color w:val="000000"/>
        </w:rPr>
        <w:t>E</w:t>
      </w:r>
      <w:r w:rsidRPr="00BF53C4">
        <w:rPr>
          <w:rFonts w:ascii="Book Antiqua" w:eastAsia="Book Antiqua" w:hAnsi="Book Antiqua" w:cs="Book Antiqua"/>
          <w:color w:val="000000"/>
        </w:rPr>
        <w:t xml:space="preserve">lderly patients; </w:t>
      </w:r>
      <w:r w:rsidR="00D17D0A" w:rsidRPr="00BF53C4">
        <w:rPr>
          <w:rFonts w:ascii="Book Antiqua" w:eastAsia="Book Antiqua" w:hAnsi="Book Antiqua" w:cs="Book Antiqua"/>
          <w:color w:val="000000"/>
        </w:rPr>
        <w:t>T</w:t>
      </w:r>
      <w:r w:rsidRPr="00BF53C4">
        <w:rPr>
          <w:rFonts w:ascii="Book Antiqua" w:eastAsia="Book Antiqua" w:hAnsi="Book Antiqua" w:cs="Book Antiqua"/>
          <w:color w:val="000000"/>
        </w:rPr>
        <w:t xml:space="preserve">otal hip arthroplasty; </w:t>
      </w:r>
      <w:r w:rsidR="00D17D0A" w:rsidRPr="00BF53C4">
        <w:rPr>
          <w:rFonts w:ascii="Book Antiqua" w:eastAsia="Book Antiqua" w:hAnsi="Book Antiqua" w:cs="Book Antiqua"/>
          <w:color w:val="000000"/>
        </w:rPr>
        <w:t>G</w:t>
      </w:r>
      <w:r w:rsidRPr="00BF53C4">
        <w:rPr>
          <w:rFonts w:ascii="Book Antiqua" w:eastAsia="Book Antiqua" w:hAnsi="Book Antiqua" w:cs="Book Antiqua"/>
          <w:color w:val="000000"/>
        </w:rPr>
        <w:t xml:space="preserve">eneral anesthesia recovery; </w:t>
      </w:r>
      <w:r w:rsidR="00D17D0A" w:rsidRPr="00BF53C4">
        <w:rPr>
          <w:rFonts w:ascii="Book Antiqua" w:eastAsia="Book Antiqua" w:hAnsi="Book Antiqua" w:cs="Book Antiqua"/>
          <w:color w:val="000000"/>
        </w:rPr>
        <w:t>P</w:t>
      </w:r>
      <w:r w:rsidRPr="00BF53C4">
        <w:rPr>
          <w:rFonts w:ascii="Book Antiqua" w:eastAsia="Book Antiqua" w:hAnsi="Book Antiqua" w:cs="Book Antiqua"/>
          <w:color w:val="000000"/>
        </w:rPr>
        <w:t>ostoperative pain</w:t>
      </w:r>
    </w:p>
    <w:p w14:paraId="77E2635F" w14:textId="77777777" w:rsidR="00A611AC" w:rsidRPr="00BF53C4" w:rsidRDefault="00A611AC" w:rsidP="00A611AC">
      <w:pPr>
        <w:spacing w:line="360" w:lineRule="auto"/>
        <w:jc w:val="both"/>
        <w:rPr>
          <w:lang w:eastAsia="zh-CN"/>
        </w:rPr>
      </w:pPr>
    </w:p>
    <w:p w14:paraId="430B1E82" w14:textId="77777777" w:rsidR="00A611AC" w:rsidRPr="00BF53C4" w:rsidRDefault="00A611AC" w:rsidP="00A611AC">
      <w:pPr>
        <w:spacing w:line="360" w:lineRule="auto"/>
        <w:jc w:val="both"/>
        <w:rPr>
          <w:rFonts w:ascii="Book Antiqua" w:eastAsia="Book Antiqua" w:hAnsi="Book Antiqua" w:cs="Book Antiqua"/>
          <w:color w:val="000000"/>
        </w:rPr>
      </w:pPr>
      <w:r w:rsidRPr="00BF53C4">
        <w:rPr>
          <w:rFonts w:ascii="Book Antiqua" w:eastAsia="Book Antiqua" w:hAnsi="Book Antiqua" w:cs="Book Antiqua" w:hint="eastAsia"/>
          <w:b/>
          <w:color w:val="000000"/>
        </w:rPr>
        <w:t>©</w:t>
      </w:r>
      <w:r w:rsidRPr="00BF53C4">
        <w:rPr>
          <w:rFonts w:ascii="Book Antiqua" w:eastAsia="Book Antiqua" w:hAnsi="Book Antiqua" w:cs="Book Antiqua"/>
          <w:b/>
          <w:color w:val="000000"/>
        </w:rPr>
        <w:t>The</w:t>
      </w:r>
      <w:r w:rsidRPr="00BF53C4">
        <w:rPr>
          <w:rFonts w:ascii="Book Antiqua" w:eastAsia="Book Antiqua" w:hAnsi="Book Antiqua" w:cs="Book Antiqua"/>
          <w:color w:val="000000"/>
        </w:rPr>
        <w:t xml:space="preserve"> </w:t>
      </w:r>
      <w:r w:rsidRPr="00BF53C4">
        <w:rPr>
          <w:rFonts w:ascii="Book Antiqua" w:eastAsia="Book Antiqua" w:hAnsi="Book Antiqua" w:cs="Book Antiqua"/>
          <w:b/>
          <w:color w:val="000000"/>
        </w:rPr>
        <w:t xml:space="preserve">Author(s) 2021. </w:t>
      </w:r>
      <w:r w:rsidRPr="00BF53C4">
        <w:rPr>
          <w:rFonts w:ascii="Book Antiqua" w:eastAsia="Book Antiqua" w:hAnsi="Book Antiqua" w:cs="Book Antiqua"/>
          <w:color w:val="000000"/>
        </w:rPr>
        <w:t xml:space="preserve">Published by Baishideng Publishing Group Inc. All rights reserved. </w:t>
      </w:r>
    </w:p>
    <w:p w14:paraId="45E3E3DC" w14:textId="77777777" w:rsidR="00A77B3E" w:rsidRPr="00BF53C4" w:rsidRDefault="00A77B3E">
      <w:pPr>
        <w:spacing w:line="360" w:lineRule="auto"/>
        <w:jc w:val="both"/>
      </w:pPr>
    </w:p>
    <w:p w14:paraId="71AAD3A5" w14:textId="114B97A5" w:rsidR="004C28EB" w:rsidRPr="00BF53C4" w:rsidRDefault="004C28EB">
      <w:pPr>
        <w:spacing w:line="360" w:lineRule="auto"/>
        <w:jc w:val="both"/>
        <w:rPr>
          <w:rFonts w:ascii="Book Antiqua" w:hAnsi="Book Antiqua" w:cs="Book Antiqua"/>
          <w:color w:val="000000"/>
          <w:lang w:eastAsia="zh-CN"/>
        </w:rPr>
      </w:pPr>
      <w:r w:rsidRPr="00BF53C4">
        <w:rPr>
          <w:rFonts w:ascii="Book Antiqua" w:hAnsi="Book Antiqua" w:cs="Book Antiqua" w:hint="eastAsia"/>
          <w:b/>
          <w:color w:val="000000"/>
          <w:lang w:eastAsia="zh-CN"/>
        </w:rPr>
        <w:t xml:space="preserve">Citation: </w:t>
      </w:r>
      <w:r w:rsidR="007015BD" w:rsidRPr="00BF53C4">
        <w:rPr>
          <w:rFonts w:ascii="Book Antiqua" w:eastAsia="Book Antiqua" w:hAnsi="Book Antiqua" w:cs="Book Antiqua"/>
          <w:color w:val="000000"/>
        </w:rPr>
        <w:t xml:space="preserve">Wang YL, Liu YQ, Ni H, Zhang XL, Ding L, Tong F, Chen HY, Zhang XH, Kong MJ. Ultrasound-guided, direct suprainguinal injection for fascia iliaca block for total hip arthroplasty: A retrospective study. </w:t>
      </w:r>
      <w:r w:rsidR="007015BD" w:rsidRPr="00BF53C4">
        <w:rPr>
          <w:rFonts w:ascii="Book Antiqua" w:eastAsia="Book Antiqua" w:hAnsi="Book Antiqua" w:cs="Book Antiqua"/>
          <w:i/>
          <w:iCs/>
          <w:color w:val="000000"/>
        </w:rPr>
        <w:t>World J Clin Cases</w:t>
      </w:r>
      <w:r w:rsidR="007015BD" w:rsidRPr="00BF53C4">
        <w:rPr>
          <w:rFonts w:ascii="Book Antiqua" w:eastAsia="Book Antiqua" w:hAnsi="Book Antiqua" w:cs="Book Antiqua"/>
          <w:color w:val="000000"/>
        </w:rPr>
        <w:t xml:space="preserve"> 2021; </w:t>
      </w:r>
      <w:r w:rsidR="005E2967" w:rsidRPr="00BF53C4">
        <w:rPr>
          <w:rFonts w:ascii="Book Antiqua" w:hAnsi="Book Antiqua" w:cs="Book Antiqua" w:hint="eastAsia"/>
          <w:color w:val="000000"/>
        </w:rPr>
        <w:t>9</w:t>
      </w:r>
      <w:r w:rsidR="005E2967" w:rsidRPr="00BF53C4">
        <w:rPr>
          <w:rFonts w:ascii="Book Antiqua" w:eastAsia="Book Antiqua" w:hAnsi="Book Antiqua" w:cs="Book Antiqua"/>
          <w:color w:val="000000"/>
        </w:rPr>
        <w:t>(</w:t>
      </w:r>
      <w:r w:rsidR="005E2967" w:rsidRPr="00BF53C4">
        <w:rPr>
          <w:rFonts w:ascii="Book Antiqua" w:hAnsi="Book Antiqua" w:cs="Book Antiqua" w:hint="eastAsia"/>
          <w:color w:val="000000"/>
        </w:rPr>
        <w:t>1</w:t>
      </w:r>
      <w:r w:rsidR="005E2967" w:rsidRPr="00BF53C4">
        <w:rPr>
          <w:rFonts w:ascii="Book Antiqua" w:hAnsi="Book Antiqua" w:cs="Book Antiqua" w:hint="eastAsia"/>
          <w:color w:val="000000"/>
          <w:lang w:eastAsia="zh-CN"/>
        </w:rPr>
        <w:t>5</w:t>
      </w:r>
      <w:r w:rsidR="005E2967" w:rsidRPr="00BF53C4">
        <w:rPr>
          <w:rFonts w:ascii="Book Antiqua" w:eastAsia="Book Antiqua" w:hAnsi="Book Antiqua" w:cs="Book Antiqua"/>
          <w:color w:val="000000"/>
        </w:rPr>
        <w:t xml:space="preserve">): </w:t>
      </w:r>
      <w:r w:rsidR="008E0E1D" w:rsidRPr="00BF53C4">
        <w:rPr>
          <w:rFonts w:ascii="Book Antiqua" w:eastAsia="Book Antiqua" w:hAnsi="Book Antiqua" w:cs="Book Antiqua"/>
          <w:color w:val="000000"/>
        </w:rPr>
        <w:t>3567-3575</w:t>
      </w:r>
      <w:r w:rsidR="005E2967" w:rsidRPr="00BF53C4">
        <w:rPr>
          <w:rFonts w:ascii="Book Antiqua" w:eastAsia="Book Antiqua" w:hAnsi="Book Antiqua" w:cs="Book Antiqua"/>
          <w:color w:val="000000"/>
        </w:rPr>
        <w:t xml:space="preserve">  </w:t>
      </w:r>
    </w:p>
    <w:p w14:paraId="56DA2D32" w14:textId="77777777" w:rsidR="004C28EB" w:rsidRPr="00BF53C4" w:rsidRDefault="005E2967">
      <w:pPr>
        <w:spacing w:line="360" w:lineRule="auto"/>
        <w:jc w:val="both"/>
        <w:rPr>
          <w:rFonts w:ascii="Book Antiqua" w:hAnsi="Book Antiqua" w:cs="Book Antiqua"/>
          <w:color w:val="000000"/>
          <w:lang w:eastAsia="zh-CN"/>
        </w:rPr>
      </w:pPr>
      <w:r w:rsidRPr="00BF53C4">
        <w:rPr>
          <w:rFonts w:ascii="Book Antiqua" w:eastAsia="Book Antiqua" w:hAnsi="Book Antiqua" w:cs="Book Antiqua"/>
          <w:b/>
          <w:color w:val="000000"/>
        </w:rPr>
        <w:t xml:space="preserve">URL: </w:t>
      </w:r>
      <w:r w:rsidRPr="00BF53C4">
        <w:rPr>
          <w:rFonts w:ascii="Book Antiqua" w:eastAsia="Book Antiqua" w:hAnsi="Book Antiqua" w:cs="Book Antiqua"/>
          <w:color w:val="000000"/>
        </w:rPr>
        <w:t>https://www.wjgnet.com/2307-8960/full/v</w:t>
      </w:r>
      <w:r w:rsidRPr="00BF53C4">
        <w:rPr>
          <w:rFonts w:ascii="Book Antiqua" w:hAnsi="Book Antiqua" w:cs="Book Antiqua" w:hint="eastAsia"/>
          <w:color w:val="000000"/>
        </w:rPr>
        <w:t>9</w:t>
      </w:r>
      <w:r w:rsidRPr="00BF53C4">
        <w:rPr>
          <w:rFonts w:ascii="Book Antiqua" w:eastAsia="Book Antiqua" w:hAnsi="Book Antiqua" w:cs="Book Antiqua"/>
          <w:color w:val="000000"/>
        </w:rPr>
        <w:t>/i</w:t>
      </w:r>
      <w:r w:rsidRPr="00BF53C4">
        <w:rPr>
          <w:rFonts w:ascii="Book Antiqua" w:hAnsi="Book Antiqua" w:cs="Book Antiqua" w:hint="eastAsia"/>
          <w:color w:val="000000"/>
        </w:rPr>
        <w:t>1</w:t>
      </w:r>
      <w:r w:rsidRPr="00BF53C4">
        <w:rPr>
          <w:rFonts w:ascii="Book Antiqua" w:hAnsi="Book Antiqua" w:cs="Book Antiqua" w:hint="eastAsia"/>
          <w:color w:val="000000"/>
          <w:lang w:eastAsia="zh-CN"/>
        </w:rPr>
        <w:t>5</w:t>
      </w:r>
      <w:r w:rsidRPr="00BF53C4">
        <w:rPr>
          <w:rFonts w:ascii="Book Antiqua" w:eastAsia="Book Antiqua" w:hAnsi="Book Antiqua" w:cs="Book Antiqua"/>
          <w:color w:val="000000"/>
        </w:rPr>
        <w:t>/</w:t>
      </w:r>
      <w:r w:rsidR="008E0E1D" w:rsidRPr="00BF53C4">
        <w:rPr>
          <w:rFonts w:ascii="Book Antiqua" w:eastAsia="Book Antiqua" w:hAnsi="Book Antiqua" w:cs="Book Antiqua"/>
          <w:color w:val="000000"/>
        </w:rPr>
        <w:t>3567</w:t>
      </w:r>
      <w:r w:rsidRPr="00BF53C4">
        <w:rPr>
          <w:rFonts w:ascii="Book Antiqua" w:eastAsia="Book Antiqua" w:hAnsi="Book Antiqua" w:cs="Book Antiqua"/>
          <w:color w:val="000000"/>
        </w:rPr>
        <w:t xml:space="preserve">.htm  </w:t>
      </w:r>
    </w:p>
    <w:p w14:paraId="52A9489C" w14:textId="230DC56F" w:rsidR="00A77B3E" w:rsidRPr="00BF53C4" w:rsidRDefault="005E2967">
      <w:pPr>
        <w:spacing w:line="360" w:lineRule="auto"/>
        <w:jc w:val="both"/>
      </w:pPr>
      <w:r w:rsidRPr="00BF53C4">
        <w:rPr>
          <w:rFonts w:ascii="Book Antiqua" w:eastAsia="Book Antiqua" w:hAnsi="Book Antiqua" w:cs="Book Antiqua"/>
          <w:b/>
          <w:color w:val="000000"/>
        </w:rPr>
        <w:t>DOI:</w:t>
      </w:r>
      <w:r w:rsidRPr="00BF53C4">
        <w:rPr>
          <w:rFonts w:ascii="Book Antiqua" w:eastAsia="Book Antiqua" w:hAnsi="Book Antiqua" w:cs="Book Antiqua"/>
          <w:color w:val="000000"/>
        </w:rPr>
        <w:t xml:space="preserve"> https://dx.doi.org/10.12998/wjcc.v</w:t>
      </w:r>
      <w:r w:rsidRPr="00BF53C4">
        <w:rPr>
          <w:rFonts w:ascii="Book Antiqua" w:hAnsi="Book Antiqua" w:cs="Book Antiqua" w:hint="eastAsia"/>
          <w:color w:val="000000"/>
        </w:rPr>
        <w:t>9</w:t>
      </w:r>
      <w:r w:rsidRPr="00BF53C4">
        <w:rPr>
          <w:rFonts w:ascii="Book Antiqua" w:eastAsia="Book Antiqua" w:hAnsi="Book Antiqua" w:cs="Book Antiqua"/>
          <w:color w:val="000000"/>
        </w:rPr>
        <w:t>.i</w:t>
      </w:r>
      <w:r w:rsidRPr="00BF53C4">
        <w:rPr>
          <w:rFonts w:ascii="Book Antiqua" w:hAnsi="Book Antiqua" w:cs="Book Antiqua" w:hint="eastAsia"/>
          <w:color w:val="000000"/>
        </w:rPr>
        <w:t>1</w:t>
      </w:r>
      <w:r w:rsidRPr="00BF53C4">
        <w:rPr>
          <w:rFonts w:ascii="Book Antiqua" w:hAnsi="Book Antiqua" w:cs="Book Antiqua" w:hint="eastAsia"/>
          <w:color w:val="000000"/>
          <w:lang w:eastAsia="zh-CN"/>
        </w:rPr>
        <w:t>5</w:t>
      </w:r>
      <w:r w:rsidRPr="00BF53C4">
        <w:rPr>
          <w:rFonts w:ascii="Book Antiqua" w:eastAsia="Book Antiqua" w:hAnsi="Book Antiqua" w:cs="Book Antiqua"/>
          <w:color w:val="000000"/>
        </w:rPr>
        <w:t>.</w:t>
      </w:r>
      <w:bookmarkStart w:id="0" w:name="_GoBack"/>
      <w:bookmarkEnd w:id="0"/>
      <w:r w:rsidR="008E0E1D" w:rsidRPr="00BF53C4">
        <w:rPr>
          <w:rFonts w:ascii="Book Antiqua" w:eastAsia="Book Antiqua" w:hAnsi="Book Antiqua" w:cs="Book Antiqua"/>
          <w:color w:val="000000"/>
        </w:rPr>
        <w:t>3567</w:t>
      </w:r>
    </w:p>
    <w:p w14:paraId="435372C5" w14:textId="77777777" w:rsidR="00A77B3E" w:rsidRPr="00BF53C4" w:rsidRDefault="00A77B3E">
      <w:pPr>
        <w:spacing w:line="360" w:lineRule="auto"/>
        <w:jc w:val="both"/>
      </w:pPr>
    </w:p>
    <w:p w14:paraId="7366D132" w14:textId="77777777" w:rsidR="00A77B3E" w:rsidRPr="00BF53C4" w:rsidRDefault="007015BD" w:rsidP="00D17D0A">
      <w:pPr>
        <w:spacing w:line="360" w:lineRule="auto"/>
        <w:jc w:val="both"/>
      </w:pPr>
      <w:r w:rsidRPr="00BF53C4">
        <w:rPr>
          <w:rFonts w:ascii="Book Antiqua" w:eastAsia="Book Antiqua" w:hAnsi="Book Antiqua" w:cs="Book Antiqua"/>
          <w:b/>
          <w:bCs/>
          <w:color w:val="000000"/>
          <w:szCs w:val="21"/>
        </w:rPr>
        <w:t xml:space="preserve">Core Tip: </w:t>
      </w:r>
      <w:r w:rsidRPr="00BF53C4">
        <w:rPr>
          <w:rFonts w:ascii="Book Antiqua" w:eastAsia="Book Antiqua" w:hAnsi="Book Antiqua" w:cs="Book Antiqua"/>
          <w:color w:val="000000"/>
        </w:rPr>
        <w:t>Ultrasound-guided in-plane direct suprainguinal injection for fascia iliaca block is safe, leading to faster recovery after general anesthesia and early relief of postoperative pain in elderly patients undergoing unilateral total hip arthroplasty.</w:t>
      </w:r>
    </w:p>
    <w:p w14:paraId="6D6D7C4E" w14:textId="4B5608E1" w:rsidR="00A77B3E" w:rsidRPr="00BF53C4" w:rsidRDefault="00D17D0A">
      <w:pPr>
        <w:spacing w:line="360" w:lineRule="auto"/>
        <w:jc w:val="both"/>
      </w:pPr>
      <w:r w:rsidRPr="00BF53C4">
        <w:br w:type="page"/>
      </w:r>
      <w:r w:rsidR="007015BD" w:rsidRPr="00BF53C4">
        <w:rPr>
          <w:rFonts w:ascii="Book Antiqua" w:eastAsia="Book Antiqua" w:hAnsi="Book Antiqua" w:cs="Book Antiqua"/>
          <w:b/>
          <w:caps/>
          <w:color w:val="000000"/>
          <w:u w:val="single"/>
        </w:rPr>
        <w:t>INTRODUCTION</w:t>
      </w:r>
    </w:p>
    <w:p w14:paraId="1C46BF77" w14:textId="6107CA1B" w:rsidR="00A77B3E" w:rsidRPr="00BF53C4" w:rsidRDefault="007015BD" w:rsidP="00D17D0A">
      <w:pPr>
        <w:spacing w:line="360" w:lineRule="auto"/>
        <w:jc w:val="both"/>
      </w:pPr>
      <w:r w:rsidRPr="00BF53C4">
        <w:rPr>
          <w:rFonts w:ascii="Book Antiqua" w:eastAsia="Book Antiqua" w:hAnsi="Book Antiqua" w:cs="Book Antiqua"/>
          <w:color w:val="000000"/>
        </w:rPr>
        <w:t>Hip fracture is a fracture of the upper portion of the femur, typically resulting in groin and thigh pain, manifesting as a shortened affected limb if the fracture is displaced (with hip positioned in external rotation and abduction), and weight-bearing is impossible</w:t>
      </w:r>
      <w:r w:rsidRPr="00BF53C4">
        <w:rPr>
          <w:rFonts w:ascii="Book Antiqua" w:eastAsia="Book Antiqua" w:hAnsi="Book Antiqua" w:cs="Book Antiqua"/>
          <w:color w:val="000000"/>
          <w:vertAlign w:val="superscript"/>
        </w:rPr>
        <w:t>[1,2]</w:t>
      </w:r>
      <w:r w:rsidRPr="00BF53C4">
        <w:rPr>
          <w:rFonts w:ascii="Book Antiqua" w:eastAsia="Book Antiqua" w:hAnsi="Book Antiqua" w:cs="Book Antiqua"/>
          <w:color w:val="000000"/>
        </w:rPr>
        <w:t>. The incidence of hip fracture is high in adults &gt;</w:t>
      </w:r>
      <w:r w:rsidR="00014E7F"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65 years of age</w:t>
      </w:r>
      <w:r w:rsidRPr="00BF53C4">
        <w:rPr>
          <w:rFonts w:ascii="Book Antiqua" w:eastAsia="Book Antiqua" w:hAnsi="Book Antiqua" w:cs="Book Antiqua"/>
          <w:color w:val="000000"/>
          <w:vertAlign w:val="superscript"/>
        </w:rPr>
        <w:t>[1,3]</w:t>
      </w:r>
      <w:r w:rsidRPr="00BF53C4">
        <w:rPr>
          <w:rFonts w:ascii="Book Antiqua" w:eastAsia="Book Antiqua" w:hAnsi="Book Antiqua" w:cs="Book Antiqua"/>
          <w:color w:val="000000"/>
        </w:rPr>
        <w:t>. With the aging of the population in China, the incidence of hip fractures in elderly individuals is also increasing</w:t>
      </w:r>
      <w:r w:rsidRPr="00BF53C4">
        <w:rPr>
          <w:rFonts w:ascii="Book Antiqua" w:eastAsia="Book Antiqua" w:hAnsi="Book Antiqua" w:cs="Book Antiqua"/>
          <w:color w:val="000000"/>
          <w:vertAlign w:val="superscript"/>
        </w:rPr>
        <w:t>[4,5]</w:t>
      </w:r>
      <w:r w:rsidRPr="00BF53C4">
        <w:rPr>
          <w:rFonts w:ascii="Book Antiqua" w:eastAsia="Book Antiqua" w:hAnsi="Book Antiqua" w:cs="Book Antiqua"/>
          <w:color w:val="000000"/>
        </w:rPr>
        <w:t>.</w:t>
      </w:r>
    </w:p>
    <w:p w14:paraId="612BE6E9" w14:textId="4533C161" w:rsidR="00A77B3E" w:rsidRPr="00BF53C4" w:rsidRDefault="007015BD" w:rsidP="00014E7F">
      <w:pPr>
        <w:spacing w:line="360" w:lineRule="auto"/>
        <w:ind w:firstLineChars="100" w:firstLine="240"/>
        <w:jc w:val="both"/>
      </w:pPr>
      <w:r w:rsidRPr="00BF53C4">
        <w:rPr>
          <w:rFonts w:ascii="Book Antiqua" w:eastAsia="Book Antiqua" w:hAnsi="Book Antiqua" w:cs="Book Antiqua"/>
          <w:color w:val="000000"/>
        </w:rPr>
        <w:t>Surgical treatment, mainly total hip arthroplasty, is the preferred choice for treating hip fractures, and it effectively improves the quality of life of elderly patients, reduces complications such as pneumonia and bedsores, and lowers the mortality rate</w:t>
      </w:r>
      <w:r w:rsidRPr="00BF53C4">
        <w:rPr>
          <w:rFonts w:ascii="Book Antiqua" w:eastAsia="Book Antiqua" w:hAnsi="Book Antiqua" w:cs="Book Antiqua"/>
          <w:color w:val="000000"/>
          <w:vertAlign w:val="superscript"/>
        </w:rPr>
        <w:t>[1,3,6]</w:t>
      </w:r>
      <w:r w:rsidRPr="00BF53C4">
        <w:rPr>
          <w:rFonts w:ascii="Book Antiqua" w:eastAsia="Book Antiqua" w:hAnsi="Book Antiqua" w:cs="Book Antiqua"/>
          <w:color w:val="000000"/>
        </w:rPr>
        <w:t>. Nevertheless, the declining physiological functions of essential organs and systems or various complications in elderly patients pose significant risks and challenges to the anesthesiologists during anesthesia and surgery.</w:t>
      </w:r>
    </w:p>
    <w:p w14:paraId="6C4658B3" w14:textId="4CF2A5C8" w:rsidR="00A77B3E" w:rsidRPr="00BF53C4" w:rsidRDefault="007015BD" w:rsidP="00014E7F">
      <w:pPr>
        <w:spacing w:line="360" w:lineRule="auto"/>
        <w:ind w:firstLineChars="100" w:firstLine="240"/>
        <w:jc w:val="both"/>
      </w:pPr>
      <w:r w:rsidRPr="00BF53C4">
        <w:rPr>
          <w:rFonts w:ascii="Book Antiqua" w:eastAsia="Book Antiqua" w:hAnsi="Book Antiqua" w:cs="Book Antiqua"/>
          <w:color w:val="000000"/>
        </w:rPr>
        <w:t>Neuraxial anesthesia (spinal and epidural anesthesia) has advantages in orthopedic surgery of the lower limbs, such as intraoperative and postoperative analgesia, reducing postoperative opioids consumption</w:t>
      </w:r>
      <w:r w:rsidRPr="00BF53C4">
        <w:rPr>
          <w:rFonts w:ascii="Book Antiqua" w:eastAsia="Book Antiqua" w:hAnsi="Book Antiqua" w:cs="Book Antiqua"/>
          <w:color w:val="000000"/>
          <w:vertAlign w:val="superscript"/>
        </w:rPr>
        <w:t>[7]</w:t>
      </w:r>
      <w:r w:rsidRPr="00BF53C4">
        <w:rPr>
          <w:rFonts w:ascii="Book Antiqua" w:eastAsia="Book Antiqua" w:hAnsi="Book Antiqua" w:cs="Book Antiqua"/>
          <w:color w:val="000000"/>
        </w:rPr>
        <w:t>, blood hypercoagulability</w:t>
      </w:r>
      <w:r w:rsidRPr="00BF53C4">
        <w:rPr>
          <w:rFonts w:ascii="Book Antiqua" w:eastAsia="Book Antiqua" w:hAnsi="Book Antiqua" w:cs="Book Antiqua"/>
          <w:color w:val="000000"/>
          <w:vertAlign w:val="superscript"/>
        </w:rPr>
        <w:t>[8]</w:t>
      </w:r>
      <w:r w:rsidRPr="00BF53C4">
        <w:rPr>
          <w:rFonts w:ascii="Book Antiqua" w:eastAsia="Book Antiqua" w:hAnsi="Book Antiqua" w:cs="Book Antiqua"/>
          <w:color w:val="000000"/>
        </w:rPr>
        <w:t>, and pulmonary complications after total hip arthroplasty in patients with chronic obstructive pulmonary disease</w:t>
      </w:r>
      <w:r w:rsidRPr="00BF53C4">
        <w:rPr>
          <w:rFonts w:ascii="Book Antiqua" w:eastAsia="Book Antiqua" w:hAnsi="Book Antiqua" w:cs="Book Antiqua"/>
          <w:color w:val="000000"/>
          <w:vertAlign w:val="superscript"/>
        </w:rPr>
        <w:t>[9]</w:t>
      </w:r>
      <w:r w:rsidRPr="00BF53C4">
        <w:rPr>
          <w:rFonts w:ascii="Book Antiqua" w:eastAsia="Book Antiqua" w:hAnsi="Book Antiqua" w:cs="Book Antiqua"/>
          <w:color w:val="000000"/>
        </w:rPr>
        <w:t>. Nevertheless, the application of neuraxial anesthesia has some limitations, especially for elderly patients. For example, the spinal puncture can be difficult or even fail in some elderly patients with spinal degeneration</w:t>
      </w:r>
      <w:r w:rsidRPr="00BF53C4">
        <w:rPr>
          <w:rFonts w:ascii="Book Antiqua" w:eastAsia="Book Antiqua" w:hAnsi="Book Antiqua" w:cs="Book Antiqua"/>
          <w:color w:val="000000"/>
          <w:vertAlign w:val="superscript"/>
        </w:rPr>
        <w:t>[10]</w:t>
      </w:r>
      <w:r w:rsidRPr="00BF53C4">
        <w:rPr>
          <w:rFonts w:ascii="Book Antiqua" w:eastAsia="Book Antiqua" w:hAnsi="Book Antiqua" w:cs="Book Antiqua"/>
          <w:color w:val="000000"/>
        </w:rPr>
        <w:t>; besides, the patients are often non-cooperative as intraspinal anesthesia causes pain, tension, and dementia</w:t>
      </w:r>
      <w:r w:rsidRPr="00BF53C4">
        <w:rPr>
          <w:rFonts w:ascii="Book Antiqua" w:eastAsia="Book Antiqua" w:hAnsi="Book Antiqua" w:cs="Book Antiqua"/>
          <w:color w:val="000000"/>
          <w:vertAlign w:val="superscript"/>
        </w:rPr>
        <w:t>[11]</w:t>
      </w:r>
      <w:r w:rsidRPr="00BF53C4">
        <w:rPr>
          <w:rFonts w:ascii="Book Antiqua" w:eastAsia="Book Antiqua" w:hAnsi="Book Antiqua" w:cs="Book Antiqua"/>
          <w:color w:val="000000"/>
        </w:rPr>
        <w:t>. Compared to neuraxial anesthesia, general anesthesia is often accompanied by more stable hemodynamics during hip fracture surgery</w:t>
      </w:r>
      <w:r w:rsidRPr="00BF53C4">
        <w:rPr>
          <w:rFonts w:ascii="Book Antiqua" w:eastAsia="Book Antiqua" w:hAnsi="Book Antiqua" w:cs="Book Antiqua"/>
          <w:color w:val="000000"/>
          <w:vertAlign w:val="superscript"/>
        </w:rPr>
        <w:t>[12]</w:t>
      </w:r>
      <w:r w:rsidRPr="00BF53C4">
        <w:rPr>
          <w:rFonts w:ascii="Book Antiqua" w:eastAsia="Book Antiqua" w:hAnsi="Book Antiqua" w:cs="Book Antiqua"/>
          <w:color w:val="000000"/>
        </w:rPr>
        <w:t>; thus, it is an alternative anesthetic regimen for patients with hemodynamic instability, contraindication to neuraxial anesthesia, or failure of intraspinal block puncture.</w:t>
      </w:r>
    </w:p>
    <w:p w14:paraId="61C5C5FC" w14:textId="31EB4C88" w:rsidR="00A77B3E" w:rsidRPr="00BF53C4" w:rsidRDefault="007015BD" w:rsidP="00014E7F">
      <w:pPr>
        <w:spacing w:line="360" w:lineRule="auto"/>
        <w:ind w:firstLineChars="100" w:firstLine="240"/>
        <w:jc w:val="both"/>
      </w:pPr>
      <w:r w:rsidRPr="00BF53C4">
        <w:rPr>
          <w:rFonts w:ascii="Book Antiqua" w:eastAsia="Book Antiqua" w:hAnsi="Book Antiqua" w:cs="Book Antiqua"/>
          <w:color w:val="000000"/>
        </w:rPr>
        <w:t>Peripheral regional block combined with general anesthesia might be a preferable anesthetic regimen for elderly patients undergoing total hip arthroplasty. This regimen reduces the incidence of postoperative delirium and early postoperative cognitive dysfunction</w:t>
      </w:r>
      <w:r w:rsidRPr="00BF53C4">
        <w:rPr>
          <w:rFonts w:ascii="Book Antiqua" w:eastAsia="Book Antiqua" w:hAnsi="Book Antiqua" w:cs="Book Antiqua"/>
          <w:color w:val="000000"/>
          <w:vertAlign w:val="superscript"/>
        </w:rPr>
        <w:t>[13]</w:t>
      </w:r>
      <w:r w:rsidRPr="00BF53C4">
        <w:rPr>
          <w:rFonts w:ascii="Book Antiqua" w:eastAsia="Book Antiqua" w:hAnsi="Book Antiqua" w:cs="Book Antiqua"/>
          <w:color w:val="000000"/>
        </w:rPr>
        <w:t xml:space="preserve">. Bullock </w:t>
      </w:r>
      <w:r w:rsidRPr="00BF53C4">
        <w:rPr>
          <w:rFonts w:ascii="Book Antiqua" w:eastAsia="Book Antiqua" w:hAnsi="Book Antiqua" w:cs="Book Antiqua"/>
          <w:i/>
          <w:iCs/>
          <w:color w:val="000000"/>
        </w:rPr>
        <w:t>et al</w:t>
      </w:r>
      <w:r w:rsidRPr="00BF53C4">
        <w:rPr>
          <w:rFonts w:ascii="Book Antiqua" w:eastAsia="Book Antiqua" w:hAnsi="Book Antiqua" w:cs="Book Antiqua"/>
          <w:color w:val="000000"/>
          <w:vertAlign w:val="superscript"/>
        </w:rPr>
        <w:t>[14]</w:t>
      </w:r>
      <w:r w:rsidRPr="00BF53C4">
        <w:rPr>
          <w:rFonts w:ascii="Book Antiqua" w:eastAsia="Book Antiqua" w:hAnsi="Book Antiqua" w:cs="Book Antiqua"/>
          <w:color w:val="000000"/>
        </w:rPr>
        <w:t xml:space="preserve"> described superior inguinal ligament fascia iliaca compartment block for the first time. This new method might block the lateral femoral cutaneous nerve more effectively than the traditional inferior inguinal ligament fascia iliaca compartment block, providing analgesia for incision </w:t>
      </w:r>
      <w:r w:rsidR="009F6DBC" w:rsidRPr="00BF53C4">
        <w:rPr>
          <w:rFonts w:ascii="Book Antiqua" w:eastAsia="Book Antiqua" w:hAnsi="Book Antiqua" w:cs="Book Antiqua"/>
          <w:color w:val="000000"/>
        </w:rPr>
        <w:t>during</w:t>
      </w:r>
      <w:r w:rsidRPr="00BF53C4">
        <w:rPr>
          <w:rFonts w:ascii="Book Antiqua" w:eastAsia="Book Antiqua" w:hAnsi="Book Antiqua" w:cs="Book Antiqua"/>
          <w:color w:val="000000"/>
        </w:rPr>
        <w:t xml:space="preserve"> total hip arthroplasty.</w:t>
      </w:r>
    </w:p>
    <w:p w14:paraId="7B49313B" w14:textId="2AE3D047" w:rsidR="00A77B3E" w:rsidRPr="00BF53C4" w:rsidRDefault="007015BD" w:rsidP="006075FC">
      <w:pPr>
        <w:spacing w:line="360" w:lineRule="auto"/>
        <w:ind w:firstLineChars="100" w:firstLine="240"/>
        <w:jc w:val="both"/>
      </w:pPr>
      <w:r w:rsidRPr="00BF53C4">
        <w:rPr>
          <w:rFonts w:ascii="Book Antiqua" w:eastAsia="Book Antiqua" w:hAnsi="Book Antiqua" w:cs="Book Antiqua"/>
          <w:color w:val="000000"/>
        </w:rPr>
        <w:t>The present study aimed to determine whether preoperative suprainguinal fascia iliaca block could accelerate recovery after general anesthesia and relieve postoperative pain in elderly patients undergoing total hip arthroplasty. The results could provide clinical support for the application of preoperative suprainguinal fascia iliaca block in these patients.</w:t>
      </w:r>
    </w:p>
    <w:p w14:paraId="41F298B9" w14:textId="77777777" w:rsidR="00A77B3E" w:rsidRPr="00BF53C4" w:rsidRDefault="00A77B3E" w:rsidP="006075FC">
      <w:pPr>
        <w:spacing w:line="360" w:lineRule="auto"/>
        <w:jc w:val="both"/>
      </w:pPr>
    </w:p>
    <w:p w14:paraId="12D9C774" w14:textId="77777777" w:rsidR="00A77B3E" w:rsidRPr="00BF53C4" w:rsidRDefault="007015BD">
      <w:pPr>
        <w:spacing w:line="360" w:lineRule="auto"/>
        <w:jc w:val="both"/>
      </w:pPr>
      <w:r w:rsidRPr="00BF53C4">
        <w:rPr>
          <w:rFonts w:ascii="Book Antiqua" w:eastAsia="Book Antiqua" w:hAnsi="Book Antiqua" w:cs="Book Antiqua"/>
          <w:b/>
          <w:caps/>
          <w:color w:val="000000"/>
          <w:u w:val="single"/>
        </w:rPr>
        <w:t>MATERIALS AND METHODS</w:t>
      </w:r>
    </w:p>
    <w:p w14:paraId="47C5633D" w14:textId="77777777" w:rsidR="00A77B3E" w:rsidRPr="00BF53C4" w:rsidRDefault="007015BD">
      <w:pPr>
        <w:spacing w:line="360" w:lineRule="auto"/>
        <w:jc w:val="both"/>
      </w:pPr>
      <w:r w:rsidRPr="00BF53C4">
        <w:rPr>
          <w:rFonts w:ascii="Book Antiqua" w:eastAsia="Book Antiqua" w:hAnsi="Book Antiqua" w:cs="Book Antiqua"/>
          <w:b/>
          <w:bCs/>
          <w:i/>
          <w:iCs/>
          <w:color w:val="000000"/>
        </w:rPr>
        <w:t>Study design and patients</w:t>
      </w:r>
    </w:p>
    <w:p w14:paraId="7A7CFA8A" w14:textId="77777777" w:rsidR="00A77B3E" w:rsidRPr="00BF53C4" w:rsidRDefault="007015BD" w:rsidP="006075FC">
      <w:pPr>
        <w:spacing w:line="360" w:lineRule="auto"/>
        <w:jc w:val="both"/>
      </w:pPr>
      <w:r w:rsidRPr="00BF53C4">
        <w:rPr>
          <w:rFonts w:ascii="Book Antiqua" w:eastAsia="Book Antiqua" w:hAnsi="Book Antiqua" w:cs="Book Antiqua"/>
          <w:color w:val="000000"/>
        </w:rPr>
        <w:t>This retrospective study was approved by the Ethics Committee of the Second Affiliated Hospital of Xuzhou Medical University. The requirement for individual consent was waived by the committee.</w:t>
      </w:r>
    </w:p>
    <w:p w14:paraId="27A4891B" w14:textId="0A91BE34" w:rsidR="00A77B3E" w:rsidRPr="00BF53C4" w:rsidRDefault="007015BD" w:rsidP="006075FC">
      <w:pPr>
        <w:spacing w:line="360" w:lineRule="auto"/>
        <w:ind w:firstLineChars="100" w:firstLine="240"/>
        <w:jc w:val="both"/>
      </w:pPr>
      <w:r w:rsidRPr="00BF53C4">
        <w:rPr>
          <w:rFonts w:ascii="Book Antiqua" w:eastAsia="Book Antiqua" w:hAnsi="Book Antiqua" w:cs="Book Antiqua"/>
          <w:color w:val="000000"/>
        </w:rPr>
        <w:t xml:space="preserve">The inclusion criteria were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1) underwent total hip arthroplasty in 2015 or 2019,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2) received general anesthesia before surgery,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3) 65-90 years of age, and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4) American Society of Anesthesiologists (ASA) grades </w:t>
      </w:r>
      <w:r w:rsidR="006075FC" w:rsidRPr="00BF53C4">
        <w:rPr>
          <w:rFonts w:ascii="Book Antiqua" w:eastAsia="Book Antiqua" w:hAnsi="Book Antiqua" w:cs="Book Antiqua"/>
          <w:color w:val="000000"/>
        </w:rPr>
        <w:t>I</w:t>
      </w:r>
      <w:r w:rsidRPr="00BF53C4">
        <w:rPr>
          <w:rFonts w:ascii="Book Antiqua" w:eastAsia="Book Antiqua" w:hAnsi="Book Antiqua" w:cs="Book Antiqua"/>
          <w:color w:val="000000"/>
        </w:rPr>
        <w:t>-</w:t>
      </w:r>
      <w:r w:rsidR="006075FC" w:rsidRPr="00BF53C4">
        <w:rPr>
          <w:rFonts w:ascii="Book Antiqua" w:eastAsia="Book Antiqua" w:hAnsi="Book Antiqua" w:cs="Book Antiqua"/>
          <w:color w:val="000000"/>
        </w:rPr>
        <w:t>III</w:t>
      </w:r>
      <w:r w:rsidRPr="00BF53C4">
        <w:rPr>
          <w:rFonts w:ascii="Book Antiqua" w:eastAsia="Book Antiqua" w:hAnsi="Book Antiqua" w:cs="Book Antiqua"/>
          <w:color w:val="000000"/>
        </w:rPr>
        <w:t xml:space="preserve">. The exclusion criteria were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1) severe chronic diseases of the heart, lung, or brain,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2) history of chronic pain and chronic use of opioids,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3) history of drug allergies,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4) intellectual or understanding disorders and unable to communicate normally, or </w:t>
      </w:r>
      <w:r w:rsidR="006075FC" w:rsidRPr="00BF53C4">
        <w:rPr>
          <w:rFonts w:ascii="Book Antiqua" w:eastAsia="Book Antiqua" w:hAnsi="Book Antiqua" w:cs="Book Antiqua"/>
          <w:color w:val="000000"/>
        </w:rPr>
        <w:t>(</w:t>
      </w:r>
      <w:r w:rsidRPr="00BF53C4">
        <w:rPr>
          <w:rFonts w:ascii="Book Antiqua" w:eastAsia="Book Antiqua" w:hAnsi="Book Antiqua" w:cs="Book Antiqua"/>
          <w:color w:val="000000"/>
        </w:rPr>
        <w:t>5) failure to complete the operation and was discharged from the hospital.</w:t>
      </w:r>
    </w:p>
    <w:p w14:paraId="6E2C85C8" w14:textId="143A8C29" w:rsidR="00A77B3E" w:rsidRPr="00BF53C4" w:rsidRDefault="007015BD" w:rsidP="006075FC">
      <w:pPr>
        <w:spacing w:line="360" w:lineRule="auto"/>
        <w:ind w:firstLineChars="100" w:firstLine="240"/>
        <w:jc w:val="both"/>
      </w:pPr>
      <w:r w:rsidRPr="00BF53C4">
        <w:rPr>
          <w:rFonts w:ascii="Book Antiqua" w:eastAsia="Book Antiqua" w:hAnsi="Book Antiqua" w:cs="Book Antiqua"/>
          <w:color w:val="000000"/>
        </w:rPr>
        <w:t>All included patients were divided into two groups based on whether preoperative suprainguinal fascia iliaca block was performed. No-block group: no suprainguinal fascia iliaca block was performed before the operation in 2015. Block group: suprainguinal fascia iliaca block was performed before the operation in 2019.</w:t>
      </w:r>
    </w:p>
    <w:p w14:paraId="3D15339B" w14:textId="77777777" w:rsidR="00A77B3E" w:rsidRPr="00BF53C4" w:rsidRDefault="00A77B3E" w:rsidP="006075FC">
      <w:pPr>
        <w:spacing w:line="360" w:lineRule="auto"/>
        <w:jc w:val="both"/>
      </w:pPr>
    </w:p>
    <w:p w14:paraId="71699527" w14:textId="77777777" w:rsidR="00A77B3E" w:rsidRPr="00BF53C4" w:rsidRDefault="007015BD">
      <w:pPr>
        <w:spacing w:line="360" w:lineRule="auto"/>
        <w:jc w:val="both"/>
      </w:pPr>
      <w:r w:rsidRPr="00BF53C4">
        <w:rPr>
          <w:rFonts w:ascii="Book Antiqua" w:eastAsia="Book Antiqua" w:hAnsi="Book Antiqua" w:cs="Book Antiqua"/>
          <w:b/>
          <w:bCs/>
          <w:i/>
          <w:iCs/>
          <w:color w:val="000000"/>
        </w:rPr>
        <w:t>Procedure</w:t>
      </w:r>
    </w:p>
    <w:p w14:paraId="7A8BDCD2" w14:textId="4C6D617C" w:rsidR="00A77B3E" w:rsidRPr="00BF53C4" w:rsidRDefault="007015BD">
      <w:pPr>
        <w:spacing w:line="360" w:lineRule="auto"/>
        <w:jc w:val="both"/>
      </w:pPr>
      <w:r w:rsidRPr="00BF53C4">
        <w:rPr>
          <w:rFonts w:ascii="Book Antiqua" w:eastAsia="Book Antiqua" w:hAnsi="Book Antiqua" w:cs="Book Antiqua"/>
          <w:color w:val="000000"/>
        </w:rPr>
        <w:t>Electrocardiography, pulse oxygen saturation (SPO</w:t>
      </w:r>
      <w:r w:rsidRPr="00BF53C4">
        <w:rPr>
          <w:rFonts w:ascii="Book Antiqua" w:eastAsia="Book Antiqua" w:hAnsi="Book Antiqua" w:cs="Book Antiqua"/>
          <w:color w:val="000000"/>
          <w:vertAlign w:val="subscript"/>
        </w:rPr>
        <w:t>2</w:t>
      </w:r>
      <w:r w:rsidRPr="00BF53C4">
        <w:rPr>
          <w:rFonts w:ascii="Book Antiqua" w:eastAsia="Book Antiqua" w:hAnsi="Book Antiqua" w:cs="Book Antiqua"/>
          <w:color w:val="000000"/>
        </w:rPr>
        <w:t>), invasive radial arterial pressure, end-tidal CO</w:t>
      </w:r>
      <w:r w:rsidRPr="00BF53C4">
        <w:rPr>
          <w:rFonts w:ascii="Book Antiqua" w:eastAsia="Book Antiqua" w:hAnsi="Book Antiqua" w:cs="Book Antiqua"/>
          <w:color w:val="000000"/>
          <w:vertAlign w:val="subscript"/>
        </w:rPr>
        <w:t>2</w:t>
      </w:r>
      <w:r w:rsidRPr="00BF53C4">
        <w:rPr>
          <w:rFonts w:ascii="Book Antiqua" w:eastAsia="Book Antiqua" w:hAnsi="Book Antiqua" w:cs="Book Antiqua"/>
          <w:color w:val="000000"/>
        </w:rPr>
        <w:t xml:space="preserve">, and bispectral index (BIS) were monitored continuously during the operation. BIS was maintained between 40 and 60. The patients in the block group received suprainguinal fascia iliaca block 15 min before general anesthesia by the same anesthesiologist who was specifically trained in ultrasound-guided nerve block to ensure homogeneity of the procedures. Suprainguinal fascia iliaca block was performed according to the method described by Bullock </w:t>
      </w:r>
      <w:r w:rsidRPr="00BF53C4">
        <w:rPr>
          <w:rFonts w:ascii="Book Antiqua" w:eastAsia="Book Antiqua" w:hAnsi="Book Antiqua" w:cs="Book Antiqua"/>
          <w:i/>
          <w:iCs/>
          <w:color w:val="000000"/>
        </w:rPr>
        <w:t>et al</w:t>
      </w:r>
      <w:r w:rsidRPr="00BF53C4">
        <w:rPr>
          <w:rFonts w:ascii="Book Antiqua" w:eastAsia="Book Antiqua" w:hAnsi="Book Antiqua" w:cs="Book Antiqua"/>
          <w:color w:val="000000"/>
          <w:vertAlign w:val="superscript"/>
        </w:rPr>
        <w:t>[14]</w:t>
      </w:r>
      <w:r w:rsidRPr="00BF53C4">
        <w:rPr>
          <w:rFonts w:ascii="Book Antiqua" w:eastAsia="Book Antiqua" w:hAnsi="Book Antiqua" w:cs="Book Antiqua"/>
          <w:color w:val="000000"/>
        </w:rPr>
        <w:t xml:space="preserve"> but was conducted under ultrasound guidance</w:t>
      </w:r>
      <w:r w:rsidR="009E1A6B" w:rsidRPr="00BF53C4">
        <w:rPr>
          <w:rFonts w:ascii="Book Antiqua" w:eastAsia="Book Antiqua" w:hAnsi="Book Antiqua" w:cs="Book Antiqua"/>
          <w:color w:val="000000"/>
        </w:rPr>
        <w:t xml:space="preserve"> (Video)</w:t>
      </w:r>
      <w:r w:rsidRPr="00BF53C4">
        <w:rPr>
          <w:rFonts w:ascii="Book Antiqua" w:eastAsia="Book Antiqua" w:hAnsi="Book Antiqua" w:cs="Book Antiqua"/>
          <w:color w:val="000000"/>
        </w:rPr>
        <w:t>. The patient was placed in the supine position, and the position of the anterior superior iliac spine was marked. Routine gloving, disinfection, and draping were conducted. A high-frequency linear array probe (6-13 MHz, Sonosite) (with sterile ultrasound gel) was transversely placed over the anterior superior iliac spine (Figure 1). The hypoechoic image of the anterior superior iliac spine was shown on the screen. The ultrasound probe was rotated towards the umbilicus until it clearly showed the anterior superior iliac spine, iliacus, fascia iliaca, medial internal oblique, transversus abdominis, and psoas major muscle. The suprainguinal fascia iliaca gap lies between the fascia iliaca and iliacus. Under ultrasound, using the in-plane technique, a 10-cm puncture needle was inserted from the umbilicus to the anterior superior iliac spine. When the needle tip reached the space between the fascia iliaca and iliacus (Figure 2), 2 mL of normal saline was injected to expand the gap between the fascia iliaca and iliacus. Then, 20 mL of 0.375% ropivacaine was injected. The diffusion of the liquid up and down along the fascia iliaca and iliacus was monitored by ultrasound.</w:t>
      </w:r>
    </w:p>
    <w:p w14:paraId="62A3549B" w14:textId="00BA0997" w:rsidR="00A77B3E" w:rsidRPr="00BF53C4" w:rsidRDefault="007015BD" w:rsidP="00E91917">
      <w:pPr>
        <w:spacing w:line="360" w:lineRule="auto"/>
        <w:ind w:firstLineChars="100" w:firstLine="240"/>
        <w:jc w:val="both"/>
      </w:pPr>
      <w:r w:rsidRPr="00BF53C4">
        <w:rPr>
          <w:rFonts w:ascii="Book Antiqua" w:eastAsia="Book Antiqua" w:hAnsi="Book Antiqua" w:cs="Book Antiqua"/>
          <w:color w:val="000000"/>
        </w:rPr>
        <w:t xml:space="preserve">In the two groups, anesthesia was induced with fentanyl 50 μg, propofol 1-1.5 mg/kg, rocuronium 0.6 mg/kg intravenously, and 5 mL of topical 2% lidocaine sprayed over </w:t>
      </w:r>
      <w:r w:rsidR="00034D5D"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supraglottic before tracheal intubation. General anesthesia was maintained with sevoflurane 1.0</w:t>
      </w:r>
      <w:r w:rsidR="00E91917" w:rsidRPr="00BF53C4">
        <w:rPr>
          <w:rFonts w:ascii="Book Antiqua" w:eastAsia="Book Antiqua" w:hAnsi="Book Antiqua" w:cs="Book Antiqua"/>
          <w:color w:val="000000"/>
        </w:rPr>
        <w:t>%</w:t>
      </w:r>
      <w:r w:rsidRPr="00BF53C4">
        <w:rPr>
          <w:rFonts w:ascii="Book Antiqua" w:eastAsia="Book Antiqua" w:hAnsi="Book Antiqua" w:cs="Book Antiqua"/>
          <w:color w:val="000000"/>
        </w:rPr>
        <w:t>-1.5% and remifentanil 0-0.3 μg/kg/min (according to the BIS and hemodynamics) and continued until skin closure. The patients were ventilated with 50/50 oxygen/air mixture through tracheal intubation to maintain an end-tidal CO</w:t>
      </w:r>
      <w:r w:rsidRPr="00BF53C4">
        <w:rPr>
          <w:rFonts w:ascii="Book Antiqua" w:eastAsia="Book Antiqua" w:hAnsi="Book Antiqua" w:cs="Book Antiqua"/>
          <w:color w:val="000000"/>
          <w:szCs w:val="30"/>
          <w:vertAlign w:val="subscript"/>
        </w:rPr>
        <w:t>2</w:t>
      </w:r>
      <w:r w:rsidRPr="00BF53C4">
        <w:rPr>
          <w:rFonts w:ascii="Book Antiqua" w:eastAsia="Book Antiqua" w:hAnsi="Book Antiqua" w:cs="Book Antiqua"/>
          <w:color w:val="000000"/>
        </w:rPr>
        <w:t xml:space="preserve"> between 35 </w:t>
      </w:r>
      <w:r w:rsidR="00E91917" w:rsidRPr="00BF53C4">
        <w:rPr>
          <w:rFonts w:ascii="Book Antiqua" w:eastAsia="Book Antiqua" w:hAnsi="Book Antiqua" w:cs="Book Antiqua"/>
          <w:color w:val="000000"/>
        </w:rPr>
        <w:t xml:space="preserve">mmHg </w:t>
      </w:r>
      <w:r w:rsidRPr="00BF53C4">
        <w:rPr>
          <w:rFonts w:ascii="Book Antiqua" w:eastAsia="Book Antiqua" w:hAnsi="Book Antiqua" w:cs="Book Antiqua"/>
          <w:color w:val="000000"/>
        </w:rPr>
        <w:t xml:space="preserve">and 45 mmHg. Before suturing the skin, ondansetron 8 mg, ketochromic acid 30 mg, and fentanyl 15 μg were administered intravenously. During the operation, the vital signs were maintained at 80%-120% of baseline for systolic blood pressure and 55-75 bpm for heart rate. If necessary, vasoactive drugs such as phenylephrine, esmolol, urapidil, </w:t>
      </w:r>
      <w:r w:rsidRPr="00BF53C4">
        <w:rPr>
          <w:rFonts w:ascii="Book Antiqua" w:eastAsia="Book Antiqua" w:hAnsi="Book Antiqua" w:cs="Book Antiqua"/>
          <w:i/>
          <w:iCs/>
          <w:color w:val="000000"/>
        </w:rPr>
        <w:t>etc.</w:t>
      </w:r>
      <w:r w:rsidRPr="00BF53C4">
        <w:rPr>
          <w:rFonts w:ascii="Book Antiqua" w:eastAsia="Book Antiqua" w:hAnsi="Book Antiqua" w:cs="Book Antiqua"/>
          <w:color w:val="000000"/>
        </w:rPr>
        <w:t>, were used to maintain the desired ranges' values.</w:t>
      </w:r>
    </w:p>
    <w:p w14:paraId="2EF1A2F0" w14:textId="7C0E9881" w:rsidR="00A77B3E" w:rsidRPr="00BF53C4" w:rsidRDefault="007015BD" w:rsidP="00E91917">
      <w:pPr>
        <w:spacing w:line="360" w:lineRule="auto"/>
        <w:ind w:firstLineChars="100" w:firstLine="240"/>
        <w:jc w:val="both"/>
      </w:pPr>
      <w:r w:rsidRPr="00BF53C4">
        <w:rPr>
          <w:rFonts w:ascii="Book Antiqua" w:eastAsia="Book Antiqua" w:hAnsi="Book Antiqua" w:cs="Book Antiqua"/>
          <w:color w:val="000000"/>
        </w:rPr>
        <w:t xml:space="preserve">After the operation, the patients were sent to the post-anesthesia care unit (PACU), where they were monitored for at least 30 min. When the patients opened their eyes spontaneously, responded to verbal commands, and respiratory efforts were within the normal clinical range, the tracheal tube was removed. A bolus of 10 μg of fentanyl was intravenously given at 10-min intervals until the </w:t>
      </w:r>
      <w:bookmarkStart w:id="1" w:name="_Hlk65593134"/>
      <w:r w:rsidRPr="00BF53C4">
        <w:rPr>
          <w:rFonts w:ascii="Book Antiqua" w:eastAsia="Book Antiqua" w:hAnsi="Book Antiqua" w:cs="Book Antiqua"/>
          <w:color w:val="000000"/>
        </w:rPr>
        <w:t xml:space="preserve">visual analog </w:t>
      </w:r>
      <w:r w:rsidR="00175C10" w:rsidRPr="00BF53C4">
        <w:rPr>
          <w:rFonts w:ascii="Book Antiqua" w:eastAsia="Book Antiqua" w:hAnsi="Book Antiqua" w:cs="Book Antiqua"/>
          <w:color w:val="000000"/>
        </w:rPr>
        <w:t>scale</w:t>
      </w:r>
      <w:bookmarkEnd w:id="1"/>
      <w:r w:rsidRPr="00BF53C4">
        <w:rPr>
          <w:rFonts w:ascii="Book Antiqua" w:eastAsia="Book Antiqua" w:hAnsi="Book Antiqua" w:cs="Book Antiqua"/>
          <w:color w:val="000000"/>
        </w:rPr>
        <w:t xml:space="preserve"> (VAS) was &lt;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4. The level of sedation was recorded as </w:t>
      </w:r>
      <w:r w:rsidR="00034D5D"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Ramsay score. If the patients experienced severe sedation or had a Ramsay sedation score of &gt;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5 or respiratory depression, fentanyl administration was discontinued. When the patients were fully awake and had a stable VAS of ≤</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4, they could be transferred to the general ward. All patients were provided with</w:t>
      </w:r>
      <w:r w:rsidR="00034D5D" w:rsidRPr="00BF53C4">
        <w:rPr>
          <w:rFonts w:ascii="Book Antiqua" w:eastAsia="Book Antiqua" w:hAnsi="Book Antiqua" w:cs="Book Antiqua"/>
          <w:color w:val="000000"/>
        </w:rPr>
        <w:t xml:space="preserve"> a</w:t>
      </w:r>
      <w:r w:rsidRPr="00BF53C4">
        <w:rPr>
          <w:rFonts w:ascii="Book Antiqua" w:eastAsia="Book Antiqua" w:hAnsi="Book Antiqua" w:cs="Book Antiqua"/>
          <w:color w:val="000000"/>
        </w:rPr>
        <w:t xml:space="preserve"> patient-controlled intravenous analgesia (PCIA) pump with a 10-μg fentanyl bolus and a 20-min lockout period with no background.</w:t>
      </w:r>
    </w:p>
    <w:p w14:paraId="0704A8DB" w14:textId="77777777" w:rsidR="00A77B3E" w:rsidRPr="00BF53C4" w:rsidRDefault="00A77B3E" w:rsidP="00E91917">
      <w:pPr>
        <w:spacing w:line="360" w:lineRule="auto"/>
        <w:jc w:val="both"/>
      </w:pPr>
    </w:p>
    <w:p w14:paraId="58CEA0F7" w14:textId="77777777" w:rsidR="00A77B3E" w:rsidRPr="00BF53C4" w:rsidRDefault="007015BD">
      <w:pPr>
        <w:spacing w:line="360" w:lineRule="auto"/>
        <w:jc w:val="both"/>
      </w:pPr>
      <w:r w:rsidRPr="00BF53C4">
        <w:rPr>
          <w:rFonts w:ascii="Book Antiqua" w:eastAsia="Book Antiqua" w:hAnsi="Book Antiqua" w:cs="Book Antiqua"/>
          <w:b/>
          <w:bCs/>
          <w:i/>
          <w:iCs/>
          <w:color w:val="000000"/>
        </w:rPr>
        <w:t>Data collection</w:t>
      </w:r>
    </w:p>
    <w:p w14:paraId="0A02018B" w14:textId="56FD84F9" w:rsidR="00A77B3E" w:rsidRPr="00BF53C4" w:rsidRDefault="007015BD" w:rsidP="00E91917">
      <w:pPr>
        <w:spacing w:line="360" w:lineRule="auto"/>
        <w:jc w:val="both"/>
      </w:pPr>
      <w:r w:rsidRPr="00BF53C4">
        <w:rPr>
          <w:rFonts w:ascii="Book Antiqua" w:eastAsia="Book Antiqua" w:hAnsi="Book Antiqua" w:cs="Book Antiqua"/>
          <w:color w:val="000000"/>
        </w:rPr>
        <w:t xml:space="preserve">The patients' baseline data, such as age, sex, body mass index, ASA grades, and adverse events after surgery, were collected. </w:t>
      </w:r>
      <w:r w:rsidR="00034D5D" w:rsidRPr="00BF53C4">
        <w:rPr>
          <w:rFonts w:ascii="Book Antiqua" w:eastAsia="Book Antiqua" w:hAnsi="Book Antiqua" w:cs="Book Antiqua"/>
          <w:color w:val="000000"/>
        </w:rPr>
        <w:t>In addition to</w:t>
      </w:r>
      <w:r w:rsidRPr="00BF53C4">
        <w:rPr>
          <w:rFonts w:ascii="Book Antiqua" w:eastAsia="Book Antiqua" w:hAnsi="Book Antiqua" w:cs="Book Antiqua"/>
          <w:color w:val="000000"/>
        </w:rPr>
        <w:t xml:space="preserve"> the intraoperative remifentanil dosage, time to tracheal extubation, time spent in </w:t>
      </w:r>
      <w:r w:rsidR="00034D5D"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 xml:space="preserve">PACU, fentanyl dosage given by intravenous titration in </w:t>
      </w:r>
      <w:r w:rsidR="00034D5D"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PACU and given by PCIA within 48 h after surgery, VAS score (with 0 indicating no pain and 10, the worst imaginable pain) at rest and during movement on the first and second days after surgery, and any complications and adverse events within 48 h after surgery were recorded.</w:t>
      </w:r>
    </w:p>
    <w:p w14:paraId="0A01F4DC" w14:textId="77777777" w:rsidR="00A77B3E" w:rsidRPr="00BF53C4" w:rsidRDefault="00A77B3E" w:rsidP="00E91917">
      <w:pPr>
        <w:spacing w:line="360" w:lineRule="auto"/>
        <w:jc w:val="both"/>
      </w:pPr>
    </w:p>
    <w:p w14:paraId="081B5AB7" w14:textId="77777777" w:rsidR="00A77B3E" w:rsidRPr="00BF53C4" w:rsidRDefault="007015BD">
      <w:pPr>
        <w:spacing w:line="360" w:lineRule="auto"/>
        <w:jc w:val="both"/>
      </w:pPr>
      <w:r w:rsidRPr="00BF53C4">
        <w:rPr>
          <w:rFonts w:ascii="Book Antiqua" w:eastAsia="Book Antiqua" w:hAnsi="Book Antiqua" w:cs="Book Antiqua"/>
          <w:b/>
          <w:bCs/>
          <w:i/>
          <w:iCs/>
          <w:color w:val="000000"/>
        </w:rPr>
        <w:t>Statistical analysis</w:t>
      </w:r>
    </w:p>
    <w:p w14:paraId="1C73DA33" w14:textId="56E33047" w:rsidR="00A77B3E" w:rsidRPr="00BF53C4" w:rsidRDefault="007015BD" w:rsidP="00E91917">
      <w:pPr>
        <w:spacing w:line="360" w:lineRule="auto"/>
        <w:jc w:val="both"/>
      </w:pPr>
      <w:r w:rsidRPr="00BF53C4">
        <w:rPr>
          <w:rFonts w:ascii="Book Antiqua" w:eastAsia="Book Antiqua" w:hAnsi="Book Antiqua" w:cs="Book Antiqua"/>
          <w:color w:val="000000"/>
        </w:rPr>
        <w:t xml:space="preserve">Statistical analysis was performed using SPSS 17.0 (SPSS Inc., Chicago, </w:t>
      </w:r>
      <w:r w:rsidR="00397AC4" w:rsidRPr="00BF53C4">
        <w:rPr>
          <w:rFonts w:ascii="Book Antiqua" w:eastAsia="Book Antiqua" w:hAnsi="Book Antiqua" w:cs="Book Antiqua"/>
          <w:color w:val="000000"/>
        </w:rPr>
        <w:t xml:space="preserve">IL, </w:t>
      </w:r>
      <w:r w:rsidRPr="00BF53C4">
        <w:rPr>
          <w:rFonts w:ascii="Book Antiqua" w:eastAsia="Book Antiqua" w:hAnsi="Book Antiqua" w:cs="Book Antiqua"/>
          <w:color w:val="000000"/>
        </w:rPr>
        <w:t>U</w:t>
      </w:r>
      <w:r w:rsidR="00E91917" w:rsidRPr="00BF53C4">
        <w:rPr>
          <w:rFonts w:ascii="Book Antiqua" w:eastAsia="Book Antiqua" w:hAnsi="Book Antiqua" w:cs="Book Antiqua"/>
          <w:color w:val="000000"/>
        </w:rPr>
        <w:t>nited States)</w:t>
      </w:r>
      <w:r w:rsidRPr="00BF53C4">
        <w:rPr>
          <w:rFonts w:ascii="Book Antiqua" w:eastAsia="Book Antiqua" w:hAnsi="Book Antiqua" w:cs="Book Antiqua"/>
          <w:color w:val="000000"/>
        </w:rPr>
        <w:t xml:space="preserve">. The Kolmogorov-Smirnov test was used to determine the normal distribution of the continuous data. Normally distributed data are presented as means ± </w:t>
      </w:r>
      <w:r w:rsidR="00E91917" w:rsidRPr="00BF53C4">
        <w:rPr>
          <w:rFonts w:ascii="Book Antiqua" w:eastAsia="Book Antiqua" w:hAnsi="Book Antiqua" w:cs="Book Antiqua"/>
          <w:color w:val="000000"/>
        </w:rPr>
        <w:t>SD</w:t>
      </w:r>
      <w:r w:rsidRPr="00BF53C4">
        <w:rPr>
          <w:rFonts w:ascii="Book Antiqua" w:eastAsia="Book Antiqua" w:hAnsi="Book Antiqua" w:cs="Book Antiqua"/>
          <w:color w:val="000000"/>
        </w:rPr>
        <w:t xml:space="preserve"> and were analyzed using </w:t>
      </w:r>
      <w:r w:rsidR="00034D5D"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 xml:space="preserve">Student’s </w:t>
      </w:r>
      <w:r w:rsidRPr="00BF53C4">
        <w:rPr>
          <w:rFonts w:ascii="Book Antiqua" w:eastAsia="Book Antiqua" w:hAnsi="Book Antiqua" w:cs="Book Antiqua"/>
          <w:i/>
          <w:iCs/>
          <w:color w:val="000000"/>
        </w:rPr>
        <w:t>t</w:t>
      </w:r>
      <w:r w:rsidRPr="00BF53C4">
        <w:rPr>
          <w:rFonts w:ascii="Book Antiqua" w:eastAsia="Book Antiqua" w:hAnsi="Book Antiqua" w:cs="Book Antiqua"/>
          <w:color w:val="000000"/>
        </w:rPr>
        <w:t xml:space="preserve">-test. Continuous data with a skewed distribution are presented as medians (interquartile range) and were analyzed using the Mann-Whitney </w:t>
      </w:r>
      <w:r w:rsidRPr="00BF53C4">
        <w:rPr>
          <w:rFonts w:ascii="Book Antiqua" w:eastAsia="Book Antiqua" w:hAnsi="Book Antiqua" w:cs="Book Antiqua"/>
          <w:i/>
          <w:iCs/>
          <w:color w:val="000000"/>
        </w:rPr>
        <w:t>U</w:t>
      </w:r>
      <w:r w:rsidRPr="00BF53C4">
        <w:rPr>
          <w:rFonts w:ascii="Book Antiqua" w:eastAsia="Book Antiqua" w:hAnsi="Book Antiqua" w:cs="Book Antiqua"/>
          <w:color w:val="000000"/>
        </w:rPr>
        <w:t xml:space="preserve">-test. Categorical data are presented as numbers and percentages and were compared using the </w:t>
      </w:r>
      <w:r w:rsidR="00034D5D" w:rsidRPr="00BF53C4">
        <w:rPr>
          <w:rFonts w:ascii="Book Antiqua" w:eastAsia="Book Antiqua" w:hAnsi="Book Antiqua" w:cs="Book Antiqua"/>
          <w:color w:val="000000"/>
        </w:rPr>
        <w:t>C</w:t>
      </w:r>
      <w:r w:rsidRPr="00BF53C4">
        <w:rPr>
          <w:rFonts w:ascii="Book Antiqua" w:eastAsia="Book Antiqua" w:hAnsi="Book Antiqua" w:cs="Book Antiqua"/>
          <w:color w:val="000000"/>
        </w:rPr>
        <w:t xml:space="preserve">hi-square test or Fischer’s exact test. Two-sided (except for the </w:t>
      </w:r>
      <w:r w:rsidRPr="00BF53C4">
        <w:rPr>
          <w:rFonts w:ascii="Book Antiqua" w:eastAsia="Book Antiqua" w:hAnsi="Book Antiqua" w:cs="Book Antiqua"/>
          <w:caps/>
          <w:color w:val="000000"/>
        </w:rPr>
        <w:t>c</w:t>
      </w:r>
      <w:r w:rsidRPr="00BF53C4">
        <w:rPr>
          <w:rFonts w:ascii="Book Antiqua" w:eastAsia="Book Antiqua" w:hAnsi="Book Antiqua" w:cs="Book Antiqua"/>
          <w:color w:val="000000"/>
        </w:rPr>
        <w:t xml:space="preserve">hi-square test)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values &lt;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0.05 were considered statistically significant.</w:t>
      </w:r>
    </w:p>
    <w:p w14:paraId="2386A774" w14:textId="77777777" w:rsidR="00A77B3E" w:rsidRPr="00BF53C4" w:rsidRDefault="00A77B3E" w:rsidP="00E91917">
      <w:pPr>
        <w:spacing w:line="360" w:lineRule="auto"/>
        <w:jc w:val="both"/>
      </w:pPr>
    </w:p>
    <w:p w14:paraId="7FD2C735" w14:textId="77777777" w:rsidR="00A77B3E" w:rsidRPr="00BF53C4" w:rsidRDefault="007015BD">
      <w:pPr>
        <w:spacing w:line="360" w:lineRule="auto"/>
        <w:jc w:val="both"/>
      </w:pPr>
      <w:r w:rsidRPr="00BF53C4">
        <w:rPr>
          <w:rFonts w:ascii="Book Antiqua" w:eastAsia="Book Antiqua" w:hAnsi="Book Antiqua" w:cs="Book Antiqua"/>
          <w:b/>
          <w:caps/>
          <w:color w:val="000000"/>
          <w:u w:val="single"/>
        </w:rPr>
        <w:t>RESULTS</w:t>
      </w:r>
    </w:p>
    <w:p w14:paraId="543133B0" w14:textId="77777777" w:rsidR="00A77B3E" w:rsidRPr="00BF53C4" w:rsidRDefault="007015BD">
      <w:pPr>
        <w:spacing w:line="360" w:lineRule="auto"/>
        <w:jc w:val="both"/>
      </w:pPr>
      <w:r w:rsidRPr="00BF53C4">
        <w:rPr>
          <w:rFonts w:ascii="Book Antiqua" w:eastAsia="Book Antiqua" w:hAnsi="Book Antiqua" w:cs="Book Antiqua"/>
          <w:b/>
          <w:bCs/>
          <w:i/>
          <w:iCs/>
          <w:color w:val="000000"/>
        </w:rPr>
        <w:t>Characteristics of the patients</w:t>
      </w:r>
    </w:p>
    <w:p w14:paraId="7E98D574" w14:textId="77777777" w:rsidR="00A77B3E" w:rsidRPr="00BF53C4" w:rsidRDefault="007015BD" w:rsidP="00E91917">
      <w:pPr>
        <w:spacing w:line="360" w:lineRule="auto"/>
        <w:jc w:val="both"/>
      </w:pPr>
      <w:r w:rsidRPr="00BF53C4">
        <w:rPr>
          <w:rFonts w:ascii="Book Antiqua" w:eastAsia="Book Antiqua" w:hAnsi="Book Antiqua" w:cs="Book Antiqua"/>
          <w:color w:val="000000"/>
        </w:rPr>
        <w:t>In this study, 15 patients who underwent surgery in 2015 were included in the no-block group, and 16 patients who underwent surgery with preoperative suprainguinal fascia iliaca block in 2019 were included in the block group. Suprainguinal fascia iliaca block was performed successfully. All patients in the block group showed a decrease or disappearance of skin sensation to cold stimuli 15 min after nerve block in the lateral thigh region. There were no significant differences in age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0.74), body mass index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0.739), sex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0.553), ASA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0.398), and operation time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0.747) between the two groups (Table 1).</w:t>
      </w:r>
    </w:p>
    <w:p w14:paraId="4841C045" w14:textId="77777777" w:rsidR="00A77B3E" w:rsidRPr="00BF53C4" w:rsidRDefault="00A77B3E" w:rsidP="00E91917">
      <w:pPr>
        <w:spacing w:line="360" w:lineRule="auto"/>
        <w:jc w:val="both"/>
      </w:pPr>
    </w:p>
    <w:p w14:paraId="1D79FE18" w14:textId="77777777" w:rsidR="00A77B3E" w:rsidRPr="00BF53C4" w:rsidRDefault="007015BD">
      <w:pPr>
        <w:spacing w:line="360" w:lineRule="auto"/>
        <w:jc w:val="both"/>
      </w:pPr>
      <w:r w:rsidRPr="00BF53C4">
        <w:rPr>
          <w:rFonts w:ascii="Book Antiqua" w:eastAsia="Book Antiqua" w:hAnsi="Book Antiqua" w:cs="Book Antiqua"/>
          <w:b/>
          <w:bCs/>
          <w:i/>
          <w:iCs/>
          <w:color w:val="000000"/>
        </w:rPr>
        <w:t>Suprainguinal fascia iliaca block relieves postoperative pain</w:t>
      </w:r>
    </w:p>
    <w:p w14:paraId="6C15AF30" w14:textId="0DB16E96" w:rsidR="00A77B3E" w:rsidRPr="00BF53C4" w:rsidRDefault="007015BD" w:rsidP="00E91917">
      <w:pPr>
        <w:spacing w:line="360" w:lineRule="auto"/>
        <w:jc w:val="both"/>
      </w:pPr>
      <w:r w:rsidRPr="00BF53C4">
        <w:rPr>
          <w:rFonts w:ascii="Book Antiqua" w:eastAsia="Book Antiqua" w:hAnsi="Book Antiqua" w:cs="Book Antiqua"/>
          <w:color w:val="000000"/>
        </w:rPr>
        <w:t>The intraoperative remifentanil dosage (103.0</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37.9 </w:t>
      </w:r>
      <w:r w:rsidR="00E91917" w:rsidRPr="00BF53C4">
        <w:rPr>
          <w:rFonts w:ascii="Book Antiqua" w:eastAsia="Book Antiqua" w:hAnsi="Book Antiqua" w:cs="Book Antiqua"/>
          <w:color w:val="000000"/>
        </w:rPr>
        <w:t>µg</w:t>
      </w:r>
      <w:r w:rsidR="00E91917" w:rsidRPr="00BF53C4">
        <w:rPr>
          <w:rFonts w:ascii="Book Antiqua" w:eastAsia="Book Antiqua" w:hAnsi="Book Antiqua" w:cs="Book Antiqua"/>
          <w:i/>
          <w:iCs/>
          <w:color w:val="000000"/>
        </w:rPr>
        <w:t xml:space="preserve"> </w:t>
      </w:r>
      <w:r w:rsidRPr="00BF53C4">
        <w:rPr>
          <w:rFonts w:ascii="Book Antiqua" w:eastAsia="Book Antiqua" w:hAnsi="Book Antiqua" w:cs="Book Antiqua"/>
          <w:i/>
          <w:iCs/>
          <w:color w:val="000000"/>
        </w:rPr>
        <w:t>vs</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316.0</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62.5 µg,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0.01), fentanyl consumption given by intravenous titration in </w:t>
      </w:r>
      <w:r w:rsidR="00034D5D"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PACU (1.9</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4.0 </w:t>
      </w:r>
      <w:r w:rsidR="00E91917" w:rsidRPr="00BF53C4">
        <w:rPr>
          <w:rFonts w:ascii="Book Antiqua" w:eastAsia="Book Antiqua" w:hAnsi="Book Antiqua" w:cs="Book Antiqua"/>
          <w:color w:val="000000"/>
        </w:rPr>
        <w:t xml:space="preserve">µg </w:t>
      </w:r>
      <w:r w:rsidRPr="00BF53C4">
        <w:rPr>
          <w:rFonts w:ascii="Book Antiqua" w:eastAsia="Book Antiqua" w:hAnsi="Book Antiqua" w:cs="Book Antiqua"/>
          <w:i/>
          <w:iCs/>
          <w:color w:val="000000"/>
        </w:rPr>
        <w:t>vs</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22</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8.6 µg, </w:t>
      </w:r>
      <w:r w:rsidR="00E91917"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&lt; </w:t>
      </w:r>
      <w:r w:rsidRPr="00BF53C4">
        <w:rPr>
          <w:rFonts w:ascii="Book Antiqua" w:eastAsia="Book Antiqua" w:hAnsi="Book Antiqua" w:cs="Book Antiqua"/>
          <w:color w:val="000000"/>
        </w:rPr>
        <w:t>0.01), and postoperative cumulative fentanyl consumption by PCIA in 48 h after operation (204.3</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43.0 </w:t>
      </w:r>
      <w:r w:rsidR="00E91917" w:rsidRPr="00BF53C4">
        <w:rPr>
          <w:rFonts w:ascii="Book Antiqua" w:eastAsia="Book Antiqua" w:hAnsi="Book Antiqua" w:cs="Book Antiqua"/>
          <w:color w:val="000000"/>
        </w:rPr>
        <w:t xml:space="preserve">µg </w:t>
      </w:r>
      <w:r w:rsidRPr="00BF53C4">
        <w:rPr>
          <w:rFonts w:ascii="Book Antiqua" w:eastAsia="Book Antiqua" w:hAnsi="Book Antiqua" w:cs="Book Antiqua"/>
          <w:i/>
          <w:iCs/>
          <w:color w:val="000000"/>
        </w:rPr>
        <w:t>vs</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406.6</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70.9 µg, </w:t>
      </w:r>
      <w:r w:rsidR="00E91917"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&lt; </w:t>
      </w:r>
      <w:r w:rsidRPr="00BF53C4">
        <w:rPr>
          <w:rFonts w:ascii="Book Antiqua" w:eastAsia="Book Antiqua" w:hAnsi="Book Antiqua" w:cs="Book Antiqua"/>
          <w:color w:val="000000"/>
        </w:rPr>
        <w:t xml:space="preserve">0.01) were significantly lower in the block group than in the no-block group (Table 2). The VAS at rest and during movement on the first and second days were significantly lower in the block group than in the no-block group (all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0.05) (Table 3).</w:t>
      </w:r>
    </w:p>
    <w:p w14:paraId="16EEC7CA" w14:textId="77777777" w:rsidR="00A77B3E" w:rsidRPr="00BF53C4" w:rsidRDefault="00A77B3E" w:rsidP="00E91917">
      <w:pPr>
        <w:spacing w:line="360" w:lineRule="auto"/>
        <w:jc w:val="both"/>
      </w:pPr>
    </w:p>
    <w:p w14:paraId="617353E4" w14:textId="77777777" w:rsidR="00A77B3E" w:rsidRPr="00BF53C4" w:rsidRDefault="007015BD">
      <w:pPr>
        <w:spacing w:line="360" w:lineRule="auto"/>
        <w:jc w:val="both"/>
      </w:pPr>
      <w:r w:rsidRPr="00BF53C4">
        <w:rPr>
          <w:rFonts w:ascii="Book Antiqua" w:eastAsia="Book Antiqua" w:hAnsi="Book Antiqua" w:cs="Book Antiqua"/>
          <w:b/>
          <w:bCs/>
          <w:i/>
          <w:iCs/>
          <w:color w:val="000000"/>
        </w:rPr>
        <w:t xml:space="preserve">Suprainguinal fascia iliaca block accelerates general anesthesia recovery </w:t>
      </w:r>
    </w:p>
    <w:p w14:paraId="206644EC" w14:textId="6AEC1ECC" w:rsidR="00A77B3E" w:rsidRPr="00BF53C4" w:rsidRDefault="007015BD" w:rsidP="00E91917">
      <w:pPr>
        <w:spacing w:line="360" w:lineRule="auto"/>
        <w:jc w:val="both"/>
      </w:pPr>
      <w:r w:rsidRPr="00BF53C4">
        <w:rPr>
          <w:rFonts w:ascii="Book Antiqua" w:eastAsia="Book Antiqua" w:hAnsi="Book Antiqua" w:cs="Book Antiqua"/>
          <w:color w:val="000000"/>
        </w:rPr>
        <w:t>The time to tracheal extubation (17.1</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2.2 </w:t>
      </w:r>
      <w:r w:rsidR="00E91917" w:rsidRPr="00BF53C4">
        <w:rPr>
          <w:rFonts w:ascii="Book Antiqua" w:eastAsia="Book Antiqua" w:hAnsi="Book Antiqua" w:cs="Book Antiqua"/>
          <w:color w:val="000000"/>
        </w:rPr>
        <w:t xml:space="preserve">min </w:t>
      </w:r>
      <w:r w:rsidRPr="00BF53C4">
        <w:rPr>
          <w:rFonts w:ascii="Book Antiqua" w:eastAsia="Book Antiqua" w:hAnsi="Book Antiqua" w:cs="Book Antiqua"/>
          <w:i/>
          <w:iCs/>
          <w:color w:val="000000"/>
        </w:rPr>
        <w:t>vs</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28.0</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2.8 min,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0.01) and the time spent in </w:t>
      </w:r>
      <w:r w:rsidR="00034D5D"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PACU (39.7</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9.0 </w:t>
      </w:r>
      <w:r w:rsidR="00E91917" w:rsidRPr="00BF53C4">
        <w:rPr>
          <w:rFonts w:ascii="Book Antiqua" w:eastAsia="Book Antiqua" w:hAnsi="Book Antiqua" w:cs="Book Antiqua"/>
          <w:color w:val="000000"/>
        </w:rPr>
        <w:t xml:space="preserve">min </w:t>
      </w:r>
      <w:r w:rsidRPr="00BF53C4">
        <w:rPr>
          <w:rFonts w:ascii="Book Antiqua" w:eastAsia="Book Antiqua" w:hAnsi="Book Antiqua" w:cs="Book Antiqua"/>
          <w:i/>
          <w:iCs/>
          <w:color w:val="000000"/>
        </w:rPr>
        <w:t>vs</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68</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9.4 min,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0.01) in the block group were significantly shorter than in the no-block group (Table 4).</w:t>
      </w:r>
    </w:p>
    <w:p w14:paraId="0E6EC537" w14:textId="77777777" w:rsidR="00A77B3E" w:rsidRPr="00BF53C4" w:rsidRDefault="00A77B3E" w:rsidP="00E91917">
      <w:pPr>
        <w:spacing w:line="360" w:lineRule="auto"/>
        <w:jc w:val="both"/>
      </w:pPr>
    </w:p>
    <w:p w14:paraId="4A907A4A" w14:textId="77777777" w:rsidR="00A77B3E" w:rsidRPr="00BF53C4" w:rsidRDefault="007015BD">
      <w:pPr>
        <w:spacing w:line="360" w:lineRule="auto"/>
        <w:jc w:val="both"/>
        <w:rPr>
          <w:i/>
          <w:iCs/>
        </w:rPr>
      </w:pPr>
      <w:r w:rsidRPr="00BF53C4">
        <w:rPr>
          <w:rFonts w:ascii="Book Antiqua" w:eastAsia="Book Antiqua" w:hAnsi="Book Antiqua" w:cs="Book Antiqua"/>
          <w:b/>
          <w:bCs/>
          <w:i/>
          <w:iCs/>
          <w:color w:val="000000"/>
        </w:rPr>
        <w:t>Complications and adverse events</w:t>
      </w:r>
    </w:p>
    <w:p w14:paraId="23B04246" w14:textId="187763C0" w:rsidR="00A77B3E" w:rsidRPr="00BF53C4" w:rsidRDefault="007015BD" w:rsidP="00E91917">
      <w:pPr>
        <w:spacing w:line="360" w:lineRule="auto"/>
        <w:jc w:val="both"/>
      </w:pPr>
      <w:r w:rsidRPr="00BF53C4">
        <w:rPr>
          <w:rFonts w:ascii="Book Antiqua" w:eastAsia="Book Antiqua" w:hAnsi="Book Antiqua" w:cs="Book Antiqua"/>
          <w:color w:val="000000"/>
        </w:rPr>
        <w:t xml:space="preserve">There were no significant differences in preoperative systolic blood pressure and heart rate between the two groups during </w:t>
      </w:r>
      <w:r w:rsidR="00034D5D" w:rsidRPr="00BF53C4">
        <w:rPr>
          <w:rFonts w:ascii="Book Antiqua" w:eastAsia="Book Antiqua" w:hAnsi="Book Antiqua" w:cs="Book Antiqua"/>
          <w:color w:val="000000"/>
        </w:rPr>
        <w:t>surgery</w:t>
      </w:r>
      <w:r w:rsidRPr="00BF53C4">
        <w:rPr>
          <w:rFonts w:ascii="Book Antiqua" w:eastAsia="Book Antiqua" w:hAnsi="Book Antiqua" w:cs="Book Antiqua"/>
          <w:color w:val="000000"/>
        </w:rPr>
        <w:t xml:space="preserve"> (all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&gt;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0.05). </w:t>
      </w:r>
      <w:r w:rsidR="00034D5D" w:rsidRPr="00BF53C4">
        <w:rPr>
          <w:rFonts w:ascii="Book Antiqua" w:eastAsia="Book Antiqua" w:hAnsi="Book Antiqua" w:cs="Book Antiqua"/>
          <w:color w:val="000000"/>
        </w:rPr>
        <w:t>However</w:t>
      </w:r>
      <w:r w:rsidRPr="00BF53C4">
        <w:rPr>
          <w:rFonts w:ascii="Book Antiqua" w:eastAsia="Book Antiqua" w:hAnsi="Book Antiqua" w:cs="Book Antiqua"/>
          <w:color w:val="000000"/>
        </w:rPr>
        <w:t xml:space="preserve">, more patients in the block group needed intraoperative intravenous phenylephrine to avoid hypotension during the operation compared with the no-block group (80.0% </w:t>
      </w:r>
      <w:r w:rsidRPr="00BF53C4">
        <w:rPr>
          <w:rFonts w:ascii="Book Antiqua" w:eastAsia="Book Antiqua" w:hAnsi="Book Antiqua" w:cs="Book Antiqua"/>
          <w:i/>
          <w:iCs/>
          <w:color w:val="000000"/>
        </w:rPr>
        <w:t>vs</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25.0%,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0.01). Respiratory depression and severe sedation were not observed in either of the groups. No infections of the puncture point and local hematoma were observed in the block group. The incidence of postoperative nausea and vomiting was similar in the two groups</w:t>
      </w:r>
      <w:r w:rsidR="00034D5D"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0.333). The incidence </w:t>
      </w:r>
      <w:r w:rsidR="00034D5D" w:rsidRPr="00BF53C4">
        <w:rPr>
          <w:rFonts w:ascii="Book Antiqua" w:eastAsia="Book Antiqua" w:hAnsi="Book Antiqua" w:cs="Book Antiqua"/>
          <w:color w:val="000000"/>
        </w:rPr>
        <w:t xml:space="preserve">of dizziness </w:t>
      </w:r>
      <w:r w:rsidRPr="00BF53C4">
        <w:rPr>
          <w:rFonts w:ascii="Book Antiqua" w:eastAsia="Book Antiqua" w:hAnsi="Book Antiqua" w:cs="Book Antiqua"/>
          <w:color w:val="000000"/>
        </w:rPr>
        <w:t>was higher in the no-block group than in the block group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0.037) (Table 1).</w:t>
      </w:r>
    </w:p>
    <w:p w14:paraId="3BEB45A8" w14:textId="77777777" w:rsidR="00A77B3E" w:rsidRPr="00BF53C4" w:rsidRDefault="00A77B3E" w:rsidP="00E91917">
      <w:pPr>
        <w:spacing w:line="360" w:lineRule="auto"/>
        <w:jc w:val="both"/>
      </w:pPr>
    </w:p>
    <w:p w14:paraId="4BDC09C9" w14:textId="77777777" w:rsidR="00A77B3E" w:rsidRPr="00BF53C4" w:rsidRDefault="007015BD">
      <w:pPr>
        <w:spacing w:line="360" w:lineRule="auto"/>
        <w:jc w:val="both"/>
      </w:pPr>
      <w:r w:rsidRPr="00BF53C4">
        <w:rPr>
          <w:rFonts w:ascii="Book Antiqua" w:eastAsia="Book Antiqua" w:hAnsi="Book Antiqua" w:cs="Book Antiqua"/>
          <w:b/>
          <w:caps/>
          <w:color w:val="000000"/>
          <w:u w:val="single"/>
        </w:rPr>
        <w:t>DISCUSSION</w:t>
      </w:r>
    </w:p>
    <w:p w14:paraId="53702FFF" w14:textId="77777777" w:rsidR="00A77B3E" w:rsidRPr="00BF53C4" w:rsidRDefault="007015BD" w:rsidP="00E91917">
      <w:pPr>
        <w:spacing w:line="360" w:lineRule="auto"/>
        <w:jc w:val="both"/>
      </w:pPr>
      <w:r w:rsidRPr="00BF53C4">
        <w:rPr>
          <w:rFonts w:ascii="Book Antiqua" w:eastAsia="Book Antiqua" w:hAnsi="Book Antiqua" w:cs="Book Antiqua"/>
          <w:color w:val="000000"/>
        </w:rPr>
        <w:t>This study examined whether suprainguinal fascia iliaca block could accelerate recovery after general anesthesia and relieve early postoperative pain in elderly patients undergoing total hip arthroplasty. The results suggest that ultrasound-guided in-plane suprainguinal fascia iliaca block led to faster recovery after general anesthesia and early postoperative pain relief in elderly patients undergoing unilateral total hip arthroplasty.</w:t>
      </w:r>
    </w:p>
    <w:p w14:paraId="11EE2A86" w14:textId="6FC22AAD" w:rsidR="00A77B3E" w:rsidRPr="00BF53C4" w:rsidRDefault="007015BD" w:rsidP="00E91917">
      <w:pPr>
        <w:spacing w:line="360" w:lineRule="auto"/>
        <w:ind w:firstLineChars="100" w:firstLine="240"/>
        <w:jc w:val="both"/>
      </w:pPr>
      <w:r w:rsidRPr="00BF53C4">
        <w:rPr>
          <w:rFonts w:ascii="Book Antiqua" w:eastAsia="Book Antiqua" w:hAnsi="Book Antiqua" w:cs="Book Antiqua"/>
          <w:color w:val="000000"/>
        </w:rPr>
        <w:t>The innervation of the hip joint is complex, and the sensation of skin incision during total hip arthroplasty is mainly innervated by the lateral femoral cutaneous nerve. A complete lateral femoral cutaneous nerve block provides adequate postoperative incision analgesia for hip surgery</w:t>
      </w:r>
      <w:r w:rsidRPr="00BF53C4">
        <w:rPr>
          <w:rFonts w:ascii="Book Antiqua" w:eastAsia="Book Antiqua" w:hAnsi="Book Antiqua" w:cs="Book Antiqua"/>
          <w:color w:val="000000"/>
          <w:vertAlign w:val="superscript"/>
        </w:rPr>
        <w:t>[15]</w:t>
      </w:r>
      <w:r w:rsidRPr="00BF53C4">
        <w:rPr>
          <w:rFonts w:ascii="Book Antiqua" w:eastAsia="Book Antiqua" w:hAnsi="Book Antiqua" w:cs="Book Antiqua"/>
          <w:color w:val="000000"/>
        </w:rPr>
        <w:t xml:space="preserve">. The fascia iliaca compartment is a potential space for anesthesia and was initially proposed by Dalens </w:t>
      </w:r>
      <w:r w:rsidRPr="00BF53C4">
        <w:rPr>
          <w:rFonts w:ascii="Book Antiqua" w:eastAsia="Book Antiqua" w:hAnsi="Book Antiqua" w:cs="Book Antiqua"/>
          <w:i/>
          <w:iCs/>
          <w:color w:val="000000"/>
        </w:rPr>
        <w:t>et al</w:t>
      </w:r>
      <w:r w:rsidR="00E91917" w:rsidRPr="00BF53C4">
        <w:rPr>
          <w:rFonts w:ascii="Book Antiqua" w:eastAsia="Book Antiqua" w:hAnsi="Book Antiqua" w:cs="Book Antiqua"/>
          <w:color w:val="000000"/>
          <w:vertAlign w:val="superscript"/>
        </w:rPr>
        <w:t>[16]</w:t>
      </w:r>
      <w:r w:rsidRPr="00BF53C4">
        <w:rPr>
          <w:rFonts w:ascii="Book Antiqua" w:eastAsia="Book Antiqua" w:hAnsi="Book Antiqua" w:cs="Book Antiqua"/>
          <w:color w:val="000000"/>
        </w:rPr>
        <w:t xml:space="preserve"> in 1989. It is simple to operate and does not directly involve an injection into the nerve, lowering neurovascular injury risk. It is currently the most widely used peripheral nerve block regimen for postoperative analgesia of the lower limbs. Previous studies confirmed that single or continuous block provides adequate postoperative analgesia for lower limb surgery, such as for the knee joints</w:t>
      </w:r>
      <w:r w:rsidRPr="00BF53C4">
        <w:rPr>
          <w:rFonts w:ascii="Book Antiqua" w:eastAsia="Book Antiqua" w:hAnsi="Book Antiqua" w:cs="Book Antiqua"/>
          <w:color w:val="000000"/>
          <w:vertAlign w:val="superscript"/>
        </w:rPr>
        <w:t>[14,17</w:t>
      </w:r>
      <w:r w:rsidR="00E91917" w:rsidRPr="00BF53C4">
        <w:rPr>
          <w:rFonts w:ascii="Book Antiqua" w:eastAsia="Book Antiqua" w:hAnsi="Book Antiqua" w:cs="Book Antiqua"/>
          <w:color w:val="000000"/>
          <w:vertAlign w:val="superscript"/>
        </w:rPr>
        <w:t>-</w:t>
      </w:r>
      <w:r w:rsidRPr="00BF53C4">
        <w:rPr>
          <w:rFonts w:ascii="Book Antiqua" w:eastAsia="Book Antiqua" w:hAnsi="Book Antiqua" w:cs="Book Antiqua"/>
          <w:color w:val="000000"/>
          <w:vertAlign w:val="superscript"/>
        </w:rPr>
        <w:t>23]</w:t>
      </w:r>
      <w:r w:rsidRPr="00BF53C4">
        <w:rPr>
          <w:rFonts w:ascii="Book Antiqua" w:eastAsia="Book Antiqua" w:hAnsi="Book Antiqua" w:cs="Book Antiqua"/>
          <w:color w:val="000000"/>
        </w:rPr>
        <w:t>.</w:t>
      </w:r>
    </w:p>
    <w:p w14:paraId="78E204D5" w14:textId="419D3B2F" w:rsidR="00A77B3E" w:rsidRPr="00BF53C4" w:rsidRDefault="007015BD" w:rsidP="00E91917">
      <w:pPr>
        <w:spacing w:line="360" w:lineRule="auto"/>
        <w:ind w:firstLineChars="100" w:firstLine="240"/>
        <w:jc w:val="both"/>
      </w:pPr>
      <w:r w:rsidRPr="00BF53C4">
        <w:rPr>
          <w:rFonts w:ascii="Book Antiqua" w:eastAsia="Book Antiqua" w:hAnsi="Book Antiqua" w:cs="Book Antiqua"/>
          <w:color w:val="000000"/>
        </w:rPr>
        <w:t>Nevertheless, the failure rate of lateral femoral cutaneous nerve block in the fascia iliaca compartment remains as high as 13%-37%</w:t>
      </w:r>
      <w:r w:rsidRPr="00BF53C4">
        <w:rPr>
          <w:rFonts w:ascii="Book Antiqua" w:eastAsia="Book Antiqua" w:hAnsi="Book Antiqua" w:cs="Book Antiqua"/>
          <w:color w:val="000000"/>
          <w:vertAlign w:val="superscript"/>
        </w:rPr>
        <w:t>[16,17,19]</w:t>
      </w:r>
      <w:r w:rsidRPr="00BF53C4">
        <w:rPr>
          <w:rFonts w:ascii="Book Antiqua" w:eastAsia="Book Antiqua" w:hAnsi="Book Antiqua" w:cs="Book Antiqua"/>
          <w:color w:val="000000"/>
        </w:rPr>
        <w:t>, and the more significant variability of this lateral femoral cutaneous nerve below the inguinal ligament might be the cause of failure. Autopsy studies revealed that the lateral femoral cutaneous nerve either runs superficial, middle, or deep inside the inguinal ligament or runs on the lateral side of the inguinal ligament within 0-9 cm</w:t>
      </w:r>
      <w:r w:rsidRPr="00BF53C4">
        <w:rPr>
          <w:rFonts w:ascii="Book Antiqua" w:eastAsia="Book Antiqua" w:hAnsi="Book Antiqua" w:cs="Book Antiqua"/>
          <w:color w:val="000000"/>
          <w:vertAlign w:val="superscript"/>
        </w:rPr>
        <w:t>[22,24,25]</w:t>
      </w:r>
      <w:r w:rsidRPr="00BF53C4">
        <w:rPr>
          <w:rFonts w:ascii="Book Antiqua" w:eastAsia="Book Antiqua" w:hAnsi="Book Antiqua" w:cs="Book Antiqua"/>
          <w:color w:val="000000"/>
        </w:rPr>
        <w:t>. In contrast, the lateral femoral cutaneous nerve has a relatively stable route distribution in the pelvic region above the inguinal ligament and passes between the iliacus and fascia iliaca</w:t>
      </w:r>
      <w:r w:rsidRPr="00BF53C4">
        <w:rPr>
          <w:rFonts w:ascii="Book Antiqua" w:eastAsia="Book Antiqua" w:hAnsi="Book Antiqua" w:cs="Book Antiqua"/>
          <w:color w:val="000000"/>
          <w:vertAlign w:val="superscript"/>
        </w:rPr>
        <w:t>[26]</w:t>
      </w:r>
      <w:r w:rsidRPr="00BF53C4">
        <w:rPr>
          <w:rFonts w:ascii="Book Antiqua" w:eastAsia="Book Antiqua" w:hAnsi="Book Antiqua" w:cs="Book Antiqua"/>
          <w:color w:val="000000"/>
        </w:rPr>
        <w:t xml:space="preserve">. Hebbard </w:t>
      </w:r>
      <w:r w:rsidRPr="00BF53C4">
        <w:rPr>
          <w:rFonts w:ascii="Book Antiqua" w:eastAsia="Book Antiqua" w:hAnsi="Book Antiqua" w:cs="Book Antiqua"/>
          <w:i/>
          <w:iCs/>
          <w:color w:val="000000"/>
        </w:rPr>
        <w:t>et al</w:t>
      </w:r>
      <w:r w:rsidRPr="00BF53C4">
        <w:rPr>
          <w:rFonts w:ascii="Book Antiqua" w:eastAsia="Book Antiqua" w:hAnsi="Book Antiqua" w:cs="Book Antiqua"/>
          <w:color w:val="000000"/>
          <w:vertAlign w:val="superscript"/>
        </w:rPr>
        <w:t>[20]</w:t>
      </w:r>
      <w:r w:rsidRPr="00BF53C4">
        <w:rPr>
          <w:rFonts w:ascii="Book Antiqua" w:eastAsia="Book Antiqua" w:hAnsi="Book Antiqua" w:cs="Book Antiqua"/>
          <w:color w:val="000000"/>
        </w:rPr>
        <w:t xml:space="preserve"> revealed dye distribution around the lateral femoral cutaneous nerve of the pelvic region after inserting a needle from the inferior inguinal ligament, passing through the inguinal ligament, and reaching the fascia iliaca above the inguinal ligament. Previous studies confirmed the feasibility and effectiveness of performing fascia iliaca compartment block</w:t>
      </w:r>
      <w:r w:rsidRPr="00BF53C4">
        <w:rPr>
          <w:rFonts w:ascii="Book Antiqua" w:eastAsia="Book Antiqua" w:hAnsi="Book Antiqua" w:cs="Book Antiqua"/>
          <w:color w:val="000000"/>
          <w:vertAlign w:val="superscript"/>
        </w:rPr>
        <w:t>[18,21,23]</w:t>
      </w:r>
      <w:r w:rsidRPr="00BF53C4">
        <w:rPr>
          <w:rFonts w:ascii="Book Antiqua" w:eastAsia="Book Antiqua" w:hAnsi="Book Antiqua" w:cs="Book Antiqua"/>
          <w:color w:val="000000"/>
        </w:rPr>
        <w:t>.</w:t>
      </w:r>
    </w:p>
    <w:p w14:paraId="11E05B63" w14:textId="0554F1E3" w:rsidR="00A77B3E" w:rsidRPr="00BF53C4" w:rsidRDefault="007015BD" w:rsidP="00E91917">
      <w:pPr>
        <w:spacing w:line="360" w:lineRule="auto"/>
        <w:ind w:firstLineChars="100" w:firstLine="240"/>
        <w:jc w:val="both"/>
      </w:pPr>
      <w:r w:rsidRPr="00BF53C4">
        <w:rPr>
          <w:rFonts w:ascii="Book Antiqua" w:eastAsia="Book Antiqua" w:hAnsi="Book Antiqua" w:cs="Book Antiqua"/>
          <w:color w:val="000000"/>
        </w:rPr>
        <w:t>In the present study, the patients who received suprainguinal fascia iliaca block had faster anesthesia recovery and significantly lower postoperative VAS than those without peripheral nerve block. Th</w:t>
      </w:r>
      <w:r w:rsidR="00E94E9B" w:rsidRPr="00BF53C4">
        <w:rPr>
          <w:rFonts w:ascii="Book Antiqua" w:eastAsia="Book Antiqua" w:hAnsi="Book Antiqua" w:cs="Book Antiqua"/>
          <w:color w:val="000000"/>
        </w:rPr>
        <w:t>e</w:t>
      </w:r>
      <w:r w:rsidRPr="00BF53C4">
        <w:rPr>
          <w:rFonts w:ascii="Book Antiqua" w:eastAsia="Book Antiqua" w:hAnsi="Book Antiqua" w:cs="Book Antiqua"/>
          <w:color w:val="000000"/>
        </w:rPr>
        <w:t xml:space="preserve">se results suggest that general anesthesia combined with suprainguinal fascia iliaca block might be considered more suitable for elderly patients with poor baseline conditions. It can also accelerate the recovery from general anesthesia, relieve early postoperative pain, and reduce complications. In addition to effectiveness, the safety of suprainguinal fascia iliaca block was verified. During surgery, the higher needle insertion point of the fascia iliaca block between the anterior superior iliac spine and umbilicus remains far from the surgical incision and inguinal ligament, reducing the surgeons’ concerns about puncture-induced incision infection. </w:t>
      </w:r>
      <w:r w:rsidR="00E94E9B" w:rsidRPr="00BF53C4">
        <w:rPr>
          <w:rFonts w:ascii="Book Antiqua" w:eastAsia="Book Antiqua" w:hAnsi="Book Antiqua" w:cs="Book Antiqua"/>
          <w:color w:val="000000"/>
        </w:rPr>
        <w:t>In addition</w:t>
      </w:r>
      <w:r w:rsidRPr="00BF53C4">
        <w:rPr>
          <w:rFonts w:ascii="Book Antiqua" w:eastAsia="Book Antiqua" w:hAnsi="Book Antiqua" w:cs="Book Antiqua"/>
          <w:color w:val="000000"/>
        </w:rPr>
        <w:t>, suprainguinal fascia iliaca block reduced complications and adverse events in elderly patients undergoing unilateral total hip arthroplasty.</w:t>
      </w:r>
    </w:p>
    <w:p w14:paraId="671EB01E" w14:textId="64B9936C" w:rsidR="00A77B3E" w:rsidRPr="00BF53C4" w:rsidRDefault="007015BD" w:rsidP="00E91917">
      <w:pPr>
        <w:spacing w:line="360" w:lineRule="auto"/>
        <w:ind w:firstLineChars="100" w:firstLine="240"/>
        <w:jc w:val="both"/>
      </w:pPr>
      <w:r w:rsidRPr="00BF53C4">
        <w:rPr>
          <w:rFonts w:ascii="Book Antiqua" w:eastAsia="Book Antiqua" w:hAnsi="Book Antiqua" w:cs="Book Antiqua"/>
          <w:color w:val="000000"/>
        </w:rPr>
        <w:t xml:space="preserve">This study has limitations. One </w:t>
      </w:r>
      <w:r w:rsidR="00E94E9B" w:rsidRPr="00BF53C4">
        <w:rPr>
          <w:rFonts w:ascii="Book Antiqua" w:eastAsia="Book Antiqua" w:hAnsi="Book Antiqua" w:cs="Book Antiqua"/>
          <w:color w:val="000000"/>
        </w:rPr>
        <w:t xml:space="preserve">limitation </w:t>
      </w:r>
      <w:r w:rsidRPr="00BF53C4">
        <w:rPr>
          <w:rFonts w:ascii="Book Antiqua" w:eastAsia="Book Antiqua" w:hAnsi="Book Antiqua" w:cs="Book Antiqua"/>
          <w:color w:val="000000"/>
        </w:rPr>
        <w:t xml:space="preserve">is the small number of cases. </w:t>
      </w:r>
      <w:r w:rsidR="00B14BF0" w:rsidRPr="00BF53C4">
        <w:rPr>
          <w:rFonts w:ascii="Book Antiqua" w:eastAsia="Book Antiqua" w:hAnsi="Book Antiqua" w:cs="Book Antiqua"/>
          <w:color w:val="000000"/>
        </w:rPr>
        <w:t>In addition, due to</w:t>
      </w:r>
      <w:r w:rsidRPr="00BF53C4">
        <w:rPr>
          <w:rFonts w:ascii="Book Antiqua" w:eastAsia="Book Antiqua" w:hAnsi="Book Antiqua" w:cs="Book Antiqua"/>
          <w:color w:val="000000"/>
        </w:rPr>
        <w:t xml:space="preserve"> the study's retrospective nature, the analgesic effect and time course could not be compared at different concentrations of local anesthetics. Finally, the patients were not included continuously because of technical and conditional restrictions. The technology of ultrasound-guided nerve block was not available in the hospital until 2019. Although the low iliac fascia</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blocks were used during 2015-2019, the effect was not stable. Therefore, the patients in the block group were operated on in 2019, while those in the no-block group were operated on in 2015, which could </w:t>
      </w:r>
      <w:r w:rsidR="00E94E9B" w:rsidRPr="00BF53C4">
        <w:rPr>
          <w:rFonts w:ascii="Book Antiqua" w:eastAsia="Book Antiqua" w:hAnsi="Book Antiqua" w:cs="Book Antiqua"/>
          <w:color w:val="000000"/>
        </w:rPr>
        <w:t>have led</w:t>
      </w:r>
      <w:r w:rsidRPr="00BF53C4">
        <w:rPr>
          <w:rFonts w:ascii="Book Antiqua" w:eastAsia="Book Antiqua" w:hAnsi="Book Antiqua" w:cs="Book Antiqua"/>
          <w:color w:val="000000"/>
        </w:rPr>
        <w:t xml:space="preserve"> to an inevitable bias.</w:t>
      </w:r>
    </w:p>
    <w:p w14:paraId="1F574FDC" w14:textId="77777777" w:rsidR="00A77B3E" w:rsidRPr="00BF53C4" w:rsidRDefault="00A77B3E" w:rsidP="00E91917">
      <w:pPr>
        <w:spacing w:line="360" w:lineRule="auto"/>
        <w:jc w:val="both"/>
      </w:pPr>
    </w:p>
    <w:p w14:paraId="739F600B" w14:textId="77777777" w:rsidR="00A77B3E" w:rsidRPr="00BF53C4" w:rsidRDefault="007015BD">
      <w:pPr>
        <w:spacing w:line="360" w:lineRule="auto"/>
        <w:jc w:val="both"/>
      </w:pPr>
      <w:r w:rsidRPr="00BF53C4">
        <w:rPr>
          <w:rFonts w:ascii="Book Antiqua" w:eastAsia="Book Antiqua" w:hAnsi="Book Antiqua" w:cs="Book Antiqua"/>
          <w:b/>
          <w:caps/>
          <w:color w:val="000000"/>
          <w:u w:val="single"/>
        </w:rPr>
        <w:t>CONCLUSION</w:t>
      </w:r>
    </w:p>
    <w:p w14:paraId="44347DE2" w14:textId="77777777" w:rsidR="00A77B3E" w:rsidRPr="00BF53C4" w:rsidRDefault="007015BD" w:rsidP="00E91917">
      <w:pPr>
        <w:spacing w:line="360" w:lineRule="auto"/>
        <w:jc w:val="both"/>
      </w:pPr>
      <w:r w:rsidRPr="00BF53C4">
        <w:rPr>
          <w:rFonts w:ascii="Book Antiqua" w:eastAsia="Book Antiqua" w:hAnsi="Book Antiqua" w:cs="Book Antiqua"/>
          <w:color w:val="000000"/>
        </w:rPr>
        <w:t>In conclusion, ultrasound-guided in-plane suprainguinal fascia iliaca block in elderly patients undergoing unilateral total hip arthroplasty might accelerate the recovery after general anesthesia and relieve early postoperative pain. This method could be reliable and could lead to better outcomes in elderly patients.</w:t>
      </w:r>
    </w:p>
    <w:p w14:paraId="2CCE128E" w14:textId="77777777" w:rsidR="00A77B3E" w:rsidRPr="00BF53C4" w:rsidRDefault="00A77B3E" w:rsidP="00E91917">
      <w:pPr>
        <w:spacing w:line="360" w:lineRule="auto"/>
        <w:jc w:val="both"/>
      </w:pPr>
    </w:p>
    <w:p w14:paraId="78AAA80D" w14:textId="77777777" w:rsidR="00A77B3E" w:rsidRPr="00BF53C4" w:rsidRDefault="007015BD">
      <w:pPr>
        <w:spacing w:line="360" w:lineRule="auto"/>
        <w:jc w:val="both"/>
      </w:pPr>
      <w:r w:rsidRPr="00BF53C4">
        <w:rPr>
          <w:rFonts w:ascii="Book Antiqua" w:eastAsia="Book Antiqua" w:hAnsi="Book Antiqua" w:cs="Book Antiqua"/>
          <w:b/>
          <w:caps/>
          <w:color w:val="000000"/>
          <w:u w:val="single"/>
        </w:rPr>
        <w:t>ARTICLE HIGHLIGHTS</w:t>
      </w:r>
    </w:p>
    <w:p w14:paraId="45FDEC17" w14:textId="77777777" w:rsidR="00A77B3E" w:rsidRPr="00BF53C4" w:rsidRDefault="007015BD">
      <w:pPr>
        <w:spacing w:line="360" w:lineRule="auto"/>
        <w:jc w:val="both"/>
      </w:pPr>
      <w:r w:rsidRPr="00BF53C4">
        <w:rPr>
          <w:rFonts w:ascii="Book Antiqua" w:eastAsia="Book Antiqua" w:hAnsi="Book Antiqua" w:cs="Book Antiqua"/>
          <w:b/>
          <w:i/>
          <w:color w:val="000000"/>
        </w:rPr>
        <w:t>Research background</w:t>
      </w:r>
    </w:p>
    <w:p w14:paraId="39570174" w14:textId="77777777" w:rsidR="00A77B3E" w:rsidRPr="00BF53C4" w:rsidRDefault="007015BD">
      <w:pPr>
        <w:spacing w:line="360" w:lineRule="auto"/>
        <w:jc w:val="both"/>
      </w:pPr>
      <w:r w:rsidRPr="00BF53C4">
        <w:rPr>
          <w:rFonts w:ascii="Book Antiqua" w:eastAsia="Book Antiqua" w:hAnsi="Book Antiqua" w:cs="Book Antiqua"/>
          <w:color w:val="000000"/>
        </w:rPr>
        <w:t>Peripheral regional block combined with general anesthesia might be a preferable anesthetic regimen for elderly patients undergoing total hip arthroplasty.</w:t>
      </w:r>
    </w:p>
    <w:p w14:paraId="59DF8379" w14:textId="77777777" w:rsidR="00A77B3E" w:rsidRPr="00BF53C4" w:rsidRDefault="00A77B3E">
      <w:pPr>
        <w:spacing w:line="360" w:lineRule="auto"/>
        <w:jc w:val="both"/>
      </w:pPr>
    </w:p>
    <w:p w14:paraId="6EC3ABF8" w14:textId="77777777" w:rsidR="00A77B3E" w:rsidRPr="00BF53C4" w:rsidRDefault="007015BD">
      <w:pPr>
        <w:spacing w:line="360" w:lineRule="auto"/>
        <w:jc w:val="both"/>
      </w:pPr>
      <w:r w:rsidRPr="00BF53C4">
        <w:rPr>
          <w:rFonts w:ascii="Book Antiqua" w:eastAsia="Book Antiqua" w:hAnsi="Book Antiqua" w:cs="Book Antiqua"/>
          <w:b/>
          <w:i/>
          <w:color w:val="000000"/>
        </w:rPr>
        <w:t>Research motivation</w:t>
      </w:r>
    </w:p>
    <w:p w14:paraId="63A94253" w14:textId="3E597685" w:rsidR="00A77B3E" w:rsidRPr="00BF53C4" w:rsidRDefault="007015BD">
      <w:pPr>
        <w:spacing w:line="360" w:lineRule="auto"/>
        <w:jc w:val="both"/>
      </w:pPr>
      <w:r w:rsidRPr="00BF53C4">
        <w:rPr>
          <w:rFonts w:ascii="Book Antiqua" w:eastAsia="Book Antiqua" w:hAnsi="Book Antiqua" w:cs="Book Antiqua"/>
          <w:color w:val="000000"/>
        </w:rPr>
        <w:t xml:space="preserve">To </w:t>
      </w:r>
      <w:r w:rsidR="00E94E9B" w:rsidRPr="00BF53C4">
        <w:rPr>
          <w:rFonts w:ascii="Book Antiqua" w:eastAsia="Book Antiqua" w:hAnsi="Book Antiqua" w:cs="Book Antiqua"/>
          <w:color w:val="000000"/>
        </w:rPr>
        <w:t xml:space="preserve">identify </w:t>
      </w:r>
      <w:r w:rsidRPr="00BF53C4">
        <w:rPr>
          <w:rFonts w:ascii="Book Antiqua" w:eastAsia="Book Antiqua" w:hAnsi="Book Antiqua" w:cs="Book Antiqua"/>
          <w:color w:val="000000"/>
        </w:rPr>
        <w:t>a</w:t>
      </w:r>
      <w:r w:rsidR="00E91917" w:rsidRPr="00BF53C4">
        <w:rPr>
          <w:rFonts w:ascii="Book Antiqua" w:eastAsia="Book Antiqua" w:hAnsi="Book Antiqua" w:cs="Book Antiqua"/>
          <w:color w:val="000000"/>
        </w:rPr>
        <w:t>n</w:t>
      </w:r>
      <w:r w:rsidRPr="00BF53C4">
        <w:rPr>
          <w:rFonts w:ascii="Book Antiqua" w:eastAsia="Book Antiqua" w:hAnsi="Book Antiqua" w:cs="Book Antiqua"/>
          <w:color w:val="000000"/>
        </w:rPr>
        <w:t xml:space="preserve"> effective method of peripheral nerve block to relieve pain after hip replacement.</w:t>
      </w:r>
    </w:p>
    <w:p w14:paraId="6F626675" w14:textId="77777777" w:rsidR="00A77B3E" w:rsidRPr="00BF53C4" w:rsidRDefault="00A77B3E">
      <w:pPr>
        <w:spacing w:line="360" w:lineRule="auto"/>
        <w:jc w:val="both"/>
      </w:pPr>
    </w:p>
    <w:p w14:paraId="2D017D75" w14:textId="77777777" w:rsidR="00A77B3E" w:rsidRPr="00BF53C4" w:rsidRDefault="007015BD">
      <w:pPr>
        <w:spacing w:line="360" w:lineRule="auto"/>
        <w:jc w:val="both"/>
      </w:pPr>
      <w:r w:rsidRPr="00BF53C4">
        <w:rPr>
          <w:rFonts w:ascii="Book Antiqua" w:eastAsia="Book Antiqua" w:hAnsi="Book Antiqua" w:cs="Book Antiqua"/>
          <w:b/>
          <w:i/>
          <w:color w:val="000000"/>
        </w:rPr>
        <w:t>Research objectives</w:t>
      </w:r>
    </w:p>
    <w:p w14:paraId="2D36BB29" w14:textId="77777777" w:rsidR="00A77B3E" w:rsidRPr="00BF53C4" w:rsidRDefault="007015BD">
      <w:pPr>
        <w:spacing w:line="360" w:lineRule="auto"/>
        <w:jc w:val="both"/>
      </w:pPr>
      <w:r w:rsidRPr="00BF53C4">
        <w:rPr>
          <w:rFonts w:ascii="Book Antiqua" w:eastAsia="Book Antiqua" w:hAnsi="Book Antiqua" w:cs="Book Antiqua"/>
          <w:color w:val="000000"/>
        </w:rPr>
        <w:t>To investigate whether ultrasound-guided, direct suprainguinal injection for fascia iliaca block accelerated recovery after general anesthesia and relieve postoperative pain after total hip arthroplasty.</w:t>
      </w:r>
    </w:p>
    <w:p w14:paraId="27B6DC94" w14:textId="77777777" w:rsidR="00A77B3E" w:rsidRPr="00BF53C4" w:rsidRDefault="00A77B3E">
      <w:pPr>
        <w:spacing w:line="360" w:lineRule="auto"/>
        <w:jc w:val="both"/>
      </w:pPr>
    </w:p>
    <w:p w14:paraId="2D38D496" w14:textId="77777777" w:rsidR="00A77B3E" w:rsidRPr="00BF53C4" w:rsidRDefault="007015BD">
      <w:pPr>
        <w:spacing w:line="360" w:lineRule="auto"/>
        <w:jc w:val="both"/>
      </w:pPr>
      <w:r w:rsidRPr="00BF53C4">
        <w:rPr>
          <w:rFonts w:ascii="Book Antiqua" w:eastAsia="Book Antiqua" w:hAnsi="Book Antiqua" w:cs="Book Antiqua"/>
          <w:b/>
          <w:i/>
          <w:color w:val="000000"/>
        </w:rPr>
        <w:t>Research methods</w:t>
      </w:r>
    </w:p>
    <w:p w14:paraId="78404885" w14:textId="7E64F04D" w:rsidR="00A77B3E" w:rsidRPr="00BF53C4" w:rsidRDefault="007015BD">
      <w:pPr>
        <w:spacing w:line="360" w:lineRule="auto"/>
        <w:jc w:val="both"/>
      </w:pPr>
      <w:r w:rsidRPr="00BF53C4">
        <w:rPr>
          <w:rFonts w:ascii="Book Antiqua" w:eastAsia="Book Antiqua" w:hAnsi="Book Antiqua" w:cs="Book Antiqua"/>
          <w:color w:val="000000"/>
        </w:rPr>
        <w:t xml:space="preserve">Patients who underwent total hip arthroplasty under general anesthesia in 2015 or 2019 at </w:t>
      </w:r>
      <w:r w:rsidR="00E91917" w:rsidRPr="00BF53C4">
        <w:rPr>
          <w:rFonts w:ascii="Book Antiqua" w:eastAsia="Book Antiqua" w:hAnsi="Book Antiqua" w:cs="Book Antiqua"/>
          <w:color w:val="000000"/>
        </w:rPr>
        <w:t>T</w:t>
      </w:r>
      <w:r w:rsidRPr="00BF53C4">
        <w:rPr>
          <w:rFonts w:ascii="Book Antiqua" w:eastAsia="Book Antiqua" w:hAnsi="Book Antiqua" w:cs="Book Antiqua"/>
          <w:color w:val="000000"/>
        </w:rPr>
        <w:t xml:space="preserve">he Second Affiliated Hospital of Xuzhou Medical University were retrospectively analyzed. The patients were grouped based on whether preoperative suprainguinal fascia iliaca block was performed or not. The time to tracheal extubation and </w:t>
      </w:r>
      <w:r w:rsidR="00E94E9B" w:rsidRPr="00BF53C4">
        <w:rPr>
          <w:rFonts w:ascii="Book Antiqua" w:eastAsia="Book Antiqua" w:hAnsi="Book Antiqua" w:cs="Book Antiqua"/>
          <w:color w:val="000000"/>
        </w:rPr>
        <w:t xml:space="preserve">time </w:t>
      </w:r>
      <w:r w:rsidRPr="00BF53C4">
        <w:rPr>
          <w:rFonts w:ascii="Book Antiqua" w:eastAsia="Book Antiqua" w:hAnsi="Book Antiqua" w:cs="Book Antiqua"/>
          <w:color w:val="000000"/>
        </w:rPr>
        <w:t xml:space="preserve">spent in the post-anesthesia care unit (PACU), intraoperative remifentanil dosage, fentanyl consumption in </w:t>
      </w:r>
      <w:r w:rsidR="00E94E9B"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PACU, postoperative cumulative fentanyl consumption within 48 h after operation, visual analog scale</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at rest and during movement on the first and second days after surgery, and adverse reactions were compared.</w:t>
      </w:r>
    </w:p>
    <w:p w14:paraId="552B01D6" w14:textId="77777777" w:rsidR="00A77B3E" w:rsidRPr="00BF53C4" w:rsidRDefault="00A77B3E">
      <w:pPr>
        <w:spacing w:line="360" w:lineRule="auto"/>
        <w:jc w:val="both"/>
      </w:pPr>
    </w:p>
    <w:p w14:paraId="6DF261C1" w14:textId="77777777" w:rsidR="00A77B3E" w:rsidRPr="00BF53C4" w:rsidRDefault="007015BD">
      <w:pPr>
        <w:spacing w:line="360" w:lineRule="auto"/>
        <w:jc w:val="both"/>
      </w:pPr>
      <w:r w:rsidRPr="00BF53C4">
        <w:rPr>
          <w:rFonts w:ascii="Book Antiqua" w:eastAsia="Book Antiqua" w:hAnsi="Book Antiqua" w:cs="Book Antiqua"/>
          <w:b/>
          <w:i/>
          <w:color w:val="000000"/>
        </w:rPr>
        <w:t>Research results</w:t>
      </w:r>
    </w:p>
    <w:p w14:paraId="069D225A" w14:textId="09248F75" w:rsidR="00A77B3E" w:rsidRPr="00BF53C4" w:rsidRDefault="007015BD">
      <w:pPr>
        <w:spacing w:line="360" w:lineRule="auto"/>
        <w:jc w:val="both"/>
      </w:pPr>
      <w:r w:rsidRPr="00BF53C4">
        <w:rPr>
          <w:rFonts w:ascii="Book Antiqua" w:eastAsia="Book Antiqua" w:hAnsi="Book Antiqua" w:cs="Book Antiqua"/>
          <w:color w:val="000000"/>
        </w:rPr>
        <w:t xml:space="preserve">The </w:t>
      </w:r>
      <w:r w:rsidR="00E91917" w:rsidRPr="00BF53C4">
        <w:rPr>
          <w:rFonts w:ascii="Book Antiqua" w:eastAsia="Book Antiqua" w:hAnsi="Book Antiqua" w:cs="Book Antiqua"/>
          <w:color w:val="000000"/>
        </w:rPr>
        <w:t>visual analog scale</w:t>
      </w:r>
      <w:r w:rsidRPr="00BF53C4">
        <w:rPr>
          <w:rFonts w:ascii="Book Antiqua" w:eastAsia="Book Antiqua" w:hAnsi="Book Antiqua" w:cs="Book Antiqua"/>
          <w:color w:val="000000"/>
        </w:rPr>
        <w:t xml:space="preserve"> scores at rest and during movement on the first and second days were significantly lower in the block group than in the no-block group (all </w:t>
      </w:r>
      <w:r w:rsidRPr="00BF53C4">
        <w:rPr>
          <w:rFonts w:ascii="Book Antiqua" w:eastAsia="Book Antiqua" w:hAnsi="Book Antiqua" w:cs="Book Antiqua"/>
          <w:i/>
          <w:iCs/>
          <w:color w:val="000000"/>
        </w:rPr>
        <w:t>P</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&lt;</w:t>
      </w:r>
      <w:r w:rsidR="00E91917"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0.05). Compared with the no-block group, the intraoperative remifentanil dosage was lower, and the time to tracheal extubation and the time spent in </w:t>
      </w:r>
      <w:r w:rsidR="00E94E9B"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 xml:space="preserve">PACU were shorter in the block group (all </w:t>
      </w:r>
      <w:r w:rsidR="008C2F32" w:rsidRPr="00BF53C4">
        <w:rPr>
          <w:rFonts w:ascii="Book Antiqua" w:eastAsia="Book Antiqua" w:hAnsi="Book Antiqua" w:cs="Book Antiqua"/>
          <w:i/>
          <w:iCs/>
          <w:color w:val="000000"/>
        </w:rPr>
        <w:t>P</w:t>
      </w:r>
      <w:r w:rsidR="008C2F32" w:rsidRPr="00BF53C4">
        <w:rPr>
          <w:rFonts w:ascii="Book Antiqua" w:eastAsia="Book Antiqua" w:hAnsi="Book Antiqua" w:cs="Book Antiqua"/>
          <w:color w:val="000000"/>
        </w:rPr>
        <w:t xml:space="preserve"> &lt; </w:t>
      </w:r>
      <w:r w:rsidRPr="00BF53C4">
        <w:rPr>
          <w:rFonts w:ascii="Book Antiqua" w:eastAsia="Book Antiqua" w:hAnsi="Book Antiqua" w:cs="Book Antiqua"/>
          <w:color w:val="000000"/>
        </w:rPr>
        <w:t xml:space="preserve">0.01). Fentanyl consumption in </w:t>
      </w:r>
      <w:r w:rsidR="00E94E9B" w:rsidRPr="00BF53C4">
        <w:rPr>
          <w:rFonts w:ascii="Book Antiqua" w:eastAsia="Book Antiqua" w:hAnsi="Book Antiqua" w:cs="Book Antiqua"/>
          <w:color w:val="000000"/>
        </w:rPr>
        <w:t xml:space="preserve">the </w:t>
      </w:r>
      <w:r w:rsidRPr="00BF53C4">
        <w:rPr>
          <w:rFonts w:ascii="Book Antiqua" w:eastAsia="Book Antiqua" w:hAnsi="Book Antiqua" w:cs="Book Antiqua"/>
          <w:color w:val="000000"/>
        </w:rPr>
        <w:t xml:space="preserve">PACU and postoperative cumulative fentanyl consumption in 48 h after operation were lower in the block group (all </w:t>
      </w:r>
      <w:r w:rsidR="008C2F32" w:rsidRPr="00BF53C4">
        <w:rPr>
          <w:rFonts w:ascii="Book Antiqua" w:eastAsia="Book Antiqua" w:hAnsi="Book Antiqua" w:cs="Book Antiqua"/>
          <w:i/>
          <w:iCs/>
          <w:color w:val="000000"/>
        </w:rPr>
        <w:t>P</w:t>
      </w:r>
      <w:r w:rsidR="008C2F32" w:rsidRPr="00BF53C4">
        <w:rPr>
          <w:rFonts w:ascii="Book Antiqua" w:eastAsia="Book Antiqua" w:hAnsi="Book Antiqua" w:cs="Book Antiqua"/>
          <w:color w:val="000000"/>
        </w:rPr>
        <w:t xml:space="preserve"> &lt; </w:t>
      </w:r>
      <w:r w:rsidRPr="00BF53C4">
        <w:rPr>
          <w:rFonts w:ascii="Book Antiqua" w:eastAsia="Book Antiqua" w:hAnsi="Book Antiqua" w:cs="Book Antiqua"/>
          <w:color w:val="000000"/>
        </w:rPr>
        <w:t>0.01). The incidence of dizziness was higher in the no-block group than in the block group (</w:t>
      </w:r>
      <w:r w:rsidRPr="00BF53C4">
        <w:rPr>
          <w:rFonts w:ascii="Book Antiqua" w:eastAsia="Book Antiqua" w:hAnsi="Book Antiqua" w:cs="Book Antiqua"/>
          <w:i/>
          <w:iCs/>
          <w:color w:val="000000"/>
        </w:rPr>
        <w:t>P</w:t>
      </w:r>
      <w:r w:rsidRPr="00BF53C4">
        <w:rPr>
          <w:rFonts w:ascii="Book Antiqua" w:eastAsia="Book Antiqua" w:hAnsi="Book Antiqua" w:cs="Book Antiqua"/>
          <w:color w:val="000000"/>
        </w:rPr>
        <w:t xml:space="preserve"> = 0.037).</w:t>
      </w:r>
    </w:p>
    <w:p w14:paraId="553B8646" w14:textId="77777777" w:rsidR="00A77B3E" w:rsidRPr="00BF53C4" w:rsidRDefault="00A77B3E">
      <w:pPr>
        <w:spacing w:line="360" w:lineRule="auto"/>
        <w:jc w:val="both"/>
      </w:pPr>
    </w:p>
    <w:p w14:paraId="679B1261" w14:textId="77777777" w:rsidR="00A77B3E" w:rsidRPr="00BF53C4" w:rsidRDefault="007015BD">
      <w:pPr>
        <w:spacing w:line="360" w:lineRule="auto"/>
        <w:jc w:val="both"/>
      </w:pPr>
      <w:r w:rsidRPr="00BF53C4">
        <w:rPr>
          <w:rFonts w:ascii="Book Antiqua" w:eastAsia="Book Antiqua" w:hAnsi="Book Antiqua" w:cs="Book Antiqua"/>
          <w:b/>
          <w:i/>
          <w:color w:val="000000"/>
        </w:rPr>
        <w:t>Research conclusions</w:t>
      </w:r>
    </w:p>
    <w:p w14:paraId="431D031B" w14:textId="66A490EB" w:rsidR="00A77B3E" w:rsidRPr="00BF53C4" w:rsidRDefault="007015BD">
      <w:pPr>
        <w:spacing w:line="360" w:lineRule="auto"/>
        <w:jc w:val="both"/>
      </w:pPr>
      <w:r w:rsidRPr="00BF53C4">
        <w:rPr>
          <w:rFonts w:ascii="Book Antiqua" w:eastAsia="Book Antiqua" w:hAnsi="Book Antiqua" w:cs="Book Antiqua"/>
          <w:color w:val="000000"/>
        </w:rPr>
        <w:t>Ultrasound-guided, direct suprainguinal injection for fascia iliaca block</w:t>
      </w:r>
      <w:r w:rsidR="00B14BF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led to faster recovery after general anesthesia and early postoperative pain relief in elderly patients undergoing</w:t>
      </w:r>
      <w:r w:rsidR="00B14BF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total hip arthroplasty.</w:t>
      </w:r>
    </w:p>
    <w:p w14:paraId="4B0D03EA" w14:textId="77777777" w:rsidR="00A77B3E" w:rsidRPr="00BF53C4" w:rsidRDefault="00A77B3E">
      <w:pPr>
        <w:spacing w:line="360" w:lineRule="auto"/>
        <w:jc w:val="both"/>
      </w:pPr>
    </w:p>
    <w:p w14:paraId="4D5C116E" w14:textId="77777777" w:rsidR="00A77B3E" w:rsidRPr="00BF53C4" w:rsidRDefault="007015BD">
      <w:pPr>
        <w:spacing w:line="360" w:lineRule="auto"/>
        <w:jc w:val="both"/>
      </w:pPr>
      <w:r w:rsidRPr="00BF53C4">
        <w:rPr>
          <w:rFonts w:ascii="Book Antiqua" w:eastAsia="Book Antiqua" w:hAnsi="Book Antiqua" w:cs="Book Antiqua"/>
          <w:b/>
          <w:i/>
          <w:color w:val="000000"/>
        </w:rPr>
        <w:t>Research perspectives</w:t>
      </w:r>
    </w:p>
    <w:p w14:paraId="6015989A" w14:textId="525861F5" w:rsidR="00A77B3E" w:rsidRPr="00BF53C4" w:rsidRDefault="007015BD">
      <w:pPr>
        <w:spacing w:line="360" w:lineRule="auto"/>
        <w:jc w:val="both"/>
      </w:pPr>
      <w:r w:rsidRPr="00BF53C4">
        <w:rPr>
          <w:rFonts w:ascii="Book Antiqua" w:eastAsia="Book Antiqua" w:hAnsi="Book Antiqua" w:cs="Book Antiqua"/>
          <w:color w:val="000000"/>
        </w:rPr>
        <w:t xml:space="preserve">We will conduct a prospective study to further verify that </w:t>
      </w:r>
      <w:r w:rsidR="008C2F32" w:rsidRPr="00BF53C4">
        <w:rPr>
          <w:rFonts w:ascii="Book Antiqua" w:eastAsia="Book Antiqua" w:hAnsi="Book Antiqua" w:cs="Book Antiqua"/>
          <w:color w:val="000000"/>
        </w:rPr>
        <w:t>u</w:t>
      </w:r>
      <w:r w:rsidRPr="00BF53C4">
        <w:rPr>
          <w:rFonts w:ascii="Book Antiqua" w:eastAsia="Book Antiqua" w:hAnsi="Book Antiqua" w:cs="Book Antiqua"/>
          <w:color w:val="000000"/>
        </w:rPr>
        <w:t>ltrasound-guided, direct suprainguinal injection for fascia iliaca block is superior to traditional fascia</w:t>
      </w:r>
      <w:r w:rsidR="00B14BF0"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iliac block for analgesia after hip replacement.</w:t>
      </w:r>
    </w:p>
    <w:p w14:paraId="378C3E83" w14:textId="77777777" w:rsidR="00A77B3E" w:rsidRPr="00BF53C4" w:rsidRDefault="00A77B3E">
      <w:pPr>
        <w:spacing w:line="360" w:lineRule="auto"/>
        <w:jc w:val="both"/>
      </w:pPr>
    </w:p>
    <w:p w14:paraId="1A46F704" w14:textId="77777777" w:rsidR="00A77B3E" w:rsidRPr="00BF53C4" w:rsidRDefault="007015BD">
      <w:pPr>
        <w:spacing w:line="360" w:lineRule="auto"/>
        <w:jc w:val="both"/>
      </w:pPr>
      <w:r w:rsidRPr="00BF53C4">
        <w:rPr>
          <w:rFonts w:ascii="Book Antiqua" w:eastAsia="Book Antiqua" w:hAnsi="Book Antiqua" w:cs="Book Antiqua"/>
          <w:b/>
          <w:color w:val="000000"/>
        </w:rPr>
        <w:t>REFERENCES</w:t>
      </w:r>
    </w:p>
    <w:p w14:paraId="2F7F1C9C"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 </w:t>
      </w:r>
      <w:r w:rsidRPr="00BF53C4">
        <w:rPr>
          <w:rFonts w:ascii="Book Antiqua" w:eastAsia="Book Antiqua" w:hAnsi="Book Antiqua" w:cs="Book Antiqua"/>
          <w:b/>
          <w:bCs/>
          <w:color w:val="000000"/>
        </w:rPr>
        <w:t>Florschutz AV</w:t>
      </w:r>
      <w:r w:rsidRPr="00BF53C4">
        <w:rPr>
          <w:rFonts w:ascii="Book Antiqua" w:eastAsia="Book Antiqua" w:hAnsi="Book Antiqua" w:cs="Book Antiqua"/>
          <w:color w:val="000000"/>
        </w:rPr>
        <w:t xml:space="preserve">, Langford JR, Haidukewych GJ, Koval KJ. Femoral neck fractures: current management. </w:t>
      </w:r>
      <w:r w:rsidRPr="00BF53C4">
        <w:rPr>
          <w:rFonts w:ascii="Book Antiqua" w:eastAsia="Book Antiqua" w:hAnsi="Book Antiqua" w:cs="Book Antiqua"/>
          <w:i/>
          <w:iCs/>
          <w:color w:val="000000"/>
        </w:rPr>
        <w:t>J Orthop Trauma</w:t>
      </w:r>
      <w:r w:rsidRPr="00BF53C4">
        <w:rPr>
          <w:rFonts w:ascii="Book Antiqua" w:eastAsia="Book Antiqua" w:hAnsi="Book Antiqua" w:cs="Book Antiqua"/>
          <w:color w:val="000000"/>
        </w:rPr>
        <w:t xml:space="preserve"> 2015; </w:t>
      </w:r>
      <w:r w:rsidRPr="00BF53C4">
        <w:rPr>
          <w:rFonts w:ascii="Book Antiqua" w:eastAsia="Book Antiqua" w:hAnsi="Book Antiqua" w:cs="Book Antiqua"/>
          <w:b/>
          <w:bCs/>
          <w:color w:val="000000"/>
        </w:rPr>
        <w:t>29</w:t>
      </w:r>
      <w:r w:rsidRPr="00BF53C4">
        <w:rPr>
          <w:rFonts w:ascii="Book Antiqua" w:eastAsia="Book Antiqua" w:hAnsi="Book Antiqua" w:cs="Book Antiqua"/>
          <w:color w:val="000000"/>
        </w:rPr>
        <w:t>: 121-129 [PMID: 25635363 DOI: 10.1097/BOT.0000000000000291]</w:t>
      </w:r>
    </w:p>
    <w:p w14:paraId="3A796371" w14:textId="77777777" w:rsidR="00A77B3E" w:rsidRPr="00BF53C4" w:rsidRDefault="007015BD">
      <w:pPr>
        <w:spacing w:line="360" w:lineRule="auto"/>
        <w:jc w:val="both"/>
      </w:pPr>
      <w:r w:rsidRPr="00BF53C4">
        <w:rPr>
          <w:rFonts w:ascii="Book Antiqua" w:eastAsia="Book Antiqua" w:hAnsi="Book Antiqua" w:cs="Book Antiqua"/>
          <w:color w:val="000000"/>
        </w:rPr>
        <w:t xml:space="preserve">2 </w:t>
      </w:r>
      <w:r w:rsidRPr="00BF53C4">
        <w:rPr>
          <w:rFonts w:ascii="Book Antiqua" w:eastAsia="Book Antiqua" w:hAnsi="Book Antiqua" w:cs="Book Antiqua"/>
          <w:b/>
          <w:bCs/>
          <w:color w:val="000000"/>
        </w:rPr>
        <w:t>Sheehan SE</w:t>
      </w:r>
      <w:r w:rsidRPr="00BF53C4">
        <w:rPr>
          <w:rFonts w:ascii="Book Antiqua" w:eastAsia="Book Antiqua" w:hAnsi="Book Antiqua" w:cs="Book Antiqua"/>
          <w:color w:val="000000"/>
        </w:rPr>
        <w:t xml:space="preserve">, Shyu JY, Weaver MJ, Sodickson AD, Khurana B. Proximal Femoral Fractures: What the Orthopedic Surgeon Wants to Know. </w:t>
      </w:r>
      <w:r w:rsidRPr="00BF53C4">
        <w:rPr>
          <w:rFonts w:ascii="Book Antiqua" w:eastAsia="Book Antiqua" w:hAnsi="Book Antiqua" w:cs="Book Antiqua"/>
          <w:i/>
          <w:iCs/>
          <w:color w:val="000000"/>
        </w:rPr>
        <w:t>Radiographics</w:t>
      </w:r>
      <w:r w:rsidRPr="00BF53C4">
        <w:rPr>
          <w:rFonts w:ascii="Book Antiqua" w:eastAsia="Book Antiqua" w:hAnsi="Book Antiqua" w:cs="Book Antiqua"/>
          <w:color w:val="000000"/>
        </w:rPr>
        <w:t xml:space="preserve"> 2015; </w:t>
      </w:r>
      <w:r w:rsidRPr="00BF53C4">
        <w:rPr>
          <w:rFonts w:ascii="Book Antiqua" w:eastAsia="Book Antiqua" w:hAnsi="Book Antiqua" w:cs="Book Antiqua"/>
          <w:b/>
          <w:bCs/>
          <w:color w:val="000000"/>
        </w:rPr>
        <w:t>35</w:t>
      </w:r>
      <w:r w:rsidRPr="00BF53C4">
        <w:rPr>
          <w:rFonts w:ascii="Book Antiqua" w:eastAsia="Book Antiqua" w:hAnsi="Book Antiqua" w:cs="Book Antiqua"/>
          <w:color w:val="000000"/>
        </w:rPr>
        <w:t>: 1563-1584 [PMID: 26186669 DOI: 10.1148/rg.2015140301]</w:t>
      </w:r>
    </w:p>
    <w:p w14:paraId="5DE8A690" w14:textId="77777777" w:rsidR="00A77B3E" w:rsidRPr="00BF53C4" w:rsidRDefault="007015BD">
      <w:pPr>
        <w:spacing w:line="360" w:lineRule="auto"/>
        <w:jc w:val="both"/>
      </w:pPr>
      <w:r w:rsidRPr="00BF53C4">
        <w:rPr>
          <w:rFonts w:ascii="Book Antiqua" w:eastAsia="Book Antiqua" w:hAnsi="Book Antiqua" w:cs="Book Antiqua"/>
          <w:color w:val="000000"/>
        </w:rPr>
        <w:t xml:space="preserve">3 </w:t>
      </w:r>
      <w:r w:rsidRPr="00BF53C4">
        <w:rPr>
          <w:rFonts w:ascii="Book Antiqua" w:eastAsia="Book Antiqua" w:hAnsi="Book Antiqua" w:cs="Book Antiqua"/>
          <w:b/>
          <w:bCs/>
          <w:color w:val="000000"/>
        </w:rPr>
        <w:t>LeBlanc KE</w:t>
      </w:r>
      <w:r w:rsidRPr="00BF53C4">
        <w:rPr>
          <w:rFonts w:ascii="Book Antiqua" w:eastAsia="Book Antiqua" w:hAnsi="Book Antiqua" w:cs="Book Antiqua"/>
          <w:color w:val="000000"/>
        </w:rPr>
        <w:t xml:space="preserve">, Muncie HL Jr, LeBlanc LL. Hip fracture: diagnosis, treatment, and secondary prevention. </w:t>
      </w:r>
      <w:r w:rsidRPr="00BF53C4">
        <w:rPr>
          <w:rFonts w:ascii="Book Antiqua" w:eastAsia="Book Antiqua" w:hAnsi="Book Antiqua" w:cs="Book Antiqua"/>
          <w:i/>
          <w:iCs/>
          <w:color w:val="000000"/>
        </w:rPr>
        <w:t>Am Fam Physician</w:t>
      </w:r>
      <w:r w:rsidRPr="00BF53C4">
        <w:rPr>
          <w:rFonts w:ascii="Book Antiqua" w:eastAsia="Book Antiqua" w:hAnsi="Book Antiqua" w:cs="Book Antiqua"/>
          <w:color w:val="000000"/>
        </w:rPr>
        <w:t xml:space="preserve"> 2014; </w:t>
      </w:r>
      <w:r w:rsidRPr="00BF53C4">
        <w:rPr>
          <w:rFonts w:ascii="Book Antiqua" w:eastAsia="Book Antiqua" w:hAnsi="Book Antiqua" w:cs="Book Antiqua"/>
          <w:b/>
          <w:bCs/>
          <w:color w:val="000000"/>
        </w:rPr>
        <w:t>89</w:t>
      </w:r>
      <w:r w:rsidRPr="00BF53C4">
        <w:rPr>
          <w:rFonts w:ascii="Book Antiqua" w:eastAsia="Book Antiqua" w:hAnsi="Book Antiqua" w:cs="Book Antiqua"/>
          <w:color w:val="000000"/>
        </w:rPr>
        <w:t>: 945-951 [PMID: 25162161]</w:t>
      </w:r>
    </w:p>
    <w:p w14:paraId="414ACB36" w14:textId="77777777" w:rsidR="00A77B3E" w:rsidRPr="00BF53C4" w:rsidRDefault="007015BD">
      <w:pPr>
        <w:spacing w:line="360" w:lineRule="auto"/>
        <w:jc w:val="both"/>
      </w:pPr>
      <w:r w:rsidRPr="00BF53C4">
        <w:rPr>
          <w:rFonts w:ascii="Book Antiqua" w:eastAsia="Book Antiqua" w:hAnsi="Book Antiqua" w:cs="Book Antiqua"/>
          <w:color w:val="000000"/>
        </w:rPr>
        <w:t xml:space="preserve">4 </w:t>
      </w:r>
      <w:r w:rsidRPr="00BF53C4">
        <w:rPr>
          <w:rFonts w:ascii="Book Antiqua" w:eastAsia="Book Antiqua" w:hAnsi="Book Antiqua" w:cs="Book Antiqua"/>
          <w:b/>
          <w:bCs/>
          <w:color w:val="000000"/>
        </w:rPr>
        <w:t>Xia WB</w:t>
      </w:r>
      <w:r w:rsidRPr="00BF53C4">
        <w:rPr>
          <w:rFonts w:ascii="Book Antiqua" w:eastAsia="Book Antiqua" w:hAnsi="Book Antiqua" w:cs="Book Antiqua"/>
          <w:color w:val="000000"/>
        </w:rPr>
        <w:t xml:space="preserve">, He SL, Xu L, Liu AM, Jiang Y, Li M, Wang O, Xing XP, Sun Y, Cummings SR. Rapidly increasing rates of hip fracture in Beijing, China. </w:t>
      </w:r>
      <w:r w:rsidRPr="00BF53C4">
        <w:rPr>
          <w:rFonts w:ascii="Book Antiqua" w:eastAsia="Book Antiqua" w:hAnsi="Book Antiqua" w:cs="Book Antiqua"/>
          <w:i/>
          <w:iCs/>
          <w:color w:val="000000"/>
        </w:rPr>
        <w:t>J Bone Miner Res</w:t>
      </w:r>
      <w:r w:rsidRPr="00BF53C4">
        <w:rPr>
          <w:rFonts w:ascii="Book Antiqua" w:eastAsia="Book Antiqua" w:hAnsi="Book Antiqua" w:cs="Book Antiqua"/>
          <w:color w:val="000000"/>
        </w:rPr>
        <w:t xml:space="preserve"> 2012; </w:t>
      </w:r>
      <w:r w:rsidRPr="00BF53C4">
        <w:rPr>
          <w:rFonts w:ascii="Book Antiqua" w:eastAsia="Book Antiqua" w:hAnsi="Book Antiqua" w:cs="Book Antiqua"/>
          <w:b/>
          <w:bCs/>
          <w:color w:val="000000"/>
        </w:rPr>
        <w:t>27</w:t>
      </w:r>
      <w:r w:rsidRPr="00BF53C4">
        <w:rPr>
          <w:rFonts w:ascii="Book Antiqua" w:eastAsia="Book Antiqua" w:hAnsi="Book Antiqua" w:cs="Book Antiqua"/>
          <w:color w:val="000000"/>
        </w:rPr>
        <w:t>: 125-129 [PMID: 21956596 DOI: 10.1002/jbmr.519]</w:t>
      </w:r>
    </w:p>
    <w:p w14:paraId="6D62BBD8" w14:textId="77777777" w:rsidR="00A77B3E" w:rsidRPr="00BF53C4" w:rsidRDefault="007015BD">
      <w:pPr>
        <w:spacing w:line="360" w:lineRule="auto"/>
        <w:jc w:val="both"/>
      </w:pPr>
      <w:r w:rsidRPr="00BF53C4">
        <w:rPr>
          <w:rFonts w:ascii="Book Antiqua" w:eastAsia="Book Antiqua" w:hAnsi="Book Antiqua" w:cs="Book Antiqua"/>
          <w:color w:val="000000"/>
        </w:rPr>
        <w:t xml:space="preserve">5 </w:t>
      </w:r>
      <w:r w:rsidRPr="00BF53C4">
        <w:rPr>
          <w:rFonts w:ascii="Book Antiqua" w:eastAsia="Book Antiqua" w:hAnsi="Book Antiqua" w:cs="Book Antiqua"/>
          <w:b/>
          <w:bCs/>
          <w:color w:val="000000"/>
        </w:rPr>
        <w:t>Chen W</w:t>
      </w:r>
      <w:r w:rsidRPr="00BF53C4">
        <w:rPr>
          <w:rFonts w:ascii="Book Antiqua" w:eastAsia="Book Antiqua" w:hAnsi="Book Antiqua" w:cs="Book Antiqua"/>
          <w:color w:val="000000"/>
        </w:rPr>
        <w:t xml:space="preserve">, Lv H, Liu S, Liu B, Zhu Y, Chen X, Yang G, Liu L, Zhang T, Wang H, Yin B, Guo J, Zhang X, Li Y, Smith D, Hu P, Sun J, Zhang Y. National incidence of traumatic fractures in China: a retrospective survey of 512 187 individuals. </w:t>
      </w:r>
      <w:r w:rsidRPr="00BF53C4">
        <w:rPr>
          <w:rFonts w:ascii="Book Antiqua" w:eastAsia="Book Antiqua" w:hAnsi="Book Antiqua" w:cs="Book Antiqua"/>
          <w:i/>
          <w:iCs/>
          <w:color w:val="000000"/>
        </w:rPr>
        <w:t>Lancet Glob Health</w:t>
      </w:r>
      <w:r w:rsidRPr="00BF53C4">
        <w:rPr>
          <w:rFonts w:ascii="Book Antiqua" w:eastAsia="Book Antiqua" w:hAnsi="Book Antiqua" w:cs="Book Antiqua"/>
          <w:color w:val="000000"/>
        </w:rPr>
        <w:t xml:space="preserve"> 2017; </w:t>
      </w:r>
      <w:r w:rsidRPr="00BF53C4">
        <w:rPr>
          <w:rFonts w:ascii="Book Antiqua" w:eastAsia="Book Antiqua" w:hAnsi="Book Antiqua" w:cs="Book Antiqua"/>
          <w:b/>
          <w:bCs/>
          <w:color w:val="000000"/>
        </w:rPr>
        <w:t>5</w:t>
      </w:r>
      <w:r w:rsidRPr="00BF53C4">
        <w:rPr>
          <w:rFonts w:ascii="Book Antiqua" w:eastAsia="Book Antiqua" w:hAnsi="Book Antiqua" w:cs="Book Antiqua"/>
          <w:color w:val="000000"/>
        </w:rPr>
        <w:t>: e807-e817 [PMID: 28666814 DOI: 10.1016/S2214-109X(17)30222-X]</w:t>
      </w:r>
    </w:p>
    <w:p w14:paraId="7FCD3684" w14:textId="77777777" w:rsidR="00A77B3E" w:rsidRPr="00BF53C4" w:rsidRDefault="007015BD">
      <w:pPr>
        <w:spacing w:line="360" w:lineRule="auto"/>
        <w:jc w:val="both"/>
      </w:pPr>
      <w:r w:rsidRPr="00BF53C4">
        <w:rPr>
          <w:rFonts w:ascii="Book Antiqua" w:eastAsia="Book Antiqua" w:hAnsi="Book Antiqua" w:cs="Book Antiqua"/>
          <w:color w:val="000000"/>
        </w:rPr>
        <w:t xml:space="preserve">6 </w:t>
      </w:r>
      <w:r w:rsidRPr="00BF53C4">
        <w:rPr>
          <w:rFonts w:ascii="Book Antiqua" w:eastAsia="Book Antiqua" w:hAnsi="Book Antiqua" w:cs="Book Antiqua"/>
          <w:b/>
          <w:bCs/>
          <w:color w:val="000000"/>
        </w:rPr>
        <w:t>SooHoo NF</w:t>
      </w:r>
      <w:r w:rsidRPr="00BF53C4">
        <w:rPr>
          <w:rFonts w:ascii="Book Antiqua" w:eastAsia="Book Antiqua" w:hAnsi="Book Antiqua" w:cs="Book Antiqua"/>
          <w:color w:val="000000"/>
        </w:rPr>
        <w:t xml:space="preserve">, Farng E, Chambers L, Znigmond DS, Lieberman JR. Comparison of complication rates between hemiarthroplasty and total hip arthroplasty for intracapsular hip fractures. </w:t>
      </w:r>
      <w:r w:rsidRPr="00BF53C4">
        <w:rPr>
          <w:rFonts w:ascii="Book Antiqua" w:eastAsia="Book Antiqua" w:hAnsi="Book Antiqua" w:cs="Book Antiqua"/>
          <w:i/>
          <w:iCs/>
          <w:color w:val="000000"/>
        </w:rPr>
        <w:t>Orthopedics</w:t>
      </w:r>
      <w:r w:rsidRPr="00BF53C4">
        <w:rPr>
          <w:rFonts w:ascii="Book Antiqua" w:eastAsia="Book Antiqua" w:hAnsi="Book Antiqua" w:cs="Book Antiqua"/>
          <w:color w:val="000000"/>
        </w:rPr>
        <w:t xml:space="preserve"> 2013; </w:t>
      </w:r>
      <w:r w:rsidRPr="00BF53C4">
        <w:rPr>
          <w:rFonts w:ascii="Book Antiqua" w:eastAsia="Book Antiqua" w:hAnsi="Book Antiqua" w:cs="Book Antiqua"/>
          <w:b/>
          <w:bCs/>
          <w:color w:val="000000"/>
        </w:rPr>
        <w:t>36</w:t>
      </w:r>
      <w:r w:rsidRPr="00BF53C4">
        <w:rPr>
          <w:rFonts w:ascii="Book Antiqua" w:eastAsia="Book Antiqua" w:hAnsi="Book Antiqua" w:cs="Book Antiqua"/>
          <w:color w:val="000000"/>
        </w:rPr>
        <w:t>: e384-e389 [PMID: 23590773 DOI: 10.3928/01477447-20130327-09]</w:t>
      </w:r>
    </w:p>
    <w:p w14:paraId="7EB15944" w14:textId="77777777" w:rsidR="00A77B3E" w:rsidRPr="00BF53C4" w:rsidRDefault="007015BD">
      <w:pPr>
        <w:spacing w:line="360" w:lineRule="auto"/>
        <w:jc w:val="both"/>
      </w:pPr>
      <w:r w:rsidRPr="00BF53C4">
        <w:rPr>
          <w:rFonts w:ascii="Book Antiqua" w:eastAsia="Book Antiqua" w:hAnsi="Book Antiqua" w:cs="Book Antiqua"/>
          <w:color w:val="000000"/>
        </w:rPr>
        <w:t xml:space="preserve">7 </w:t>
      </w:r>
      <w:r w:rsidRPr="00BF53C4">
        <w:rPr>
          <w:rFonts w:ascii="Book Antiqua" w:eastAsia="Book Antiqua" w:hAnsi="Book Antiqua" w:cs="Book Antiqua"/>
          <w:b/>
          <w:bCs/>
          <w:color w:val="000000"/>
        </w:rPr>
        <w:t>Harsten A</w:t>
      </w:r>
      <w:r w:rsidRPr="00BF53C4">
        <w:rPr>
          <w:rFonts w:ascii="Book Antiqua" w:eastAsia="Book Antiqua" w:hAnsi="Book Antiqua" w:cs="Book Antiqua"/>
          <w:color w:val="000000"/>
        </w:rPr>
        <w:t xml:space="preserve">, Kehlet H, Ljung P, Toksvig-Larsen S. Total intravenous general anaesthesia vs. spinal anaesthesia for total hip arthroplasty: a randomised, controlled trial. </w:t>
      </w:r>
      <w:r w:rsidRPr="00BF53C4">
        <w:rPr>
          <w:rFonts w:ascii="Book Antiqua" w:eastAsia="Book Antiqua" w:hAnsi="Book Antiqua" w:cs="Book Antiqua"/>
          <w:i/>
          <w:iCs/>
          <w:color w:val="000000"/>
        </w:rPr>
        <w:t>Acta Anaesthesiol Scand</w:t>
      </w:r>
      <w:r w:rsidRPr="00BF53C4">
        <w:rPr>
          <w:rFonts w:ascii="Book Antiqua" w:eastAsia="Book Antiqua" w:hAnsi="Book Antiqua" w:cs="Book Antiqua"/>
          <w:color w:val="000000"/>
        </w:rPr>
        <w:t xml:space="preserve"> 2015; </w:t>
      </w:r>
      <w:r w:rsidRPr="00BF53C4">
        <w:rPr>
          <w:rFonts w:ascii="Book Antiqua" w:eastAsia="Book Antiqua" w:hAnsi="Book Antiqua" w:cs="Book Antiqua"/>
          <w:b/>
          <w:bCs/>
          <w:color w:val="000000"/>
        </w:rPr>
        <w:t>59</w:t>
      </w:r>
      <w:r w:rsidRPr="00BF53C4">
        <w:rPr>
          <w:rFonts w:ascii="Book Antiqua" w:eastAsia="Book Antiqua" w:hAnsi="Book Antiqua" w:cs="Book Antiqua"/>
          <w:color w:val="000000"/>
        </w:rPr>
        <w:t>: 298-309 [PMID: 25522681 DOI: 10.1111/aas.12456]</w:t>
      </w:r>
    </w:p>
    <w:p w14:paraId="74BA7485" w14:textId="39688CA1" w:rsidR="00A77B3E" w:rsidRPr="00BF53C4" w:rsidRDefault="007015BD">
      <w:pPr>
        <w:spacing w:line="360" w:lineRule="auto"/>
        <w:jc w:val="both"/>
      </w:pPr>
      <w:r w:rsidRPr="00BF53C4">
        <w:rPr>
          <w:rFonts w:ascii="Book Antiqua" w:eastAsia="Book Antiqua" w:hAnsi="Book Antiqua" w:cs="Book Antiqua"/>
          <w:color w:val="000000"/>
        </w:rPr>
        <w:t xml:space="preserve">8 </w:t>
      </w:r>
      <w:r w:rsidRPr="00BF53C4">
        <w:rPr>
          <w:rFonts w:ascii="Book Antiqua" w:eastAsia="Book Antiqua" w:hAnsi="Book Antiqua" w:cs="Book Antiqua"/>
          <w:b/>
          <w:bCs/>
          <w:color w:val="000000"/>
        </w:rPr>
        <w:t>Song B</w:t>
      </w:r>
      <w:r w:rsidRPr="00BF53C4">
        <w:rPr>
          <w:rFonts w:ascii="Book Antiqua" w:eastAsia="Book Antiqua" w:hAnsi="Book Antiqua" w:cs="Book Antiqua"/>
          <w:color w:val="000000"/>
        </w:rPr>
        <w:t xml:space="preserve">, Qiao Y, Jiang H, Yan X. Effects of neuraxial and general anaesthesia for total joint arthroplasty:a meta-analysis. </w:t>
      </w:r>
      <w:r w:rsidRPr="00BF53C4">
        <w:rPr>
          <w:rFonts w:ascii="Book Antiqua" w:eastAsia="Book Antiqua" w:hAnsi="Book Antiqua" w:cs="Book Antiqua"/>
          <w:i/>
          <w:iCs/>
          <w:color w:val="000000"/>
        </w:rPr>
        <w:t>J</w:t>
      </w:r>
      <w:r w:rsidR="00BA5524" w:rsidRPr="00BF53C4">
        <w:rPr>
          <w:rFonts w:ascii="Book Antiqua" w:eastAsia="Book Antiqua" w:hAnsi="Book Antiqua" w:cs="Book Antiqua"/>
          <w:i/>
          <w:iCs/>
          <w:color w:val="000000"/>
        </w:rPr>
        <w:t xml:space="preserve"> </w:t>
      </w:r>
      <w:r w:rsidRPr="00BF53C4">
        <w:rPr>
          <w:rFonts w:ascii="Book Antiqua" w:eastAsia="Book Antiqua" w:hAnsi="Book Antiqua" w:cs="Book Antiqua"/>
          <w:i/>
          <w:iCs/>
          <w:color w:val="000000"/>
        </w:rPr>
        <w:t>Clini</w:t>
      </w:r>
      <w:r w:rsidR="00BA5524" w:rsidRPr="00BF53C4">
        <w:rPr>
          <w:rFonts w:ascii="Book Antiqua" w:eastAsia="Book Antiqua" w:hAnsi="Book Antiqua" w:cs="Book Antiqua"/>
          <w:i/>
          <w:iCs/>
          <w:color w:val="000000"/>
        </w:rPr>
        <w:t xml:space="preserve"> </w:t>
      </w:r>
      <w:r w:rsidRPr="00BF53C4">
        <w:rPr>
          <w:rFonts w:ascii="Book Antiqua" w:eastAsia="Book Antiqua" w:hAnsi="Book Antiqua" w:cs="Book Antiqua"/>
          <w:i/>
          <w:iCs/>
          <w:color w:val="000000"/>
        </w:rPr>
        <w:t>Anesthesiol</w:t>
      </w:r>
      <w:r w:rsidR="00BA5524" w:rsidRPr="00BF53C4">
        <w:rPr>
          <w:rFonts w:ascii="Book Antiqua" w:eastAsia="Book Antiqua" w:hAnsi="Book Antiqua" w:cs="Book Antiqua"/>
          <w:color w:val="000000"/>
        </w:rPr>
        <w:t xml:space="preserve"> </w:t>
      </w:r>
      <w:r w:rsidRPr="00BF53C4">
        <w:rPr>
          <w:rFonts w:ascii="Book Antiqua" w:eastAsia="Book Antiqua" w:hAnsi="Book Antiqua" w:cs="Book Antiqua"/>
          <w:color w:val="000000"/>
        </w:rPr>
        <w:t xml:space="preserve">2017; </w:t>
      </w:r>
      <w:r w:rsidRPr="00BF53C4">
        <w:rPr>
          <w:rFonts w:ascii="Book Antiqua" w:eastAsia="Book Antiqua" w:hAnsi="Book Antiqua" w:cs="Book Antiqua"/>
          <w:b/>
          <w:bCs/>
          <w:color w:val="000000"/>
        </w:rPr>
        <w:t>33</w:t>
      </w:r>
      <w:r w:rsidRPr="00BF53C4">
        <w:rPr>
          <w:rFonts w:ascii="Book Antiqua" w:eastAsia="Book Antiqua" w:hAnsi="Book Antiqua" w:cs="Book Antiqua"/>
          <w:color w:val="000000"/>
        </w:rPr>
        <w:t>: 52-58</w:t>
      </w:r>
    </w:p>
    <w:p w14:paraId="30150508" w14:textId="77777777" w:rsidR="00A77B3E" w:rsidRPr="00BF53C4" w:rsidRDefault="007015BD">
      <w:pPr>
        <w:spacing w:line="360" w:lineRule="auto"/>
        <w:jc w:val="both"/>
      </w:pPr>
      <w:r w:rsidRPr="00BF53C4">
        <w:rPr>
          <w:rFonts w:ascii="Book Antiqua" w:eastAsia="Book Antiqua" w:hAnsi="Book Antiqua" w:cs="Book Antiqua"/>
          <w:color w:val="000000"/>
        </w:rPr>
        <w:t xml:space="preserve">9 </w:t>
      </w:r>
      <w:r w:rsidRPr="00BF53C4">
        <w:rPr>
          <w:rFonts w:ascii="Book Antiqua" w:eastAsia="Book Antiqua" w:hAnsi="Book Antiqua" w:cs="Book Antiqua"/>
          <w:b/>
          <w:bCs/>
          <w:color w:val="000000"/>
        </w:rPr>
        <w:t>Neuman MD</w:t>
      </w:r>
      <w:r w:rsidRPr="00BF53C4">
        <w:rPr>
          <w:rFonts w:ascii="Book Antiqua" w:eastAsia="Book Antiqua" w:hAnsi="Book Antiqua" w:cs="Book Antiqua"/>
          <w:color w:val="000000"/>
        </w:rPr>
        <w:t xml:space="preserve">, Silber JH, Elkassabany NM, Ludwig JM, Fleisher LA. Comparative effectiveness of regional </w:t>
      </w:r>
      <w:r w:rsidRPr="00BF53C4">
        <w:rPr>
          <w:rFonts w:ascii="Book Antiqua" w:eastAsia="Book Antiqua" w:hAnsi="Book Antiqua" w:cs="Book Antiqua"/>
          <w:i/>
          <w:iCs/>
          <w:color w:val="000000"/>
        </w:rPr>
        <w:t>vs</w:t>
      </w:r>
      <w:r w:rsidRPr="00BF53C4">
        <w:rPr>
          <w:rFonts w:ascii="Book Antiqua" w:eastAsia="Book Antiqua" w:hAnsi="Book Antiqua" w:cs="Book Antiqua"/>
          <w:color w:val="000000"/>
        </w:rPr>
        <w:t xml:space="preserve"> general anesthesia for hip fracture surgery in adults. </w:t>
      </w:r>
      <w:r w:rsidRPr="00BF53C4">
        <w:rPr>
          <w:rFonts w:ascii="Book Antiqua" w:eastAsia="Book Antiqua" w:hAnsi="Book Antiqua" w:cs="Book Antiqua"/>
          <w:i/>
          <w:iCs/>
          <w:color w:val="000000"/>
        </w:rPr>
        <w:t>Anesthesiology</w:t>
      </w:r>
      <w:r w:rsidRPr="00BF53C4">
        <w:rPr>
          <w:rFonts w:ascii="Book Antiqua" w:eastAsia="Book Antiqua" w:hAnsi="Book Antiqua" w:cs="Book Antiqua"/>
          <w:color w:val="000000"/>
        </w:rPr>
        <w:t xml:space="preserve"> 2012; </w:t>
      </w:r>
      <w:r w:rsidRPr="00BF53C4">
        <w:rPr>
          <w:rFonts w:ascii="Book Antiqua" w:eastAsia="Book Antiqua" w:hAnsi="Book Antiqua" w:cs="Book Antiqua"/>
          <w:b/>
          <w:bCs/>
          <w:color w:val="000000"/>
        </w:rPr>
        <w:t>117</w:t>
      </w:r>
      <w:r w:rsidRPr="00BF53C4">
        <w:rPr>
          <w:rFonts w:ascii="Book Antiqua" w:eastAsia="Book Antiqua" w:hAnsi="Book Antiqua" w:cs="Book Antiqua"/>
          <w:color w:val="000000"/>
        </w:rPr>
        <w:t>: 72-92 [PMID: 22713634 DOI: 10.1097/ALN.0b013e3182545e7c]</w:t>
      </w:r>
    </w:p>
    <w:p w14:paraId="316EE158"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10 </w:t>
      </w:r>
      <w:r w:rsidRPr="00BF53C4">
        <w:rPr>
          <w:rFonts w:ascii="Book Antiqua" w:eastAsia="Book Antiqua" w:hAnsi="Book Antiqua" w:cs="Book Antiqua"/>
          <w:b/>
          <w:bCs/>
          <w:color w:val="000000"/>
        </w:rPr>
        <w:t>Keorochana G</w:t>
      </w:r>
      <w:r w:rsidRPr="00BF53C4">
        <w:rPr>
          <w:rFonts w:ascii="Book Antiqua" w:eastAsia="Book Antiqua" w:hAnsi="Book Antiqua" w:cs="Book Antiqua"/>
          <w:color w:val="000000"/>
        </w:rPr>
        <w:t xml:space="preserve">, Taghavi CE, Tzeng ST, Morishita Y, Yoo JH, Lee KB, Liao JC, Wang JC. Magnetic resonance imaging grading of interspinous ligament degeneration of the lumbar spine and its relation to aging, spinal degeneration, and segmental motion. </w:t>
      </w:r>
      <w:r w:rsidRPr="00BF53C4">
        <w:rPr>
          <w:rFonts w:ascii="Book Antiqua" w:eastAsia="Book Antiqua" w:hAnsi="Book Antiqua" w:cs="Book Antiqua"/>
          <w:i/>
          <w:iCs/>
          <w:color w:val="000000"/>
        </w:rPr>
        <w:t>J Neurosurg Spine</w:t>
      </w:r>
      <w:r w:rsidRPr="00BF53C4">
        <w:rPr>
          <w:rFonts w:ascii="Book Antiqua" w:eastAsia="Book Antiqua" w:hAnsi="Book Antiqua" w:cs="Book Antiqua"/>
          <w:color w:val="000000"/>
        </w:rPr>
        <w:t xml:space="preserve"> 2010; </w:t>
      </w:r>
      <w:r w:rsidRPr="00BF53C4">
        <w:rPr>
          <w:rFonts w:ascii="Book Antiqua" w:eastAsia="Book Antiqua" w:hAnsi="Book Antiqua" w:cs="Book Antiqua"/>
          <w:b/>
          <w:bCs/>
          <w:color w:val="000000"/>
        </w:rPr>
        <w:t>13</w:t>
      </w:r>
      <w:r w:rsidRPr="00BF53C4">
        <w:rPr>
          <w:rFonts w:ascii="Book Antiqua" w:eastAsia="Book Antiqua" w:hAnsi="Book Antiqua" w:cs="Book Antiqua"/>
          <w:color w:val="000000"/>
        </w:rPr>
        <w:t>: 494-499 [PMID: 20887147 DOI: 10.3171/2010.4.SPINE09515]</w:t>
      </w:r>
    </w:p>
    <w:p w14:paraId="05C7B3DB" w14:textId="77C3FEF3" w:rsidR="00A77B3E" w:rsidRPr="00BF53C4" w:rsidRDefault="007015BD">
      <w:pPr>
        <w:spacing w:line="360" w:lineRule="auto"/>
        <w:jc w:val="both"/>
        <w:rPr>
          <w:lang w:eastAsia="zh-CN"/>
        </w:rPr>
      </w:pPr>
      <w:r w:rsidRPr="00BF53C4">
        <w:rPr>
          <w:rFonts w:ascii="Book Antiqua" w:eastAsia="Book Antiqua" w:hAnsi="Book Antiqua" w:cs="Book Antiqua"/>
          <w:color w:val="000000"/>
        </w:rPr>
        <w:t xml:space="preserve">11 </w:t>
      </w:r>
      <w:r w:rsidRPr="00BF53C4">
        <w:rPr>
          <w:rFonts w:ascii="Book Antiqua" w:eastAsia="Book Antiqua" w:hAnsi="Book Antiqua" w:cs="Book Antiqua"/>
          <w:b/>
          <w:bCs/>
          <w:color w:val="000000"/>
        </w:rPr>
        <w:t>Apan A</w:t>
      </w:r>
      <w:r w:rsidRPr="00BF53C4">
        <w:rPr>
          <w:rFonts w:ascii="Book Antiqua" w:eastAsia="Book Antiqua" w:hAnsi="Book Antiqua" w:cs="Book Antiqua"/>
          <w:color w:val="000000"/>
        </w:rPr>
        <w:t xml:space="preserve">, Apan </w:t>
      </w:r>
      <w:r w:rsidR="00BA5524" w:rsidRPr="00BF53C4">
        <w:rPr>
          <w:rFonts w:ascii="Book Antiqua" w:eastAsia="Book Antiqua" w:hAnsi="Book Antiqua" w:cs="Book Antiqua" w:hint="eastAsia"/>
          <w:color w:val="000000"/>
        </w:rPr>
        <w:t>Ö</w:t>
      </w:r>
      <w:r w:rsidR="00BA5524" w:rsidRPr="00BF53C4">
        <w:rPr>
          <w:rFonts w:ascii="Book Antiqua" w:eastAsia="Book Antiqua" w:hAnsi="Book Antiqua" w:cs="Book Antiqua"/>
          <w:color w:val="000000"/>
        </w:rPr>
        <w:t>C</w:t>
      </w:r>
      <w:r w:rsidRPr="00BF53C4">
        <w:rPr>
          <w:rFonts w:ascii="Book Antiqua" w:eastAsia="Book Antiqua" w:hAnsi="Book Antiqua" w:cs="Book Antiqua"/>
          <w:color w:val="000000"/>
        </w:rPr>
        <w:t>. Complications in Spinal Anaesthesia. London: IntechOpen</w:t>
      </w:r>
      <w:r w:rsidR="00BA5524" w:rsidRPr="00BF53C4">
        <w:rPr>
          <w:rFonts w:ascii="Book Antiqua" w:eastAsia="Book Antiqua" w:hAnsi="Book Antiqua" w:cs="Book Antiqua"/>
          <w:color w:val="000000"/>
        </w:rPr>
        <w:t>,</w:t>
      </w:r>
      <w:r w:rsidRPr="00BF53C4">
        <w:rPr>
          <w:rFonts w:ascii="Book Antiqua" w:eastAsia="Book Antiqua" w:hAnsi="Book Antiqua" w:cs="Book Antiqua"/>
          <w:color w:val="000000"/>
        </w:rPr>
        <w:t xml:space="preserve"> 2014</w:t>
      </w:r>
      <w:r w:rsidR="005E2967" w:rsidRPr="00BF53C4">
        <w:rPr>
          <w:rFonts w:ascii="Book Antiqua" w:hAnsi="Book Antiqua" w:cs="Book Antiqua" w:hint="eastAsia"/>
          <w:color w:val="000000"/>
          <w:lang w:eastAsia="zh-CN"/>
        </w:rPr>
        <w:t xml:space="preserve"> [DOI: </w:t>
      </w:r>
      <w:r w:rsidR="005E2967" w:rsidRPr="00BF53C4">
        <w:rPr>
          <w:rFonts w:ascii="Book Antiqua" w:hAnsi="Book Antiqua" w:cs="Book Antiqua"/>
          <w:color w:val="000000"/>
          <w:lang w:eastAsia="zh-CN"/>
        </w:rPr>
        <w:t>10.5772/58817</w:t>
      </w:r>
      <w:r w:rsidR="005E2967" w:rsidRPr="00BF53C4">
        <w:rPr>
          <w:rFonts w:ascii="Book Antiqua" w:hAnsi="Book Antiqua" w:cs="Book Antiqua" w:hint="eastAsia"/>
          <w:color w:val="000000"/>
          <w:lang w:eastAsia="zh-CN"/>
        </w:rPr>
        <w:t>]</w:t>
      </w:r>
    </w:p>
    <w:p w14:paraId="594B8597"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12 </w:t>
      </w:r>
      <w:r w:rsidRPr="00BF53C4">
        <w:rPr>
          <w:rFonts w:ascii="Book Antiqua" w:eastAsia="Book Antiqua" w:hAnsi="Book Antiqua" w:cs="Book Antiqua"/>
          <w:b/>
          <w:bCs/>
          <w:color w:val="000000"/>
        </w:rPr>
        <w:t>Parker MJ</w:t>
      </w:r>
      <w:r w:rsidRPr="00BF53C4">
        <w:rPr>
          <w:rFonts w:ascii="Book Antiqua" w:eastAsia="Book Antiqua" w:hAnsi="Book Antiqua" w:cs="Book Antiqua"/>
          <w:color w:val="000000"/>
        </w:rPr>
        <w:t xml:space="preserve">, Handoll HH, Griffiths R. Anaesthesia for hip fracture surgery in adults. </w:t>
      </w:r>
      <w:r w:rsidRPr="00BF53C4">
        <w:rPr>
          <w:rFonts w:ascii="Book Antiqua" w:eastAsia="Book Antiqua" w:hAnsi="Book Antiqua" w:cs="Book Antiqua"/>
          <w:i/>
          <w:iCs/>
          <w:color w:val="000000"/>
        </w:rPr>
        <w:t>Cochrane Database Syst Rev</w:t>
      </w:r>
      <w:r w:rsidRPr="00BF53C4">
        <w:rPr>
          <w:rFonts w:ascii="Book Antiqua" w:eastAsia="Book Antiqua" w:hAnsi="Book Antiqua" w:cs="Book Antiqua"/>
          <w:color w:val="000000"/>
        </w:rPr>
        <w:t xml:space="preserve"> 2004: CD000521 [PMID: 15494999 DOI: 10.1002/14651858.CD000521.pub2]</w:t>
      </w:r>
    </w:p>
    <w:p w14:paraId="4150D210"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13 </w:t>
      </w:r>
      <w:r w:rsidRPr="00BF53C4">
        <w:rPr>
          <w:rFonts w:ascii="Book Antiqua" w:eastAsia="Book Antiqua" w:hAnsi="Book Antiqua" w:cs="Book Antiqua"/>
          <w:b/>
          <w:bCs/>
          <w:color w:val="000000"/>
        </w:rPr>
        <w:t>Mei B</w:t>
      </w:r>
      <w:r w:rsidRPr="00BF53C4">
        <w:rPr>
          <w:rFonts w:ascii="Book Antiqua" w:eastAsia="Book Antiqua" w:hAnsi="Book Antiqua" w:cs="Book Antiqua"/>
          <w:color w:val="000000"/>
        </w:rPr>
        <w:t xml:space="preserve">, Zha H, Lu X, Cheng X, Chen S, Liu X, Li Y, Gu E. Peripheral Nerve Block as a Supplement to Light or Deep General Anesthesia in Elderly Patients Receiving Total Hip Arthroplasty: A Prospective Randomized Study. </w:t>
      </w:r>
      <w:r w:rsidRPr="00BF53C4">
        <w:rPr>
          <w:rFonts w:ascii="Book Antiqua" w:eastAsia="Book Antiqua" w:hAnsi="Book Antiqua" w:cs="Book Antiqua"/>
          <w:i/>
          <w:iCs/>
          <w:color w:val="000000"/>
        </w:rPr>
        <w:t>Clin J Pain</w:t>
      </w:r>
      <w:r w:rsidRPr="00BF53C4">
        <w:rPr>
          <w:rFonts w:ascii="Book Antiqua" w:eastAsia="Book Antiqua" w:hAnsi="Book Antiqua" w:cs="Book Antiqua"/>
          <w:color w:val="000000"/>
        </w:rPr>
        <w:t xml:space="preserve"> 2017; </w:t>
      </w:r>
      <w:r w:rsidRPr="00BF53C4">
        <w:rPr>
          <w:rFonts w:ascii="Book Antiqua" w:eastAsia="Book Antiqua" w:hAnsi="Book Antiqua" w:cs="Book Antiqua"/>
          <w:b/>
          <w:bCs/>
          <w:color w:val="000000"/>
        </w:rPr>
        <w:t>33</w:t>
      </w:r>
      <w:r w:rsidRPr="00BF53C4">
        <w:rPr>
          <w:rFonts w:ascii="Book Antiqua" w:eastAsia="Book Antiqua" w:hAnsi="Book Antiqua" w:cs="Book Antiqua"/>
          <w:color w:val="000000"/>
        </w:rPr>
        <w:t>: 1053-1059 [PMID: 28383293 DOI: 10.1097/AJP.0000000000000502]</w:t>
      </w:r>
    </w:p>
    <w:p w14:paraId="54979258"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14 </w:t>
      </w:r>
      <w:r w:rsidRPr="00BF53C4">
        <w:rPr>
          <w:rFonts w:ascii="Book Antiqua" w:eastAsia="Book Antiqua" w:hAnsi="Book Antiqua" w:cs="Book Antiqua"/>
          <w:b/>
          <w:bCs/>
          <w:color w:val="000000"/>
        </w:rPr>
        <w:t>Bullock WM</w:t>
      </w:r>
      <w:r w:rsidRPr="00BF53C4">
        <w:rPr>
          <w:rFonts w:ascii="Book Antiqua" w:eastAsia="Book Antiqua" w:hAnsi="Book Antiqua" w:cs="Book Antiqua"/>
          <w:color w:val="000000"/>
        </w:rPr>
        <w:t xml:space="preserve">, Yalamuri SM, Gregory SH, Auyong DB, Grant SA. Ultrasound-Guided Suprainguinal Fascia Iliaca Technique Provides Benefit as an Analgesic Adjunct for Patients Undergoing Total Hip Arthroplasty. </w:t>
      </w:r>
      <w:r w:rsidRPr="00BF53C4">
        <w:rPr>
          <w:rFonts w:ascii="Book Antiqua" w:eastAsia="Book Antiqua" w:hAnsi="Book Antiqua" w:cs="Book Antiqua"/>
          <w:i/>
          <w:iCs/>
          <w:color w:val="000000"/>
        </w:rPr>
        <w:t>J Ultrasound Med</w:t>
      </w:r>
      <w:r w:rsidRPr="00BF53C4">
        <w:rPr>
          <w:rFonts w:ascii="Book Antiqua" w:eastAsia="Book Antiqua" w:hAnsi="Book Antiqua" w:cs="Book Antiqua"/>
          <w:color w:val="000000"/>
        </w:rPr>
        <w:t xml:space="preserve"> 2017; </w:t>
      </w:r>
      <w:r w:rsidRPr="00BF53C4">
        <w:rPr>
          <w:rFonts w:ascii="Book Antiqua" w:eastAsia="Book Antiqua" w:hAnsi="Book Antiqua" w:cs="Book Antiqua"/>
          <w:b/>
          <w:bCs/>
          <w:color w:val="000000"/>
        </w:rPr>
        <w:t>36</w:t>
      </w:r>
      <w:r w:rsidRPr="00BF53C4">
        <w:rPr>
          <w:rFonts w:ascii="Book Antiqua" w:eastAsia="Book Antiqua" w:hAnsi="Book Antiqua" w:cs="Book Antiqua"/>
          <w:color w:val="000000"/>
        </w:rPr>
        <w:t>: 433-438 [PMID: 27943417 DOI: 10.7863/ultra.16.03012]</w:t>
      </w:r>
    </w:p>
    <w:p w14:paraId="55D60E56"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15 </w:t>
      </w:r>
      <w:r w:rsidRPr="00BF53C4">
        <w:rPr>
          <w:rFonts w:ascii="Book Antiqua" w:eastAsia="Book Antiqua" w:hAnsi="Book Antiqua" w:cs="Book Antiqua"/>
          <w:b/>
          <w:bCs/>
          <w:color w:val="000000"/>
        </w:rPr>
        <w:t>Liu SS</w:t>
      </w:r>
      <w:r w:rsidRPr="00BF53C4">
        <w:rPr>
          <w:rFonts w:ascii="Book Antiqua" w:eastAsia="Book Antiqua" w:hAnsi="Book Antiqua" w:cs="Book Antiqua"/>
          <w:color w:val="000000"/>
        </w:rPr>
        <w:t xml:space="preserve">, Ngeow JE, Yadeau JT. Ultrasound-guided regional anesthesia and analgesia: a qualitative systematic review. </w:t>
      </w:r>
      <w:r w:rsidRPr="00BF53C4">
        <w:rPr>
          <w:rFonts w:ascii="Book Antiqua" w:eastAsia="Book Antiqua" w:hAnsi="Book Antiqua" w:cs="Book Antiqua"/>
          <w:i/>
          <w:iCs/>
          <w:color w:val="000000"/>
        </w:rPr>
        <w:t>Reg Anesth Pain Med</w:t>
      </w:r>
      <w:r w:rsidRPr="00BF53C4">
        <w:rPr>
          <w:rFonts w:ascii="Book Antiqua" w:eastAsia="Book Antiqua" w:hAnsi="Book Antiqua" w:cs="Book Antiqua"/>
          <w:color w:val="000000"/>
        </w:rPr>
        <w:t xml:space="preserve"> 2009; </w:t>
      </w:r>
      <w:r w:rsidRPr="00BF53C4">
        <w:rPr>
          <w:rFonts w:ascii="Book Antiqua" w:eastAsia="Book Antiqua" w:hAnsi="Book Antiqua" w:cs="Book Antiqua"/>
          <w:b/>
          <w:bCs/>
          <w:color w:val="000000"/>
        </w:rPr>
        <w:t>34</w:t>
      </w:r>
      <w:r w:rsidRPr="00BF53C4">
        <w:rPr>
          <w:rFonts w:ascii="Book Antiqua" w:eastAsia="Book Antiqua" w:hAnsi="Book Antiqua" w:cs="Book Antiqua"/>
          <w:color w:val="000000"/>
        </w:rPr>
        <w:t>: 47-59 [PMID: 19258988 DOI: 10.1097/AAP.0b013e3181933ec3]</w:t>
      </w:r>
    </w:p>
    <w:p w14:paraId="0FF0E751" w14:textId="5D65BEA0" w:rsidR="00A77B3E" w:rsidRPr="00BF53C4" w:rsidRDefault="007015BD">
      <w:pPr>
        <w:spacing w:line="360" w:lineRule="auto"/>
        <w:jc w:val="both"/>
      </w:pPr>
      <w:r w:rsidRPr="00BF53C4">
        <w:rPr>
          <w:rFonts w:ascii="Book Antiqua" w:eastAsia="Book Antiqua" w:hAnsi="Book Antiqua" w:cs="Book Antiqua"/>
          <w:color w:val="000000"/>
        </w:rPr>
        <w:t xml:space="preserve">16 </w:t>
      </w:r>
      <w:r w:rsidRPr="00BF53C4">
        <w:rPr>
          <w:rFonts w:ascii="Book Antiqua" w:eastAsia="Book Antiqua" w:hAnsi="Book Antiqua" w:cs="Book Antiqua"/>
          <w:b/>
          <w:bCs/>
          <w:color w:val="000000"/>
        </w:rPr>
        <w:t>Dalens B</w:t>
      </w:r>
      <w:r w:rsidRPr="00BF53C4">
        <w:rPr>
          <w:rFonts w:ascii="Book Antiqua" w:eastAsia="Book Antiqua" w:hAnsi="Book Antiqua" w:cs="Book Antiqua"/>
          <w:color w:val="000000"/>
        </w:rPr>
        <w:t xml:space="preserve">, Vanneuville G, Tanguy A. Comparison of the fascia iliaca compartment block with the 3-in-1 block in children. </w:t>
      </w:r>
      <w:r w:rsidRPr="00BF53C4">
        <w:rPr>
          <w:rFonts w:ascii="Book Antiqua" w:eastAsia="Book Antiqua" w:hAnsi="Book Antiqua" w:cs="Book Antiqua"/>
          <w:i/>
          <w:iCs/>
          <w:color w:val="000000"/>
        </w:rPr>
        <w:t>Anesth Analg</w:t>
      </w:r>
      <w:r w:rsidRPr="00BF53C4">
        <w:rPr>
          <w:rFonts w:ascii="Book Antiqua" w:eastAsia="Book Antiqua" w:hAnsi="Book Antiqua" w:cs="Book Antiqua"/>
          <w:color w:val="000000"/>
        </w:rPr>
        <w:t xml:space="preserve"> 1989; </w:t>
      </w:r>
      <w:r w:rsidRPr="00BF53C4">
        <w:rPr>
          <w:rFonts w:ascii="Book Antiqua" w:eastAsia="Book Antiqua" w:hAnsi="Book Antiqua" w:cs="Book Antiqua"/>
          <w:b/>
          <w:bCs/>
          <w:color w:val="000000"/>
        </w:rPr>
        <w:t>69</w:t>
      </w:r>
      <w:r w:rsidRPr="00BF53C4">
        <w:rPr>
          <w:rFonts w:ascii="Book Antiqua" w:eastAsia="Book Antiqua" w:hAnsi="Book Antiqua" w:cs="Book Antiqua"/>
          <w:color w:val="000000"/>
        </w:rPr>
        <w:t>: 705-713 [PMID: 2589650</w:t>
      </w:r>
      <w:r w:rsidR="00136F73" w:rsidRPr="00BF53C4">
        <w:rPr>
          <w:rFonts w:ascii="Book Antiqua" w:hAnsi="Book Antiqua" w:cs="Book Antiqua" w:hint="eastAsia"/>
          <w:color w:val="000000"/>
          <w:lang w:eastAsia="zh-CN"/>
        </w:rPr>
        <w:t xml:space="preserve"> DOI: </w:t>
      </w:r>
      <w:r w:rsidR="00136F73" w:rsidRPr="00BF53C4">
        <w:rPr>
          <w:rFonts w:ascii="Book Antiqua" w:hAnsi="Book Antiqua" w:cs="Book Antiqua"/>
          <w:color w:val="000000"/>
          <w:lang w:eastAsia="zh-CN"/>
        </w:rPr>
        <w:t>10.1213/00000539-198912000-00003</w:t>
      </w:r>
      <w:r w:rsidRPr="00BF53C4">
        <w:rPr>
          <w:rFonts w:ascii="Book Antiqua" w:eastAsia="Book Antiqua" w:hAnsi="Book Antiqua" w:cs="Book Antiqua"/>
          <w:color w:val="000000"/>
        </w:rPr>
        <w:t>]</w:t>
      </w:r>
    </w:p>
    <w:p w14:paraId="27E6BB62"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17 </w:t>
      </w:r>
      <w:r w:rsidRPr="00BF53C4">
        <w:rPr>
          <w:rFonts w:ascii="Book Antiqua" w:eastAsia="Book Antiqua" w:hAnsi="Book Antiqua" w:cs="Book Antiqua"/>
          <w:b/>
          <w:bCs/>
          <w:color w:val="000000"/>
        </w:rPr>
        <w:t>Capdevila X</w:t>
      </w:r>
      <w:r w:rsidRPr="00BF53C4">
        <w:rPr>
          <w:rFonts w:ascii="Book Antiqua" w:eastAsia="Book Antiqua" w:hAnsi="Book Antiqua" w:cs="Book Antiqua"/>
          <w:color w:val="000000"/>
        </w:rPr>
        <w:t xml:space="preserve">, Biboulet P, Bouregba M, Barthelet Y, Rubenovitch J, d'Athis F. Comparison of the three-in-one and fascia iliaca compartment blocks in adults: clinical and radiographic analysis. </w:t>
      </w:r>
      <w:r w:rsidRPr="00BF53C4">
        <w:rPr>
          <w:rFonts w:ascii="Book Antiqua" w:eastAsia="Book Antiqua" w:hAnsi="Book Antiqua" w:cs="Book Antiqua"/>
          <w:i/>
          <w:iCs/>
          <w:color w:val="000000"/>
        </w:rPr>
        <w:t>Anesth Analg</w:t>
      </w:r>
      <w:r w:rsidRPr="00BF53C4">
        <w:rPr>
          <w:rFonts w:ascii="Book Antiqua" w:eastAsia="Book Antiqua" w:hAnsi="Book Antiqua" w:cs="Book Antiqua"/>
          <w:color w:val="000000"/>
        </w:rPr>
        <w:t xml:space="preserve"> 1998; </w:t>
      </w:r>
      <w:r w:rsidRPr="00BF53C4">
        <w:rPr>
          <w:rFonts w:ascii="Book Antiqua" w:eastAsia="Book Antiqua" w:hAnsi="Book Antiqua" w:cs="Book Antiqua"/>
          <w:b/>
          <w:bCs/>
          <w:color w:val="000000"/>
        </w:rPr>
        <w:t>86</w:t>
      </w:r>
      <w:r w:rsidRPr="00BF53C4">
        <w:rPr>
          <w:rFonts w:ascii="Book Antiqua" w:eastAsia="Book Antiqua" w:hAnsi="Book Antiqua" w:cs="Book Antiqua"/>
          <w:color w:val="000000"/>
        </w:rPr>
        <w:t>: 1039-1044 [PMID: 9585293 DOI: 10.1097/00000539-199805000-00025]</w:t>
      </w:r>
    </w:p>
    <w:p w14:paraId="59AF77D7"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18 </w:t>
      </w:r>
      <w:r w:rsidRPr="00BF53C4">
        <w:rPr>
          <w:rFonts w:ascii="Book Antiqua" w:eastAsia="Book Antiqua" w:hAnsi="Book Antiqua" w:cs="Book Antiqua"/>
          <w:b/>
          <w:bCs/>
          <w:color w:val="000000"/>
        </w:rPr>
        <w:t>Desmet M</w:t>
      </w:r>
      <w:r w:rsidRPr="00BF53C4">
        <w:rPr>
          <w:rFonts w:ascii="Book Antiqua" w:eastAsia="Book Antiqua" w:hAnsi="Book Antiqua" w:cs="Book Antiqua"/>
          <w:color w:val="000000"/>
        </w:rPr>
        <w:t xml:space="preserve">, Vermeylen K, Van Herreweghe I, Carlier L, Soetens F, Lambrecht S, Croes K, Pottel H, Van de Velde M. A Longitudinal Supra-Inguinal Fascia Iliaca Compartment Block Reduces Morphine Consumption After Total Hip Arthroplasty. </w:t>
      </w:r>
      <w:r w:rsidRPr="00BF53C4">
        <w:rPr>
          <w:rFonts w:ascii="Book Antiqua" w:eastAsia="Book Antiqua" w:hAnsi="Book Antiqua" w:cs="Book Antiqua"/>
          <w:i/>
          <w:iCs/>
          <w:color w:val="000000"/>
        </w:rPr>
        <w:t>Reg Anesth Pain Med</w:t>
      </w:r>
      <w:r w:rsidRPr="00BF53C4">
        <w:rPr>
          <w:rFonts w:ascii="Book Antiqua" w:eastAsia="Book Antiqua" w:hAnsi="Book Antiqua" w:cs="Book Antiqua"/>
          <w:color w:val="000000"/>
        </w:rPr>
        <w:t xml:space="preserve"> 2017; </w:t>
      </w:r>
      <w:r w:rsidRPr="00BF53C4">
        <w:rPr>
          <w:rFonts w:ascii="Book Antiqua" w:eastAsia="Book Antiqua" w:hAnsi="Book Antiqua" w:cs="Book Antiqua"/>
          <w:b/>
          <w:bCs/>
          <w:color w:val="000000"/>
        </w:rPr>
        <w:t>42</w:t>
      </w:r>
      <w:r w:rsidRPr="00BF53C4">
        <w:rPr>
          <w:rFonts w:ascii="Book Antiqua" w:eastAsia="Book Antiqua" w:hAnsi="Book Antiqua" w:cs="Book Antiqua"/>
          <w:color w:val="000000"/>
        </w:rPr>
        <w:t>: 327-333 [PMID: 28059869 DOI: 10.1097/AAP.0000000000000543]</w:t>
      </w:r>
    </w:p>
    <w:p w14:paraId="3B9559C2" w14:textId="77777777" w:rsidR="00A77B3E" w:rsidRPr="00BF53C4" w:rsidRDefault="007015BD">
      <w:pPr>
        <w:spacing w:line="360" w:lineRule="auto"/>
        <w:jc w:val="both"/>
      </w:pPr>
      <w:r w:rsidRPr="00BF53C4">
        <w:rPr>
          <w:rFonts w:ascii="Book Antiqua" w:eastAsia="Book Antiqua" w:hAnsi="Book Antiqua" w:cs="Book Antiqua"/>
          <w:color w:val="000000"/>
        </w:rPr>
        <w:t xml:space="preserve">19 </w:t>
      </w:r>
      <w:r w:rsidRPr="00BF53C4">
        <w:rPr>
          <w:rFonts w:ascii="Book Antiqua" w:eastAsia="Book Antiqua" w:hAnsi="Book Antiqua" w:cs="Book Antiqua"/>
          <w:b/>
          <w:bCs/>
          <w:color w:val="000000"/>
        </w:rPr>
        <w:t>Foss NB</w:t>
      </w:r>
      <w:r w:rsidRPr="00BF53C4">
        <w:rPr>
          <w:rFonts w:ascii="Book Antiqua" w:eastAsia="Book Antiqua" w:hAnsi="Book Antiqua" w:cs="Book Antiqua"/>
          <w:color w:val="000000"/>
        </w:rPr>
        <w:t xml:space="preserve">, Kristensen BB, Bundgaard M, Bak M, Heiring C, Virkelyst C, Hougaard S, Kehlet H. Fascia iliaca compartment blockade for acute pain control in hip fracture patients: a randomized, placebo-controlled trial. </w:t>
      </w:r>
      <w:r w:rsidRPr="00BF53C4">
        <w:rPr>
          <w:rFonts w:ascii="Book Antiqua" w:eastAsia="Book Antiqua" w:hAnsi="Book Antiqua" w:cs="Book Antiqua"/>
          <w:i/>
          <w:iCs/>
          <w:color w:val="000000"/>
        </w:rPr>
        <w:t>Anesthesiology</w:t>
      </w:r>
      <w:r w:rsidRPr="00BF53C4">
        <w:rPr>
          <w:rFonts w:ascii="Book Antiqua" w:eastAsia="Book Antiqua" w:hAnsi="Book Antiqua" w:cs="Book Antiqua"/>
          <w:color w:val="000000"/>
        </w:rPr>
        <w:t xml:space="preserve"> 2007; </w:t>
      </w:r>
      <w:r w:rsidRPr="00BF53C4">
        <w:rPr>
          <w:rFonts w:ascii="Book Antiqua" w:eastAsia="Book Antiqua" w:hAnsi="Book Antiqua" w:cs="Book Antiqua"/>
          <w:b/>
          <w:bCs/>
          <w:color w:val="000000"/>
        </w:rPr>
        <w:t>106</w:t>
      </w:r>
      <w:r w:rsidRPr="00BF53C4">
        <w:rPr>
          <w:rFonts w:ascii="Book Antiqua" w:eastAsia="Book Antiqua" w:hAnsi="Book Antiqua" w:cs="Book Antiqua"/>
          <w:color w:val="000000"/>
        </w:rPr>
        <w:t>: 773-778 [PMID: 17413915 DOI: 10.1097/01.anes.0000264764.56544.d2]</w:t>
      </w:r>
    </w:p>
    <w:p w14:paraId="6BA13B78" w14:textId="77777777" w:rsidR="00A77B3E" w:rsidRPr="00BF53C4" w:rsidRDefault="007015BD">
      <w:pPr>
        <w:spacing w:line="360" w:lineRule="auto"/>
        <w:jc w:val="both"/>
      </w:pPr>
      <w:r w:rsidRPr="00BF53C4">
        <w:rPr>
          <w:rFonts w:ascii="Book Antiqua" w:eastAsia="Book Antiqua" w:hAnsi="Book Antiqua" w:cs="Book Antiqua"/>
          <w:color w:val="000000"/>
        </w:rPr>
        <w:t xml:space="preserve">20 </w:t>
      </w:r>
      <w:r w:rsidRPr="00BF53C4">
        <w:rPr>
          <w:rFonts w:ascii="Book Antiqua" w:eastAsia="Book Antiqua" w:hAnsi="Book Antiqua" w:cs="Book Antiqua"/>
          <w:b/>
          <w:bCs/>
          <w:color w:val="000000"/>
        </w:rPr>
        <w:t>Hebbard P</w:t>
      </w:r>
      <w:r w:rsidRPr="00BF53C4">
        <w:rPr>
          <w:rFonts w:ascii="Book Antiqua" w:eastAsia="Book Antiqua" w:hAnsi="Book Antiqua" w:cs="Book Antiqua"/>
          <w:color w:val="000000"/>
        </w:rPr>
        <w:t xml:space="preserve">, Ivanusic J, Sha S. Ultrasound-guided supra-inguinal fascia iliaca block: a cadaveric evaluation of a novel approach. </w:t>
      </w:r>
      <w:r w:rsidRPr="00BF53C4">
        <w:rPr>
          <w:rFonts w:ascii="Book Antiqua" w:eastAsia="Book Antiqua" w:hAnsi="Book Antiqua" w:cs="Book Antiqua"/>
          <w:i/>
          <w:iCs/>
          <w:color w:val="000000"/>
        </w:rPr>
        <w:t>Anaesthesia</w:t>
      </w:r>
      <w:r w:rsidRPr="00BF53C4">
        <w:rPr>
          <w:rFonts w:ascii="Book Antiqua" w:eastAsia="Book Antiqua" w:hAnsi="Book Antiqua" w:cs="Book Antiqua"/>
          <w:color w:val="000000"/>
        </w:rPr>
        <w:t xml:space="preserve"> 2011; </w:t>
      </w:r>
      <w:r w:rsidRPr="00BF53C4">
        <w:rPr>
          <w:rFonts w:ascii="Book Antiqua" w:eastAsia="Book Antiqua" w:hAnsi="Book Antiqua" w:cs="Book Antiqua"/>
          <w:b/>
          <w:bCs/>
          <w:color w:val="000000"/>
        </w:rPr>
        <w:t>66</w:t>
      </w:r>
      <w:r w:rsidRPr="00BF53C4">
        <w:rPr>
          <w:rFonts w:ascii="Book Antiqua" w:eastAsia="Book Antiqua" w:hAnsi="Book Antiqua" w:cs="Book Antiqua"/>
          <w:color w:val="000000"/>
        </w:rPr>
        <w:t>: 300-305 [PMID: 21401544 DOI: 10.1111/j.1365-2044.2011.06628.x]</w:t>
      </w:r>
    </w:p>
    <w:p w14:paraId="23735C30" w14:textId="77777777" w:rsidR="00A77B3E" w:rsidRPr="00BF53C4" w:rsidRDefault="007015BD">
      <w:pPr>
        <w:spacing w:line="360" w:lineRule="auto"/>
        <w:jc w:val="both"/>
      </w:pPr>
      <w:r w:rsidRPr="00BF53C4">
        <w:rPr>
          <w:rFonts w:ascii="Book Antiqua" w:eastAsia="Book Antiqua" w:hAnsi="Book Antiqua" w:cs="Book Antiqua"/>
          <w:color w:val="000000"/>
        </w:rPr>
        <w:t xml:space="preserve">21 </w:t>
      </w:r>
      <w:r w:rsidRPr="00BF53C4">
        <w:rPr>
          <w:rFonts w:ascii="Book Antiqua" w:eastAsia="Book Antiqua" w:hAnsi="Book Antiqua" w:cs="Book Antiqua"/>
          <w:b/>
          <w:bCs/>
          <w:color w:val="000000"/>
        </w:rPr>
        <w:t>Kumar K</w:t>
      </w:r>
      <w:r w:rsidRPr="00BF53C4">
        <w:rPr>
          <w:rFonts w:ascii="Book Antiqua" w:eastAsia="Book Antiqua" w:hAnsi="Book Antiqua" w:cs="Book Antiqua"/>
          <w:color w:val="000000"/>
        </w:rPr>
        <w:t xml:space="preserve">, Pandey RK, Bhalla AP, Kashyap L, Garg R, Darlong V, Malhotra R, Yadav CS. Comparison of conventional infrainguinal </w:t>
      </w:r>
      <w:r w:rsidRPr="00BF53C4">
        <w:rPr>
          <w:rFonts w:ascii="Book Antiqua" w:eastAsia="Book Antiqua" w:hAnsi="Book Antiqua" w:cs="Book Antiqua"/>
          <w:i/>
          <w:iCs/>
          <w:color w:val="000000"/>
        </w:rPr>
        <w:t>vs</w:t>
      </w:r>
      <w:r w:rsidRPr="00BF53C4">
        <w:rPr>
          <w:rFonts w:ascii="Book Antiqua" w:eastAsia="Book Antiqua" w:hAnsi="Book Antiqua" w:cs="Book Antiqua"/>
          <w:color w:val="000000"/>
        </w:rPr>
        <w:t xml:space="preserve"> modified proximal suprainguinal approach of Fascia Iliaca Compartment Block for postoperative analgesia in Total Hip Arthroplasty. A prospective randomized study. </w:t>
      </w:r>
      <w:r w:rsidRPr="00BF53C4">
        <w:rPr>
          <w:rFonts w:ascii="Book Antiqua" w:eastAsia="Book Antiqua" w:hAnsi="Book Antiqua" w:cs="Book Antiqua"/>
          <w:i/>
          <w:iCs/>
          <w:color w:val="000000"/>
        </w:rPr>
        <w:t>Acta Anaesthesiol Belg</w:t>
      </w:r>
      <w:r w:rsidRPr="00BF53C4">
        <w:rPr>
          <w:rFonts w:ascii="Book Antiqua" w:eastAsia="Book Antiqua" w:hAnsi="Book Antiqua" w:cs="Book Antiqua"/>
          <w:color w:val="000000"/>
        </w:rPr>
        <w:t xml:space="preserve"> 2015; </w:t>
      </w:r>
      <w:r w:rsidRPr="00BF53C4">
        <w:rPr>
          <w:rFonts w:ascii="Book Antiqua" w:eastAsia="Book Antiqua" w:hAnsi="Book Antiqua" w:cs="Book Antiqua"/>
          <w:b/>
          <w:bCs/>
          <w:color w:val="000000"/>
        </w:rPr>
        <w:t>66</w:t>
      </w:r>
      <w:r w:rsidRPr="00BF53C4">
        <w:rPr>
          <w:rFonts w:ascii="Book Antiqua" w:eastAsia="Book Antiqua" w:hAnsi="Book Antiqua" w:cs="Book Antiqua"/>
          <w:color w:val="000000"/>
        </w:rPr>
        <w:t>: 95-100 [PMID: 26767235]</w:t>
      </w:r>
    </w:p>
    <w:p w14:paraId="1BA45F01" w14:textId="30ECAC9F" w:rsidR="00A77B3E" w:rsidRPr="00BF53C4" w:rsidRDefault="007015BD">
      <w:pPr>
        <w:spacing w:line="360" w:lineRule="auto"/>
        <w:jc w:val="both"/>
      </w:pPr>
      <w:r w:rsidRPr="00BF53C4">
        <w:rPr>
          <w:rFonts w:ascii="Book Antiqua" w:eastAsia="Book Antiqua" w:hAnsi="Book Antiqua" w:cs="Book Antiqua"/>
          <w:color w:val="000000"/>
        </w:rPr>
        <w:t xml:space="preserve">22 </w:t>
      </w:r>
      <w:r w:rsidRPr="00BF53C4">
        <w:rPr>
          <w:rFonts w:ascii="Book Antiqua" w:eastAsia="Book Antiqua" w:hAnsi="Book Antiqua" w:cs="Book Antiqua"/>
          <w:b/>
          <w:bCs/>
          <w:color w:val="000000"/>
        </w:rPr>
        <w:t>Martins RS</w:t>
      </w:r>
      <w:r w:rsidRPr="00BF53C4">
        <w:rPr>
          <w:rFonts w:ascii="Book Antiqua" w:eastAsia="Book Antiqua" w:hAnsi="Book Antiqua" w:cs="Book Antiqua"/>
          <w:color w:val="000000"/>
        </w:rPr>
        <w:t>, Siqueira</w:t>
      </w:r>
      <w:r w:rsidR="00BA5524" w:rsidRPr="00BF53C4">
        <w:rPr>
          <w:rFonts w:ascii="Book Antiqua" w:eastAsia="Book Antiqua" w:hAnsi="Book Antiqua" w:cs="Book Antiqua"/>
          <w:color w:val="000000"/>
        </w:rPr>
        <w:t xml:space="preserve"> MG</w:t>
      </w:r>
      <w:r w:rsidRPr="00BF53C4">
        <w:rPr>
          <w:rFonts w:ascii="Book Antiqua" w:eastAsia="Book Antiqua" w:hAnsi="Book Antiqua" w:cs="Book Antiqua"/>
          <w:color w:val="000000"/>
        </w:rPr>
        <w:t xml:space="preserve">, Silva FC Jr, Heise CO, Teixeira MJ. A practical approach to the lateral cutaneous nerve of the thigh: an anatomical study. </w:t>
      </w:r>
      <w:r w:rsidRPr="00BF53C4">
        <w:rPr>
          <w:rFonts w:ascii="Book Antiqua" w:eastAsia="Book Antiqua" w:hAnsi="Book Antiqua" w:cs="Book Antiqua"/>
          <w:i/>
          <w:iCs/>
          <w:color w:val="000000"/>
        </w:rPr>
        <w:t>Clin Neurol Neurosurg</w:t>
      </w:r>
      <w:r w:rsidRPr="00BF53C4">
        <w:rPr>
          <w:rFonts w:ascii="Book Antiqua" w:eastAsia="Book Antiqua" w:hAnsi="Book Antiqua" w:cs="Book Antiqua"/>
          <w:color w:val="000000"/>
        </w:rPr>
        <w:t xml:space="preserve"> 2011; </w:t>
      </w:r>
      <w:r w:rsidRPr="00BF53C4">
        <w:rPr>
          <w:rFonts w:ascii="Book Antiqua" w:eastAsia="Book Antiqua" w:hAnsi="Book Antiqua" w:cs="Book Antiqua"/>
          <w:b/>
          <w:bCs/>
          <w:color w:val="000000"/>
        </w:rPr>
        <w:t>113</w:t>
      </w:r>
      <w:r w:rsidRPr="00BF53C4">
        <w:rPr>
          <w:rFonts w:ascii="Book Antiqua" w:eastAsia="Book Antiqua" w:hAnsi="Book Antiqua" w:cs="Book Antiqua"/>
          <w:color w:val="000000"/>
        </w:rPr>
        <w:t>: 868-871 [PMID: 21764509 DOI: 10.1016/j.clineuro.2011.06.005]</w:t>
      </w:r>
    </w:p>
    <w:p w14:paraId="0BDD5A5F" w14:textId="77777777" w:rsidR="00A77B3E" w:rsidRPr="00BF53C4" w:rsidRDefault="007015BD">
      <w:pPr>
        <w:spacing w:line="360" w:lineRule="auto"/>
        <w:jc w:val="both"/>
      </w:pPr>
      <w:r w:rsidRPr="00BF53C4">
        <w:rPr>
          <w:rFonts w:ascii="Book Antiqua" w:eastAsia="Book Antiqua" w:hAnsi="Book Antiqua" w:cs="Book Antiqua"/>
          <w:color w:val="000000"/>
        </w:rPr>
        <w:t xml:space="preserve">23 </w:t>
      </w:r>
      <w:r w:rsidRPr="00BF53C4">
        <w:rPr>
          <w:rFonts w:ascii="Book Antiqua" w:eastAsia="Book Antiqua" w:hAnsi="Book Antiqua" w:cs="Book Antiqua"/>
          <w:b/>
          <w:bCs/>
          <w:color w:val="000000"/>
        </w:rPr>
        <w:t>Swenson JD</w:t>
      </w:r>
      <w:r w:rsidRPr="00BF53C4">
        <w:rPr>
          <w:rFonts w:ascii="Book Antiqua" w:eastAsia="Book Antiqua" w:hAnsi="Book Antiqua" w:cs="Book Antiqua"/>
          <w:color w:val="000000"/>
        </w:rPr>
        <w:t xml:space="preserve">, Davis JJ, Stream JO, Crim JR, Burks RT, Greis PE. Local anesthetic injection deep to the fascia iliaca at the level of the inguinal ligament: the pattern of distribution and effects on the obturator nerve. </w:t>
      </w:r>
      <w:r w:rsidRPr="00BF53C4">
        <w:rPr>
          <w:rFonts w:ascii="Book Antiqua" w:eastAsia="Book Antiqua" w:hAnsi="Book Antiqua" w:cs="Book Antiqua"/>
          <w:i/>
          <w:iCs/>
          <w:color w:val="000000"/>
        </w:rPr>
        <w:t>J Clin Anesth</w:t>
      </w:r>
      <w:r w:rsidRPr="00BF53C4">
        <w:rPr>
          <w:rFonts w:ascii="Book Antiqua" w:eastAsia="Book Antiqua" w:hAnsi="Book Antiqua" w:cs="Book Antiqua"/>
          <w:color w:val="000000"/>
        </w:rPr>
        <w:t xml:space="preserve"> 2015; </w:t>
      </w:r>
      <w:r w:rsidRPr="00BF53C4">
        <w:rPr>
          <w:rFonts w:ascii="Book Antiqua" w:eastAsia="Book Antiqua" w:hAnsi="Book Antiqua" w:cs="Book Antiqua"/>
          <w:b/>
          <w:bCs/>
          <w:color w:val="000000"/>
        </w:rPr>
        <w:t>27</w:t>
      </w:r>
      <w:r w:rsidRPr="00BF53C4">
        <w:rPr>
          <w:rFonts w:ascii="Book Antiqua" w:eastAsia="Book Antiqua" w:hAnsi="Book Antiqua" w:cs="Book Antiqua"/>
          <w:color w:val="000000"/>
        </w:rPr>
        <w:t>: 652-657 [PMID: 26277873 DOI: 10.1016/j.jclinane.2015.07.001]</w:t>
      </w:r>
    </w:p>
    <w:p w14:paraId="45E09A0C" w14:textId="77777777" w:rsidR="00A77B3E" w:rsidRPr="00BF53C4" w:rsidRDefault="007015BD">
      <w:pPr>
        <w:spacing w:line="360" w:lineRule="auto"/>
        <w:jc w:val="both"/>
      </w:pPr>
      <w:r w:rsidRPr="00BF53C4">
        <w:rPr>
          <w:rFonts w:ascii="Book Antiqua" w:eastAsia="Book Antiqua" w:hAnsi="Book Antiqua" w:cs="Book Antiqua"/>
          <w:color w:val="000000"/>
        </w:rPr>
        <w:t xml:space="preserve">24 </w:t>
      </w:r>
      <w:r w:rsidRPr="00BF53C4">
        <w:rPr>
          <w:rFonts w:ascii="Book Antiqua" w:eastAsia="Book Antiqua" w:hAnsi="Book Antiqua" w:cs="Book Antiqua"/>
          <w:b/>
          <w:bCs/>
          <w:color w:val="000000"/>
        </w:rPr>
        <w:t>Aszmann OC</w:t>
      </w:r>
      <w:r w:rsidRPr="00BF53C4">
        <w:rPr>
          <w:rFonts w:ascii="Book Antiqua" w:eastAsia="Book Antiqua" w:hAnsi="Book Antiqua" w:cs="Book Antiqua"/>
          <w:color w:val="000000"/>
        </w:rPr>
        <w:t xml:space="preserve">, Dellon ES, Dellon AL. Anatomical course of the lateral femoral cutaneous nerve and its susceptibility to compression and injury. </w:t>
      </w:r>
      <w:r w:rsidRPr="00BF53C4">
        <w:rPr>
          <w:rFonts w:ascii="Book Antiqua" w:eastAsia="Book Antiqua" w:hAnsi="Book Antiqua" w:cs="Book Antiqua"/>
          <w:i/>
          <w:iCs/>
          <w:color w:val="000000"/>
        </w:rPr>
        <w:t>Plast Reconstr Surg</w:t>
      </w:r>
      <w:r w:rsidRPr="00BF53C4">
        <w:rPr>
          <w:rFonts w:ascii="Book Antiqua" w:eastAsia="Book Antiqua" w:hAnsi="Book Antiqua" w:cs="Book Antiqua"/>
          <w:color w:val="000000"/>
        </w:rPr>
        <w:t xml:space="preserve"> 1997; </w:t>
      </w:r>
      <w:r w:rsidRPr="00BF53C4">
        <w:rPr>
          <w:rFonts w:ascii="Book Antiqua" w:eastAsia="Book Antiqua" w:hAnsi="Book Antiqua" w:cs="Book Antiqua"/>
          <w:b/>
          <w:bCs/>
          <w:color w:val="000000"/>
        </w:rPr>
        <w:t>100</w:t>
      </w:r>
      <w:r w:rsidRPr="00BF53C4">
        <w:rPr>
          <w:rFonts w:ascii="Book Antiqua" w:eastAsia="Book Antiqua" w:hAnsi="Book Antiqua" w:cs="Book Antiqua"/>
          <w:color w:val="000000"/>
        </w:rPr>
        <w:t>: 600-604 [PMID: 9283556 DOI: 10.1097/00006534-199709000-00008]</w:t>
      </w:r>
    </w:p>
    <w:p w14:paraId="5482864A" w14:textId="77777777" w:rsidR="00A77B3E" w:rsidRPr="00BF53C4" w:rsidRDefault="007015BD">
      <w:pPr>
        <w:spacing w:line="360" w:lineRule="auto"/>
        <w:jc w:val="both"/>
      </w:pPr>
      <w:r w:rsidRPr="00BF53C4">
        <w:rPr>
          <w:rFonts w:ascii="Book Antiqua" w:eastAsia="Book Antiqua" w:hAnsi="Book Antiqua" w:cs="Book Antiqua"/>
          <w:color w:val="000000"/>
        </w:rPr>
        <w:t xml:space="preserve">25 </w:t>
      </w:r>
      <w:r w:rsidRPr="00BF53C4">
        <w:rPr>
          <w:rFonts w:ascii="Book Antiqua" w:eastAsia="Book Antiqua" w:hAnsi="Book Antiqua" w:cs="Book Antiqua"/>
          <w:b/>
          <w:bCs/>
          <w:color w:val="000000"/>
        </w:rPr>
        <w:t>Benezis I</w:t>
      </w:r>
      <w:r w:rsidRPr="00BF53C4">
        <w:rPr>
          <w:rFonts w:ascii="Book Antiqua" w:eastAsia="Book Antiqua" w:hAnsi="Book Antiqua" w:cs="Book Antiqua"/>
          <w:color w:val="000000"/>
        </w:rPr>
        <w:t xml:space="preserve">, Boutaud B, Leclerc J, Fabre T, Durandeau A. Lateral femoral cutaneous neuropathy and its surgical treatment: a report of 167 cases. </w:t>
      </w:r>
      <w:r w:rsidRPr="00BF53C4">
        <w:rPr>
          <w:rFonts w:ascii="Book Antiqua" w:eastAsia="Book Antiqua" w:hAnsi="Book Antiqua" w:cs="Book Antiqua"/>
          <w:i/>
          <w:iCs/>
          <w:color w:val="000000"/>
        </w:rPr>
        <w:t>Muscle Nerve</w:t>
      </w:r>
      <w:r w:rsidRPr="00BF53C4">
        <w:rPr>
          <w:rFonts w:ascii="Book Antiqua" w:eastAsia="Book Antiqua" w:hAnsi="Book Antiqua" w:cs="Book Antiqua"/>
          <w:color w:val="000000"/>
        </w:rPr>
        <w:t xml:space="preserve"> 2007; </w:t>
      </w:r>
      <w:r w:rsidRPr="00BF53C4">
        <w:rPr>
          <w:rFonts w:ascii="Book Antiqua" w:eastAsia="Book Antiqua" w:hAnsi="Book Antiqua" w:cs="Book Antiqua"/>
          <w:b/>
          <w:bCs/>
          <w:color w:val="000000"/>
        </w:rPr>
        <w:t>36</w:t>
      </w:r>
      <w:r w:rsidRPr="00BF53C4">
        <w:rPr>
          <w:rFonts w:ascii="Book Antiqua" w:eastAsia="Book Antiqua" w:hAnsi="Book Antiqua" w:cs="Book Antiqua"/>
          <w:color w:val="000000"/>
        </w:rPr>
        <w:t>: 659-663 [PMID: 17657804 DOI: 10.1002/mus.20868]</w:t>
      </w:r>
    </w:p>
    <w:p w14:paraId="2E66AD1C" w14:textId="77777777" w:rsidR="00A77B3E" w:rsidRPr="00BF53C4" w:rsidRDefault="007015BD">
      <w:pPr>
        <w:spacing w:line="360" w:lineRule="auto"/>
        <w:jc w:val="both"/>
      </w:pPr>
      <w:r w:rsidRPr="00BF53C4">
        <w:rPr>
          <w:rFonts w:ascii="Book Antiqua" w:eastAsia="Book Antiqua" w:hAnsi="Book Antiqua" w:cs="Book Antiqua"/>
          <w:color w:val="000000"/>
        </w:rPr>
        <w:t xml:space="preserve">26 </w:t>
      </w:r>
      <w:r w:rsidRPr="00BF53C4">
        <w:rPr>
          <w:rFonts w:ascii="Book Antiqua" w:eastAsia="Book Antiqua" w:hAnsi="Book Antiqua" w:cs="Book Antiqua"/>
          <w:b/>
          <w:bCs/>
          <w:color w:val="000000"/>
        </w:rPr>
        <w:t>Shteynberg A</w:t>
      </w:r>
      <w:r w:rsidRPr="00BF53C4">
        <w:rPr>
          <w:rFonts w:ascii="Book Antiqua" w:eastAsia="Book Antiqua" w:hAnsi="Book Antiqua" w:cs="Book Antiqua"/>
          <w:color w:val="000000"/>
        </w:rPr>
        <w:t xml:space="preserve">, Riina LH, Glickman LT, Meringolo JN, Simpson RL. Ultrasound guided lateral femoral cutaneous nerve (LFCN) block: safe and simple anesthesia for harvesting skin grafts. </w:t>
      </w:r>
      <w:r w:rsidRPr="00BF53C4">
        <w:rPr>
          <w:rFonts w:ascii="Book Antiqua" w:eastAsia="Book Antiqua" w:hAnsi="Book Antiqua" w:cs="Book Antiqua"/>
          <w:i/>
          <w:iCs/>
          <w:color w:val="000000"/>
        </w:rPr>
        <w:t>Burns</w:t>
      </w:r>
      <w:r w:rsidRPr="00BF53C4">
        <w:rPr>
          <w:rFonts w:ascii="Book Antiqua" w:eastAsia="Book Antiqua" w:hAnsi="Book Antiqua" w:cs="Book Antiqua"/>
          <w:color w:val="000000"/>
        </w:rPr>
        <w:t xml:space="preserve"> 2013; </w:t>
      </w:r>
      <w:r w:rsidRPr="00BF53C4">
        <w:rPr>
          <w:rFonts w:ascii="Book Antiqua" w:eastAsia="Book Antiqua" w:hAnsi="Book Antiqua" w:cs="Book Antiqua"/>
          <w:b/>
          <w:bCs/>
          <w:color w:val="000000"/>
        </w:rPr>
        <w:t>39</w:t>
      </w:r>
      <w:r w:rsidRPr="00BF53C4">
        <w:rPr>
          <w:rFonts w:ascii="Book Antiqua" w:eastAsia="Book Antiqua" w:hAnsi="Book Antiqua" w:cs="Book Antiqua"/>
          <w:color w:val="000000"/>
        </w:rPr>
        <w:t>: 146-149 [PMID: 22657583 DOI: 10.1016/j.burns.2012.02.015]</w:t>
      </w:r>
    </w:p>
    <w:p w14:paraId="340BD80D" w14:textId="77777777" w:rsidR="00A77B3E" w:rsidRPr="00BF53C4" w:rsidRDefault="00A77B3E">
      <w:pPr>
        <w:spacing w:line="360" w:lineRule="auto"/>
        <w:jc w:val="both"/>
        <w:sectPr w:rsidR="00A77B3E" w:rsidRPr="00BF53C4">
          <w:pgSz w:w="12240" w:h="15840"/>
          <w:pgMar w:top="1440" w:right="1440" w:bottom="1440" w:left="1440" w:header="720" w:footer="720" w:gutter="0"/>
          <w:cols w:space="720"/>
          <w:docGrid w:linePitch="360"/>
        </w:sectPr>
      </w:pPr>
    </w:p>
    <w:p w14:paraId="456C2C23" w14:textId="77777777" w:rsidR="00A77B3E" w:rsidRPr="00BF53C4" w:rsidRDefault="007015BD">
      <w:pPr>
        <w:spacing w:line="360" w:lineRule="auto"/>
        <w:jc w:val="both"/>
      </w:pPr>
      <w:r w:rsidRPr="00BF53C4">
        <w:rPr>
          <w:rFonts w:ascii="Book Antiqua" w:eastAsia="Book Antiqua" w:hAnsi="Book Antiqua" w:cs="Book Antiqua"/>
          <w:b/>
          <w:color w:val="000000"/>
        </w:rPr>
        <w:t>Footnotes</w:t>
      </w:r>
    </w:p>
    <w:p w14:paraId="61E60425" w14:textId="62E1F03F" w:rsidR="00A77B3E" w:rsidRPr="00BF53C4" w:rsidRDefault="007015BD">
      <w:pPr>
        <w:spacing w:line="360" w:lineRule="auto"/>
        <w:jc w:val="both"/>
      </w:pPr>
      <w:r w:rsidRPr="00BF53C4">
        <w:rPr>
          <w:rFonts w:ascii="Book Antiqua" w:eastAsia="Book Antiqua" w:hAnsi="Book Antiqua" w:cs="Book Antiqua"/>
          <w:b/>
          <w:bCs/>
          <w:color w:val="000000"/>
          <w:szCs w:val="21"/>
        </w:rPr>
        <w:t xml:space="preserve">Institutional review board statement: </w:t>
      </w:r>
      <w:r w:rsidRPr="00BF53C4">
        <w:rPr>
          <w:rFonts w:ascii="Book Antiqua" w:eastAsia="Book Antiqua" w:hAnsi="Book Antiqua" w:cs="Book Antiqua"/>
          <w:color w:val="000000"/>
        </w:rPr>
        <w:t xml:space="preserve">This retrospective study was approved by the Ethics Committee of </w:t>
      </w:r>
      <w:r w:rsidR="008C2F32" w:rsidRPr="00BF53C4">
        <w:rPr>
          <w:rFonts w:ascii="Book Antiqua" w:eastAsia="Book Antiqua" w:hAnsi="Book Antiqua" w:cs="Book Antiqua"/>
          <w:color w:val="000000"/>
        </w:rPr>
        <w:t>T</w:t>
      </w:r>
      <w:r w:rsidRPr="00BF53C4">
        <w:rPr>
          <w:rFonts w:ascii="Book Antiqua" w:eastAsia="Book Antiqua" w:hAnsi="Book Antiqua" w:cs="Book Antiqua"/>
          <w:color w:val="000000"/>
        </w:rPr>
        <w:t>he Second Affiliated Hospital of Xuzhou Medical University.</w:t>
      </w:r>
    </w:p>
    <w:p w14:paraId="5039D994" w14:textId="77777777" w:rsidR="00A77B3E" w:rsidRPr="00BF53C4" w:rsidRDefault="00A77B3E">
      <w:pPr>
        <w:spacing w:line="360" w:lineRule="auto"/>
        <w:jc w:val="both"/>
      </w:pPr>
    </w:p>
    <w:p w14:paraId="565CF04F"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Informed consent statement: </w:t>
      </w:r>
      <w:r w:rsidRPr="00BF53C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467BF5F8" w14:textId="77777777" w:rsidR="00A77B3E" w:rsidRPr="00BF53C4" w:rsidRDefault="00A77B3E">
      <w:pPr>
        <w:spacing w:line="360" w:lineRule="auto"/>
        <w:jc w:val="both"/>
      </w:pPr>
    </w:p>
    <w:p w14:paraId="1C97FAD2"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Conflict-of-interest statement: </w:t>
      </w:r>
      <w:r w:rsidRPr="00BF53C4">
        <w:rPr>
          <w:rFonts w:ascii="Book Antiqua" w:eastAsia="Book Antiqua" w:hAnsi="Book Antiqua" w:cs="Book Antiqua"/>
          <w:color w:val="000000"/>
        </w:rPr>
        <w:t>We have no financial relationships to disclose.</w:t>
      </w:r>
    </w:p>
    <w:p w14:paraId="0D7E07F5" w14:textId="77777777" w:rsidR="00A77B3E" w:rsidRPr="00BF53C4" w:rsidRDefault="00A77B3E">
      <w:pPr>
        <w:spacing w:line="360" w:lineRule="auto"/>
        <w:jc w:val="both"/>
      </w:pPr>
    </w:p>
    <w:p w14:paraId="3704084A"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Data sharing statement: </w:t>
      </w:r>
      <w:r w:rsidRPr="00BF53C4">
        <w:rPr>
          <w:rFonts w:ascii="Book Antiqua" w:eastAsia="Book Antiqua" w:hAnsi="Book Antiqua" w:cs="Book Antiqua"/>
          <w:color w:val="000000"/>
        </w:rPr>
        <w:t>No additional data are available.</w:t>
      </w:r>
    </w:p>
    <w:p w14:paraId="30BEC0E5" w14:textId="77777777" w:rsidR="00A77B3E" w:rsidRPr="00BF53C4" w:rsidRDefault="00A77B3E">
      <w:pPr>
        <w:spacing w:line="360" w:lineRule="auto"/>
        <w:jc w:val="both"/>
      </w:pPr>
    </w:p>
    <w:p w14:paraId="20FAEC02" w14:textId="77777777" w:rsidR="00A77B3E" w:rsidRPr="00BF53C4" w:rsidRDefault="007015BD">
      <w:pPr>
        <w:spacing w:line="360" w:lineRule="auto"/>
        <w:jc w:val="both"/>
      </w:pPr>
      <w:r w:rsidRPr="00BF53C4">
        <w:rPr>
          <w:rFonts w:ascii="Book Antiqua" w:eastAsia="Book Antiqua" w:hAnsi="Book Antiqua" w:cs="Book Antiqua"/>
          <w:b/>
          <w:bCs/>
          <w:color w:val="000000"/>
        </w:rPr>
        <w:t xml:space="preserve">Open-Access: </w:t>
      </w:r>
      <w:r w:rsidRPr="00BF53C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3CC1E5" w14:textId="77777777" w:rsidR="00A77B3E" w:rsidRPr="00BF53C4" w:rsidRDefault="00A77B3E">
      <w:pPr>
        <w:spacing w:line="360" w:lineRule="auto"/>
        <w:jc w:val="both"/>
      </w:pPr>
    </w:p>
    <w:p w14:paraId="16E75EBD" w14:textId="587BA7C9" w:rsidR="00A77B3E" w:rsidRPr="00BF53C4" w:rsidRDefault="007015BD">
      <w:pPr>
        <w:spacing w:line="360" w:lineRule="auto"/>
        <w:jc w:val="both"/>
      </w:pPr>
      <w:r w:rsidRPr="00BF53C4">
        <w:rPr>
          <w:rFonts w:ascii="Book Antiqua" w:eastAsia="Book Antiqua" w:hAnsi="Book Antiqua" w:cs="Book Antiqua"/>
          <w:b/>
          <w:color w:val="000000"/>
        </w:rPr>
        <w:t xml:space="preserve">Manuscript source: </w:t>
      </w:r>
      <w:r w:rsidRPr="00BF53C4">
        <w:rPr>
          <w:rFonts w:ascii="Book Antiqua" w:eastAsia="Book Antiqua" w:hAnsi="Book Antiqua" w:cs="Book Antiqua"/>
          <w:color w:val="000000"/>
        </w:rPr>
        <w:t>Unsolicited</w:t>
      </w:r>
      <w:r w:rsidR="00BA5524" w:rsidRPr="00BF53C4">
        <w:rPr>
          <w:rFonts w:ascii="Book Antiqua" w:eastAsia="Book Antiqua" w:hAnsi="Book Antiqua" w:cs="Book Antiqua"/>
          <w:color w:val="000000"/>
        </w:rPr>
        <w:t xml:space="preserve"> manu</w:t>
      </w:r>
      <w:r w:rsidRPr="00BF53C4">
        <w:rPr>
          <w:rFonts w:ascii="Book Antiqua" w:eastAsia="Book Antiqua" w:hAnsi="Book Antiqua" w:cs="Book Antiqua"/>
          <w:color w:val="000000"/>
        </w:rPr>
        <w:t>script</w:t>
      </w:r>
    </w:p>
    <w:p w14:paraId="452A2564" w14:textId="77777777" w:rsidR="00A77B3E" w:rsidRPr="00BF53C4" w:rsidRDefault="00A77B3E">
      <w:pPr>
        <w:spacing w:line="360" w:lineRule="auto"/>
        <w:jc w:val="both"/>
      </w:pPr>
    </w:p>
    <w:p w14:paraId="7CE95806" w14:textId="77777777" w:rsidR="00A77B3E" w:rsidRPr="00BF53C4" w:rsidRDefault="007015BD">
      <w:pPr>
        <w:spacing w:line="360" w:lineRule="auto"/>
        <w:jc w:val="both"/>
      </w:pPr>
      <w:r w:rsidRPr="00BF53C4">
        <w:rPr>
          <w:rFonts w:ascii="Book Antiqua" w:eastAsia="Book Antiqua" w:hAnsi="Book Antiqua" w:cs="Book Antiqua"/>
          <w:b/>
          <w:color w:val="000000"/>
        </w:rPr>
        <w:t xml:space="preserve">Peer-review started: </w:t>
      </w:r>
      <w:r w:rsidRPr="00BF53C4">
        <w:rPr>
          <w:rFonts w:ascii="Book Antiqua" w:eastAsia="Book Antiqua" w:hAnsi="Book Antiqua" w:cs="Book Antiqua"/>
          <w:color w:val="000000"/>
        </w:rPr>
        <w:t>December 10, 2020</w:t>
      </w:r>
    </w:p>
    <w:p w14:paraId="1EE2D132" w14:textId="77777777" w:rsidR="00A77B3E" w:rsidRPr="00BF53C4" w:rsidRDefault="007015BD">
      <w:pPr>
        <w:spacing w:line="360" w:lineRule="auto"/>
        <w:jc w:val="both"/>
      </w:pPr>
      <w:r w:rsidRPr="00BF53C4">
        <w:rPr>
          <w:rFonts w:ascii="Book Antiqua" w:eastAsia="Book Antiqua" w:hAnsi="Book Antiqua" w:cs="Book Antiqua"/>
          <w:b/>
          <w:color w:val="000000"/>
        </w:rPr>
        <w:t xml:space="preserve">First decision: </w:t>
      </w:r>
      <w:r w:rsidRPr="00BF53C4">
        <w:rPr>
          <w:rFonts w:ascii="Book Antiqua" w:eastAsia="Book Antiqua" w:hAnsi="Book Antiqua" w:cs="Book Antiqua"/>
          <w:color w:val="000000"/>
        </w:rPr>
        <w:t>January 17, 2021</w:t>
      </w:r>
    </w:p>
    <w:p w14:paraId="7E803E1B" w14:textId="063A2652" w:rsidR="00A77B3E" w:rsidRPr="00BF53C4" w:rsidRDefault="007015BD">
      <w:pPr>
        <w:spacing w:line="360" w:lineRule="auto"/>
        <w:jc w:val="both"/>
      </w:pPr>
      <w:r w:rsidRPr="00BF53C4">
        <w:rPr>
          <w:rFonts w:ascii="Book Antiqua" w:eastAsia="Book Antiqua" w:hAnsi="Book Antiqua" w:cs="Book Antiqua"/>
          <w:b/>
          <w:color w:val="000000"/>
        </w:rPr>
        <w:t xml:space="preserve">Article in press: </w:t>
      </w:r>
      <w:r w:rsidR="005E2967" w:rsidRPr="00BF53C4">
        <w:rPr>
          <w:rFonts w:ascii="Book Antiqua" w:eastAsia="Book Antiqua" w:hAnsi="Book Antiqua" w:cs="Book Antiqua"/>
          <w:color w:val="000000"/>
        </w:rPr>
        <w:t>March 10, 2021</w:t>
      </w:r>
    </w:p>
    <w:p w14:paraId="18DB94F0" w14:textId="77777777" w:rsidR="00A77B3E" w:rsidRPr="00BF53C4" w:rsidRDefault="00A77B3E">
      <w:pPr>
        <w:spacing w:line="360" w:lineRule="auto"/>
        <w:jc w:val="both"/>
      </w:pPr>
    </w:p>
    <w:p w14:paraId="3AED69DE" w14:textId="15401179" w:rsidR="00A77B3E" w:rsidRPr="00BF53C4" w:rsidRDefault="007015BD">
      <w:pPr>
        <w:spacing w:line="360" w:lineRule="auto"/>
        <w:jc w:val="both"/>
      </w:pPr>
      <w:r w:rsidRPr="00BF53C4">
        <w:rPr>
          <w:rFonts w:ascii="Book Antiqua" w:eastAsia="Book Antiqua" w:hAnsi="Book Antiqua" w:cs="Book Antiqua"/>
          <w:b/>
          <w:color w:val="000000"/>
        </w:rPr>
        <w:t xml:space="preserve">Specialty type: </w:t>
      </w:r>
      <w:r w:rsidR="00BA5524" w:rsidRPr="00BF53C4">
        <w:rPr>
          <w:rFonts w:ascii="Book Antiqua" w:eastAsia="微软雅黑" w:hAnsi="Book Antiqua" w:cs="宋体"/>
        </w:rPr>
        <w:t>Medicine, research and experimental</w:t>
      </w:r>
    </w:p>
    <w:p w14:paraId="410349B5" w14:textId="77777777" w:rsidR="00A77B3E" w:rsidRPr="00BF53C4" w:rsidRDefault="007015BD">
      <w:pPr>
        <w:spacing w:line="360" w:lineRule="auto"/>
        <w:jc w:val="both"/>
      </w:pPr>
      <w:r w:rsidRPr="00BF53C4">
        <w:rPr>
          <w:rFonts w:ascii="Book Antiqua" w:eastAsia="Book Antiqua" w:hAnsi="Book Antiqua" w:cs="Book Antiqua"/>
          <w:b/>
          <w:color w:val="000000"/>
        </w:rPr>
        <w:t xml:space="preserve">Country/Territory of origin: </w:t>
      </w:r>
      <w:r w:rsidRPr="00BF53C4">
        <w:rPr>
          <w:rFonts w:ascii="Book Antiqua" w:eastAsia="Book Antiqua" w:hAnsi="Book Antiqua" w:cs="Book Antiqua"/>
          <w:color w:val="000000"/>
        </w:rPr>
        <w:t>China</w:t>
      </w:r>
    </w:p>
    <w:p w14:paraId="362F7959" w14:textId="77777777" w:rsidR="00A77B3E" w:rsidRPr="00BF53C4" w:rsidRDefault="007015BD">
      <w:pPr>
        <w:spacing w:line="360" w:lineRule="auto"/>
        <w:jc w:val="both"/>
      </w:pPr>
      <w:r w:rsidRPr="00BF53C4">
        <w:rPr>
          <w:rFonts w:ascii="Book Antiqua" w:eastAsia="Book Antiqua" w:hAnsi="Book Antiqua" w:cs="Book Antiqua"/>
          <w:b/>
          <w:color w:val="000000"/>
        </w:rPr>
        <w:t>Peer-review report’s scientific quality classification</w:t>
      </w:r>
    </w:p>
    <w:p w14:paraId="564F27F1" w14:textId="77777777" w:rsidR="00A77B3E" w:rsidRPr="00BF53C4" w:rsidRDefault="007015BD">
      <w:pPr>
        <w:spacing w:line="360" w:lineRule="auto"/>
        <w:jc w:val="both"/>
      </w:pPr>
      <w:r w:rsidRPr="00BF53C4">
        <w:rPr>
          <w:rFonts w:ascii="Book Antiqua" w:eastAsia="Book Antiqua" w:hAnsi="Book Antiqua" w:cs="Book Antiqua"/>
          <w:color w:val="000000"/>
        </w:rPr>
        <w:t>Grade A (Excellent): A</w:t>
      </w:r>
    </w:p>
    <w:p w14:paraId="35BC35DF" w14:textId="77777777" w:rsidR="00A77B3E" w:rsidRPr="00BF53C4" w:rsidRDefault="007015BD">
      <w:pPr>
        <w:spacing w:line="360" w:lineRule="auto"/>
        <w:jc w:val="both"/>
      </w:pPr>
      <w:r w:rsidRPr="00BF53C4">
        <w:rPr>
          <w:rFonts w:ascii="Book Antiqua" w:eastAsia="Book Antiqua" w:hAnsi="Book Antiqua" w:cs="Book Antiqua"/>
          <w:color w:val="000000"/>
        </w:rPr>
        <w:t>Grade B (Very good): 0</w:t>
      </w:r>
    </w:p>
    <w:p w14:paraId="106B8661" w14:textId="77777777" w:rsidR="00A77B3E" w:rsidRPr="00BF53C4" w:rsidRDefault="007015BD">
      <w:pPr>
        <w:spacing w:line="360" w:lineRule="auto"/>
        <w:jc w:val="both"/>
      </w:pPr>
      <w:r w:rsidRPr="00BF53C4">
        <w:rPr>
          <w:rFonts w:ascii="Book Antiqua" w:eastAsia="Book Antiqua" w:hAnsi="Book Antiqua" w:cs="Book Antiqua"/>
          <w:color w:val="000000"/>
        </w:rPr>
        <w:t>Grade C (Good): 0</w:t>
      </w:r>
    </w:p>
    <w:p w14:paraId="080EECF7" w14:textId="77777777" w:rsidR="00A77B3E" w:rsidRPr="00BF53C4" w:rsidRDefault="007015BD">
      <w:pPr>
        <w:spacing w:line="360" w:lineRule="auto"/>
        <w:jc w:val="both"/>
      </w:pPr>
      <w:r w:rsidRPr="00BF53C4">
        <w:rPr>
          <w:rFonts w:ascii="Book Antiqua" w:eastAsia="Book Antiqua" w:hAnsi="Book Antiqua" w:cs="Book Antiqua"/>
          <w:color w:val="000000"/>
        </w:rPr>
        <w:t>Grade D (Fair): 0</w:t>
      </w:r>
    </w:p>
    <w:p w14:paraId="3FA57C46" w14:textId="77777777" w:rsidR="00A77B3E" w:rsidRPr="00BF53C4" w:rsidRDefault="007015BD">
      <w:pPr>
        <w:spacing w:line="360" w:lineRule="auto"/>
        <w:jc w:val="both"/>
      </w:pPr>
      <w:r w:rsidRPr="00BF53C4">
        <w:rPr>
          <w:rFonts w:ascii="Book Antiqua" w:eastAsia="Book Antiqua" w:hAnsi="Book Antiqua" w:cs="Book Antiqua"/>
          <w:color w:val="000000"/>
        </w:rPr>
        <w:t>Grade E (Poor): 0</w:t>
      </w:r>
    </w:p>
    <w:p w14:paraId="4A9D5A47" w14:textId="77777777" w:rsidR="00A77B3E" w:rsidRPr="00BF53C4" w:rsidRDefault="00A77B3E">
      <w:pPr>
        <w:spacing w:line="360" w:lineRule="auto"/>
        <w:jc w:val="both"/>
      </w:pPr>
    </w:p>
    <w:p w14:paraId="119D2F43" w14:textId="3FE5AC01" w:rsidR="00A77B3E" w:rsidRPr="00BF53C4" w:rsidRDefault="007015BD">
      <w:pPr>
        <w:spacing w:line="360" w:lineRule="auto"/>
        <w:jc w:val="both"/>
        <w:rPr>
          <w:rFonts w:ascii="Book Antiqua" w:hAnsi="Book Antiqua" w:cs="Book Antiqua"/>
          <w:color w:val="000000"/>
          <w:lang w:eastAsia="zh-CN"/>
        </w:rPr>
      </w:pPr>
      <w:r w:rsidRPr="00BF53C4">
        <w:rPr>
          <w:rFonts w:ascii="Book Antiqua" w:eastAsia="Book Antiqua" w:hAnsi="Book Antiqua" w:cs="Book Antiqua"/>
          <w:b/>
          <w:color w:val="000000"/>
        </w:rPr>
        <w:t xml:space="preserve">P-Reviewer: </w:t>
      </w:r>
      <w:r w:rsidRPr="00BF53C4">
        <w:rPr>
          <w:rFonts w:ascii="Book Antiqua" w:eastAsia="Book Antiqua" w:hAnsi="Book Antiqua" w:cs="Book Antiqua"/>
          <w:color w:val="000000"/>
        </w:rPr>
        <w:t>Lin JA</w:t>
      </w:r>
      <w:r w:rsidRPr="00BF53C4">
        <w:rPr>
          <w:rFonts w:ascii="Book Antiqua" w:eastAsia="Book Antiqua" w:hAnsi="Book Antiqua" w:cs="Book Antiqua"/>
          <w:b/>
          <w:color w:val="000000"/>
        </w:rPr>
        <w:t xml:space="preserve"> S-Editor: </w:t>
      </w:r>
      <w:r w:rsidRPr="00BF53C4">
        <w:rPr>
          <w:rFonts w:ascii="Book Antiqua" w:eastAsia="Book Antiqua" w:hAnsi="Book Antiqua" w:cs="Book Antiqua"/>
          <w:color w:val="000000"/>
        </w:rPr>
        <w:t>Gao CC</w:t>
      </w:r>
      <w:r w:rsidRPr="00BF53C4">
        <w:rPr>
          <w:rFonts w:ascii="Book Antiqua" w:eastAsia="Book Antiqua" w:hAnsi="Book Antiqua" w:cs="Book Antiqua"/>
          <w:b/>
          <w:color w:val="000000"/>
        </w:rPr>
        <w:t xml:space="preserve"> L-Editor:  </w:t>
      </w:r>
      <w:r w:rsidR="00B14BF0" w:rsidRPr="00BF53C4">
        <w:rPr>
          <w:rFonts w:ascii="Book Antiqua" w:eastAsia="Book Antiqua" w:hAnsi="Book Antiqua" w:cs="Book Antiqua"/>
          <w:color w:val="000000"/>
        </w:rPr>
        <w:t xml:space="preserve">Webster JR </w:t>
      </w:r>
      <w:r w:rsidRPr="00BF53C4">
        <w:rPr>
          <w:rFonts w:ascii="Book Antiqua" w:eastAsia="Book Antiqua" w:hAnsi="Book Antiqua" w:cs="Book Antiqua"/>
          <w:b/>
          <w:color w:val="000000"/>
        </w:rPr>
        <w:t>P-Editor:</w:t>
      </w:r>
      <w:r w:rsidRPr="00BF53C4">
        <w:rPr>
          <w:rFonts w:ascii="Book Antiqua" w:eastAsia="Book Antiqua" w:hAnsi="Book Antiqua" w:cs="Book Antiqua"/>
          <w:color w:val="000000"/>
        </w:rPr>
        <w:t xml:space="preserve"> </w:t>
      </w:r>
      <w:r w:rsidR="005E2967" w:rsidRPr="00BF53C4">
        <w:rPr>
          <w:rFonts w:ascii="Book Antiqua" w:hAnsi="Book Antiqua" w:cs="Book Antiqua" w:hint="eastAsia"/>
          <w:color w:val="000000"/>
          <w:lang w:eastAsia="zh-CN"/>
        </w:rPr>
        <w:t>Wang LL</w:t>
      </w:r>
    </w:p>
    <w:p w14:paraId="3A0A3994" w14:textId="77777777" w:rsidR="00697636" w:rsidRPr="00BF53C4" w:rsidRDefault="00697636">
      <w:pPr>
        <w:spacing w:line="360" w:lineRule="auto"/>
        <w:jc w:val="both"/>
        <w:sectPr w:rsidR="00697636" w:rsidRPr="00BF53C4">
          <w:pgSz w:w="12240" w:h="15840"/>
          <w:pgMar w:top="1440" w:right="1440" w:bottom="1440" w:left="1440" w:header="720" w:footer="720" w:gutter="0"/>
          <w:cols w:space="720"/>
          <w:docGrid w:linePitch="360"/>
        </w:sectPr>
      </w:pPr>
    </w:p>
    <w:p w14:paraId="562ACC2B" w14:textId="10CA92DB" w:rsidR="00A77B3E" w:rsidRPr="00BF53C4" w:rsidRDefault="007015BD">
      <w:pPr>
        <w:spacing w:line="360" w:lineRule="auto"/>
        <w:jc w:val="both"/>
        <w:rPr>
          <w:rFonts w:ascii="Book Antiqua" w:eastAsia="Book Antiqua" w:hAnsi="Book Antiqua" w:cs="Book Antiqua"/>
          <w:b/>
          <w:color w:val="000000"/>
        </w:rPr>
      </w:pPr>
      <w:r w:rsidRPr="00BF53C4">
        <w:rPr>
          <w:rFonts w:ascii="Book Antiqua" w:eastAsia="Book Antiqua" w:hAnsi="Book Antiqua" w:cs="Book Antiqua"/>
          <w:b/>
          <w:color w:val="000000"/>
        </w:rPr>
        <w:t>Figure Legends</w:t>
      </w:r>
    </w:p>
    <w:p w14:paraId="46709999" w14:textId="377DEEC4" w:rsidR="008C2F32" w:rsidRPr="00BF53C4" w:rsidRDefault="008C2F32">
      <w:pPr>
        <w:spacing w:line="360" w:lineRule="auto"/>
        <w:jc w:val="both"/>
      </w:pPr>
      <w:r w:rsidRPr="00BF53C4">
        <w:rPr>
          <w:noProof/>
          <w:lang w:eastAsia="zh-CN"/>
        </w:rPr>
        <w:drawing>
          <wp:inline distT="0" distB="0" distL="0" distR="0" wp14:anchorId="753DA839" wp14:editId="596B766F">
            <wp:extent cx="5224501" cy="45720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4501" cy="4572033"/>
                    </a:xfrm>
                    <a:prstGeom prst="rect">
                      <a:avLst/>
                    </a:prstGeom>
                  </pic:spPr>
                </pic:pic>
              </a:graphicData>
            </a:graphic>
          </wp:inline>
        </w:drawing>
      </w:r>
    </w:p>
    <w:p w14:paraId="42E77B9E" w14:textId="19BA5E8A" w:rsidR="008C2F32" w:rsidRPr="00BF53C4" w:rsidRDefault="007015BD">
      <w:pPr>
        <w:spacing w:line="360" w:lineRule="auto"/>
        <w:jc w:val="both"/>
        <w:rPr>
          <w:rFonts w:ascii="Book Antiqua" w:eastAsia="Book Antiqua" w:hAnsi="Book Antiqua" w:cs="Book Antiqua"/>
          <w:color w:val="000000"/>
        </w:rPr>
      </w:pPr>
      <w:r w:rsidRPr="00BF53C4">
        <w:rPr>
          <w:rFonts w:ascii="Book Antiqua" w:eastAsia="Book Antiqua" w:hAnsi="Book Antiqua" w:cs="Book Antiqua"/>
          <w:b/>
          <w:bCs/>
          <w:color w:val="000000"/>
        </w:rPr>
        <w:t>Figure 1</w:t>
      </w:r>
      <w:r w:rsidR="008C2F32" w:rsidRPr="00BF53C4">
        <w:rPr>
          <w:rFonts w:ascii="Book Antiqua" w:eastAsia="Book Antiqua" w:hAnsi="Book Antiqua" w:cs="Book Antiqua"/>
          <w:b/>
          <w:bCs/>
          <w:color w:val="000000"/>
        </w:rPr>
        <w:t xml:space="preserve"> </w:t>
      </w:r>
      <w:r w:rsidRPr="00BF53C4">
        <w:rPr>
          <w:rFonts w:ascii="Book Antiqua" w:eastAsia="Book Antiqua" w:hAnsi="Book Antiqua" w:cs="Book Antiqua"/>
          <w:b/>
          <w:bCs/>
          <w:color w:val="000000"/>
        </w:rPr>
        <w:t>Position of the ultrasound probe.</w:t>
      </w:r>
      <w:r w:rsidR="008C2F32" w:rsidRPr="00BF53C4">
        <w:rPr>
          <w:rFonts w:ascii="Book Antiqua" w:eastAsia="Book Antiqua" w:hAnsi="Book Antiqua" w:cs="Book Antiqua"/>
          <w:b/>
          <w:bCs/>
          <w:color w:val="000000"/>
        </w:rPr>
        <w:t xml:space="preserve"> </w:t>
      </w:r>
      <w:r w:rsidR="008C2F32" w:rsidRPr="00BF53C4">
        <w:rPr>
          <w:rFonts w:ascii="Book Antiqua" w:eastAsia="Book Antiqua" w:hAnsi="Book Antiqua" w:cs="Book Antiqua"/>
          <w:color w:val="000000"/>
        </w:rPr>
        <w:t>ASIS: Anterior superior iliac spine.</w:t>
      </w:r>
    </w:p>
    <w:p w14:paraId="58463DB6" w14:textId="1BDE4E5C" w:rsidR="00A77B3E" w:rsidRPr="00BF53C4" w:rsidRDefault="008C2F32">
      <w:pPr>
        <w:spacing w:line="360" w:lineRule="auto"/>
        <w:jc w:val="both"/>
      </w:pPr>
      <w:r w:rsidRPr="00BF53C4">
        <w:rPr>
          <w:rFonts w:ascii="Book Antiqua" w:eastAsia="Book Antiqua" w:hAnsi="Book Antiqua" w:cs="Book Antiqua"/>
          <w:color w:val="000000"/>
        </w:rPr>
        <w:br w:type="page"/>
      </w:r>
      <w:r w:rsidRPr="00BF53C4">
        <w:rPr>
          <w:noProof/>
          <w:lang w:eastAsia="zh-CN"/>
        </w:rPr>
        <w:drawing>
          <wp:inline distT="0" distB="0" distL="0" distR="0" wp14:anchorId="3A70E448" wp14:editId="17F2753A">
            <wp:extent cx="4171981" cy="4143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1981" cy="4143405"/>
                    </a:xfrm>
                    <a:prstGeom prst="rect">
                      <a:avLst/>
                    </a:prstGeom>
                  </pic:spPr>
                </pic:pic>
              </a:graphicData>
            </a:graphic>
          </wp:inline>
        </w:drawing>
      </w:r>
    </w:p>
    <w:p w14:paraId="13EE2B1D" w14:textId="4CC73569" w:rsidR="00FB534B" w:rsidRPr="00BF53C4" w:rsidRDefault="007015BD">
      <w:pPr>
        <w:spacing w:line="360" w:lineRule="auto"/>
        <w:jc w:val="both"/>
        <w:rPr>
          <w:rFonts w:ascii="Book Antiqua" w:eastAsia="Book Antiqua" w:hAnsi="Book Antiqua" w:cs="Book Antiqua"/>
          <w:color w:val="000000"/>
        </w:rPr>
      </w:pPr>
      <w:r w:rsidRPr="00BF53C4">
        <w:rPr>
          <w:rFonts w:ascii="Book Antiqua" w:eastAsia="Book Antiqua" w:hAnsi="Book Antiqua" w:cs="Book Antiqua"/>
          <w:b/>
          <w:bCs/>
          <w:color w:val="000000"/>
        </w:rPr>
        <w:t>Figure 2</w:t>
      </w:r>
      <w:r w:rsidR="008C2F32" w:rsidRPr="00BF53C4">
        <w:rPr>
          <w:rFonts w:ascii="Book Antiqua" w:eastAsia="Book Antiqua" w:hAnsi="Book Antiqua" w:cs="Book Antiqua"/>
          <w:b/>
          <w:bCs/>
          <w:color w:val="000000"/>
        </w:rPr>
        <w:t xml:space="preserve"> </w:t>
      </w:r>
      <w:r w:rsidRPr="00BF53C4">
        <w:rPr>
          <w:rFonts w:ascii="Book Antiqua" w:eastAsia="Book Antiqua" w:hAnsi="Book Antiqua" w:cs="Book Antiqua"/>
          <w:b/>
          <w:bCs/>
          <w:color w:val="000000"/>
        </w:rPr>
        <w:t>The location of the puncture needle and the diffusion of local anesthetic under the iliac fascia show</w:t>
      </w:r>
      <w:r w:rsidR="00B14BF0" w:rsidRPr="00BF53C4">
        <w:rPr>
          <w:rFonts w:ascii="Book Antiqua" w:eastAsia="Book Antiqua" w:hAnsi="Book Antiqua" w:cs="Book Antiqua"/>
          <w:b/>
          <w:bCs/>
          <w:color w:val="000000"/>
        </w:rPr>
        <w:t>n</w:t>
      </w:r>
      <w:r w:rsidRPr="00BF53C4">
        <w:rPr>
          <w:rFonts w:ascii="Book Antiqua" w:eastAsia="Book Antiqua" w:hAnsi="Book Antiqua" w:cs="Book Antiqua"/>
          <w:b/>
          <w:bCs/>
          <w:color w:val="000000"/>
        </w:rPr>
        <w:t xml:space="preserve"> by the in-plane technique.</w:t>
      </w:r>
      <w:r w:rsidR="008C2F32" w:rsidRPr="00BF53C4">
        <w:rPr>
          <w:rFonts w:ascii="Book Antiqua" w:eastAsia="Book Antiqua" w:hAnsi="Book Antiqua" w:cs="Book Antiqua"/>
          <w:b/>
          <w:bCs/>
          <w:color w:val="000000"/>
        </w:rPr>
        <w:t xml:space="preserve"> </w:t>
      </w:r>
      <w:r w:rsidRPr="00BF53C4">
        <w:rPr>
          <w:rFonts w:ascii="Book Antiqua" w:eastAsia="Book Antiqua" w:hAnsi="Book Antiqua" w:cs="Book Antiqua"/>
          <w:color w:val="000000"/>
        </w:rPr>
        <w:t xml:space="preserve">ASIS: </w:t>
      </w:r>
      <w:r w:rsidR="008C2F32" w:rsidRPr="00BF53C4">
        <w:rPr>
          <w:rFonts w:ascii="Book Antiqua" w:eastAsia="Book Antiqua" w:hAnsi="Book Antiqua" w:cs="Book Antiqua"/>
          <w:color w:val="000000"/>
        </w:rPr>
        <w:t>A</w:t>
      </w:r>
      <w:r w:rsidRPr="00BF53C4">
        <w:rPr>
          <w:rFonts w:ascii="Book Antiqua" w:eastAsia="Book Antiqua" w:hAnsi="Book Antiqua" w:cs="Book Antiqua"/>
          <w:color w:val="000000"/>
        </w:rPr>
        <w:t xml:space="preserve">nterior superior iliac spine; IM: </w:t>
      </w:r>
      <w:r w:rsidR="008C2F32" w:rsidRPr="00BF53C4">
        <w:rPr>
          <w:rFonts w:ascii="Book Antiqua" w:eastAsia="Book Antiqua" w:hAnsi="Book Antiqua" w:cs="Book Antiqua"/>
          <w:color w:val="000000"/>
        </w:rPr>
        <w:t>I</w:t>
      </w:r>
      <w:r w:rsidRPr="00BF53C4">
        <w:rPr>
          <w:rFonts w:ascii="Book Antiqua" w:eastAsia="Book Antiqua" w:hAnsi="Book Antiqua" w:cs="Book Antiqua"/>
          <w:color w:val="000000"/>
        </w:rPr>
        <w:t xml:space="preserve">liacus muscle; IO: </w:t>
      </w:r>
      <w:r w:rsidR="008C2F32" w:rsidRPr="00BF53C4">
        <w:rPr>
          <w:rFonts w:ascii="Book Antiqua" w:eastAsia="Book Antiqua" w:hAnsi="Book Antiqua" w:cs="Book Antiqua"/>
          <w:color w:val="000000"/>
        </w:rPr>
        <w:t>I</w:t>
      </w:r>
      <w:r w:rsidRPr="00BF53C4">
        <w:rPr>
          <w:rFonts w:ascii="Book Antiqua" w:eastAsia="Book Antiqua" w:hAnsi="Book Antiqua" w:cs="Book Antiqua"/>
          <w:color w:val="000000"/>
        </w:rPr>
        <w:t xml:space="preserve">nternal oblique muscle; TA: </w:t>
      </w:r>
      <w:r w:rsidR="008C2F32" w:rsidRPr="00BF53C4">
        <w:rPr>
          <w:rFonts w:ascii="Book Antiqua" w:eastAsia="Book Antiqua" w:hAnsi="Book Antiqua" w:cs="Book Antiqua"/>
          <w:color w:val="000000"/>
        </w:rPr>
        <w:t>T</w:t>
      </w:r>
      <w:r w:rsidRPr="00BF53C4">
        <w:rPr>
          <w:rFonts w:ascii="Book Antiqua" w:eastAsia="Book Antiqua" w:hAnsi="Book Antiqua" w:cs="Book Antiqua"/>
          <w:color w:val="000000"/>
        </w:rPr>
        <w:t>ransverse abdominus muscle; FI: Fascia iliaca.</w:t>
      </w:r>
    </w:p>
    <w:p w14:paraId="468B59CD" w14:textId="27B183C3" w:rsidR="00A77B3E" w:rsidRPr="00BF53C4" w:rsidRDefault="00FB534B">
      <w:pPr>
        <w:spacing w:line="360" w:lineRule="auto"/>
        <w:jc w:val="both"/>
        <w:rPr>
          <w:rFonts w:ascii="Book Antiqua" w:eastAsia="Book Antiqua" w:hAnsi="Book Antiqua" w:cs="Book Antiqua"/>
          <w:b/>
          <w:bCs/>
          <w:color w:val="000000"/>
        </w:rPr>
      </w:pPr>
      <w:r w:rsidRPr="00BF53C4">
        <w:rPr>
          <w:rFonts w:ascii="Book Antiqua" w:eastAsia="Book Antiqua" w:hAnsi="Book Antiqua" w:cs="Book Antiqua"/>
          <w:color w:val="000000"/>
        </w:rPr>
        <w:br w:type="page"/>
      </w:r>
      <w:r w:rsidRPr="00BF53C4">
        <w:rPr>
          <w:rFonts w:ascii="Book Antiqua" w:eastAsia="Book Antiqua" w:hAnsi="Book Antiqua" w:cs="Book Antiqua"/>
          <w:b/>
          <w:bCs/>
          <w:color w:val="000000"/>
        </w:rPr>
        <w:t>Table 1 Characteristics of the patients</w:t>
      </w:r>
    </w:p>
    <w:tbl>
      <w:tblPr>
        <w:tblW w:w="0" w:type="auto"/>
        <w:tblLook w:val="0600" w:firstRow="0" w:lastRow="0" w:firstColumn="0" w:lastColumn="0" w:noHBand="1" w:noVBand="1"/>
      </w:tblPr>
      <w:tblGrid>
        <w:gridCol w:w="2971"/>
        <w:gridCol w:w="2815"/>
        <w:gridCol w:w="2415"/>
        <w:gridCol w:w="1037"/>
      </w:tblGrid>
      <w:tr w:rsidR="00FB534B" w:rsidRPr="00BF53C4" w14:paraId="5C1D77E0" w14:textId="77777777" w:rsidTr="00064219">
        <w:trPr>
          <w:trHeight w:val="408"/>
        </w:trPr>
        <w:tc>
          <w:tcPr>
            <w:tcW w:w="0" w:type="auto"/>
            <w:tcBorders>
              <w:top w:val="single" w:sz="4" w:space="0" w:color="auto"/>
              <w:bottom w:val="single" w:sz="4" w:space="0" w:color="auto"/>
            </w:tcBorders>
          </w:tcPr>
          <w:p w14:paraId="67659B09" w14:textId="77777777" w:rsidR="00FB534B" w:rsidRPr="00BF53C4" w:rsidRDefault="00FB534B" w:rsidP="00FB534B">
            <w:pPr>
              <w:snapToGrid w:val="0"/>
              <w:spacing w:line="360" w:lineRule="auto"/>
              <w:jc w:val="both"/>
              <w:rPr>
                <w:rFonts w:ascii="Book Antiqua" w:hAnsi="Book Antiqua"/>
                <w:b/>
                <w:bCs/>
              </w:rPr>
            </w:pPr>
            <w:r w:rsidRPr="00BF53C4">
              <w:rPr>
                <w:rFonts w:ascii="Book Antiqua" w:hAnsi="Book Antiqua"/>
                <w:b/>
                <w:bCs/>
              </w:rPr>
              <w:t>Characteristics</w:t>
            </w:r>
          </w:p>
        </w:tc>
        <w:tc>
          <w:tcPr>
            <w:tcW w:w="0" w:type="auto"/>
            <w:tcBorders>
              <w:top w:val="single" w:sz="4" w:space="0" w:color="auto"/>
              <w:bottom w:val="single" w:sz="4" w:space="0" w:color="auto"/>
            </w:tcBorders>
          </w:tcPr>
          <w:p w14:paraId="66738AA1" w14:textId="676BA64B" w:rsidR="00FB534B" w:rsidRPr="00BF53C4" w:rsidRDefault="00FB534B" w:rsidP="00FB534B">
            <w:pPr>
              <w:snapToGrid w:val="0"/>
              <w:spacing w:line="360" w:lineRule="auto"/>
              <w:jc w:val="both"/>
              <w:rPr>
                <w:rFonts w:ascii="Book Antiqua" w:hAnsi="Book Antiqua"/>
                <w:b/>
                <w:bCs/>
              </w:rPr>
            </w:pPr>
            <w:r w:rsidRPr="00BF53C4">
              <w:rPr>
                <w:rFonts w:ascii="Book Antiqua" w:hAnsi="Book Antiqua"/>
                <w:b/>
                <w:bCs/>
              </w:rPr>
              <w:t>No-block group (</w:t>
            </w:r>
            <w:r w:rsidRPr="00BF53C4">
              <w:rPr>
                <w:rFonts w:ascii="Book Antiqua" w:hAnsi="Book Antiqua"/>
                <w:b/>
                <w:bCs/>
                <w:i/>
                <w:iCs/>
              </w:rPr>
              <w:t>n</w:t>
            </w:r>
            <w:r w:rsidRPr="00BF53C4">
              <w:rPr>
                <w:rFonts w:ascii="Book Antiqua" w:hAnsi="Book Antiqua"/>
                <w:b/>
                <w:bCs/>
              </w:rPr>
              <w:t xml:space="preserve"> = 15)</w:t>
            </w:r>
          </w:p>
        </w:tc>
        <w:tc>
          <w:tcPr>
            <w:tcW w:w="0" w:type="auto"/>
            <w:tcBorders>
              <w:top w:val="single" w:sz="4" w:space="0" w:color="auto"/>
              <w:bottom w:val="single" w:sz="4" w:space="0" w:color="auto"/>
            </w:tcBorders>
          </w:tcPr>
          <w:p w14:paraId="2AD2B672" w14:textId="2EADD484" w:rsidR="00FB534B" w:rsidRPr="00BF53C4" w:rsidRDefault="00FB534B" w:rsidP="00FB534B">
            <w:pPr>
              <w:snapToGrid w:val="0"/>
              <w:spacing w:line="360" w:lineRule="auto"/>
              <w:jc w:val="both"/>
              <w:rPr>
                <w:rFonts w:ascii="Book Antiqua" w:hAnsi="Book Antiqua"/>
                <w:b/>
                <w:bCs/>
                <w:lang w:eastAsia="zh-CN"/>
              </w:rPr>
            </w:pPr>
            <w:r w:rsidRPr="00BF53C4">
              <w:rPr>
                <w:rFonts w:ascii="Book Antiqua" w:hAnsi="Book Antiqua"/>
                <w:b/>
                <w:bCs/>
              </w:rPr>
              <w:t>Block group (</w:t>
            </w:r>
            <w:r w:rsidRPr="00BF53C4">
              <w:rPr>
                <w:rFonts w:ascii="Book Antiqua" w:hAnsi="Book Antiqua"/>
                <w:b/>
                <w:bCs/>
                <w:i/>
                <w:iCs/>
              </w:rPr>
              <w:t>n</w:t>
            </w:r>
            <w:r w:rsidRPr="00BF53C4">
              <w:rPr>
                <w:rFonts w:ascii="Book Antiqua" w:hAnsi="Book Antiqua"/>
                <w:b/>
                <w:bCs/>
              </w:rPr>
              <w:t xml:space="preserve"> = 16</w:t>
            </w:r>
            <w:r w:rsidRPr="00BF53C4">
              <w:rPr>
                <w:rFonts w:ascii="Book Antiqua" w:hAnsi="Book Antiqua" w:hint="eastAsia"/>
                <w:b/>
                <w:bCs/>
                <w:lang w:eastAsia="zh-CN"/>
              </w:rPr>
              <w:t>)</w:t>
            </w:r>
          </w:p>
        </w:tc>
        <w:tc>
          <w:tcPr>
            <w:tcW w:w="0" w:type="auto"/>
            <w:tcBorders>
              <w:top w:val="single" w:sz="4" w:space="0" w:color="auto"/>
              <w:bottom w:val="single" w:sz="4" w:space="0" w:color="auto"/>
            </w:tcBorders>
          </w:tcPr>
          <w:p w14:paraId="70ADF1AD" w14:textId="6795ED5C" w:rsidR="00FB534B" w:rsidRPr="00BF53C4" w:rsidRDefault="00FB534B" w:rsidP="00FB534B">
            <w:pPr>
              <w:snapToGrid w:val="0"/>
              <w:spacing w:line="360" w:lineRule="auto"/>
              <w:jc w:val="both"/>
              <w:rPr>
                <w:rFonts w:ascii="Book Antiqua" w:hAnsi="Book Antiqua"/>
                <w:b/>
                <w:bCs/>
              </w:rPr>
            </w:pPr>
            <w:r w:rsidRPr="00BF53C4">
              <w:rPr>
                <w:rFonts w:ascii="Book Antiqua" w:hAnsi="Book Antiqua"/>
                <w:b/>
                <w:bCs/>
                <w:i/>
                <w:iCs/>
              </w:rPr>
              <w:t>P</w:t>
            </w:r>
            <w:r w:rsidRPr="00BF53C4">
              <w:rPr>
                <w:rFonts w:ascii="Book Antiqua" w:hAnsi="Book Antiqua"/>
                <w:b/>
                <w:bCs/>
              </w:rPr>
              <w:t xml:space="preserve"> value</w:t>
            </w:r>
          </w:p>
        </w:tc>
      </w:tr>
      <w:tr w:rsidR="00FB534B" w:rsidRPr="00BF53C4" w14:paraId="42566D46" w14:textId="77777777" w:rsidTr="00064219">
        <w:trPr>
          <w:trHeight w:val="436"/>
        </w:trPr>
        <w:tc>
          <w:tcPr>
            <w:tcW w:w="0" w:type="auto"/>
            <w:tcBorders>
              <w:top w:val="single" w:sz="4" w:space="0" w:color="auto"/>
            </w:tcBorders>
          </w:tcPr>
          <w:p w14:paraId="718CBA4B" w14:textId="5B4467B2" w:rsidR="00FB534B" w:rsidRPr="00BF53C4" w:rsidRDefault="00FB534B" w:rsidP="00FB534B">
            <w:pPr>
              <w:snapToGrid w:val="0"/>
              <w:spacing w:line="360" w:lineRule="auto"/>
              <w:jc w:val="both"/>
              <w:rPr>
                <w:rFonts w:ascii="Book Antiqua" w:hAnsi="Book Antiqua"/>
              </w:rPr>
            </w:pPr>
            <w:r w:rsidRPr="00BF53C4">
              <w:rPr>
                <w:rFonts w:ascii="Book Antiqua" w:hAnsi="Book Antiqua"/>
              </w:rPr>
              <w:t>Age (yr)</w:t>
            </w:r>
          </w:p>
        </w:tc>
        <w:tc>
          <w:tcPr>
            <w:tcW w:w="0" w:type="auto"/>
            <w:tcBorders>
              <w:top w:val="single" w:sz="4" w:space="0" w:color="auto"/>
            </w:tcBorders>
          </w:tcPr>
          <w:p w14:paraId="3ED3BAFE" w14:textId="5839925F" w:rsidR="00FB534B" w:rsidRPr="00BF53C4" w:rsidRDefault="00FB534B" w:rsidP="00FB534B">
            <w:pPr>
              <w:spacing w:line="360" w:lineRule="auto"/>
              <w:jc w:val="both"/>
              <w:rPr>
                <w:rFonts w:ascii="Book Antiqua" w:hAnsi="Book Antiqua"/>
              </w:rPr>
            </w:pPr>
            <w:r w:rsidRPr="00BF53C4">
              <w:rPr>
                <w:rFonts w:ascii="Book Antiqua" w:hAnsi="Book Antiqua"/>
              </w:rPr>
              <w:t>80.1 ± 4.2</w:t>
            </w:r>
          </w:p>
        </w:tc>
        <w:tc>
          <w:tcPr>
            <w:tcW w:w="0" w:type="auto"/>
            <w:tcBorders>
              <w:top w:val="single" w:sz="4" w:space="0" w:color="auto"/>
            </w:tcBorders>
          </w:tcPr>
          <w:p w14:paraId="5BB983E7" w14:textId="2D528CF2" w:rsidR="00FB534B" w:rsidRPr="00BF53C4" w:rsidRDefault="00FB534B" w:rsidP="00FB534B">
            <w:pPr>
              <w:spacing w:line="360" w:lineRule="auto"/>
              <w:jc w:val="both"/>
              <w:rPr>
                <w:rFonts w:ascii="Book Antiqua" w:hAnsi="Book Antiqua"/>
              </w:rPr>
            </w:pPr>
            <w:r w:rsidRPr="00BF53C4">
              <w:rPr>
                <w:rFonts w:ascii="Book Antiqua" w:hAnsi="Book Antiqua"/>
              </w:rPr>
              <w:t>79.6 ± 4.2</w:t>
            </w:r>
          </w:p>
        </w:tc>
        <w:tc>
          <w:tcPr>
            <w:tcW w:w="0" w:type="auto"/>
            <w:tcBorders>
              <w:top w:val="single" w:sz="4" w:space="0" w:color="auto"/>
            </w:tcBorders>
          </w:tcPr>
          <w:p w14:paraId="770628C1"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0.740</w:t>
            </w:r>
          </w:p>
        </w:tc>
      </w:tr>
      <w:tr w:rsidR="00FB534B" w:rsidRPr="00BF53C4" w14:paraId="55F36628" w14:textId="77777777" w:rsidTr="00064219">
        <w:trPr>
          <w:trHeight w:val="218"/>
        </w:trPr>
        <w:tc>
          <w:tcPr>
            <w:tcW w:w="0" w:type="auto"/>
          </w:tcPr>
          <w:p w14:paraId="08AAE555"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Body mass index (kg/m</w:t>
            </w:r>
            <w:r w:rsidRPr="00BF53C4">
              <w:rPr>
                <w:rFonts w:ascii="Book Antiqua" w:hAnsi="Book Antiqua"/>
                <w:vertAlign w:val="superscript"/>
              </w:rPr>
              <w:t>2</w:t>
            </w:r>
            <w:r w:rsidRPr="00BF53C4">
              <w:rPr>
                <w:rFonts w:ascii="Book Antiqua" w:hAnsi="Book Antiqua"/>
              </w:rPr>
              <w:t>)</w:t>
            </w:r>
          </w:p>
        </w:tc>
        <w:tc>
          <w:tcPr>
            <w:tcW w:w="0" w:type="auto"/>
          </w:tcPr>
          <w:p w14:paraId="1F2CAB9F" w14:textId="405E9F97" w:rsidR="00FB534B" w:rsidRPr="00BF53C4" w:rsidRDefault="00FB534B" w:rsidP="00FB534B">
            <w:pPr>
              <w:spacing w:line="360" w:lineRule="auto"/>
              <w:jc w:val="both"/>
              <w:rPr>
                <w:rFonts w:ascii="Book Antiqua" w:hAnsi="Book Antiqua"/>
              </w:rPr>
            </w:pPr>
            <w:r w:rsidRPr="00BF53C4">
              <w:rPr>
                <w:rFonts w:ascii="Book Antiqua" w:hAnsi="Book Antiqua"/>
              </w:rPr>
              <w:t>22.4 ± 2.3</w:t>
            </w:r>
          </w:p>
        </w:tc>
        <w:tc>
          <w:tcPr>
            <w:tcW w:w="0" w:type="auto"/>
          </w:tcPr>
          <w:p w14:paraId="0FC0C004" w14:textId="3FA9E04C" w:rsidR="00FB534B" w:rsidRPr="00BF53C4" w:rsidRDefault="00FB534B" w:rsidP="00FB534B">
            <w:pPr>
              <w:spacing w:line="360" w:lineRule="auto"/>
              <w:jc w:val="both"/>
              <w:rPr>
                <w:rFonts w:ascii="Book Antiqua" w:hAnsi="Book Antiqua"/>
              </w:rPr>
            </w:pPr>
            <w:r w:rsidRPr="00BF53C4">
              <w:rPr>
                <w:rFonts w:ascii="Book Antiqua" w:hAnsi="Book Antiqua"/>
              </w:rPr>
              <w:t>22.2 ± 2.2</w:t>
            </w:r>
          </w:p>
        </w:tc>
        <w:tc>
          <w:tcPr>
            <w:tcW w:w="0" w:type="auto"/>
          </w:tcPr>
          <w:p w14:paraId="70931757"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0.739</w:t>
            </w:r>
          </w:p>
        </w:tc>
      </w:tr>
      <w:tr w:rsidR="00FB534B" w:rsidRPr="00BF53C4" w14:paraId="5F3BD853" w14:textId="77777777" w:rsidTr="00064219">
        <w:trPr>
          <w:trHeight w:val="436"/>
        </w:trPr>
        <w:tc>
          <w:tcPr>
            <w:tcW w:w="0" w:type="auto"/>
          </w:tcPr>
          <w:p w14:paraId="75A2E89D"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Male/female</w:t>
            </w:r>
          </w:p>
        </w:tc>
        <w:tc>
          <w:tcPr>
            <w:tcW w:w="0" w:type="auto"/>
          </w:tcPr>
          <w:p w14:paraId="05C2D84F" w14:textId="77777777" w:rsidR="00FB534B" w:rsidRPr="00BF53C4" w:rsidRDefault="00FB534B" w:rsidP="00FB534B">
            <w:pPr>
              <w:spacing w:line="360" w:lineRule="auto"/>
              <w:jc w:val="both"/>
              <w:rPr>
                <w:rFonts w:ascii="Book Antiqua" w:hAnsi="Book Antiqua"/>
              </w:rPr>
            </w:pPr>
            <w:r w:rsidRPr="00BF53C4">
              <w:rPr>
                <w:rFonts w:ascii="Book Antiqua" w:hAnsi="Book Antiqua"/>
              </w:rPr>
              <w:t>10/5</w:t>
            </w:r>
          </w:p>
        </w:tc>
        <w:tc>
          <w:tcPr>
            <w:tcW w:w="0" w:type="auto"/>
          </w:tcPr>
          <w:p w14:paraId="1EF0F930" w14:textId="77777777" w:rsidR="00FB534B" w:rsidRPr="00BF53C4" w:rsidRDefault="00FB534B" w:rsidP="00FB534B">
            <w:pPr>
              <w:spacing w:line="360" w:lineRule="auto"/>
              <w:jc w:val="both"/>
              <w:rPr>
                <w:rFonts w:ascii="Book Antiqua" w:hAnsi="Book Antiqua"/>
              </w:rPr>
            </w:pPr>
            <w:r w:rsidRPr="00BF53C4">
              <w:rPr>
                <w:rFonts w:ascii="Book Antiqua" w:hAnsi="Book Antiqua"/>
              </w:rPr>
              <w:t>10/6</w:t>
            </w:r>
          </w:p>
        </w:tc>
        <w:tc>
          <w:tcPr>
            <w:tcW w:w="0" w:type="auto"/>
          </w:tcPr>
          <w:p w14:paraId="1D94598B"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0.553</w:t>
            </w:r>
          </w:p>
        </w:tc>
      </w:tr>
      <w:tr w:rsidR="00FB534B" w:rsidRPr="00BF53C4" w14:paraId="5F882F66" w14:textId="77777777" w:rsidTr="00064219">
        <w:trPr>
          <w:trHeight w:val="436"/>
        </w:trPr>
        <w:tc>
          <w:tcPr>
            <w:tcW w:w="0" w:type="auto"/>
          </w:tcPr>
          <w:p w14:paraId="15E6D626" w14:textId="1D73C6F0" w:rsidR="00FB534B" w:rsidRPr="00BF53C4" w:rsidRDefault="00FB534B" w:rsidP="00FB534B">
            <w:pPr>
              <w:snapToGrid w:val="0"/>
              <w:spacing w:line="360" w:lineRule="auto"/>
              <w:jc w:val="both"/>
              <w:rPr>
                <w:rFonts w:ascii="Book Antiqua" w:hAnsi="Book Antiqua"/>
              </w:rPr>
            </w:pPr>
            <w:r w:rsidRPr="00BF53C4">
              <w:rPr>
                <w:rFonts w:ascii="Book Antiqua" w:hAnsi="Book Antiqua"/>
              </w:rPr>
              <w:t>ASA II/III</w:t>
            </w:r>
          </w:p>
        </w:tc>
        <w:tc>
          <w:tcPr>
            <w:tcW w:w="0" w:type="auto"/>
          </w:tcPr>
          <w:p w14:paraId="53B23C28" w14:textId="77777777" w:rsidR="00FB534B" w:rsidRPr="00BF53C4" w:rsidRDefault="00FB534B" w:rsidP="00FB534B">
            <w:pPr>
              <w:spacing w:line="360" w:lineRule="auto"/>
              <w:jc w:val="both"/>
              <w:rPr>
                <w:rFonts w:ascii="Book Antiqua" w:hAnsi="Book Antiqua"/>
              </w:rPr>
            </w:pPr>
            <w:r w:rsidRPr="00BF53C4">
              <w:rPr>
                <w:rFonts w:ascii="Book Antiqua" w:hAnsi="Book Antiqua"/>
              </w:rPr>
              <w:t>11/4</w:t>
            </w:r>
          </w:p>
        </w:tc>
        <w:tc>
          <w:tcPr>
            <w:tcW w:w="0" w:type="auto"/>
          </w:tcPr>
          <w:p w14:paraId="77BAA7E4" w14:textId="77777777" w:rsidR="00FB534B" w:rsidRPr="00BF53C4" w:rsidRDefault="00FB534B" w:rsidP="00FB534B">
            <w:pPr>
              <w:spacing w:line="360" w:lineRule="auto"/>
              <w:jc w:val="both"/>
              <w:rPr>
                <w:rFonts w:ascii="Book Antiqua" w:hAnsi="Book Antiqua"/>
              </w:rPr>
            </w:pPr>
            <w:r w:rsidRPr="00BF53C4">
              <w:rPr>
                <w:rFonts w:ascii="Book Antiqua" w:hAnsi="Book Antiqua"/>
              </w:rPr>
              <w:t>10/6</w:t>
            </w:r>
          </w:p>
        </w:tc>
        <w:tc>
          <w:tcPr>
            <w:tcW w:w="0" w:type="auto"/>
          </w:tcPr>
          <w:p w14:paraId="4EC7BC1B"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0.398</w:t>
            </w:r>
          </w:p>
        </w:tc>
      </w:tr>
      <w:tr w:rsidR="00FB534B" w:rsidRPr="00BF53C4" w14:paraId="3BBFFC91" w14:textId="77777777" w:rsidTr="00064219">
        <w:trPr>
          <w:trHeight w:val="293"/>
        </w:trPr>
        <w:tc>
          <w:tcPr>
            <w:tcW w:w="0" w:type="auto"/>
            <w:tcBorders>
              <w:bottom w:val="single" w:sz="4" w:space="0" w:color="auto"/>
            </w:tcBorders>
          </w:tcPr>
          <w:p w14:paraId="068F42DC"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Duration of surgery (min)</w:t>
            </w:r>
          </w:p>
        </w:tc>
        <w:tc>
          <w:tcPr>
            <w:tcW w:w="0" w:type="auto"/>
            <w:tcBorders>
              <w:bottom w:val="single" w:sz="4" w:space="0" w:color="auto"/>
            </w:tcBorders>
          </w:tcPr>
          <w:p w14:paraId="4104AD7D" w14:textId="112008F2" w:rsidR="00FB534B" w:rsidRPr="00BF53C4" w:rsidRDefault="00FB534B" w:rsidP="00FB534B">
            <w:pPr>
              <w:spacing w:line="360" w:lineRule="auto"/>
              <w:jc w:val="both"/>
              <w:rPr>
                <w:rFonts w:ascii="Book Antiqua" w:hAnsi="Book Antiqua"/>
              </w:rPr>
            </w:pPr>
            <w:r w:rsidRPr="00BF53C4">
              <w:rPr>
                <w:rFonts w:ascii="Book Antiqua" w:hAnsi="Book Antiqua"/>
              </w:rPr>
              <w:t>60.3 ± 6.9</w:t>
            </w:r>
          </w:p>
        </w:tc>
        <w:tc>
          <w:tcPr>
            <w:tcW w:w="0" w:type="auto"/>
            <w:tcBorders>
              <w:bottom w:val="single" w:sz="4" w:space="0" w:color="auto"/>
            </w:tcBorders>
          </w:tcPr>
          <w:p w14:paraId="6B807DC2" w14:textId="52A339B8" w:rsidR="00FB534B" w:rsidRPr="00BF53C4" w:rsidRDefault="00FB534B" w:rsidP="00FB534B">
            <w:pPr>
              <w:spacing w:line="360" w:lineRule="auto"/>
              <w:jc w:val="both"/>
              <w:rPr>
                <w:rFonts w:ascii="Book Antiqua" w:hAnsi="Book Antiqua"/>
              </w:rPr>
            </w:pPr>
            <w:r w:rsidRPr="00BF53C4">
              <w:rPr>
                <w:rFonts w:ascii="Book Antiqua" w:hAnsi="Book Antiqua"/>
              </w:rPr>
              <w:t>59.5 ± 8.3</w:t>
            </w:r>
          </w:p>
        </w:tc>
        <w:tc>
          <w:tcPr>
            <w:tcW w:w="0" w:type="auto"/>
            <w:tcBorders>
              <w:bottom w:val="single" w:sz="4" w:space="0" w:color="auto"/>
            </w:tcBorders>
          </w:tcPr>
          <w:p w14:paraId="3B656427" w14:textId="77777777" w:rsidR="00FB534B" w:rsidRPr="00BF53C4" w:rsidRDefault="00FB534B" w:rsidP="00FB534B">
            <w:pPr>
              <w:snapToGrid w:val="0"/>
              <w:spacing w:line="360" w:lineRule="auto"/>
              <w:jc w:val="both"/>
              <w:rPr>
                <w:rFonts w:ascii="Book Antiqua" w:hAnsi="Book Antiqua"/>
              </w:rPr>
            </w:pPr>
            <w:r w:rsidRPr="00BF53C4">
              <w:rPr>
                <w:rFonts w:ascii="Book Antiqua" w:hAnsi="Book Antiqua"/>
              </w:rPr>
              <w:t>0.747</w:t>
            </w:r>
          </w:p>
        </w:tc>
      </w:tr>
    </w:tbl>
    <w:p w14:paraId="6018888F" w14:textId="520FC0BC" w:rsidR="00FB534B" w:rsidRPr="00BF53C4" w:rsidRDefault="00FB534B">
      <w:pPr>
        <w:spacing w:line="360" w:lineRule="auto"/>
        <w:jc w:val="both"/>
        <w:rPr>
          <w:rFonts w:ascii="Book Antiqua" w:hAnsi="Book Antiqua"/>
        </w:rPr>
      </w:pPr>
      <w:r w:rsidRPr="00BF53C4">
        <w:rPr>
          <w:rFonts w:ascii="Book Antiqua" w:hAnsi="Book Antiqua"/>
        </w:rPr>
        <w:t>ASA: American Society of Anesthesiologists.</w:t>
      </w:r>
    </w:p>
    <w:p w14:paraId="45EA8C28" w14:textId="4CA4BA77" w:rsidR="00FB534B" w:rsidRPr="00BF53C4" w:rsidRDefault="00FB534B">
      <w:pPr>
        <w:spacing w:line="360" w:lineRule="auto"/>
        <w:jc w:val="both"/>
        <w:rPr>
          <w:rFonts w:ascii="Book Antiqua" w:hAnsi="Book Antiqua"/>
          <w:b/>
          <w:bCs/>
        </w:rPr>
      </w:pPr>
      <w:r w:rsidRPr="00BF53C4">
        <w:rPr>
          <w:rFonts w:ascii="Book Antiqua" w:hAnsi="Book Antiqua"/>
        </w:rPr>
        <w:br w:type="page"/>
      </w:r>
      <w:r w:rsidRPr="00BF53C4">
        <w:rPr>
          <w:rFonts w:ascii="Book Antiqua" w:hAnsi="Book Antiqua"/>
          <w:b/>
          <w:bCs/>
        </w:rPr>
        <w:t>Table 2 The use of intraoperative and postoperative analgesics</w:t>
      </w:r>
    </w:p>
    <w:tbl>
      <w:tblPr>
        <w:tblW w:w="0" w:type="auto"/>
        <w:tblLook w:val="0600" w:firstRow="0" w:lastRow="0" w:firstColumn="0" w:lastColumn="0" w:noHBand="1" w:noVBand="1"/>
      </w:tblPr>
      <w:tblGrid>
        <w:gridCol w:w="4887"/>
        <w:gridCol w:w="1988"/>
        <w:gridCol w:w="1758"/>
        <w:gridCol w:w="943"/>
      </w:tblGrid>
      <w:tr w:rsidR="00FB534B" w:rsidRPr="00BF53C4" w14:paraId="591E9146" w14:textId="77777777" w:rsidTr="00064219">
        <w:trPr>
          <w:trHeight w:val="857"/>
        </w:trPr>
        <w:tc>
          <w:tcPr>
            <w:tcW w:w="0" w:type="auto"/>
            <w:tcBorders>
              <w:top w:val="single" w:sz="4" w:space="0" w:color="auto"/>
              <w:bottom w:val="single" w:sz="4" w:space="0" w:color="auto"/>
            </w:tcBorders>
          </w:tcPr>
          <w:p w14:paraId="43561BC5" w14:textId="77777777" w:rsidR="00FB534B" w:rsidRPr="00BF53C4" w:rsidRDefault="00FB534B" w:rsidP="00FB534B">
            <w:pPr>
              <w:snapToGrid w:val="0"/>
              <w:spacing w:line="360" w:lineRule="auto"/>
              <w:jc w:val="both"/>
              <w:rPr>
                <w:rFonts w:ascii="Book Antiqua" w:hAnsi="Book Antiqua"/>
                <w:b/>
                <w:bCs/>
              </w:rPr>
            </w:pPr>
            <w:r w:rsidRPr="00BF53C4">
              <w:rPr>
                <w:rFonts w:ascii="Book Antiqua" w:hAnsi="Book Antiqua"/>
                <w:b/>
                <w:bCs/>
              </w:rPr>
              <w:t>Analgesics</w:t>
            </w:r>
          </w:p>
        </w:tc>
        <w:tc>
          <w:tcPr>
            <w:tcW w:w="0" w:type="auto"/>
            <w:tcBorders>
              <w:top w:val="single" w:sz="4" w:space="0" w:color="auto"/>
              <w:bottom w:val="single" w:sz="4" w:space="0" w:color="auto"/>
            </w:tcBorders>
          </w:tcPr>
          <w:p w14:paraId="586D25BB" w14:textId="29D44600" w:rsidR="00FB534B" w:rsidRPr="00BF53C4" w:rsidRDefault="00FB534B" w:rsidP="00FB534B">
            <w:pPr>
              <w:snapToGrid w:val="0"/>
              <w:spacing w:line="360" w:lineRule="auto"/>
              <w:jc w:val="both"/>
              <w:rPr>
                <w:rFonts w:ascii="Book Antiqua" w:hAnsi="Book Antiqua"/>
                <w:b/>
                <w:bCs/>
              </w:rPr>
            </w:pPr>
            <w:r w:rsidRPr="00BF53C4">
              <w:rPr>
                <w:rFonts w:ascii="Book Antiqua" w:hAnsi="Book Antiqua"/>
                <w:b/>
                <w:bCs/>
              </w:rPr>
              <w:t>No-block group (</w:t>
            </w:r>
            <w:r w:rsidRPr="00BF53C4">
              <w:rPr>
                <w:rFonts w:ascii="Book Antiqua" w:hAnsi="Book Antiqua"/>
                <w:b/>
                <w:bCs/>
                <w:i/>
                <w:iCs/>
              </w:rPr>
              <w:t xml:space="preserve">n </w:t>
            </w:r>
            <w:r w:rsidRPr="00BF53C4">
              <w:rPr>
                <w:rFonts w:ascii="Book Antiqua" w:hAnsi="Book Antiqua"/>
                <w:b/>
                <w:bCs/>
              </w:rPr>
              <w:t>= 15)</w:t>
            </w:r>
          </w:p>
        </w:tc>
        <w:tc>
          <w:tcPr>
            <w:tcW w:w="0" w:type="auto"/>
            <w:tcBorders>
              <w:top w:val="single" w:sz="4" w:space="0" w:color="auto"/>
              <w:bottom w:val="single" w:sz="4" w:space="0" w:color="auto"/>
            </w:tcBorders>
          </w:tcPr>
          <w:p w14:paraId="265756A8" w14:textId="245BE884" w:rsidR="00FB534B" w:rsidRPr="00BF53C4" w:rsidRDefault="00FB534B" w:rsidP="00FB534B">
            <w:pPr>
              <w:snapToGrid w:val="0"/>
              <w:spacing w:line="360" w:lineRule="auto"/>
              <w:jc w:val="both"/>
              <w:rPr>
                <w:rFonts w:ascii="Book Antiqua" w:hAnsi="Book Antiqua"/>
                <w:b/>
                <w:bCs/>
                <w:lang w:eastAsia="zh-CN"/>
              </w:rPr>
            </w:pPr>
            <w:r w:rsidRPr="00BF53C4">
              <w:rPr>
                <w:rFonts w:ascii="Book Antiqua" w:hAnsi="Book Antiqua"/>
                <w:b/>
                <w:bCs/>
              </w:rPr>
              <w:t>Block group (</w:t>
            </w:r>
            <w:r w:rsidRPr="00BF53C4">
              <w:rPr>
                <w:rFonts w:ascii="Book Antiqua" w:hAnsi="Book Antiqua"/>
                <w:b/>
                <w:bCs/>
                <w:i/>
                <w:iCs/>
              </w:rPr>
              <w:t xml:space="preserve">n </w:t>
            </w:r>
            <w:r w:rsidRPr="00BF53C4">
              <w:rPr>
                <w:rFonts w:ascii="Book Antiqua" w:hAnsi="Book Antiqua"/>
                <w:b/>
                <w:bCs/>
              </w:rPr>
              <w:t>= 16</w:t>
            </w:r>
            <w:r w:rsidRPr="00BF53C4">
              <w:rPr>
                <w:rFonts w:ascii="Book Antiqua" w:hAnsi="Book Antiqua" w:hint="eastAsia"/>
                <w:b/>
                <w:bCs/>
                <w:lang w:eastAsia="zh-CN"/>
              </w:rPr>
              <w:t>)</w:t>
            </w:r>
          </w:p>
        </w:tc>
        <w:tc>
          <w:tcPr>
            <w:tcW w:w="0" w:type="auto"/>
            <w:tcBorders>
              <w:top w:val="single" w:sz="4" w:space="0" w:color="auto"/>
              <w:bottom w:val="single" w:sz="4" w:space="0" w:color="auto"/>
            </w:tcBorders>
          </w:tcPr>
          <w:p w14:paraId="7FA431FC" w14:textId="216C5AFA" w:rsidR="00FB534B" w:rsidRPr="00BF53C4" w:rsidRDefault="00FB534B" w:rsidP="00FB534B">
            <w:pPr>
              <w:snapToGrid w:val="0"/>
              <w:spacing w:line="360" w:lineRule="auto"/>
              <w:jc w:val="both"/>
              <w:rPr>
                <w:rFonts w:ascii="Book Antiqua" w:hAnsi="Book Antiqua"/>
                <w:b/>
                <w:bCs/>
              </w:rPr>
            </w:pPr>
            <w:r w:rsidRPr="00BF53C4">
              <w:rPr>
                <w:rFonts w:ascii="Book Antiqua" w:hAnsi="Book Antiqua"/>
                <w:b/>
                <w:bCs/>
                <w:i/>
                <w:iCs/>
              </w:rPr>
              <w:t>P</w:t>
            </w:r>
            <w:r w:rsidRPr="00BF53C4">
              <w:rPr>
                <w:rFonts w:ascii="Book Antiqua" w:hAnsi="Book Antiqua"/>
                <w:b/>
                <w:bCs/>
              </w:rPr>
              <w:t xml:space="preserve"> value</w:t>
            </w:r>
          </w:p>
        </w:tc>
      </w:tr>
      <w:tr w:rsidR="00FB534B" w:rsidRPr="00BF53C4" w14:paraId="7B8279D6" w14:textId="77777777" w:rsidTr="00064219">
        <w:trPr>
          <w:trHeight w:val="236"/>
        </w:trPr>
        <w:tc>
          <w:tcPr>
            <w:tcW w:w="0" w:type="auto"/>
            <w:tcBorders>
              <w:top w:val="single" w:sz="4" w:space="0" w:color="auto"/>
            </w:tcBorders>
          </w:tcPr>
          <w:p w14:paraId="04B806AC" w14:textId="26001B29" w:rsidR="00FB534B" w:rsidRPr="00BF53C4" w:rsidRDefault="00FB534B" w:rsidP="00FB534B">
            <w:pPr>
              <w:snapToGrid w:val="0"/>
              <w:spacing w:line="360" w:lineRule="auto"/>
              <w:jc w:val="both"/>
              <w:rPr>
                <w:rFonts w:ascii="Book Antiqua" w:hAnsi="Book Antiqua"/>
              </w:rPr>
            </w:pPr>
            <w:r w:rsidRPr="00BF53C4">
              <w:rPr>
                <w:rFonts w:ascii="Book Antiqua" w:hAnsi="Book Antiqua"/>
                <w:bCs/>
              </w:rPr>
              <w:t>Intraoperative remifentanil</w:t>
            </w:r>
            <w:r w:rsidRPr="00BF53C4">
              <w:rPr>
                <w:rFonts w:ascii="Book Antiqua" w:hAnsi="Book Antiqua"/>
              </w:rPr>
              <w:t xml:space="preserve"> dose (μg)</w:t>
            </w:r>
          </w:p>
        </w:tc>
        <w:tc>
          <w:tcPr>
            <w:tcW w:w="0" w:type="auto"/>
            <w:tcBorders>
              <w:top w:val="single" w:sz="4" w:space="0" w:color="auto"/>
            </w:tcBorders>
          </w:tcPr>
          <w:p w14:paraId="22E4989A" w14:textId="4EE79813" w:rsidR="00FB534B" w:rsidRPr="00BF53C4" w:rsidRDefault="00FB534B" w:rsidP="00FB534B">
            <w:pPr>
              <w:spacing w:line="360" w:lineRule="auto"/>
              <w:jc w:val="both"/>
              <w:rPr>
                <w:rFonts w:ascii="Book Antiqua" w:hAnsi="Book Antiqua"/>
              </w:rPr>
            </w:pPr>
            <w:r w:rsidRPr="00BF53C4">
              <w:rPr>
                <w:rFonts w:ascii="Book Antiqua" w:hAnsi="Book Antiqua"/>
              </w:rPr>
              <w:t>316.0 ± 62.5</w:t>
            </w:r>
          </w:p>
        </w:tc>
        <w:tc>
          <w:tcPr>
            <w:tcW w:w="0" w:type="auto"/>
            <w:tcBorders>
              <w:top w:val="single" w:sz="4" w:space="0" w:color="auto"/>
            </w:tcBorders>
          </w:tcPr>
          <w:p w14:paraId="36BF148D" w14:textId="1E2BAC1C" w:rsidR="00FB534B" w:rsidRPr="00BF53C4" w:rsidRDefault="00FB534B" w:rsidP="00FB534B">
            <w:pPr>
              <w:spacing w:line="360" w:lineRule="auto"/>
              <w:jc w:val="both"/>
              <w:rPr>
                <w:rFonts w:ascii="Book Antiqua" w:hAnsi="Book Antiqua"/>
              </w:rPr>
            </w:pPr>
            <w:r w:rsidRPr="00BF53C4">
              <w:rPr>
                <w:rFonts w:ascii="Book Antiqua" w:hAnsi="Book Antiqua"/>
              </w:rPr>
              <w:t>103 ± 37.9</w:t>
            </w:r>
          </w:p>
        </w:tc>
        <w:tc>
          <w:tcPr>
            <w:tcW w:w="0" w:type="auto"/>
            <w:tcBorders>
              <w:top w:val="single" w:sz="4" w:space="0" w:color="auto"/>
            </w:tcBorders>
          </w:tcPr>
          <w:p w14:paraId="5B843F6F" w14:textId="0C765E81" w:rsidR="00FB534B" w:rsidRPr="00BF53C4" w:rsidRDefault="00FB534B" w:rsidP="00FB534B">
            <w:pPr>
              <w:snapToGrid w:val="0"/>
              <w:spacing w:line="360" w:lineRule="auto"/>
              <w:jc w:val="both"/>
              <w:rPr>
                <w:rFonts w:ascii="Book Antiqua" w:hAnsi="Book Antiqua"/>
              </w:rPr>
            </w:pPr>
            <w:r w:rsidRPr="00BF53C4">
              <w:rPr>
                <w:rFonts w:ascii="Book Antiqua" w:hAnsi="Book Antiqua"/>
              </w:rPr>
              <w:t>&lt; 0.01</w:t>
            </w:r>
          </w:p>
        </w:tc>
      </w:tr>
      <w:tr w:rsidR="00FB534B" w:rsidRPr="00BF53C4" w14:paraId="004A91FD" w14:textId="77777777" w:rsidTr="00064219">
        <w:trPr>
          <w:trHeight w:val="895"/>
        </w:trPr>
        <w:tc>
          <w:tcPr>
            <w:tcW w:w="0" w:type="auto"/>
          </w:tcPr>
          <w:p w14:paraId="5788F1E3" w14:textId="77777777" w:rsidR="00FB534B" w:rsidRPr="00BF53C4" w:rsidRDefault="00FB534B" w:rsidP="00FB534B">
            <w:pPr>
              <w:spacing w:line="360" w:lineRule="auto"/>
              <w:jc w:val="both"/>
              <w:rPr>
                <w:rFonts w:ascii="Book Antiqua" w:hAnsi="Book Antiqua"/>
              </w:rPr>
            </w:pPr>
            <w:r w:rsidRPr="00BF53C4">
              <w:rPr>
                <w:rFonts w:ascii="Book Antiqua" w:hAnsi="Book Antiqua"/>
              </w:rPr>
              <w:t>Fentanyl given by intravenous titration in the PACU (μg)</w:t>
            </w:r>
          </w:p>
        </w:tc>
        <w:tc>
          <w:tcPr>
            <w:tcW w:w="0" w:type="auto"/>
          </w:tcPr>
          <w:p w14:paraId="3BB48814" w14:textId="1151AE42" w:rsidR="00FB534B" w:rsidRPr="00BF53C4" w:rsidRDefault="00FB534B" w:rsidP="00FB534B">
            <w:pPr>
              <w:spacing w:line="360" w:lineRule="auto"/>
              <w:jc w:val="both"/>
              <w:rPr>
                <w:rFonts w:ascii="Book Antiqua" w:hAnsi="Book Antiqua"/>
              </w:rPr>
            </w:pPr>
            <w:r w:rsidRPr="00BF53C4">
              <w:rPr>
                <w:rFonts w:ascii="Book Antiqua" w:hAnsi="Book Antiqua"/>
              </w:rPr>
              <w:t>22 ± 8.6</w:t>
            </w:r>
          </w:p>
        </w:tc>
        <w:tc>
          <w:tcPr>
            <w:tcW w:w="0" w:type="auto"/>
          </w:tcPr>
          <w:p w14:paraId="17D52F59" w14:textId="6FA07BB9" w:rsidR="00FB534B" w:rsidRPr="00BF53C4" w:rsidRDefault="00FB534B" w:rsidP="00FB534B">
            <w:pPr>
              <w:spacing w:line="360" w:lineRule="auto"/>
              <w:jc w:val="both"/>
              <w:rPr>
                <w:rFonts w:ascii="Book Antiqua" w:hAnsi="Book Antiqua"/>
              </w:rPr>
            </w:pPr>
            <w:r w:rsidRPr="00BF53C4">
              <w:rPr>
                <w:rFonts w:ascii="Book Antiqua" w:hAnsi="Book Antiqua"/>
              </w:rPr>
              <w:t>1.9 ± 4.0</w:t>
            </w:r>
          </w:p>
        </w:tc>
        <w:tc>
          <w:tcPr>
            <w:tcW w:w="0" w:type="auto"/>
          </w:tcPr>
          <w:p w14:paraId="68863921" w14:textId="34143469" w:rsidR="00FB534B" w:rsidRPr="00BF53C4" w:rsidRDefault="00FB534B" w:rsidP="00FB534B">
            <w:pPr>
              <w:snapToGrid w:val="0"/>
              <w:spacing w:line="360" w:lineRule="auto"/>
              <w:jc w:val="both"/>
              <w:rPr>
                <w:rFonts w:ascii="Book Antiqua" w:hAnsi="Book Antiqua"/>
              </w:rPr>
            </w:pPr>
            <w:r w:rsidRPr="00BF53C4">
              <w:rPr>
                <w:rFonts w:ascii="Book Antiqua" w:hAnsi="Book Antiqua"/>
              </w:rPr>
              <w:t>&lt; 0.01</w:t>
            </w:r>
          </w:p>
        </w:tc>
      </w:tr>
      <w:tr w:rsidR="00FB534B" w:rsidRPr="00BF53C4" w14:paraId="35550DB9" w14:textId="77777777" w:rsidTr="00064219">
        <w:trPr>
          <w:trHeight w:val="895"/>
        </w:trPr>
        <w:tc>
          <w:tcPr>
            <w:tcW w:w="0" w:type="auto"/>
            <w:tcBorders>
              <w:bottom w:val="single" w:sz="4" w:space="0" w:color="auto"/>
            </w:tcBorders>
          </w:tcPr>
          <w:p w14:paraId="47CF5912" w14:textId="77777777" w:rsidR="00FB534B" w:rsidRPr="00BF53C4" w:rsidRDefault="00FB534B" w:rsidP="00FB534B">
            <w:pPr>
              <w:spacing w:line="360" w:lineRule="auto"/>
              <w:jc w:val="both"/>
              <w:rPr>
                <w:rFonts w:ascii="Book Antiqua" w:hAnsi="Book Antiqua"/>
              </w:rPr>
            </w:pPr>
            <w:r w:rsidRPr="00BF53C4">
              <w:rPr>
                <w:rFonts w:ascii="Book Antiqua" w:hAnsi="Book Antiqua"/>
              </w:rPr>
              <w:t>Fentanyl consumption by PCIA device in 48 h after operation (μg)</w:t>
            </w:r>
          </w:p>
        </w:tc>
        <w:tc>
          <w:tcPr>
            <w:tcW w:w="0" w:type="auto"/>
            <w:tcBorders>
              <w:bottom w:val="single" w:sz="4" w:space="0" w:color="auto"/>
            </w:tcBorders>
          </w:tcPr>
          <w:p w14:paraId="7898F04A" w14:textId="345D6A30" w:rsidR="00FB534B" w:rsidRPr="00BF53C4" w:rsidRDefault="00FB534B" w:rsidP="00FB534B">
            <w:pPr>
              <w:spacing w:line="360" w:lineRule="auto"/>
              <w:jc w:val="both"/>
              <w:rPr>
                <w:rFonts w:ascii="Book Antiqua" w:hAnsi="Book Antiqua"/>
              </w:rPr>
            </w:pPr>
            <w:r w:rsidRPr="00BF53C4">
              <w:rPr>
                <w:rFonts w:ascii="Book Antiqua" w:hAnsi="Book Antiqua"/>
              </w:rPr>
              <w:t>406.6 ± 70.9</w:t>
            </w:r>
          </w:p>
        </w:tc>
        <w:tc>
          <w:tcPr>
            <w:tcW w:w="0" w:type="auto"/>
            <w:tcBorders>
              <w:bottom w:val="single" w:sz="4" w:space="0" w:color="auto"/>
            </w:tcBorders>
          </w:tcPr>
          <w:p w14:paraId="1E472C90" w14:textId="648FEAF8" w:rsidR="00FB534B" w:rsidRPr="00BF53C4" w:rsidRDefault="00FB534B" w:rsidP="00FB534B">
            <w:pPr>
              <w:spacing w:line="360" w:lineRule="auto"/>
              <w:jc w:val="both"/>
              <w:rPr>
                <w:rFonts w:ascii="Book Antiqua" w:hAnsi="Book Antiqua"/>
              </w:rPr>
            </w:pPr>
            <w:r w:rsidRPr="00BF53C4">
              <w:rPr>
                <w:rFonts w:ascii="Book Antiqua" w:hAnsi="Book Antiqua"/>
              </w:rPr>
              <w:t>204.3 ± 43.0</w:t>
            </w:r>
          </w:p>
        </w:tc>
        <w:tc>
          <w:tcPr>
            <w:tcW w:w="0" w:type="auto"/>
            <w:tcBorders>
              <w:bottom w:val="single" w:sz="4" w:space="0" w:color="auto"/>
            </w:tcBorders>
          </w:tcPr>
          <w:p w14:paraId="2B855686" w14:textId="062B66CE" w:rsidR="00FB534B" w:rsidRPr="00BF53C4" w:rsidRDefault="00FB534B" w:rsidP="00FB534B">
            <w:pPr>
              <w:snapToGrid w:val="0"/>
              <w:spacing w:line="360" w:lineRule="auto"/>
              <w:jc w:val="both"/>
              <w:rPr>
                <w:rFonts w:ascii="Book Antiqua" w:hAnsi="Book Antiqua"/>
              </w:rPr>
            </w:pPr>
            <w:r w:rsidRPr="00BF53C4">
              <w:rPr>
                <w:rFonts w:ascii="Book Antiqua" w:hAnsi="Book Antiqua"/>
              </w:rPr>
              <w:t>&lt; 0.01</w:t>
            </w:r>
          </w:p>
        </w:tc>
      </w:tr>
    </w:tbl>
    <w:p w14:paraId="14ADFCB8" w14:textId="7E94675B" w:rsidR="00873DC4" w:rsidRPr="00BF53C4" w:rsidRDefault="00FB534B">
      <w:pPr>
        <w:spacing w:line="360" w:lineRule="auto"/>
        <w:jc w:val="both"/>
        <w:rPr>
          <w:rFonts w:ascii="Book Antiqua" w:hAnsi="Book Antiqua"/>
        </w:rPr>
      </w:pPr>
      <w:r w:rsidRPr="00BF53C4">
        <w:rPr>
          <w:rFonts w:ascii="Book Antiqua" w:hAnsi="Book Antiqua"/>
        </w:rPr>
        <w:t>PACU: Post-anesthesia care unit; PCIA: Patient-controlled intravenous analgesia.</w:t>
      </w:r>
    </w:p>
    <w:p w14:paraId="576CA8CB" w14:textId="6F6E5CD7" w:rsidR="00FB534B" w:rsidRPr="00BF53C4" w:rsidRDefault="00873DC4">
      <w:pPr>
        <w:spacing w:line="360" w:lineRule="auto"/>
        <w:jc w:val="both"/>
        <w:rPr>
          <w:rFonts w:ascii="Book Antiqua" w:hAnsi="Book Antiqua"/>
          <w:b/>
          <w:bCs/>
        </w:rPr>
      </w:pPr>
      <w:r w:rsidRPr="00BF53C4">
        <w:rPr>
          <w:rFonts w:ascii="Book Antiqua" w:hAnsi="Book Antiqua"/>
        </w:rPr>
        <w:br w:type="page"/>
      </w:r>
      <w:r w:rsidRPr="00BF53C4">
        <w:rPr>
          <w:rFonts w:ascii="Book Antiqua" w:hAnsi="Book Antiqua"/>
          <w:b/>
          <w:bCs/>
        </w:rPr>
        <w:t>Table 3 Postoperative visual analog scale during rest and movement</w:t>
      </w:r>
    </w:p>
    <w:tbl>
      <w:tblPr>
        <w:tblW w:w="0" w:type="auto"/>
        <w:tblLook w:val="0600" w:firstRow="0" w:lastRow="0" w:firstColumn="0" w:lastColumn="0" w:noHBand="1" w:noVBand="1"/>
      </w:tblPr>
      <w:tblGrid>
        <w:gridCol w:w="2014"/>
        <w:gridCol w:w="1512"/>
        <w:gridCol w:w="1380"/>
        <w:gridCol w:w="889"/>
        <w:gridCol w:w="1512"/>
        <w:gridCol w:w="1380"/>
        <w:gridCol w:w="889"/>
      </w:tblGrid>
      <w:tr w:rsidR="00873DC4" w:rsidRPr="00BF53C4" w14:paraId="304481D5" w14:textId="77777777" w:rsidTr="00064219">
        <w:trPr>
          <w:trHeight w:val="440"/>
        </w:trPr>
        <w:tc>
          <w:tcPr>
            <w:tcW w:w="0" w:type="auto"/>
            <w:vMerge w:val="restart"/>
            <w:tcBorders>
              <w:top w:val="single" w:sz="4" w:space="0" w:color="auto"/>
              <w:bottom w:val="single" w:sz="4" w:space="0" w:color="auto"/>
            </w:tcBorders>
          </w:tcPr>
          <w:p w14:paraId="2D409EF6" w14:textId="77777777" w:rsidR="00873DC4" w:rsidRPr="00BF53C4" w:rsidRDefault="00873DC4" w:rsidP="00873DC4">
            <w:pPr>
              <w:snapToGrid w:val="0"/>
              <w:spacing w:line="360" w:lineRule="auto"/>
              <w:jc w:val="both"/>
              <w:rPr>
                <w:rFonts w:ascii="Book Antiqua" w:hAnsi="Book Antiqua"/>
                <w:b/>
                <w:bCs/>
              </w:rPr>
            </w:pPr>
            <w:r w:rsidRPr="00BF53C4">
              <w:rPr>
                <w:rFonts w:ascii="Book Antiqua" w:hAnsi="Book Antiqua"/>
                <w:b/>
                <w:bCs/>
              </w:rPr>
              <w:t>Postoperative time (d)</w:t>
            </w:r>
          </w:p>
        </w:tc>
        <w:tc>
          <w:tcPr>
            <w:tcW w:w="0" w:type="auto"/>
            <w:gridSpan w:val="3"/>
            <w:tcBorders>
              <w:top w:val="single" w:sz="4" w:space="0" w:color="auto"/>
              <w:bottom w:val="single" w:sz="4" w:space="0" w:color="auto"/>
            </w:tcBorders>
          </w:tcPr>
          <w:p w14:paraId="231EFCC4" w14:textId="77777777" w:rsidR="00873DC4" w:rsidRPr="00BF53C4" w:rsidRDefault="00873DC4" w:rsidP="00873DC4">
            <w:pPr>
              <w:snapToGrid w:val="0"/>
              <w:spacing w:line="360" w:lineRule="auto"/>
              <w:jc w:val="both"/>
              <w:rPr>
                <w:rFonts w:ascii="Book Antiqua" w:hAnsi="Book Antiqua"/>
                <w:b/>
                <w:bCs/>
              </w:rPr>
            </w:pPr>
            <w:r w:rsidRPr="00BF53C4">
              <w:rPr>
                <w:rFonts w:ascii="Book Antiqua" w:hAnsi="Book Antiqua"/>
                <w:b/>
                <w:bCs/>
              </w:rPr>
              <w:t>VAS during rest</w:t>
            </w:r>
          </w:p>
        </w:tc>
        <w:tc>
          <w:tcPr>
            <w:tcW w:w="0" w:type="auto"/>
            <w:gridSpan w:val="3"/>
            <w:tcBorders>
              <w:top w:val="single" w:sz="4" w:space="0" w:color="auto"/>
              <w:bottom w:val="single" w:sz="4" w:space="0" w:color="auto"/>
            </w:tcBorders>
          </w:tcPr>
          <w:p w14:paraId="76D3A3EC" w14:textId="77777777" w:rsidR="00873DC4" w:rsidRPr="00BF53C4" w:rsidRDefault="00873DC4" w:rsidP="00873DC4">
            <w:pPr>
              <w:snapToGrid w:val="0"/>
              <w:spacing w:line="360" w:lineRule="auto"/>
              <w:jc w:val="both"/>
              <w:rPr>
                <w:rFonts w:ascii="Book Antiqua" w:hAnsi="Book Antiqua"/>
                <w:b/>
                <w:bCs/>
              </w:rPr>
            </w:pPr>
            <w:r w:rsidRPr="00BF53C4">
              <w:rPr>
                <w:rFonts w:ascii="Book Antiqua" w:hAnsi="Book Antiqua"/>
                <w:b/>
                <w:bCs/>
              </w:rPr>
              <w:t>VAS during movement</w:t>
            </w:r>
          </w:p>
        </w:tc>
      </w:tr>
      <w:tr w:rsidR="00873DC4" w:rsidRPr="00BF53C4" w14:paraId="13740CF7" w14:textId="77777777" w:rsidTr="00064219">
        <w:trPr>
          <w:trHeight w:val="1358"/>
        </w:trPr>
        <w:tc>
          <w:tcPr>
            <w:tcW w:w="0" w:type="auto"/>
            <w:vMerge/>
            <w:tcBorders>
              <w:top w:val="single" w:sz="4" w:space="0" w:color="auto"/>
              <w:bottom w:val="single" w:sz="4" w:space="0" w:color="auto"/>
            </w:tcBorders>
          </w:tcPr>
          <w:p w14:paraId="4F358DD6" w14:textId="77777777" w:rsidR="00873DC4" w:rsidRPr="00BF53C4" w:rsidRDefault="00873DC4" w:rsidP="00873DC4">
            <w:pPr>
              <w:snapToGrid w:val="0"/>
              <w:spacing w:line="360" w:lineRule="auto"/>
              <w:jc w:val="both"/>
              <w:rPr>
                <w:rFonts w:ascii="Book Antiqua" w:hAnsi="Book Antiqua"/>
                <w:b/>
                <w:bCs/>
              </w:rPr>
            </w:pPr>
          </w:p>
        </w:tc>
        <w:tc>
          <w:tcPr>
            <w:tcW w:w="0" w:type="auto"/>
            <w:tcBorders>
              <w:top w:val="single" w:sz="4" w:space="0" w:color="auto"/>
              <w:bottom w:val="single" w:sz="4" w:space="0" w:color="auto"/>
            </w:tcBorders>
          </w:tcPr>
          <w:p w14:paraId="14ABC096" w14:textId="089E884E" w:rsidR="00873DC4" w:rsidRPr="00BF53C4" w:rsidRDefault="00873DC4" w:rsidP="00873DC4">
            <w:pPr>
              <w:snapToGrid w:val="0"/>
              <w:spacing w:line="360" w:lineRule="auto"/>
              <w:jc w:val="both"/>
              <w:rPr>
                <w:rFonts w:ascii="Book Antiqua" w:hAnsi="Book Antiqua"/>
                <w:b/>
                <w:bCs/>
              </w:rPr>
            </w:pPr>
            <w:r w:rsidRPr="00BF53C4">
              <w:rPr>
                <w:rFonts w:ascii="Book Antiqua" w:hAnsi="Book Antiqua"/>
                <w:b/>
                <w:bCs/>
              </w:rPr>
              <w:t>No-block group (</w:t>
            </w:r>
            <w:r w:rsidRPr="00BF53C4">
              <w:rPr>
                <w:rFonts w:ascii="Book Antiqua" w:hAnsi="Book Antiqua"/>
                <w:b/>
                <w:bCs/>
                <w:i/>
                <w:iCs/>
              </w:rPr>
              <w:t>n</w:t>
            </w:r>
            <w:r w:rsidRPr="00BF53C4">
              <w:rPr>
                <w:rFonts w:ascii="Book Antiqua" w:hAnsi="Book Antiqua"/>
                <w:b/>
                <w:bCs/>
              </w:rPr>
              <w:t xml:space="preserve"> = 15)</w:t>
            </w:r>
          </w:p>
        </w:tc>
        <w:tc>
          <w:tcPr>
            <w:tcW w:w="0" w:type="auto"/>
            <w:tcBorders>
              <w:top w:val="single" w:sz="4" w:space="0" w:color="auto"/>
              <w:bottom w:val="single" w:sz="4" w:space="0" w:color="auto"/>
            </w:tcBorders>
          </w:tcPr>
          <w:p w14:paraId="777D720C" w14:textId="259D1BFE" w:rsidR="00873DC4" w:rsidRPr="00BF53C4" w:rsidRDefault="00873DC4" w:rsidP="00873DC4">
            <w:pPr>
              <w:snapToGrid w:val="0"/>
              <w:spacing w:line="360" w:lineRule="auto"/>
              <w:jc w:val="both"/>
              <w:rPr>
                <w:rFonts w:ascii="Book Antiqua" w:hAnsi="Book Antiqua"/>
                <w:b/>
                <w:bCs/>
                <w:lang w:eastAsia="zh-CN"/>
              </w:rPr>
            </w:pPr>
            <w:r w:rsidRPr="00BF53C4">
              <w:rPr>
                <w:rFonts w:ascii="Book Antiqua" w:hAnsi="Book Antiqua"/>
                <w:b/>
                <w:bCs/>
              </w:rPr>
              <w:t>Block group (</w:t>
            </w:r>
            <w:r w:rsidRPr="00BF53C4">
              <w:rPr>
                <w:rFonts w:ascii="Book Antiqua" w:hAnsi="Book Antiqua"/>
                <w:b/>
                <w:bCs/>
                <w:i/>
                <w:iCs/>
              </w:rPr>
              <w:t>n</w:t>
            </w:r>
            <w:r w:rsidRPr="00BF53C4">
              <w:rPr>
                <w:rFonts w:ascii="Book Antiqua" w:hAnsi="Book Antiqua"/>
                <w:b/>
                <w:bCs/>
              </w:rPr>
              <w:t xml:space="preserve"> = 16</w:t>
            </w:r>
            <w:r w:rsidRPr="00BF53C4">
              <w:rPr>
                <w:rFonts w:ascii="Book Antiqua" w:hAnsi="Book Antiqua" w:hint="eastAsia"/>
                <w:b/>
                <w:bCs/>
                <w:lang w:eastAsia="zh-CN"/>
              </w:rPr>
              <w:t>)</w:t>
            </w:r>
          </w:p>
        </w:tc>
        <w:tc>
          <w:tcPr>
            <w:tcW w:w="0" w:type="auto"/>
            <w:tcBorders>
              <w:top w:val="single" w:sz="4" w:space="0" w:color="auto"/>
              <w:bottom w:val="single" w:sz="4" w:space="0" w:color="auto"/>
            </w:tcBorders>
          </w:tcPr>
          <w:p w14:paraId="228D2C4C" w14:textId="4B2B23E4" w:rsidR="00873DC4" w:rsidRPr="00BF53C4" w:rsidRDefault="00873DC4" w:rsidP="00873DC4">
            <w:pPr>
              <w:snapToGrid w:val="0"/>
              <w:spacing w:line="360" w:lineRule="auto"/>
              <w:jc w:val="both"/>
              <w:rPr>
                <w:rFonts w:ascii="Book Antiqua" w:hAnsi="Book Antiqua"/>
                <w:b/>
                <w:bCs/>
              </w:rPr>
            </w:pPr>
            <w:r w:rsidRPr="00BF53C4">
              <w:rPr>
                <w:rFonts w:ascii="Book Antiqua" w:hAnsi="Book Antiqua"/>
                <w:b/>
                <w:bCs/>
                <w:i/>
                <w:iCs/>
              </w:rPr>
              <w:t>P</w:t>
            </w:r>
            <w:r w:rsidRPr="00BF53C4">
              <w:rPr>
                <w:rFonts w:ascii="Book Antiqua" w:hAnsi="Book Antiqua"/>
                <w:b/>
                <w:bCs/>
              </w:rPr>
              <w:t xml:space="preserve"> value</w:t>
            </w:r>
          </w:p>
        </w:tc>
        <w:tc>
          <w:tcPr>
            <w:tcW w:w="0" w:type="auto"/>
            <w:tcBorders>
              <w:top w:val="single" w:sz="4" w:space="0" w:color="auto"/>
              <w:bottom w:val="single" w:sz="4" w:space="0" w:color="auto"/>
            </w:tcBorders>
          </w:tcPr>
          <w:p w14:paraId="39C3C8A8" w14:textId="555B9F04" w:rsidR="00873DC4" w:rsidRPr="00BF53C4" w:rsidRDefault="00873DC4" w:rsidP="00873DC4">
            <w:pPr>
              <w:snapToGrid w:val="0"/>
              <w:spacing w:line="360" w:lineRule="auto"/>
              <w:jc w:val="both"/>
              <w:rPr>
                <w:rFonts w:ascii="Book Antiqua" w:hAnsi="Book Antiqua"/>
                <w:b/>
                <w:bCs/>
              </w:rPr>
            </w:pPr>
            <w:r w:rsidRPr="00BF53C4">
              <w:rPr>
                <w:rFonts w:ascii="Book Antiqua" w:hAnsi="Book Antiqua"/>
                <w:b/>
                <w:bCs/>
              </w:rPr>
              <w:t>No-block group (</w:t>
            </w:r>
            <w:r w:rsidRPr="00BF53C4">
              <w:rPr>
                <w:rFonts w:ascii="Book Antiqua" w:hAnsi="Book Antiqua"/>
                <w:b/>
                <w:bCs/>
                <w:i/>
                <w:iCs/>
              </w:rPr>
              <w:t>n</w:t>
            </w:r>
            <w:r w:rsidRPr="00BF53C4">
              <w:rPr>
                <w:rFonts w:ascii="Book Antiqua" w:hAnsi="Book Antiqua"/>
                <w:b/>
                <w:bCs/>
              </w:rPr>
              <w:t xml:space="preserve"> = 15)</w:t>
            </w:r>
          </w:p>
        </w:tc>
        <w:tc>
          <w:tcPr>
            <w:tcW w:w="0" w:type="auto"/>
            <w:tcBorders>
              <w:top w:val="single" w:sz="4" w:space="0" w:color="auto"/>
              <w:bottom w:val="single" w:sz="4" w:space="0" w:color="auto"/>
            </w:tcBorders>
          </w:tcPr>
          <w:p w14:paraId="3B17291D" w14:textId="76452C87" w:rsidR="00873DC4" w:rsidRPr="00BF53C4" w:rsidRDefault="00873DC4" w:rsidP="00873DC4">
            <w:pPr>
              <w:snapToGrid w:val="0"/>
              <w:spacing w:line="360" w:lineRule="auto"/>
              <w:jc w:val="both"/>
              <w:rPr>
                <w:rFonts w:ascii="Book Antiqua" w:hAnsi="Book Antiqua"/>
                <w:b/>
                <w:bCs/>
                <w:lang w:eastAsia="zh-CN"/>
              </w:rPr>
            </w:pPr>
            <w:r w:rsidRPr="00BF53C4">
              <w:rPr>
                <w:rFonts w:ascii="Book Antiqua" w:hAnsi="Book Antiqua"/>
                <w:b/>
                <w:bCs/>
              </w:rPr>
              <w:t>Block group (</w:t>
            </w:r>
            <w:r w:rsidRPr="00BF53C4">
              <w:rPr>
                <w:rFonts w:ascii="Book Antiqua" w:hAnsi="Book Antiqua"/>
                <w:b/>
                <w:bCs/>
                <w:i/>
                <w:iCs/>
              </w:rPr>
              <w:t>n</w:t>
            </w:r>
            <w:r w:rsidRPr="00BF53C4">
              <w:rPr>
                <w:rFonts w:ascii="Book Antiqua" w:hAnsi="Book Antiqua"/>
                <w:b/>
                <w:bCs/>
              </w:rPr>
              <w:t xml:space="preserve"> = 16</w:t>
            </w:r>
            <w:r w:rsidRPr="00BF53C4">
              <w:rPr>
                <w:rFonts w:ascii="Book Antiqua" w:hAnsi="Book Antiqua" w:hint="eastAsia"/>
                <w:b/>
                <w:bCs/>
                <w:lang w:eastAsia="zh-CN"/>
              </w:rPr>
              <w:t>)</w:t>
            </w:r>
          </w:p>
        </w:tc>
        <w:tc>
          <w:tcPr>
            <w:tcW w:w="0" w:type="auto"/>
            <w:tcBorders>
              <w:top w:val="single" w:sz="4" w:space="0" w:color="auto"/>
              <w:bottom w:val="single" w:sz="4" w:space="0" w:color="auto"/>
            </w:tcBorders>
          </w:tcPr>
          <w:p w14:paraId="029118E0" w14:textId="36CB05B0" w:rsidR="00873DC4" w:rsidRPr="00BF53C4" w:rsidRDefault="00873DC4" w:rsidP="00873DC4">
            <w:pPr>
              <w:snapToGrid w:val="0"/>
              <w:spacing w:line="360" w:lineRule="auto"/>
              <w:jc w:val="both"/>
              <w:rPr>
                <w:rFonts w:ascii="Book Antiqua" w:hAnsi="Book Antiqua"/>
                <w:b/>
                <w:bCs/>
              </w:rPr>
            </w:pPr>
            <w:r w:rsidRPr="00BF53C4">
              <w:rPr>
                <w:rFonts w:ascii="Book Antiqua" w:hAnsi="Book Antiqua"/>
                <w:b/>
                <w:bCs/>
                <w:i/>
                <w:iCs/>
              </w:rPr>
              <w:t>P</w:t>
            </w:r>
            <w:r w:rsidRPr="00BF53C4">
              <w:rPr>
                <w:rFonts w:ascii="Book Antiqua" w:hAnsi="Book Antiqua"/>
                <w:b/>
                <w:bCs/>
              </w:rPr>
              <w:t xml:space="preserve"> value</w:t>
            </w:r>
          </w:p>
        </w:tc>
      </w:tr>
      <w:tr w:rsidR="00873DC4" w:rsidRPr="00BF53C4" w14:paraId="6506277A" w14:textId="77777777" w:rsidTr="00064219">
        <w:trPr>
          <w:trHeight w:val="465"/>
        </w:trPr>
        <w:tc>
          <w:tcPr>
            <w:tcW w:w="0" w:type="auto"/>
            <w:tcBorders>
              <w:top w:val="single" w:sz="4" w:space="0" w:color="auto"/>
            </w:tcBorders>
          </w:tcPr>
          <w:p w14:paraId="66220D10" w14:textId="77777777" w:rsidR="00873DC4" w:rsidRPr="00BF53C4" w:rsidRDefault="00873DC4" w:rsidP="008A5F0B">
            <w:pPr>
              <w:snapToGrid w:val="0"/>
              <w:spacing w:line="360" w:lineRule="auto"/>
              <w:jc w:val="both"/>
              <w:rPr>
                <w:rFonts w:ascii="Book Antiqua" w:hAnsi="Book Antiqua"/>
              </w:rPr>
            </w:pPr>
            <w:r w:rsidRPr="00BF53C4">
              <w:rPr>
                <w:rFonts w:ascii="Book Antiqua" w:hAnsi="Book Antiqua"/>
              </w:rPr>
              <w:t>1</w:t>
            </w:r>
            <w:r w:rsidRPr="00BF53C4">
              <w:rPr>
                <w:rFonts w:ascii="Book Antiqua" w:hAnsi="Book Antiqua"/>
                <w:vertAlign w:val="superscript"/>
              </w:rPr>
              <w:t>st</w:t>
            </w:r>
          </w:p>
        </w:tc>
        <w:tc>
          <w:tcPr>
            <w:tcW w:w="0" w:type="auto"/>
            <w:tcBorders>
              <w:top w:val="single" w:sz="4" w:space="0" w:color="auto"/>
            </w:tcBorders>
          </w:tcPr>
          <w:p w14:paraId="435C0B89" w14:textId="1FDF55D2" w:rsidR="00873DC4" w:rsidRPr="00BF53C4" w:rsidRDefault="00873DC4" w:rsidP="008A5F0B">
            <w:pPr>
              <w:snapToGrid w:val="0"/>
              <w:spacing w:line="360" w:lineRule="auto"/>
              <w:jc w:val="both"/>
              <w:rPr>
                <w:rFonts w:ascii="Book Antiqua" w:hAnsi="Book Antiqua"/>
              </w:rPr>
            </w:pPr>
            <w:r w:rsidRPr="00BF53C4">
              <w:rPr>
                <w:rFonts w:ascii="Book Antiqua" w:hAnsi="Book Antiqua"/>
              </w:rPr>
              <w:t>3.6</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0.5</w:t>
            </w:r>
          </w:p>
        </w:tc>
        <w:tc>
          <w:tcPr>
            <w:tcW w:w="0" w:type="auto"/>
            <w:tcBorders>
              <w:top w:val="single" w:sz="4" w:space="0" w:color="auto"/>
            </w:tcBorders>
          </w:tcPr>
          <w:p w14:paraId="3D334FC0" w14:textId="04D45909" w:rsidR="00873DC4" w:rsidRPr="00BF53C4" w:rsidRDefault="00873DC4" w:rsidP="008A5F0B">
            <w:pPr>
              <w:snapToGrid w:val="0"/>
              <w:spacing w:line="360" w:lineRule="auto"/>
              <w:jc w:val="both"/>
              <w:rPr>
                <w:rFonts w:ascii="Book Antiqua" w:hAnsi="Book Antiqua"/>
              </w:rPr>
            </w:pPr>
            <w:r w:rsidRPr="00BF53C4">
              <w:rPr>
                <w:rFonts w:ascii="Book Antiqua" w:hAnsi="Book Antiqua"/>
              </w:rPr>
              <w:t>2.7</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0.4</w:t>
            </w:r>
          </w:p>
        </w:tc>
        <w:tc>
          <w:tcPr>
            <w:tcW w:w="0" w:type="auto"/>
            <w:tcBorders>
              <w:top w:val="single" w:sz="4" w:space="0" w:color="auto"/>
            </w:tcBorders>
          </w:tcPr>
          <w:p w14:paraId="74874F70" w14:textId="5DE91DEF" w:rsidR="00873DC4" w:rsidRPr="00BF53C4" w:rsidRDefault="00873DC4" w:rsidP="008A5F0B">
            <w:pPr>
              <w:snapToGrid w:val="0"/>
              <w:spacing w:line="360" w:lineRule="auto"/>
              <w:jc w:val="both"/>
              <w:rPr>
                <w:rFonts w:ascii="Book Antiqua" w:hAnsi="Book Antiqua"/>
              </w:rPr>
            </w:pPr>
            <w:bookmarkStart w:id="2" w:name="OLE_LINK20"/>
            <w:r w:rsidRPr="00BF53C4">
              <w:rPr>
                <w:rFonts w:ascii="Book Antiqua" w:hAnsi="Book Antiqua"/>
              </w:rPr>
              <w:t>&lt;</w:t>
            </w:r>
            <w:r w:rsidR="008A5F0B" w:rsidRPr="00BF53C4">
              <w:rPr>
                <w:rFonts w:ascii="Book Antiqua" w:hAnsi="Book Antiqua"/>
              </w:rPr>
              <w:t xml:space="preserve"> </w:t>
            </w:r>
            <w:r w:rsidRPr="00BF53C4">
              <w:rPr>
                <w:rFonts w:ascii="Book Antiqua" w:hAnsi="Book Antiqua"/>
              </w:rPr>
              <w:t>0.01</w:t>
            </w:r>
            <w:bookmarkEnd w:id="2"/>
          </w:p>
        </w:tc>
        <w:tc>
          <w:tcPr>
            <w:tcW w:w="0" w:type="auto"/>
            <w:tcBorders>
              <w:top w:val="single" w:sz="4" w:space="0" w:color="auto"/>
            </w:tcBorders>
          </w:tcPr>
          <w:p w14:paraId="05FF81F6" w14:textId="6F01F7AD" w:rsidR="00873DC4" w:rsidRPr="00BF53C4" w:rsidRDefault="00873DC4" w:rsidP="008A5F0B">
            <w:pPr>
              <w:snapToGrid w:val="0"/>
              <w:spacing w:line="360" w:lineRule="auto"/>
              <w:jc w:val="both"/>
              <w:rPr>
                <w:rFonts w:ascii="Book Antiqua" w:hAnsi="Book Antiqua"/>
              </w:rPr>
            </w:pPr>
            <w:r w:rsidRPr="00BF53C4">
              <w:rPr>
                <w:rFonts w:ascii="Book Antiqua" w:hAnsi="Book Antiqua"/>
              </w:rPr>
              <w:t>4.9</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0.7</w:t>
            </w:r>
          </w:p>
        </w:tc>
        <w:tc>
          <w:tcPr>
            <w:tcW w:w="0" w:type="auto"/>
            <w:tcBorders>
              <w:top w:val="single" w:sz="4" w:space="0" w:color="auto"/>
            </w:tcBorders>
          </w:tcPr>
          <w:p w14:paraId="36298107" w14:textId="3FB2BC17" w:rsidR="00873DC4" w:rsidRPr="00BF53C4" w:rsidRDefault="00873DC4" w:rsidP="008A5F0B">
            <w:pPr>
              <w:snapToGrid w:val="0"/>
              <w:spacing w:line="360" w:lineRule="auto"/>
              <w:jc w:val="both"/>
              <w:rPr>
                <w:rFonts w:ascii="Book Antiqua" w:hAnsi="Book Antiqua"/>
              </w:rPr>
            </w:pPr>
            <w:r w:rsidRPr="00BF53C4">
              <w:rPr>
                <w:rFonts w:ascii="Book Antiqua" w:hAnsi="Book Antiqua"/>
              </w:rPr>
              <w:t>3.4</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0.5</w:t>
            </w:r>
          </w:p>
        </w:tc>
        <w:tc>
          <w:tcPr>
            <w:tcW w:w="0" w:type="auto"/>
            <w:tcBorders>
              <w:top w:val="single" w:sz="4" w:space="0" w:color="auto"/>
            </w:tcBorders>
          </w:tcPr>
          <w:p w14:paraId="7147A808" w14:textId="77777777" w:rsidR="00873DC4" w:rsidRPr="00BF53C4" w:rsidRDefault="00873DC4" w:rsidP="008A5F0B">
            <w:pPr>
              <w:snapToGrid w:val="0"/>
              <w:spacing w:line="360" w:lineRule="auto"/>
              <w:jc w:val="both"/>
              <w:rPr>
                <w:rFonts w:ascii="Book Antiqua" w:hAnsi="Book Antiqua"/>
              </w:rPr>
            </w:pPr>
            <w:r w:rsidRPr="00BF53C4">
              <w:rPr>
                <w:rFonts w:ascii="Book Antiqua" w:hAnsi="Book Antiqua"/>
              </w:rPr>
              <w:t>0.011</w:t>
            </w:r>
          </w:p>
        </w:tc>
      </w:tr>
      <w:tr w:rsidR="00873DC4" w:rsidRPr="00BF53C4" w14:paraId="058E0F01" w14:textId="77777777" w:rsidTr="00064219">
        <w:trPr>
          <w:trHeight w:val="465"/>
        </w:trPr>
        <w:tc>
          <w:tcPr>
            <w:tcW w:w="0" w:type="auto"/>
            <w:tcBorders>
              <w:bottom w:val="single" w:sz="4" w:space="0" w:color="auto"/>
            </w:tcBorders>
          </w:tcPr>
          <w:p w14:paraId="382554CE" w14:textId="77777777" w:rsidR="00873DC4" w:rsidRPr="00BF53C4" w:rsidRDefault="00873DC4" w:rsidP="008A5F0B">
            <w:pPr>
              <w:snapToGrid w:val="0"/>
              <w:spacing w:line="360" w:lineRule="auto"/>
              <w:jc w:val="both"/>
              <w:rPr>
                <w:rFonts w:ascii="Book Antiqua" w:hAnsi="Book Antiqua"/>
              </w:rPr>
            </w:pPr>
            <w:r w:rsidRPr="00BF53C4">
              <w:rPr>
                <w:rFonts w:ascii="Book Antiqua" w:hAnsi="Book Antiqua"/>
              </w:rPr>
              <w:t>2</w:t>
            </w:r>
            <w:r w:rsidRPr="00BF53C4">
              <w:rPr>
                <w:rFonts w:ascii="Book Antiqua" w:hAnsi="Book Antiqua"/>
                <w:vertAlign w:val="superscript"/>
              </w:rPr>
              <w:t>nd</w:t>
            </w:r>
          </w:p>
        </w:tc>
        <w:tc>
          <w:tcPr>
            <w:tcW w:w="0" w:type="auto"/>
            <w:tcBorders>
              <w:bottom w:val="single" w:sz="4" w:space="0" w:color="auto"/>
            </w:tcBorders>
          </w:tcPr>
          <w:p w14:paraId="0B332261" w14:textId="5D5639FE" w:rsidR="00873DC4" w:rsidRPr="00BF53C4" w:rsidRDefault="00873DC4" w:rsidP="008A5F0B">
            <w:pPr>
              <w:snapToGrid w:val="0"/>
              <w:spacing w:line="360" w:lineRule="auto"/>
              <w:jc w:val="both"/>
              <w:rPr>
                <w:rFonts w:ascii="Book Antiqua" w:hAnsi="Book Antiqua"/>
              </w:rPr>
            </w:pPr>
            <w:r w:rsidRPr="00BF53C4">
              <w:rPr>
                <w:rFonts w:ascii="Book Antiqua" w:hAnsi="Book Antiqua"/>
              </w:rPr>
              <w:t>3.4</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0.6</w:t>
            </w:r>
          </w:p>
        </w:tc>
        <w:tc>
          <w:tcPr>
            <w:tcW w:w="0" w:type="auto"/>
            <w:tcBorders>
              <w:bottom w:val="single" w:sz="4" w:space="0" w:color="auto"/>
            </w:tcBorders>
          </w:tcPr>
          <w:p w14:paraId="43BA97EA" w14:textId="7DCDDECB" w:rsidR="00873DC4" w:rsidRPr="00BF53C4" w:rsidRDefault="00873DC4" w:rsidP="008A5F0B">
            <w:pPr>
              <w:snapToGrid w:val="0"/>
              <w:spacing w:line="360" w:lineRule="auto"/>
              <w:jc w:val="both"/>
              <w:rPr>
                <w:rFonts w:ascii="Book Antiqua" w:hAnsi="Book Antiqua"/>
              </w:rPr>
            </w:pPr>
            <w:r w:rsidRPr="00BF53C4">
              <w:rPr>
                <w:rFonts w:ascii="Book Antiqua" w:hAnsi="Book Antiqua"/>
              </w:rPr>
              <w:t>3.0</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0.6</w:t>
            </w:r>
          </w:p>
        </w:tc>
        <w:tc>
          <w:tcPr>
            <w:tcW w:w="0" w:type="auto"/>
            <w:tcBorders>
              <w:bottom w:val="single" w:sz="4" w:space="0" w:color="auto"/>
            </w:tcBorders>
          </w:tcPr>
          <w:p w14:paraId="6862BA15" w14:textId="532E5455" w:rsidR="00873DC4" w:rsidRPr="00BF53C4" w:rsidRDefault="00873DC4" w:rsidP="008A5F0B">
            <w:pPr>
              <w:snapToGrid w:val="0"/>
              <w:spacing w:line="360" w:lineRule="auto"/>
              <w:jc w:val="both"/>
              <w:rPr>
                <w:rFonts w:ascii="Book Antiqua" w:hAnsi="Book Antiqua"/>
              </w:rPr>
            </w:pPr>
            <w:r w:rsidRPr="00BF53C4">
              <w:rPr>
                <w:rFonts w:ascii="Book Antiqua" w:hAnsi="Book Antiqua"/>
              </w:rPr>
              <w:t>&lt;</w:t>
            </w:r>
            <w:r w:rsidR="008A5F0B" w:rsidRPr="00BF53C4">
              <w:rPr>
                <w:rFonts w:ascii="Book Antiqua" w:hAnsi="Book Antiqua"/>
              </w:rPr>
              <w:t xml:space="preserve"> </w:t>
            </w:r>
            <w:r w:rsidRPr="00BF53C4">
              <w:rPr>
                <w:rFonts w:ascii="Book Antiqua" w:hAnsi="Book Antiqua"/>
              </w:rPr>
              <w:t>0.01</w:t>
            </w:r>
          </w:p>
        </w:tc>
        <w:tc>
          <w:tcPr>
            <w:tcW w:w="0" w:type="auto"/>
            <w:tcBorders>
              <w:bottom w:val="single" w:sz="4" w:space="0" w:color="auto"/>
            </w:tcBorders>
          </w:tcPr>
          <w:p w14:paraId="2E899BCF" w14:textId="2404AF5F" w:rsidR="00873DC4" w:rsidRPr="00BF53C4" w:rsidRDefault="00873DC4" w:rsidP="008A5F0B">
            <w:pPr>
              <w:snapToGrid w:val="0"/>
              <w:spacing w:line="360" w:lineRule="auto"/>
              <w:jc w:val="both"/>
              <w:rPr>
                <w:rFonts w:ascii="Book Antiqua" w:hAnsi="Book Antiqua"/>
              </w:rPr>
            </w:pPr>
            <w:r w:rsidRPr="00BF53C4">
              <w:rPr>
                <w:rFonts w:ascii="Book Antiqua" w:hAnsi="Book Antiqua"/>
              </w:rPr>
              <w:t>4.2</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0.8</w:t>
            </w:r>
          </w:p>
        </w:tc>
        <w:tc>
          <w:tcPr>
            <w:tcW w:w="0" w:type="auto"/>
            <w:tcBorders>
              <w:bottom w:val="single" w:sz="4" w:space="0" w:color="auto"/>
            </w:tcBorders>
          </w:tcPr>
          <w:p w14:paraId="702B286A" w14:textId="163035EF" w:rsidR="00873DC4" w:rsidRPr="00BF53C4" w:rsidRDefault="00873DC4" w:rsidP="008A5F0B">
            <w:pPr>
              <w:snapToGrid w:val="0"/>
              <w:spacing w:line="360" w:lineRule="auto"/>
              <w:jc w:val="both"/>
              <w:rPr>
                <w:rFonts w:ascii="Book Antiqua" w:hAnsi="Book Antiqua"/>
              </w:rPr>
            </w:pPr>
            <w:r w:rsidRPr="00BF53C4">
              <w:rPr>
                <w:rFonts w:ascii="Book Antiqua" w:hAnsi="Book Antiqua"/>
              </w:rPr>
              <w:t>3.4</w:t>
            </w:r>
            <w:r w:rsidR="008A5F0B" w:rsidRPr="00BF53C4">
              <w:rPr>
                <w:rFonts w:ascii="Book Antiqua" w:hAnsi="Book Antiqua"/>
              </w:rPr>
              <w:t xml:space="preserve"> </w:t>
            </w:r>
            <w:r w:rsidRPr="00BF53C4">
              <w:rPr>
                <w:rFonts w:ascii="Book Antiqua" w:hAnsi="Book Antiqua"/>
              </w:rPr>
              <w:t>±</w:t>
            </w:r>
            <w:r w:rsidR="008A5F0B" w:rsidRPr="00BF53C4">
              <w:rPr>
                <w:rFonts w:ascii="Book Antiqua" w:hAnsi="Book Antiqua"/>
              </w:rPr>
              <w:t xml:space="preserve"> </w:t>
            </w:r>
            <w:r w:rsidRPr="00BF53C4">
              <w:rPr>
                <w:rFonts w:ascii="Book Antiqua" w:hAnsi="Book Antiqua"/>
              </w:rPr>
              <w:t>0.5</w:t>
            </w:r>
          </w:p>
        </w:tc>
        <w:tc>
          <w:tcPr>
            <w:tcW w:w="0" w:type="auto"/>
            <w:tcBorders>
              <w:bottom w:val="single" w:sz="4" w:space="0" w:color="auto"/>
            </w:tcBorders>
          </w:tcPr>
          <w:p w14:paraId="42BA7101" w14:textId="77777777" w:rsidR="00873DC4" w:rsidRPr="00BF53C4" w:rsidRDefault="00873DC4" w:rsidP="008A5F0B">
            <w:pPr>
              <w:snapToGrid w:val="0"/>
              <w:spacing w:line="360" w:lineRule="auto"/>
              <w:jc w:val="both"/>
              <w:rPr>
                <w:rFonts w:ascii="Book Antiqua" w:hAnsi="Book Antiqua"/>
              </w:rPr>
            </w:pPr>
            <w:r w:rsidRPr="00BF53C4">
              <w:rPr>
                <w:rFonts w:ascii="Book Antiqua" w:hAnsi="Book Antiqua"/>
              </w:rPr>
              <w:t>0.002</w:t>
            </w:r>
          </w:p>
        </w:tc>
      </w:tr>
    </w:tbl>
    <w:p w14:paraId="77ECA1AF" w14:textId="61472361" w:rsidR="00F931C2" w:rsidRPr="00BF53C4" w:rsidRDefault="008A5F0B">
      <w:pPr>
        <w:spacing w:line="360" w:lineRule="auto"/>
        <w:jc w:val="both"/>
        <w:rPr>
          <w:rFonts w:ascii="Book Antiqua" w:hAnsi="Book Antiqua"/>
        </w:rPr>
      </w:pPr>
      <w:r w:rsidRPr="00BF53C4">
        <w:rPr>
          <w:rFonts w:ascii="Book Antiqua" w:hAnsi="Book Antiqua"/>
        </w:rPr>
        <w:t>1</w:t>
      </w:r>
      <w:r w:rsidRPr="00BF53C4">
        <w:rPr>
          <w:rFonts w:ascii="Book Antiqua" w:hAnsi="Book Antiqua"/>
          <w:vertAlign w:val="superscript"/>
        </w:rPr>
        <w:t>st</w:t>
      </w:r>
      <w:r w:rsidRPr="00BF53C4">
        <w:rPr>
          <w:rFonts w:ascii="Book Antiqua" w:hAnsi="Book Antiqua"/>
        </w:rPr>
        <w:t>: The first day after operation; 2</w:t>
      </w:r>
      <w:r w:rsidRPr="00BF53C4">
        <w:rPr>
          <w:rFonts w:ascii="Book Antiqua" w:hAnsi="Book Antiqua"/>
          <w:vertAlign w:val="superscript"/>
        </w:rPr>
        <w:t>nd</w:t>
      </w:r>
      <w:r w:rsidRPr="00BF53C4">
        <w:rPr>
          <w:rFonts w:ascii="Book Antiqua" w:hAnsi="Book Antiqua"/>
        </w:rPr>
        <w:t>: The second day after operation; VAS: Visual analog score.</w:t>
      </w:r>
    </w:p>
    <w:p w14:paraId="07A50896" w14:textId="54EAF637" w:rsidR="00873DC4" w:rsidRPr="00BF53C4" w:rsidRDefault="00F931C2">
      <w:pPr>
        <w:spacing w:line="360" w:lineRule="auto"/>
        <w:jc w:val="both"/>
        <w:rPr>
          <w:rFonts w:ascii="Book Antiqua" w:hAnsi="Book Antiqua"/>
          <w:b/>
          <w:bCs/>
        </w:rPr>
      </w:pPr>
      <w:r w:rsidRPr="00BF53C4">
        <w:rPr>
          <w:rFonts w:ascii="Book Antiqua" w:hAnsi="Book Antiqua"/>
        </w:rPr>
        <w:br w:type="page"/>
      </w:r>
      <w:r w:rsidRPr="00BF53C4">
        <w:rPr>
          <w:rFonts w:ascii="Book Antiqua" w:hAnsi="Book Antiqua"/>
          <w:b/>
          <w:bCs/>
        </w:rPr>
        <w:t>Table 4 Complications and adverse events</w:t>
      </w:r>
    </w:p>
    <w:tbl>
      <w:tblPr>
        <w:tblW w:w="0" w:type="auto"/>
        <w:tblLook w:val="0600" w:firstRow="0" w:lastRow="0" w:firstColumn="0" w:lastColumn="0" w:noHBand="1" w:noVBand="1"/>
      </w:tblPr>
      <w:tblGrid>
        <w:gridCol w:w="4068"/>
        <w:gridCol w:w="2417"/>
        <w:gridCol w:w="2099"/>
        <w:gridCol w:w="992"/>
      </w:tblGrid>
      <w:tr w:rsidR="00F931C2" w:rsidRPr="00BF53C4" w14:paraId="6E9FA892" w14:textId="77777777" w:rsidTr="00064219">
        <w:trPr>
          <w:trHeight w:val="749"/>
        </w:trPr>
        <w:tc>
          <w:tcPr>
            <w:tcW w:w="0" w:type="auto"/>
            <w:tcBorders>
              <w:top w:val="single" w:sz="4" w:space="0" w:color="auto"/>
              <w:bottom w:val="single" w:sz="4" w:space="0" w:color="auto"/>
            </w:tcBorders>
          </w:tcPr>
          <w:p w14:paraId="38CA91E7" w14:textId="77777777" w:rsidR="00F931C2" w:rsidRPr="00BF53C4" w:rsidRDefault="00F931C2" w:rsidP="00F931C2">
            <w:pPr>
              <w:snapToGrid w:val="0"/>
              <w:spacing w:line="360" w:lineRule="auto"/>
              <w:jc w:val="both"/>
              <w:rPr>
                <w:rFonts w:ascii="Book Antiqua" w:hAnsi="Book Antiqua"/>
                <w:b/>
                <w:bCs/>
              </w:rPr>
            </w:pPr>
            <w:r w:rsidRPr="00BF53C4">
              <w:rPr>
                <w:rFonts w:ascii="Book Antiqua" w:hAnsi="Book Antiqua"/>
                <w:b/>
                <w:bCs/>
              </w:rPr>
              <w:t>Complications and adverse events</w:t>
            </w:r>
          </w:p>
        </w:tc>
        <w:tc>
          <w:tcPr>
            <w:tcW w:w="0" w:type="auto"/>
            <w:tcBorders>
              <w:top w:val="single" w:sz="4" w:space="0" w:color="auto"/>
              <w:bottom w:val="single" w:sz="4" w:space="0" w:color="auto"/>
            </w:tcBorders>
          </w:tcPr>
          <w:p w14:paraId="5BDA24C0" w14:textId="360731BE" w:rsidR="00F931C2" w:rsidRPr="00BF53C4" w:rsidRDefault="00F931C2" w:rsidP="00F931C2">
            <w:pPr>
              <w:snapToGrid w:val="0"/>
              <w:spacing w:line="360" w:lineRule="auto"/>
              <w:jc w:val="both"/>
              <w:rPr>
                <w:rFonts w:ascii="Book Antiqua" w:hAnsi="Book Antiqua"/>
                <w:b/>
                <w:bCs/>
              </w:rPr>
            </w:pPr>
            <w:r w:rsidRPr="00BF53C4">
              <w:rPr>
                <w:rFonts w:ascii="Book Antiqua" w:hAnsi="Book Antiqua"/>
                <w:b/>
                <w:bCs/>
              </w:rPr>
              <w:t>No-block group (</w:t>
            </w:r>
            <w:r w:rsidRPr="00BF53C4">
              <w:rPr>
                <w:rFonts w:ascii="Book Antiqua" w:hAnsi="Book Antiqua"/>
                <w:b/>
                <w:bCs/>
                <w:i/>
                <w:iCs/>
              </w:rPr>
              <w:t>n</w:t>
            </w:r>
            <w:r w:rsidRPr="00BF53C4">
              <w:rPr>
                <w:rFonts w:ascii="Book Antiqua" w:hAnsi="Book Antiqua"/>
                <w:b/>
                <w:bCs/>
              </w:rPr>
              <w:t xml:space="preserve"> = 15)</w:t>
            </w:r>
          </w:p>
        </w:tc>
        <w:tc>
          <w:tcPr>
            <w:tcW w:w="0" w:type="auto"/>
            <w:tcBorders>
              <w:top w:val="single" w:sz="4" w:space="0" w:color="auto"/>
              <w:bottom w:val="single" w:sz="4" w:space="0" w:color="auto"/>
            </w:tcBorders>
          </w:tcPr>
          <w:p w14:paraId="2CFE81CE" w14:textId="3D0A3BCA" w:rsidR="00F931C2" w:rsidRPr="00BF53C4" w:rsidRDefault="00F931C2" w:rsidP="00F931C2">
            <w:pPr>
              <w:snapToGrid w:val="0"/>
              <w:spacing w:line="360" w:lineRule="auto"/>
              <w:jc w:val="both"/>
              <w:rPr>
                <w:rFonts w:ascii="Book Antiqua" w:hAnsi="Book Antiqua"/>
                <w:b/>
                <w:bCs/>
                <w:lang w:eastAsia="zh-CN"/>
              </w:rPr>
            </w:pPr>
            <w:r w:rsidRPr="00BF53C4">
              <w:rPr>
                <w:rFonts w:ascii="Book Antiqua" w:hAnsi="Book Antiqua"/>
                <w:b/>
                <w:bCs/>
              </w:rPr>
              <w:t>Block group (</w:t>
            </w:r>
            <w:r w:rsidRPr="00BF53C4">
              <w:rPr>
                <w:rFonts w:ascii="Book Antiqua" w:hAnsi="Book Antiqua"/>
                <w:b/>
                <w:bCs/>
                <w:i/>
                <w:iCs/>
              </w:rPr>
              <w:t>n</w:t>
            </w:r>
            <w:r w:rsidRPr="00BF53C4">
              <w:rPr>
                <w:rFonts w:ascii="Book Antiqua" w:hAnsi="Book Antiqua"/>
                <w:b/>
                <w:bCs/>
              </w:rPr>
              <w:t xml:space="preserve"> = 16</w:t>
            </w:r>
            <w:r w:rsidRPr="00BF53C4">
              <w:rPr>
                <w:rFonts w:ascii="Book Antiqua" w:hAnsi="Book Antiqua" w:hint="eastAsia"/>
                <w:b/>
                <w:bCs/>
                <w:lang w:eastAsia="zh-CN"/>
              </w:rPr>
              <w:t>)</w:t>
            </w:r>
          </w:p>
        </w:tc>
        <w:tc>
          <w:tcPr>
            <w:tcW w:w="0" w:type="auto"/>
            <w:tcBorders>
              <w:top w:val="single" w:sz="4" w:space="0" w:color="auto"/>
              <w:bottom w:val="single" w:sz="4" w:space="0" w:color="auto"/>
            </w:tcBorders>
          </w:tcPr>
          <w:p w14:paraId="3AC6906E" w14:textId="379B07FC" w:rsidR="00F931C2" w:rsidRPr="00BF53C4" w:rsidRDefault="00F931C2" w:rsidP="00F931C2">
            <w:pPr>
              <w:snapToGrid w:val="0"/>
              <w:spacing w:line="360" w:lineRule="auto"/>
              <w:jc w:val="both"/>
              <w:rPr>
                <w:rFonts w:ascii="Book Antiqua" w:hAnsi="Book Antiqua"/>
                <w:b/>
                <w:bCs/>
              </w:rPr>
            </w:pPr>
            <w:r w:rsidRPr="00BF53C4">
              <w:rPr>
                <w:rFonts w:ascii="Book Antiqua" w:hAnsi="Book Antiqua"/>
                <w:b/>
                <w:bCs/>
                <w:i/>
                <w:iCs/>
              </w:rPr>
              <w:t>P</w:t>
            </w:r>
            <w:r w:rsidRPr="00BF53C4">
              <w:rPr>
                <w:rFonts w:ascii="Book Antiqua" w:hAnsi="Book Antiqua"/>
                <w:b/>
                <w:bCs/>
              </w:rPr>
              <w:t xml:space="preserve"> value</w:t>
            </w:r>
          </w:p>
        </w:tc>
      </w:tr>
      <w:tr w:rsidR="00F931C2" w:rsidRPr="00BF53C4" w14:paraId="2B9B6593" w14:textId="77777777" w:rsidTr="00064219">
        <w:trPr>
          <w:trHeight w:val="390"/>
        </w:trPr>
        <w:tc>
          <w:tcPr>
            <w:tcW w:w="0" w:type="auto"/>
            <w:tcBorders>
              <w:top w:val="single" w:sz="4" w:space="0" w:color="auto"/>
            </w:tcBorders>
          </w:tcPr>
          <w:p w14:paraId="7E12D65B" w14:textId="77777777" w:rsidR="00F931C2" w:rsidRPr="00BF53C4" w:rsidRDefault="00F931C2" w:rsidP="00F931C2">
            <w:pPr>
              <w:spacing w:line="360" w:lineRule="auto"/>
              <w:jc w:val="both"/>
              <w:rPr>
                <w:rFonts w:ascii="Book Antiqua" w:hAnsi="Book Antiqua"/>
              </w:rPr>
            </w:pPr>
            <w:r w:rsidRPr="00BF53C4">
              <w:rPr>
                <w:rFonts w:ascii="Book Antiqua" w:hAnsi="Book Antiqua"/>
              </w:rPr>
              <w:t xml:space="preserve">Dizziness, </w:t>
            </w:r>
            <w:r w:rsidRPr="00BF53C4">
              <w:rPr>
                <w:rFonts w:ascii="Book Antiqua" w:hAnsi="Book Antiqua"/>
                <w:i/>
                <w:iCs/>
              </w:rPr>
              <w:t>n</w:t>
            </w:r>
            <w:r w:rsidRPr="00BF53C4">
              <w:rPr>
                <w:rFonts w:ascii="Book Antiqua" w:hAnsi="Book Antiqua"/>
              </w:rPr>
              <w:t xml:space="preserve"> (%)</w:t>
            </w:r>
          </w:p>
        </w:tc>
        <w:tc>
          <w:tcPr>
            <w:tcW w:w="0" w:type="auto"/>
            <w:tcBorders>
              <w:top w:val="single" w:sz="4" w:space="0" w:color="auto"/>
            </w:tcBorders>
          </w:tcPr>
          <w:p w14:paraId="33B661DD" w14:textId="77777777" w:rsidR="00F931C2" w:rsidRPr="00BF53C4" w:rsidRDefault="00F931C2" w:rsidP="00F931C2">
            <w:pPr>
              <w:spacing w:line="360" w:lineRule="auto"/>
              <w:jc w:val="both"/>
              <w:rPr>
                <w:rFonts w:ascii="Book Antiqua" w:hAnsi="Book Antiqua"/>
              </w:rPr>
            </w:pPr>
            <w:r w:rsidRPr="00BF53C4">
              <w:rPr>
                <w:rFonts w:ascii="Book Antiqua" w:hAnsi="Book Antiqua"/>
              </w:rPr>
              <w:t>6 (40)</w:t>
            </w:r>
          </w:p>
        </w:tc>
        <w:tc>
          <w:tcPr>
            <w:tcW w:w="0" w:type="auto"/>
            <w:tcBorders>
              <w:top w:val="single" w:sz="4" w:space="0" w:color="auto"/>
            </w:tcBorders>
          </w:tcPr>
          <w:p w14:paraId="76D5180D" w14:textId="77777777" w:rsidR="00F931C2" w:rsidRPr="00BF53C4" w:rsidRDefault="00F931C2" w:rsidP="00F931C2">
            <w:pPr>
              <w:spacing w:line="360" w:lineRule="auto"/>
              <w:jc w:val="both"/>
              <w:rPr>
                <w:rFonts w:ascii="Book Antiqua" w:hAnsi="Book Antiqua"/>
              </w:rPr>
            </w:pPr>
            <w:r w:rsidRPr="00BF53C4">
              <w:rPr>
                <w:rFonts w:ascii="Book Antiqua" w:hAnsi="Book Antiqua"/>
              </w:rPr>
              <w:t>1 (6.25)</w:t>
            </w:r>
          </w:p>
        </w:tc>
        <w:tc>
          <w:tcPr>
            <w:tcW w:w="0" w:type="auto"/>
            <w:tcBorders>
              <w:top w:val="single" w:sz="4" w:space="0" w:color="auto"/>
            </w:tcBorders>
          </w:tcPr>
          <w:p w14:paraId="68089079" w14:textId="77777777" w:rsidR="00F931C2" w:rsidRPr="00BF53C4" w:rsidRDefault="00F931C2" w:rsidP="00F931C2">
            <w:pPr>
              <w:snapToGrid w:val="0"/>
              <w:spacing w:line="360" w:lineRule="auto"/>
              <w:jc w:val="both"/>
              <w:rPr>
                <w:rFonts w:ascii="Book Antiqua" w:hAnsi="Book Antiqua"/>
              </w:rPr>
            </w:pPr>
            <w:r w:rsidRPr="00BF53C4">
              <w:rPr>
                <w:rFonts w:ascii="Book Antiqua" w:hAnsi="Book Antiqua"/>
              </w:rPr>
              <w:t>0.037</w:t>
            </w:r>
          </w:p>
        </w:tc>
      </w:tr>
      <w:tr w:rsidR="00F931C2" w:rsidRPr="00BF53C4" w14:paraId="61DCD8C1" w14:textId="77777777" w:rsidTr="00064219">
        <w:trPr>
          <w:trHeight w:val="331"/>
        </w:trPr>
        <w:tc>
          <w:tcPr>
            <w:tcW w:w="0" w:type="auto"/>
          </w:tcPr>
          <w:p w14:paraId="0394764C" w14:textId="77777777" w:rsidR="00F931C2" w:rsidRPr="00BF53C4" w:rsidRDefault="00F931C2" w:rsidP="00F931C2">
            <w:pPr>
              <w:spacing w:line="360" w:lineRule="auto"/>
              <w:jc w:val="both"/>
              <w:rPr>
                <w:rFonts w:ascii="Book Antiqua" w:hAnsi="Book Antiqua"/>
              </w:rPr>
            </w:pPr>
            <w:r w:rsidRPr="00BF53C4">
              <w:rPr>
                <w:rFonts w:ascii="Book Antiqua" w:hAnsi="Book Antiqua"/>
              </w:rPr>
              <w:t xml:space="preserve">Postoperative nausea and vomiting, </w:t>
            </w:r>
            <w:r w:rsidRPr="00BF53C4">
              <w:rPr>
                <w:rFonts w:ascii="Book Antiqua" w:hAnsi="Book Antiqua"/>
                <w:i/>
                <w:iCs/>
              </w:rPr>
              <w:t>n</w:t>
            </w:r>
            <w:r w:rsidRPr="00BF53C4">
              <w:rPr>
                <w:rFonts w:ascii="Book Antiqua" w:hAnsi="Book Antiqua"/>
              </w:rPr>
              <w:t xml:space="preserve"> (%)</w:t>
            </w:r>
          </w:p>
        </w:tc>
        <w:tc>
          <w:tcPr>
            <w:tcW w:w="0" w:type="auto"/>
          </w:tcPr>
          <w:p w14:paraId="718AF66E" w14:textId="77777777" w:rsidR="00F931C2" w:rsidRPr="00BF53C4" w:rsidRDefault="00F931C2" w:rsidP="00F931C2">
            <w:pPr>
              <w:spacing w:line="360" w:lineRule="auto"/>
              <w:jc w:val="both"/>
              <w:rPr>
                <w:rFonts w:ascii="Book Antiqua" w:hAnsi="Book Antiqua"/>
              </w:rPr>
            </w:pPr>
            <w:r w:rsidRPr="00BF53C4">
              <w:rPr>
                <w:rFonts w:ascii="Book Antiqua" w:hAnsi="Book Antiqua"/>
              </w:rPr>
              <w:t>3 (20)</w:t>
            </w:r>
          </w:p>
        </w:tc>
        <w:tc>
          <w:tcPr>
            <w:tcW w:w="0" w:type="auto"/>
          </w:tcPr>
          <w:p w14:paraId="7B1CDC55" w14:textId="77777777" w:rsidR="00F931C2" w:rsidRPr="00BF53C4" w:rsidRDefault="00F931C2" w:rsidP="00F931C2">
            <w:pPr>
              <w:spacing w:line="360" w:lineRule="auto"/>
              <w:jc w:val="both"/>
              <w:rPr>
                <w:rFonts w:ascii="Book Antiqua" w:hAnsi="Book Antiqua"/>
              </w:rPr>
            </w:pPr>
            <w:r w:rsidRPr="00BF53C4">
              <w:rPr>
                <w:rFonts w:ascii="Book Antiqua" w:hAnsi="Book Antiqua"/>
              </w:rPr>
              <w:t>1 (6.25)</w:t>
            </w:r>
          </w:p>
        </w:tc>
        <w:tc>
          <w:tcPr>
            <w:tcW w:w="0" w:type="auto"/>
          </w:tcPr>
          <w:p w14:paraId="1D3DAB2F" w14:textId="77777777" w:rsidR="00F931C2" w:rsidRPr="00BF53C4" w:rsidRDefault="00F931C2" w:rsidP="00F931C2">
            <w:pPr>
              <w:snapToGrid w:val="0"/>
              <w:spacing w:line="360" w:lineRule="auto"/>
              <w:jc w:val="both"/>
              <w:rPr>
                <w:rFonts w:ascii="Book Antiqua" w:hAnsi="Book Antiqua"/>
              </w:rPr>
            </w:pPr>
            <w:r w:rsidRPr="00BF53C4">
              <w:rPr>
                <w:rFonts w:ascii="Book Antiqua" w:hAnsi="Book Antiqua"/>
              </w:rPr>
              <w:t>0.333</w:t>
            </w:r>
          </w:p>
        </w:tc>
      </w:tr>
      <w:tr w:rsidR="00F931C2" w:rsidRPr="00BF53C4" w14:paraId="61144C6B" w14:textId="77777777" w:rsidTr="00064219">
        <w:trPr>
          <w:trHeight w:val="390"/>
        </w:trPr>
        <w:tc>
          <w:tcPr>
            <w:tcW w:w="0" w:type="auto"/>
          </w:tcPr>
          <w:p w14:paraId="7074442B" w14:textId="77777777" w:rsidR="00F931C2" w:rsidRPr="00BF53C4" w:rsidRDefault="00F931C2" w:rsidP="00F931C2">
            <w:pPr>
              <w:spacing w:line="360" w:lineRule="auto"/>
              <w:jc w:val="both"/>
              <w:rPr>
                <w:rFonts w:ascii="Book Antiqua" w:hAnsi="Book Antiqua"/>
              </w:rPr>
            </w:pPr>
            <w:r w:rsidRPr="00BF53C4">
              <w:rPr>
                <w:rFonts w:ascii="Book Antiqua" w:hAnsi="Book Antiqua"/>
              </w:rPr>
              <w:t xml:space="preserve">Respiratory depression, </w:t>
            </w:r>
            <w:r w:rsidRPr="00BF53C4">
              <w:rPr>
                <w:rFonts w:ascii="Book Antiqua" w:hAnsi="Book Antiqua"/>
                <w:i/>
                <w:iCs/>
              </w:rPr>
              <w:t>n</w:t>
            </w:r>
            <w:r w:rsidRPr="00BF53C4">
              <w:rPr>
                <w:rFonts w:ascii="Book Antiqua" w:hAnsi="Book Antiqua"/>
              </w:rPr>
              <w:t xml:space="preserve"> (%)</w:t>
            </w:r>
          </w:p>
        </w:tc>
        <w:tc>
          <w:tcPr>
            <w:tcW w:w="0" w:type="auto"/>
          </w:tcPr>
          <w:p w14:paraId="37682094" w14:textId="77777777" w:rsidR="00F931C2" w:rsidRPr="00BF53C4" w:rsidRDefault="00F931C2" w:rsidP="00F931C2">
            <w:pPr>
              <w:spacing w:line="360" w:lineRule="auto"/>
              <w:jc w:val="both"/>
              <w:rPr>
                <w:rFonts w:ascii="Book Antiqua" w:hAnsi="Book Antiqua"/>
              </w:rPr>
            </w:pPr>
            <w:r w:rsidRPr="00BF53C4">
              <w:rPr>
                <w:rFonts w:ascii="Book Antiqua" w:hAnsi="Book Antiqua"/>
              </w:rPr>
              <w:t>0</w:t>
            </w:r>
          </w:p>
        </w:tc>
        <w:tc>
          <w:tcPr>
            <w:tcW w:w="0" w:type="auto"/>
          </w:tcPr>
          <w:p w14:paraId="30B6AA74" w14:textId="77777777" w:rsidR="00F931C2" w:rsidRPr="00BF53C4" w:rsidRDefault="00F931C2" w:rsidP="00F931C2">
            <w:pPr>
              <w:spacing w:line="360" w:lineRule="auto"/>
              <w:jc w:val="both"/>
              <w:rPr>
                <w:rFonts w:ascii="Book Antiqua" w:hAnsi="Book Antiqua"/>
              </w:rPr>
            </w:pPr>
            <w:r w:rsidRPr="00BF53C4">
              <w:rPr>
                <w:rFonts w:ascii="Book Antiqua" w:hAnsi="Book Antiqua"/>
              </w:rPr>
              <w:t>0</w:t>
            </w:r>
          </w:p>
        </w:tc>
        <w:tc>
          <w:tcPr>
            <w:tcW w:w="0" w:type="auto"/>
          </w:tcPr>
          <w:p w14:paraId="6AB5F210" w14:textId="77777777" w:rsidR="00F931C2" w:rsidRPr="00BF53C4" w:rsidRDefault="00F931C2" w:rsidP="00F931C2">
            <w:pPr>
              <w:snapToGrid w:val="0"/>
              <w:spacing w:line="360" w:lineRule="auto"/>
              <w:jc w:val="both"/>
              <w:rPr>
                <w:rFonts w:ascii="Book Antiqua" w:hAnsi="Book Antiqua"/>
              </w:rPr>
            </w:pPr>
            <w:r w:rsidRPr="00BF53C4">
              <w:rPr>
                <w:rFonts w:ascii="Book Antiqua" w:hAnsi="Book Antiqua"/>
              </w:rPr>
              <w:t>/</w:t>
            </w:r>
          </w:p>
        </w:tc>
      </w:tr>
      <w:tr w:rsidR="00F931C2" w:rsidRPr="00F931C2" w14:paraId="7B786D32" w14:textId="77777777" w:rsidTr="00064219">
        <w:trPr>
          <w:trHeight w:val="390"/>
        </w:trPr>
        <w:tc>
          <w:tcPr>
            <w:tcW w:w="0" w:type="auto"/>
            <w:tcBorders>
              <w:bottom w:val="single" w:sz="4" w:space="0" w:color="auto"/>
            </w:tcBorders>
          </w:tcPr>
          <w:p w14:paraId="62C48155" w14:textId="77777777" w:rsidR="00F931C2" w:rsidRPr="00BF53C4" w:rsidRDefault="00F931C2" w:rsidP="00F931C2">
            <w:pPr>
              <w:spacing w:line="360" w:lineRule="auto"/>
              <w:jc w:val="both"/>
              <w:rPr>
                <w:rFonts w:ascii="Book Antiqua" w:hAnsi="Book Antiqua"/>
              </w:rPr>
            </w:pPr>
            <w:r w:rsidRPr="00BF53C4">
              <w:rPr>
                <w:rFonts w:ascii="Book Antiqua" w:hAnsi="Book Antiqua"/>
              </w:rPr>
              <w:t xml:space="preserve">Severe sedation, </w:t>
            </w:r>
            <w:r w:rsidRPr="00BF53C4">
              <w:rPr>
                <w:rFonts w:ascii="Book Antiqua" w:hAnsi="Book Antiqua"/>
                <w:i/>
                <w:iCs/>
              </w:rPr>
              <w:t>n</w:t>
            </w:r>
            <w:r w:rsidRPr="00BF53C4">
              <w:rPr>
                <w:rFonts w:ascii="Book Antiqua" w:hAnsi="Book Antiqua"/>
              </w:rPr>
              <w:t xml:space="preserve"> (%)</w:t>
            </w:r>
          </w:p>
        </w:tc>
        <w:tc>
          <w:tcPr>
            <w:tcW w:w="0" w:type="auto"/>
            <w:tcBorders>
              <w:bottom w:val="single" w:sz="4" w:space="0" w:color="auto"/>
            </w:tcBorders>
          </w:tcPr>
          <w:p w14:paraId="27A27944" w14:textId="77777777" w:rsidR="00F931C2" w:rsidRPr="00BF53C4" w:rsidRDefault="00F931C2" w:rsidP="00F931C2">
            <w:pPr>
              <w:spacing w:line="360" w:lineRule="auto"/>
              <w:jc w:val="both"/>
              <w:rPr>
                <w:rFonts w:ascii="Book Antiqua" w:hAnsi="Book Antiqua"/>
              </w:rPr>
            </w:pPr>
            <w:r w:rsidRPr="00BF53C4">
              <w:rPr>
                <w:rFonts w:ascii="Book Antiqua" w:hAnsi="Book Antiqua"/>
              </w:rPr>
              <w:t>0</w:t>
            </w:r>
          </w:p>
        </w:tc>
        <w:tc>
          <w:tcPr>
            <w:tcW w:w="0" w:type="auto"/>
            <w:tcBorders>
              <w:bottom w:val="single" w:sz="4" w:space="0" w:color="auto"/>
            </w:tcBorders>
          </w:tcPr>
          <w:p w14:paraId="1F12E1F3" w14:textId="77777777" w:rsidR="00F931C2" w:rsidRPr="00BF53C4" w:rsidRDefault="00F931C2" w:rsidP="00F931C2">
            <w:pPr>
              <w:spacing w:line="360" w:lineRule="auto"/>
              <w:jc w:val="both"/>
              <w:rPr>
                <w:rFonts w:ascii="Book Antiqua" w:hAnsi="Book Antiqua"/>
              </w:rPr>
            </w:pPr>
            <w:r w:rsidRPr="00BF53C4">
              <w:rPr>
                <w:rFonts w:ascii="Book Antiqua" w:hAnsi="Book Antiqua"/>
              </w:rPr>
              <w:t>0</w:t>
            </w:r>
          </w:p>
        </w:tc>
        <w:tc>
          <w:tcPr>
            <w:tcW w:w="0" w:type="auto"/>
            <w:tcBorders>
              <w:bottom w:val="single" w:sz="4" w:space="0" w:color="auto"/>
            </w:tcBorders>
          </w:tcPr>
          <w:p w14:paraId="3272DC41" w14:textId="77777777" w:rsidR="00F931C2" w:rsidRPr="00F931C2" w:rsidRDefault="00F931C2" w:rsidP="00F931C2">
            <w:pPr>
              <w:snapToGrid w:val="0"/>
              <w:spacing w:line="360" w:lineRule="auto"/>
              <w:jc w:val="both"/>
              <w:rPr>
                <w:rFonts w:ascii="Book Antiqua" w:hAnsi="Book Antiqua"/>
              </w:rPr>
            </w:pPr>
            <w:r w:rsidRPr="00BF53C4">
              <w:rPr>
                <w:rFonts w:ascii="Book Antiqua" w:hAnsi="Book Antiqua"/>
              </w:rPr>
              <w:t>/</w:t>
            </w:r>
          </w:p>
        </w:tc>
      </w:tr>
    </w:tbl>
    <w:p w14:paraId="54F472E5" w14:textId="2C0B5D5C" w:rsidR="00BF53C4" w:rsidRDefault="00BF53C4">
      <w:pPr>
        <w:spacing w:line="360" w:lineRule="auto"/>
        <w:jc w:val="both"/>
        <w:rPr>
          <w:rFonts w:ascii="Book Antiqua" w:hAnsi="Book Antiqua"/>
          <w:b/>
          <w:bCs/>
        </w:rPr>
      </w:pPr>
    </w:p>
    <w:p w14:paraId="4B09600C" w14:textId="77777777" w:rsidR="00BF53C4" w:rsidRDefault="00BF53C4">
      <w:pPr>
        <w:rPr>
          <w:rFonts w:ascii="Book Antiqua" w:hAnsi="Book Antiqua"/>
          <w:b/>
          <w:bCs/>
        </w:rPr>
      </w:pPr>
      <w:r>
        <w:rPr>
          <w:rFonts w:ascii="Book Antiqua" w:hAnsi="Book Antiqua"/>
          <w:b/>
          <w:bCs/>
        </w:rPr>
        <w:br w:type="page"/>
      </w:r>
    </w:p>
    <w:p w14:paraId="137FE625" w14:textId="77777777" w:rsidR="00BF53C4" w:rsidRDefault="00BF53C4" w:rsidP="00BF53C4">
      <w:pPr>
        <w:jc w:val="center"/>
        <w:rPr>
          <w:rFonts w:ascii="Book Antiqua" w:hAnsi="Book Antiqua"/>
          <w:lang w:eastAsia="zh-CN"/>
        </w:rPr>
      </w:pPr>
      <w:bookmarkStart w:id="3" w:name="OLE_LINK1"/>
      <w:bookmarkStart w:id="4" w:name="OLE_LINK2"/>
    </w:p>
    <w:p w14:paraId="2CACE4D2" w14:textId="77777777" w:rsidR="00BF53C4" w:rsidRDefault="00BF53C4" w:rsidP="00BF53C4">
      <w:pPr>
        <w:jc w:val="center"/>
        <w:rPr>
          <w:rFonts w:ascii="Book Antiqua" w:hAnsi="Book Antiqua"/>
          <w:lang w:eastAsia="zh-CN"/>
        </w:rPr>
      </w:pPr>
    </w:p>
    <w:p w14:paraId="7FD31BC9" w14:textId="77777777" w:rsidR="00BF53C4" w:rsidRDefault="00BF53C4" w:rsidP="00BF53C4">
      <w:pPr>
        <w:jc w:val="center"/>
        <w:rPr>
          <w:rFonts w:ascii="Book Antiqua" w:hAnsi="Book Antiqua"/>
          <w:lang w:eastAsia="zh-CN"/>
        </w:rPr>
      </w:pPr>
    </w:p>
    <w:p w14:paraId="60DDE381" w14:textId="77777777" w:rsidR="00BF53C4" w:rsidRDefault="00BF53C4" w:rsidP="00BF53C4">
      <w:pPr>
        <w:jc w:val="center"/>
        <w:rPr>
          <w:rFonts w:ascii="Book Antiqua" w:hAnsi="Book Antiqua"/>
          <w:lang w:eastAsia="zh-CN"/>
        </w:rPr>
      </w:pPr>
    </w:p>
    <w:p w14:paraId="3B6DC4E0" w14:textId="77777777" w:rsidR="00BF53C4" w:rsidRDefault="00BF53C4" w:rsidP="00BF53C4">
      <w:pPr>
        <w:jc w:val="center"/>
        <w:rPr>
          <w:rFonts w:ascii="Book Antiqua" w:hAnsi="Book Antiqua"/>
          <w:lang w:eastAsia="zh-CN"/>
        </w:rPr>
      </w:pPr>
    </w:p>
    <w:p w14:paraId="7D268642" w14:textId="77777777" w:rsidR="00BF53C4" w:rsidRDefault="00BF53C4" w:rsidP="00BF53C4">
      <w:pPr>
        <w:jc w:val="center"/>
        <w:rPr>
          <w:rFonts w:ascii="Book Antiqua" w:hAnsi="Book Antiqua"/>
          <w:lang w:eastAsia="zh-CN"/>
        </w:rPr>
      </w:pPr>
      <w:r>
        <w:rPr>
          <w:rFonts w:ascii="Book Antiqua" w:hAnsi="Book Antiqua"/>
          <w:noProof/>
          <w:lang w:eastAsia="zh-CN"/>
        </w:rPr>
        <w:drawing>
          <wp:inline distT="0" distB="0" distL="0" distR="0" wp14:anchorId="19F7051D" wp14:editId="348BE27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9F99DB8" w14:textId="77777777" w:rsidR="00BF53C4" w:rsidRDefault="00BF53C4" w:rsidP="00BF53C4">
      <w:pPr>
        <w:jc w:val="center"/>
        <w:rPr>
          <w:rFonts w:ascii="Book Antiqua" w:hAnsi="Book Antiqua"/>
          <w:lang w:eastAsia="zh-CN"/>
        </w:rPr>
      </w:pPr>
    </w:p>
    <w:p w14:paraId="08246C8C" w14:textId="77777777" w:rsidR="00BF53C4" w:rsidRPr="00763D22" w:rsidRDefault="00BF53C4" w:rsidP="00BF53C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864DC05" w14:textId="77777777" w:rsidR="00BF53C4" w:rsidRPr="00763D22" w:rsidRDefault="00BF53C4" w:rsidP="00BF53C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059AF9D" w14:textId="77777777" w:rsidR="00BF53C4" w:rsidRPr="00763D22" w:rsidRDefault="00BF53C4" w:rsidP="00BF53C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BB3075C" w14:textId="77777777" w:rsidR="00BF53C4" w:rsidRPr="00763D22" w:rsidRDefault="00BF53C4" w:rsidP="00BF53C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E2E086C" w14:textId="77777777" w:rsidR="00BF53C4" w:rsidRPr="00763D22" w:rsidRDefault="00BF53C4" w:rsidP="00BF53C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705F353" w14:textId="77777777" w:rsidR="00BF53C4" w:rsidRPr="00763D22" w:rsidRDefault="00BF53C4" w:rsidP="00BF53C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A5473B3" w14:textId="77777777" w:rsidR="00BF53C4" w:rsidRDefault="00BF53C4" w:rsidP="00BF53C4">
      <w:pPr>
        <w:jc w:val="center"/>
        <w:rPr>
          <w:rFonts w:ascii="Book Antiqua" w:hAnsi="Book Antiqua"/>
          <w:lang w:eastAsia="zh-CN"/>
        </w:rPr>
      </w:pPr>
    </w:p>
    <w:p w14:paraId="64E74482" w14:textId="77777777" w:rsidR="00BF53C4" w:rsidRDefault="00BF53C4" w:rsidP="00BF53C4">
      <w:pPr>
        <w:jc w:val="center"/>
        <w:rPr>
          <w:rFonts w:ascii="Book Antiqua" w:hAnsi="Book Antiqua"/>
          <w:lang w:eastAsia="zh-CN"/>
        </w:rPr>
      </w:pPr>
    </w:p>
    <w:p w14:paraId="173C2F0F" w14:textId="77777777" w:rsidR="00BF53C4" w:rsidRDefault="00BF53C4" w:rsidP="00BF53C4">
      <w:pPr>
        <w:jc w:val="center"/>
        <w:rPr>
          <w:rFonts w:ascii="Book Antiqua" w:hAnsi="Book Antiqua"/>
          <w:lang w:eastAsia="zh-CN"/>
        </w:rPr>
      </w:pPr>
    </w:p>
    <w:p w14:paraId="7AE60147" w14:textId="77777777" w:rsidR="00BF53C4" w:rsidRDefault="00BF53C4" w:rsidP="00BF53C4">
      <w:pPr>
        <w:jc w:val="center"/>
        <w:rPr>
          <w:rFonts w:ascii="Book Antiqua" w:hAnsi="Book Antiqua"/>
          <w:lang w:eastAsia="zh-CN"/>
        </w:rPr>
      </w:pPr>
      <w:r>
        <w:rPr>
          <w:rFonts w:ascii="Book Antiqua" w:hAnsi="Book Antiqua"/>
          <w:noProof/>
          <w:lang w:eastAsia="zh-CN"/>
        </w:rPr>
        <w:drawing>
          <wp:inline distT="0" distB="0" distL="0" distR="0" wp14:anchorId="757C6451" wp14:editId="40217D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CBEEC9" w14:textId="77777777" w:rsidR="00BF53C4" w:rsidRDefault="00BF53C4" w:rsidP="00BF53C4">
      <w:pPr>
        <w:jc w:val="center"/>
        <w:rPr>
          <w:rFonts w:ascii="Book Antiqua" w:hAnsi="Book Antiqua"/>
          <w:lang w:eastAsia="zh-CN"/>
        </w:rPr>
      </w:pPr>
    </w:p>
    <w:p w14:paraId="7E9487BB" w14:textId="77777777" w:rsidR="00BF53C4" w:rsidRDefault="00BF53C4" w:rsidP="00BF53C4">
      <w:pPr>
        <w:jc w:val="center"/>
        <w:rPr>
          <w:rFonts w:ascii="Book Antiqua" w:hAnsi="Book Antiqua"/>
          <w:lang w:eastAsia="zh-CN"/>
        </w:rPr>
      </w:pPr>
    </w:p>
    <w:p w14:paraId="232814A9" w14:textId="77777777" w:rsidR="00BF53C4" w:rsidRDefault="00BF53C4" w:rsidP="00BF53C4">
      <w:pPr>
        <w:jc w:val="center"/>
        <w:rPr>
          <w:rFonts w:ascii="Book Antiqua" w:hAnsi="Book Antiqua"/>
          <w:lang w:eastAsia="zh-CN"/>
        </w:rPr>
      </w:pPr>
    </w:p>
    <w:p w14:paraId="53AD574F" w14:textId="77777777" w:rsidR="00BF53C4" w:rsidRDefault="00BF53C4" w:rsidP="00BF53C4">
      <w:pPr>
        <w:jc w:val="center"/>
        <w:rPr>
          <w:rFonts w:ascii="Book Antiqua" w:hAnsi="Book Antiqua"/>
          <w:lang w:eastAsia="zh-CN"/>
        </w:rPr>
      </w:pPr>
    </w:p>
    <w:p w14:paraId="3BFB4937" w14:textId="77777777" w:rsidR="00BF53C4" w:rsidRDefault="00BF53C4" w:rsidP="00BF53C4">
      <w:pPr>
        <w:jc w:val="center"/>
        <w:rPr>
          <w:rFonts w:ascii="Book Antiqua" w:hAnsi="Book Antiqua"/>
          <w:lang w:eastAsia="zh-CN"/>
        </w:rPr>
      </w:pPr>
    </w:p>
    <w:p w14:paraId="3234A2D1" w14:textId="77777777" w:rsidR="00BF53C4" w:rsidRDefault="00BF53C4" w:rsidP="00BF53C4">
      <w:pPr>
        <w:jc w:val="center"/>
        <w:rPr>
          <w:rFonts w:ascii="Book Antiqua" w:hAnsi="Book Antiqua"/>
          <w:lang w:eastAsia="zh-CN"/>
        </w:rPr>
      </w:pPr>
    </w:p>
    <w:p w14:paraId="2856EB9E" w14:textId="77777777" w:rsidR="00BF53C4" w:rsidRDefault="00BF53C4" w:rsidP="00BF53C4">
      <w:pPr>
        <w:jc w:val="center"/>
        <w:rPr>
          <w:rFonts w:ascii="Book Antiqua" w:hAnsi="Book Antiqua"/>
          <w:lang w:eastAsia="zh-CN"/>
        </w:rPr>
      </w:pPr>
    </w:p>
    <w:p w14:paraId="2999CF03" w14:textId="77777777" w:rsidR="00BF53C4" w:rsidRDefault="00BF53C4" w:rsidP="00BF53C4">
      <w:pPr>
        <w:jc w:val="center"/>
        <w:rPr>
          <w:rFonts w:ascii="Book Antiqua" w:hAnsi="Book Antiqua"/>
          <w:lang w:eastAsia="zh-CN"/>
        </w:rPr>
      </w:pPr>
    </w:p>
    <w:p w14:paraId="0CA76BED" w14:textId="77777777" w:rsidR="00BF53C4" w:rsidRDefault="00BF53C4" w:rsidP="00BF53C4">
      <w:pPr>
        <w:jc w:val="center"/>
        <w:rPr>
          <w:rFonts w:ascii="Book Antiqua" w:hAnsi="Book Antiqua"/>
          <w:lang w:eastAsia="zh-CN"/>
        </w:rPr>
      </w:pPr>
    </w:p>
    <w:p w14:paraId="0DE421AB" w14:textId="77777777" w:rsidR="00BF53C4" w:rsidRPr="00763D22" w:rsidRDefault="00BF53C4" w:rsidP="00BF53C4">
      <w:pPr>
        <w:jc w:val="right"/>
        <w:rPr>
          <w:rFonts w:ascii="Book Antiqua" w:hAnsi="Book Antiqua"/>
          <w:color w:val="000000" w:themeColor="text1"/>
          <w:lang w:eastAsia="zh-CN"/>
        </w:rPr>
      </w:pPr>
    </w:p>
    <w:p w14:paraId="03EC43F0" w14:textId="77777777" w:rsidR="00BF53C4" w:rsidRPr="00763D22" w:rsidRDefault="00BF53C4" w:rsidP="00BF53C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bookmarkEnd w:id="4"/>
    </w:p>
    <w:p w14:paraId="4729DCE0" w14:textId="77777777" w:rsidR="00F931C2" w:rsidRPr="00F931C2" w:rsidRDefault="00F931C2">
      <w:pPr>
        <w:spacing w:line="360" w:lineRule="auto"/>
        <w:jc w:val="both"/>
        <w:rPr>
          <w:rFonts w:ascii="Book Antiqua" w:hAnsi="Book Antiqua"/>
          <w:b/>
          <w:bCs/>
        </w:rPr>
      </w:pPr>
    </w:p>
    <w:sectPr w:rsidR="00F931C2" w:rsidRPr="00F931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E7BE6" w14:textId="77777777" w:rsidR="00A311F9" w:rsidRDefault="00A311F9" w:rsidP="00BA5524">
      <w:r>
        <w:separator/>
      </w:r>
    </w:p>
  </w:endnote>
  <w:endnote w:type="continuationSeparator" w:id="0">
    <w:p w14:paraId="7F80823E" w14:textId="77777777" w:rsidR="00A311F9" w:rsidRDefault="00A311F9" w:rsidP="00BA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7738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369D0B" w14:textId="771B622C" w:rsidR="00D3465E" w:rsidRPr="00D3465E" w:rsidRDefault="00D3465E" w:rsidP="00D3465E">
            <w:pPr>
              <w:pStyle w:val="a4"/>
              <w:jc w:val="right"/>
              <w:rPr>
                <w:rFonts w:ascii="Book Antiqua" w:hAnsi="Book Antiqua"/>
                <w:sz w:val="24"/>
                <w:szCs w:val="24"/>
              </w:rPr>
            </w:pPr>
            <w:r w:rsidRPr="00D3465E">
              <w:rPr>
                <w:rFonts w:ascii="Book Antiqua" w:hAnsi="Book Antiqua"/>
                <w:sz w:val="24"/>
                <w:szCs w:val="24"/>
                <w:lang w:val="zh-CN" w:eastAsia="zh-CN"/>
              </w:rPr>
              <w:t xml:space="preserve"> </w:t>
            </w:r>
            <w:r w:rsidRPr="00D3465E">
              <w:rPr>
                <w:rFonts w:ascii="Book Antiqua" w:hAnsi="Book Antiqua"/>
                <w:sz w:val="24"/>
                <w:szCs w:val="24"/>
              </w:rPr>
              <w:fldChar w:fldCharType="begin"/>
            </w:r>
            <w:r w:rsidRPr="00D3465E">
              <w:rPr>
                <w:rFonts w:ascii="Book Antiqua" w:hAnsi="Book Antiqua"/>
                <w:sz w:val="24"/>
                <w:szCs w:val="24"/>
              </w:rPr>
              <w:instrText>PAGE</w:instrText>
            </w:r>
            <w:r w:rsidRPr="00D3465E">
              <w:rPr>
                <w:rFonts w:ascii="Book Antiqua" w:hAnsi="Book Antiqua"/>
                <w:sz w:val="24"/>
                <w:szCs w:val="24"/>
              </w:rPr>
              <w:fldChar w:fldCharType="separate"/>
            </w:r>
            <w:r w:rsidR="00A311F9">
              <w:rPr>
                <w:rFonts w:ascii="Book Antiqua" w:hAnsi="Book Antiqua"/>
                <w:noProof/>
                <w:sz w:val="24"/>
                <w:szCs w:val="24"/>
              </w:rPr>
              <w:t>1</w:t>
            </w:r>
            <w:r w:rsidRPr="00D3465E">
              <w:rPr>
                <w:rFonts w:ascii="Book Antiqua" w:hAnsi="Book Antiqua"/>
                <w:sz w:val="24"/>
                <w:szCs w:val="24"/>
              </w:rPr>
              <w:fldChar w:fldCharType="end"/>
            </w:r>
            <w:r w:rsidRPr="00D3465E">
              <w:rPr>
                <w:rFonts w:ascii="Book Antiqua" w:hAnsi="Book Antiqua"/>
                <w:sz w:val="24"/>
                <w:szCs w:val="24"/>
                <w:lang w:val="zh-CN" w:eastAsia="zh-CN"/>
              </w:rPr>
              <w:t xml:space="preserve"> / </w:t>
            </w:r>
            <w:r w:rsidRPr="00D3465E">
              <w:rPr>
                <w:rFonts w:ascii="Book Antiqua" w:hAnsi="Book Antiqua"/>
                <w:sz w:val="24"/>
                <w:szCs w:val="24"/>
              </w:rPr>
              <w:fldChar w:fldCharType="begin"/>
            </w:r>
            <w:r w:rsidRPr="00D3465E">
              <w:rPr>
                <w:rFonts w:ascii="Book Antiqua" w:hAnsi="Book Antiqua"/>
                <w:sz w:val="24"/>
                <w:szCs w:val="24"/>
              </w:rPr>
              <w:instrText>NUMPAGES</w:instrText>
            </w:r>
            <w:r w:rsidRPr="00D3465E">
              <w:rPr>
                <w:rFonts w:ascii="Book Antiqua" w:hAnsi="Book Antiqua"/>
                <w:sz w:val="24"/>
                <w:szCs w:val="24"/>
              </w:rPr>
              <w:fldChar w:fldCharType="separate"/>
            </w:r>
            <w:r w:rsidR="00A311F9">
              <w:rPr>
                <w:rFonts w:ascii="Book Antiqua" w:hAnsi="Book Antiqua"/>
                <w:noProof/>
                <w:sz w:val="24"/>
                <w:szCs w:val="24"/>
              </w:rPr>
              <w:t>1</w:t>
            </w:r>
            <w:r w:rsidRPr="00D3465E">
              <w:rPr>
                <w:rFonts w:ascii="Book Antiqua" w:hAnsi="Book Antiqua"/>
                <w:sz w:val="24"/>
                <w:szCs w:val="24"/>
              </w:rPr>
              <w:fldChar w:fldCharType="end"/>
            </w:r>
          </w:p>
        </w:sdtContent>
      </w:sdt>
    </w:sdtContent>
  </w:sdt>
  <w:p w14:paraId="251D2879" w14:textId="77777777" w:rsidR="00D3465E" w:rsidRPr="00D3465E" w:rsidRDefault="00D3465E" w:rsidP="00D3465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422F8" w14:textId="77777777" w:rsidR="00A311F9" w:rsidRDefault="00A311F9" w:rsidP="00BA5524">
      <w:r>
        <w:separator/>
      </w:r>
    </w:p>
  </w:footnote>
  <w:footnote w:type="continuationSeparator" w:id="0">
    <w:p w14:paraId="10EA3EED" w14:textId="77777777" w:rsidR="00A311F9" w:rsidRDefault="00A311F9" w:rsidP="00BA5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E7F"/>
    <w:rsid w:val="00034D5D"/>
    <w:rsid w:val="00064219"/>
    <w:rsid w:val="000F6076"/>
    <w:rsid w:val="00136F73"/>
    <w:rsid w:val="00175C10"/>
    <w:rsid w:val="00190CE6"/>
    <w:rsid w:val="00206344"/>
    <w:rsid w:val="00397AC4"/>
    <w:rsid w:val="003D1B2E"/>
    <w:rsid w:val="004C28EB"/>
    <w:rsid w:val="004C5992"/>
    <w:rsid w:val="005B1E93"/>
    <w:rsid w:val="005E2967"/>
    <w:rsid w:val="00604B7F"/>
    <w:rsid w:val="006075FC"/>
    <w:rsid w:val="00697636"/>
    <w:rsid w:val="006D0556"/>
    <w:rsid w:val="007015BD"/>
    <w:rsid w:val="0075329E"/>
    <w:rsid w:val="008427AB"/>
    <w:rsid w:val="00873DC4"/>
    <w:rsid w:val="008A5F0B"/>
    <w:rsid w:val="008C2F32"/>
    <w:rsid w:val="008E0E1D"/>
    <w:rsid w:val="00945484"/>
    <w:rsid w:val="00952203"/>
    <w:rsid w:val="0098007D"/>
    <w:rsid w:val="009800A2"/>
    <w:rsid w:val="009A6DCE"/>
    <w:rsid w:val="009E1A6B"/>
    <w:rsid w:val="009F6DBC"/>
    <w:rsid w:val="00A311F9"/>
    <w:rsid w:val="00A611AC"/>
    <w:rsid w:val="00A77B3E"/>
    <w:rsid w:val="00AA603C"/>
    <w:rsid w:val="00AD19DB"/>
    <w:rsid w:val="00AD4AE7"/>
    <w:rsid w:val="00AF01A9"/>
    <w:rsid w:val="00B14BF0"/>
    <w:rsid w:val="00B86E22"/>
    <w:rsid w:val="00BA5524"/>
    <w:rsid w:val="00BD21C0"/>
    <w:rsid w:val="00BF53C4"/>
    <w:rsid w:val="00C31247"/>
    <w:rsid w:val="00C442E7"/>
    <w:rsid w:val="00C837BC"/>
    <w:rsid w:val="00C96990"/>
    <w:rsid w:val="00CA2A55"/>
    <w:rsid w:val="00CC677E"/>
    <w:rsid w:val="00D17D0A"/>
    <w:rsid w:val="00D3465E"/>
    <w:rsid w:val="00DD5E9F"/>
    <w:rsid w:val="00E745EA"/>
    <w:rsid w:val="00E85DF4"/>
    <w:rsid w:val="00E91917"/>
    <w:rsid w:val="00E94E9B"/>
    <w:rsid w:val="00EE4B24"/>
    <w:rsid w:val="00F14289"/>
    <w:rsid w:val="00F55D97"/>
    <w:rsid w:val="00F60931"/>
    <w:rsid w:val="00F931C2"/>
    <w:rsid w:val="00FB5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0BD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BA55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5524"/>
    <w:rPr>
      <w:sz w:val="18"/>
      <w:szCs w:val="18"/>
    </w:rPr>
  </w:style>
  <w:style w:type="paragraph" w:styleId="a4">
    <w:name w:val="footer"/>
    <w:basedOn w:val="a"/>
    <w:link w:val="Char0"/>
    <w:uiPriority w:val="99"/>
    <w:unhideWhenUsed/>
    <w:rsid w:val="00BA5524"/>
    <w:pPr>
      <w:tabs>
        <w:tab w:val="center" w:pos="4153"/>
        <w:tab w:val="right" w:pos="8306"/>
      </w:tabs>
      <w:snapToGrid w:val="0"/>
    </w:pPr>
    <w:rPr>
      <w:sz w:val="18"/>
      <w:szCs w:val="18"/>
    </w:rPr>
  </w:style>
  <w:style w:type="character" w:customStyle="1" w:styleId="Char0">
    <w:name w:val="页脚 Char"/>
    <w:basedOn w:val="a0"/>
    <w:link w:val="a4"/>
    <w:uiPriority w:val="99"/>
    <w:rsid w:val="00BA5524"/>
    <w:rPr>
      <w:sz w:val="18"/>
      <w:szCs w:val="18"/>
    </w:rPr>
  </w:style>
  <w:style w:type="character" w:styleId="a5">
    <w:name w:val="annotation reference"/>
    <w:basedOn w:val="a0"/>
    <w:semiHidden/>
    <w:unhideWhenUsed/>
    <w:rsid w:val="00206344"/>
    <w:rPr>
      <w:sz w:val="21"/>
      <w:szCs w:val="21"/>
    </w:rPr>
  </w:style>
  <w:style w:type="paragraph" w:styleId="a6">
    <w:name w:val="annotation text"/>
    <w:basedOn w:val="a"/>
    <w:link w:val="Char1"/>
    <w:semiHidden/>
    <w:unhideWhenUsed/>
    <w:rsid w:val="00206344"/>
  </w:style>
  <w:style w:type="character" w:customStyle="1" w:styleId="Char1">
    <w:name w:val="批注文字 Char"/>
    <w:basedOn w:val="a0"/>
    <w:link w:val="a6"/>
    <w:semiHidden/>
    <w:rsid w:val="00206344"/>
    <w:rPr>
      <w:sz w:val="24"/>
      <w:szCs w:val="24"/>
    </w:rPr>
  </w:style>
  <w:style w:type="paragraph" w:styleId="a7">
    <w:name w:val="annotation subject"/>
    <w:basedOn w:val="a6"/>
    <w:next w:val="a6"/>
    <w:link w:val="Char2"/>
    <w:semiHidden/>
    <w:unhideWhenUsed/>
    <w:rsid w:val="00206344"/>
    <w:rPr>
      <w:b/>
      <w:bCs/>
    </w:rPr>
  </w:style>
  <w:style w:type="character" w:customStyle="1" w:styleId="Char2">
    <w:name w:val="批注主题 Char"/>
    <w:basedOn w:val="Char1"/>
    <w:link w:val="a7"/>
    <w:semiHidden/>
    <w:rsid w:val="00206344"/>
    <w:rPr>
      <w:b/>
      <w:bCs/>
      <w:sz w:val="24"/>
      <w:szCs w:val="24"/>
    </w:rPr>
  </w:style>
  <w:style w:type="paragraph" w:styleId="a8">
    <w:name w:val="Balloon Text"/>
    <w:basedOn w:val="a"/>
    <w:link w:val="Char3"/>
    <w:semiHidden/>
    <w:unhideWhenUsed/>
    <w:rsid w:val="009F6DBC"/>
    <w:rPr>
      <w:rFonts w:ascii="Tahoma" w:hAnsi="Tahoma" w:cs="Tahoma"/>
      <w:sz w:val="16"/>
      <w:szCs w:val="16"/>
    </w:rPr>
  </w:style>
  <w:style w:type="character" w:customStyle="1" w:styleId="Char3">
    <w:name w:val="批注框文本 Char"/>
    <w:basedOn w:val="a0"/>
    <w:link w:val="a8"/>
    <w:semiHidden/>
    <w:rsid w:val="009F6DBC"/>
    <w:rPr>
      <w:rFonts w:ascii="Tahoma" w:hAnsi="Tahoma" w:cs="Tahoma"/>
      <w:sz w:val="16"/>
      <w:szCs w:val="16"/>
    </w:rPr>
  </w:style>
  <w:style w:type="paragraph" w:styleId="a9">
    <w:name w:val="Revision"/>
    <w:hidden/>
    <w:uiPriority w:val="99"/>
    <w:semiHidden/>
    <w:rsid w:val="005E296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BA55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A5524"/>
    <w:rPr>
      <w:sz w:val="18"/>
      <w:szCs w:val="18"/>
    </w:rPr>
  </w:style>
  <w:style w:type="paragraph" w:styleId="a4">
    <w:name w:val="footer"/>
    <w:basedOn w:val="a"/>
    <w:link w:val="Char0"/>
    <w:uiPriority w:val="99"/>
    <w:unhideWhenUsed/>
    <w:rsid w:val="00BA5524"/>
    <w:pPr>
      <w:tabs>
        <w:tab w:val="center" w:pos="4153"/>
        <w:tab w:val="right" w:pos="8306"/>
      </w:tabs>
      <w:snapToGrid w:val="0"/>
    </w:pPr>
    <w:rPr>
      <w:sz w:val="18"/>
      <w:szCs w:val="18"/>
    </w:rPr>
  </w:style>
  <w:style w:type="character" w:customStyle="1" w:styleId="Char0">
    <w:name w:val="页脚 Char"/>
    <w:basedOn w:val="a0"/>
    <w:link w:val="a4"/>
    <w:uiPriority w:val="99"/>
    <w:rsid w:val="00BA5524"/>
    <w:rPr>
      <w:sz w:val="18"/>
      <w:szCs w:val="18"/>
    </w:rPr>
  </w:style>
  <w:style w:type="character" w:styleId="a5">
    <w:name w:val="annotation reference"/>
    <w:basedOn w:val="a0"/>
    <w:semiHidden/>
    <w:unhideWhenUsed/>
    <w:rsid w:val="00206344"/>
    <w:rPr>
      <w:sz w:val="21"/>
      <w:szCs w:val="21"/>
    </w:rPr>
  </w:style>
  <w:style w:type="paragraph" w:styleId="a6">
    <w:name w:val="annotation text"/>
    <w:basedOn w:val="a"/>
    <w:link w:val="Char1"/>
    <w:semiHidden/>
    <w:unhideWhenUsed/>
    <w:rsid w:val="00206344"/>
  </w:style>
  <w:style w:type="character" w:customStyle="1" w:styleId="Char1">
    <w:name w:val="批注文字 Char"/>
    <w:basedOn w:val="a0"/>
    <w:link w:val="a6"/>
    <w:semiHidden/>
    <w:rsid w:val="00206344"/>
    <w:rPr>
      <w:sz w:val="24"/>
      <w:szCs w:val="24"/>
    </w:rPr>
  </w:style>
  <w:style w:type="paragraph" w:styleId="a7">
    <w:name w:val="annotation subject"/>
    <w:basedOn w:val="a6"/>
    <w:next w:val="a6"/>
    <w:link w:val="Char2"/>
    <w:semiHidden/>
    <w:unhideWhenUsed/>
    <w:rsid w:val="00206344"/>
    <w:rPr>
      <w:b/>
      <w:bCs/>
    </w:rPr>
  </w:style>
  <w:style w:type="character" w:customStyle="1" w:styleId="Char2">
    <w:name w:val="批注主题 Char"/>
    <w:basedOn w:val="Char1"/>
    <w:link w:val="a7"/>
    <w:semiHidden/>
    <w:rsid w:val="00206344"/>
    <w:rPr>
      <w:b/>
      <w:bCs/>
      <w:sz w:val="24"/>
      <w:szCs w:val="24"/>
    </w:rPr>
  </w:style>
  <w:style w:type="paragraph" w:styleId="a8">
    <w:name w:val="Balloon Text"/>
    <w:basedOn w:val="a"/>
    <w:link w:val="Char3"/>
    <w:semiHidden/>
    <w:unhideWhenUsed/>
    <w:rsid w:val="009F6DBC"/>
    <w:rPr>
      <w:rFonts w:ascii="Tahoma" w:hAnsi="Tahoma" w:cs="Tahoma"/>
      <w:sz w:val="16"/>
      <w:szCs w:val="16"/>
    </w:rPr>
  </w:style>
  <w:style w:type="character" w:customStyle="1" w:styleId="Char3">
    <w:name w:val="批注框文本 Char"/>
    <w:basedOn w:val="a0"/>
    <w:link w:val="a8"/>
    <w:semiHidden/>
    <w:rsid w:val="009F6DBC"/>
    <w:rPr>
      <w:rFonts w:ascii="Tahoma" w:hAnsi="Tahoma" w:cs="Tahoma"/>
      <w:sz w:val="16"/>
      <w:szCs w:val="16"/>
    </w:rPr>
  </w:style>
  <w:style w:type="paragraph" w:styleId="a9">
    <w:name w:val="Revision"/>
    <w:hidden/>
    <w:uiPriority w:val="99"/>
    <w:semiHidden/>
    <w:rsid w:val="005E29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23F99-00EE-4EBF-8DC4-6A5D853F7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4880</Words>
  <Characters>27821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10</cp:revision>
  <dcterms:created xsi:type="dcterms:W3CDTF">2021-03-29T09:29:00Z</dcterms:created>
  <dcterms:modified xsi:type="dcterms:W3CDTF">2021-05-07T06:38:00Z</dcterms:modified>
</cp:coreProperties>
</file>