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3063E" w14:textId="77777777" w:rsidR="00A77B3E" w:rsidRDefault="00D6016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C7364B8" w14:textId="77777777" w:rsidR="00A77B3E" w:rsidRDefault="00D6016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61547</w:t>
      </w:r>
    </w:p>
    <w:p w14:paraId="51EBCBC5" w14:textId="77777777" w:rsidR="00A77B3E" w:rsidRDefault="00D6016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F5381B" w14:textId="77777777" w:rsidR="00A77B3E" w:rsidRDefault="00A77B3E">
      <w:pPr>
        <w:spacing w:line="360" w:lineRule="auto"/>
        <w:jc w:val="both"/>
      </w:pPr>
    </w:p>
    <w:p w14:paraId="23764119" w14:textId="77777777" w:rsidR="00A77B3E" w:rsidRPr="00ED0439" w:rsidRDefault="00D60168">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t xml:space="preserve">Long-term survivor of metastatic squamous-cell head and neck carcinoma with occult primary after </w:t>
      </w:r>
      <w:r w:rsidR="00ED0439">
        <w:rPr>
          <w:rFonts w:ascii="Book Antiqua" w:eastAsia="Book Antiqua" w:hAnsi="Book Antiqua" w:cs="Book Antiqua"/>
          <w:b/>
          <w:color w:val="000000"/>
          <w:szCs w:val="22"/>
        </w:rPr>
        <w:t>cetuximab-based chemotherapy</w:t>
      </w:r>
      <w:r w:rsidR="00ED0439">
        <w:rPr>
          <w:rFonts w:ascii="Book Antiqua" w:hAnsi="Book Antiqua" w:cs="Book Antiqua" w:hint="eastAsia"/>
          <w:b/>
          <w:color w:val="000000"/>
          <w:szCs w:val="22"/>
          <w:lang w:eastAsia="zh-CN"/>
        </w:rPr>
        <w:t>: A</w:t>
      </w:r>
      <w:r>
        <w:rPr>
          <w:rFonts w:ascii="Book Antiqua" w:eastAsia="Book Antiqua" w:hAnsi="Book Antiqua" w:cs="Book Antiqua"/>
          <w:b/>
          <w:color w:val="000000"/>
          <w:szCs w:val="22"/>
        </w:rPr>
        <w:t xml:space="preserve"> case report</w:t>
      </w:r>
    </w:p>
    <w:p w14:paraId="0AAC1508" w14:textId="77777777" w:rsidR="00A77B3E" w:rsidRDefault="00A77B3E">
      <w:pPr>
        <w:spacing w:line="360" w:lineRule="auto"/>
        <w:jc w:val="both"/>
      </w:pPr>
    </w:p>
    <w:p w14:paraId="06AF892F" w14:textId="77777777" w:rsidR="00A77B3E" w:rsidRPr="00ED0439" w:rsidRDefault="00ED0439">
      <w:pPr>
        <w:spacing w:line="360" w:lineRule="auto"/>
        <w:jc w:val="both"/>
        <w:rPr>
          <w:lang w:eastAsia="zh-CN"/>
        </w:rPr>
      </w:pPr>
      <w:r w:rsidRPr="00CC21F8">
        <w:rPr>
          <w:rFonts w:ascii="Book Antiqua" w:eastAsia="Book Antiqua" w:hAnsi="Book Antiqua" w:cs="Book Antiqua"/>
          <w:color w:val="000000"/>
          <w:lang w:val="de-DE"/>
        </w:rPr>
        <w:t>Große-Thie C</w:t>
      </w:r>
      <w:r w:rsidR="00D60168" w:rsidRPr="00CC21F8">
        <w:rPr>
          <w:rFonts w:ascii="Book Antiqua" w:eastAsia="Book Antiqua" w:hAnsi="Book Antiqua" w:cs="Book Antiqua"/>
          <w:color w:val="000000"/>
          <w:lang w:val="de-DE"/>
        </w:rPr>
        <w:t xml:space="preserve"> </w:t>
      </w:r>
      <w:r w:rsidR="00D60168" w:rsidRPr="00CC21F8">
        <w:rPr>
          <w:rFonts w:ascii="Book Antiqua" w:eastAsia="Book Antiqua" w:hAnsi="Book Antiqua" w:cs="Book Antiqua"/>
          <w:i/>
          <w:iCs/>
          <w:color w:val="000000"/>
          <w:lang w:val="de-DE"/>
        </w:rPr>
        <w:t>et al</w:t>
      </w:r>
      <w:r w:rsidR="00D60168" w:rsidRPr="00CC21F8">
        <w:rPr>
          <w:rFonts w:ascii="Book Antiqua" w:eastAsia="Book Antiqua" w:hAnsi="Book Antiqua" w:cs="Book Antiqua"/>
          <w:color w:val="000000"/>
          <w:lang w:val="de-DE"/>
        </w:rPr>
        <w:t xml:space="preserve">. </w:t>
      </w:r>
      <w:r w:rsidR="00D60168">
        <w:rPr>
          <w:rFonts w:ascii="Book Antiqua" w:eastAsia="Book Antiqua" w:hAnsi="Book Antiqua" w:cs="Book Antiqua"/>
          <w:color w:val="000000"/>
        </w:rPr>
        <w:t>Long-term survival of HNSCC</w:t>
      </w:r>
    </w:p>
    <w:p w14:paraId="172E892C" w14:textId="77777777" w:rsidR="00A77B3E" w:rsidRDefault="00A77B3E">
      <w:pPr>
        <w:spacing w:line="360" w:lineRule="auto"/>
        <w:jc w:val="both"/>
      </w:pPr>
    </w:p>
    <w:p w14:paraId="6F512031" w14:textId="77777777" w:rsidR="00A77B3E" w:rsidRDefault="00D60168">
      <w:pPr>
        <w:spacing w:line="360" w:lineRule="auto"/>
        <w:jc w:val="both"/>
      </w:pPr>
      <w:r>
        <w:rPr>
          <w:rFonts w:ascii="Book Antiqua" w:eastAsia="Book Antiqua" w:hAnsi="Book Antiqua" w:cs="Book Antiqua"/>
          <w:color w:val="000000"/>
        </w:rPr>
        <w:t>Christina Große-Thie, Claudia Maletzki, Christian Junghanss, Kathie Schmidt</w:t>
      </w:r>
    </w:p>
    <w:p w14:paraId="164CF562" w14:textId="77777777" w:rsidR="00A77B3E" w:rsidRDefault="00A77B3E">
      <w:pPr>
        <w:spacing w:line="360" w:lineRule="auto"/>
        <w:jc w:val="both"/>
      </w:pPr>
    </w:p>
    <w:p w14:paraId="216E7490" w14:textId="77777777" w:rsidR="00A77B3E" w:rsidRDefault="00D60168">
      <w:pPr>
        <w:spacing w:line="360" w:lineRule="auto"/>
        <w:jc w:val="both"/>
      </w:pPr>
      <w:r>
        <w:rPr>
          <w:rFonts w:ascii="Book Antiqua" w:eastAsia="Book Antiqua" w:hAnsi="Book Antiqua" w:cs="Book Antiqua"/>
          <w:b/>
          <w:bCs/>
          <w:color w:val="000000"/>
        </w:rPr>
        <w:t xml:space="preserve">Christina Große-Thie, </w:t>
      </w:r>
      <w:r w:rsidR="001D683B">
        <w:rPr>
          <w:rFonts w:ascii="Book Antiqua" w:eastAsia="Book Antiqua" w:hAnsi="Book Antiqua" w:cs="Book Antiqua"/>
          <w:b/>
          <w:bCs/>
          <w:color w:val="000000"/>
        </w:rPr>
        <w:t>Claudia Maletzki, Christian Junghanss, Kathie Schmidt,</w:t>
      </w:r>
      <w:r w:rsidR="001D683B">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w:t>
      </w:r>
      <w:r w:rsidR="001D683B">
        <w:rPr>
          <w:rFonts w:ascii="Book Antiqua" w:eastAsia="Book Antiqua" w:hAnsi="Book Antiqua" w:cs="Book Antiqua"/>
          <w:color w:val="000000"/>
        </w:rPr>
        <w:t>tment of Medicine, Clinic III</w:t>
      </w:r>
      <w:r w:rsidR="003A4708">
        <w:rPr>
          <w:rFonts w:ascii="Book Antiqua" w:hAnsi="Book Antiqua" w:cs="Book Antiqua" w:hint="eastAsia"/>
          <w:color w:val="000000"/>
          <w:lang w:eastAsia="zh-CN"/>
        </w:rPr>
        <w:t xml:space="preserve"> </w:t>
      </w:r>
      <w:r w:rsidR="001D683B">
        <w:rPr>
          <w:rFonts w:ascii="Book Antiqua" w:eastAsia="Book Antiqua" w:hAnsi="Book Antiqua" w:cs="Book Antiqua"/>
          <w:color w:val="000000"/>
        </w:rPr>
        <w:t>-</w:t>
      </w:r>
      <w:r w:rsidR="003A4708">
        <w:rPr>
          <w:rFonts w:ascii="Book Antiqua" w:hAnsi="Book Antiqua" w:cs="Book Antiqua" w:hint="eastAsia"/>
          <w:color w:val="000000"/>
          <w:lang w:eastAsia="zh-CN"/>
        </w:rPr>
        <w:t xml:space="preserve"> </w:t>
      </w:r>
      <w:r>
        <w:rPr>
          <w:rFonts w:ascii="Book Antiqua" w:eastAsia="Book Antiqua" w:hAnsi="Book Antiqua" w:cs="Book Antiqua"/>
          <w:color w:val="000000"/>
        </w:rPr>
        <w:t>Hematology, Oncology, Palliative Medicine, Rostock University Medical Center, Rostock 18057, Germany</w:t>
      </w:r>
    </w:p>
    <w:p w14:paraId="257A887D" w14:textId="77777777" w:rsidR="00A77B3E" w:rsidRDefault="00A77B3E">
      <w:pPr>
        <w:spacing w:line="360" w:lineRule="auto"/>
        <w:jc w:val="both"/>
      </w:pPr>
    </w:p>
    <w:p w14:paraId="68D2E485" w14:textId="3BC7EEFD" w:rsidR="00A77B3E" w:rsidRDefault="00D60168">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Große-Thie</w:t>
      </w:r>
      <w:r w:rsidR="001F2E36">
        <w:rPr>
          <w:rFonts w:ascii="Book Antiqua" w:hAnsi="Book Antiqua" w:cs="Book Antiqua" w:hint="eastAsia"/>
          <w:color w:val="000000"/>
          <w:lang w:eastAsia="zh-CN"/>
        </w:rPr>
        <w:t xml:space="preserve"> C</w:t>
      </w:r>
      <w:r>
        <w:rPr>
          <w:rFonts w:ascii="Book Antiqua" w:eastAsia="Book Antiqua" w:hAnsi="Book Antiqua" w:cs="Book Antiqua"/>
          <w:color w:val="000000"/>
        </w:rPr>
        <w:t xml:space="preserve"> was the patient’s doctor in charge, responsible for collecting medical history and contributing to</w:t>
      </w:r>
      <w:r w:rsidR="001F2E36">
        <w:rPr>
          <w:rFonts w:ascii="Book Antiqua" w:eastAsia="Book Antiqua" w:hAnsi="Book Antiqua" w:cs="Book Antiqua"/>
          <w:color w:val="000000"/>
        </w:rPr>
        <w:t xml:space="preserve"> the revision of the manuscript</w:t>
      </w:r>
      <w:r w:rsidR="001F2E36">
        <w:rPr>
          <w:rFonts w:ascii="Book Antiqua" w:hAnsi="Book Antiqua" w:cs="Book Antiqua" w:hint="eastAsia"/>
          <w:color w:val="000000"/>
          <w:lang w:eastAsia="zh-CN"/>
        </w:rPr>
        <w:t>;</w:t>
      </w:r>
      <w:r>
        <w:rPr>
          <w:rFonts w:ascii="Book Antiqua" w:eastAsia="Book Antiqua" w:hAnsi="Book Antiqua" w:cs="Book Antiqua"/>
          <w:color w:val="000000"/>
        </w:rPr>
        <w:t xml:space="preserve"> Schmidt </w:t>
      </w:r>
      <w:r w:rsidR="001F2E36">
        <w:rPr>
          <w:rFonts w:ascii="Book Antiqua" w:hAnsi="Book Antiqua" w:cs="Book Antiqua" w:hint="eastAsia"/>
          <w:color w:val="000000"/>
          <w:lang w:eastAsia="zh-CN"/>
        </w:rPr>
        <w:t xml:space="preserve">K </w:t>
      </w:r>
      <w:r>
        <w:rPr>
          <w:rFonts w:ascii="Book Antiqua" w:eastAsia="Book Antiqua" w:hAnsi="Book Antiqua" w:cs="Book Antiqua"/>
          <w:color w:val="000000"/>
        </w:rPr>
        <w:t>was responsible for collecting medical history, reviewing the literature, drafting the paper</w:t>
      </w:r>
      <w:r w:rsidR="00A3425E">
        <w:rPr>
          <w:rFonts w:ascii="Book Antiqua" w:eastAsia="Book Antiqua" w:hAnsi="Book Antiqua" w:cs="Book Antiqua"/>
          <w:color w:val="000000"/>
        </w:rPr>
        <w:t>,</w:t>
      </w:r>
      <w:r>
        <w:rPr>
          <w:rFonts w:ascii="Book Antiqua" w:eastAsia="Book Antiqua" w:hAnsi="Book Antiqua" w:cs="Book Antiqua"/>
          <w:color w:val="000000"/>
        </w:rPr>
        <w:t xml:space="preserve"> and contributing to</w:t>
      </w:r>
      <w:r w:rsidR="001F2E36">
        <w:rPr>
          <w:rFonts w:ascii="Book Antiqua" w:eastAsia="Book Antiqua" w:hAnsi="Book Antiqua" w:cs="Book Antiqua"/>
          <w:color w:val="000000"/>
        </w:rPr>
        <w:t xml:space="preserve"> the revising of the manuscript</w:t>
      </w:r>
      <w:r w:rsidR="001F2E36">
        <w:rPr>
          <w:rFonts w:ascii="Book Antiqua" w:hAnsi="Book Antiqua" w:cs="Book Antiqua" w:hint="eastAsia"/>
          <w:color w:val="000000"/>
          <w:lang w:eastAsia="zh-CN"/>
        </w:rPr>
        <w:t>;</w:t>
      </w:r>
      <w:r>
        <w:rPr>
          <w:rFonts w:ascii="Book Antiqua" w:eastAsia="Book Antiqua" w:hAnsi="Book Antiqua" w:cs="Book Antiqua"/>
          <w:color w:val="000000"/>
        </w:rPr>
        <w:t xml:space="preserve"> Maletzki</w:t>
      </w:r>
      <w:r w:rsidR="001F2E36">
        <w:rPr>
          <w:rFonts w:ascii="Book Antiqua" w:hAnsi="Book Antiqua" w:cs="Book Antiqua" w:hint="eastAsia"/>
          <w:color w:val="000000"/>
          <w:lang w:eastAsia="zh-CN"/>
        </w:rPr>
        <w:t xml:space="preserve"> C</w:t>
      </w:r>
      <w:r>
        <w:rPr>
          <w:rFonts w:ascii="Book Antiqua" w:eastAsia="Book Antiqua" w:hAnsi="Book Antiqua" w:cs="Book Antiqua"/>
          <w:color w:val="000000"/>
        </w:rPr>
        <w:t xml:space="preserve"> and Junghanss </w:t>
      </w:r>
      <w:r w:rsidR="001F2E36">
        <w:rPr>
          <w:rFonts w:ascii="Book Antiqua" w:hAnsi="Book Antiqua" w:cs="Book Antiqua" w:hint="eastAsia"/>
          <w:color w:val="000000"/>
          <w:lang w:eastAsia="zh-CN"/>
        </w:rPr>
        <w:t xml:space="preserve">C </w:t>
      </w:r>
      <w:r>
        <w:rPr>
          <w:rFonts w:ascii="Book Antiqua" w:eastAsia="Book Antiqua" w:hAnsi="Book Antiqua" w:cs="Book Antiqua"/>
          <w:color w:val="000000"/>
        </w:rPr>
        <w:t>treated and revised the manuscript</w:t>
      </w:r>
      <w:r w:rsidR="003810CE">
        <w:rPr>
          <w:rFonts w:ascii="Book Antiqua" w:eastAsia="Book Antiqua" w:hAnsi="Book Antiqua" w:cs="Book Antiqua"/>
          <w:color w:val="000000"/>
        </w:rPr>
        <w:t>; all</w:t>
      </w:r>
      <w:r>
        <w:rPr>
          <w:rFonts w:ascii="Book Antiqua" w:eastAsia="Book Antiqua" w:hAnsi="Book Antiqua" w:cs="Book Antiqua"/>
          <w:color w:val="000000"/>
        </w:rPr>
        <w:t xml:space="preserve"> </w:t>
      </w:r>
      <w:r w:rsidR="003810CE">
        <w:rPr>
          <w:rFonts w:ascii="Book Antiqua" w:eastAsia="Book Antiqua" w:hAnsi="Book Antiqua" w:cs="Book Antiqua"/>
          <w:color w:val="000000"/>
        </w:rPr>
        <w:t>t</w:t>
      </w:r>
      <w:r>
        <w:rPr>
          <w:rFonts w:ascii="Book Antiqua" w:eastAsia="Book Antiqua" w:hAnsi="Book Antiqua" w:cs="Book Antiqua"/>
          <w:color w:val="000000"/>
        </w:rPr>
        <w:t>he authors issued final approval for the version to be submitted.</w:t>
      </w:r>
    </w:p>
    <w:p w14:paraId="7D95BC99" w14:textId="77777777" w:rsidR="00A77B3E" w:rsidRDefault="00A77B3E">
      <w:pPr>
        <w:spacing w:line="360" w:lineRule="auto"/>
        <w:jc w:val="both"/>
      </w:pPr>
    </w:p>
    <w:p w14:paraId="74712434" w14:textId="77777777" w:rsidR="00A77B3E" w:rsidRDefault="00D60168">
      <w:pPr>
        <w:spacing w:line="360" w:lineRule="auto"/>
        <w:jc w:val="both"/>
      </w:pPr>
      <w:r>
        <w:rPr>
          <w:rFonts w:ascii="Book Antiqua" w:eastAsia="Book Antiqua" w:hAnsi="Book Antiqua" w:cs="Book Antiqua"/>
          <w:b/>
          <w:bCs/>
          <w:color w:val="000000"/>
        </w:rPr>
        <w:t xml:space="preserve">Corresponding author: Kathie Schmidt, MD, Medical Assistant, </w:t>
      </w:r>
      <w:r>
        <w:rPr>
          <w:rFonts w:ascii="Book Antiqua" w:eastAsia="Book Antiqua" w:hAnsi="Book Antiqua" w:cs="Book Antiqua"/>
          <w:color w:val="000000"/>
        </w:rPr>
        <w:t>Depar</w:t>
      </w:r>
      <w:r w:rsidR="003D364A">
        <w:rPr>
          <w:rFonts w:ascii="Book Antiqua" w:eastAsia="Book Antiqua" w:hAnsi="Book Antiqua" w:cs="Book Antiqua"/>
          <w:color w:val="000000"/>
        </w:rPr>
        <w:t>tment of Medicine, Clinic III-</w:t>
      </w:r>
      <w:r>
        <w:rPr>
          <w:rFonts w:ascii="Book Antiqua" w:eastAsia="Book Antiqua" w:hAnsi="Book Antiqua" w:cs="Book Antiqua"/>
          <w:color w:val="000000"/>
        </w:rPr>
        <w:t>Hematology, Oncology, Palliative Medicine, Rostock University Medical Center, Ernst-Heydemann-Str. 6, Rostock 18057, Germany. kathie.schmidt@med.uni-rostock.de</w:t>
      </w:r>
    </w:p>
    <w:p w14:paraId="3386CB03" w14:textId="77777777" w:rsidR="00A77B3E" w:rsidRDefault="00A77B3E">
      <w:pPr>
        <w:spacing w:line="360" w:lineRule="auto"/>
        <w:jc w:val="both"/>
      </w:pPr>
    </w:p>
    <w:p w14:paraId="55271020" w14:textId="77777777" w:rsidR="00A77B3E" w:rsidRDefault="00D6016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19, 2021</w:t>
      </w:r>
    </w:p>
    <w:p w14:paraId="56A273E4" w14:textId="77777777" w:rsidR="00A77B3E" w:rsidRPr="003D364A" w:rsidRDefault="00D60168">
      <w:pPr>
        <w:spacing w:line="360" w:lineRule="auto"/>
        <w:jc w:val="both"/>
        <w:rPr>
          <w:lang w:eastAsia="zh-CN"/>
        </w:rPr>
      </w:pPr>
      <w:r>
        <w:rPr>
          <w:rFonts w:ascii="Book Antiqua" w:eastAsia="Book Antiqua" w:hAnsi="Book Antiqua" w:cs="Book Antiqua"/>
          <w:b/>
          <w:bCs/>
          <w:color w:val="000000"/>
        </w:rPr>
        <w:t xml:space="preserve">Revised: </w:t>
      </w:r>
      <w:r w:rsidR="003D364A" w:rsidRPr="003D364A">
        <w:rPr>
          <w:rFonts w:ascii="Book Antiqua" w:hAnsi="Book Antiqua" w:cs="Book Antiqua" w:hint="eastAsia"/>
          <w:bCs/>
          <w:color w:val="000000"/>
          <w:lang w:eastAsia="zh-CN"/>
        </w:rPr>
        <w:t>April 6, 2021</w:t>
      </w:r>
    </w:p>
    <w:p w14:paraId="3144CA9F" w14:textId="25D2FCF5" w:rsidR="00A77B3E" w:rsidRDefault="00D60168">
      <w:pPr>
        <w:spacing w:line="360" w:lineRule="auto"/>
        <w:jc w:val="both"/>
      </w:pPr>
      <w:r>
        <w:rPr>
          <w:rFonts w:ascii="Book Antiqua" w:eastAsia="Book Antiqua" w:hAnsi="Book Antiqua" w:cs="Book Antiqua"/>
          <w:b/>
          <w:bCs/>
          <w:color w:val="000000"/>
        </w:rPr>
        <w:lastRenderedPageBreak/>
        <w:t xml:space="preserve">Accepted: </w:t>
      </w:r>
      <w:bookmarkStart w:id="0" w:name="OLE_LINK33"/>
      <w:bookmarkStart w:id="1" w:name="OLE_LINK48"/>
      <w:r w:rsidR="00166BA4">
        <w:rPr>
          <w:rFonts w:ascii="Book Antiqua" w:eastAsia="宋体" w:hAnsi="Book Antiqua"/>
          <w:color w:val="000000" w:themeColor="text1"/>
        </w:rPr>
        <w:t>J</w:t>
      </w:r>
      <w:r w:rsidR="00166BA4">
        <w:rPr>
          <w:rFonts w:ascii="Book Antiqua" w:eastAsia="宋体" w:hAnsi="Book Antiqua" w:hint="eastAsia"/>
          <w:color w:val="000000" w:themeColor="text1"/>
        </w:rPr>
        <w:t>u</w:t>
      </w:r>
      <w:r w:rsidR="00166BA4">
        <w:rPr>
          <w:rFonts w:ascii="Book Antiqua" w:eastAsia="宋体" w:hAnsi="Book Antiqua"/>
          <w:color w:val="000000" w:themeColor="text1"/>
        </w:rPr>
        <w:t>ly</w:t>
      </w:r>
      <w:r w:rsidR="00166BA4" w:rsidRPr="00F06907">
        <w:rPr>
          <w:rFonts w:ascii="Book Antiqua" w:eastAsia="宋体" w:hAnsi="Book Antiqua"/>
          <w:color w:val="000000" w:themeColor="text1"/>
        </w:rPr>
        <w:t xml:space="preserve"> </w:t>
      </w:r>
      <w:r w:rsidR="00166BA4">
        <w:rPr>
          <w:rFonts w:ascii="Book Antiqua" w:eastAsia="宋体" w:hAnsi="Book Antiqua"/>
          <w:color w:val="000000" w:themeColor="text1"/>
        </w:rPr>
        <w:t>14</w:t>
      </w:r>
      <w:r w:rsidR="00166BA4" w:rsidRPr="00F06907">
        <w:rPr>
          <w:rFonts w:ascii="Book Antiqua" w:eastAsia="宋体" w:hAnsi="Book Antiqua"/>
          <w:color w:val="000000" w:themeColor="text1"/>
        </w:rPr>
        <w:t>, 2021</w:t>
      </w:r>
      <w:bookmarkEnd w:id="0"/>
      <w:bookmarkEnd w:id="1"/>
    </w:p>
    <w:p w14:paraId="371DF29B" w14:textId="68BE7FA2" w:rsidR="00A77B3E" w:rsidRDefault="00D60168">
      <w:pPr>
        <w:spacing w:line="360" w:lineRule="auto"/>
        <w:jc w:val="both"/>
      </w:pPr>
      <w:r>
        <w:rPr>
          <w:rFonts w:ascii="Book Antiqua" w:eastAsia="Book Antiqua" w:hAnsi="Book Antiqua" w:cs="Book Antiqua"/>
          <w:b/>
          <w:bCs/>
          <w:color w:val="000000"/>
        </w:rPr>
        <w:t xml:space="preserve">Published online: </w:t>
      </w:r>
      <w:r w:rsidR="00437A4C">
        <w:rPr>
          <w:rFonts w:ascii="Book Antiqua" w:eastAsia="Book Antiqua" w:hAnsi="Book Antiqua" w:cs="Book Antiqua"/>
          <w:bCs/>
          <w:color w:val="000000"/>
        </w:rPr>
        <w:t xml:space="preserve">August </w:t>
      </w:r>
      <w:r w:rsidR="00437A4C">
        <w:rPr>
          <w:rFonts w:ascii="Book Antiqua" w:hAnsi="Book Antiqua" w:cs="Book Antiqua" w:hint="eastAsia"/>
          <w:bCs/>
          <w:color w:val="000000"/>
          <w:lang w:eastAsia="zh-CN"/>
        </w:rPr>
        <w:t>2</w:t>
      </w:r>
      <w:r w:rsidR="00437A4C" w:rsidRPr="003D41D4">
        <w:rPr>
          <w:rFonts w:ascii="Book Antiqua" w:eastAsia="Book Antiqua" w:hAnsi="Book Antiqua" w:cs="Book Antiqua"/>
          <w:bCs/>
          <w:color w:val="000000"/>
        </w:rPr>
        <w:t>6</w:t>
      </w:r>
      <w:r w:rsidR="00437A4C" w:rsidRPr="003D41D4">
        <w:rPr>
          <w:rFonts w:ascii="Book Antiqua" w:hAnsi="Book Antiqua" w:cs="Book Antiqua" w:hint="eastAsia"/>
          <w:bCs/>
          <w:color w:val="000000"/>
          <w:lang w:eastAsia="zh-CN"/>
        </w:rPr>
        <w:t xml:space="preserve">, </w:t>
      </w:r>
      <w:r w:rsidR="00437A4C" w:rsidRPr="003D41D4">
        <w:rPr>
          <w:rFonts w:ascii="Book Antiqua" w:eastAsia="Book Antiqua" w:hAnsi="Book Antiqua" w:cs="Book Antiqua"/>
          <w:bCs/>
          <w:color w:val="000000"/>
        </w:rPr>
        <w:t>2021</w:t>
      </w:r>
    </w:p>
    <w:p w14:paraId="12F0EAAB" w14:textId="77777777" w:rsidR="00A77B3E" w:rsidRDefault="00A77B3E">
      <w:pPr>
        <w:spacing w:line="360" w:lineRule="auto"/>
        <w:jc w:val="both"/>
        <w:sectPr w:rsidR="00A77B3E">
          <w:footerReference w:type="even" r:id="rId7"/>
          <w:footerReference w:type="default" r:id="rId8"/>
          <w:pgSz w:w="12240" w:h="15840"/>
          <w:pgMar w:top="1440" w:right="1440" w:bottom="1440" w:left="1440" w:header="720" w:footer="720" w:gutter="0"/>
          <w:cols w:space="720"/>
          <w:docGrid w:linePitch="360"/>
        </w:sectPr>
      </w:pPr>
    </w:p>
    <w:p w14:paraId="3F676B1A" w14:textId="77777777" w:rsidR="00A77B3E" w:rsidRDefault="00D60168">
      <w:pPr>
        <w:spacing w:line="360" w:lineRule="auto"/>
        <w:jc w:val="both"/>
      </w:pPr>
      <w:r>
        <w:rPr>
          <w:rFonts w:ascii="Book Antiqua" w:eastAsia="Book Antiqua" w:hAnsi="Book Antiqua" w:cs="Book Antiqua"/>
          <w:b/>
          <w:color w:val="000000"/>
        </w:rPr>
        <w:t>Abstract</w:t>
      </w:r>
    </w:p>
    <w:p w14:paraId="7D849B22" w14:textId="77777777" w:rsidR="00A77B3E" w:rsidRDefault="00D60168">
      <w:pPr>
        <w:spacing w:line="360" w:lineRule="auto"/>
        <w:jc w:val="both"/>
      </w:pPr>
      <w:r>
        <w:rPr>
          <w:rFonts w:ascii="Book Antiqua" w:eastAsia="Book Antiqua" w:hAnsi="Book Antiqua" w:cs="Book Antiqua"/>
          <w:color w:val="000000"/>
        </w:rPr>
        <w:t>BACKGROUND</w:t>
      </w:r>
    </w:p>
    <w:p w14:paraId="63406D9F" w14:textId="508A3CB9" w:rsidR="00A77B3E" w:rsidRDefault="00D60168">
      <w:pPr>
        <w:spacing w:line="360" w:lineRule="auto"/>
        <w:jc w:val="both"/>
      </w:pPr>
      <w:r>
        <w:rPr>
          <w:rFonts w:ascii="Book Antiqua" w:eastAsia="Book Antiqua" w:hAnsi="Book Antiqua" w:cs="Book Antiqua"/>
          <w:color w:val="000000"/>
        </w:rPr>
        <w:t>Cancer of unknown primary (CUP) is a histological proven malignant tumor whose origin cannot be detected despite careful examination. Most cervical lymph node metastases in CUP (80%) will originate from head and neck sites</w:t>
      </w:r>
      <w:r w:rsidR="00A3425E">
        <w:rPr>
          <w:rFonts w:ascii="Book Antiqua" w:eastAsia="Book Antiqua" w:hAnsi="Book Antiqua" w:cs="Book Antiqua"/>
          <w:color w:val="000000"/>
        </w:rPr>
        <w:t>,</w:t>
      </w:r>
      <w:r>
        <w:rPr>
          <w:rFonts w:ascii="Book Antiqua" w:eastAsia="Book Antiqua" w:hAnsi="Book Antiqua" w:cs="Book Antiqua"/>
          <w:color w:val="000000"/>
        </w:rPr>
        <w:t xml:space="preserve"> and 15% show infiltration of squamous carcinoma cells. The survival rates of CUP are poor: </w:t>
      </w:r>
      <w:r w:rsidR="00A3425E">
        <w:rPr>
          <w:rFonts w:ascii="Book Antiqua" w:eastAsia="Book Antiqua" w:hAnsi="Book Antiqua" w:cs="Book Antiqua"/>
          <w:color w:val="000000"/>
        </w:rPr>
        <w:t xml:space="preserve">the </w:t>
      </w:r>
      <w:r>
        <w:rPr>
          <w:rFonts w:ascii="Book Antiqua" w:eastAsia="Book Antiqua" w:hAnsi="Book Antiqua" w:cs="Book Antiqua"/>
          <w:color w:val="000000"/>
        </w:rPr>
        <w:t xml:space="preserve">5-year-survival </w:t>
      </w:r>
      <w:r w:rsidR="00A3425E">
        <w:rPr>
          <w:rFonts w:ascii="Book Antiqua" w:eastAsia="Book Antiqua" w:hAnsi="Book Antiqua" w:cs="Book Antiqua"/>
          <w:color w:val="000000"/>
        </w:rPr>
        <w:t xml:space="preserve">rate </w:t>
      </w:r>
      <w:r>
        <w:rPr>
          <w:rFonts w:ascii="Book Antiqua" w:eastAsia="Book Antiqua" w:hAnsi="Book Antiqua" w:cs="Book Antiqua"/>
          <w:color w:val="000000"/>
        </w:rPr>
        <w:t>ranges from 10</w:t>
      </w:r>
      <w:r w:rsidR="009E3927">
        <w:rPr>
          <w:rFonts w:ascii="Book Antiqua" w:hAnsi="Book Antiqua" w:cs="Book Antiqua" w:hint="eastAsia"/>
          <w:color w:val="000000"/>
          <w:lang w:eastAsia="zh-CN"/>
        </w:rPr>
        <w:t>%</w:t>
      </w:r>
      <w:r>
        <w:rPr>
          <w:rFonts w:ascii="Book Antiqua" w:eastAsia="Book Antiqua" w:hAnsi="Book Antiqua" w:cs="Book Antiqua"/>
          <w:color w:val="000000"/>
        </w:rPr>
        <w:t xml:space="preserve"> to 15%. First-line treatment recommendation for advanced, inoperable squamous cell carcinoma of head/neck (HNSCC) was cetuximab plus platinum-fluorouracil chemotherapy until recent</w:t>
      </w:r>
      <w:r w:rsidR="0063037B">
        <w:rPr>
          <w:rFonts w:ascii="Book Antiqua" w:eastAsia="Book Antiqua" w:hAnsi="Book Antiqua" w:cs="Book Antiqua"/>
          <w:color w:val="000000"/>
        </w:rPr>
        <w:t xml:space="preserve">ly, when </w:t>
      </w:r>
      <w:r>
        <w:rPr>
          <w:rFonts w:ascii="Book Antiqua" w:eastAsia="Book Antiqua" w:hAnsi="Book Antiqua" w:cs="Book Antiqua"/>
          <w:color w:val="000000"/>
        </w:rPr>
        <w:t>checkpoint</w:t>
      </w:r>
      <w:r w:rsidR="0063037B">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63037B">
        <w:rPr>
          <w:rFonts w:ascii="Book Antiqua" w:eastAsia="Book Antiqua" w:hAnsi="Book Antiqua" w:cs="Book Antiqua"/>
          <w:color w:val="000000"/>
        </w:rPr>
        <w:t xml:space="preserve">ors proved clinically beneficial therapies. </w:t>
      </w:r>
    </w:p>
    <w:p w14:paraId="39BA59C8" w14:textId="77777777" w:rsidR="00A77B3E" w:rsidRDefault="00A77B3E">
      <w:pPr>
        <w:spacing w:line="360" w:lineRule="auto"/>
        <w:jc w:val="both"/>
      </w:pPr>
    </w:p>
    <w:p w14:paraId="3D133283" w14:textId="77777777" w:rsidR="00A77B3E" w:rsidRDefault="00D60168">
      <w:pPr>
        <w:spacing w:line="360" w:lineRule="auto"/>
        <w:jc w:val="both"/>
      </w:pPr>
      <w:r>
        <w:rPr>
          <w:rFonts w:ascii="Book Antiqua" w:eastAsia="Book Antiqua" w:hAnsi="Book Antiqua" w:cs="Book Antiqua"/>
          <w:color w:val="000000"/>
        </w:rPr>
        <w:t>CASE SUMMARY</w:t>
      </w:r>
    </w:p>
    <w:p w14:paraId="248591CD" w14:textId="3C7B5B33" w:rsidR="00A77B3E" w:rsidRDefault="00D60168">
      <w:pPr>
        <w:spacing w:line="360" w:lineRule="auto"/>
        <w:jc w:val="both"/>
      </w:pPr>
      <w:r>
        <w:rPr>
          <w:rFonts w:ascii="Book Antiqua" w:eastAsia="Book Antiqua" w:hAnsi="Book Antiqua" w:cs="Book Antiqua"/>
          <w:color w:val="000000"/>
        </w:rPr>
        <w:t xml:space="preserve">Here, we report a case of a 42-year-old female patient with cervical and abdominal lymph node and distant bone metastases of an occult primary of the head and neck (squamous cell carcinoma, human papillomavirus positive). The cancer was diagnosed during pregnancy </w:t>
      </w:r>
      <w:r w:rsidR="00CF2C2C">
        <w:rPr>
          <w:rFonts w:ascii="Book Antiqua" w:eastAsia="Book Antiqua" w:hAnsi="Book Antiqua" w:cs="Book Antiqua"/>
          <w:color w:val="000000"/>
        </w:rPr>
        <w:t xml:space="preserve">10 </w:t>
      </w:r>
      <w:r>
        <w:rPr>
          <w:rFonts w:ascii="Book Antiqua" w:eastAsia="Book Antiqua" w:hAnsi="Book Antiqua" w:cs="Book Antiqua"/>
          <w:color w:val="000000"/>
        </w:rPr>
        <w:t>years ago</w:t>
      </w:r>
      <w:r w:rsidR="00A3425E">
        <w:rPr>
          <w:rFonts w:ascii="Book Antiqua" w:eastAsia="Book Antiqua" w:hAnsi="Book Antiqua" w:cs="Book Antiqua"/>
          <w:color w:val="000000"/>
        </w:rPr>
        <w:t>,</w:t>
      </w:r>
      <w:r>
        <w:rPr>
          <w:rFonts w:ascii="Book Antiqua" w:eastAsia="Book Antiqua" w:hAnsi="Book Antiqua" w:cs="Book Antiqua"/>
          <w:color w:val="000000"/>
        </w:rPr>
        <w:t xml:space="preserve"> and after giving birth, the patient was treated with cetuximab plus platinum-fluorouracil chemotherapy achieving complete remission (CR). CR lasted 26 mo when new metastases (abdominal lymph node, lumbar vertebral body) emerged. Both manifestations were irradiated. From then on, </w:t>
      </w:r>
      <w:r w:rsidR="00A3425E">
        <w:rPr>
          <w:rFonts w:ascii="Book Antiqua" w:eastAsia="Book Antiqua" w:hAnsi="Book Antiqua" w:cs="Book Antiqua"/>
          <w:color w:val="000000"/>
        </w:rPr>
        <w:t xml:space="preserve">the patient has not </w:t>
      </w:r>
      <w:r>
        <w:rPr>
          <w:rFonts w:ascii="Book Antiqua" w:eastAsia="Book Antiqua" w:hAnsi="Book Antiqua" w:cs="Book Antiqua"/>
          <w:color w:val="000000"/>
        </w:rPr>
        <w:t xml:space="preserve">received </w:t>
      </w:r>
      <w:r w:rsidR="00A3425E">
        <w:rPr>
          <w:rFonts w:ascii="Book Antiqua" w:eastAsia="Book Antiqua" w:hAnsi="Book Antiqua" w:cs="Book Antiqua"/>
          <w:color w:val="000000"/>
        </w:rPr>
        <w:t xml:space="preserve">any </w:t>
      </w:r>
      <w:r>
        <w:rPr>
          <w:rFonts w:ascii="Book Antiqua" w:eastAsia="Book Antiqua" w:hAnsi="Book Antiqua" w:cs="Book Antiqua"/>
          <w:color w:val="000000"/>
        </w:rPr>
        <w:t>further treatment</w:t>
      </w:r>
      <w:r w:rsidR="00A3425E">
        <w:rPr>
          <w:rFonts w:ascii="Book Antiqua" w:eastAsia="Book Antiqua" w:hAnsi="Book Antiqua" w:cs="Book Antiqua"/>
          <w:color w:val="000000"/>
        </w:rPr>
        <w:t xml:space="preserve">, and her disease </w:t>
      </w:r>
      <w:r>
        <w:rPr>
          <w:rFonts w:ascii="Book Antiqua" w:eastAsia="Book Antiqua" w:hAnsi="Book Antiqua" w:cs="Book Antiqua"/>
          <w:color w:val="000000"/>
        </w:rPr>
        <w:t>has remained controlled. Ten years after the initial cancer diagnosis</w:t>
      </w:r>
      <w:r w:rsidR="00A3425E">
        <w:rPr>
          <w:rFonts w:ascii="Book Antiqua" w:eastAsia="Book Antiqua" w:hAnsi="Book Antiqua" w:cs="Book Antiqua"/>
          <w:color w:val="000000"/>
        </w:rPr>
        <w:t>, the patient</w:t>
      </w:r>
      <w:r>
        <w:rPr>
          <w:rFonts w:ascii="Book Antiqua" w:eastAsia="Book Antiqua" w:hAnsi="Book Antiqua" w:cs="Book Antiqua"/>
          <w:color w:val="000000"/>
        </w:rPr>
        <w:t xml:space="preserve"> is still alive and in good </w:t>
      </w:r>
      <w:r w:rsidR="00A3425E">
        <w:rPr>
          <w:rFonts w:ascii="Book Antiqua" w:eastAsia="Book Antiqua" w:hAnsi="Book Antiqua" w:cs="Book Antiqua"/>
          <w:color w:val="000000"/>
        </w:rPr>
        <w:t>health,</w:t>
      </w:r>
      <w:r>
        <w:rPr>
          <w:rFonts w:ascii="Book Antiqua" w:eastAsia="Book Antiqua" w:hAnsi="Book Antiqua" w:cs="Book Antiqua"/>
          <w:color w:val="000000"/>
        </w:rPr>
        <w:t xml:space="preserve"> representing an exceptional case</w:t>
      </w:r>
      <w:r w:rsidR="00A3425E">
        <w:rPr>
          <w:rFonts w:ascii="Book Antiqua" w:eastAsia="Book Antiqua" w:hAnsi="Book Antiqua" w:cs="Book Antiqua"/>
          <w:color w:val="000000"/>
        </w:rPr>
        <w:t xml:space="preserve"> of </w:t>
      </w:r>
      <w:r w:rsidR="005B3F17">
        <w:rPr>
          <w:rFonts w:ascii="Book Antiqua" w:eastAsia="Book Antiqua" w:hAnsi="Book Antiqua" w:cs="Book Antiqua"/>
          <w:color w:val="000000"/>
        </w:rPr>
        <w:t>HNSCC</w:t>
      </w:r>
      <w:r>
        <w:rPr>
          <w:rFonts w:ascii="Book Antiqua" w:eastAsia="Book Antiqua" w:hAnsi="Book Antiqua" w:cs="Book Antiqua"/>
          <w:color w:val="000000"/>
        </w:rPr>
        <w:t xml:space="preserve">. </w:t>
      </w:r>
    </w:p>
    <w:p w14:paraId="33372084" w14:textId="77777777" w:rsidR="00A77B3E" w:rsidRDefault="00A77B3E">
      <w:pPr>
        <w:spacing w:line="360" w:lineRule="auto"/>
        <w:jc w:val="both"/>
      </w:pPr>
    </w:p>
    <w:p w14:paraId="64E746E3" w14:textId="77777777" w:rsidR="00A77B3E" w:rsidRDefault="00D60168">
      <w:pPr>
        <w:spacing w:line="360" w:lineRule="auto"/>
        <w:jc w:val="both"/>
      </w:pPr>
      <w:r>
        <w:rPr>
          <w:rFonts w:ascii="Book Antiqua" w:eastAsia="Book Antiqua" w:hAnsi="Book Antiqua" w:cs="Book Antiqua"/>
          <w:color w:val="000000"/>
        </w:rPr>
        <w:t>CONCLUSION</w:t>
      </w:r>
    </w:p>
    <w:p w14:paraId="179751A0" w14:textId="77777777" w:rsidR="00A77B3E" w:rsidRPr="009E3927" w:rsidRDefault="00D60168">
      <w:pPr>
        <w:spacing w:line="360" w:lineRule="auto"/>
        <w:jc w:val="both"/>
        <w:rPr>
          <w:lang w:eastAsia="zh-CN"/>
        </w:rPr>
      </w:pPr>
      <w:r>
        <w:rPr>
          <w:rFonts w:ascii="Book Antiqua" w:eastAsia="Book Antiqua" w:hAnsi="Book Antiqua" w:cs="Book Antiqua"/>
          <w:color w:val="000000"/>
        </w:rPr>
        <w:t>This case illustrates the exceptional clinical course and benefits of combined therapy approaches in advanced metastatic HNSCC with occult primary.</w:t>
      </w:r>
    </w:p>
    <w:p w14:paraId="232334D4" w14:textId="77777777" w:rsidR="00A77B3E" w:rsidRDefault="00A77B3E">
      <w:pPr>
        <w:spacing w:line="360" w:lineRule="auto"/>
        <w:jc w:val="both"/>
      </w:pPr>
    </w:p>
    <w:p w14:paraId="18AE6A5B" w14:textId="77777777" w:rsidR="00A77B3E" w:rsidRDefault="00D60168">
      <w:pPr>
        <w:spacing w:line="360" w:lineRule="auto"/>
        <w:jc w:val="both"/>
      </w:pPr>
      <w:r>
        <w:rPr>
          <w:rFonts w:ascii="Book Antiqua" w:eastAsia="Book Antiqua" w:hAnsi="Book Antiqua" w:cs="Book Antiqua"/>
          <w:b/>
          <w:bCs/>
          <w:color w:val="000000"/>
        </w:rPr>
        <w:t xml:space="preserve">Key Words: </w:t>
      </w:r>
      <w:r w:rsidR="00695B4B">
        <w:rPr>
          <w:rFonts w:ascii="Book Antiqua" w:hAnsi="Book Antiqua" w:cs="Book Antiqua" w:hint="eastAsia"/>
          <w:color w:val="000000"/>
          <w:lang w:eastAsia="zh-CN"/>
        </w:rPr>
        <w:t>S</w:t>
      </w:r>
      <w:r>
        <w:rPr>
          <w:rFonts w:ascii="Book Antiqua" w:eastAsia="Book Antiqua" w:hAnsi="Book Antiqua" w:cs="Book Antiqua"/>
          <w:color w:val="000000"/>
        </w:rPr>
        <w:t>quamous cell c</w:t>
      </w:r>
      <w:r w:rsidR="00695B4B">
        <w:rPr>
          <w:rFonts w:ascii="Book Antiqua" w:eastAsia="Book Antiqua" w:hAnsi="Book Antiqua" w:cs="Book Antiqua"/>
          <w:color w:val="000000"/>
        </w:rPr>
        <w:t xml:space="preserve">arcinoma of the head and neck; </w:t>
      </w:r>
      <w:r w:rsidR="00695B4B">
        <w:rPr>
          <w:rFonts w:ascii="Book Antiqua" w:hAnsi="Book Antiqua" w:cs="Book Antiqua" w:hint="eastAsia"/>
          <w:color w:val="000000"/>
          <w:lang w:eastAsia="zh-CN"/>
        </w:rPr>
        <w:t>C</w:t>
      </w:r>
      <w:r>
        <w:rPr>
          <w:rFonts w:ascii="Book Antiqua" w:eastAsia="Book Antiqua" w:hAnsi="Book Antiqua" w:cs="Book Antiqua"/>
          <w:color w:val="000000"/>
        </w:rPr>
        <w:t xml:space="preserve">ancer of unknown primary; </w:t>
      </w:r>
      <w:r w:rsidR="00695B4B">
        <w:rPr>
          <w:rFonts w:ascii="Book Antiqua" w:hAnsi="Book Antiqua" w:cs="Book Antiqua" w:hint="eastAsia"/>
          <w:color w:val="000000"/>
          <w:lang w:eastAsia="zh-CN"/>
        </w:rPr>
        <w:t>L</w:t>
      </w:r>
      <w:r w:rsidR="00695B4B">
        <w:rPr>
          <w:rFonts w:ascii="Book Antiqua" w:eastAsia="Book Antiqua" w:hAnsi="Book Antiqua" w:cs="Book Antiqua"/>
          <w:color w:val="000000"/>
        </w:rPr>
        <w:t xml:space="preserve">ong-term survival; </w:t>
      </w:r>
      <w:r w:rsidR="00695B4B">
        <w:rPr>
          <w:rFonts w:ascii="Book Antiqua" w:hAnsi="Book Antiqua" w:cs="Book Antiqua" w:hint="eastAsia"/>
          <w:color w:val="000000"/>
          <w:lang w:eastAsia="zh-CN"/>
        </w:rPr>
        <w:t>C</w:t>
      </w:r>
      <w:r w:rsidR="00695B4B">
        <w:rPr>
          <w:rFonts w:ascii="Book Antiqua" w:eastAsia="Book Antiqua" w:hAnsi="Book Antiqua" w:cs="Book Antiqua"/>
          <w:color w:val="000000"/>
        </w:rPr>
        <w:t xml:space="preserve">etuximab; </w:t>
      </w:r>
      <w:r w:rsidR="00695B4B">
        <w:rPr>
          <w:rFonts w:ascii="Book Antiqua" w:hAnsi="Book Antiqua" w:cs="Book Antiqua" w:hint="eastAsia"/>
          <w:color w:val="000000"/>
          <w:lang w:eastAsia="zh-CN"/>
        </w:rPr>
        <w:t>M</w:t>
      </w:r>
      <w:r w:rsidR="00695B4B">
        <w:rPr>
          <w:rFonts w:ascii="Book Antiqua" w:eastAsia="Book Antiqua" w:hAnsi="Book Antiqua" w:cs="Book Antiqua"/>
          <w:color w:val="000000"/>
        </w:rPr>
        <w:t xml:space="preserve">etastases; </w:t>
      </w:r>
      <w:r w:rsidR="00695B4B">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4864BAB3" w14:textId="77777777" w:rsidR="00E008B3" w:rsidRDefault="00E008B3" w:rsidP="00E008B3">
      <w:pPr>
        <w:spacing w:line="360" w:lineRule="auto"/>
        <w:jc w:val="both"/>
        <w:rPr>
          <w:lang w:eastAsia="zh-CN"/>
        </w:rPr>
      </w:pPr>
    </w:p>
    <w:p w14:paraId="5B5B3F2A" w14:textId="77777777" w:rsidR="00E008B3" w:rsidRPr="00026CB8" w:rsidRDefault="00E008B3" w:rsidP="00E008B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632E784" w14:textId="77777777" w:rsidR="00A77B3E" w:rsidRDefault="00A77B3E">
      <w:pPr>
        <w:spacing w:line="360" w:lineRule="auto"/>
        <w:jc w:val="both"/>
      </w:pPr>
    </w:p>
    <w:p w14:paraId="3F9F08A4" w14:textId="1AB4692C" w:rsidR="00F21B56" w:rsidRDefault="00F21B56">
      <w:pPr>
        <w:spacing w:line="360" w:lineRule="auto"/>
        <w:jc w:val="both"/>
        <w:rPr>
          <w:rFonts w:ascii="Book Antiqua" w:hAnsi="Book Antiqua" w:hint="eastAsia"/>
          <w:iCs/>
          <w:lang w:eastAsia="zh-CN"/>
        </w:rPr>
      </w:pPr>
      <w:r w:rsidRPr="00F21B56">
        <w:rPr>
          <w:rFonts w:ascii="Book Antiqua" w:hAnsi="Book Antiqua" w:cs="Book Antiqua" w:hint="eastAsia"/>
          <w:b/>
          <w:color w:val="000000"/>
          <w:lang w:eastAsia="zh-CN"/>
        </w:rPr>
        <w:t xml:space="preserve">Citation: </w:t>
      </w:r>
      <w:r w:rsidR="00D60168">
        <w:rPr>
          <w:rFonts w:ascii="Book Antiqua" w:eastAsia="Book Antiqua" w:hAnsi="Book Antiqua" w:cs="Book Antiqua"/>
          <w:color w:val="000000"/>
        </w:rPr>
        <w:t xml:space="preserve">Große-Thie C, Maletzki C, Junghanss C, Schmidt K. Long-term survivor of metastatic squamous-cell head and neck carcinoma with occult primary after </w:t>
      </w:r>
      <w:r w:rsidR="00D82005">
        <w:rPr>
          <w:rFonts w:ascii="Book Antiqua" w:eastAsia="Book Antiqua" w:hAnsi="Book Antiqua" w:cs="Book Antiqua"/>
          <w:color w:val="000000"/>
        </w:rPr>
        <w:t>cetuximab-based chemotherapy</w:t>
      </w:r>
      <w:r w:rsidR="00D82005">
        <w:rPr>
          <w:rFonts w:ascii="Book Antiqua" w:hAnsi="Book Antiqua" w:cs="Book Antiqua" w:hint="eastAsia"/>
          <w:color w:val="000000"/>
          <w:lang w:eastAsia="zh-CN"/>
        </w:rPr>
        <w:t>: A</w:t>
      </w:r>
      <w:r w:rsidR="00F04034">
        <w:rPr>
          <w:rFonts w:ascii="Book Antiqua" w:eastAsia="Book Antiqua" w:hAnsi="Book Antiqua" w:cs="Book Antiqua"/>
          <w:color w:val="000000"/>
        </w:rPr>
        <w:t xml:space="preserve"> case report</w:t>
      </w:r>
      <w:r w:rsidR="00D60168">
        <w:rPr>
          <w:rFonts w:ascii="Book Antiqua" w:eastAsia="Book Antiqua" w:hAnsi="Book Antiqua" w:cs="Book Antiqua"/>
          <w:color w:val="000000"/>
        </w:rPr>
        <w:t xml:space="preserve">. </w:t>
      </w:r>
      <w:r w:rsidR="00D60168">
        <w:rPr>
          <w:rFonts w:ascii="Book Antiqua" w:eastAsia="Book Antiqua" w:hAnsi="Book Antiqua" w:cs="Book Antiqua"/>
          <w:i/>
          <w:iCs/>
          <w:color w:val="000000"/>
        </w:rPr>
        <w:t>World J Clin Cases</w:t>
      </w:r>
      <w:r w:rsidR="00D60168">
        <w:rPr>
          <w:rFonts w:ascii="Book Antiqua" w:eastAsia="Book Antiqua" w:hAnsi="Book Antiqua" w:cs="Book Antiqua"/>
          <w:color w:val="000000"/>
        </w:rPr>
        <w:t xml:space="preserve"> </w:t>
      </w:r>
      <w:r w:rsidR="00437A4C" w:rsidRPr="00651643">
        <w:rPr>
          <w:rFonts w:ascii="Book Antiqua" w:hAnsi="Book Antiqua"/>
          <w:iCs/>
        </w:rPr>
        <w:t>202</w:t>
      </w:r>
      <w:r w:rsidR="00437A4C">
        <w:rPr>
          <w:rFonts w:ascii="Book Antiqua" w:hAnsi="Book Antiqua" w:hint="eastAsia"/>
          <w:iCs/>
          <w:lang w:eastAsia="zh-CN"/>
        </w:rPr>
        <w:t>1</w:t>
      </w:r>
      <w:r w:rsidR="00437A4C" w:rsidRPr="00651643">
        <w:rPr>
          <w:rFonts w:ascii="Book Antiqua" w:hAnsi="Book Antiqua"/>
          <w:iCs/>
        </w:rPr>
        <w:t>;</w:t>
      </w:r>
      <w:r w:rsidR="00437A4C">
        <w:rPr>
          <w:rFonts w:ascii="Book Antiqua" w:hAnsi="Book Antiqua"/>
          <w:iCs/>
        </w:rPr>
        <w:t xml:space="preserve"> </w:t>
      </w:r>
      <w:r w:rsidR="00437A4C">
        <w:rPr>
          <w:rFonts w:ascii="Book Antiqua" w:hAnsi="Book Antiqua" w:hint="eastAsia"/>
          <w:iCs/>
          <w:lang w:eastAsia="zh-CN"/>
        </w:rPr>
        <w:t>9</w:t>
      </w:r>
      <w:r w:rsidR="00437A4C" w:rsidRPr="00651643">
        <w:rPr>
          <w:rFonts w:ascii="Book Antiqua" w:hAnsi="Book Antiqua"/>
          <w:iCs/>
        </w:rPr>
        <w:t>(</w:t>
      </w:r>
      <w:r w:rsidR="00437A4C">
        <w:rPr>
          <w:rFonts w:ascii="Book Antiqua" w:hAnsi="Book Antiqua" w:hint="eastAsia"/>
          <w:iCs/>
          <w:lang w:eastAsia="zh-CN"/>
        </w:rPr>
        <w:t>24</w:t>
      </w:r>
      <w:r w:rsidR="00437A4C" w:rsidRPr="00651643">
        <w:rPr>
          <w:rFonts w:ascii="Book Antiqua" w:hAnsi="Book Antiqua"/>
          <w:iCs/>
        </w:rPr>
        <w:t>):</w:t>
      </w:r>
      <w:r w:rsidR="00437A4C">
        <w:rPr>
          <w:rFonts w:ascii="Book Antiqua" w:hAnsi="Book Antiqua"/>
          <w:iCs/>
        </w:rPr>
        <w:t xml:space="preserve"> </w:t>
      </w:r>
      <w:r w:rsidRPr="00F21B56">
        <w:rPr>
          <w:rFonts w:ascii="Book Antiqua" w:hAnsi="Book Antiqua"/>
          <w:iCs/>
        </w:rPr>
        <w:t>7092-7098</w:t>
      </w:r>
      <w:r w:rsidR="00437A4C">
        <w:rPr>
          <w:rFonts w:ascii="Book Antiqua" w:hAnsi="Book Antiqua" w:hint="eastAsia"/>
          <w:iCs/>
        </w:rPr>
        <w:t xml:space="preserve"> </w:t>
      </w:r>
    </w:p>
    <w:p w14:paraId="5810B96B" w14:textId="77777777" w:rsidR="00F21B56" w:rsidRDefault="00437A4C">
      <w:pPr>
        <w:spacing w:line="360" w:lineRule="auto"/>
        <w:jc w:val="both"/>
        <w:rPr>
          <w:rFonts w:ascii="Book Antiqua" w:hAnsi="Book Antiqua" w:hint="eastAsia"/>
          <w:iCs/>
          <w:lang w:eastAsia="zh-CN"/>
        </w:rPr>
      </w:pPr>
      <w:r w:rsidRPr="00F21B56">
        <w:rPr>
          <w:rFonts w:ascii="Book Antiqua" w:hAnsi="Book Antiqua"/>
          <w:b/>
          <w:iCs/>
        </w:rPr>
        <w:t xml:space="preserve">URL: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24</w:t>
      </w:r>
      <w:r w:rsidRPr="00651643">
        <w:rPr>
          <w:rFonts w:ascii="Book Antiqua" w:hAnsi="Book Antiqua"/>
          <w:iCs/>
        </w:rPr>
        <w:t>/</w:t>
      </w:r>
      <w:r w:rsidR="00F21B56" w:rsidRPr="00F21B56">
        <w:rPr>
          <w:rFonts w:ascii="Book Antiqua" w:hAnsi="Book Antiqua"/>
          <w:iCs/>
        </w:rPr>
        <w:t>7092</w:t>
      </w:r>
      <w:r>
        <w:rPr>
          <w:rFonts w:ascii="Book Antiqua" w:hAnsi="Book Antiqua"/>
          <w:iCs/>
        </w:rPr>
        <w:t>.htm</w:t>
      </w:r>
      <w:r>
        <w:rPr>
          <w:rFonts w:ascii="Book Antiqua" w:hAnsi="Book Antiqua" w:hint="eastAsia"/>
          <w:iCs/>
        </w:rPr>
        <w:t xml:space="preserve"> </w:t>
      </w:r>
    </w:p>
    <w:p w14:paraId="19E8B794" w14:textId="14A61025" w:rsidR="00A77B3E" w:rsidRDefault="00437A4C">
      <w:pPr>
        <w:spacing w:line="360" w:lineRule="auto"/>
        <w:jc w:val="both"/>
      </w:pPr>
      <w:r w:rsidRPr="00F21B56">
        <w:rPr>
          <w:rFonts w:ascii="Book Antiqua" w:hAnsi="Book Antiqua"/>
          <w:b/>
          <w:iCs/>
        </w:rPr>
        <w:t xml:space="preserve">DOI: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24</w:t>
      </w:r>
      <w:r w:rsidRPr="00651643">
        <w:rPr>
          <w:rFonts w:ascii="Book Antiqua" w:hAnsi="Book Antiqua"/>
          <w:iCs/>
        </w:rPr>
        <w:t>.</w:t>
      </w:r>
      <w:r w:rsidR="00F21B56" w:rsidRPr="00F21B56">
        <w:rPr>
          <w:rFonts w:ascii="Book Antiqua" w:hAnsi="Book Antiqua"/>
          <w:iCs/>
        </w:rPr>
        <w:t>7092</w:t>
      </w:r>
    </w:p>
    <w:p w14:paraId="0FD76FBA" w14:textId="77777777" w:rsidR="00A77B3E" w:rsidRDefault="00A77B3E">
      <w:pPr>
        <w:spacing w:line="360" w:lineRule="auto"/>
        <w:jc w:val="both"/>
      </w:pPr>
    </w:p>
    <w:p w14:paraId="56E5E692" w14:textId="5167379B" w:rsidR="00A77B3E" w:rsidRDefault="00D6016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42-year-old female patient suffered from metastatic squamous-cell head and neck cancer with occult primary with lymph node and bone metastases. She received palliative immune-chemotherapy with cetuximab, 5-fluorouracil, and platinum as first-line treatment</w:t>
      </w:r>
      <w:r w:rsidR="0063037B">
        <w:rPr>
          <w:rFonts w:ascii="Book Antiqua" w:eastAsia="Book Antiqua" w:hAnsi="Book Antiqua" w:cs="Book Antiqua"/>
          <w:color w:val="000000"/>
        </w:rPr>
        <w:t>,</w:t>
      </w:r>
      <w:r>
        <w:rPr>
          <w:rFonts w:ascii="Book Antiqua" w:eastAsia="Book Antiqua" w:hAnsi="Book Antiqua" w:cs="Book Antiqua"/>
          <w:color w:val="000000"/>
        </w:rPr>
        <w:t xml:space="preserve"> and subsequent irradiation of further abdominal lymph node and bone metastases. Although survival rates are very poor in this setting</w:t>
      </w:r>
      <w:r w:rsidR="0063037B">
        <w:rPr>
          <w:rFonts w:ascii="Book Antiqua" w:eastAsia="Book Antiqua" w:hAnsi="Book Antiqua" w:cs="Book Antiqua"/>
          <w:color w:val="000000"/>
        </w:rPr>
        <w:t>,</w:t>
      </w:r>
      <w:r>
        <w:rPr>
          <w:rFonts w:ascii="Book Antiqua" w:eastAsia="Book Antiqua" w:hAnsi="Book Antiqua" w:cs="Book Antiqua"/>
          <w:color w:val="000000"/>
        </w:rPr>
        <w:t xml:space="preserve"> the patient is still alive 10 years after treatment and in complete remission. Here, we present a rare case of long-term survival despite poor prognosis after palliative immunotherapy even before the era of immune checkpoint inhibitors.</w:t>
      </w:r>
    </w:p>
    <w:p w14:paraId="4CCB4B20" w14:textId="77777777" w:rsidR="00A77B3E" w:rsidRDefault="00C23E2B">
      <w:pPr>
        <w:spacing w:line="360" w:lineRule="auto"/>
        <w:jc w:val="both"/>
      </w:pPr>
      <w:r>
        <w:rPr>
          <w:rFonts w:ascii="Book Antiqua" w:eastAsia="Book Antiqua" w:hAnsi="Book Antiqua" w:cs="Book Antiqua"/>
          <w:b/>
          <w:caps/>
          <w:color w:val="000000"/>
          <w:u w:val="single"/>
        </w:rPr>
        <w:br w:type="page"/>
      </w:r>
      <w:r w:rsidR="00D60168">
        <w:rPr>
          <w:rFonts w:ascii="Book Antiqua" w:eastAsia="Book Antiqua" w:hAnsi="Book Antiqua" w:cs="Book Antiqua"/>
          <w:b/>
          <w:caps/>
          <w:color w:val="000000"/>
          <w:u w:val="single"/>
        </w:rPr>
        <w:t>INTRODUCTION</w:t>
      </w:r>
    </w:p>
    <w:p w14:paraId="2E0DED88" w14:textId="39C3C242" w:rsidR="00A77B3E" w:rsidRPr="00673F94" w:rsidRDefault="00D60168">
      <w:pPr>
        <w:spacing w:line="360" w:lineRule="auto"/>
        <w:jc w:val="both"/>
        <w:rPr>
          <w:lang w:eastAsia="zh-CN"/>
        </w:rPr>
      </w:pPr>
      <w:r>
        <w:rPr>
          <w:rFonts w:ascii="Book Antiqua" w:eastAsia="Book Antiqua" w:hAnsi="Book Antiqua" w:cs="Book Antiqua"/>
          <w:color w:val="000000"/>
        </w:rPr>
        <w:t xml:space="preserve">Cervical lymph node metastases originate from a head and neck site </w:t>
      </w:r>
      <w:r w:rsidR="0063037B">
        <w:rPr>
          <w:rFonts w:ascii="Book Antiqua" w:eastAsia="Book Antiqua" w:hAnsi="Book Antiqua" w:cs="Book Antiqua"/>
          <w:color w:val="000000"/>
        </w:rPr>
        <w:t xml:space="preserve">in 80% of cases, </w:t>
      </w:r>
      <w:r>
        <w:rPr>
          <w:rFonts w:ascii="Book Antiqua" w:eastAsia="Book Antiqua" w:hAnsi="Book Antiqua" w:cs="Book Antiqua"/>
          <w:color w:val="000000"/>
        </w:rPr>
        <w:t xml:space="preserve">and 15% show infiltration of squamous carcinoma cells. </w:t>
      </w:r>
      <w:r w:rsidR="009C45C8" w:rsidRPr="009C45C8">
        <w:rPr>
          <w:rFonts w:ascii="Book Antiqua" w:eastAsia="Book Antiqua" w:hAnsi="Book Antiqua" w:cs="Book Antiqua"/>
          <w:color w:val="000000"/>
        </w:rPr>
        <w:t>Human papillomavirus (HPV)</w:t>
      </w:r>
      <w:r>
        <w:rPr>
          <w:rFonts w:ascii="Book Antiqua" w:eastAsia="Book Antiqua" w:hAnsi="Book Antiqua" w:cs="Book Antiqua"/>
          <w:color w:val="000000"/>
        </w:rPr>
        <w:t xml:space="preserve"> infection is thought to be related to approximately 25% of all head and neck squamous cell carcinoma (HNSCC)</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Despite extensive physical examination and medical imaging, the primary lesion remains undetected. Approximately 50% of untreated advanced head and neck cancer patients will die within 4 mo</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patients with metastatic HNSCC of unknown primary, </w:t>
      </w:r>
      <w:r w:rsidR="0063037B">
        <w:rPr>
          <w:rFonts w:ascii="Book Antiqua" w:eastAsia="Book Antiqua" w:hAnsi="Book Antiqua" w:cs="Book Antiqua"/>
          <w:color w:val="000000"/>
        </w:rPr>
        <w:t xml:space="preserve">the </w:t>
      </w:r>
      <w:r>
        <w:rPr>
          <w:rFonts w:ascii="Book Antiqua" w:eastAsia="Book Antiqua" w:hAnsi="Book Antiqua" w:cs="Book Antiqua"/>
          <w:color w:val="000000"/>
        </w:rPr>
        <w:t xml:space="preserve">5-year-survival </w:t>
      </w:r>
      <w:r w:rsidR="0063037B">
        <w:rPr>
          <w:rFonts w:ascii="Book Antiqua" w:eastAsia="Book Antiqua" w:hAnsi="Book Antiqua" w:cs="Book Antiqua"/>
          <w:color w:val="000000"/>
        </w:rPr>
        <w:t xml:space="preserve">rate </w:t>
      </w:r>
      <w:r>
        <w:rPr>
          <w:rFonts w:ascii="Book Antiqua" w:eastAsia="Book Antiqua" w:hAnsi="Book Antiqua" w:cs="Book Antiqua"/>
          <w:color w:val="000000"/>
        </w:rPr>
        <w:t>is also poor</w:t>
      </w:r>
      <w:r w:rsidR="0063037B">
        <w:rPr>
          <w:rFonts w:ascii="Book Antiqua" w:eastAsia="Book Antiqua" w:hAnsi="Book Antiqua" w:cs="Book Antiqua"/>
          <w:color w:val="000000"/>
        </w:rPr>
        <w:t>,</w:t>
      </w:r>
      <w:r>
        <w:rPr>
          <w:rFonts w:ascii="Book Antiqua" w:eastAsia="Book Antiqua" w:hAnsi="Book Antiqua" w:cs="Book Antiqua"/>
          <w:color w:val="000000"/>
        </w:rPr>
        <w:t xml:space="preserve"> and ranges from 5</w:t>
      </w:r>
      <w:r w:rsidR="00CA1589">
        <w:rPr>
          <w:rFonts w:ascii="Book Antiqua" w:hAnsi="Book Antiqua" w:cs="Book Antiqua" w:hint="eastAsia"/>
          <w:color w:val="000000"/>
          <w:lang w:eastAsia="zh-CN"/>
        </w:rPr>
        <w:t>%</w:t>
      </w:r>
      <w:r>
        <w:rPr>
          <w:rFonts w:ascii="Book Antiqua" w:eastAsia="Book Antiqua" w:hAnsi="Book Antiqua" w:cs="Book Antiqua"/>
          <w:color w:val="000000"/>
        </w:rPr>
        <w:t xml:space="preserve"> to 15%</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Therefore, treatment</w:t>
      </w:r>
      <w:r w:rsidR="0063037B">
        <w:rPr>
          <w:rFonts w:ascii="Book Antiqua" w:eastAsia="Book Antiqua" w:hAnsi="Book Antiqua" w:cs="Book Antiqua"/>
          <w:color w:val="000000"/>
        </w:rPr>
        <w:t>s</w:t>
      </w:r>
      <w:r>
        <w:rPr>
          <w:rFonts w:ascii="Book Antiqua" w:eastAsia="Book Antiqua" w:hAnsi="Book Antiqua" w:cs="Book Antiqua"/>
          <w:color w:val="000000"/>
        </w:rPr>
        <w:t xml:space="preserve"> </w:t>
      </w:r>
      <w:r w:rsidR="0063037B">
        <w:rPr>
          <w:rFonts w:ascii="Book Antiqua" w:eastAsia="Book Antiqua" w:hAnsi="Book Antiqua" w:cs="Book Antiqua"/>
          <w:color w:val="000000"/>
        </w:rPr>
        <w:t xml:space="preserve">are aimed </w:t>
      </w:r>
      <w:r>
        <w:rPr>
          <w:rFonts w:ascii="Book Antiqua" w:eastAsia="Book Antiqua" w:hAnsi="Book Antiqua" w:cs="Book Antiqua"/>
          <w:color w:val="000000"/>
        </w:rPr>
        <w:t xml:space="preserve">at symptom control and enhancement of quality of life. According to the </w:t>
      </w:r>
      <w:bookmarkStart w:id="2" w:name="OLE_LINK1"/>
      <w:bookmarkStart w:id="3" w:name="OLE_LINK2"/>
      <w:bookmarkStart w:id="4" w:name="OLE_LINK3"/>
      <w:r>
        <w:rPr>
          <w:rFonts w:ascii="Book Antiqua" w:eastAsia="Book Antiqua" w:hAnsi="Book Antiqua" w:cs="Book Antiqua"/>
          <w:color w:val="000000"/>
        </w:rPr>
        <w:t>EXTREME study</w:t>
      </w:r>
      <w:bookmarkEnd w:id="2"/>
      <w:bookmarkEnd w:id="3"/>
      <w:bookmarkEnd w:id="4"/>
      <w:r w:rsidR="0063037B">
        <w:rPr>
          <w:rFonts w:ascii="Book Antiqua" w:eastAsia="Book Antiqua" w:hAnsi="Book Antiqua" w:cs="Book Antiqua"/>
          <w:color w:val="000000"/>
        </w:rPr>
        <w:t>,</w:t>
      </w:r>
      <w:r>
        <w:rPr>
          <w:rFonts w:ascii="Book Antiqua" w:eastAsia="Book Antiqua" w:hAnsi="Book Antiqua" w:cs="Book Antiqua"/>
          <w:color w:val="000000"/>
        </w:rPr>
        <w:t xml:space="preserve"> first-line treatment for metastatic HNSCC used to be platinum-based chemotherapy combined with fluorouracil and an epidermal growth factor receptor monoclonal antibody (cetuximab)</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until recently</w:t>
      </w:r>
      <w:r w:rsidR="0063037B">
        <w:rPr>
          <w:rFonts w:ascii="Book Antiqua" w:eastAsia="Book Antiqua" w:hAnsi="Book Antiqua" w:cs="Book Antiqua"/>
          <w:color w:val="000000"/>
        </w:rPr>
        <w:t>,</w:t>
      </w:r>
      <w:r>
        <w:rPr>
          <w:rFonts w:ascii="Book Antiqua" w:eastAsia="Book Antiqua" w:hAnsi="Book Antiqua" w:cs="Book Antiqua"/>
          <w:color w:val="000000"/>
        </w:rPr>
        <w:t xml:space="preserve"> when checkpoint inhibitors demonstrated clinical benefit. However, the treatment goal </w:t>
      </w:r>
      <w:r w:rsidR="0063037B">
        <w:rPr>
          <w:rFonts w:ascii="Book Antiqua" w:eastAsia="Book Antiqua" w:hAnsi="Book Antiqua" w:cs="Book Antiqua"/>
          <w:color w:val="000000"/>
        </w:rPr>
        <w:t xml:space="preserve">for patients with this type of cancer </w:t>
      </w:r>
      <w:r>
        <w:rPr>
          <w:rFonts w:ascii="Book Antiqua" w:eastAsia="Book Antiqua" w:hAnsi="Book Antiqua" w:cs="Book Antiqua"/>
          <w:color w:val="000000"/>
        </w:rPr>
        <w:t>remains palliative. Following EXTREME, response rate is 36%</w:t>
      </w:r>
      <w:r w:rsidR="0063037B">
        <w:rPr>
          <w:rFonts w:ascii="Book Antiqua" w:eastAsia="Book Antiqua" w:hAnsi="Book Antiqua" w:cs="Book Antiqua"/>
          <w:color w:val="000000"/>
        </w:rPr>
        <w:t>,</w:t>
      </w:r>
      <w:r>
        <w:rPr>
          <w:rFonts w:ascii="Book Antiqua" w:eastAsia="Book Antiqua" w:hAnsi="Book Antiqua" w:cs="Book Antiqua"/>
          <w:color w:val="000000"/>
        </w:rPr>
        <w:t xml:space="preserve"> and even fewer patient</w:t>
      </w:r>
      <w:r w:rsidR="00CA1589">
        <w:rPr>
          <w:rFonts w:ascii="Book Antiqua" w:eastAsia="Book Antiqua" w:hAnsi="Book Antiqua" w:cs="Book Antiqua"/>
          <w:color w:val="000000"/>
        </w:rPr>
        <w:t>s bec</w:t>
      </w:r>
      <w:r w:rsidR="0063037B">
        <w:rPr>
          <w:rFonts w:ascii="Book Antiqua" w:eastAsia="Book Antiqua" w:hAnsi="Book Antiqua" w:cs="Book Antiqua"/>
          <w:color w:val="000000"/>
        </w:rPr>
        <w:t>a</w:t>
      </w:r>
      <w:r w:rsidR="00CA1589">
        <w:rPr>
          <w:rFonts w:ascii="Book Antiqua" w:eastAsia="Book Antiqua" w:hAnsi="Book Antiqua" w:cs="Book Antiqua"/>
          <w:color w:val="000000"/>
        </w:rPr>
        <w:t>me long-term survivors (2</w:t>
      </w:r>
      <w:r w:rsidR="00CA1589">
        <w:rPr>
          <w:rFonts w:ascii="Book Antiqua" w:hAnsi="Book Antiqua" w:cs="Book Antiqua" w:hint="eastAsia"/>
          <w:color w:val="000000"/>
          <w:lang w:eastAsia="zh-CN"/>
        </w:rPr>
        <w:t>.</w:t>
      </w:r>
      <w:r>
        <w:rPr>
          <w:rFonts w:ascii="Book Antiqua" w:eastAsia="Book Antiqua" w:hAnsi="Book Antiqua" w:cs="Book Antiqua"/>
          <w:color w:val="000000"/>
        </w:rPr>
        <w:t>7%)</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63037B">
        <w:rPr>
          <w:rFonts w:ascii="Book Antiqua" w:eastAsia="Book Antiqua" w:hAnsi="Book Antiqua" w:cs="Book Antiqua"/>
          <w:color w:val="000000"/>
        </w:rPr>
        <w:t>Patients who did become long-term survivors</w:t>
      </w:r>
      <w:r>
        <w:rPr>
          <w:rFonts w:ascii="Book Antiqua" w:eastAsia="Book Antiqua" w:hAnsi="Book Antiqua" w:cs="Book Antiqua"/>
          <w:color w:val="000000"/>
        </w:rPr>
        <w:t xml:space="preserve"> </w:t>
      </w:r>
      <w:r w:rsidR="0063037B">
        <w:rPr>
          <w:rFonts w:ascii="Book Antiqua" w:eastAsia="Book Antiqua" w:hAnsi="Book Antiqua" w:cs="Book Antiqua"/>
          <w:color w:val="000000"/>
        </w:rPr>
        <w:t xml:space="preserve">were </w:t>
      </w:r>
      <w:r>
        <w:rPr>
          <w:rFonts w:ascii="Book Antiqua" w:eastAsia="Book Antiqua" w:hAnsi="Book Antiqua" w:cs="Book Antiqua"/>
          <w:color w:val="000000"/>
        </w:rPr>
        <w:t xml:space="preserve">defined as at least partial response </w:t>
      </w:r>
      <w:r w:rsidR="0063037B">
        <w:rPr>
          <w:rFonts w:ascii="Book Antiqua" w:eastAsia="Book Antiqua" w:hAnsi="Book Antiqua" w:cs="Book Antiqua"/>
          <w:color w:val="000000"/>
        </w:rPr>
        <w:t xml:space="preserve">to therapy </w:t>
      </w:r>
      <w:r>
        <w:rPr>
          <w:rFonts w:ascii="Book Antiqua" w:eastAsia="Book Antiqua" w:hAnsi="Book Antiqua" w:cs="Book Antiqua"/>
          <w:color w:val="000000"/>
        </w:rPr>
        <w:t>a</w:t>
      </w:r>
      <w:r w:rsidR="0063037B">
        <w:rPr>
          <w:rFonts w:ascii="Book Antiqua" w:eastAsia="Book Antiqua" w:hAnsi="Book Antiqua" w:cs="Book Antiqua"/>
          <w:color w:val="000000"/>
        </w:rPr>
        <w:t>fter</w:t>
      </w:r>
      <w:r>
        <w:rPr>
          <w:rFonts w:ascii="Book Antiqua" w:eastAsia="Book Antiqua" w:hAnsi="Book Antiqua" w:cs="Book Antiqua"/>
          <w:color w:val="000000"/>
        </w:rPr>
        <w:t xml:space="preserve"> 5 years. </w:t>
      </w:r>
      <w:r w:rsidR="0063037B">
        <w:rPr>
          <w:rFonts w:ascii="Book Antiqua" w:eastAsia="Book Antiqua" w:hAnsi="Book Antiqua" w:cs="Book Antiqua"/>
          <w:color w:val="000000"/>
        </w:rPr>
        <w:t xml:space="preserve">The specific reasons why a patient may have </w:t>
      </w:r>
      <w:r>
        <w:rPr>
          <w:rFonts w:ascii="Book Antiqua" w:eastAsia="Book Antiqua" w:hAnsi="Book Antiqua" w:cs="Book Antiqua"/>
          <w:color w:val="000000"/>
        </w:rPr>
        <w:t xml:space="preserve">an exceptional response </w:t>
      </w:r>
      <w:r w:rsidR="0063037B">
        <w:rPr>
          <w:rFonts w:ascii="Book Antiqua" w:eastAsia="Book Antiqua" w:hAnsi="Book Antiqua" w:cs="Book Antiqua"/>
          <w:color w:val="000000"/>
        </w:rPr>
        <w:t xml:space="preserve">to therapy </w:t>
      </w:r>
      <w:r>
        <w:rPr>
          <w:rFonts w:ascii="Book Antiqua" w:eastAsia="Book Antiqua" w:hAnsi="Book Antiqua" w:cs="Book Antiqua"/>
          <w:color w:val="000000"/>
        </w:rPr>
        <w:t>are still obscure. Therefore, clinical and imaging features need to be collected from individual case reports. Here, we report an exceptional case of long-term survival</w:t>
      </w:r>
      <w:r w:rsidR="00781E5C">
        <w:rPr>
          <w:rFonts w:ascii="Book Antiqua" w:eastAsia="Book Antiqua" w:hAnsi="Book Antiqua" w:cs="Book Antiqua"/>
          <w:color w:val="000000"/>
        </w:rPr>
        <w:t xml:space="preserve"> of a woman, who continues to live </w:t>
      </w:r>
      <w:r>
        <w:rPr>
          <w:rFonts w:ascii="Book Antiqua" w:eastAsia="Book Antiqua" w:hAnsi="Book Antiqua" w:cs="Book Antiqua"/>
          <w:color w:val="000000"/>
        </w:rPr>
        <w:t xml:space="preserve">10 years </w:t>
      </w:r>
      <w:r w:rsidR="00781E5C">
        <w:rPr>
          <w:rFonts w:ascii="Book Antiqua" w:eastAsia="Book Antiqua" w:hAnsi="Book Antiqua" w:cs="Book Antiqua"/>
          <w:color w:val="000000"/>
        </w:rPr>
        <w:t>since</w:t>
      </w:r>
      <w:r>
        <w:rPr>
          <w:rFonts w:ascii="Book Antiqua" w:eastAsia="Book Antiqua" w:hAnsi="Book Antiqua" w:cs="Book Antiqua"/>
          <w:color w:val="000000"/>
        </w:rPr>
        <w:t xml:space="preserve"> the time of diagnosis.</w:t>
      </w:r>
    </w:p>
    <w:p w14:paraId="675E4B40" w14:textId="77777777" w:rsidR="00A77B3E" w:rsidRDefault="00A77B3E">
      <w:pPr>
        <w:spacing w:line="360" w:lineRule="auto"/>
        <w:jc w:val="both"/>
      </w:pPr>
    </w:p>
    <w:p w14:paraId="2779D614" w14:textId="77777777" w:rsidR="00A77B3E" w:rsidRDefault="00D60168">
      <w:pPr>
        <w:spacing w:line="360" w:lineRule="auto"/>
        <w:jc w:val="both"/>
      </w:pPr>
      <w:r>
        <w:rPr>
          <w:rFonts w:ascii="Book Antiqua" w:eastAsia="Book Antiqua" w:hAnsi="Book Antiqua" w:cs="Book Antiqua"/>
          <w:b/>
          <w:caps/>
          <w:color w:val="000000"/>
          <w:u w:val="single"/>
        </w:rPr>
        <w:t>CASE PRESENTATION</w:t>
      </w:r>
    </w:p>
    <w:p w14:paraId="08169276" w14:textId="77777777" w:rsidR="00A77B3E" w:rsidRDefault="00D60168">
      <w:pPr>
        <w:spacing w:line="360" w:lineRule="auto"/>
        <w:jc w:val="both"/>
      </w:pPr>
      <w:r>
        <w:rPr>
          <w:rFonts w:ascii="Book Antiqua" w:eastAsia="Book Antiqua" w:hAnsi="Book Antiqua" w:cs="Book Antiqua"/>
          <w:b/>
          <w:i/>
          <w:color w:val="000000"/>
        </w:rPr>
        <w:t>Chief complaints</w:t>
      </w:r>
    </w:p>
    <w:p w14:paraId="64FD807F" w14:textId="1893972A" w:rsidR="00A77B3E" w:rsidRDefault="00D60168">
      <w:pPr>
        <w:spacing w:line="360" w:lineRule="auto"/>
        <w:jc w:val="both"/>
      </w:pPr>
      <w:r>
        <w:rPr>
          <w:rFonts w:ascii="Book Antiqua" w:eastAsia="Book Antiqua" w:hAnsi="Book Antiqua" w:cs="Book Antiqua"/>
          <w:color w:val="000000"/>
        </w:rPr>
        <w:t>A 42-year-old woman presented with a painful</w:t>
      </w:r>
      <w:r w:rsidR="00781E5C">
        <w:rPr>
          <w:rFonts w:ascii="Book Antiqua" w:eastAsia="Book Antiqua" w:hAnsi="Book Antiqua" w:cs="Book Antiqua"/>
          <w:color w:val="000000"/>
        </w:rPr>
        <w:t>ly</w:t>
      </w:r>
      <w:r>
        <w:rPr>
          <w:rFonts w:ascii="Book Antiqua" w:eastAsia="Book Antiqua" w:hAnsi="Book Antiqua" w:cs="Book Antiqua"/>
          <w:color w:val="000000"/>
        </w:rPr>
        <w:t xml:space="preserve"> swollen right leg and an indolent swelling of the supraclavicular lymph node up to 4 cm in diameter at week 36 of her otherwise unremarkable pregnancy. A deep vein thrombosis was excluded by Doppler sonography. A </w:t>
      </w:r>
      <w:r w:rsidR="00781E5C">
        <w:rPr>
          <w:rFonts w:ascii="Book Antiqua" w:eastAsia="Book Antiqua" w:hAnsi="Book Antiqua" w:cs="Book Antiqua"/>
          <w:color w:val="000000"/>
        </w:rPr>
        <w:t>c</w:t>
      </w:r>
      <w:r>
        <w:rPr>
          <w:rFonts w:ascii="Book Antiqua" w:eastAsia="Book Antiqua" w:hAnsi="Book Antiqua" w:cs="Book Antiqua"/>
          <w:color w:val="000000"/>
        </w:rPr>
        <w:t>aesarean section was performed as complaints exacerbated in week 37 of pregnancy. At that time</w:t>
      </w:r>
      <w:r w:rsidR="00781E5C">
        <w:rPr>
          <w:rFonts w:ascii="Book Antiqua" w:eastAsia="Book Antiqua" w:hAnsi="Book Antiqua" w:cs="Book Antiqua"/>
          <w:color w:val="000000"/>
        </w:rPr>
        <w:t>,</w:t>
      </w:r>
      <w:r>
        <w:rPr>
          <w:rFonts w:ascii="Book Antiqua" w:eastAsia="Book Antiqua" w:hAnsi="Book Antiqua" w:cs="Book Antiqua"/>
          <w:color w:val="000000"/>
        </w:rPr>
        <w:t xml:space="preserve"> </w:t>
      </w:r>
      <w:r w:rsidR="00781E5C">
        <w:rPr>
          <w:rFonts w:ascii="Book Antiqua" w:eastAsia="Book Antiqua" w:hAnsi="Book Antiqua" w:cs="Book Antiqua"/>
          <w:color w:val="000000"/>
        </w:rPr>
        <w:t xml:space="preserve">a </w:t>
      </w:r>
      <w:r>
        <w:rPr>
          <w:rFonts w:ascii="Book Antiqua" w:eastAsia="Book Antiqua" w:hAnsi="Book Antiqua" w:cs="Book Antiqua"/>
          <w:color w:val="000000"/>
        </w:rPr>
        <w:t>new urinary obstruction</w:t>
      </w:r>
      <w:r w:rsidR="00781E5C">
        <w:rPr>
          <w:rFonts w:ascii="Book Antiqua" w:eastAsia="Book Antiqua" w:hAnsi="Book Antiqua" w:cs="Book Antiqua"/>
          <w:color w:val="000000"/>
        </w:rPr>
        <w:t>,</w:t>
      </w:r>
      <w:r>
        <w:rPr>
          <w:rFonts w:ascii="Book Antiqua" w:eastAsia="Book Antiqua" w:hAnsi="Book Antiqua" w:cs="Book Antiqua"/>
          <w:color w:val="000000"/>
        </w:rPr>
        <w:t xml:space="preserve"> grade III</w:t>
      </w:r>
      <w:r w:rsidR="00781E5C">
        <w:rPr>
          <w:rFonts w:ascii="Book Antiqua" w:eastAsia="Book Antiqua" w:hAnsi="Book Antiqua" w:cs="Book Antiqua"/>
          <w:color w:val="000000"/>
        </w:rPr>
        <w:t>,</w:t>
      </w:r>
      <w:r>
        <w:rPr>
          <w:rFonts w:ascii="Book Antiqua" w:eastAsia="Book Antiqua" w:hAnsi="Book Antiqua" w:cs="Book Antiqua"/>
          <w:color w:val="000000"/>
        </w:rPr>
        <w:t xml:space="preserve"> on the right side caused by an extraluminal lymph node </w:t>
      </w:r>
      <w:r w:rsidR="00781E5C">
        <w:rPr>
          <w:rFonts w:ascii="Book Antiqua" w:eastAsia="Book Antiqua" w:hAnsi="Book Antiqua" w:cs="Book Antiqua"/>
          <w:color w:val="000000"/>
        </w:rPr>
        <w:t>required</w:t>
      </w:r>
      <w:r>
        <w:rPr>
          <w:rFonts w:ascii="Book Antiqua" w:eastAsia="Book Antiqua" w:hAnsi="Book Antiqua" w:cs="Book Antiqua"/>
          <w:color w:val="000000"/>
        </w:rPr>
        <w:t xml:space="preserve"> a double J stent. Meanwhile, the supraclavicular lymph node increased further</w:t>
      </w:r>
      <w:r w:rsidR="00781E5C">
        <w:rPr>
          <w:rFonts w:ascii="Book Antiqua" w:eastAsia="Book Antiqua" w:hAnsi="Book Antiqua" w:cs="Book Antiqua"/>
          <w:color w:val="000000"/>
        </w:rPr>
        <w:t xml:space="preserve"> in size</w:t>
      </w:r>
      <w:r>
        <w:rPr>
          <w:rFonts w:ascii="Book Antiqua" w:eastAsia="Book Antiqua" w:hAnsi="Book Antiqua" w:cs="Book Antiqua"/>
          <w:color w:val="000000"/>
        </w:rPr>
        <w:t xml:space="preserve">. </w:t>
      </w:r>
    </w:p>
    <w:p w14:paraId="6C377AD9" w14:textId="77777777" w:rsidR="00A77B3E" w:rsidRDefault="00A77B3E">
      <w:pPr>
        <w:spacing w:line="360" w:lineRule="auto"/>
        <w:jc w:val="both"/>
      </w:pPr>
    </w:p>
    <w:p w14:paraId="2770DA8F" w14:textId="77777777" w:rsidR="00A77B3E" w:rsidRDefault="00D60168">
      <w:pPr>
        <w:spacing w:line="360" w:lineRule="auto"/>
        <w:jc w:val="both"/>
      </w:pPr>
      <w:r>
        <w:rPr>
          <w:rFonts w:ascii="Book Antiqua" w:eastAsia="Book Antiqua" w:hAnsi="Book Antiqua" w:cs="Book Antiqua"/>
          <w:b/>
          <w:i/>
          <w:color w:val="000000"/>
        </w:rPr>
        <w:t>History of present illness</w:t>
      </w:r>
    </w:p>
    <w:p w14:paraId="2F7D6004" w14:textId="6E47EDB1" w:rsidR="00A77B3E" w:rsidRDefault="00D60168">
      <w:pPr>
        <w:spacing w:line="360" w:lineRule="auto"/>
        <w:jc w:val="both"/>
      </w:pPr>
      <w:r>
        <w:rPr>
          <w:rFonts w:ascii="Book Antiqua" w:eastAsia="Book Antiqua" w:hAnsi="Book Antiqua" w:cs="Book Antiqua"/>
          <w:color w:val="000000"/>
        </w:rPr>
        <w:t>There was no history of weight loss, night sweats, or fever</w:t>
      </w:r>
      <w:r w:rsidR="00781E5C">
        <w:rPr>
          <w:rFonts w:ascii="Book Antiqua" w:eastAsia="Book Antiqua" w:hAnsi="Book Antiqua" w:cs="Book Antiqua"/>
          <w:color w:val="000000"/>
        </w:rPr>
        <w:t>,</w:t>
      </w:r>
      <w:r>
        <w:rPr>
          <w:rFonts w:ascii="Book Antiqua" w:eastAsia="Book Antiqua" w:hAnsi="Book Antiqua" w:cs="Book Antiqua"/>
          <w:color w:val="000000"/>
        </w:rPr>
        <w:t xml:space="preserve"> but the general state of health declined recently. </w:t>
      </w:r>
    </w:p>
    <w:p w14:paraId="77D9388A" w14:textId="77777777" w:rsidR="00A77B3E" w:rsidRDefault="00A77B3E">
      <w:pPr>
        <w:spacing w:line="360" w:lineRule="auto"/>
        <w:jc w:val="both"/>
      </w:pPr>
    </w:p>
    <w:p w14:paraId="635B0416" w14:textId="77777777" w:rsidR="00A77B3E" w:rsidRDefault="00D60168">
      <w:pPr>
        <w:spacing w:line="360" w:lineRule="auto"/>
        <w:jc w:val="both"/>
      </w:pPr>
      <w:r>
        <w:rPr>
          <w:rFonts w:ascii="Book Antiqua" w:eastAsia="Book Antiqua" w:hAnsi="Book Antiqua" w:cs="Book Antiqua"/>
          <w:b/>
          <w:i/>
          <w:color w:val="000000"/>
        </w:rPr>
        <w:t>History of past illness</w:t>
      </w:r>
    </w:p>
    <w:p w14:paraId="35B8A6DF" w14:textId="77777777" w:rsidR="00A77B3E" w:rsidRDefault="00D60168">
      <w:pPr>
        <w:spacing w:line="360" w:lineRule="auto"/>
        <w:jc w:val="both"/>
      </w:pPr>
      <w:r>
        <w:rPr>
          <w:rFonts w:ascii="Book Antiqua" w:eastAsia="Book Antiqua" w:hAnsi="Book Antiqua" w:cs="Book Antiqua"/>
          <w:color w:val="000000"/>
        </w:rPr>
        <w:t xml:space="preserve">The patient had no history of past illness. </w:t>
      </w:r>
    </w:p>
    <w:p w14:paraId="07E67B8D" w14:textId="77777777" w:rsidR="00A77B3E" w:rsidRDefault="00A77B3E">
      <w:pPr>
        <w:spacing w:line="360" w:lineRule="auto"/>
        <w:jc w:val="both"/>
      </w:pPr>
    </w:p>
    <w:p w14:paraId="301E8F17" w14:textId="77777777" w:rsidR="00A77B3E" w:rsidRDefault="00D60168">
      <w:pPr>
        <w:spacing w:line="360" w:lineRule="auto"/>
        <w:jc w:val="both"/>
      </w:pPr>
      <w:r>
        <w:rPr>
          <w:rFonts w:ascii="Book Antiqua" w:eastAsia="Book Antiqua" w:hAnsi="Book Antiqua" w:cs="Book Antiqua"/>
          <w:b/>
          <w:i/>
          <w:color w:val="000000"/>
        </w:rPr>
        <w:t>Personal and family history</w:t>
      </w:r>
    </w:p>
    <w:p w14:paraId="1F64280B" w14:textId="562E9383" w:rsidR="00A77B3E" w:rsidRDefault="00D60168">
      <w:pPr>
        <w:spacing w:line="360" w:lineRule="auto"/>
        <w:jc w:val="both"/>
      </w:pPr>
      <w:r>
        <w:rPr>
          <w:rFonts w:ascii="Book Antiqua" w:eastAsia="Book Antiqua" w:hAnsi="Book Antiqua" w:cs="Book Antiqua"/>
          <w:color w:val="000000"/>
        </w:rPr>
        <w:t>The patient had no notable personal or family history. Classical risk factors</w:t>
      </w:r>
      <w:r w:rsidR="00781E5C">
        <w:rPr>
          <w:rFonts w:ascii="Book Antiqua" w:eastAsia="Book Antiqua" w:hAnsi="Book Antiqua" w:cs="Book Antiqua"/>
          <w:color w:val="000000"/>
        </w:rPr>
        <w:t>,</w:t>
      </w:r>
      <w:r>
        <w:rPr>
          <w:rFonts w:ascii="Book Antiqua" w:eastAsia="Book Antiqua" w:hAnsi="Book Antiqua" w:cs="Book Antiqua"/>
          <w:color w:val="000000"/>
        </w:rPr>
        <w:t xml:space="preserve"> tobacco and alcohol</w:t>
      </w:r>
      <w:r w:rsidR="00781E5C">
        <w:rPr>
          <w:rFonts w:ascii="Book Antiqua" w:eastAsia="Book Antiqua" w:hAnsi="Book Antiqua" w:cs="Book Antiqua"/>
          <w:color w:val="000000"/>
        </w:rPr>
        <w:t>,</w:t>
      </w:r>
      <w:r>
        <w:rPr>
          <w:rFonts w:ascii="Book Antiqua" w:eastAsia="Book Antiqua" w:hAnsi="Book Antiqua" w:cs="Book Antiqua"/>
          <w:color w:val="000000"/>
        </w:rPr>
        <w:t xml:space="preserve"> were denied.</w:t>
      </w:r>
    </w:p>
    <w:p w14:paraId="6060FACC" w14:textId="77777777" w:rsidR="00A77B3E" w:rsidRDefault="00A77B3E">
      <w:pPr>
        <w:spacing w:line="360" w:lineRule="auto"/>
        <w:jc w:val="both"/>
      </w:pPr>
    </w:p>
    <w:p w14:paraId="038244EC" w14:textId="77777777" w:rsidR="00A77B3E" w:rsidRDefault="00D60168">
      <w:pPr>
        <w:spacing w:line="360" w:lineRule="auto"/>
        <w:jc w:val="both"/>
      </w:pPr>
      <w:r>
        <w:rPr>
          <w:rFonts w:ascii="Book Antiqua" w:eastAsia="Book Antiqua" w:hAnsi="Book Antiqua" w:cs="Book Antiqua"/>
          <w:b/>
          <w:i/>
          <w:color w:val="000000"/>
        </w:rPr>
        <w:t>Physical examination</w:t>
      </w:r>
    </w:p>
    <w:p w14:paraId="379AB8EC" w14:textId="58C7A394" w:rsidR="00A77B3E" w:rsidRDefault="00D60168">
      <w:pPr>
        <w:spacing w:line="360" w:lineRule="auto"/>
        <w:jc w:val="both"/>
      </w:pPr>
      <w:r>
        <w:rPr>
          <w:rFonts w:ascii="Book Antiqua" w:eastAsia="Book Antiqua" w:hAnsi="Book Antiqua" w:cs="Book Antiqua"/>
          <w:color w:val="000000"/>
        </w:rPr>
        <w:t>On admission, the patient presented with a painful</w:t>
      </w:r>
      <w:r w:rsidR="00781E5C">
        <w:rPr>
          <w:rFonts w:ascii="Book Antiqua" w:eastAsia="Book Antiqua" w:hAnsi="Book Antiqua" w:cs="Book Antiqua"/>
          <w:color w:val="000000"/>
        </w:rPr>
        <w:t>ly</w:t>
      </w:r>
      <w:r>
        <w:rPr>
          <w:rFonts w:ascii="Book Antiqua" w:eastAsia="Book Antiqua" w:hAnsi="Book Antiqua" w:cs="Book Antiqua"/>
          <w:color w:val="000000"/>
        </w:rPr>
        <w:t xml:space="preserve"> swollen right leg in combination with indolent swollen right inguinal lymph nodes with diameters of up to 4 cm. Further indolent lymph nodes were found in the left supraclavicular fossa. There were no sensory or motor deficits in her lim</w:t>
      </w:r>
      <w:r w:rsidR="00781E5C">
        <w:rPr>
          <w:rFonts w:ascii="Book Antiqua" w:eastAsia="Book Antiqua" w:hAnsi="Book Antiqua" w:cs="Book Antiqua"/>
          <w:color w:val="000000"/>
        </w:rPr>
        <w:t>b</w:t>
      </w:r>
      <w:r>
        <w:rPr>
          <w:rFonts w:ascii="Book Antiqua" w:eastAsia="Book Antiqua" w:hAnsi="Book Antiqua" w:cs="Book Antiqua"/>
          <w:color w:val="000000"/>
        </w:rPr>
        <w:t>s or abnormalities in the cardiovascular system detected on clinical examination. Ear, nose</w:t>
      </w:r>
      <w:r w:rsidR="00781E5C">
        <w:rPr>
          <w:rFonts w:ascii="Book Antiqua" w:eastAsia="Book Antiqua" w:hAnsi="Book Antiqua" w:cs="Book Antiqua"/>
          <w:color w:val="000000"/>
        </w:rPr>
        <w:t>,</w:t>
      </w:r>
      <w:r>
        <w:rPr>
          <w:rFonts w:ascii="Book Antiqua" w:eastAsia="Book Antiqua" w:hAnsi="Book Antiqua" w:cs="Book Antiqua"/>
          <w:color w:val="000000"/>
        </w:rPr>
        <w:t xml:space="preserve"> and throat were inconspicuous by inspection.</w:t>
      </w:r>
    </w:p>
    <w:p w14:paraId="45B50F80" w14:textId="77777777" w:rsidR="00A77B3E" w:rsidRDefault="00A77B3E">
      <w:pPr>
        <w:spacing w:line="360" w:lineRule="auto"/>
        <w:jc w:val="both"/>
      </w:pPr>
    </w:p>
    <w:p w14:paraId="4E206C34" w14:textId="77777777" w:rsidR="00A77B3E" w:rsidRDefault="00D60168">
      <w:pPr>
        <w:spacing w:line="360" w:lineRule="auto"/>
        <w:jc w:val="both"/>
      </w:pPr>
      <w:r>
        <w:rPr>
          <w:rFonts w:ascii="Book Antiqua" w:eastAsia="Book Antiqua" w:hAnsi="Book Antiqua" w:cs="Book Antiqua"/>
          <w:b/>
          <w:i/>
          <w:color w:val="000000"/>
        </w:rPr>
        <w:t>Laboratory examinations</w:t>
      </w:r>
    </w:p>
    <w:p w14:paraId="4CE3E467" w14:textId="26003545" w:rsidR="00A77B3E" w:rsidRDefault="00781E5C">
      <w:pPr>
        <w:spacing w:line="360" w:lineRule="auto"/>
        <w:jc w:val="both"/>
      </w:pPr>
      <w:r>
        <w:rPr>
          <w:rFonts w:ascii="Book Antiqua" w:eastAsia="Book Antiqua" w:hAnsi="Book Antiqua" w:cs="Book Antiqua"/>
          <w:color w:val="000000"/>
        </w:rPr>
        <w:t>B</w:t>
      </w:r>
      <w:r w:rsidR="00D60168">
        <w:rPr>
          <w:rFonts w:ascii="Book Antiqua" w:eastAsia="Book Antiqua" w:hAnsi="Book Antiqua" w:cs="Book Antiqua"/>
          <w:color w:val="000000"/>
        </w:rPr>
        <w:t>lood analysis showed deviations that could be explained by pregnancy rather than by lymphoma: a</w:t>
      </w:r>
      <w:r w:rsidR="007C3A5D">
        <w:rPr>
          <w:rFonts w:ascii="Book Antiqua" w:eastAsia="Book Antiqua" w:hAnsi="Book Antiqua" w:cs="Book Antiqua"/>
          <w:color w:val="000000"/>
        </w:rPr>
        <w:t xml:space="preserve">nemia </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hemoglobin 7</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 xml:space="preserve">1 mmol/L </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7</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5-10</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0 mmol/L</w:t>
      </w:r>
      <w:r w:rsidR="00D60168">
        <w:rPr>
          <w:rFonts w:ascii="Book Antiqua" w:eastAsia="Book Antiqua" w:hAnsi="Book Antiqua" w:cs="Book Antiqua"/>
          <w:color w:val="000000"/>
        </w:rPr>
        <w:t>)</w:t>
      </w:r>
      <w:r w:rsidR="007C3A5D">
        <w:rPr>
          <w:rFonts w:ascii="Book Antiqua" w:hAnsi="Book Antiqua" w:cs="Book Antiqua" w:hint="eastAsia"/>
          <w:color w:val="000000"/>
          <w:lang w:eastAsia="zh-CN"/>
        </w:rPr>
        <w:t>]</w:t>
      </w:r>
      <w:r w:rsidR="00D60168">
        <w:rPr>
          <w:rFonts w:ascii="Book Antiqua" w:eastAsia="Book Antiqua" w:hAnsi="Book Antiqua" w:cs="Book Antiqua"/>
          <w:color w:val="000000"/>
        </w:rPr>
        <w:t xml:space="preserve">, elevated </w:t>
      </w:r>
      <w:r>
        <w:rPr>
          <w:rFonts w:ascii="Book Antiqua" w:eastAsia="Book Antiqua" w:hAnsi="Book Antiqua" w:cs="Book Antiqua"/>
          <w:color w:val="000000"/>
        </w:rPr>
        <w:t xml:space="preserve">lactate dehydrogenase </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 xml:space="preserve">298 U/L </w:t>
      </w:r>
      <w:r w:rsidR="007C3A5D">
        <w:rPr>
          <w:rFonts w:ascii="Book Antiqua" w:hAnsi="Book Antiqua" w:cs="Book Antiqua" w:hint="eastAsia"/>
          <w:color w:val="000000"/>
          <w:lang w:eastAsia="zh-CN"/>
        </w:rPr>
        <w:t>(</w:t>
      </w:r>
      <w:r w:rsidR="00D60168">
        <w:rPr>
          <w:rFonts w:ascii="Book Antiqua" w:eastAsia="Book Antiqua" w:hAnsi="Book Antiqua" w:cs="Book Antiqua"/>
          <w:color w:val="000000"/>
        </w:rPr>
        <w:t>&lt; 247 U/L</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 xml:space="preserve">]; faster sed rate </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 xml:space="preserve">54 mm/h </w:t>
      </w:r>
      <w:r w:rsidR="007C3A5D">
        <w:rPr>
          <w:rFonts w:ascii="Book Antiqua" w:hAnsi="Book Antiqua" w:cs="Book Antiqua" w:hint="eastAsia"/>
          <w:color w:val="000000"/>
          <w:lang w:eastAsia="zh-CN"/>
        </w:rPr>
        <w:t>(</w:t>
      </w:r>
      <w:r w:rsidR="00D60168">
        <w:rPr>
          <w:rFonts w:ascii="Book Antiqua" w:eastAsia="Book Antiqua" w:hAnsi="Book Antiqua" w:cs="Book Antiqua"/>
          <w:color w:val="000000"/>
        </w:rPr>
        <w:t>&lt; 20 mm/h</w:t>
      </w:r>
      <w:r w:rsidR="007C3A5D">
        <w:rPr>
          <w:rFonts w:ascii="Book Antiqua" w:hAnsi="Book Antiqua" w:cs="Book Antiqua" w:hint="eastAsia"/>
          <w:color w:val="000000"/>
          <w:lang w:eastAsia="zh-CN"/>
        </w:rPr>
        <w:t>)</w:t>
      </w:r>
      <w:r w:rsidR="00D60168">
        <w:rPr>
          <w:rFonts w:ascii="Book Antiqua" w:eastAsia="Book Antiqua" w:hAnsi="Book Antiqua" w:cs="Book Antiqua"/>
          <w:color w:val="000000"/>
        </w:rPr>
        <w:t>]. There were no signs of hemolysis, thrombopenia</w:t>
      </w:r>
      <w:r>
        <w:rPr>
          <w:rFonts w:ascii="Book Antiqua" w:eastAsia="Book Antiqua" w:hAnsi="Book Antiqua" w:cs="Book Antiqua"/>
          <w:color w:val="000000"/>
        </w:rPr>
        <w:t>,</w:t>
      </w:r>
      <w:r w:rsidR="00D60168">
        <w:rPr>
          <w:rFonts w:ascii="Book Antiqua" w:eastAsia="Book Antiqua" w:hAnsi="Book Antiqua" w:cs="Book Antiqua"/>
          <w:color w:val="000000"/>
        </w:rPr>
        <w:t xml:space="preserve"> or leucopenia. Initially, the on</w:t>
      </w:r>
      <w:r w:rsidR="007C3A5D">
        <w:rPr>
          <w:rFonts w:ascii="Book Antiqua" w:eastAsia="Book Antiqua" w:hAnsi="Book Antiqua" w:cs="Book Antiqua"/>
          <w:color w:val="000000"/>
        </w:rPr>
        <w:t>ly elevated tumor marker was CA</w:t>
      </w:r>
      <w:r w:rsidR="007C3A5D">
        <w:rPr>
          <w:rFonts w:ascii="Book Antiqua" w:hAnsi="Book Antiqua" w:cs="Book Antiqua" w:hint="eastAsia"/>
          <w:color w:val="000000"/>
          <w:lang w:eastAsia="zh-CN"/>
        </w:rPr>
        <w:t xml:space="preserve"> </w:t>
      </w:r>
      <w:r w:rsidR="00D60168">
        <w:rPr>
          <w:rFonts w:ascii="Book Antiqua" w:eastAsia="Book Antiqua" w:hAnsi="Book Antiqua" w:cs="Book Antiqua"/>
          <w:color w:val="000000"/>
        </w:rPr>
        <w:t>125 (46.1 U/mL; normal range &lt; 35 U/mL). Elevation was interpreted as pregnancy related</w:t>
      </w:r>
      <w:r w:rsidR="00D60168">
        <w:rPr>
          <w:rFonts w:ascii="Book Antiqua" w:eastAsia="Book Antiqua" w:hAnsi="Book Antiqua" w:cs="Book Antiqua"/>
          <w:color w:val="000000"/>
          <w:szCs w:val="30"/>
          <w:vertAlign w:val="superscript"/>
        </w:rPr>
        <w:t>[6]</w:t>
      </w:r>
      <w:r w:rsidR="00D60168">
        <w:rPr>
          <w:rFonts w:ascii="Book Antiqua" w:eastAsia="Book Antiqua" w:hAnsi="Book Antiqua" w:cs="Book Antiqua"/>
          <w:color w:val="000000"/>
        </w:rPr>
        <w:t xml:space="preserve">. CEA, CA 19-9, CYFRA 21-1, and </w:t>
      </w:r>
      <w:bookmarkStart w:id="5" w:name="OLE_LINK8"/>
      <w:bookmarkStart w:id="6" w:name="OLE_LINK9"/>
      <w:r w:rsidR="00D60168">
        <w:rPr>
          <w:rFonts w:ascii="Book Antiqua" w:eastAsia="Book Antiqua" w:hAnsi="Book Antiqua" w:cs="Book Antiqua"/>
          <w:color w:val="000000"/>
        </w:rPr>
        <w:t xml:space="preserve">NSE </w:t>
      </w:r>
      <w:bookmarkEnd w:id="5"/>
      <w:bookmarkEnd w:id="6"/>
      <w:r w:rsidR="00D60168">
        <w:rPr>
          <w:rFonts w:ascii="Book Antiqua" w:eastAsia="Book Antiqua" w:hAnsi="Book Antiqua" w:cs="Book Antiqua"/>
          <w:color w:val="000000"/>
        </w:rPr>
        <w:t xml:space="preserve">were within the normal range. There was evidence of </w:t>
      </w:r>
      <w:r>
        <w:rPr>
          <w:rFonts w:ascii="Book Antiqua" w:eastAsia="Book Antiqua" w:hAnsi="Book Antiqua" w:cs="Book Antiqua"/>
          <w:color w:val="000000"/>
        </w:rPr>
        <w:t xml:space="preserve">a previous </w:t>
      </w:r>
      <w:r w:rsidR="007C3A5D" w:rsidRPr="007C3A5D">
        <w:rPr>
          <w:rFonts w:ascii="Book Antiqua" w:eastAsia="Book Antiqua" w:hAnsi="Book Antiqua" w:cs="Book Antiqua"/>
          <w:color w:val="000000"/>
        </w:rPr>
        <w:t xml:space="preserve">Epstein-Barr virus </w:t>
      </w:r>
      <w:r w:rsidR="00D60168">
        <w:rPr>
          <w:rFonts w:ascii="Book Antiqua" w:eastAsia="Book Antiqua" w:hAnsi="Book Antiqua" w:cs="Book Antiqua"/>
          <w:color w:val="000000"/>
        </w:rPr>
        <w:t xml:space="preserve">infection. Immunofixation was unremarkable. </w:t>
      </w:r>
    </w:p>
    <w:p w14:paraId="5DBE1144" w14:textId="77777777" w:rsidR="00A77B3E" w:rsidRDefault="00A77B3E">
      <w:pPr>
        <w:spacing w:line="360" w:lineRule="auto"/>
        <w:jc w:val="both"/>
      </w:pPr>
    </w:p>
    <w:p w14:paraId="5FA95357" w14:textId="77777777" w:rsidR="00A77B3E" w:rsidRDefault="00D60168">
      <w:pPr>
        <w:spacing w:line="360" w:lineRule="auto"/>
        <w:jc w:val="both"/>
      </w:pPr>
      <w:r>
        <w:rPr>
          <w:rFonts w:ascii="Book Antiqua" w:eastAsia="Book Antiqua" w:hAnsi="Book Antiqua" w:cs="Book Antiqua"/>
          <w:b/>
          <w:i/>
          <w:color w:val="000000"/>
        </w:rPr>
        <w:t>Imaging examinations</w:t>
      </w:r>
    </w:p>
    <w:p w14:paraId="7DEF112F" w14:textId="0ABF3717" w:rsidR="00A77B3E" w:rsidRDefault="003C54A1">
      <w:pPr>
        <w:spacing w:line="360" w:lineRule="auto"/>
        <w:jc w:val="both"/>
      </w:pPr>
      <w:r>
        <w:rPr>
          <w:rFonts w:ascii="Book Antiqua" w:eastAsia="Book Antiqua" w:hAnsi="Book Antiqua" w:cs="Book Antiqua"/>
          <w:color w:val="000000"/>
        </w:rPr>
        <w:t>S</w:t>
      </w:r>
      <w:r w:rsidR="00D60168">
        <w:rPr>
          <w:rFonts w:ascii="Book Antiqua" w:eastAsia="Book Antiqua" w:hAnsi="Book Antiqua" w:cs="Book Antiqua"/>
          <w:color w:val="000000"/>
        </w:rPr>
        <w:t>welling of the cervical, supraclavicular, abdominal, and inguinal lymph nodes up to 4 cm in diameter</w:t>
      </w:r>
      <w:r>
        <w:rPr>
          <w:rFonts w:ascii="Book Antiqua" w:eastAsia="Book Antiqua" w:hAnsi="Book Antiqua" w:cs="Book Antiqua"/>
          <w:color w:val="000000"/>
        </w:rPr>
        <w:t xml:space="preserve"> were detected using ultrasonography</w:t>
      </w:r>
      <w:r w:rsidR="00D60168">
        <w:rPr>
          <w:rFonts w:ascii="Book Antiqua" w:eastAsia="Book Antiqua" w:hAnsi="Book Antiqua" w:cs="Book Antiqua"/>
          <w:color w:val="000000"/>
        </w:rPr>
        <w:t xml:space="preserve">. </w:t>
      </w:r>
      <w:r>
        <w:rPr>
          <w:rFonts w:ascii="Book Antiqua" w:eastAsia="Book Antiqua" w:hAnsi="Book Antiqua" w:cs="Book Antiqua"/>
          <w:color w:val="000000"/>
        </w:rPr>
        <w:t xml:space="preserve">The right </w:t>
      </w:r>
      <w:r w:rsidR="00D60168">
        <w:rPr>
          <w:rFonts w:ascii="Book Antiqua" w:eastAsia="Book Antiqua" w:hAnsi="Book Antiqua" w:cs="Book Antiqua"/>
          <w:color w:val="000000"/>
        </w:rPr>
        <w:t>renal pelvis was dilated due to an external compression of the ureter by lymph nodes. Computed tomography of the whole body confirmed the above-mentioned swollen lymph nodes and showed compression of the right renal artery with minor perfusion of the right kidney (</w:t>
      </w:r>
      <w:r w:rsidR="00D60168" w:rsidRPr="00603293">
        <w:rPr>
          <w:rFonts w:ascii="Book Antiqua" w:eastAsia="Book Antiqua" w:hAnsi="Book Antiqua" w:cs="Book Antiqua"/>
          <w:bCs/>
          <w:iCs/>
          <w:color w:val="000000"/>
        </w:rPr>
        <w:t>Figure 1</w:t>
      </w:r>
      <w:r w:rsidR="00D60168">
        <w:rPr>
          <w:rFonts w:ascii="Book Antiqua" w:eastAsia="Book Antiqua" w:hAnsi="Book Antiqua" w:cs="Book Antiqua"/>
          <w:color w:val="000000"/>
        </w:rPr>
        <w:t>). There were osteolyses of the third and fifth lumbar vertebral bodies</w:t>
      </w:r>
      <w:r>
        <w:rPr>
          <w:rFonts w:ascii="Book Antiqua" w:eastAsia="Book Antiqua" w:hAnsi="Book Antiqua" w:cs="Book Antiqua"/>
          <w:color w:val="000000"/>
        </w:rPr>
        <w:t>,</w:t>
      </w:r>
      <w:r w:rsidR="00D60168">
        <w:rPr>
          <w:rFonts w:ascii="Book Antiqua" w:eastAsia="Book Antiqua" w:hAnsi="Book Antiqua" w:cs="Book Antiqua"/>
          <w:color w:val="000000"/>
        </w:rPr>
        <w:t xml:space="preserve"> as well as of lower cervical vertebral bodies.</w:t>
      </w:r>
    </w:p>
    <w:p w14:paraId="57733D72" w14:textId="77777777" w:rsidR="00A77B3E" w:rsidRDefault="00A77B3E">
      <w:pPr>
        <w:spacing w:line="360" w:lineRule="auto"/>
        <w:jc w:val="both"/>
      </w:pPr>
    </w:p>
    <w:p w14:paraId="7B09248A" w14:textId="77777777" w:rsidR="00A77B3E" w:rsidRDefault="00D60168">
      <w:pPr>
        <w:spacing w:line="360" w:lineRule="auto"/>
        <w:jc w:val="both"/>
      </w:pPr>
      <w:r>
        <w:rPr>
          <w:rFonts w:ascii="Book Antiqua" w:eastAsia="Book Antiqua" w:hAnsi="Book Antiqua" w:cs="Book Antiqua"/>
          <w:b/>
          <w:i/>
          <w:color w:val="000000"/>
        </w:rPr>
        <w:t>Further diagnostic work-up</w:t>
      </w:r>
    </w:p>
    <w:p w14:paraId="28CBB214" w14:textId="6D7E6105" w:rsidR="00A77B3E" w:rsidRDefault="00D60168">
      <w:pPr>
        <w:spacing w:line="360" w:lineRule="auto"/>
        <w:jc w:val="both"/>
      </w:pPr>
      <w:r>
        <w:rPr>
          <w:rFonts w:ascii="Book Antiqua" w:eastAsia="Book Antiqua" w:hAnsi="Book Antiqua" w:cs="Book Antiqua"/>
          <w:color w:val="000000"/>
        </w:rPr>
        <w:t>Gynecologic, dermatologic, and urologic admission</w:t>
      </w:r>
      <w:r w:rsidR="003C54A1">
        <w:rPr>
          <w:rFonts w:ascii="Book Antiqua" w:eastAsia="Book Antiqua" w:hAnsi="Book Antiqua" w:cs="Book Antiqua"/>
          <w:color w:val="000000"/>
        </w:rPr>
        <w:t>s</w:t>
      </w:r>
      <w:r>
        <w:rPr>
          <w:rFonts w:ascii="Book Antiqua" w:eastAsia="Book Antiqua" w:hAnsi="Book Antiqua" w:cs="Book Antiqua"/>
          <w:color w:val="000000"/>
        </w:rPr>
        <w:t xml:space="preserve"> could not detect a primary tumor. Gastroscopy, colo</w:t>
      </w:r>
      <w:r w:rsidR="005B3F17">
        <w:rPr>
          <w:rFonts w:ascii="Book Antiqua" w:eastAsia="Book Antiqua" w:hAnsi="Book Antiqua" w:cs="Book Antiqua"/>
          <w:color w:val="000000"/>
        </w:rPr>
        <w:t>no</w:t>
      </w:r>
      <w:r>
        <w:rPr>
          <w:rFonts w:ascii="Book Antiqua" w:eastAsia="Book Antiqua" w:hAnsi="Book Antiqua" w:cs="Book Antiqua"/>
          <w:color w:val="000000"/>
        </w:rPr>
        <w:t xml:space="preserve">scopy, and bronchoscopy remained inconspicuous. Histologic diagnosis was made by an excisional biopsy of a cervical lymph node on the left side. </w:t>
      </w:r>
    </w:p>
    <w:p w14:paraId="297B6B21" w14:textId="3D8B7CC9" w:rsidR="00A77B3E" w:rsidRDefault="00D60168">
      <w:pPr>
        <w:spacing w:line="360" w:lineRule="auto"/>
        <w:jc w:val="both"/>
      </w:pPr>
      <w:r>
        <w:rPr>
          <w:rFonts w:ascii="Book Antiqua" w:eastAsia="Book Antiqua" w:hAnsi="Book Antiqua" w:cs="Book Antiqua"/>
          <w:color w:val="000000"/>
        </w:rPr>
        <w:t>Hematoxylin and eosin stain described metastasi</w:t>
      </w:r>
      <w:r w:rsidR="00603293">
        <w:rPr>
          <w:rFonts w:ascii="Book Antiqua" w:eastAsia="Book Antiqua" w:hAnsi="Book Antiqua" w:cs="Book Antiqua"/>
          <w:color w:val="000000"/>
        </w:rPr>
        <w:t xml:space="preserve">s of moderate differentiation. </w:t>
      </w:r>
      <w:r w:rsidR="003C54A1">
        <w:rPr>
          <w:rFonts w:ascii="Book Antiqua" w:eastAsia="Book Antiqua" w:hAnsi="Book Antiqua" w:cs="Book Antiqua"/>
          <w:color w:val="000000"/>
        </w:rPr>
        <w:t xml:space="preserve">The proliferation </w:t>
      </w:r>
      <w:r>
        <w:rPr>
          <w:rFonts w:ascii="Book Antiqua" w:eastAsia="Book Antiqua" w:hAnsi="Book Antiqua" w:cs="Book Antiqua"/>
          <w:color w:val="000000"/>
        </w:rPr>
        <w:t>index</w:t>
      </w:r>
      <w:r w:rsidR="003C54A1">
        <w:rPr>
          <w:rFonts w:ascii="Book Antiqua" w:eastAsia="Book Antiqua" w:hAnsi="Book Antiqua" w:cs="Book Antiqua"/>
          <w:color w:val="000000"/>
        </w:rPr>
        <w:t>,</w:t>
      </w:r>
      <w:r>
        <w:rPr>
          <w:rFonts w:ascii="Book Antiqua" w:eastAsia="Book Antiqua" w:hAnsi="Book Antiqua" w:cs="Book Antiqua"/>
          <w:color w:val="000000"/>
        </w:rPr>
        <w:t xml:space="preserve"> Ki67</w:t>
      </w:r>
      <w:r w:rsidR="003C54A1">
        <w:rPr>
          <w:rFonts w:ascii="Book Antiqua" w:eastAsia="Book Antiqua" w:hAnsi="Book Antiqua" w:cs="Book Antiqua"/>
          <w:color w:val="000000"/>
        </w:rPr>
        <w:t>,</w:t>
      </w:r>
      <w:r>
        <w:rPr>
          <w:rFonts w:ascii="Book Antiqua" w:eastAsia="Book Antiqua" w:hAnsi="Book Antiqua" w:cs="Book Antiqua"/>
          <w:color w:val="000000"/>
        </w:rPr>
        <w:t xml:space="preserve"> was high. Tumor cell were immunoreactive for p40, confirming squamous cell differentiation. P16 immunohistochemistry showed diffuse cytoplasmatic and nuclear reactions in most of the tumor cells, which is a surrogate marker for HPV infection (</w:t>
      </w:r>
      <w:r w:rsidRPr="00603293">
        <w:rPr>
          <w:rFonts w:ascii="Book Antiqua" w:eastAsia="Book Antiqua" w:hAnsi="Book Antiqua" w:cs="Book Antiqua"/>
          <w:bCs/>
          <w:iCs/>
          <w:color w:val="000000"/>
        </w:rPr>
        <w:t>Figure 2</w:t>
      </w:r>
      <w:r>
        <w:rPr>
          <w:rFonts w:ascii="Book Antiqua" w:eastAsia="Book Antiqua" w:hAnsi="Book Antiqua" w:cs="Book Antiqua"/>
          <w:color w:val="000000"/>
        </w:rPr>
        <w:t xml:space="preserve">). </w:t>
      </w:r>
    </w:p>
    <w:p w14:paraId="7EC99DDC" w14:textId="77777777" w:rsidR="00A77B3E" w:rsidRDefault="00A77B3E">
      <w:pPr>
        <w:spacing w:line="360" w:lineRule="auto"/>
        <w:jc w:val="both"/>
      </w:pPr>
    </w:p>
    <w:p w14:paraId="17BA0F10" w14:textId="77777777" w:rsidR="00A77B3E" w:rsidRDefault="00D60168">
      <w:pPr>
        <w:spacing w:line="360" w:lineRule="auto"/>
        <w:jc w:val="both"/>
      </w:pPr>
      <w:r>
        <w:rPr>
          <w:rFonts w:ascii="Book Antiqua" w:eastAsia="Book Antiqua" w:hAnsi="Book Antiqua" w:cs="Book Antiqua"/>
          <w:b/>
          <w:caps/>
          <w:color w:val="000000"/>
          <w:u w:val="single"/>
        </w:rPr>
        <w:t>FINAL DIAGNOSIS</w:t>
      </w:r>
    </w:p>
    <w:p w14:paraId="57E0A251" w14:textId="77777777" w:rsidR="00A77B3E" w:rsidRDefault="00D60168">
      <w:pPr>
        <w:spacing w:line="360" w:lineRule="auto"/>
        <w:jc w:val="both"/>
      </w:pPr>
      <w:r>
        <w:rPr>
          <w:rFonts w:ascii="Book Antiqua" w:eastAsia="Book Antiqua" w:hAnsi="Book Antiqua" w:cs="Book Antiqua"/>
          <w:color w:val="000000"/>
        </w:rPr>
        <w:t>Metastatic, HPV positive HNSCC of unknown primary.</w:t>
      </w:r>
    </w:p>
    <w:p w14:paraId="5FBFDE88" w14:textId="77777777" w:rsidR="00A77B3E" w:rsidRDefault="00A77B3E">
      <w:pPr>
        <w:spacing w:line="360" w:lineRule="auto"/>
        <w:jc w:val="both"/>
      </w:pPr>
    </w:p>
    <w:p w14:paraId="5EC8F0D4" w14:textId="77777777" w:rsidR="00A77B3E" w:rsidRDefault="00D60168">
      <w:pPr>
        <w:spacing w:line="360" w:lineRule="auto"/>
        <w:jc w:val="both"/>
      </w:pPr>
      <w:r>
        <w:rPr>
          <w:rFonts w:ascii="Book Antiqua" w:eastAsia="Book Antiqua" w:hAnsi="Book Antiqua" w:cs="Book Antiqua"/>
          <w:b/>
          <w:caps/>
          <w:color w:val="000000"/>
          <w:u w:val="single"/>
        </w:rPr>
        <w:t>TREATMENT</w:t>
      </w:r>
    </w:p>
    <w:p w14:paraId="5DCBE4A8" w14:textId="2B3F05D6" w:rsidR="00A77B3E" w:rsidRDefault="00D60168">
      <w:pPr>
        <w:spacing w:line="360" w:lineRule="auto"/>
        <w:jc w:val="both"/>
      </w:pPr>
      <w:r>
        <w:rPr>
          <w:rFonts w:ascii="Book Antiqua" w:eastAsia="Book Antiqua" w:hAnsi="Book Antiqua" w:cs="Book Antiqua"/>
          <w:color w:val="000000"/>
        </w:rPr>
        <w:t>The patient received 6 courses of 5-fluorouracil, platinum, and cetuximab as described in the EXTREME study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(5-fluorouracil 1000 mg/m²; cisplatin 40 mg/m²; cetuximab first course 400 mg/m², following courses 250 mg/m²). After the fifth course</w:t>
      </w:r>
      <w:r w:rsidR="003C54A1">
        <w:rPr>
          <w:rFonts w:ascii="Book Antiqua" w:eastAsia="Book Antiqua" w:hAnsi="Book Antiqua" w:cs="Book Antiqua"/>
          <w:color w:val="000000"/>
        </w:rPr>
        <w:t>,</w:t>
      </w:r>
      <w:r>
        <w:rPr>
          <w:rFonts w:ascii="Book Antiqua" w:eastAsia="Book Antiqua" w:hAnsi="Book Antiqua" w:cs="Book Antiqua"/>
          <w:color w:val="000000"/>
        </w:rPr>
        <w:t xml:space="preserve"> cisplatin was replaced by carboplatin (</w:t>
      </w:r>
      <w:r w:rsidR="00603293" w:rsidRPr="00603293">
        <w:rPr>
          <w:rFonts w:ascii="Book Antiqua" w:eastAsia="Book Antiqua" w:hAnsi="Book Antiqua" w:cs="Book Antiqua"/>
          <w:color w:val="000000"/>
        </w:rPr>
        <w:t xml:space="preserve">area under the curve </w:t>
      </w:r>
      <w:r>
        <w:rPr>
          <w:rFonts w:ascii="Book Antiqua" w:eastAsia="Book Antiqua" w:hAnsi="Book Antiqua" w:cs="Book Antiqua"/>
          <w:color w:val="000000"/>
        </w:rPr>
        <w:t xml:space="preserve">5) because of severe emesis. Docetaxel </w:t>
      </w:r>
      <w:r w:rsidR="003C54A1">
        <w:rPr>
          <w:rFonts w:ascii="Book Antiqua" w:eastAsia="Book Antiqua" w:hAnsi="Book Antiqua" w:cs="Book Antiqua"/>
          <w:color w:val="000000"/>
        </w:rPr>
        <w:t>(</w:t>
      </w:r>
      <w:r>
        <w:rPr>
          <w:rFonts w:ascii="Book Antiqua" w:eastAsia="Book Antiqua" w:hAnsi="Book Antiqua" w:cs="Book Antiqua"/>
          <w:color w:val="000000"/>
        </w:rPr>
        <w:t>70 mg/m²</w:t>
      </w:r>
      <w:r w:rsidR="003C54A1">
        <w:rPr>
          <w:rFonts w:ascii="Book Antiqua" w:eastAsia="Book Antiqua" w:hAnsi="Book Antiqua" w:cs="Book Antiqua"/>
          <w:color w:val="000000"/>
        </w:rPr>
        <w:t>)</w:t>
      </w:r>
      <w:r>
        <w:rPr>
          <w:rFonts w:ascii="Book Antiqua" w:eastAsia="Book Antiqua" w:hAnsi="Book Antiqua" w:cs="Book Antiqua"/>
          <w:color w:val="000000"/>
        </w:rPr>
        <w:t xml:space="preserve"> was added to the first course. Acute toxicity during the therapy included severe nausea </w:t>
      </w:r>
      <w:r w:rsidR="00F12059">
        <w:rPr>
          <w:rFonts w:ascii="Book Antiqua" w:eastAsia="Book Antiqua" w:hAnsi="Book Antiqua" w:cs="Book Antiqua"/>
          <w:color w:val="000000"/>
        </w:rPr>
        <w:t xml:space="preserve">with </w:t>
      </w:r>
      <w:r>
        <w:rPr>
          <w:rFonts w:ascii="Book Antiqua" w:eastAsia="Book Antiqua" w:hAnsi="Book Antiqua" w:cs="Book Antiqua"/>
          <w:color w:val="000000"/>
        </w:rPr>
        <w:t>emesis grade 4 and mucositis grade 3. Apart from this, the patient tolerated the treatment well.</w:t>
      </w:r>
    </w:p>
    <w:p w14:paraId="720FF398" w14:textId="77777777" w:rsidR="00A77B3E" w:rsidRDefault="00A77B3E">
      <w:pPr>
        <w:spacing w:line="360" w:lineRule="auto"/>
        <w:jc w:val="both"/>
      </w:pPr>
    </w:p>
    <w:p w14:paraId="69010401" w14:textId="77777777" w:rsidR="00A77B3E" w:rsidRDefault="00D60168">
      <w:pPr>
        <w:spacing w:line="360" w:lineRule="auto"/>
        <w:jc w:val="both"/>
      </w:pPr>
      <w:r>
        <w:rPr>
          <w:rFonts w:ascii="Book Antiqua" w:eastAsia="Book Antiqua" w:hAnsi="Book Antiqua" w:cs="Book Antiqua"/>
          <w:b/>
          <w:caps/>
          <w:color w:val="000000"/>
          <w:u w:val="single"/>
        </w:rPr>
        <w:t>OUTCOME AND FOLLOW-UP</w:t>
      </w:r>
    </w:p>
    <w:p w14:paraId="670388E1" w14:textId="0F54A227" w:rsidR="00A77B3E" w:rsidRDefault="00D60168">
      <w:pPr>
        <w:spacing w:line="360" w:lineRule="auto"/>
        <w:jc w:val="both"/>
      </w:pPr>
      <w:r>
        <w:rPr>
          <w:rFonts w:ascii="Book Antiqua" w:eastAsia="Book Antiqua" w:hAnsi="Book Antiqua" w:cs="Book Antiqua"/>
          <w:color w:val="000000"/>
        </w:rPr>
        <w:t>The patient achieved CR after four courses (</w:t>
      </w:r>
      <w:r w:rsidRPr="00185119">
        <w:rPr>
          <w:rFonts w:ascii="Book Antiqua" w:eastAsia="Book Antiqua" w:hAnsi="Book Antiqua" w:cs="Book Antiqua"/>
          <w:bCs/>
          <w:iCs/>
          <w:color w:val="000000"/>
        </w:rPr>
        <w:t>Figure 1</w:t>
      </w:r>
      <w:r>
        <w:rPr>
          <w:rFonts w:ascii="Book Antiqua" w:eastAsia="Book Antiqua" w:hAnsi="Book Antiqua" w:cs="Book Antiqua"/>
          <w:color w:val="000000"/>
        </w:rPr>
        <w:t xml:space="preserve">). During follow up (clinical examination and computer tomographic scan </w:t>
      </w:r>
      <w:r w:rsidR="00F12059">
        <w:rPr>
          <w:rFonts w:ascii="Book Antiqua" w:eastAsia="Book Antiqua" w:hAnsi="Book Antiqua" w:cs="Book Antiqua"/>
          <w:color w:val="000000"/>
        </w:rPr>
        <w:t>every 3 mo</w:t>
      </w:r>
      <w:r>
        <w:rPr>
          <w:rFonts w:ascii="Book Antiqua" w:eastAsia="Book Antiqua" w:hAnsi="Book Antiqua" w:cs="Book Antiqua"/>
          <w:color w:val="000000"/>
        </w:rPr>
        <w:t>), the patient remained in CR until 26 mo</w:t>
      </w:r>
      <w:r w:rsidR="00F12059">
        <w:rPr>
          <w:rFonts w:ascii="Book Antiqua" w:eastAsia="Book Antiqua" w:hAnsi="Book Antiqua" w:cs="Book Antiqua"/>
          <w:color w:val="000000"/>
        </w:rPr>
        <w:t>,</w:t>
      </w:r>
      <w:r>
        <w:rPr>
          <w:rFonts w:ascii="Book Antiqua" w:eastAsia="Book Antiqua" w:hAnsi="Book Antiqua" w:cs="Book Antiqua"/>
          <w:color w:val="000000"/>
        </w:rPr>
        <w:t xml:space="preserve"> when in a </w:t>
      </w:r>
      <w:bookmarkStart w:id="7" w:name="OLE_LINK21"/>
      <w:bookmarkStart w:id="8" w:name="OLE_LINK22"/>
      <w:r w:rsidR="00A30AD2" w:rsidRPr="00A30AD2">
        <w:rPr>
          <w:rFonts w:ascii="Book Antiqua" w:eastAsia="Book Antiqua" w:hAnsi="Book Antiqua" w:cs="Book Antiqua"/>
          <w:color w:val="000000"/>
        </w:rPr>
        <w:t xml:space="preserve">fluorodeoxyglucose </w:t>
      </w:r>
      <w:r>
        <w:rPr>
          <w:rFonts w:ascii="Book Antiqua" w:eastAsia="Book Antiqua" w:hAnsi="Book Antiqua" w:cs="Book Antiqua"/>
          <w:color w:val="000000"/>
        </w:rPr>
        <w:t>positron emission tomography</w:t>
      </w:r>
      <w:bookmarkEnd w:id="7"/>
      <w:bookmarkEnd w:id="8"/>
      <w:r>
        <w:rPr>
          <w:rFonts w:ascii="Book Antiqua" w:eastAsia="Book Antiqua" w:hAnsi="Book Antiqua" w:cs="Book Antiqua"/>
          <w:color w:val="000000"/>
        </w:rPr>
        <w:t xml:space="preserve"> (FDG-PET) signal positive lymph nodes in the para-aortic region were detected (</w:t>
      </w:r>
      <w:r w:rsidRPr="0069627E">
        <w:rPr>
          <w:rFonts w:ascii="Book Antiqua" w:eastAsia="Book Antiqua" w:hAnsi="Book Antiqua" w:cs="Book Antiqua"/>
          <w:bCs/>
          <w:iCs/>
          <w:color w:val="000000"/>
        </w:rPr>
        <w:t>Figure 3</w:t>
      </w:r>
      <w:r>
        <w:rPr>
          <w:rFonts w:ascii="Book Antiqua" w:eastAsia="Book Antiqua" w:hAnsi="Book Antiqua" w:cs="Book Antiqua"/>
          <w:color w:val="000000"/>
        </w:rPr>
        <w:t xml:space="preserve">). Therapy was comprised of irradiation (36 </w:t>
      </w:r>
      <w:r w:rsidR="00A30AD2">
        <w:rPr>
          <w:rFonts w:ascii="Book Antiqua" w:eastAsia="Book Antiqua" w:hAnsi="Book Antiqua" w:cs="Book Antiqua"/>
          <w:color w:val="000000"/>
        </w:rPr>
        <w:t>gray</w:t>
      </w:r>
      <w:r>
        <w:rPr>
          <w:rFonts w:ascii="Book Antiqua" w:eastAsia="Book Antiqua" w:hAnsi="Book Antiqua" w:cs="Book Antiqua"/>
          <w:color w:val="000000"/>
        </w:rPr>
        <w:t xml:space="preserve">). Only </w:t>
      </w:r>
      <w:r w:rsidR="00CF2C2C">
        <w:rPr>
          <w:rFonts w:ascii="Book Antiqua" w:eastAsia="Book Antiqua" w:hAnsi="Book Antiqua" w:cs="Book Antiqua"/>
          <w:color w:val="000000"/>
        </w:rPr>
        <w:t>4 mo</w:t>
      </w:r>
      <w:r>
        <w:rPr>
          <w:rFonts w:ascii="Book Antiqua" w:eastAsia="Book Antiqua" w:hAnsi="Book Antiqua" w:cs="Book Antiqua"/>
          <w:color w:val="000000"/>
        </w:rPr>
        <w:t xml:space="preserve"> later, a likewise FDG-PET positive bone metastasis in the fifth lumbar bone was detected and irradiated (35 </w:t>
      </w:r>
      <w:r w:rsidR="00A30AD2">
        <w:rPr>
          <w:rFonts w:ascii="Book Antiqua" w:eastAsia="Book Antiqua" w:hAnsi="Book Antiqua" w:cs="Book Antiqua"/>
          <w:color w:val="000000"/>
        </w:rPr>
        <w:t>gray</w:t>
      </w:r>
      <w:r>
        <w:rPr>
          <w:rFonts w:ascii="Book Antiqua" w:eastAsia="Book Antiqua" w:hAnsi="Book Antiqua" w:cs="Book Antiqua"/>
          <w:color w:val="000000"/>
        </w:rPr>
        <w:t>) (</w:t>
      </w:r>
      <w:r w:rsidRPr="00A30AD2">
        <w:rPr>
          <w:rFonts w:ascii="Book Antiqua" w:eastAsia="Book Antiqua" w:hAnsi="Book Antiqua" w:cs="Book Antiqua"/>
          <w:bCs/>
          <w:iCs/>
          <w:color w:val="000000"/>
        </w:rPr>
        <w:t>Figure 4</w:t>
      </w:r>
      <w:r>
        <w:rPr>
          <w:rFonts w:ascii="Book Antiqua" w:eastAsia="Book Antiqua" w:hAnsi="Book Antiqua" w:cs="Book Antiqua"/>
          <w:color w:val="000000"/>
        </w:rPr>
        <w:t xml:space="preserve">). No other metastasis, as surveilled by clinical examination and </w:t>
      </w:r>
      <w:r w:rsidR="00A30AD2" w:rsidRPr="00A30AD2">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occurred from then on. The patient is living </w:t>
      </w:r>
      <w:r w:rsidR="00CF2C2C">
        <w:rPr>
          <w:rFonts w:ascii="Book Antiqua" w:eastAsia="Book Antiqua" w:hAnsi="Book Antiqua" w:cs="Book Antiqua"/>
          <w:color w:val="000000"/>
        </w:rPr>
        <w:t xml:space="preserve">10 </w:t>
      </w:r>
      <w:r>
        <w:rPr>
          <w:rFonts w:ascii="Book Antiqua" w:eastAsia="Book Antiqua" w:hAnsi="Book Antiqua" w:cs="Book Antiqua"/>
          <w:color w:val="000000"/>
        </w:rPr>
        <w:t xml:space="preserve">years after </w:t>
      </w:r>
      <w:r w:rsidR="00F12059">
        <w:rPr>
          <w:rFonts w:ascii="Book Antiqua" w:eastAsia="Book Antiqua" w:hAnsi="Book Antiqua" w:cs="Book Antiqua"/>
          <w:color w:val="000000"/>
        </w:rPr>
        <w:t xml:space="preserve">her </w:t>
      </w:r>
      <w:r>
        <w:rPr>
          <w:rFonts w:ascii="Book Antiqua" w:eastAsia="Book Antiqua" w:hAnsi="Book Antiqua" w:cs="Book Antiqua"/>
          <w:color w:val="000000"/>
        </w:rPr>
        <w:t>cancer diagnosis, remains in CR</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and the general state of health is </w:t>
      </w:r>
      <w:r w:rsidR="00A30AD2" w:rsidRPr="00A30AD2">
        <w:rPr>
          <w:rFonts w:ascii="Book Antiqua" w:eastAsia="Book Antiqua" w:hAnsi="Book Antiqua" w:cs="Book Antiqua"/>
          <w:color w:val="000000"/>
        </w:rPr>
        <w:t>Eastern Cooperative Oncology Group (ECOG)</w:t>
      </w:r>
      <w:r>
        <w:rPr>
          <w:rFonts w:ascii="Book Antiqua" w:eastAsia="Book Antiqua" w:hAnsi="Book Antiqua" w:cs="Book Antiqua"/>
          <w:color w:val="000000"/>
        </w:rPr>
        <w:t xml:space="preserve"> performance status 0. </w:t>
      </w:r>
    </w:p>
    <w:p w14:paraId="0DA71CDF" w14:textId="77777777" w:rsidR="00A77B3E" w:rsidRDefault="00A77B3E">
      <w:pPr>
        <w:spacing w:line="360" w:lineRule="auto"/>
        <w:jc w:val="both"/>
      </w:pPr>
    </w:p>
    <w:p w14:paraId="5F0B5786" w14:textId="77777777" w:rsidR="00A77B3E" w:rsidRDefault="00D60168">
      <w:pPr>
        <w:spacing w:line="360" w:lineRule="auto"/>
        <w:jc w:val="both"/>
      </w:pPr>
      <w:r>
        <w:rPr>
          <w:rFonts w:ascii="Book Antiqua" w:eastAsia="Book Antiqua" w:hAnsi="Book Antiqua" w:cs="Book Antiqua"/>
          <w:b/>
          <w:caps/>
          <w:color w:val="000000"/>
          <w:u w:val="single"/>
        </w:rPr>
        <w:t>DISCUSSION</w:t>
      </w:r>
    </w:p>
    <w:p w14:paraId="51299894" w14:textId="3CDD7C46" w:rsidR="00A77B3E" w:rsidRPr="00A30AD2" w:rsidRDefault="00D60168">
      <w:pPr>
        <w:spacing w:line="360" w:lineRule="auto"/>
        <w:jc w:val="both"/>
        <w:rPr>
          <w:lang w:eastAsia="zh-CN"/>
        </w:rPr>
      </w:pPr>
      <w:r>
        <w:rPr>
          <w:rFonts w:ascii="Book Antiqua" w:eastAsia="Book Antiqua" w:hAnsi="Book Antiqua" w:cs="Book Antiqua"/>
          <w:color w:val="000000"/>
        </w:rPr>
        <w:t xml:space="preserve">The prognosis of metastatic HNSCC with unknown primary is dismal. A placebo-controlled, randomized study performed by </w:t>
      </w:r>
      <w:bookmarkStart w:id="9" w:name="OLE_LINK13"/>
      <w:bookmarkStart w:id="10" w:name="OLE_LINK14"/>
      <w:r>
        <w:rPr>
          <w:rFonts w:ascii="Book Antiqua" w:eastAsia="Book Antiqua" w:hAnsi="Book Antiqua" w:cs="Book Antiqua"/>
          <w:color w:val="000000"/>
        </w:rPr>
        <w:t>ECOG</w:t>
      </w:r>
      <w:bookmarkEnd w:id="9"/>
      <w:bookmarkEnd w:id="10"/>
      <w:r>
        <w:rPr>
          <w:rFonts w:ascii="Book Antiqua" w:eastAsia="Book Antiqua" w:hAnsi="Book Antiqua" w:cs="Book Antiqua"/>
          <w:color w:val="000000"/>
        </w:rPr>
        <w:t xml:space="preserve"> showed a better response rate to treatment with cetuximab and cisplatin (26%) than to cisplatin alone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Overall survival (OS) and the rate of long-term survivors improved with the implementation of cetuximab-based therapies as well</w:t>
      </w:r>
      <w:r>
        <w:rPr>
          <w:rFonts w:ascii="Book Antiqua" w:eastAsia="Book Antiqua" w:hAnsi="Book Antiqua" w:cs="Book Antiqua"/>
          <w:color w:val="000000"/>
          <w:szCs w:val="30"/>
          <w:vertAlign w:val="superscript"/>
        </w:rPr>
        <w:t>[8]</w:t>
      </w:r>
      <w:r w:rsidR="00F12059" w:rsidRPr="005B3F17">
        <w:rPr>
          <w:rFonts w:ascii="Book Antiqua" w:eastAsia="Book Antiqua" w:hAnsi="Book Antiqua" w:cs="Book Antiqua"/>
          <w:color w:val="000000"/>
          <w:szCs w:val="30"/>
        </w:rPr>
        <w:t>,</w:t>
      </w:r>
      <w:r>
        <w:rPr>
          <w:rFonts w:ascii="Book Antiqua" w:eastAsia="Book Antiqua" w:hAnsi="Book Antiqua" w:cs="Book Antiqua"/>
          <w:color w:val="000000"/>
        </w:rPr>
        <w:t xml:space="preserve"> but expected survival is still 10 mo according to the EXTREME study (open-label, randomized, phase III trial)</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population of long-term survivors has been neglected due to its rarity. Few case reports have been published describing this clinically significant subgroup</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Linares </w:t>
      </w:r>
      <w:r>
        <w:rPr>
          <w:rFonts w:ascii="Book Antiqua" w:eastAsia="Book Antiqua" w:hAnsi="Book Antiqua" w:cs="Book Antiqua"/>
          <w:i/>
          <w:iCs/>
          <w:color w:val="000000"/>
        </w:rPr>
        <w:t>et al</w:t>
      </w:r>
      <w:r w:rsidR="00A30AD2">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describe the prevalence of long-term surviving patients at 2.7% (7/225). Reliable biomarkers in advanced HNSCC are limited. Single case reports of long-term survival merit attention because they may yield information about predicting markers of good response. Argiris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described some clinical factors to be predictive for better OS in advanced HNSCC</w:t>
      </w:r>
      <w:r w:rsidR="00F12059">
        <w:rPr>
          <w:rFonts w:ascii="Book Antiqua" w:eastAsia="Book Antiqua" w:hAnsi="Book Antiqua" w:cs="Book Antiqua"/>
          <w:color w:val="000000"/>
        </w:rPr>
        <w:t>,</w:t>
      </w:r>
      <w:r>
        <w:rPr>
          <w:rFonts w:ascii="Book Antiqua" w:eastAsia="Book Antiqua" w:hAnsi="Book Antiqua" w:cs="Book Antiqua"/>
          <w:color w:val="000000"/>
        </w:rPr>
        <w:t xml:space="preserve"> such as limited weight loss, good performance status, good tumor cell differentiation, and no prior radiation. Our patient had ECOG 0 performance status, no prior radiation, and moderate cell differentiation consistent with her long-term survival. Weight loss was not a reliable parameter because of pregnancy.</w:t>
      </w:r>
    </w:p>
    <w:p w14:paraId="43CF4AFE" w14:textId="21D6BF14" w:rsidR="00A77B3E" w:rsidRDefault="00D60168" w:rsidP="00A30AD2">
      <w:pPr>
        <w:spacing w:line="360" w:lineRule="auto"/>
        <w:ind w:firstLineChars="100" w:firstLine="240"/>
        <w:jc w:val="both"/>
      </w:pPr>
      <w:r>
        <w:rPr>
          <w:rFonts w:ascii="Book Antiqua" w:eastAsia="Book Antiqua" w:hAnsi="Book Antiqua" w:cs="Book Antiqua"/>
          <w:color w:val="000000"/>
        </w:rPr>
        <w:t>In addition to traditional carcinogens like alcohol and tobacco, it became apparent that HPV infection is associated with HNSCC</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and p16 status is used as a surrogate marker of HPV infection</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Rosenthal </w:t>
      </w:r>
      <w:r>
        <w:rPr>
          <w:rFonts w:ascii="Book Antiqua" w:eastAsia="Book Antiqua" w:hAnsi="Book Antiqua" w:cs="Book Antiqua"/>
          <w:i/>
          <w:iCs/>
          <w:color w:val="000000"/>
        </w:rPr>
        <w:t>et al</w:t>
      </w:r>
      <w:r w:rsidR="00A30AD2">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demonstrated that p16-positive patients have a longer OS than p16-negative patients. These findings led to a revision of the staging system by the American Joint Committee on Cancer and the Union for International Cancer Control (UICC) in 2016. Alterations of the tumor staging from UICC7 to UICC8 included mainly UICC stage III or IVa according to the 7</w:t>
      </w:r>
      <w:r w:rsidRPr="00A30AD2">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Our patient remained at the same stage UICC IVc</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and had in both </w:t>
      </w:r>
      <w:bookmarkStart w:id="11" w:name="OLE_LINK15"/>
      <w:bookmarkStart w:id="12" w:name="OLE_LINK16"/>
      <w:r w:rsidR="002860C4" w:rsidRPr="002860C4">
        <w:rPr>
          <w:rFonts w:ascii="Book Antiqua" w:eastAsia="Book Antiqua" w:hAnsi="Book Antiqua" w:cs="Book Antiqua"/>
          <w:color w:val="000000"/>
        </w:rPr>
        <w:t xml:space="preserve">tumor, node and metastasis </w:t>
      </w:r>
      <w:r w:rsidR="002860C4">
        <w:rPr>
          <w:rFonts w:ascii="Book Antiqua" w:hAnsi="Book Antiqua" w:cs="Book Antiqua" w:hint="eastAsia"/>
          <w:color w:val="000000"/>
          <w:lang w:eastAsia="zh-CN"/>
        </w:rPr>
        <w:t>(</w:t>
      </w:r>
      <w:r>
        <w:rPr>
          <w:rFonts w:ascii="Book Antiqua" w:eastAsia="Book Antiqua" w:hAnsi="Book Antiqua" w:cs="Book Antiqua"/>
          <w:color w:val="000000"/>
        </w:rPr>
        <w:t>TNM</w:t>
      </w:r>
      <w:bookmarkEnd w:id="11"/>
      <w:bookmarkEnd w:id="12"/>
      <w:r w:rsidR="002860C4">
        <w:rPr>
          <w:rFonts w:ascii="Book Antiqua" w:hAnsi="Book Antiqua" w:cs="Book Antiqua" w:hint="eastAsia"/>
          <w:color w:val="000000"/>
          <w:lang w:eastAsia="zh-CN"/>
        </w:rPr>
        <w:t>)</w:t>
      </w:r>
      <w:r>
        <w:rPr>
          <w:rFonts w:ascii="Book Antiqua" w:eastAsia="Book Antiqua" w:hAnsi="Book Antiqua" w:cs="Book Antiqua"/>
          <w:color w:val="000000"/>
        </w:rPr>
        <w:t xml:space="preserve"> classifications the lowest OS (OS UICC IVc TNM7 12 mo; OS UICC IVc TNM8 5 mo</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But regardless of p16 status, the addition of cetuximab to radiation therapy improved patient outcome. This is in ac</w:t>
      </w:r>
      <w:r w:rsidR="00DE2F26">
        <w:rPr>
          <w:rFonts w:ascii="Book Antiqua" w:eastAsia="Book Antiqua" w:hAnsi="Book Antiqua" w:cs="Book Antiqua"/>
          <w:color w:val="000000"/>
        </w:rPr>
        <w:t xml:space="preserve">cordance with the finding that </w:t>
      </w:r>
      <w:r>
        <w:rPr>
          <w:rFonts w:ascii="Book Antiqua" w:eastAsia="Book Antiqua" w:hAnsi="Book Antiqua" w:cs="Book Antiqua"/>
          <w:color w:val="000000"/>
        </w:rPr>
        <w:t>90% of HPV negative HNSCC show EGFR overexpression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Nevertheless, overexpression of EGFR and the EGFR copy number alterations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are not predictive of the response to cetuximab</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Thus, p16 overexpression should be included in treatment planning</w:t>
      </w:r>
      <w:r w:rsidR="00F12059">
        <w:rPr>
          <w:rFonts w:ascii="Book Antiqua" w:eastAsia="Book Antiqua" w:hAnsi="Book Antiqua" w:cs="Book Antiqua"/>
          <w:color w:val="000000"/>
        </w:rPr>
        <w:t>,</w:t>
      </w:r>
      <w:r>
        <w:rPr>
          <w:rFonts w:ascii="Book Antiqua" w:eastAsia="Book Antiqua" w:hAnsi="Book Antiqua" w:cs="Book Antiqua"/>
          <w:color w:val="000000"/>
        </w:rPr>
        <w:t xml:space="preserve"> but cannot be the only predictive factor of long-term survival of our patient. Gene expression profiling</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as a new diagnostic technique</w:t>
      </w:r>
      <w:r w:rsidR="00F12059">
        <w:rPr>
          <w:rFonts w:ascii="Book Antiqua" w:eastAsia="Book Antiqua" w:hAnsi="Book Antiqua" w:cs="Book Antiqua"/>
          <w:color w:val="000000"/>
        </w:rPr>
        <w:t>,</w:t>
      </w:r>
      <w:r>
        <w:rPr>
          <w:rFonts w:ascii="Book Antiqua" w:eastAsia="Book Antiqua" w:hAnsi="Book Antiqua" w:cs="Book Antiqua"/>
          <w:color w:val="000000"/>
        </w:rPr>
        <w:t xml:space="preserve"> has the potential to identify the origin of tumor tissue. It raises expectations that survival will improve by site-specific treatment. So far, there is no significant improvement in 1-year survival from site-specific treatment in comparison to empirical therapy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for patients with cancer of unknown primary. Meanwhile, in this case</w:t>
      </w:r>
      <w:r w:rsidR="00F12059">
        <w:rPr>
          <w:rFonts w:ascii="Book Antiqua" w:eastAsia="Book Antiqua" w:hAnsi="Book Antiqua" w:cs="Book Antiqua"/>
          <w:color w:val="000000"/>
        </w:rPr>
        <w:t>,</w:t>
      </w:r>
      <w:r>
        <w:rPr>
          <w:rFonts w:ascii="Book Antiqua" w:eastAsia="Book Antiqua" w:hAnsi="Book Antiqua" w:cs="Book Antiqua"/>
          <w:color w:val="000000"/>
        </w:rPr>
        <w:t xml:space="preserve"> cetuximab-based therapy as site-specific therapy was successful. This suggests that site-specific therapy has a prognostic value. </w:t>
      </w:r>
    </w:p>
    <w:p w14:paraId="027CDB54" w14:textId="466D1E22" w:rsidR="00A77B3E" w:rsidRDefault="00D60168">
      <w:pPr>
        <w:spacing w:line="360" w:lineRule="auto"/>
        <w:jc w:val="both"/>
      </w:pPr>
      <w:r>
        <w:rPr>
          <w:rFonts w:ascii="Book Antiqua" w:eastAsia="Book Antiqua" w:hAnsi="Book Antiqua" w:cs="Book Antiqua"/>
          <w:color w:val="000000"/>
        </w:rPr>
        <w:t>We believe that long-term survivors in the HNSCC CUP setting demand our attention</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as it reveals unexpected treatment results and identifies biomarkers besides p16 status and EGFR overexpression. </w:t>
      </w:r>
    </w:p>
    <w:p w14:paraId="0AF6CBF5" w14:textId="77777777" w:rsidR="00A77B3E" w:rsidRPr="0069381B" w:rsidRDefault="00A77B3E" w:rsidP="0069381B">
      <w:pPr>
        <w:adjustRightInd w:val="0"/>
        <w:snapToGrid w:val="0"/>
        <w:spacing w:line="360" w:lineRule="auto"/>
        <w:jc w:val="both"/>
        <w:rPr>
          <w:rFonts w:ascii="Book Antiqua" w:hAnsi="Book Antiqua"/>
        </w:rPr>
      </w:pPr>
    </w:p>
    <w:p w14:paraId="38FB3073" w14:textId="77777777" w:rsidR="00A77B3E" w:rsidRPr="0069381B" w:rsidRDefault="00D60168" w:rsidP="0069381B">
      <w:pPr>
        <w:adjustRightInd w:val="0"/>
        <w:snapToGrid w:val="0"/>
        <w:spacing w:line="360" w:lineRule="auto"/>
        <w:jc w:val="both"/>
        <w:rPr>
          <w:rFonts w:ascii="Book Antiqua" w:hAnsi="Book Antiqua"/>
        </w:rPr>
      </w:pPr>
      <w:r w:rsidRPr="0069381B">
        <w:rPr>
          <w:rFonts w:ascii="Book Antiqua" w:eastAsia="Book Antiqua" w:hAnsi="Book Antiqua" w:cs="Book Antiqua"/>
          <w:b/>
          <w:caps/>
          <w:u w:val="single"/>
        </w:rPr>
        <w:t>CONCLUSION</w:t>
      </w:r>
    </w:p>
    <w:p w14:paraId="177E9053" w14:textId="17F5558F" w:rsidR="00A77B3E" w:rsidRPr="0069381B" w:rsidRDefault="00D60168" w:rsidP="0069381B">
      <w:pPr>
        <w:adjustRightInd w:val="0"/>
        <w:snapToGrid w:val="0"/>
        <w:spacing w:line="360" w:lineRule="auto"/>
        <w:jc w:val="both"/>
        <w:rPr>
          <w:rFonts w:ascii="Book Antiqua" w:hAnsi="Book Antiqua"/>
        </w:rPr>
      </w:pPr>
      <w:r w:rsidRPr="0069381B">
        <w:rPr>
          <w:rFonts w:ascii="Book Antiqua" w:eastAsia="Book Antiqua" w:hAnsi="Book Antiqua" w:cs="Book Antiqua"/>
          <w:iCs/>
        </w:rPr>
        <w:t xml:space="preserve">The present case of long-term survival demonstrates that a </w:t>
      </w:r>
      <w:r w:rsidRPr="0069381B">
        <w:rPr>
          <w:rFonts w:ascii="Book Antiqua" w:eastAsia="Book Antiqua" w:hAnsi="Book Antiqua" w:cs="Book Antiqua"/>
        </w:rPr>
        <w:t xml:space="preserve">cetuximab-based therapy has the potential to succeed. A key </w:t>
      </w:r>
      <w:r w:rsidR="00F12059" w:rsidRPr="0069381B">
        <w:rPr>
          <w:rFonts w:ascii="Book Antiqua" w:eastAsia="Book Antiqua" w:hAnsi="Book Antiqua" w:cs="Book Antiqua"/>
        </w:rPr>
        <w:t xml:space="preserve">future </w:t>
      </w:r>
      <w:r w:rsidRPr="0069381B">
        <w:rPr>
          <w:rFonts w:ascii="Book Antiqua" w:eastAsia="Book Antiqua" w:hAnsi="Book Antiqua" w:cs="Book Antiqua"/>
        </w:rPr>
        <w:t xml:space="preserve">question will be to identify biomarkers that predict an outstanding and long-lasting therapy response. To our knowledge, thus far, there is only limited data on long-term survivors in advanced HNSCC. Hopefully, immunotherapy will increase the prevalence and provide the unique chance to focus on this subgroup. </w:t>
      </w:r>
    </w:p>
    <w:p w14:paraId="6D738190" w14:textId="77777777" w:rsidR="00A77B3E" w:rsidRPr="0069381B" w:rsidRDefault="00A77B3E" w:rsidP="0069381B">
      <w:pPr>
        <w:adjustRightInd w:val="0"/>
        <w:snapToGrid w:val="0"/>
        <w:spacing w:line="360" w:lineRule="auto"/>
        <w:jc w:val="both"/>
        <w:rPr>
          <w:rFonts w:ascii="Book Antiqua" w:hAnsi="Book Antiqua"/>
        </w:rPr>
      </w:pPr>
    </w:p>
    <w:p w14:paraId="033E611C" w14:textId="77777777" w:rsidR="00A77B3E" w:rsidRPr="0069381B" w:rsidRDefault="00D60168" w:rsidP="0069381B">
      <w:pPr>
        <w:adjustRightInd w:val="0"/>
        <w:snapToGrid w:val="0"/>
        <w:spacing w:line="360" w:lineRule="auto"/>
        <w:jc w:val="both"/>
        <w:rPr>
          <w:rFonts w:ascii="Book Antiqua" w:hAnsi="Book Antiqua"/>
        </w:rPr>
      </w:pPr>
      <w:r w:rsidRPr="0069381B">
        <w:rPr>
          <w:rFonts w:ascii="Book Antiqua" w:eastAsia="Book Antiqua" w:hAnsi="Book Antiqua" w:cs="Book Antiqua"/>
          <w:b/>
        </w:rPr>
        <w:t>REFERENCES</w:t>
      </w:r>
    </w:p>
    <w:p w14:paraId="0B2022F3"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bookmarkStart w:id="13" w:name="OLE_LINK4"/>
      <w:r w:rsidRPr="0069381B">
        <w:rPr>
          <w:rFonts w:ascii="Book Antiqua" w:hAnsi="Book Antiqua"/>
        </w:rPr>
        <w:t>1 </w:t>
      </w:r>
      <w:r w:rsidRPr="0069381B">
        <w:rPr>
          <w:rFonts w:ascii="Book Antiqua" w:hAnsi="Book Antiqua"/>
          <w:b/>
          <w:bCs/>
        </w:rPr>
        <w:t>D'Souza G</w:t>
      </w:r>
      <w:r w:rsidRPr="0069381B">
        <w:rPr>
          <w:rFonts w:ascii="Book Antiqua" w:hAnsi="Book Antiqua"/>
        </w:rPr>
        <w:t>, Dempsey A. The role of HPV in head and neck cancer and review of the HPV vaccine. </w:t>
      </w:r>
      <w:r w:rsidRPr="0069381B">
        <w:rPr>
          <w:rFonts w:ascii="Book Antiqua" w:hAnsi="Book Antiqua"/>
          <w:i/>
          <w:iCs/>
        </w:rPr>
        <w:t>Prev Med</w:t>
      </w:r>
      <w:r w:rsidRPr="0069381B">
        <w:rPr>
          <w:rFonts w:ascii="Book Antiqua" w:hAnsi="Book Antiqua"/>
        </w:rPr>
        <w:t> 2011; </w:t>
      </w:r>
      <w:r w:rsidRPr="0069381B">
        <w:rPr>
          <w:rFonts w:ascii="Book Antiqua" w:hAnsi="Book Antiqua"/>
          <w:b/>
          <w:bCs/>
        </w:rPr>
        <w:t>53 Suppl 1</w:t>
      </w:r>
      <w:r w:rsidRPr="0069381B">
        <w:rPr>
          <w:rFonts w:ascii="Book Antiqua" w:hAnsi="Book Antiqua"/>
        </w:rPr>
        <w:t>: S5-S11 [PMID: 21962471 DOI: 10.1016/j.ypmed.2011.08.001]</w:t>
      </w:r>
    </w:p>
    <w:p w14:paraId="6AE98B76"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2 </w:t>
      </w:r>
      <w:r w:rsidRPr="0069381B">
        <w:rPr>
          <w:rFonts w:ascii="Book Antiqua" w:hAnsi="Book Antiqua"/>
          <w:b/>
          <w:bCs/>
        </w:rPr>
        <w:t>Kowalski LP</w:t>
      </w:r>
      <w:r w:rsidRPr="0069381B">
        <w:rPr>
          <w:rFonts w:ascii="Book Antiqua" w:hAnsi="Book Antiqua"/>
        </w:rPr>
        <w:t>, Carvalho AL. Natural history of untreated head and neck cancer. </w:t>
      </w:r>
      <w:r w:rsidRPr="0069381B">
        <w:rPr>
          <w:rFonts w:ascii="Book Antiqua" w:hAnsi="Book Antiqua"/>
          <w:i/>
          <w:iCs/>
        </w:rPr>
        <w:t>Eur J Cancer</w:t>
      </w:r>
      <w:r w:rsidRPr="0069381B">
        <w:rPr>
          <w:rFonts w:ascii="Book Antiqua" w:hAnsi="Book Antiqua"/>
        </w:rPr>
        <w:t> 2000; </w:t>
      </w:r>
      <w:r w:rsidRPr="0069381B">
        <w:rPr>
          <w:rFonts w:ascii="Book Antiqua" w:hAnsi="Book Antiqua"/>
          <w:b/>
          <w:bCs/>
        </w:rPr>
        <w:t>36</w:t>
      </w:r>
      <w:r w:rsidRPr="0069381B">
        <w:rPr>
          <w:rFonts w:ascii="Book Antiqua" w:hAnsi="Book Antiqua"/>
        </w:rPr>
        <w:t>: 1032-1037 [PMID: 10885608 DOI: 10.1016/s0959-8049(00)00054-x]</w:t>
      </w:r>
    </w:p>
    <w:p w14:paraId="1C980DC5"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3 </w:t>
      </w:r>
      <w:r w:rsidRPr="0069381B">
        <w:rPr>
          <w:rFonts w:ascii="Book Antiqua" w:hAnsi="Book Antiqua"/>
          <w:b/>
          <w:bCs/>
        </w:rPr>
        <w:t>Vermorken JB</w:t>
      </w:r>
      <w:r w:rsidRPr="0069381B">
        <w:rPr>
          <w:rFonts w:ascii="Book Antiqua" w:hAnsi="Book Antiqua"/>
        </w:rPr>
        <w:t>, Mesia R, Rivera F, Remenar E, Kawecki A, Rottey S, Erfan J, Zabolotnyy D, Kienzer HR, Cupissol D, Peyrade F, Benasso M, Vynnychenko I, De Raucourt D, Bokemeyer C, Schueler A, Amellal N, Hitt R. Platinum-based chemotherapy plus cetuximab in head and neck cancer. </w:t>
      </w:r>
      <w:r w:rsidRPr="0069381B">
        <w:rPr>
          <w:rFonts w:ascii="Book Antiqua" w:hAnsi="Book Antiqua"/>
          <w:i/>
          <w:iCs/>
        </w:rPr>
        <w:t>N Engl J Med</w:t>
      </w:r>
      <w:r w:rsidRPr="0069381B">
        <w:rPr>
          <w:rFonts w:ascii="Book Antiqua" w:hAnsi="Book Antiqua"/>
        </w:rPr>
        <w:t> 2008; </w:t>
      </w:r>
      <w:r w:rsidRPr="0069381B">
        <w:rPr>
          <w:rFonts w:ascii="Book Antiqua" w:hAnsi="Book Antiqua"/>
          <w:b/>
          <w:bCs/>
        </w:rPr>
        <w:t>359</w:t>
      </w:r>
      <w:r w:rsidRPr="0069381B">
        <w:rPr>
          <w:rFonts w:ascii="Book Antiqua" w:hAnsi="Book Antiqua"/>
        </w:rPr>
        <w:t>: 1116-1127 [PMID: 18784101 DOI: 10.1056/NEJMoa0802656]</w:t>
      </w:r>
    </w:p>
    <w:p w14:paraId="1054F617"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4 </w:t>
      </w:r>
      <w:r w:rsidRPr="0069381B">
        <w:rPr>
          <w:rFonts w:ascii="Book Antiqua" w:hAnsi="Book Antiqua"/>
          <w:b/>
          <w:bCs/>
        </w:rPr>
        <w:t>Randén M</w:t>
      </w:r>
      <w:r w:rsidRPr="0069381B">
        <w:rPr>
          <w:rFonts w:ascii="Book Antiqua" w:hAnsi="Book Antiqua"/>
        </w:rPr>
        <w:t>, Rutqvist LE, Johansson H. Cancer patients without a known primary: incidence and survival trends in Sweden 1960-2007. </w:t>
      </w:r>
      <w:r w:rsidRPr="0069381B">
        <w:rPr>
          <w:rFonts w:ascii="Book Antiqua" w:hAnsi="Book Antiqua"/>
          <w:i/>
          <w:iCs/>
        </w:rPr>
        <w:t>Acta Oncol</w:t>
      </w:r>
      <w:r w:rsidRPr="0069381B">
        <w:rPr>
          <w:rFonts w:ascii="Book Antiqua" w:hAnsi="Book Antiqua"/>
        </w:rPr>
        <w:t> 2009; </w:t>
      </w:r>
      <w:r w:rsidRPr="0069381B">
        <w:rPr>
          <w:rFonts w:ascii="Book Antiqua" w:hAnsi="Book Antiqua"/>
          <w:b/>
          <w:bCs/>
        </w:rPr>
        <w:t>48</w:t>
      </w:r>
      <w:r w:rsidRPr="0069381B">
        <w:rPr>
          <w:rFonts w:ascii="Book Antiqua" w:hAnsi="Book Antiqua"/>
        </w:rPr>
        <w:t>: 915-920 [PMID: 19363713 DOI: 10.1080/02841860902862503]</w:t>
      </w:r>
    </w:p>
    <w:p w14:paraId="26719AB0"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5 </w:t>
      </w:r>
      <w:r w:rsidRPr="0069381B">
        <w:rPr>
          <w:rFonts w:ascii="Book Antiqua" w:hAnsi="Book Antiqua"/>
          <w:b/>
          <w:bCs/>
        </w:rPr>
        <w:t>Linares J</w:t>
      </w:r>
      <w:r w:rsidRPr="0069381B">
        <w:rPr>
          <w:rFonts w:ascii="Book Antiqua" w:hAnsi="Book Antiqua"/>
        </w:rPr>
        <w:t>, Rullan A, Taberna M, Vazquez S, Mesia R. Emergence of long-term surviving patients with the introduction of Cetuximab in recurrent/metastatic disease of squamous cell carcinoma of head and neck. </w:t>
      </w:r>
      <w:r w:rsidRPr="0069381B">
        <w:rPr>
          <w:rFonts w:ascii="Book Antiqua" w:hAnsi="Book Antiqua"/>
          <w:i/>
          <w:iCs/>
        </w:rPr>
        <w:t>Oral Oncol</w:t>
      </w:r>
      <w:r w:rsidRPr="0069381B">
        <w:rPr>
          <w:rFonts w:ascii="Book Antiqua" w:hAnsi="Book Antiqua"/>
        </w:rPr>
        <w:t> 2016; </w:t>
      </w:r>
      <w:r w:rsidRPr="0069381B">
        <w:rPr>
          <w:rFonts w:ascii="Book Antiqua" w:hAnsi="Book Antiqua"/>
          <w:b/>
          <w:bCs/>
        </w:rPr>
        <w:t>55</w:t>
      </w:r>
      <w:r w:rsidRPr="0069381B">
        <w:rPr>
          <w:rFonts w:ascii="Book Antiqua" w:hAnsi="Book Antiqua"/>
        </w:rPr>
        <w:t>: e4 [PMID: 26924081 DOI: 10.1016/j.oraloncology.2016.02.006]</w:t>
      </w:r>
    </w:p>
    <w:p w14:paraId="6F480C9B"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6 </w:t>
      </w:r>
      <w:r w:rsidRPr="0069381B">
        <w:rPr>
          <w:rFonts w:ascii="Book Antiqua" w:hAnsi="Book Antiqua"/>
          <w:b/>
          <w:bCs/>
        </w:rPr>
        <w:t>Ercan Ş</w:t>
      </w:r>
      <w:r w:rsidRPr="0069381B">
        <w:rPr>
          <w:rFonts w:ascii="Book Antiqua" w:hAnsi="Book Antiqua"/>
        </w:rPr>
        <w:t>, Kaymaz Ö, Yücel N, Orçun A. Serum concentrations of CA 125, CA 15-3, CA 19-9 and CEA in normal pregnancy: a longitudinal study. </w:t>
      </w:r>
      <w:r w:rsidRPr="0069381B">
        <w:rPr>
          <w:rFonts w:ascii="Book Antiqua" w:hAnsi="Book Antiqua"/>
          <w:i/>
          <w:iCs/>
        </w:rPr>
        <w:t>Arch Gynecol Obstet</w:t>
      </w:r>
      <w:r w:rsidRPr="0069381B">
        <w:rPr>
          <w:rFonts w:ascii="Book Antiqua" w:hAnsi="Book Antiqua"/>
        </w:rPr>
        <w:t> 2012; </w:t>
      </w:r>
      <w:r w:rsidRPr="0069381B">
        <w:rPr>
          <w:rFonts w:ascii="Book Antiqua" w:hAnsi="Book Antiqua"/>
          <w:b/>
          <w:bCs/>
        </w:rPr>
        <w:t>285</w:t>
      </w:r>
      <w:r w:rsidRPr="0069381B">
        <w:rPr>
          <w:rFonts w:ascii="Book Antiqua" w:hAnsi="Book Antiqua"/>
        </w:rPr>
        <w:t>: 579-584 [PMID: 21792548 DOI: 10.1007/s00404-011-2025-4]</w:t>
      </w:r>
    </w:p>
    <w:p w14:paraId="3A1878C4"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7 </w:t>
      </w:r>
      <w:r w:rsidRPr="0069381B">
        <w:rPr>
          <w:rFonts w:ascii="Book Antiqua" w:hAnsi="Book Antiqua"/>
          <w:b/>
          <w:bCs/>
        </w:rPr>
        <w:t>Burtness B</w:t>
      </w:r>
      <w:r w:rsidRPr="0069381B">
        <w:rPr>
          <w:rFonts w:ascii="Book Antiqua" w:hAnsi="Book Antiqua"/>
        </w:rPr>
        <w:t>, Goldwasser MA, Flood W, Mattar B, Forastiere AA; Eastern Cooperative Oncology Group. Phase III randomized trial of cisplatin plus placebo compared with cisplatin plus cetuximab in metastatic/recurrent head and neck cancer: an Eastern Cooperative Oncology Group study. </w:t>
      </w:r>
      <w:r w:rsidRPr="0069381B">
        <w:rPr>
          <w:rFonts w:ascii="Book Antiqua" w:hAnsi="Book Antiqua"/>
          <w:i/>
          <w:iCs/>
        </w:rPr>
        <w:t>J Clin Oncol</w:t>
      </w:r>
      <w:r w:rsidRPr="0069381B">
        <w:rPr>
          <w:rFonts w:ascii="Book Antiqua" w:hAnsi="Book Antiqua"/>
        </w:rPr>
        <w:t> 2005; </w:t>
      </w:r>
      <w:r w:rsidRPr="0069381B">
        <w:rPr>
          <w:rFonts w:ascii="Book Antiqua" w:hAnsi="Book Antiqua"/>
          <w:b/>
          <w:bCs/>
        </w:rPr>
        <w:t>23</w:t>
      </w:r>
      <w:r w:rsidRPr="0069381B">
        <w:rPr>
          <w:rFonts w:ascii="Book Antiqua" w:hAnsi="Book Antiqua"/>
        </w:rPr>
        <w:t>: 8646-8654 [PMID: 16314626 DOI: 10.1200/JCO.2005.02.4646]</w:t>
      </w:r>
    </w:p>
    <w:p w14:paraId="57DDC4C1"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8 </w:t>
      </w:r>
      <w:r w:rsidRPr="0069381B">
        <w:rPr>
          <w:rFonts w:ascii="Book Antiqua" w:hAnsi="Book Antiqua"/>
          <w:b/>
          <w:bCs/>
        </w:rPr>
        <w:t>Sacco AG</w:t>
      </w:r>
      <w:r w:rsidRPr="0069381B">
        <w:rPr>
          <w:rFonts w:ascii="Book Antiqua" w:hAnsi="Book Antiqua"/>
        </w:rPr>
        <w:t>, Cohen EE. Current Treatment Options for Recurrent or Metastatic Head and Neck Squamous Cell Carcinoma. </w:t>
      </w:r>
      <w:r w:rsidRPr="0069381B">
        <w:rPr>
          <w:rFonts w:ascii="Book Antiqua" w:hAnsi="Book Antiqua"/>
          <w:i/>
          <w:iCs/>
        </w:rPr>
        <w:t>J Clin Oncol</w:t>
      </w:r>
      <w:r w:rsidRPr="0069381B">
        <w:rPr>
          <w:rFonts w:ascii="Book Antiqua" w:hAnsi="Book Antiqua"/>
        </w:rPr>
        <w:t> 2015; </w:t>
      </w:r>
      <w:r w:rsidRPr="0069381B">
        <w:rPr>
          <w:rFonts w:ascii="Book Antiqua" w:hAnsi="Book Antiqua"/>
          <w:b/>
          <w:bCs/>
        </w:rPr>
        <w:t>33</w:t>
      </w:r>
      <w:r w:rsidRPr="0069381B">
        <w:rPr>
          <w:rFonts w:ascii="Book Antiqua" w:hAnsi="Book Antiqua"/>
        </w:rPr>
        <w:t>: 3305-3313 [PMID: 26351341 DOI: 10.1200/JCO.2015.62.0963]</w:t>
      </w:r>
    </w:p>
    <w:p w14:paraId="71D1F9E0"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9 </w:t>
      </w:r>
      <w:r w:rsidRPr="0069381B">
        <w:rPr>
          <w:rFonts w:ascii="Book Antiqua" w:hAnsi="Book Antiqua"/>
          <w:b/>
          <w:bCs/>
        </w:rPr>
        <w:t>Verduzco-Rodríguez L</w:t>
      </w:r>
      <w:r w:rsidRPr="0069381B">
        <w:rPr>
          <w:rFonts w:ascii="Book Antiqua" w:hAnsi="Book Antiqua"/>
        </w:rPr>
        <w:t>, Aguirre-González EH, Verduzco-Aguirre HC. Durable complete response induced by paclitaxel-nimotuzumab-methotrexate chemotherapy in a patient with metastatic head and neck squamous cell carcinoma. </w:t>
      </w:r>
      <w:r w:rsidRPr="0069381B">
        <w:rPr>
          <w:rFonts w:ascii="Book Antiqua" w:hAnsi="Book Antiqua"/>
          <w:i/>
          <w:iCs/>
        </w:rPr>
        <w:t>Hematol Oncol Stem Cell Ther</w:t>
      </w:r>
      <w:r w:rsidRPr="0069381B">
        <w:rPr>
          <w:rFonts w:ascii="Book Antiqua" w:hAnsi="Book Antiqua"/>
        </w:rPr>
        <w:t> 2011; </w:t>
      </w:r>
      <w:r w:rsidRPr="0069381B">
        <w:rPr>
          <w:rFonts w:ascii="Book Antiqua" w:hAnsi="Book Antiqua"/>
          <w:b/>
          <w:bCs/>
        </w:rPr>
        <w:t>4</w:t>
      </w:r>
      <w:r w:rsidRPr="0069381B">
        <w:rPr>
          <w:rFonts w:ascii="Book Antiqua" w:hAnsi="Book Antiqua"/>
        </w:rPr>
        <w:t>: 182-184 [PMID: 22198189 DOI: 10.5144/1658-3876.2011.182]</w:t>
      </w:r>
    </w:p>
    <w:p w14:paraId="1F6BF772"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10 </w:t>
      </w:r>
      <w:r w:rsidRPr="0069381B">
        <w:rPr>
          <w:rFonts w:ascii="Book Antiqua" w:hAnsi="Book Antiqua"/>
          <w:b/>
          <w:bCs/>
        </w:rPr>
        <w:t>Guigay J</w:t>
      </w:r>
      <w:r w:rsidRPr="0069381B">
        <w:rPr>
          <w:rFonts w:ascii="Book Antiqua" w:hAnsi="Book Antiqua"/>
        </w:rPr>
        <w:t>, Even C, Mayache-Badis L, Debbah M, Saada-Bouzid E, Tao Y, Deschamps F, Janot F, Lezghed N, Michel C. Long-term response in patient with recurrent oropharyngeal carcinoma treated with cetuximab, docetaxel and cisplatin (TPEx) as first-line treatment followed by cetuximab maintenance. </w:t>
      </w:r>
      <w:r w:rsidRPr="0069381B">
        <w:rPr>
          <w:rFonts w:ascii="Book Antiqua" w:hAnsi="Book Antiqua"/>
          <w:i/>
          <w:iCs/>
        </w:rPr>
        <w:t>Oral Oncol</w:t>
      </w:r>
      <w:r w:rsidRPr="0069381B">
        <w:rPr>
          <w:rFonts w:ascii="Book Antiqua" w:hAnsi="Book Antiqua"/>
        </w:rPr>
        <w:t> 2017; </w:t>
      </w:r>
      <w:r w:rsidRPr="0069381B">
        <w:rPr>
          <w:rFonts w:ascii="Book Antiqua" w:hAnsi="Book Antiqua"/>
          <w:b/>
          <w:bCs/>
        </w:rPr>
        <w:t>68</w:t>
      </w:r>
      <w:r w:rsidRPr="0069381B">
        <w:rPr>
          <w:rFonts w:ascii="Book Antiqua" w:hAnsi="Book Antiqua"/>
        </w:rPr>
        <w:t>: 114-118 [PMID: 28347701 DOI: 10.1016/j.oraloncology.2017.03.009]</w:t>
      </w:r>
    </w:p>
    <w:p w14:paraId="0C0087A4"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11 </w:t>
      </w:r>
      <w:r w:rsidRPr="0069381B">
        <w:rPr>
          <w:rFonts w:ascii="Book Antiqua" w:hAnsi="Book Antiqua"/>
          <w:b/>
          <w:bCs/>
        </w:rPr>
        <w:t>Szturz P</w:t>
      </w:r>
      <w:r w:rsidRPr="0069381B">
        <w:rPr>
          <w:rFonts w:ascii="Book Antiqua" w:hAnsi="Book Antiqua"/>
        </w:rPr>
        <w:t>, Specenier P, Van Laer C, Van Den Weyngaert D, Corthouts B, Carp L, Van Marck E, Vanderveken O, Vermorken JB. Long-term remission of locally recurrent oropharyngeal cancer after docetaxel-based chemotherapy plus cetuximab. </w:t>
      </w:r>
      <w:r w:rsidRPr="0069381B">
        <w:rPr>
          <w:rFonts w:ascii="Book Antiqua" w:hAnsi="Book Antiqua"/>
          <w:i/>
          <w:iCs/>
        </w:rPr>
        <w:t>Eur Arch Otorhinolaryngol</w:t>
      </w:r>
      <w:r w:rsidRPr="0069381B">
        <w:rPr>
          <w:rFonts w:ascii="Book Antiqua" w:hAnsi="Book Antiqua"/>
        </w:rPr>
        <w:t> 2016; </w:t>
      </w:r>
      <w:r w:rsidRPr="0069381B">
        <w:rPr>
          <w:rFonts w:ascii="Book Antiqua" w:hAnsi="Book Antiqua"/>
          <w:b/>
          <w:bCs/>
        </w:rPr>
        <w:t>273</w:t>
      </w:r>
      <w:r w:rsidRPr="0069381B">
        <w:rPr>
          <w:rFonts w:ascii="Book Antiqua" w:hAnsi="Book Antiqua"/>
        </w:rPr>
        <w:t>: 1629-1636 [PMID: 26044403 DOI: 10.1007/s00405-015-3673-y]</w:t>
      </w:r>
    </w:p>
    <w:p w14:paraId="0B604D0A"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12 </w:t>
      </w:r>
      <w:r w:rsidRPr="0069381B">
        <w:rPr>
          <w:rFonts w:ascii="Book Antiqua" w:hAnsi="Book Antiqua"/>
          <w:b/>
          <w:bCs/>
        </w:rPr>
        <w:t>Argiris A</w:t>
      </w:r>
      <w:r w:rsidRPr="0069381B">
        <w:rPr>
          <w:rFonts w:ascii="Book Antiqua" w:hAnsi="Book Antiqua"/>
        </w:rPr>
        <w:t>, Li Y, Forastiere A. Prognostic factors and long-term survivorship in patients with recurrent or metastatic carcinoma of the head and neck. </w:t>
      </w:r>
      <w:r w:rsidRPr="0069381B">
        <w:rPr>
          <w:rFonts w:ascii="Book Antiqua" w:hAnsi="Book Antiqua"/>
          <w:i/>
          <w:iCs/>
        </w:rPr>
        <w:t>Cancer</w:t>
      </w:r>
      <w:r w:rsidRPr="0069381B">
        <w:rPr>
          <w:rFonts w:ascii="Book Antiqua" w:hAnsi="Book Antiqua"/>
        </w:rPr>
        <w:t> 2004; </w:t>
      </w:r>
      <w:r w:rsidRPr="0069381B">
        <w:rPr>
          <w:rFonts w:ascii="Book Antiqua" w:hAnsi="Book Antiqua"/>
          <w:b/>
          <w:bCs/>
        </w:rPr>
        <w:t>101</w:t>
      </w:r>
      <w:r w:rsidRPr="0069381B">
        <w:rPr>
          <w:rFonts w:ascii="Book Antiqua" w:hAnsi="Book Antiqua"/>
        </w:rPr>
        <w:t>: 2222-2229 [PMID: 15452834 DOI: 10.1002/cncr.20640]</w:t>
      </w:r>
    </w:p>
    <w:p w14:paraId="08781D6D"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13 </w:t>
      </w:r>
      <w:r w:rsidRPr="0069381B">
        <w:rPr>
          <w:rFonts w:ascii="Book Antiqua" w:hAnsi="Book Antiqua"/>
          <w:b/>
          <w:bCs/>
        </w:rPr>
        <w:t>Salazar CR</w:t>
      </w:r>
      <w:r w:rsidRPr="0069381B">
        <w:rPr>
          <w:rFonts w:ascii="Book Antiqua" w:hAnsi="Book Antiqua"/>
        </w:rPr>
        <w:t>, Anayannis N, Smith RV, Wang Y, Haigentz M Jr, Garg M, Schiff BA, Kawachi N, Elman J, Belbin TJ, Prystowsky MB, Burk RD, Schlecht NF. Combined P16 and human papillomavirus testing predicts head and neck cancer survival. </w:t>
      </w:r>
      <w:r w:rsidRPr="0069381B">
        <w:rPr>
          <w:rFonts w:ascii="Book Antiqua" w:hAnsi="Book Antiqua"/>
          <w:i/>
          <w:iCs/>
        </w:rPr>
        <w:t>Int J Cancer</w:t>
      </w:r>
      <w:r w:rsidRPr="0069381B">
        <w:rPr>
          <w:rFonts w:ascii="Book Antiqua" w:hAnsi="Book Antiqua"/>
        </w:rPr>
        <w:t> 2014; </w:t>
      </w:r>
      <w:r w:rsidRPr="0069381B">
        <w:rPr>
          <w:rFonts w:ascii="Book Antiqua" w:hAnsi="Book Antiqua"/>
          <w:b/>
          <w:bCs/>
        </w:rPr>
        <w:t>135</w:t>
      </w:r>
      <w:r w:rsidRPr="0069381B">
        <w:rPr>
          <w:rFonts w:ascii="Book Antiqua" w:hAnsi="Book Antiqua"/>
        </w:rPr>
        <w:t>: 2404-2412 [PMID: 24706381 DOI: 10.1002/ijc.28876]</w:t>
      </w:r>
    </w:p>
    <w:p w14:paraId="030D9932"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14 </w:t>
      </w:r>
      <w:r w:rsidRPr="0069381B">
        <w:rPr>
          <w:rFonts w:ascii="Book Antiqua" w:hAnsi="Book Antiqua"/>
          <w:b/>
          <w:bCs/>
        </w:rPr>
        <w:t>Gillison ML</w:t>
      </w:r>
      <w:r w:rsidRPr="0069381B">
        <w:rPr>
          <w:rFonts w:ascii="Book Antiqua" w:hAnsi="Book Antiqua"/>
        </w:rPr>
        <w:t>, Koch WM, Capone RB, Spafford M, Westra WH, Wu L, Zahurak ML, Daniel RW, Viglione M, Symer DE, Shah KV, Sidransky D. Evidence for a causal association between human papillomavirus and a subset of head and neck cancers. </w:t>
      </w:r>
      <w:r w:rsidRPr="0069381B">
        <w:rPr>
          <w:rFonts w:ascii="Book Antiqua" w:hAnsi="Book Antiqua"/>
          <w:i/>
          <w:iCs/>
        </w:rPr>
        <w:t>J Natl Cancer Inst</w:t>
      </w:r>
      <w:r w:rsidRPr="0069381B">
        <w:rPr>
          <w:rFonts w:ascii="Book Antiqua" w:hAnsi="Book Antiqua"/>
        </w:rPr>
        <w:t> 2000; </w:t>
      </w:r>
      <w:r w:rsidRPr="0069381B">
        <w:rPr>
          <w:rFonts w:ascii="Book Antiqua" w:hAnsi="Book Antiqua"/>
          <w:b/>
          <w:bCs/>
        </w:rPr>
        <w:t>92</w:t>
      </w:r>
      <w:r w:rsidRPr="0069381B">
        <w:rPr>
          <w:rFonts w:ascii="Book Antiqua" w:hAnsi="Book Antiqua"/>
        </w:rPr>
        <w:t>: 709-720 [PMID: 10793107 DOI: 10.1093/jnci/92.9.709]</w:t>
      </w:r>
    </w:p>
    <w:p w14:paraId="3BBAC84A"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15 </w:t>
      </w:r>
      <w:r w:rsidRPr="0069381B">
        <w:rPr>
          <w:rFonts w:ascii="Book Antiqua" w:hAnsi="Book Antiqua"/>
          <w:b/>
          <w:bCs/>
        </w:rPr>
        <w:t>Rosenthal DI</w:t>
      </w:r>
      <w:r w:rsidRPr="0069381B">
        <w:rPr>
          <w:rFonts w:ascii="Book Antiqua" w:hAnsi="Book Antiqua"/>
        </w:rPr>
        <w:t>, Harari PM, Giralt J, Bell D, Raben D, Liu J, Schulten J, Ang KK, Bonner JA. Association of Human Papillomavirus and p16 Status With Outcomes in the IMCL-9815 Phase III Registration Trial for Patients With Locoregionally Advanced Oropharyngeal Squamous Cell Carcinoma of the Head and Neck Treated With Radiotherapy With or Without Cetuximab. </w:t>
      </w:r>
      <w:r w:rsidRPr="0069381B">
        <w:rPr>
          <w:rFonts w:ascii="Book Antiqua" w:hAnsi="Book Antiqua"/>
          <w:i/>
          <w:iCs/>
        </w:rPr>
        <w:t>J Clin Oncol</w:t>
      </w:r>
      <w:r w:rsidRPr="0069381B">
        <w:rPr>
          <w:rFonts w:ascii="Book Antiqua" w:hAnsi="Book Antiqua"/>
        </w:rPr>
        <w:t> 2016; </w:t>
      </w:r>
      <w:r w:rsidRPr="0069381B">
        <w:rPr>
          <w:rFonts w:ascii="Book Antiqua" w:hAnsi="Book Antiqua"/>
          <w:b/>
          <w:bCs/>
        </w:rPr>
        <w:t>34</w:t>
      </w:r>
      <w:r w:rsidRPr="0069381B">
        <w:rPr>
          <w:rFonts w:ascii="Book Antiqua" w:hAnsi="Book Antiqua"/>
        </w:rPr>
        <w:t>: 1300-1308 [PMID: 26712222 DOI: 10.1200/JCO.2015.62.5970]</w:t>
      </w:r>
    </w:p>
    <w:p w14:paraId="07A29069"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16 </w:t>
      </w:r>
      <w:r w:rsidRPr="0069381B">
        <w:rPr>
          <w:rFonts w:ascii="Book Antiqua" w:hAnsi="Book Antiqua"/>
          <w:b/>
          <w:bCs/>
        </w:rPr>
        <w:t>Boeker R</w:t>
      </w:r>
      <w:r w:rsidRPr="0069381B">
        <w:rPr>
          <w:rFonts w:ascii="Book Antiqua" w:hAnsi="Book Antiqua"/>
        </w:rPr>
        <w:t>, Stromberger C, Heiland M, Beck-Broichsitter B, Hofmann VM, Neumann K, Ochsenreither S, Olze H, Dommerich S, Piwonski I, Coordes A. Carcinoma of Unknown Primary and the 8th Edition TNM Classification for Head and Neck Cancer. </w:t>
      </w:r>
      <w:r w:rsidRPr="0069381B">
        <w:rPr>
          <w:rFonts w:ascii="Book Antiqua" w:hAnsi="Book Antiqua"/>
          <w:i/>
          <w:iCs/>
        </w:rPr>
        <w:t>Laryngoscope</w:t>
      </w:r>
      <w:r w:rsidRPr="0069381B">
        <w:rPr>
          <w:rFonts w:ascii="Book Antiqua" w:hAnsi="Book Antiqua"/>
        </w:rPr>
        <w:t> 2021 [</w:t>
      </w:r>
      <w:bookmarkStart w:id="14" w:name="OLE_LINK19"/>
      <w:r w:rsidRPr="0069381B">
        <w:rPr>
          <w:rFonts w:ascii="Book Antiqua" w:hAnsi="Book Antiqua"/>
        </w:rPr>
        <w:t>PMID: 33734438</w:t>
      </w:r>
      <w:bookmarkEnd w:id="14"/>
      <w:r w:rsidRPr="0069381B">
        <w:rPr>
          <w:rFonts w:ascii="Book Antiqua" w:hAnsi="Book Antiqua"/>
        </w:rPr>
        <w:t xml:space="preserve"> DOI: 10.1002/lary.29499]</w:t>
      </w:r>
    </w:p>
    <w:p w14:paraId="028AC83E"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17 </w:t>
      </w:r>
      <w:r w:rsidRPr="0069381B">
        <w:rPr>
          <w:rFonts w:ascii="Book Antiqua" w:hAnsi="Book Antiqua"/>
          <w:b/>
          <w:bCs/>
        </w:rPr>
        <w:t>Rubin Grandis J</w:t>
      </w:r>
      <w:r w:rsidRPr="0069381B">
        <w:rPr>
          <w:rFonts w:ascii="Book Antiqua" w:hAnsi="Book Antiqua"/>
        </w:rPr>
        <w:t>, Melhem MF, Gooding WE, Day R, Holst VA, Wagener MM, Drenning SD, Tweardy DJ. Levels of TGF-alpha and EGFR protein in head and neck squamous cell carcinoma and patient survival. </w:t>
      </w:r>
      <w:r w:rsidRPr="0069381B">
        <w:rPr>
          <w:rFonts w:ascii="Book Antiqua" w:hAnsi="Book Antiqua"/>
          <w:i/>
          <w:iCs/>
        </w:rPr>
        <w:t>J Natl Cancer Inst</w:t>
      </w:r>
      <w:r w:rsidRPr="0069381B">
        <w:rPr>
          <w:rFonts w:ascii="Book Antiqua" w:hAnsi="Book Antiqua"/>
        </w:rPr>
        <w:t> 1998; </w:t>
      </w:r>
      <w:r w:rsidRPr="0069381B">
        <w:rPr>
          <w:rFonts w:ascii="Book Antiqua" w:hAnsi="Book Antiqua"/>
          <w:b/>
          <w:bCs/>
        </w:rPr>
        <w:t>90</w:t>
      </w:r>
      <w:r w:rsidRPr="0069381B">
        <w:rPr>
          <w:rFonts w:ascii="Book Antiqua" w:hAnsi="Book Antiqua"/>
        </w:rPr>
        <w:t>: 824-832 [PMID: 9625170 DOI: 10.1093/jnci/90.11.824]</w:t>
      </w:r>
    </w:p>
    <w:p w14:paraId="21309990"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18 </w:t>
      </w:r>
      <w:r w:rsidRPr="0069381B">
        <w:rPr>
          <w:rFonts w:ascii="Book Antiqua" w:hAnsi="Book Antiqua"/>
          <w:b/>
          <w:bCs/>
        </w:rPr>
        <w:t>Temam S</w:t>
      </w:r>
      <w:r w:rsidRPr="0069381B">
        <w:rPr>
          <w:rFonts w:ascii="Book Antiqua" w:hAnsi="Book Antiqua"/>
        </w:rPr>
        <w:t>, Kawaguchi H, El-Naggar AK, Jelinek J, Tang H, Liu DD, Lang W, Issa JP, Lee JJ, Mao L. Epidermal growth factor receptor copy number alterations correlate with poor clinical outcome in patients with head and neck squamous cancer. </w:t>
      </w:r>
      <w:r w:rsidRPr="0069381B">
        <w:rPr>
          <w:rFonts w:ascii="Book Antiqua" w:hAnsi="Book Antiqua"/>
          <w:i/>
          <w:iCs/>
        </w:rPr>
        <w:t>J Clin Oncol</w:t>
      </w:r>
      <w:r w:rsidRPr="0069381B">
        <w:rPr>
          <w:rFonts w:ascii="Book Antiqua" w:hAnsi="Book Antiqua"/>
        </w:rPr>
        <w:t> 2007; </w:t>
      </w:r>
      <w:r w:rsidRPr="0069381B">
        <w:rPr>
          <w:rFonts w:ascii="Book Antiqua" w:hAnsi="Book Antiqua"/>
          <w:b/>
          <w:bCs/>
        </w:rPr>
        <w:t>25</w:t>
      </w:r>
      <w:r w:rsidRPr="0069381B">
        <w:rPr>
          <w:rFonts w:ascii="Book Antiqua" w:hAnsi="Book Antiqua"/>
        </w:rPr>
        <w:t>: 2164-2170 [PMID: 17538160 DOI: 10.1200/JCO.2006.06.6605]</w:t>
      </w:r>
    </w:p>
    <w:p w14:paraId="607FF524"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19 </w:t>
      </w:r>
      <w:r w:rsidRPr="0069381B">
        <w:rPr>
          <w:rFonts w:ascii="Book Antiqua" w:hAnsi="Book Antiqua"/>
          <w:b/>
          <w:bCs/>
        </w:rPr>
        <w:t>Licitra L</w:t>
      </w:r>
      <w:r w:rsidRPr="0069381B">
        <w:rPr>
          <w:rFonts w:ascii="Book Antiqua" w:hAnsi="Book Antiqua"/>
        </w:rPr>
        <w:t>, Störkel S, Kerr KM, Van Cutsem E, Pirker R, Hirsch FR, Vermorken JB, von Heydebreck A, Esser R, Celik I, Ciardiello F. Predictive value of epidermal growth factor receptor expression for first-line chemotherapy plus cetuximab in patients with head and neck and colorectal cancer: analysis of data from the EXTREME and CRYSTAL studies. </w:t>
      </w:r>
      <w:r w:rsidRPr="0069381B">
        <w:rPr>
          <w:rFonts w:ascii="Book Antiqua" w:hAnsi="Book Antiqua"/>
          <w:i/>
          <w:iCs/>
        </w:rPr>
        <w:t>Eur J Cancer</w:t>
      </w:r>
      <w:r w:rsidRPr="0069381B">
        <w:rPr>
          <w:rFonts w:ascii="Book Antiqua" w:hAnsi="Book Antiqua"/>
        </w:rPr>
        <w:t> 2013; </w:t>
      </w:r>
      <w:r w:rsidRPr="0069381B">
        <w:rPr>
          <w:rFonts w:ascii="Book Antiqua" w:hAnsi="Book Antiqua"/>
          <w:b/>
          <w:bCs/>
        </w:rPr>
        <w:t>49</w:t>
      </w:r>
      <w:r w:rsidRPr="0069381B">
        <w:rPr>
          <w:rFonts w:ascii="Book Antiqua" w:hAnsi="Book Antiqua"/>
        </w:rPr>
        <w:t>: 1161-1168 [PMID: 23265711 DOI: 10.1016/j.ejca.2012.11.018]</w:t>
      </w:r>
    </w:p>
    <w:p w14:paraId="27EC5007"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20 </w:t>
      </w:r>
      <w:r w:rsidRPr="0069381B">
        <w:rPr>
          <w:rFonts w:ascii="Book Antiqua" w:hAnsi="Book Antiqua"/>
          <w:b/>
          <w:bCs/>
        </w:rPr>
        <w:t>Licitra L</w:t>
      </w:r>
      <w:r w:rsidRPr="0069381B">
        <w:rPr>
          <w:rFonts w:ascii="Book Antiqua" w:hAnsi="Book Antiqua"/>
        </w:rPr>
        <w:t>, Mesia R, Rivera F, Remenár É, Hitt R, Erfán J, Rottey S, Kawecki A, Zabolotnyy D, Benasso M, Störkel S, Senger S, Stroh C, Vermorken JB. Evaluation of EGFR gene copy number as a predictive biomarker for the efficacy of cetuximab in combination with chemotherapy in the first-line treatment of recurrent and/or metastatic squamous cell carcinoma of the head and neck: EXTREME study. </w:t>
      </w:r>
      <w:r w:rsidRPr="0069381B">
        <w:rPr>
          <w:rFonts w:ascii="Book Antiqua" w:hAnsi="Book Antiqua"/>
          <w:i/>
          <w:iCs/>
        </w:rPr>
        <w:t>Ann Oncol</w:t>
      </w:r>
      <w:r w:rsidRPr="0069381B">
        <w:rPr>
          <w:rFonts w:ascii="Book Antiqua" w:hAnsi="Book Antiqua"/>
        </w:rPr>
        <w:t> 2011; </w:t>
      </w:r>
      <w:r w:rsidRPr="0069381B">
        <w:rPr>
          <w:rFonts w:ascii="Book Antiqua" w:hAnsi="Book Antiqua"/>
          <w:b/>
          <w:bCs/>
        </w:rPr>
        <w:t>22</w:t>
      </w:r>
      <w:r w:rsidRPr="0069381B">
        <w:rPr>
          <w:rFonts w:ascii="Book Antiqua" w:hAnsi="Book Antiqua"/>
        </w:rPr>
        <w:t>: 1078-1087 [PMID: 21048039 DOI: 10.1093/annonc/mdq588]</w:t>
      </w:r>
    </w:p>
    <w:p w14:paraId="2FC6F03D" w14:textId="77777777" w:rsidR="0069381B" w:rsidRPr="0069381B" w:rsidRDefault="0069381B" w:rsidP="0069381B">
      <w:pPr>
        <w:pStyle w:val="a3"/>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21 </w:t>
      </w:r>
      <w:r w:rsidRPr="0069381B">
        <w:rPr>
          <w:rFonts w:ascii="Book Antiqua" w:hAnsi="Book Antiqua"/>
          <w:b/>
          <w:bCs/>
        </w:rPr>
        <w:t>Hayashi H</w:t>
      </w:r>
      <w:r w:rsidRPr="0069381B">
        <w:rPr>
          <w:rFonts w:ascii="Book Antiqua" w:hAnsi="Book Antiqua"/>
        </w:rPr>
        <w:t>, Kurata T, Takiguchi Y, Arai M, Takeda K, Akiyoshi K, Matsumoto K, Onoe T, Mukai H, Matsubara N, Minami H, Toyoda M, Onozawa Y, Ono A, Fujita Y, Sakai K, Koh Y, Takeuchi A, Ohashi Y, Nishio K, Nakagawa K. Randomized Phase II Trial Comparing Site-Specific Treatment Based on Gene Expression Profiling With Carboplatin and Paclitaxel for Patients With Cancer of Unknown Primary Site. </w:t>
      </w:r>
      <w:r w:rsidRPr="0069381B">
        <w:rPr>
          <w:rFonts w:ascii="Book Antiqua" w:hAnsi="Book Antiqua"/>
          <w:i/>
          <w:iCs/>
        </w:rPr>
        <w:t>J Clin Oncol</w:t>
      </w:r>
      <w:r w:rsidRPr="0069381B">
        <w:rPr>
          <w:rFonts w:ascii="Book Antiqua" w:hAnsi="Book Antiqua"/>
        </w:rPr>
        <w:t> 2019; </w:t>
      </w:r>
      <w:r w:rsidRPr="0069381B">
        <w:rPr>
          <w:rFonts w:ascii="Book Antiqua" w:hAnsi="Book Antiqua"/>
          <w:b/>
          <w:bCs/>
        </w:rPr>
        <w:t>37</w:t>
      </w:r>
      <w:r w:rsidRPr="0069381B">
        <w:rPr>
          <w:rFonts w:ascii="Book Antiqua" w:hAnsi="Book Antiqua"/>
        </w:rPr>
        <w:t>: 570-579 [PMID: 30653423 DOI: 10.1200/JCO.18.00771]</w:t>
      </w:r>
    </w:p>
    <w:bookmarkEnd w:id="13"/>
    <w:p w14:paraId="7DFB29E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7826EC9" w14:textId="77777777" w:rsidR="00A77B3E" w:rsidRDefault="00D60168">
      <w:pPr>
        <w:spacing w:line="360" w:lineRule="auto"/>
        <w:jc w:val="both"/>
      </w:pPr>
      <w:r>
        <w:rPr>
          <w:rFonts w:ascii="Book Antiqua" w:eastAsia="Book Antiqua" w:hAnsi="Book Antiqua" w:cs="Book Antiqua"/>
          <w:b/>
          <w:color w:val="000000"/>
        </w:rPr>
        <w:t>Footnotes</w:t>
      </w:r>
    </w:p>
    <w:p w14:paraId="51E0EAF6" w14:textId="77777777" w:rsidR="00A77B3E" w:rsidRDefault="00D6016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informed written consent prior to publication of the case report.</w:t>
      </w:r>
    </w:p>
    <w:p w14:paraId="3CA2C652" w14:textId="77777777" w:rsidR="00A77B3E" w:rsidRDefault="00A77B3E">
      <w:pPr>
        <w:spacing w:line="360" w:lineRule="auto"/>
        <w:jc w:val="both"/>
      </w:pPr>
    </w:p>
    <w:p w14:paraId="4B9F014B" w14:textId="77777777" w:rsidR="00A77B3E" w:rsidRDefault="00D60168">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2E017B5B" w14:textId="77777777" w:rsidR="00A77B3E" w:rsidRDefault="00A77B3E">
      <w:pPr>
        <w:spacing w:line="360" w:lineRule="auto"/>
        <w:jc w:val="both"/>
      </w:pPr>
    </w:p>
    <w:p w14:paraId="09E6151F" w14:textId="77777777" w:rsidR="00A77B3E" w:rsidRPr="000A19FD" w:rsidRDefault="00D60168">
      <w:pPr>
        <w:spacing w:line="360" w:lineRule="auto"/>
        <w:jc w:val="both"/>
        <w:rPr>
          <w:lang w:eastAsia="zh-CN"/>
        </w:rPr>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The manuscript was prepared and revised according to the CARE Checklist (2016).</w:t>
      </w:r>
    </w:p>
    <w:p w14:paraId="5AC50F8A" w14:textId="77777777" w:rsidR="00A77B3E" w:rsidRDefault="00A77B3E">
      <w:pPr>
        <w:spacing w:line="360" w:lineRule="auto"/>
        <w:jc w:val="both"/>
      </w:pPr>
    </w:p>
    <w:p w14:paraId="54F213B2" w14:textId="77777777" w:rsidR="00A77B3E" w:rsidRDefault="00D6016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EA8973" w14:textId="77777777" w:rsidR="00A77B3E" w:rsidRDefault="00A77B3E">
      <w:pPr>
        <w:spacing w:line="360" w:lineRule="auto"/>
        <w:jc w:val="both"/>
      </w:pPr>
    </w:p>
    <w:p w14:paraId="71A7EF4B" w14:textId="77777777" w:rsidR="00A77B3E" w:rsidRDefault="00D6016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A19FD">
        <w:rPr>
          <w:rFonts w:ascii="Book Antiqua" w:eastAsia="Book Antiqua" w:hAnsi="Book Antiqua" w:cs="Book Antiqua"/>
          <w:color w:val="000000"/>
        </w:rPr>
        <w:t>manuscript</w:t>
      </w:r>
    </w:p>
    <w:p w14:paraId="52940D60" w14:textId="77777777" w:rsidR="00A77B3E" w:rsidRDefault="00A77B3E">
      <w:pPr>
        <w:spacing w:line="360" w:lineRule="auto"/>
        <w:jc w:val="both"/>
      </w:pPr>
    </w:p>
    <w:p w14:paraId="14D202E8" w14:textId="77777777" w:rsidR="00A77B3E" w:rsidRDefault="00D6016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19, 2021</w:t>
      </w:r>
    </w:p>
    <w:p w14:paraId="57C62864" w14:textId="77777777" w:rsidR="00A77B3E" w:rsidRDefault="00D6016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68086150" w14:textId="0677B6C4" w:rsidR="00A77B3E" w:rsidRPr="00437A4C" w:rsidRDefault="00D60168">
      <w:pPr>
        <w:spacing w:line="360" w:lineRule="auto"/>
        <w:jc w:val="both"/>
        <w:rPr>
          <w:lang w:eastAsia="zh-CN"/>
        </w:rPr>
      </w:pPr>
      <w:r>
        <w:rPr>
          <w:rFonts w:ascii="Book Antiqua" w:eastAsia="Book Antiqua" w:hAnsi="Book Antiqua" w:cs="Book Antiqua"/>
          <w:b/>
          <w:color w:val="000000"/>
        </w:rPr>
        <w:t xml:space="preserve">Article in press: </w:t>
      </w:r>
      <w:r w:rsidR="00437A4C">
        <w:rPr>
          <w:rFonts w:ascii="Book Antiqua" w:hAnsi="Book Antiqua" w:cs="Book Antiqua" w:hint="eastAsia"/>
          <w:b/>
          <w:color w:val="000000"/>
          <w:lang w:eastAsia="zh-CN"/>
        </w:rPr>
        <w:t xml:space="preserve"> </w:t>
      </w:r>
      <w:r w:rsidR="00437A4C">
        <w:rPr>
          <w:rFonts w:ascii="Book Antiqua" w:eastAsia="宋体" w:hAnsi="Book Antiqua"/>
          <w:color w:val="000000" w:themeColor="text1"/>
        </w:rPr>
        <w:t>J</w:t>
      </w:r>
      <w:r w:rsidR="00437A4C">
        <w:rPr>
          <w:rFonts w:ascii="Book Antiqua" w:eastAsia="宋体" w:hAnsi="Book Antiqua" w:hint="eastAsia"/>
          <w:color w:val="000000" w:themeColor="text1"/>
        </w:rPr>
        <w:t>u</w:t>
      </w:r>
      <w:r w:rsidR="00437A4C">
        <w:rPr>
          <w:rFonts w:ascii="Book Antiqua" w:eastAsia="宋体" w:hAnsi="Book Antiqua"/>
          <w:color w:val="000000" w:themeColor="text1"/>
        </w:rPr>
        <w:t>ly</w:t>
      </w:r>
      <w:r w:rsidR="00437A4C" w:rsidRPr="00F06907">
        <w:rPr>
          <w:rFonts w:ascii="Book Antiqua" w:eastAsia="宋体" w:hAnsi="Book Antiqua"/>
          <w:color w:val="000000" w:themeColor="text1"/>
        </w:rPr>
        <w:t xml:space="preserve"> </w:t>
      </w:r>
      <w:r w:rsidR="00437A4C">
        <w:rPr>
          <w:rFonts w:ascii="Book Antiqua" w:eastAsia="宋体" w:hAnsi="Book Antiqua"/>
          <w:color w:val="000000" w:themeColor="text1"/>
        </w:rPr>
        <w:t>14</w:t>
      </w:r>
      <w:r w:rsidR="00437A4C" w:rsidRPr="00F06907">
        <w:rPr>
          <w:rFonts w:ascii="Book Antiqua" w:eastAsia="宋体" w:hAnsi="Book Antiqua"/>
          <w:color w:val="000000" w:themeColor="text1"/>
        </w:rPr>
        <w:t>, 2021</w:t>
      </w:r>
    </w:p>
    <w:p w14:paraId="248A23DD" w14:textId="77777777" w:rsidR="00A77B3E" w:rsidRDefault="00A77B3E">
      <w:pPr>
        <w:spacing w:line="360" w:lineRule="auto"/>
        <w:jc w:val="both"/>
      </w:pPr>
    </w:p>
    <w:p w14:paraId="628E9B0B" w14:textId="77777777" w:rsidR="00A77B3E" w:rsidRDefault="00D6016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3DED2F6" w14:textId="77777777" w:rsidR="00A77B3E" w:rsidRDefault="00D6016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664FD24D" w14:textId="77777777" w:rsidR="00A77B3E" w:rsidRDefault="00D60168">
      <w:pPr>
        <w:spacing w:line="360" w:lineRule="auto"/>
        <w:jc w:val="both"/>
      </w:pPr>
      <w:r>
        <w:rPr>
          <w:rFonts w:ascii="Book Antiqua" w:eastAsia="Book Antiqua" w:hAnsi="Book Antiqua" w:cs="Book Antiqua"/>
          <w:b/>
          <w:color w:val="000000"/>
        </w:rPr>
        <w:t>Peer-review report’s scientific quality classification</w:t>
      </w:r>
    </w:p>
    <w:p w14:paraId="1F43B0E3" w14:textId="77777777" w:rsidR="00A77B3E" w:rsidRDefault="00D60168">
      <w:pPr>
        <w:spacing w:line="360" w:lineRule="auto"/>
        <w:jc w:val="both"/>
      </w:pPr>
      <w:r>
        <w:rPr>
          <w:rFonts w:ascii="Book Antiqua" w:eastAsia="Book Antiqua" w:hAnsi="Book Antiqua" w:cs="Book Antiqua"/>
          <w:color w:val="000000"/>
        </w:rPr>
        <w:t>Grade A (Excellent): 0</w:t>
      </w:r>
    </w:p>
    <w:p w14:paraId="02E5B0F0" w14:textId="77777777" w:rsidR="00A77B3E" w:rsidRPr="000A19FD" w:rsidRDefault="00D60168">
      <w:pPr>
        <w:spacing w:line="360" w:lineRule="auto"/>
        <w:jc w:val="both"/>
        <w:rPr>
          <w:lang w:eastAsia="zh-CN"/>
        </w:rPr>
      </w:pPr>
      <w:r>
        <w:rPr>
          <w:rFonts w:ascii="Book Antiqua" w:eastAsia="Book Antiqua" w:hAnsi="Book Antiqua" w:cs="Book Antiqua"/>
          <w:color w:val="000000"/>
        </w:rPr>
        <w:t xml:space="preserve">Grade B (Very good): </w:t>
      </w:r>
      <w:r w:rsidR="000A19FD">
        <w:rPr>
          <w:rFonts w:ascii="Book Antiqua" w:hAnsi="Book Antiqua" w:cs="Book Antiqua" w:hint="eastAsia"/>
          <w:color w:val="000000"/>
          <w:lang w:eastAsia="zh-CN"/>
        </w:rPr>
        <w:t>B, B</w:t>
      </w:r>
    </w:p>
    <w:p w14:paraId="40C18AB4" w14:textId="77777777" w:rsidR="00A77B3E" w:rsidRDefault="00D60168">
      <w:pPr>
        <w:spacing w:line="360" w:lineRule="auto"/>
        <w:jc w:val="both"/>
      </w:pPr>
      <w:r>
        <w:rPr>
          <w:rFonts w:ascii="Book Antiqua" w:eastAsia="Book Antiqua" w:hAnsi="Book Antiqua" w:cs="Book Antiqua"/>
          <w:color w:val="000000"/>
        </w:rPr>
        <w:t>Grade C (Good): C, C, C, C</w:t>
      </w:r>
    </w:p>
    <w:p w14:paraId="5BF2F8FA" w14:textId="77777777" w:rsidR="00A77B3E" w:rsidRDefault="00D60168">
      <w:pPr>
        <w:spacing w:line="360" w:lineRule="auto"/>
        <w:jc w:val="both"/>
      </w:pPr>
      <w:r>
        <w:rPr>
          <w:rFonts w:ascii="Book Antiqua" w:eastAsia="Book Antiqua" w:hAnsi="Book Antiqua" w:cs="Book Antiqua"/>
          <w:color w:val="000000"/>
        </w:rPr>
        <w:t>Grade D (Fair): 0</w:t>
      </w:r>
    </w:p>
    <w:p w14:paraId="13467AA5" w14:textId="77777777" w:rsidR="00A77B3E" w:rsidRDefault="00D60168">
      <w:pPr>
        <w:spacing w:line="360" w:lineRule="auto"/>
        <w:jc w:val="both"/>
      </w:pPr>
      <w:r>
        <w:rPr>
          <w:rFonts w:ascii="Book Antiqua" w:eastAsia="Book Antiqua" w:hAnsi="Book Antiqua" w:cs="Book Antiqua"/>
          <w:color w:val="000000"/>
        </w:rPr>
        <w:t>Grade E (Poor): 0</w:t>
      </w:r>
    </w:p>
    <w:p w14:paraId="11DBCE08" w14:textId="77777777" w:rsidR="00A77B3E" w:rsidRDefault="00A77B3E">
      <w:pPr>
        <w:spacing w:line="360" w:lineRule="auto"/>
        <w:jc w:val="both"/>
      </w:pPr>
    </w:p>
    <w:p w14:paraId="387BC453" w14:textId="4D0E5F94" w:rsidR="00A77B3E" w:rsidRDefault="00D60168">
      <w:pPr>
        <w:spacing w:line="360" w:lineRule="auto"/>
        <w:jc w:val="both"/>
        <w:rPr>
          <w:rFonts w:ascii="Book Antiqua" w:hAnsi="Book Antiqua"/>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Deng JY, Mitani S, Uraguchi K, Yang TY</w:t>
      </w:r>
      <w:r>
        <w:rPr>
          <w:rFonts w:ascii="Book Antiqua" w:eastAsia="Book Antiqua" w:hAnsi="Book Antiqua" w:cs="Book Antiqua"/>
          <w:b/>
          <w:color w:val="000000"/>
        </w:rPr>
        <w:t xml:space="preserve"> S-Editor: </w:t>
      </w:r>
      <w:r w:rsidR="000A19FD">
        <w:rPr>
          <w:rFonts w:ascii="Book Antiqua" w:hAnsi="Book Antiqua" w:cs="Book Antiqua" w:hint="eastAsia"/>
          <w:color w:val="000000"/>
          <w:lang w:eastAsia="zh-CN"/>
        </w:rPr>
        <w:t>Zhang H</w:t>
      </w:r>
      <w:r w:rsidR="000A19FD">
        <w:rPr>
          <w:rFonts w:ascii="Book Antiqua" w:eastAsia="Book Antiqua" w:hAnsi="Book Antiqua" w:cs="Book Antiqua"/>
          <w:b/>
          <w:color w:val="000000"/>
        </w:rPr>
        <w:t xml:space="preserve"> L-Editor: </w:t>
      </w:r>
      <w:r w:rsidR="00A15E5B" w:rsidRPr="00A15E5B">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437A4C" w:rsidRPr="00E60F36">
        <w:rPr>
          <w:rFonts w:ascii="Book Antiqua" w:hAnsi="Book Antiqua"/>
          <w:bCs/>
        </w:rPr>
        <w:t>Zhang</w:t>
      </w:r>
      <w:r w:rsidR="00437A4C">
        <w:rPr>
          <w:rFonts w:ascii="Book Antiqua" w:hAnsi="Book Antiqua"/>
          <w:bCs/>
        </w:rPr>
        <w:t xml:space="preserve"> </w:t>
      </w:r>
      <w:r w:rsidR="00437A4C" w:rsidRPr="00E60F36">
        <w:rPr>
          <w:rFonts w:ascii="Book Antiqua" w:hAnsi="Book Antiqua"/>
          <w:bCs/>
        </w:rPr>
        <w:t>YL</w:t>
      </w:r>
    </w:p>
    <w:p w14:paraId="32095BA3" w14:textId="77777777" w:rsidR="00437A4C" w:rsidRPr="00437A4C" w:rsidRDefault="00437A4C">
      <w:pPr>
        <w:spacing w:line="360" w:lineRule="auto"/>
        <w:jc w:val="both"/>
        <w:rPr>
          <w:lang w:eastAsia="zh-CN"/>
        </w:rPr>
        <w:sectPr w:rsidR="00437A4C" w:rsidRPr="00437A4C">
          <w:pgSz w:w="12240" w:h="15840"/>
          <w:pgMar w:top="1440" w:right="1440" w:bottom="1440" w:left="1440" w:header="720" w:footer="720" w:gutter="0"/>
          <w:cols w:space="720"/>
          <w:docGrid w:linePitch="360"/>
        </w:sectPr>
      </w:pPr>
    </w:p>
    <w:p w14:paraId="7F277F90" w14:textId="77777777" w:rsidR="00A77B3E" w:rsidRDefault="00D60168">
      <w:pPr>
        <w:spacing w:line="360" w:lineRule="auto"/>
        <w:jc w:val="both"/>
      </w:pPr>
      <w:r>
        <w:rPr>
          <w:rFonts w:ascii="Book Antiqua" w:eastAsia="Book Antiqua" w:hAnsi="Book Antiqua" w:cs="Book Antiqua"/>
          <w:b/>
          <w:color w:val="000000"/>
        </w:rPr>
        <w:t>Figure Legends</w:t>
      </w:r>
    </w:p>
    <w:p w14:paraId="2955A83B" w14:textId="77777777" w:rsidR="00D60168" w:rsidRDefault="00D6016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69B71C9B" wp14:editId="30D144F2">
            <wp:extent cx="5427438" cy="28558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385" cy="2856854"/>
                    </a:xfrm>
                    <a:prstGeom prst="rect">
                      <a:avLst/>
                    </a:prstGeom>
                    <a:noFill/>
                  </pic:spPr>
                </pic:pic>
              </a:graphicData>
            </a:graphic>
          </wp:inline>
        </w:drawing>
      </w:r>
    </w:p>
    <w:p w14:paraId="5623AF15" w14:textId="64EEBD0E" w:rsidR="00A77B3E" w:rsidRPr="00F43A8B" w:rsidRDefault="00D60168">
      <w:pPr>
        <w:spacing w:line="360" w:lineRule="auto"/>
        <w:jc w:val="both"/>
        <w:rPr>
          <w:lang w:eastAsia="zh-CN"/>
        </w:rPr>
      </w:pPr>
      <w:r w:rsidRPr="00F43A8B">
        <w:rPr>
          <w:rFonts w:ascii="Book Antiqua" w:eastAsia="Book Antiqua" w:hAnsi="Book Antiqua" w:cs="Book Antiqua"/>
          <w:b/>
          <w:bCs/>
          <w:color w:val="000000"/>
        </w:rPr>
        <w:t>Figure 1</w:t>
      </w:r>
      <w:r w:rsidRPr="00F43A8B">
        <w:rPr>
          <w:rFonts w:ascii="Book Antiqua" w:eastAsia="Book Antiqua" w:hAnsi="Book Antiqua" w:cs="Book Antiqua"/>
          <w:b/>
          <w:color w:val="000000"/>
        </w:rPr>
        <w:t xml:space="preserve"> Computed tomography of the neck after </w:t>
      </w:r>
      <w:r w:rsidR="00F12059">
        <w:rPr>
          <w:rFonts w:ascii="Book Antiqua" w:eastAsia="Book Antiqua" w:hAnsi="Book Antiqua" w:cs="Book Antiqua"/>
          <w:b/>
          <w:color w:val="000000"/>
        </w:rPr>
        <w:t>intravenous</w:t>
      </w:r>
      <w:r w:rsidRPr="00F43A8B">
        <w:rPr>
          <w:rFonts w:ascii="Book Antiqua" w:eastAsia="Book Antiqua" w:hAnsi="Book Antiqua" w:cs="Book Antiqua"/>
          <w:b/>
          <w:color w:val="000000"/>
        </w:rPr>
        <w:t xml:space="preserve"> injection of an iodine contrast agent.</w:t>
      </w:r>
      <w:r>
        <w:rPr>
          <w:rFonts w:ascii="Book Antiqua" w:eastAsia="Book Antiqua" w:hAnsi="Book Antiqua" w:cs="Book Antiqua"/>
          <w:color w:val="000000"/>
        </w:rPr>
        <w:t xml:space="preserve"> A: </w:t>
      </w:r>
      <w:r w:rsidR="003810CE">
        <w:rPr>
          <w:rFonts w:ascii="Book Antiqua" w:eastAsia="Book Antiqua" w:hAnsi="Book Antiqua" w:cs="Book Antiqua"/>
          <w:color w:val="000000"/>
        </w:rPr>
        <w:t>A</w:t>
      </w:r>
      <w:r>
        <w:rPr>
          <w:rFonts w:ascii="Book Antiqua" w:eastAsia="Book Antiqua" w:hAnsi="Book Antiqua" w:cs="Book Antiqua"/>
          <w:color w:val="000000"/>
        </w:rPr>
        <w:t xml:space="preserve">rrow pointing </w:t>
      </w:r>
      <w:r w:rsidR="00F12059">
        <w:rPr>
          <w:rFonts w:ascii="Book Antiqua" w:eastAsia="Book Antiqua" w:hAnsi="Book Antiqua" w:cs="Book Antiqua"/>
          <w:color w:val="000000"/>
        </w:rPr>
        <w:t xml:space="preserve">to </w:t>
      </w:r>
      <w:r>
        <w:rPr>
          <w:rFonts w:ascii="Book Antiqua" w:eastAsia="Book Antiqua" w:hAnsi="Book Antiqua" w:cs="Book Antiqua"/>
          <w:color w:val="000000"/>
        </w:rPr>
        <w:t xml:space="preserve">swollen supraclavicular and cervical </w:t>
      </w:r>
      <w:r w:rsidR="008C22D5">
        <w:rPr>
          <w:rFonts w:ascii="Book Antiqua" w:eastAsia="Book Antiqua" w:hAnsi="Book Antiqua" w:cs="Book Antiqua"/>
          <w:color w:val="000000"/>
        </w:rPr>
        <w:t>lymph nodes on the left</w:t>
      </w:r>
      <w:r w:rsidR="008C22D5">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3810CE">
        <w:rPr>
          <w:rFonts w:ascii="Book Antiqua" w:eastAsia="Book Antiqua" w:hAnsi="Book Antiqua" w:cs="Book Antiqua"/>
          <w:color w:val="000000"/>
        </w:rPr>
        <w:t>C</w:t>
      </w:r>
      <w:r>
        <w:rPr>
          <w:rFonts w:ascii="Book Antiqua" w:eastAsia="Book Antiqua" w:hAnsi="Book Antiqua" w:cs="Book Antiqua"/>
          <w:color w:val="000000"/>
        </w:rPr>
        <w:t>omplete remission of the initially swollen supraclavicular and cervical lymph nodes on the left.</w:t>
      </w:r>
    </w:p>
    <w:p w14:paraId="320095B1" w14:textId="77777777" w:rsidR="00D60168" w:rsidRDefault="00F43A8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D60168">
        <w:rPr>
          <w:rFonts w:ascii="Book Antiqua" w:eastAsia="Book Antiqua" w:hAnsi="Book Antiqua" w:cs="Book Antiqua"/>
          <w:b/>
          <w:bCs/>
          <w:noProof/>
          <w:color w:val="000000"/>
          <w:lang w:eastAsia="zh-CN"/>
        </w:rPr>
        <w:drawing>
          <wp:inline distT="0" distB="0" distL="0" distR="0" wp14:anchorId="674EBB33" wp14:editId="527071B6">
            <wp:extent cx="5362575" cy="43462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1436" cy="4345279"/>
                    </a:xfrm>
                    <a:prstGeom prst="rect">
                      <a:avLst/>
                    </a:prstGeom>
                    <a:noFill/>
                  </pic:spPr>
                </pic:pic>
              </a:graphicData>
            </a:graphic>
          </wp:inline>
        </w:drawing>
      </w:r>
    </w:p>
    <w:p w14:paraId="5B7B71B4" w14:textId="77777777" w:rsidR="00A77B3E" w:rsidRDefault="00D60168">
      <w:pPr>
        <w:spacing w:line="360" w:lineRule="auto"/>
        <w:jc w:val="both"/>
      </w:pPr>
      <w:r w:rsidRPr="00F43A8B">
        <w:rPr>
          <w:rFonts w:ascii="Book Antiqua" w:eastAsia="Book Antiqua" w:hAnsi="Book Antiqua" w:cs="Book Antiqua"/>
          <w:b/>
          <w:bCs/>
          <w:color w:val="000000"/>
        </w:rPr>
        <w:t>Figure 2</w:t>
      </w:r>
      <w:r w:rsidRPr="00F43A8B">
        <w:rPr>
          <w:rFonts w:ascii="Book Antiqua" w:eastAsia="Book Antiqua" w:hAnsi="Book Antiqua" w:cs="Book Antiqua"/>
          <w:b/>
          <w:i/>
          <w:iCs/>
          <w:color w:val="000000"/>
        </w:rPr>
        <w:t xml:space="preserve"> </w:t>
      </w:r>
      <w:r w:rsidRPr="00F43A8B">
        <w:rPr>
          <w:rFonts w:ascii="Book Antiqua" w:eastAsia="Book Antiqua" w:hAnsi="Book Antiqua" w:cs="Book Antiqua"/>
          <w:b/>
          <w:color w:val="000000"/>
        </w:rPr>
        <w:t>Lymph node with metastatic squamous cell carcinoma.</w:t>
      </w:r>
      <w:r>
        <w:rPr>
          <w:rFonts w:ascii="Book Antiqua" w:eastAsia="Book Antiqua" w:hAnsi="Book Antiqua" w:cs="Book Antiqua"/>
          <w:color w:val="000000"/>
        </w:rPr>
        <w:t xml:space="preserve"> A: </w:t>
      </w:r>
      <w:r w:rsidR="0096345F">
        <w:rPr>
          <w:rFonts w:ascii="Book Antiqua" w:hAnsi="Book Antiqua" w:cs="Book Antiqua" w:hint="eastAsia"/>
          <w:color w:val="000000"/>
          <w:lang w:eastAsia="zh-CN"/>
        </w:rPr>
        <w:t>H</w:t>
      </w:r>
      <w:r w:rsidR="0096345F" w:rsidRPr="0096345F">
        <w:rPr>
          <w:rFonts w:ascii="Book Antiqua" w:eastAsia="Book Antiqua" w:hAnsi="Book Antiqua" w:cs="Book Antiqua"/>
          <w:color w:val="000000"/>
        </w:rPr>
        <w:t xml:space="preserve">ematoxylin-eosin </w:t>
      </w:r>
      <w:r>
        <w:rPr>
          <w:rFonts w:ascii="Book Antiqua" w:eastAsia="Book Antiqua" w:hAnsi="Book Antiqua" w:cs="Book Antiqua"/>
          <w:color w:val="000000"/>
        </w:rPr>
        <w:t>staining; B: Ki67 staining; C: p16 staining; D: p40 staining.</w:t>
      </w:r>
    </w:p>
    <w:p w14:paraId="29C5EE65" w14:textId="77777777" w:rsidR="00D60168" w:rsidRDefault="00F43A8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D60168">
        <w:rPr>
          <w:rFonts w:ascii="Book Antiqua" w:eastAsia="Book Antiqua" w:hAnsi="Book Antiqua" w:cs="Book Antiqua"/>
          <w:b/>
          <w:bCs/>
          <w:noProof/>
          <w:color w:val="000000"/>
          <w:lang w:eastAsia="zh-CN"/>
        </w:rPr>
        <w:drawing>
          <wp:inline distT="0" distB="0" distL="0" distR="0" wp14:anchorId="3EC73952" wp14:editId="7BEECF55">
            <wp:extent cx="5886450" cy="20235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806" cy="2023645"/>
                    </a:xfrm>
                    <a:prstGeom prst="rect">
                      <a:avLst/>
                    </a:prstGeom>
                    <a:noFill/>
                  </pic:spPr>
                </pic:pic>
              </a:graphicData>
            </a:graphic>
          </wp:inline>
        </w:drawing>
      </w:r>
    </w:p>
    <w:p w14:paraId="295750AA" w14:textId="35D7BED8" w:rsidR="00A77B3E" w:rsidRDefault="00D60168">
      <w:pPr>
        <w:spacing w:line="360" w:lineRule="auto"/>
        <w:jc w:val="both"/>
      </w:pPr>
      <w:r w:rsidRPr="00F43A8B">
        <w:rPr>
          <w:rFonts w:ascii="Book Antiqua" w:eastAsia="Book Antiqua" w:hAnsi="Book Antiqua" w:cs="Book Antiqua"/>
          <w:b/>
          <w:bCs/>
          <w:color w:val="000000"/>
        </w:rPr>
        <w:t>Figure 3</w:t>
      </w:r>
      <w:r w:rsidRPr="00F43A8B">
        <w:rPr>
          <w:rFonts w:ascii="Book Antiqua" w:eastAsia="Book Antiqua" w:hAnsi="Book Antiqua" w:cs="Book Antiqua"/>
          <w:b/>
          <w:color w:val="000000"/>
        </w:rPr>
        <w:t xml:space="preserve"> Metastatic lymph nodes para-aortic region on the left. </w:t>
      </w:r>
      <w:r>
        <w:rPr>
          <w:rFonts w:ascii="Book Antiqua" w:eastAsia="Book Antiqua" w:hAnsi="Book Antiqua" w:cs="Book Antiqua"/>
          <w:color w:val="000000"/>
        </w:rPr>
        <w:t xml:space="preserve">A: Abdomen computed tomography after </w:t>
      </w:r>
      <w:r w:rsidR="00F12059">
        <w:rPr>
          <w:rFonts w:ascii="Book Antiqua" w:eastAsia="Book Antiqua" w:hAnsi="Book Antiqua" w:cs="Book Antiqua"/>
          <w:color w:val="000000"/>
        </w:rPr>
        <w:t>intravenous</w:t>
      </w:r>
      <w:r>
        <w:rPr>
          <w:rFonts w:ascii="Book Antiqua" w:eastAsia="Book Antiqua" w:hAnsi="Book Antiqua" w:cs="Book Antiqua"/>
          <w:color w:val="000000"/>
        </w:rPr>
        <w:t xml:space="preserve"> injection of an iodine contrast agent, arrow </w:t>
      </w:r>
      <w:r w:rsidR="00924248">
        <w:rPr>
          <w:rFonts w:ascii="Book Antiqua" w:eastAsia="Book Antiqua" w:hAnsi="Book Antiqua" w:cs="Book Antiqua"/>
          <w:color w:val="000000"/>
        </w:rPr>
        <w:t>pointing on swollen lymph nodes</w:t>
      </w:r>
      <w:r w:rsidR="00924248">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924248">
        <w:rPr>
          <w:rFonts w:ascii="Book Antiqua" w:hAnsi="Book Antiqua" w:cs="Book Antiqua" w:hint="eastAsia"/>
          <w:color w:val="000000"/>
          <w:lang w:eastAsia="zh-CN"/>
        </w:rPr>
        <w:t>F</w:t>
      </w:r>
      <w:r w:rsidR="00924248">
        <w:rPr>
          <w:rFonts w:ascii="Book Antiqua" w:eastAsia="Book Antiqua" w:hAnsi="Book Antiqua" w:cs="Book Antiqua"/>
          <w:color w:val="000000"/>
        </w:rPr>
        <w:t>luorodeoxyglucose positron emission tomography</w:t>
      </w:r>
      <w:r>
        <w:rPr>
          <w:rFonts w:ascii="Book Antiqua" w:eastAsia="Book Antiqua" w:hAnsi="Book Antiqua" w:cs="Book Antiqua"/>
          <w:color w:val="000000"/>
        </w:rPr>
        <w:t xml:space="preserve"> signal positive lymph nodes in the para-aortic region.</w:t>
      </w:r>
    </w:p>
    <w:p w14:paraId="15BE5789" w14:textId="77777777" w:rsidR="00D60168" w:rsidRDefault="00F43A8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D60168">
        <w:rPr>
          <w:rFonts w:ascii="Book Antiqua" w:eastAsia="Book Antiqua" w:hAnsi="Book Antiqua" w:cs="Book Antiqua"/>
          <w:b/>
          <w:bCs/>
          <w:noProof/>
          <w:color w:val="000000"/>
          <w:lang w:eastAsia="zh-CN"/>
        </w:rPr>
        <w:drawing>
          <wp:inline distT="0" distB="0" distL="0" distR="0" wp14:anchorId="1394FA33" wp14:editId="554F35FE">
            <wp:extent cx="5927458" cy="2590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352" cy="2594250"/>
                    </a:xfrm>
                    <a:prstGeom prst="rect">
                      <a:avLst/>
                    </a:prstGeom>
                    <a:noFill/>
                  </pic:spPr>
                </pic:pic>
              </a:graphicData>
            </a:graphic>
          </wp:inline>
        </w:drawing>
      </w:r>
    </w:p>
    <w:p w14:paraId="4230EB13" w14:textId="2E3E26C0" w:rsidR="00E008B3" w:rsidRDefault="00D60168">
      <w:pPr>
        <w:spacing w:line="360" w:lineRule="auto"/>
        <w:jc w:val="both"/>
        <w:rPr>
          <w:rFonts w:ascii="Book Antiqua" w:eastAsia="Book Antiqua" w:hAnsi="Book Antiqua" w:cs="Book Antiqua"/>
          <w:color w:val="000000"/>
        </w:rPr>
      </w:pPr>
      <w:r w:rsidRPr="00F43A8B">
        <w:rPr>
          <w:rFonts w:ascii="Book Antiqua" w:eastAsia="Book Antiqua" w:hAnsi="Book Antiqua" w:cs="Book Antiqua"/>
          <w:b/>
          <w:bCs/>
          <w:color w:val="000000"/>
        </w:rPr>
        <w:t>Figure 4</w:t>
      </w:r>
      <w:r w:rsidRPr="00F43A8B">
        <w:rPr>
          <w:rFonts w:ascii="Book Antiqua" w:eastAsia="Book Antiqua" w:hAnsi="Book Antiqua" w:cs="Book Antiqua"/>
          <w:b/>
          <w:color w:val="000000"/>
        </w:rPr>
        <w:t xml:space="preserve"> Bone metastasis in the fifth lumbar bone.</w:t>
      </w:r>
      <w:r>
        <w:rPr>
          <w:rFonts w:ascii="Book Antiqua" w:eastAsia="Book Antiqua" w:hAnsi="Book Antiqua" w:cs="Book Antiqua"/>
          <w:color w:val="000000"/>
        </w:rPr>
        <w:t xml:space="preserve"> A: Computed tomography of the lumbar spine: arrow </w:t>
      </w:r>
      <w:r w:rsidR="00924248">
        <w:rPr>
          <w:rFonts w:ascii="Book Antiqua" w:eastAsia="Book Antiqua" w:hAnsi="Book Antiqua" w:cs="Book Antiqua"/>
          <w:color w:val="000000"/>
        </w:rPr>
        <w:t xml:space="preserve">pointing </w:t>
      </w:r>
      <w:r w:rsidR="00F12059">
        <w:rPr>
          <w:rFonts w:ascii="Book Antiqua" w:eastAsia="Book Antiqua" w:hAnsi="Book Antiqua" w:cs="Book Antiqua"/>
          <w:color w:val="000000"/>
        </w:rPr>
        <w:t>to</w:t>
      </w:r>
      <w:r w:rsidR="00924248">
        <w:rPr>
          <w:rFonts w:ascii="Book Antiqua" w:eastAsia="Book Antiqua" w:hAnsi="Book Antiqua" w:cs="Book Antiqua"/>
          <w:color w:val="000000"/>
        </w:rPr>
        <w:t xml:space="preserve"> osseous destruction</w:t>
      </w:r>
      <w:r w:rsidR="00924248">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924248">
        <w:rPr>
          <w:rFonts w:ascii="Book Antiqua" w:hAnsi="Book Antiqua" w:cs="Book Antiqua" w:hint="eastAsia"/>
          <w:color w:val="000000"/>
          <w:lang w:eastAsia="zh-CN"/>
        </w:rPr>
        <w:t>F</w:t>
      </w:r>
      <w:r w:rsidR="00924248" w:rsidRPr="00924248">
        <w:rPr>
          <w:rFonts w:ascii="Book Antiqua" w:eastAsia="Book Antiqua" w:hAnsi="Book Antiqua" w:cs="Book Antiqua"/>
          <w:color w:val="000000"/>
        </w:rPr>
        <w:t>luorodeoxyglucose positron emission tomography</w:t>
      </w:r>
      <w:r>
        <w:rPr>
          <w:rFonts w:ascii="Book Antiqua" w:eastAsia="Book Antiqua" w:hAnsi="Book Antiqua" w:cs="Book Antiqua"/>
          <w:color w:val="000000"/>
        </w:rPr>
        <w:t xml:space="preserve">: </w:t>
      </w:r>
      <w:r w:rsidR="003810CE">
        <w:rPr>
          <w:rFonts w:ascii="Book Antiqua" w:eastAsia="Book Antiqua" w:hAnsi="Book Antiqua" w:cs="Book Antiqua"/>
          <w:color w:val="000000"/>
        </w:rPr>
        <w:t>A</w:t>
      </w:r>
      <w:r>
        <w:rPr>
          <w:rFonts w:ascii="Book Antiqua" w:eastAsia="Book Antiqua" w:hAnsi="Book Antiqua" w:cs="Book Antiqua"/>
          <w:color w:val="000000"/>
        </w:rPr>
        <w:t>rrow pointing on signal positive bone metastasis.</w:t>
      </w:r>
    </w:p>
    <w:p w14:paraId="2161516B" w14:textId="77777777" w:rsidR="00E008B3" w:rsidRDefault="00E008B3">
      <w:pPr>
        <w:rPr>
          <w:rFonts w:ascii="Book Antiqua" w:eastAsia="Book Antiqua" w:hAnsi="Book Antiqua" w:cs="Book Antiqua"/>
          <w:color w:val="000000"/>
        </w:rPr>
      </w:pPr>
      <w:r>
        <w:rPr>
          <w:rFonts w:ascii="Book Antiqua" w:eastAsia="Book Antiqua" w:hAnsi="Book Antiqua" w:cs="Book Antiqua"/>
          <w:color w:val="000000"/>
        </w:rPr>
        <w:br w:type="page"/>
      </w:r>
    </w:p>
    <w:p w14:paraId="3EC08FC1" w14:textId="77777777" w:rsidR="00E008B3" w:rsidRDefault="00E008B3" w:rsidP="00E008B3">
      <w:pPr>
        <w:jc w:val="center"/>
        <w:rPr>
          <w:rFonts w:ascii="Book Antiqua" w:hAnsi="Book Antiqua"/>
          <w:lang w:eastAsia="zh-CN"/>
        </w:rPr>
      </w:pPr>
    </w:p>
    <w:p w14:paraId="7C57B773" w14:textId="77777777" w:rsidR="00E008B3" w:rsidRDefault="00E008B3" w:rsidP="00E008B3">
      <w:pPr>
        <w:jc w:val="center"/>
        <w:rPr>
          <w:rFonts w:ascii="Book Antiqua" w:hAnsi="Book Antiqua"/>
          <w:lang w:eastAsia="zh-CN"/>
        </w:rPr>
      </w:pPr>
    </w:p>
    <w:p w14:paraId="4C25BCE6" w14:textId="77777777" w:rsidR="00E008B3" w:rsidRDefault="00E008B3" w:rsidP="00E008B3">
      <w:pPr>
        <w:jc w:val="center"/>
        <w:rPr>
          <w:rFonts w:ascii="Book Antiqua" w:hAnsi="Book Antiqua"/>
          <w:lang w:eastAsia="zh-CN"/>
        </w:rPr>
      </w:pPr>
    </w:p>
    <w:p w14:paraId="5ECCA2A3" w14:textId="77777777" w:rsidR="00E008B3" w:rsidRDefault="00E008B3" w:rsidP="00E008B3">
      <w:pPr>
        <w:jc w:val="center"/>
        <w:rPr>
          <w:rFonts w:ascii="Book Antiqua" w:hAnsi="Book Antiqua"/>
          <w:lang w:eastAsia="zh-CN"/>
        </w:rPr>
      </w:pPr>
    </w:p>
    <w:p w14:paraId="6B88344F" w14:textId="77777777" w:rsidR="00E008B3" w:rsidRDefault="00E008B3" w:rsidP="00E008B3">
      <w:pPr>
        <w:jc w:val="center"/>
        <w:rPr>
          <w:rFonts w:ascii="Book Antiqua" w:hAnsi="Book Antiqua"/>
          <w:lang w:eastAsia="zh-CN"/>
        </w:rPr>
      </w:pPr>
    </w:p>
    <w:p w14:paraId="634BA685" w14:textId="77777777" w:rsidR="00E008B3" w:rsidRDefault="00E008B3" w:rsidP="00E008B3">
      <w:pPr>
        <w:jc w:val="center"/>
        <w:rPr>
          <w:rFonts w:ascii="Book Antiqua" w:hAnsi="Book Antiqua"/>
          <w:lang w:eastAsia="zh-CN"/>
        </w:rPr>
      </w:pPr>
      <w:r>
        <w:rPr>
          <w:rFonts w:ascii="Book Antiqua" w:hAnsi="Book Antiqua"/>
          <w:noProof/>
          <w:lang w:eastAsia="zh-CN"/>
        </w:rPr>
        <w:drawing>
          <wp:inline distT="0" distB="0" distL="0" distR="0" wp14:anchorId="60A1E01B" wp14:editId="3D1F4B9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4024D7" w14:textId="77777777" w:rsidR="00E008B3" w:rsidRDefault="00E008B3" w:rsidP="00E008B3">
      <w:pPr>
        <w:jc w:val="center"/>
        <w:rPr>
          <w:rFonts w:ascii="Book Antiqua" w:hAnsi="Book Antiqua"/>
          <w:lang w:eastAsia="zh-CN"/>
        </w:rPr>
      </w:pPr>
    </w:p>
    <w:p w14:paraId="7FD234DA" w14:textId="77777777" w:rsidR="00E008B3" w:rsidRPr="00763D22" w:rsidRDefault="00E008B3" w:rsidP="00E008B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E428CDA" w14:textId="77777777" w:rsidR="00E008B3" w:rsidRPr="00763D22" w:rsidRDefault="00E008B3" w:rsidP="00E008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A225233" w14:textId="77777777" w:rsidR="00E008B3" w:rsidRPr="00763D22" w:rsidRDefault="00E008B3" w:rsidP="00E008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1B8418D" w14:textId="77777777" w:rsidR="00E008B3" w:rsidRPr="00763D22" w:rsidRDefault="00E008B3" w:rsidP="00E008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4B77B98" w14:textId="77777777" w:rsidR="00E008B3" w:rsidRPr="00763D22" w:rsidRDefault="00E008B3" w:rsidP="00E008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0D20A2" w14:textId="77777777" w:rsidR="00E008B3" w:rsidRPr="00763D22" w:rsidRDefault="00E008B3" w:rsidP="00E008B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8A992FC" w14:textId="77777777" w:rsidR="00E008B3" w:rsidRDefault="00E008B3" w:rsidP="00E008B3">
      <w:pPr>
        <w:jc w:val="center"/>
        <w:rPr>
          <w:rFonts w:ascii="Book Antiqua" w:hAnsi="Book Antiqua"/>
          <w:lang w:eastAsia="zh-CN"/>
        </w:rPr>
      </w:pPr>
    </w:p>
    <w:p w14:paraId="0C78A6DD" w14:textId="77777777" w:rsidR="00E008B3" w:rsidRDefault="00E008B3" w:rsidP="00E008B3">
      <w:pPr>
        <w:jc w:val="center"/>
        <w:rPr>
          <w:rFonts w:ascii="Book Antiqua" w:hAnsi="Book Antiqua"/>
          <w:lang w:eastAsia="zh-CN"/>
        </w:rPr>
      </w:pPr>
    </w:p>
    <w:p w14:paraId="0BA6338C" w14:textId="77777777" w:rsidR="00E008B3" w:rsidRDefault="00E008B3" w:rsidP="00E008B3">
      <w:pPr>
        <w:jc w:val="center"/>
        <w:rPr>
          <w:rFonts w:ascii="Book Antiqua" w:hAnsi="Book Antiqua"/>
          <w:lang w:eastAsia="zh-CN"/>
        </w:rPr>
      </w:pPr>
    </w:p>
    <w:p w14:paraId="02142B60" w14:textId="77777777" w:rsidR="00E008B3" w:rsidRDefault="00E008B3" w:rsidP="00E008B3">
      <w:pPr>
        <w:jc w:val="center"/>
        <w:rPr>
          <w:rFonts w:ascii="Book Antiqua" w:hAnsi="Book Antiqua"/>
          <w:lang w:eastAsia="zh-CN"/>
        </w:rPr>
      </w:pPr>
      <w:r>
        <w:rPr>
          <w:rFonts w:ascii="Book Antiqua" w:hAnsi="Book Antiqua"/>
          <w:noProof/>
          <w:lang w:eastAsia="zh-CN"/>
        </w:rPr>
        <w:drawing>
          <wp:inline distT="0" distB="0" distL="0" distR="0" wp14:anchorId="74A2D8C2" wp14:editId="2662779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D0A71D" w14:textId="77777777" w:rsidR="00E008B3" w:rsidRDefault="00E008B3" w:rsidP="00E008B3">
      <w:pPr>
        <w:jc w:val="center"/>
        <w:rPr>
          <w:rFonts w:ascii="Book Antiqua" w:hAnsi="Book Antiqua"/>
          <w:lang w:eastAsia="zh-CN"/>
        </w:rPr>
      </w:pPr>
    </w:p>
    <w:p w14:paraId="11A7E7F2" w14:textId="77777777" w:rsidR="00E008B3" w:rsidRDefault="00E008B3" w:rsidP="00E008B3">
      <w:pPr>
        <w:jc w:val="center"/>
        <w:rPr>
          <w:rFonts w:ascii="Book Antiqua" w:hAnsi="Book Antiqua"/>
          <w:lang w:eastAsia="zh-CN"/>
        </w:rPr>
      </w:pPr>
    </w:p>
    <w:p w14:paraId="7179E250" w14:textId="77777777" w:rsidR="00E008B3" w:rsidRDefault="00E008B3" w:rsidP="00E008B3">
      <w:pPr>
        <w:jc w:val="center"/>
        <w:rPr>
          <w:rFonts w:ascii="Book Antiqua" w:hAnsi="Book Antiqua"/>
          <w:lang w:eastAsia="zh-CN"/>
        </w:rPr>
      </w:pPr>
    </w:p>
    <w:p w14:paraId="6BEC0820" w14:textId="77777777" w:rsidR="00E008B3" w:rsidRDefault="00E008B3" w:rsidP="00E008B3">
      <w:pPr>
        <w:jc w:val="center"/>
        <w:rPr>
          <w:rFonts w:ascii="Book Antiqua" w:hAnsi="Book Antiqua"/>
          <w:lang w:eastAsia="zh-CN"/>
        </w:rPr>
      </w:pPr>
    </w:p>
    <w:p w14:paraId="5900B793" w14:textId="77777777" w:rsidR="00E008B3" w:rsidRDefault="00E008B3" w:rsidP="00E008B3">
      <w:pPr>
        <w:jc w:val="center"/>
        <w:rPr>
          <w:rFonts w:ascii="Book Antiqua" w:hAnsi="Book Antiqua"/>
          <w:lang w:eastAsia="zh-CN"/>
        </w:rPr>
      </w:pPr>
    </w:p>
    <w:p w14:paraId="0B8F574D" w14:textId="77777777" w:rsidR="00E008B3" w:rsidRDefault="00E008B3" w:rsidP="00E008B3">
      <w:pPr>
        <w:jc w:val="center"/>
        <w:rPr>
          <w:rFonts w:ascii="Book Antiqua" w:hAnsi="Book Antiqua"/>
          <w:lang w:eastAsia="zh-CN"/>
        </w:rPr>
      </w:pPr>
    </w:p>
    <w:p w14:paraId="1514D0BC" w14:textId="77777777" w:rsidR="00E008B3" w:rsidRDefault="00E008B3" w:rsidP="00E008B3">
      <w:pPr>
        <w:jc w:val="center"/>
        <w:rPr>
          <w:rFonts w:ascii="Book Antiqua" w:hAnsi="Book Antiqua"/>
          <w:lang w:eastAsia="zh-CN"/>
        </w:rPr>
      </w:pPr>
    </w:p>
    <w:p w14:paraId="5A9872C5" w14:textId="77777777" w:rsidR="00E008B3" w:rsidRDefault="00E008B3" w:rsidP="00E008B3">
      <w:pPr>
        <w:jc w:val="center"/>
        <w:rPr>
          <w:rFonts w:ascii="Book Antiqua" w:hAnsi="Book Antiqua"/>
          <w:lang w:eastAsia="zh-CN"/>
        </w:rPr>
      </w:pPr>
    </w:p>
    <w:p w14:paraId="2577CB6E" w14:textId="77777777" w:rsidR="00E008B3" w:rsidRDefault="00E008B3" w:rsidP="00E008B3">
      <w:pPr>
        <w:jc w:val="center"/>
        <w:rPr>
          <w:rFonts w:ascii="Book Antiqua" w:hAnsi="Book Antiqua"/>
          <w:lang w:eastAsia="zh-CN"/>
        </w:rPr>
      </w:pPr>
    </w:p>
    <w:p w14:paraId="7FC408F5" w14:textId="77777777" w:rsidR="00E008B3" w:rsidRPr="00763D22" w:rsidRDefault="00E008B3" w:rsidP="00E008B3">
      <w:pPr>
        <w:jc w:val="right"/>
        <w:rPr>
          <w:rFonts w:ascii="Book Antiqua" w:hAnsi="Book Antiqua"/>
          <w:color w:val="000000" w:themeColor="text1"/>
          <w:lang w:eastAsia="zh-CN"/>
        </w:rPr>
      </w:pPr>
    </w:p>
    <w:p w14:paraId="1E98A295" w14:textId="77777777" w:rsidR="00E008B3" w:rsidRPr="00763D22" w:rsidRDefault="00E008B3" w:rsidP="00E008B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49E76BD" w14:textId="77777777" w:rsidR="00A77B3E" w:rsidRDefault="00A77B3E">
      <w:pPr>
        <w:spacing w:line="360" w:lineRule="auto"/>
        <w:jc w:val="both"/>
      </w:pPr>
      <w:bookmarkStart w:id="15" w:name="_GoBack"/>
      <w:bookmarkEnd w:id="15"/>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76B94" w14:textId="77777777" w:rsidR="00D516DA" w:rsidRDefault="00D516DA" w:rsidP="003A4708">
      <w:r>
        <w:separator/>
      </w:r>
    </w:p>
  </w:endnote>
  <w:endnote w:type="continuationSeparator" w:id="0">
    <w:p w14:paraId="19244C38" w14:textId="77777777" w:rsidR="00D516DA" w:rsidRDefault="00D516DA" w:rsidP="003A4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610022589"/>
      <w:docPartObj>
        <w:docPartGallery w:val="Page Numbers (Bottom of Page)"/>
        <w:docPartUnique/>
      </w:docPartObj>
    </w:sdtPr>
    <w:sdtEndPr>
      <w:rPr>
        <w:rStyle w:val="aa"/>
      </w:rPr>
    </w:sdtEndPr>
    <w:sdtContent>
      <w:p w14:paraId="6346BE1B" w14:textId="621AC556" w:rsidR="00CF2C2C" w:rsidRDefault="00CF2C2C" w:rsidP="005A5166">
        <w:pPr>
          <w:pStyle w:val="a6"/>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1AD472D9" w14:textId="77777777" w:rsidR="00CF2C2C" w:rsidRDefault="00CF2C2C" w:rsidP="005B3F1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Fonts w:ascii="Book Antiqua" w:hAnsi="Book Antiqua"/>
        <w:sz w:val="24"/>
        <w:szCs w:val="24"/>
      </w:rPr>
      <w:id w:val="1066913076"/>
      <w:docPartObj>
        <w:docPartGallery w:val="Page Numbers (Bottom of Page)"/>
        <w:docPartUnique/>
      </w:docPartObj>
    </w:sdtPr>
    <w:sdtEndPr>
      <w:rPr>
        <w:rStyle w:val="aa"/>
      </w:rPr>
    </w:sdtEndPr>
    <w:sdtContent>
      <w:p w14:paraId="7125BE67" w14:textId="7A93AF36" w:rsidR="00CF2C2C" w:rsidRPr="005B3F17" w:rsidRDefault="00CF2C2C" w:rsidP="005A5166">
        <w:pPr>
          <w:pStyle w:val="a6"/>
          <w:framePr w:wrap="none" w:vAnchor="text" w:hAnchor="margin" w:xAlign="right" w:y="1"/>
          <w:rPr>
            <w:rStyle w:val="aa"/>
            <w:rFonts w:ascii="Book Antiqua" w:hAnsi="Book Antiqua"/>
            <w:sz w:val="24"/>
            <w:szCs w:val="24"/>
          </w:rPr>
        </w:pPr>
        <w:r w:rsidRPr="005B3F17">
          <w:rPr>
            <w:rStyle w:val="aa"/>
            <w:rFonts w:ascii="Book Antiqua" w:hAnsi="Book Antiqua"/>
            <w:sz w:val="24"/>
            <w:szCs w:val="24"/>
          </w:rPr>
          <w:fldChar w:fldCharType="begin"/>
        </w:r>
        <w:r w:rsidRPr="005B3F17">
          <w:rPr>
            <w:rStyle w:val="aa"/>
            <w:rFonts w:ascii="Book Antiqua" w:hAnsi="Book Antiqua"/>
            <w:sz w:val="24"/>
            <w:szCs w:val="24"/>
          </w:rPr>
          <w:instrText xml:space="preserve"> PAGE </w:instrText>
        </w:r>
        <w:r w:rsidRPr="005B3F17">
          <w:rPr>
            <w:rStyle w:val="aa"/>
            <w:rFonts w:ascii="Book Antiqua" w:hAnsi="Book Antiqua"/>
            <w:sz w:val="24"/>
            <w:szCs w:val="24"/>
          </w:rPr>
          <w:fldChar w:fldCharType="separate"/>
        </w:r>
        <w:r w:rsidR="00D516DA">
          <w:rPr>
            <w:rStyle w:val="aa"/>
            <w:rFonts w:ascii="Book Antiqua" w:hAnsi="Book Antiqua"/>
            <w:noProof/>
            <w:sz w:val="24"/>
            <w:szCs w:val="24"/>
          </w:rPr>
          <w:t>1</w:t>
        </w:r>
        <w:r w:rsidRPr="005B3F17">
          <w:rPr>
            <w:rStyle w:val="aa"/>
            <w:rFonts w:ascii="Book Antiqua" w:hAnsi="Book Antiqua"/>
            <w:sz w:val="24"/>
            <w:szCs w:val="24"/>
          </w:rPr>
          <w:fldChar w:fldCharType="end"/>
        </w:r>
        <w:r w:rsidRPr="005B3F17">
          <w:rPr>
            <w:rStyle w:val="aa"/>
            <w:rFonts w:ascii="Book Antiqua" w:hAnsi="Book Antiqua"/>
            <w:sz w:val="24"/>
            <w:szCs w:val="24"/>
          </w:rPr>
          <w:t xml:space="preserve"> / 19</w:t>
        </w:r>
      </w:p>
    </w:sdtContent>
  </w:sdt>
  <w:p w14:paraId="06547554" w14:textId="77777777" w:rsidR="00CF2C2C" w:rsidRPr="005B3F17" w:rsidRDefault="00CF2C2C" w:rsidP="005B3F17">
    <w:pPr>
      <w:pStyle w:val="a6"/>
      <w:ind w:right="360"/>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6E028" w14:textId="77777777" w:rsidR="00D516DA" w:rsidRDefault="00D516DA" w:rsidP="003A4708">
      <w:r>
        <w:separator/>
      </w:r>
    </w:p>
  </w:footnote>
  <w:footnote w:type="continuationSeparator" w:id="0">
    <w:p w14:paraId="6FE8FE9B" w14:textId="77777777" w:rsidR="00D516DA" w:rsidRDefault="00D516DA" w:rsidP="003A47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19FD"/>
    <w:rsid w:val="000C4214"/>
    <w:rsid w:val="00166BA4"/>
    <w:rsid w:val="00185119"/>
    <w:rsid w:val="00192EBA"/>
    <w:rsid w:val="001D683B"/>
    <w:rsid w:val="001F2E36"/>
    <w:rsid w:val="002860C4"/>
    <w:rsid w:val="00333CFE"/>
    <w:rsid w:val="003810CE"/>
    <w:rsid w:val="003A4708"/>
    <w:rsid w:val="003C54A1"/>
    <w:rsid w:val="003D364A"/>
    <w:rsid w:val="00437A4C"/>
    <w:rsid w:val="004548D1"/>
    <w:rsid w:val="00480447"/>
    <w:rsid w:val="005961B9"/>
    <w:rsid w:val="005A6A4A"/>
    <w:rsid w:val="005B3F17"/>
    <w:rsid w:val="00603293"/>
    <w:rsid w:val="0063037B"/>
    <w:rsid w:val="00673F94"/>
    <w:rsid w:val="0069381B"/>
    <w:rsid w:val="00695B4B"/>
    <w:rsid w:val="0069627E"/>
    <w:rsid w:val="00781E5C"/>
    <w:rsid w:val="007C3A5D"/>
    <w:rsid w:val="007F4180"/>
    <w:rsid w:val="008C22D5"/>
    <w:rsid w:val="00924248"/>
    <w:rsid w:val="0096345F"/>
    <w:rsid w:val="00995659"/>
    <w:rsid w:val="009C2477"/>
    <w:rsid w:val="009C45C8"/>
    <w:rsid w:val="009E3927"/>
    <w:rsid w:val="00A001E8"/>
    <w:rsid w:val="00A15E5B"/>
    <w:rsid w:val="00A30AD2"/>
    <w:rsid w:val="00A3425E"/>
    <w:rsid w:val="00A77B3E"/>
    <w:rsid w:val="00AA7817"/>
    <w:rsid w:val="00B76960"/>
    <w:rsid w:val="00C23E2B"/>
    <w:rsid w:val="00C94AB3"/>
    <w:rsid w:val="00CA1589"/>
    <w:rsid w:val="00CA2A55"/>
    <w:rsid w:val="00CC21F8"/>
    <w:rsid w:val="00CF2C2C"/>
    <w:rsid w:val="00D23D5A"/>
    <w:rsid w:val="00D516DA"/>
    <w:rsid w:val="00D60168"/>
    <w:rsid w:val="00D82005"/>
    <w:rsid w:val="00DE2F26"/>
    <w:rsid w:val="00E008B3"/>
    <w:rsid w:val="00E37C9C"/>
    <w:rsid w:val="00E412E2"/>
    <w:rsid w:val="00E550E5"/>
    <w:rsid w:val="00ED0439"/>
    <w:rsid w:val="00F04034"/>
    <w:rsid w:val="00F12059"/>
    <w:rsid w:val="00F21B56"/>
    <w:rsid w:val="00F43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6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81B"/>
    <w:pPr>
      <w:spacing w:before="100" w:beforeAutospacing="1" w:after="100" w:afterAutospacing="1"/>
    </w:pPr>
    <w:rPr>
      <w:rFonts w:ascii="宋体" w:eastAsia="宋体" w:hAnsi="宋体" w:cs="宋体"/>
      <w:lang w:eastAsia="zh-CN"/>
    </w:rPr>
  </w:style>
  <w:style w:type="paragraph" w:styleId="a4">
    <w:name w:val="Balloon Text"/>
    <w:basedOn w:val="a"/>
    <w:link w:val="Char"/>
    <w:rsid w:val="00D60168"/>
    <w:rPr>
      <w:sz w:val="18"/>
      <w:szCs w:val="18"/>
    </w:rPr>
  </w:style>
  <w:style w:type="character" w:customStyle="1" w:styleId="Char">
    <w:name w:val="批注框文本 Char"/>
    <w:basedOn w:val="a0"/>
    <w:link w:val="a4"/>
    <w:rsid w:val="00D60168"/>
    <w:rPr>
      <w:sz w:val="18"/>
      <w:szCs w:val="18"/>
    </w:rPr>
  </w:style>
  <w:style w:type="paragraph" w:styleId="a5">
    <w:name w:val="header"/>
    <w:basedOn w:val="a"/>
    <w:link w:val="Char0"/>
    <w:rsid w:val="003A470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A4708"/>
    <w:rPr>
      <w:sz w:val="18"/>
      <w:szCs w:val="18"/>
    </w:rPr>
  </w:style>
  <w:style w:type="paragraph" w:styleId="a6">
    <w:name w:val="footer"/>
    <w:basedOn w:val="a"/>
    <w:link w:val="Char1"/>
    <w:rsid w:val="003A4708"/>
    <w:pPr>
      <w:tabs>
        <w:tab w:val="center" w:pos="4153"/>
        <w:tab w:val="right" w:pos="8306"/>
      </w:tabs>
      <w:snapToGrid w:val="0"/>
    </w:pPr>
    <w:rPr>
      <w:sz w:val="18"/>
      <w:szCs w:val="18"/>
    </w:rPr>
  </w:style>
  <w:style w:type="character" w:customStyle="1" w:styleId="Char1">
    <w:name w:val="页脚 Char"/>
    <w:basedOn w:val="a0"/>
    <w:link w:val="a6"/>
    <w:rsid w:val="003A4708"/>
    <w:rPr>
      <w:sz w:val="18"/>
      <w:szCs w:val="18"/>
    </w:rPr>
  </w:style>
  <w:style w:type="character" w:styleId="a7">
    <w:name w:val="annotation reference"/>
    <w:basedOn w:val="a0"/>
    <w:semiHidden/>
    <w:unhideWhenUsed/>
    <w:rsid w:val="00A3425E"/>
    <w:rPr>
      <w:sz w:val="16"/>
      <w:szCs w:val="16"/>
    </w:rPr>
  </w:style>
  <w:style w:type="paragraph" w:styleId="a8">
    <w:name w:val="annotation text"/>
    <w:basedOn w:val="a"/>
    <w:link w:val="Char2"/>
    <w:semiHidden/>
    <w:unhideWhenUsed/>
    <w:rsid w:val="00A3425E"/>
    <w:rPr>
      <w:sz w:val="20"/>
      <w:szCs w:val="20"/>
    </w:rPr>
  </w:style>
  <w:style w:type="character" w:customStyle="1" w:styleId="Char2">
    <w:name w:val="批注文字 Char"/>
    <w:basedOn w:val="a0"/>
    <w:link w:val="a8"/>
    <w:semiHidden/>
    <w:rsid w:val="00A3425E"/>
  </w:style>
  <w:style w:type="paragraph" w:styleId="a9">
    <w:name w:val="annotation subject"/>
    <w:basedOn w:val="a8"/>
    <w:next w:val="a8"/>
    <w:link w:val="Char3"/>
    <w:semiHidden/>
    <w:unhideWhenUsed/>
    <w:rsid w:val="00A3425E"/>
    <w:rPr>
      <w:b/>
      <w:bCs/>
    </w:rPr>
  </w:style>
  <w:style w:type="character" w:customStyle="1" w:styleId="Char3">
    <w:name w:val="批注主题 Char"/>
    <w:basedOn w:val="Char2"/>
    <w:link w:val="a9"/>
    <w:semiHidden/>
    <w:rsid w:val="00A3425E"/>
    <w:rPr>
      <w:b/>
      <w:bCs/>
    </w:rPr>
  </w:style>
  <w:style w:type="character" w:styleId="aa">
    <w:name w:val="page number"/>
    <w:basedOn w:val="a0"/>
    <w:semiHidden/>
    <w:unhideWhenUsed/>
    <w:rsid w:val="00CF2C2C"/>
  </w:style>
  <w:style w:type="paragraph" w:styleId="ab">
    <w:name w:val="Revision"/>
    <w:hidden/>
    <w:uiPriority w:val="99"/>
    <w:semiHidden/>
    <w:rsid w:val="00192EBA"/>
    <w:rPr>
      <w:sz w:val="24"/>
      <w:szCs w:val="24"/>
    </w:rPr>
  </w:style>
  <w:style w:type="character" w:styleId="ac">
    <w:name w:val="Hyperlink"/>
    <w:basedOn w:val="a0"/>
    <w:unhideWhenUsed/>
    <w:rsid w:val="00F21B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81B"/>
    <w:pPr>
      <w:spacing w:before="100" w:beforeAutospacing="1" w:after="100" w:afterAutospacing="1"/>
    </w:pPr>
    <w:rPr>
      <w:rFonts w:ascii="宋体" w:eastAsia="宋体" w:hAnsi="宋体" w:cs="宋体"/>
      <w:lang w:eastAsia="zh-CN"/>
    </w:rPr>
  </w:style>
  <w:style w:type="paragraph" w:styleId="a4">
    <w:name w:val="Balloon Text"/>
    <w:basedOn w:val="a"/>
    <w:link w:val="Char"/>
    <w:rsid w:val="00D60168"/>
    <w:rPr>
      <w:sz w:val="18"/>
      <w:szCs w:val="18"/>
    </w:rPr>
  </w:style>
  <w:style w:type="character" w:customStyle="1" w:styleId="Char">
    <w:name w:val="批注框文本 Char"/>
    <w:basedOn w:val="a0"/>
    <w:link w:val="a4"/>
    <w:rsid w:val="00D60168"/>
    <w:rPr>
      <w:sz w:val="18"/>
      <w:szCs w:val="18"/>
    </w:rPr>
  </w:style>
  <w:style w:type="paragraph" w:styleId="a5">
    <w:name w:val="header"/>
    <w:basedOn w:val="a"/>
    <w:link w:val="Char0"/>
    <w:rsid w:val="003A470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A4708"/>
    <w:rPr>
      <w:sz w:val="18"/>
      <w:szCs w:val="18"/>
    </w:rPr>
  </w:style>
  <w:style w:type="paragraph" w:styleId="a6">
    <w:name w:val="footer"/>
    <w:basedOn w:val="a"/>
    <w:link w:val="Char1"/>
    <w:rsid w:val="003A4708"/>
    <w:pPr>
      <w:tabs>
        <w:tab w:val="center" w:pos="4153"/>
        <w:tab w:val="right" w:pos="8306"/>
      </w:tabs>
      <w:snapToGrid w:val="0"/>
    </w:pPr>
    <w:rPr>
      <w:sz w:val="18"/>
      <w:szCs w:val="18"/>
    </w:rPr>
  </w:style>
  <w:style w:type="character" w:customStyle="1" w:styleId="Char1">
    <w:name w:val="页脚 Char"/>
    <w:basedOn w:val="a0"/>
    <w:link w:val="a6"/>
    <w:rsid w:val="003A4708"/>
    <w:rPr>
      <w:sz w:val="18"/>
      <w:szCs w:val="18"/>
    </w:rPr>
  </w:style>
  <w:style w:type="character" w:styleId="a7">
    <w:name w:val="annotation reference"/>
    <w:basedOn w:val="a0"/>
    <w:semiHidden/>
    <w:unhideWhenUsed/>
    <w:rsid w:val="00A3425E"/>
    <w:rPr>
      <w:sz w:val="16"/>
      <w:szCs w:val="16"/>
    </w:rPr>
  </w:style>
  <w:style w:type="paragraph" w:styleId="a8">
    <w:name w:val="annotation text"/>
    <w:basedOn w:val="a"/>
    <w:link w:val="Char2"/>
    <w:semiHidden/>
    <w:unhideWhenUsed/>
    <w:rsid w:val="00A3425E"/>
    <w:rPr>
      <w:sz w:val="20"/>
      <w:szCs w:val="20"/>
    </w:rPr>
  </w:style>
  <w:style w:type="character" w:customStyle="1" w:styleId="Char2">
    <w:name w:val="批注文字 Char"/>
    <w:basedOn w:val="a0"/>
    <w:link w:val="a8"/>
    <w:semiHidden/>
    <w:rsid w:val="00A3425E"/>
  </w:style>
  <w:style w:type="paragraph" w:styleId="a9">
    <w:name w:val="annotation subject"/>
    <w:basedOn w:val="a8"/>
    <w:next w:val="a8"/>
    <w:link w:val="Char3"/>
    <w:semiHidden/>
    <w:unhideWhenUsed/>
    <w:rsid w:val="00A3425E"/>
    <w:rPr>
      <w:b/>
      <w:bCs/>
    </w:rPr>
  </w:style>
  <w:style w:type="character" w:customStyle="1" w:styleId="Char3">
    <w:name w:val="批注主题 Char"/>
    <w:basedOn w:val="Char2"/>
    <w:link w:val="a9"/>
    <w:semiHidden/>
    <w:rsid w:val="00A3425E"/>
    <w:rPr>
      <w:b/>
      <w:bCs/>
    </w:rPr>
  </w:style>
  <w:style w:type="character" w:styleId="aa">
    <w:name w:val="page number"/>
    <w:basedOn w:val="a0"/>
    <w:semiHidden/>
    <w:unhideWhenUsed/>
    <w:rsid w:val="00CF2C2C"/>
  </w:style>
  <w:style w:type="paragraph" w:styleId="ab">
    <w:name w:val="Revision"/>
    <w:hidden/>
    <w:uiPriority w:val="99"/>
    <w:semiHidden/>
    <w:rsid w:val="00192EBA"/>
    <w:rPr>
      <w:sz w:val="24"/>
      <w:szCs w:val="24"/>
    </w:rPr>
  </w:style>
  <w:style w:type="character" w:styleId="ac">
    <w:name w:val="Hyperlink"/>
    <w:basedOn w:val="a0"/>
    <w:unhideWhenUsed/>
    <w:rsid w:val="00F21B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8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3516</Words>
  <Characters>20042</Characters>
  <Application>Microsoft Office Word</Application>
  <DocSecurity>0</DocSecurity>
  <Lines>167</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liujihong2008@qq.con</cp:lastModifiedBy>
  <cp:revision>5</cp:revision>
  <dcterms:created xsi:type="dcterms:W3CDTF">2021-07-19T05:50:00Z</dcterms:created>
  <dcterms:modified xsi:type="dcterms:W3CDTF">2021-08-18T02:39:00Z</dcterms:modified>
</cp:coreProperties>
</file>