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9AA41" w14:textId="77777777" w:rsidR="0025272D" w:rsidRPr="00A72E25" w:rsidRDefault="0025272D" w:rsidP="0025272D">
      <w:pPr>
        <w:adjustRightInd w:val="0"/>
        <w:snapToGrid w:val="0"/>
        <w:spacing w:line="360" w:lineRule="auto"/>
        <w:jc w:val="both"/>
        <w:rPr>
          <w:rFonts w:ascii="Book Antiqua" w:hAnsi="Book Antiqua"/>
        </w:rPr>
      </w:pPr>
      <w:bookmarkStart w:id="0" w:name="OLE_LINK1"/>
      <w:bookmarkStart w:id="1" w:name="OLE_LINK2"/>
      <w:bookmarkStart w:id="2" w:name="OLE_LINK9"/>
      <w:r w:rsidRPr="00A72E25">
        <w:rPr>
          <w:rFonts w:ascii="Book Antiqua" w:eastAsia="Book Antiqua" w:hAnsi="Book Antiqua" w:cs="Book Antiqua"/>
          <w:b/>
          <w:color w:val="000000"/>
        </w:rPr>
        <w:t xml:space="preserve">Name of Journal: </w:t>
      </w:r>
      <w:r w:rsidRPr="00A72E25">
        <w:rPr>
          <w:rFonts w:ascii="Book Antiqua" w:eastAsia="Book Antiqua" w:hAnsi="Book Antiqua" w:cs="Book Antiqua"/>
          <w:i/>
          <w:color w:val="000000"/>
        </w:rPr>
        <w:t>World Journal of Clinical Cases</w:t>
      </w:r>
    </w:p>
    <w:p w14:paraId="6F155D59"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Manuscript NO: </w:t>
      </w:r>
      <w:r w:rsidRPr="00A72E25">
        <w:rPr>
          <w:rFonts w:ascii="Book Antiqua" w:eastAsia="Book Antiqua" w:hAnsi="Book Antiqua" w:cs="Book Antiqua"/>
          <w:color w:val="000000"/>
        </w:rPr>
        <w:t>61556</w:t>
      </w:r>
    </w:p>
    <w:p w14:paraId="21AB0217"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Manuscript Type: </w:t>
      </w:r>
      <w:r w:rsidRPr="00A72E25">
        <w:rPr>
          <w:rFonts w:ascii="Book Antiqua" w:eastAsia="Book Antiqua" w:hAnsi="Book Antiqua" w:cs="Book Antiqua"/>
          <w:color w:val="000000"/>
        </w:rPr>
        <w:t>ORIGINAL ARTICLE</w:t>
      </w:r>
    </w:p>
    <w:p w14:paraId="387BEF6B" w14:textId="77777777" w:rsidR="0025272D" w:rsidRPr="00A72E25" w:rsidRDefault="0025272D" w:rsidP="0025272D">
      <w:pPr>
        <w:adjustRightInd w:val="0"/>
        <w:snapToGrid w:val="0"/>
        <w:spacing w:line="360" w:lineRule="auto"/>
        <w:jc w:val="both"/>
        <w:rPr>
          <w:rFonts w:ascii="Book Antiqua" w:hAnsi="Book Antiqua"/>
        </w:rPr>
      </w:pPr>
    </w:p>
    <w:p w14:paraId="059CA528"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i/>
          <w:color w:val="000000"/>
        </w:rPr>
        <w:t>Observational Study</w:t>
      </w:r>
    </w:p>
    <w:p w14:paraId="3FA20B92" w14:textId="77777777" w:rsidR="0025272D" w:rsidRDefault="006F279E" w:rsidP="0025272D">
      <w:pPr>
        <w:adjustRightInd w:val="0"/>
        <w:snapToGrid w:val="0"/>
        <w:spacing w:line="360" w:lineRule="auto"/>
        <w:jc w:val="both"/>
        <w:rPr>
          <w:rFonts w:ascii="Book Antiqua" w:eastAsia="Book Antiqua" w:hAnsi="Book Antiqua" w:cs="Book Antiqua"/>
          <w:color w:val="000000"/>
        </w:rPr>
      </w:pPr>
      <w:r w:rsidRPr="006F279E">
        <w:rPr>
          <w:rFonts w:ascii="Book Antiqua" w:eastAsia="Book Antiqua" w:hAnsi="Book Antiqua" w:cs="Book Antiqua"/>
          <w:b/>
          <w:bCs/>
          <w:color w:val="000000"/>
        </w:rPr>
        <w:t>Risk factors for postoperative delayed gastric emptying in ovarian cancer treated with cytoreductive surgery and hyperthermic intraperitoneal chemotherapy</w:t>
      </w:r>
      <w:r w:rsidR="0025272D" w:rsidRPr="0025272D">
        <w:rPr>
          <w:rFonts w:ascii="Book Antiqua" w:eastAsia="Book Antiqua" w:hAnsi="Book Antiqua" w:cs="Book Antiqua"/>
          <w:color w:val="000000"/>
        </w:rPr>
        <w:t xml:space="preserve"> </w:t>
      </w:r>
    </w:p>
    <w:p w14:paraId="7131AD0B" w14:textId="77777777" w:rsidR="0025272D" w:rsidRDefault="0025272D" w:rsidP="0025272D">
      <w:pPr>
        <w:adjustRightInd w:val="0"/>
        <w:snapToGrid w:val="0"/>
        <w:spacing w:line="360" w:lineRule="auto"/>
        <w:jc w:val="both"/>
        <w:rPr>
          <w:rFonts w:ascii="Book Antiqua" w:eastAsia="Book Antiqua" w:hAnsi="Book Antiqua" w:cs="Book Antiqua"/>
          <w:color w:val="000000"/>
        </w:rPr>
      </w:pPr>
    </w:p>
    <w:p w14:paraId="58BF9BE8" w14:textId="741BFFCF"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Cui GX </w:t>
      </w:r>
      <w:r w:rsidRPr="00A72E25">
        <w:rPr>
          <w:rFonts w:ascii="Book Antiqua" w:eastAsia="Book Antiqua" w:hAnsi="Book Antiqua" w:cs="Book Antiqua"/>
          <w:i/>
          <w:iCs/>
          <w:color w:val="000000"/>
        </w:rPr>
        <w:t>et al</w:t>
      </w:r>
      <w:r w:rsidRPr="00A72E25">
        <w:rPr>
          <w:rFonts w:ascii="Book Antiqua" w:eastAsia="Book Antiqua" w:hAnsi="Book Antiqua" w:cs="Book Antiqua"/>
          <w:color w:val="000000"/>
        </w:rPr>
        <w:t xml:space="preserve">. </w:t>
      </w:r>
      <w:bookmarkStart w:id="3" w:name="OLE_LINK3"/>
      <w:bookmarkStart w:id="4" w:name="OLE_LINK4"/>
      <w:bookmarkStart w:id="5" w:name="OLE_LINK5"/>
      <w:bookmarkStart w:id="6" w:name="OLE_LINK10"/>
      <w:bookmarkStart w:id="7" w:name="OLE_LINK11"/>
      <w:r w:rsidRPr="00A72E25">
        <w:rPr>
          <w:rFonts w:ascii="Book Antiqua" w:eastAsia="Book Antiqua" w:hAnsi="Book Antiqua" w:cs="Book Antiqua"/>
          <w:color w:val="000000"/>
        </w:rPr>
        <w:t>Risk factors for DGE in CRS + HIPEC</w:t>
      </w:r>
      <w:bookmarkEnd w:id="3"/>
      <w:bookmarkEnd w:id="4"/>
      <w:bookmarkEnd w:id="5"/>
    </w:p>
    <w:bookmarkEnd w:id="6"/>
    <w:bookmarkEnd w:id="7"/>
    <w:p w14:paraId="49CD07F2" w14:textId="77777777" w:rsidR="0025272D" w:rsidRPr="00A72E25" w:rsidRDefault="0025272D" w:rsidP="0025272D">
      <w:pPr>
        <w:adjustRightInd w:val="0"/>
        <w:snapToGrid w:val="0"/>
        <w:spacing w:line="360" w:lineRule="auto"/>
        <w:jc w:val="both"/>
        <w:rPr>
          <w:rFonts w:ascii="Book Antiqua" w:hAnsi="Book Antiqua"/>
        </w:rPr>
      </w:pPr>
    </w:p>
    <w:p w14:paraId="59B6A1A2"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Guang-Xia Cui, Zi-Jun Wang, Jin Zhao, Ping Gong, Shuai-Hong Zhao, Xiao-Xue Wang, Wen-Pei Bai, Yan Li</w:t>
      </w:r>
    </w:p>
    <w:p w14:paraId="1944EBDF" w14:textId="77777777" w:rsidR="00A77B3E" w:rsidRPr="006F279E" w:rsidRDefault="00A77B3E" w:rsidP="00A72E25">
      <w:pPr>
        <w:adjustRightInd w:val="0"/>
        <w:snapToGrid w:val="0"/>
        <w:spacing w:line="360" w:lineRule="auto"/>
        <w:jc w:val="both"/>
        <w:rPr>
          <w:rFonts w:ascii="Book Antiqua" w:hAnsi="Book Antiqua"/>
        </w:rPr>
      </w:pPr>
    </w:p>
    <w:bookmarkEnd w:id="0"/>
    <w:bookmarkEnd w:id="1"/>
    <w:bookmarkEnd w:id="2"/>
    <w:p w14:paraId="212AABFD"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Guang-Xia Cui, Zi-Jun Wang, Jin Zhao, Ping Gong, Shuai-Hong Zhao, Xiao-Xue Wang, Wen-Pei Bai, </w:t>
      </w:r>
      <w:r w:rsidRPr="00A72E25">
        <w:rPr>
          <w:rFonts w:ascii="Book Antiqua" w:eastAsia="Book Antiqua" w:hAnsi="Book Antiqua" w:cs="Book Antiqua"/>
          <w:color w:val="000000"/>
        </w:rPr>
        <w:t>Department of Gynecology, Beijing Shijitan Hospital, Capital Medical University, Beijing 100038, China</w:t>
      </w:r>
    </w:p>
    <w:p w14:paraId="04198F2D" w14:textId="77777777" w:rsidR="00A77B3E" w:rsidRPr="006F279E" w:rsidRDefault="00A77B3E" w:rsidP="00A72E25">
      <w:pPr>
        <w:adjustRightInd w:val="0"/>
        <w:snapToGrid w:val="0"/>
        <w:spacing w:line="360" w:lineRule="auto"/>
        <w:jc w:val="both"/>
        <w:rPr>
          <w:rFonts w:ascii="Book Antiqua" w:hAnsi="Book Antiqua"/>
        </w:rPr>
      </w:pPr>
    </w:p>
    <w:p w14:paraId="5D7CE353"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Yan Li, </w:t>
      </w:r>
      <w:r w:rsidRPr="00A72E25">
        <w:rPr>
          <w:rFonts w:ascii="Book Antiqua" w:eastAsia="Book Antiqua" w:hAnsi="Book Antiqua" w:cs="Book Antiqua"/>
          <w:color w:val="000000"/>
        </w:rPr>
        <w:t>Department of Peritoneal Caner Surgery, Beijing Shijitan Hospital, Capital Medical University, Beijing 100038, China</w:t>
      </w:r>
    </w:p>
    <w:p w14:paraId="1513E601" w14:textId="77777777" w:rsidR="00A77B3E" w:rsidRPr="006F279E" w:rsidRDefault="00A77B3E" w:rsidP="00A72E25">
      <w:pPr>
        <w:adjustRightInd w:val="0"/>
        <w:snapToGrid w:val="0"/>
        <w:spacing w:line="360" w:lineRule="auto"/>
        <w:jc w:val="both"/>
        <w:rPr>
          <w:rFonts w:ascii="Book Antiqua" w:hAnsi="Book Antiqua"/>
        </w:rPr>
      </w:pPr>
    </w:p>
    <w:p w14:paraId="376B5FD3" w14:textId="47510859" w:rsidR="00A77B3E" w:rsidRDefault="006F279E" w:rsidP="00A72E25">
      <w:pPr>
        <w:adjustRightInd w:val="0"/>
        <w:snapToGrid w:val="0"/>
        <w:spacing w:line="360" w:lineRule="auto"/>
        <w:jc w:val="both"/>
        <w:rPr>
          <w:rFonts w:ascii="Book Antiqua" w:eastAsia="Book Antiqua" w:hAnsi="Book Antiqua" w:cs="Book Antiqua"/>
          <w:color w:val="000000"/>
        </w:rPr>
      </w:pPr>
      <w:r w:rsidRPr="006F279E">
        <w:rPr>
          <w:rFonts w:ascii="Book Antiqua" w:eastAsia="Book Antiqua" w:hAnsi="Book Antiqua" w:cs="Book Antiqua"/>
          <w:b/>
          <w:bCs/>
          <w:color w:val="000000"/>
        </w:rPr>
        <w:t xml:space="preserve">Author contributions: </w:t>
      </w:r>
      <w:bookmarkStart w:id="8" w:name="OLE_LINK12"/>
      <w:bookmarkStart w:id="9" w:name="OLE_LINK13"/>
      <w:r w:rsidRPr="006F279E">
        <w:rPr>
          <w:rFonts w:ascii="Book Antiqua" w:eastAsia="Book Antiqua" w:hAnsi="Book Antiqua" w:cs="Book Antiqua"/>
          <w:color w:val="000000"/>
        </w:rPr>
        <w:t xml:space="preserve">Cui GX </w:t>
      </w:r>
      <w:r w:rsidR="00972554">
        <w:rPr>
          <w:rFonts w:ascii="Book Antiqua" w:eastAsia="Book Antiqua" w:hAnsi="Book Antiqua" w:cs="Book Antiqua"/>
          <w:color w:val="000000"/>
        </w:rPr>
        <w:t>developed</w:t>
      </w:r>
      <w:r w:rsidR="00B54633">
        <w:rPr>
          <w:rFonts w:ascii="Book Antiqua" w:eastAsia="Book Antiqua" w:hAnsi="Book Antiqua" w:cs="Book Antiqua"/>
          <w:color w:val="000000"/>
        </w:rPr>
        <w:t xml:space="preserve"> the methods, performed the</w:t>
      </w:r>
      <w:r w:rsidRPr="006F279E">
        <w:rPr>
          <w:rFonts w:ascii="Book Antiqua" w:eastAsia="Book Antiqua" w:hAnsi="Book Antiqua" w:cs="Book Antiqua"/>
          <w:color w:val="000000"/>
        </w:rPr>
        <w:t xml:space="preserve"> formal analys</w:t>
      </w:r>
      <w:r w:rsidR="00972554">
        <w:rPr>
          <w:rFonts w:ascii="Book Antiqua" w:eastAsia="Book Antiqua" w:hAnsi="Book Antiqua" w:cs="Book Antiqua"/>
          <w:color w:val="000000"/>
        </w:rPr>
        <w:t>e</w:t>
      </w:r>
      <w:r w:rsidRPr="006F279E">
        <w:rPr>
          <w:rFonts w:ascii="Book Antiqua" w:eastAsia="Book Antiqua" w:hAnsi="Book Antiqua" w:cs="Book Antiqua"/>
          <w:color w:val="000000"/>
        </w:rPr>
        <w:t xml:space="preserve">s </w:t>
      </w:r>
      <w:r w:rsidR="00B54633">
        <w:rPr>
          <w:rFonts w:ascii="Book Antiqua" w:eastAsia="Book Antiqua" w:hAnsi="Book Antiqua" w:cs="Book Antiqua"/>
          <w:color w:val="000000"/>
        </w:rPr>
        <w:t xml:space="preserve">and </w:t>
      </w:r>
      <w:r w:rsidRPr="006F279E">
        <w:rPr>
          <w:rFonts w:ascii="Book Antiqua" w:eastAsia="Book Antiqua" w:hAnsi="Book Antiqua" w:cs="Book Antiqua"/>
          <w:color w:val="000000"/>
        </w:rPr>
        <w:t>data curation</w:t>
      </w:r>
      <w:r w:rsidR="00B54633">
        <w:rPr>
          <w:rFonts w:ascii="Book Antiqua" w:eastAsia="Book Antiqua" w:hAnsi="Book Antiqua" w:cs="Book Antiqua"/>
          <w:color w:val="000000"/>
        </w:rPr>
        <w:t xml:space="preserve">, and wrote the </w:t>
      </w:r>
      <w:r w:rsidRPr="006F279E">
        <w:rPr>
          <w:rFonts w:ascii="Book Antiqua" w:eastAsia="Book Antiqua" w:hAnsi="Book Antiqua" w:cs="Book Antiqua"/>
          <w:color w:val="000000"/>
        </w:rPr>
        <w:t xml:space="preserve">original draft; Wang ZJ </w:t>
      </w:r>
      <w:r w:rsidR="00B54633">
        <w:rPr>
          <w:rFonts w:ascii="Book Antiqua" w:eastAsia="Book Antiqua" w:hAnsi="Book Antiqua" w:cs="Book Antiqua"/>
          <w:color w:val="000000"/>
        </w:rPr>
        <w:t>performed</w:t>
      </w:r>
      <w:r w:rsidR="00B54633" w:rsidRPr="006F279E">
        <w:rPr>
          <w:rFonts w:ascii="Book Antiqua" w:eastAsia="Book Antiqua" w:hAnsi="Book Antiqua" w:cs="Book Antiqua"/>
          <w:color w:val="000000"/>
        </w:rPr>
        <w:t xml:space="preserve"> </w:t>
      </w:r>
      <w:r w:rsidR="00972554">
        <w:rPr>
          <w:rFonts w:ascii="Book Antiqua" w:eastAsia="Book Antiqua" w:hAnsi="Book Antiqua" w:cs="Book Antiqua"/>
          <w:color w:val="000000"/>
        </w:rPr>
        <w:t xml:space="preserve">the </w:t>
      </w:r>
      <w:r w:rsidRPr="006F279E">
        <w:rPr>
          <w:rFonts w:ascii="Book Antiqua" w:eastAsia="Book Antiqua" w:hAnsi="Book Antiqua" w:cs="Book Antiqua"/>
          <w:color w:val="000000"/>
        </w:rPr>
        <w:t>data curation</w:t>
      </w:r>
      <w:r w:rsidR="00B54633">
        <w:rPr>
          <w:rFonts w:ascii="Book Antiqua" w:eastAsia="Book Antiqua" w:hAnsi="Book Antiqua" w:cs="Book Antiqua"/>
          <w:color w:val="000000"/>
        </w:rPr>
        <w:t xml:space="preserve"> and</w:t>
      </w:r>
      <w:r w:rsidRPr="006F279E">
        <w:rPr>
          <w:rFonts w:ascii="Book Antiqua" w:eastAsia="Book Antiqua" w:hAnsi="Book Antiqua" w:cs="Book Antiqua"/>
          <w:color w:val="000000"/>
        </w:rPr>
        <w:t xml:space="preserve"> </w:t>
      </w:r>
      <w:r w:rsidR="00B54633">
        <w:rPr>
          <w:rFonts w:ascii="Book Antiqua" w:eastAsia="Book Antiqua" w:hAnsi="Book Antiqua" w:cs="Book Antiqua"/>
          <w:color w:val="000000"/>
        </w:rPr>
        <w:t xml:space="preserve">the </w:t>
      </w:r>
      <w:r w:rsidR="00B04E3D" w:rsidRPr="006F279E">
        <w:rPr>
          <w:rFonts w:ascii="Book Antiqua" w:hAnsi="Book Antiqua" w:cs="Book Antiqua"/>
          <w:color w:val="000000"/>
          <w:lang w:eastAsia="zh-CN"/>
        </w:rPr>
        <w:t>i</w:t>
      </w:r>
      <w:r w:rsidRPr="006F279E">
        <w:rPr>
          <w:rFonts w:ascii="Book Antiqua" w:eastAsia="Book Antiqua" w:hAnsi="Book Antiqua" w:cs="Book Antiqua"/>
          <w:color w:val="000000"/>
        </w:rPr>
        <w:t>nvestigation</w:t>
      </w:r>
      <w:r w:rsidR="00B54633">
        <w:rPr>
          <w:rFonts w:ascii="Book Antiqua" w:eastAsia="Book Antiqua" w:hAnsi="Book Antiqua" w:cs="Book Antiqua"/>
          <w:color w:val="000000"/>
        </w:rPr>
        <w:t>s</w:t>
      </w:r>
      <w:r w:rsidRPr="006F279E">
        <w:rPr>
          <w:rFonts w:ascii="Book Antiqua" w:eastAsia="Book Antiqua" w:hAnsi="Book Antiqua" w:cs="Book Antiqua"/>
          <w:color w:val="000000"/>
        </w:rPr>
        <w:t>; Zhao J, Gong P</w:t>
      </w:r>
      <w:r w:rsidR="00972554">
        <w:rPr>
          <w:rFonts w:ascii="Book Antiqua" w:eastAsia="Book Antiqua" w:hAnsi="Book Antiqua" w:cs="Book Antiqua"/>
          <w:color w:val="000000"/>
        </w:rPr>
        <w:t>,</w:t>
      </w:r>
      <w:r w:rsidRPr="006F279E">
        <w:rPr>
          <w:rFonts w:ascii="Book Antiqua" w:eastAsia="Book Antiqua" w:hAnsi="Book Antiqua" w:cs="Book Antiqua"/>
          <w:color w:val="000000"/>
        </w:rPr>
        <w:t xml:space="preserve"> and Zhao SH </w:t>
      </w:r>
      <w:r w:rsidR="00B54633">
        <w:rPr>
          <w:rFonts w:ascii="Book Antiqua" w:eastAsia="Book Antiqua" w:hAnsi="Book Antiqua" w:cs="Book Antiqua"/>
          <w:color w:val="000000"/>
        </w:rPr>
        <w:t>performed</w:t>
      </w:r>
      <w:r w:rsidR="00B54633" w:rsidRPr="006F279E">
        <w:rPr>
          <w:rFonts w:ascii="Book Antiqua" w:eastAsia="Book Antiqua" w:hAnsi="Book Antiqua" w:cs="Book Antiqua"/>
          <w:color w:val="000000"/>
        </w:rPr>
        <w:t xml:space="preserve"> </w:t>
      </w:r>
      <w:r w:rsidR="00972554">
        <w:rPr>
          <w:rFonts w:ascii="Book Antiqua" w:eastAsia="Book Antiqua" w:hAnsi="Book Antiqua" w:cs="Book Antiqua"/>
          <w:color w:val="000000"/>
        </w:rPr>
        <w:t xml:space="preserve">the </w:t>
      </w:r>
      <w:r w:rsidRPr="006F279E">
        <w:rPr>
          <w:rFonts w:ascii="Book Antiqua" w:eastAsia="Book Antiqua" w:hAnsi="Book Antiqua" w:cs="Book Antiqua"/>
          <w:color w:val="000000"/>
        </w:rPr>
        <w:t xml:space="preserve">data curation, </w:t>
      </w:r>
      <w:r w:rsidR="00972554">
        <w:rPr>
          <w:rFonts w:ascii="Book Antiqua" w:eastAsia="Book Antiqua" w:hAnsi="Book Antiqua" w:cs="Book Antiqua"/>
          <w:color w:val="000000"/>
        </w:rPr>
        <w:t xml:space="preserve">developed </w:t>
      </w:r>
      <w:r w:rsidR="00B54633">
        <w:rPr>
          <w:rFonts w:ascii="Book Antiqua" w:eastAsia="Book Antiqua" w:hAnsi="Book Antiqua" w:cs="Book Antiqua"/>
          <w:color w:val="000000"/>
        </w:rPr>
        <w:t>the methods</w:t>
      </w:r>
      <w:r w:rsidRPr="006F279E">
        <w:rPr>
          <w:rFonts w:ascii="Book Antiqua" w:eastAsia="Book Antiqua" w:hAnsi="Book Antiqua" w:cs="Book Antiqua"/>
          <w:color w:val="000000"/>
        </w:rPr>
        <w:t>,</w:t>
      </w:r>
      <w:r w:rsidR="00B54633">
        <w:rPr>
          <w:rFonts w:ascii="Book Antiqua" w:eastAsia="Book Antiqua" w:hAnsi="Book Antiqua" w:cs="Book Antiqua"/>
          <w:color w:val="000000"/>
        </w:rPr>
        <w:t xml:space="preserve"> and </w:t>
      </w:r>
      <w:r w:rsidR="00972554">
        <w:rPr>
          <w:rFonts w:ascii="Book Antiqua" w:eastAsia="Book Antiqua" w:hAnsi="Book Antiqua" w:cs="Book Antiqua"/>
          <w:color w:val="000000"/>
        </w:rPr>
        <w:t xml:space="preserve">conducted </w:t>
      </w:r>
      <w:r w:rsidR="00B54633">
        <w:rPr>
          <w:rFonts w:ascii="Book Antiqua" w:eastAsia="Book Antiqua" w:hAnsi="Book Antiqua" w:cs="Book Antiqua"/>
          <w:color w:val="000000"/>
        </w:rPr>
        <w:t>the</w:t>
      </w:r>
      <w:r w:rsidRPr="006F279E">
        <w:rPr>
          <w:rFonts w:ascii="Book Antiqua" w:eastAsia="Book Antiqua" w:hAnsi="Book Antiqua" w:cs="Book Antiqua"/>
          <w:color w:val="000000"/>
        </w:rPr>
        <w:t xml:space="preserve"> investigation</w:t>
      </w:r>
      <w:r w:rsidR="00B54633">
        <w:rPr>
          <w:rFonts w:ascii="Book Antiqua" w:eastAsia="Book Antiqua" w:hAnsi="Book Antiqua" w:cs="Book Antiqua"/>
          <w:color w:val="000000"/>
        </w:rPr>
        <w:t>s</w:t>
      </w:r>
      <w:r w:rsidRPr="006F279E">
        <w:rPr>
          <w:rFonts w:ascii="Book Antiqua" w:eastAsia="Book Antiqua" w:hAnsi="Book Antiqua" w:cs="Book Antiqua"/>
          <w:color w:val="000000"/>
        </w:rPr>
        <w:t xml:space="preserve">; Wang XX </w:t>
      </w:r>
      <w:r>
        <w:rPr>
          <w:rFonts w:ascii="Book Antiqua" w:eastAsia="Book Antiqua" w:hAnsi="Book Antiqua" w:cs="Book Antiqua"/>
          <w:color w:val="000000"/>
        </w:rPr>
        <w:t>performed the</w:t>
      </w:r>
      <w:r w:rsidRPr="006F279E">
        <w:rPr>
          <w:rFonts w:ascii="Book Antiqua" w:eastAsia="Book Antiqua" w:hAnsi="Book Antiqua" w:cs="Book Antiqua"/>
          <w:color w:val="000000"/>
        </w:rPr>
        <w:t xml:space="preserve"> formal analys</w:t>
      </w:r>
      <w:r w:rsidR="00972554">
        <w:rPr>
          <w:rFonts w:ascii="Book Antiqua" w:eastAsia="Book Antiqua" w:hAnsi="Book Antiqua" w:cs="Book Antiqua"/>
          <w:color w:val="000000"/>
        </w:rPr>
        <w:t>e</w:t>
      </w:r>
      <w:r w:rsidRPr="006F279E">
        <w:rPr>
          <w:rFonts w:ascii="Book Antiqua" w:eastAsia="Book Antiqua" w:hAnsi="Book Antiqua" w:cs="Book Antiqua"/>
          <w:color w:val="000000"/>
        </w:rPr>
        <w:t xml:space="preserve">s; Bai WP and Li Y </w:t>
      </w:r>
      <w:r>
        <w:rPr>
          <w:rFonts w:ascii="Book Antiqua" w:eastAsia="Book Antiqua" w:hAnsi="Book Antiqua" w:cs="Book Antiqua"/>
          <w:color w:val="000000"/>
        </w:rPr>
        <w:t>participated in the</w:t>
      </w:r>
      <w:r w:rsidRPr="006F279E">
        <w:rPr>
          <w:rFonts w:ascii="Book Antiqua" w:eastAsia="Book Antiqua" w:hAnsi="Book Antiqua" w:cs="Book Antiqua"/>
          <w:color w:val="000000"/>
        </w:rPr>
        <w:t xml:space="preserve"> conceptualization, methodology, writing</w:t>
      </w:r>
      <w:r>
        <w:rPr>
          <w:rFonts w:ascii="Book Antiqua" w:eastAsia="Book Antiqua" w:hAnsi="Book Antiqua" w:cs="Book Antiqua"/>
          <w:color w:val="000000"/>
        </w:rPr>
        <w:t xml:space="preserve">, </w:t>
      </w:r>
      <w:r w:rsidRPr="006F279E">
        <w:rPr>
          <w:rFonts w:ascii="Book Antiqua" w:eastAsia="Book Antiqua" w:hAnsi="Book Antiqua" w:cs="Book Antiqua"/>
          <w:color w:val="000000"/>
        </w:rPr>
        <w:t>reviewing and editing</w:t>
      </w:r>
      <w:r>
        <w:rPr>
          <w:rFonts w:ascii="Book Antiqua" w:eastAsia="Book Antiqua" w:hAnsi="Book Antiqua" w:cs="Book Antiqua"/>
          <w:color w:val="000000"/>
        </w:rPr>
        <w:t xml:space="preserve"> of the manuscript</w:t>
      </w:r>
      <w:r w:rsidRPr="006F279E">
        <w:rPr>
          <w:rFonts w:ascii="Book Antiqua" w:eastAsia="Book Antiqua" w:hAnsi="Book Antiqua" w:cs="Book Antiqua"/>
          <w:color w:val="000000"/>
        </w:rPr>
        <w:t>,</w:t>
      </w:r>
      <w:r>
        <w:rPr>
          <w:rFonts w:ascii="Book Antiqua" w:eastAsia="Book Antiqua" w:hAnsi="Book Antiqua" w:cs="Book Antiqua"/>
          <w:color w:val="000000"/>
        </w:rPr>
        <w:t xml:space="preserve"> and</w:t>
      </w:r>
      <w:r w:rsidRPr="006F279E">
        <w:rPr>
          <w:rFonts w:ascii="Book Antiqua" w:eastAsia="Book Antiqua" w:hAnsi="Book Antiqua" w:cs="Book Antiqua"/>
          <w:color w:val="000000"/>
        </w:rPr>
        <w:t xml:space="preserve"> funding acquisition; </w:t>
      </w:r>
      <w:r w:rsidR="00972554">
        <w:rPr>
          <w:rFonts w:ascii="Book Antiqua" w:eastAsia="Book Antiqua" w:hAnsi="Book Antiqua" w:cs="Book Antiqua"/>
          <w:color w:val="000000"/>
        </w:rPr>
        <w:t>A</w:t>
      </w:r>
      <w:r w:rsidRPr="006F279E">
        <w:rPr>
          <w:rFonts w:ascii="Book Antiqua" w:eastAsia="Book Antiqua" w:hAnsi="Book Antiqua" w:cs="Book Antiqua"/>
          <w:color w:val="000000"/>
        </w:rPr>
        <w:t xml:space="preserve">ll authors </w:t>
      </w:r>
      <w:r>
        <w:rPr>
          <w:rFonts w:ascii="Book Antiqua" w:eastAsia="Book Antiqua" w:hAnsi="Book Antiqua" w:cs="Book Antiqua"/>
          <w:color w:val="000000"/>
        </w:rPr>
        <w:t xml:space="preserve">have </w:t>
      </w:r>
      <w:r w:rsidRPr="006F279E">
        <w:rPr>
          <w:rFonts w:ascii="Book Antiqua" w:eastAsia="Book Antiqua" w:hAnsi="Book Antiqua" w:cs="Book Antiqua"/>
          <w:color w:val="000000"/>
        </w:rPr>
        <w:t>read and approved the final manuscript.</w:t>
      </w:r>
    </w:p>
    <w:p w14:paraId="7DE6E4F7" w14:textId="7F1F32DB" w:rsidR="0025272D" w:rsidRDefault="0025272D" w:rsidP="00A72E25">
      <w:pPr>
        <w:adjustRightInd w:val="0"/>
        <w:snapToGrid w:val="0"/>
        <w:spacing w:line="360" w:lineRule="auto"/>
        <w:jc w:val="both"/>
        <w:rPr>
          <w:rFonts w:ascii="Book Antiqua" w:eastAsia="Book Antiqua" w:hAnsi="Book Antiqua" w:cs="Book Antiqua"/>
          <w:color w:val="000000"/>
        </w:rPr>
      </w:pPr>
    </w:p>
    <w:p w14:paraId="5BFA7996"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lastRenderedPageBreak/>
        <w:t xml:space="preserve">Supported by </w:t>
      </w:r>
      <w:bookmarkStart w:id="10" w:name="OLE_LINK14"/>
      <w:r w:rsidRPr="00A72E25">
        <w:rPr>
          <w:rFonts w:ascii="Book Antiqua" w:eastAsia="Book Antiqua" w:hAnsi="Book Antiqua" w:cs="Book Antiqua"/>
          <w:color w:val="000000"/>
        </w:rPr>
        <w:t xml:space="preserve">Beijing Natural Science Foundation, No. 7202075 and “Beijing Hospitals Authority” Ascent Plan, No. DFL20190701. </w:t>
      </w:r>
    </w:p>
    <w:bookmarkEnd w:id="10"/>
    <w:p w14:paraId="6AEEF564" w14:textId="77777777" w:rsidR="0025272D" w:rsidRPr="006F279E" w:rsidRDefault="0025272D" w:rsidP="00A72E25">
      <w:pPr>
        <w:adjustRightInd w:val="0"/>
        <w:snapToGrid w:val="0"/>
        <w:spacing w:line="360" w:lineRule="auto"/>
        <w:jc w:val="both"/>
        <w:rPr>
          <w:rFonts w:ascii="Book Antiqua" w:hAnsi="Book Antiqua"/>
        </w:rPr>
      </w:pPr>
    </w:p>
    <w:bookmarkEnd w:id="8"/>
    <w:bookmarkEnd w:id="9"/>
    <w:p w14:paraId="352CE882"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Corresponding author: Wen-Pei Bai, PhD, Chief Physician, Director, Doctor, Full Professor, Professor, Surgeon, </w:t>
      </w:r>
      <w:r w:rsidRPr="00A72E25">
        <w:rPr>
          <w:rFonts w:ascii="Book Antiqua" w:eastAsia="Book Antiqua" w:hAnsi="Book Antiqua" w:cs="Book Antiqua"/>
          <w:color w:val="000000"/>
        </w:rPr>
        <w:t>Department of Gynaecology, Beijing Shijitan Hospital, Capital Medical University, No. 10 Tieyi Road, Yangfangdian Street, Haidian District, Beijing 100038, China. baiwp@bjsjth.cn</w:t>
      </w:r>
    </w:p>
    <w:p w14:paraId="16E08A09" w14:textId="77777777" w:rsidR="0025272D" w:rsidRPr="00A72E25" w:rsidRDefault="0025272D" w:rsidP="0025272D">
      <w:pPr>
        <w:adjustRightInd w:val="0"/>
        <w:snapToGrid w:val="0"/>
        <w:spacing w:line="360" w:lineRule="auto"/>
        <w:jc w:val="both"/>
        <w:rPr>
          <w:rFonts w:ascii="Book Antiqua" w:hAnsi="Book Antiqua"/>
        </w:rPr>
      </w:pPr>
    </w:p>
    <w:p w14:paraId="3F1C47B2"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Received: </w:t>
      </w:r>
      <w:r w:rsidRPr="00A72E25">
        <w:rPr>
          <w:rFonts w:ascii="Book Antiqua" w:eastAsia="Book Antiqua" w:hAnsi="Book Antiqua" w:cs="Book Antiqua"/>
          <w:color w:val="000000"/>
        </w:rPr>
        <w:t>December 19, 2020</w:t>
      </w:r>
    </w:p>
    <w:p w14:paraId="3AF75BFE"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Revised: </w:t>
      </w:r>
      <w:r w:rsidRPr="00A72E25">
        <w:rPr>
          <w:rFonts w:ascii="Book Antiqua" w:eastAsia="Book Antiqua" w:hAnsi="Book Antiqua" w:cs="Book Antiqua"/>
          <w:color w:val="000000"/>
        </w:rPr>
        <w:t>January 23, 2021</w:t>
      </w:r>
    </w:p>
    <w:p w14:paraId="3E91016E"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Accepted: </w:t>
      </w:r>
      <w:r w:rsidRPr="00643301">
        <w:rPr>
          <w:rFonts w:ascii="Book Antiqua" w:eastAsia="Book Antiqua" w:hAnsi="Book Antiqua" w:cs="Book Antiqua"/>
          <w:color w:val="000000"/>
        </w:rPr>
        <w:t>March 17, 2021</w:t>
      </w:r>
    </w:p>
    <w:p w14:paraId="5BF0B0DA"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Published online: </w:t>
      </w:r>
    </w:p>
    <w:p w14:paraId="2D47E29E" w14:textId="77777777" w:rsidR="00A77B3E" w:rsidRPr="006F279E" w:rsidRDefault="00A77B3E" w:rsidP="00A72E25">
      <w:pPr>
        <w:adjustRightInd w:val="0"/>
        <w:snapToGrid w:val="0"/>
        <w:spacing w:line="360" w:lineRule="auto"/>
        <w:jc w:val="both"/>
        <w:rPr>
          <w:rFonts w:ascii="Book Antiqua" w:hAnsi="Book Antiqua"/>
        </w:rPr>
      </w:pPr>
    </w:p>
    <w:p w14:paraId="080C63C6" w14:textId="77777777" w:rsidR="00A77B3E" w:rsidRPr="006F279E" w:rsidRDefault="00A77B3E" w:rsidP="00A72E25">
      <w:pPr>
        <w:adjustRightInd w:val="0"/>
        <w:snapToGrid w:val="0"/>
        <w:spacing w:line="360" w:lineRule="auto"/>
        <w:jc w:val="both"/>
        <w:rPr>
          <w:rFonts w:ascii="Book Antiqua" w:hAnsi="Book Antiqua"/>
        </w:rPr>
        <w:sectPr w:rsidR="00A77B3E" w:rsidRPr="006F279E" w:rsidSect="00E06D51">
          <w:footerReference w:type="default" r:id="rId7"/>
          <w:pgSz w:w="12240" w:h="15840"/>
          <w:pgMar w:top="1440" w:right="1800" w:bottom="1440" w:left="1800" w:header="720" w:footer="720" w:gutter="0"/>
          <w:cols w:space="720"/>
          <w:docGrid w:linePitch="360"/>
        </w:sectPr>
      </w:pPr>
    </w:p>
    <w:p w14:paraId="5E5C4C37"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olor w:val="000000"/>
        </w:rPr>
        <w:lastRenderedPageBreak/>
        <w:t>Abstract</w:t>
      </w:r>
    </w:p>
    <w:p w14:paraId="15E4B70B"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BACKGROUND</w:t>
      </w:r>
    </w:p>
    <w:p w14:paraId="024EEB67" w14:textId="0EA9C848" w:rsidR="00A77B3E" w:rsidRPr="006F279E" w:rsidRDefault="00B54633" w:rsidP="00A72E25">
      <w:pPr>
        <w:adjustRightInd w:val="0"/>
        <w:snapToGrid w:val="0"/>
        <w:spacing w:line="360" w:lineRule="auto"/>
        <w:jc w:val="both"/>
        <w:rPr>
          <w:rFonts w:ascii="Book Antiqua" w:hAnsi="Book Antiqua"/>
        </w:rPr>
      </w:pPr>
      <w:bookmarkStart w:id="11" w:name="_Hlk66384383"/>
      <w:bookmarkStart w:id="12" w:name="OLE_LINK18"/>
      <w:bookmarkStart w:id="13" w:name="OLE_LINK19"/>
      <w:r>
        <w:rPr>
          <w:rFonts w:ascii="Book Antiqua" w:eastAsia="Book Antiqua" w:hAnsi="Book Antiqua" w:cs="Book Antiqua"/>
          <w:color w:val="000000"/>
        </w:rPr>
        <w:t>C</w:t>
      </w:r>
      <w:r w:rsidR="006F279E" w:rsidRPr="006F279E">
        <w:rPr>
          <w:rFonts w:ascii="Book Antiqua" w:eastAsia="Book Antiqua" w:hAnsi="Book Antiqua" w:cs="Book Antiqua"/>
          <w:color w:val="000000"/>
        </w:rPr>
        <w:t>ytoreductive surgery and hyperthermic intraperitoneal chemotherapy</w:t>
      </w:r>
      <w:bookmarkEnd w:id="11"/>
      <w:r w:rsidR="006F279E" w:rsidRPr="006F279E">
        <w:rPr>
          <w:rFonts w:ascii="Book Antiqua" w:eastAsia="Book Antiqua" w:hAnsi="Book Antiqua" w:cs="Book Antiqua"/>
          <w:color w:val="000000"/>
        </w:rPr>
        <w:t xml:space="preserve"> (CRS-HIPEC) has </w:t>
      </w:r>
      <w:r w:rsidRPr="006F279E">
        <w:rPr>
          <w:rFonts w:ascii="Book Antiqua" w:eastAsia="Book Antiqua" w:hAnsi="Book Antiqua" w:cs="Book Antiqua"/>
          <w:color w:val="000000"/>
        </w:rPr>
        <w:t>show</w:t>
      </w:r>
      <w:r>
        <w:rPr>
          <w:rFonts w:ascii="Book Antiqua" w:eastAsia="Book Antiqua" w:hAnsi="Book Antiqua" w:cs="Book Antiqua"/>
          <w:color w:val="000000"/>
        </w:rPr>
        <w:t>n</w:t>
      </w:r>
      <w:r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 xml:space="preserve">promising results </w:t>
      </w:r>
      <w:r w:rsidR="00F874C6">
        <w:rPr>
          <w:rFonts w:ascii="Book Antiqua" w:eastAsia="Book Antiqua" w:hAnsi="Book Antiqua" w:cs="Book Antiqua"/>
          <w:color w:val="000000"/>
        </w:rPr>
        <w:t>in improving</w:t>
      </w:r>
      <w:r w:rsidR="00F874C6"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 xml:space="preserve">the survival </w:t>
      </w:r>
      <w:r>
        <w:rPr>
          <w:rFonts w:ascii="Book Antiqua" w:eastAsia="Book Antiqua" w:hAnsi="Book Antiqua" w:cs="Book Antiqua"/>
          <w:color w:val="000000"/>
        </w:rPr>
        <w:t>of</w:t>
      </w:r>
      <w:r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 xml:space="preserve">ovarian cancer patients. Although </w:t>
      </w:r>
      <w:r w:rsidR="00F874C6">
        <w:rPr>
          <w:rFonts w:ascii="Book Antiqua" w:eastAsia="Book Antiqua" w:hAnsi="Book Antiqua" w:cs="Book Antiqua"/>
          <w:color w:val="000000"/>
        </w:rPr>
        <w:t>the</w:t>
      </w:r>
      <w:r w:rsidR="006F279E" w:rsidRPr="006F279E">
        <w:rPr>
          <w:rFonts w:ascii="Book Antiqua" w:eastAsia="Book Antiqua" w:hAnsi="Book Antiqua" w:cs="Book Antiqua"/>
          <w:color w:val="000000"/>
        </w:rPr>
        <w:t xml:space="preserve"> safety profiles </w:t>
      </w:r>
      <w:r w:rsidR="00F874C6">
        <w:rPr>
          <w:rFonts w:ascii="Book Antiqua" w:eastAsia="Book Antiqua" w:hAnsi="Book Antiqua" w:cs="Book Antiqua"/>
          <w:color w:val="000000"/>
        </w:rPr>
        <w:t>of</w:t>
      </w:r>
      <w:r w:rsidR="00F874C6"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CRS-HIPEC</w:t>
      </w:r>
      <w:r w:rsidR="00F874C6">
        <w:rPr>
          <w:rFonts w:ascii="Book Antiqua" w:eastAsia="Book Antiqua" w:hAnsi="Book Antiqua" w:cs="Book Antiqua"/>
          <w:color w:val="000000"/>
        </w:rPr>
        <w:t xml:space="preserve"> exist</w:t>
      </w:r>
      <w:r w:rsidR="006F279E" w:rsidRPr="006F279E">
        <w:rPr>
          <w:rFonts w:ascii="Book Antiqua" w:eastAsia="Book Antiqua" w:hAnsi="Book Antiqua" w:cs="Book Antiqua"/>
          <w:color w:val="000000"/>
        </w:rPr>
        <w:t xml:space="preserve">, more attention should be </w:t>
      </w:r>
      <w:r w:rsidR="00972554">
        <w:rPr>
          <w:rFonts w:ascii="Book Antiqua" w:eastAsia="Book Antiqua" w:hAnsi="Book Antiqua" w:cs="Book Antiqua"/>
          <w:color w:val="000000"/>
        </w:rPr>
        <w:t>paid</w:t>
      </w:r>
      <w:r w:rsidR="00972554"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to gastrointestinal complications, as the procedure involves a considerable proportion of bowel resection and anastomosis.</w:t>
      </w:r>
    </w:p>
    <w:bookmarkEnd w:id="12"/>
    <w:bookmarkEnd w:id="13"/>
    <w:p w14:paraId="28A9900F" w14:textId="77777777" w:rsidR="00A77B3E" w:rsidRPr="006F279E" w:rsidRDefault="00A77B3E" w:rsidP="00A72E25">
      <w:pPr>
        <w:adjustRightInd w:val="0"/>
        <w:snapToGrid w:val="0"/>
        <w:spacing w:line="360" w:lineRule="auto"/>
        <w:jc w:val="both"/>
        <w:rPr>
          <w:rFonts w:ascii="Book Antiqua" w:hAnsi="Book Antiqua"/>
        </w:rPr>
      </w:pPr>
    </w:p>
    <w:p w14:paraId="0C08476D"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AIM</w:t>
      </w:r>
    </w:p>
    <w:p w14:paraId="34A8DF04" w14:textId="3E5F8BB1" w:rsidR="00A77B3E" w:rsidRPr="006F279E" w:rsidRDefault="006F279E" w:rsidP="00A72E25">
      <w:pPr>
        <w:adjustRightInd w:val="0"/>
        <w:snapToGrid w:val="0"/>
        <w:spacing w:line="360" w:lineRule="auto"/>
        <w:jc w:val="both"/>
        <w:rPr>
          <w:rFonts w:ascii="Book Antiqua" w:hAnsi="Book Antiqua"/>
        </w:rPr>
      </w:pPr>
      <w:bookmarkStart w:id="14" w:name="OLE_LINK20"/>
      <w:bookmarkStart w:id="15" w:name="OLE_LINK21"/>
      <w:r w:rsidRPr="006F279E">
        <w:rPr>
          <w:rFonts w:ascii="Book Antiqua" w:eastAsia="Book Antiqua" w:hAnsi="Book Antiqua" w:cs="Book Antiqua"/>
          <w:color w:val="000000"/>
        </w:rPr>
        <w:t>To identify the risk factors for delayed gastric emptying in ovarian cancer treated with CRS-HIPEC.</w:t>
      </w:r>
    </w:p>
    <w:bookmarkEnd w:id="14"/>
    <w:bookmarkEnd w:id="15"/>
    <w:p w14:paraId="4D805BB1" w14:textId="77777777" w:rsidR="00A77B3E" w:rsidRPr="006F279E" w:rsidRDefault="00A77B3E" w:rsidP="00A72E25">
      <w:pPr>
        <w:adjustRightInd w:val="0"/>
        <w:snapToGrid w:val="0"/>
        <w:spacing w:line="360" w:lineRule="auto"/>
        <w:jc w:val="both"/>
        <w:rPr>
          <w:rFonts w:ascii="Book Antiqua" w:hAnsi="Book Antiqua"/>
        </w:rPr>
      </w:pPr>
    </w:p>
    <w:p w14:paraId="504A7AD4"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METHODS</w:t>
      </w:r>
    </w:p>
    <w:p w14:paraId="5456F593" w14:textId="63C582F5" w:rsidR="00A77B3E" w:rsidRPr="006F279E" w:rsidRDefault="006F279E" w:rsidP="00A72E25">
      <w:pPr>
        <w:adjustRightInd w:val="0"/>
        <w:snapToGrid w:val="0"/>
        <w:spacing w:line="360" w:lineRule="auto"/>
        <w:jc w:val="both"/>
        <w:rPr>
          <w:rFonts w:ascii="Book Antiqua" w:hAnsi="Book Antiqua"/>
        </w:rPr>
      </w:pPr>
      <w:bookmarkStart w:id="16" w:name="OLE_LINK22"/>
      <w:bookmarkStart w:id="17" w:name="OLE_LINK23"/>
      <w:r w:rsidRPr="006F279E">
        <w:rPr>
          <w:rFonts w:ascii="Book Antiqua" w:eastAsia="Book Antiqua" w:hAnsi="Book Antiqua" w:cs="Book Antiqua"/>
          <w:color w:val="000000"/>
        </w:rPr>
        <w:t xml:space="preserve">A cross-sectional study was conducted. According to the inclusion and exclusion criteria, we retrospectively analyzed 77 patients admitted between March 2014 and April 2018 with advanced and recurrent ovarian cancer treated with CRS-HIPEC in Beijing Shijitan Hospital of Capital Medical University. Risk factors for delayed gastric emptying were analyzed using univariate analysis. All </w:t>
      </w:r>
      <w:r w:rsidR="00F874C6">
        <w:rPr>
          <w:rFonts w:ascii="Book Antiqua" w:eastAsia="Book Antiqua" w:hAnsi="Book Antiqua" w:cs="Book Antiqua"/>
          <w:color w:val="000000"/>
        </w:rPr>
        <w:t xml:space="preserve">of </w:t>
      </w:r>
      <w:r w:rsidRPr="006F279E">
        <w:rPr>
          <w:rFonts w:ascii="Book Antiqua" w:eastAsia="Book Antiqua" w:hAnsi="Book Antiqua" w:cs="Book Antiqua"/>
          <w:color w:val="000000"/>
        </w:rPr>
        <w:t xml:space="preserve">the statistically significant variables in the univariate analysis were </w:t>
      </w:r>
      <w:r w:rsidR="00F874C6">
        <w:rPr>
          <w:rFonts w:ascii="Book Antiqua" w:eastAsia="Book Antiqua" w:hAnsi="Book Antiqua" w:cs="Book Antiqua"/>
          <w:color w:val="000000"/>
        </w:rPr>
        <w:t>entered</w:t>
      </w:r>
      <w:r w:rsidRPr="006F279E">
        <w:rPr>
          <w:rFonts w:ascii="Book Antiqua" w:eastAsia="Book Antiqua" w:hAnsi="Book Antiqua" w:cs="Book Antiqua"/>
          <w:color w:val="000000"/>
        </w:rPr>
        <w:t xml:space="preserve"> into the </w:t>
      </w:r>
      <w:r w:rsidRPr="006F279E">
        <w:rPr>
          <w:rFonts w:ascii="Book Antiqua" w:eastAsia="Book Antiqua" w:hAnsi="Book Antiqua" w:cs="Book Antiqua"/>
          <w:color w:val="000000"/>
          <w:shd w:val="clear" w:color="auto" w:fill="FFFFFF"/>
        </w:rPr>
        <w:t>multivariable logistic regression model to determine factors independently associated with delayed gastric emptying.</w:t>
      </w:r>
    </w:p>
    <w:bookmarkEnd w:id="16"/>
    <w:bookmarkEnd w:id="17"/>
    <w:p w14:paraId="2717EB16" w14:textId="77777777" w:rsidR="00A77B3E" w:rsidRPr="006F279E" w:rsidRDefault="00A77B3E" w:rsidP="00A72E25">
      <w:pPr>
        <w:adjustRightInd w:val="0"/>
        <w:snapToGrid w:val="0"/>
        <w:spacing w:line="360" w:lineRule="auto"/>
        <w:jc w:val="both"/>
        <w:rPr>
          <w:rFonts w:ascii="Book Antiqua" w:hAnsi="Book Antiqua"/>
        </w:rPr>
      </w:pPr>
    </w:p>
    <w:p w14:paraId="5BA266EF"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RESULTS</w:t>
      </w:r>
    </w:p>
    <w:p w14:paraId="0053C4A8" w14:textId="1771E534" w:rsidR="00A77B3E" w:rsidRPr="006F279E" w:rsidRDefault="006F279E" w:rsidP="00A72E25">
      <w:pPr>
        <w:adjustRightInd w:val="0"/>
        <w:snapToGrid w:val="0"/>
        <w:spacing w:line="360" w:lineRule="auto"/>
        <w:jc w:val="both"/>
        <w:rPr>
          <w:rFonts w:ascii="Book Antiqua" w:hAnsi="Book Antiqua"/>
        </w:rPr>
      </w:pPr>
      <w:bookmarkStart w:id="18" w:name="OLE_LINK24"/>
      <w:bookmarkStart w:id="19" w:name="OLE_LINK25"/>
      <w:r w:rsidRPr="006F279E">
        <w:rPr>
          <w:rFonts w:ascii="Book Antiqua" w:eastAsia="Book Antiqua" w:hAnsi="Book Antiqua" w:cs="Book Antiqua"/>
          <w:color w:val="000000"/>
        </w:rPr>
        <w:t>Among the 77 included patients, 36.4% (28/77) had delayed gastric emptying after CRS-HIPEC. The median age and</w:t>
      </w:r>
      <w:bookmarkStart w:id="20" w:name="_Hlk66374738"/>
      <w:r w:rsidRPr="006F279E">
        <w:rPr>
          <w:rFonts w:ascii="Book Antiqua" w:eastAsia="Book Antiqua" w:hAnsi="Book Antiqua" w:cs="Book Antiqua"/>
          <w:color w:val="000000"/>
        </w:rPr>
        <w:t xml:space="preserve"> body mass index</w:t>
      </w:r>
      <w:bookmarkEnd w:id="20"/>
      <w:r w:rsidRPr="006F279E">
        <w:rPr>
          <w:rFonts w:ascii="Book Antiqua" w:eastAsia="Book Antiqua" w:hAnsi="Book Antiqua" w:cs="Book Antiqua"/>
          <w:color w:val="000000"/>
        </w:rPr>
        <w:t xml:space="preserve"> of all patients were 59 years and 22.83 kg/m</w:t>
      </w:r>
      <w:r w:rsidRPr="006F279E">
        <w:rPr>
          <w:rFonts w:ascii="Book Antiqua" w:eastAsia="Book Antiqua" w:hAnsi="Book Antiqua" w:cs="Book Antiqua"/>
          <w:color w:val="000000"/>
          <w:vertAlign w:val="superscript"/>
        </w:rPr>
        <w:t>2</w:t>
      </w:r>
      <w:r w:rsidR="00B54633">
        <w:rPr>
          <w:rFonts w:ascii="Book Antiqua" w:eastAsia="Book Antiqua" w:hAnsi="Book Antiqua" w:cs="Book Antiqua"/>
          <w:color w:val="000000"/>
        </w:rPr>
        <w:t>, respectively.</w:t>
      </w:r>
      <w:r w:rsidR="00393D3D" w:rsidRPr="006F279E">
        <w:rPr>
          <w:rFonts w:ascii="Book Antiqua" w:eastAsia="Book Antiqua" w:hAnsi="Book Antiqua" w:cs="Book Antiqua"/>
          <w:color w:val="000000"/>
        </w:rPr>
        <w:t xml:space="preserve"> Preoperative chemotherapy was administered in 55 patients (71%). </w:t>
      </w:r>
      <w:r w:rsidRPr="006F279E">
        <w:rPr>
          <w:rFonts w:ascii="Book Antiqua" w:eastAsia="Book Antiqua" w:hAnsi="Book Antiqua" w:cs="Book Antiqua"/>
          <w:color w:val="000000"/>
        </w:rPr>
        <w:t>Sixty-two</w:t>
      </w:r>
      <w:r w:rsidR="00393D3D" w:rsidRPr="006F279E">
        <w:rPr>
          <w:rFonts w:ascii="Book Antiqua" w:eastAsia="Book Antiqua" w:hAnsi="Book Antiqua" w:cs="Book Antiqua"/>
          <w:color w:val="000000"/>
        </w:rPr>
        <w:t xml:space="preserve"> patients (81%) had </w:t>
      </w:r>
      <w:r w:rsidR="00B54633">
        <w:rPr>
          <w:rFonts w:ascii="Book Antiqua" w:eastAsia="Book Antiqua" w:hAnsi="Book Antiqua" w:cs="Book Antiqua"/>
          <w:color w:val="000000"/>
        </w:rPr>
        <w:t xml:space="preserve">a history of </w:t>
      </w:r>
      <w:r w:rsidR="00393D3D" w:rsidRPr="006F279E">
        <w:rPr>
          <w:rFonts w:ascii="Book Antiqua" w:eastAsia="Book Antiqua" w:hAnsi="Book Antiqua" w:cs="Book Antiqua"/>
          <w:color w:val="000000"/>
        </w:rPr>
        <w:t xml:space="preserve">at least one previous pelvic surgery. The median operation time and intraoperative hemorrhage </w:t>
      </w:r>
      <w:r w:rsidR="00B54633">
        <w:rPr>
          <w:rFonts w:ascii="Book Antiqua" w:eastAsia="Book Antiqua" w:hAnsi="Book Antiqua" w:cs="Book Antiqua"/>
          <w:color w:val="000000"/>
        </w:rPr>
        <w:t xml:space="preserve">volume </w:t>
      </w:r>
      <w:r w:rsidR="00393D3D" w:rsidRPr="006F279E">
        <w:rPr>
          <w:rFonts w:ascii="Book Antiqua" w:eastAsia="Book Antiqua" w:hAnsi="Book Antiqua" w:cs="Book Antiqua"/>
          <w:color w:val="000000"/>
        </w:rPr>
        <w:t>were 630 min and 600 mL</w:t>
      </w:r>
      <w:r w:rsidRPr="006F279E">
        <w:rPr>
          <w:rFonts w:ascii="Book Antiqua" w:eastAsia="Book Antiqua" w:hAnsi="Book Antiqua" w:cs="Book Antiqua"/>
          <w:color w:val="000000"/>
        </w:rPr>
        <w:t>,</w:t>
      </w:r>
      <w:r w:rsidR="00393D3D" w:rsidRPr="006F279E">
        <w:rPr>
          <w:rFonts w:ascii="Book Antiqua" w:eastAsia="Book Antiqua" w:hAnsi="Book Antiqua" w:cs="Book Antiqua"/>
          <w:color w:val="000000"/>
        </w:rPr>
        <w:t xml:space="preserve"> respectively. Omentectomy was performed in 32 cases of primary ovarian cancer and 24 cases of </w:t>
      </w:r>
      <w:r w:rsidRPr="006F279E">
        <w:rPr>
          <w:rFonts w:ascii="Book Antiqua" w:eastAsia="Book Antiqua" w:hAnsi="Book Antiqua" w:cs="Book Antiqua"/>
          <w:color w:val="000000"/>
        </w:rPr>
        <w:t>recurrence</w:t>
      </w:r>
      <w:r w:rsidR="00393D3D" w:rsidRPr="006F279E">
        <w:rPr>
          <w:rFonts w:ascii="Book Antiqua" w:eastAsia="Book Antiqua" w:hAnsi="Book Antiqua" w:cs="Book Antiqua"/>
          <w:color w:val="000000"/>
        </w:rPr>
        <w:t xml:space="preserve">. The median </w:t>
      </w:r>
      <w:r w:rsidR="0010296C">
        <w:rPr>
          <w:rFonts w:ascii="Book Antiqua" w:eastAsia="Book Antiqua" w:hAnsi="Book Antiqua" w:cs="Book Antiqua"/>
          <w:color w:val="000000"/>
        </w:rPr>
        <w:lastRenderedPageBreak/>
        <w:t xml:space="preserve">peritoneal cancer index </w:t>
      </w:r>
      <w:r w:rsidR="00393D3D" w:rsidRPr="006F279E">
        <w:rPr>
          <w:rFonts w:ascii="Book Antiqua" w:eastAsia="Book Antiqua" w:hAnsi="Book Antiqua" w:cs="Book Antiqua"/>
          <w:color w:val="000000"/>
        </w:rPr>
        <w:t xml:space="preserve">was 16. </w:t>
      </w:r>
      <w:r w:rsidR="0010296C">
        <w:rPr>
          <w:rFonts w:ascii="Book Antiqua" w:eastAsia="Book Antiqua" w:hAnsi="Book Antiqua" w:cs="Book Antiqua"/>
          <w:color w:val="000000"/>
        </w:rPr>
        <w:t>The r</w:t>
      </w:r>
      <w:r w:rsidR="0010296C" w:rsidRPr="006F279E">
        <w:rPr>
          <w:rFonts w:ascii="Book Antiqua" w:eastAsia="Book Antiqua" w:hAnsi="Book Antiqua" w:cs="Book Antiqua"/>
          <w:color w:val="000000"/>
        </w:rPr>
        <w:t xml:space="preserve">isk </w:t>
      </w:r>
      <w:r w:rsidR="00393D3D" w:rsidRPr="006F279E">
        <w:rPr>
          <w:rFonts w:ascii="Book Antiqua" w:eastAsia="Book Antiqua" w:hAnsi="Book Antiqua" w:cs="Book Antiqua"/>
          <w:color w:val="000000"/>
        </w:rPr>
        <w:t xml:space="preserve">factors for delayed gastric emptying </w:t>
      </w:r>
      <w:r w:rsidR="00F874C6">
        <w:rPr>
          <w:rFonts w:ascii="Book Antiqua" w:eastAsia="Book Antiqua" w:hAnsi="Book Antiqua" w:cs="Book Antiqua"/>
          <w:color w:val="000000"/>
        </w:rPr>
        <w:t>from the</w:t>
      </w:r>
      <w:r w:rsidR="0010296C" w:rsidRPr="006F279E">
        <w:rPr>
          <w:rFonts w:ascii="Book Antiqua" w:eastAsia="Book Antiqua" w:hAnsi="Book Antiqua" w:cs="Book Antiqua"/>
          <w:color w:val="000000"/>
        </w:rPr>
        <w:t xml:space="preserve"> </w:t>
      </w:r>
      <w:r w:rsidR="00393D3D" w:rsidRPr="006F279E">
        <w:rPr>
          <w:rFonts w:ascii="Book Antiqua" w:eastAsia="Book Antiqua" w:hAnsi="Book Antiqua" w:cs="Book Antiqua"/>
          <w:color w:val="000000"/>
        </w:rPr>
        <w:t xml:space="preserve">univariate analysis were body mass index </w:t>
      </w:r>
      <w:r w:rsidR="00393D3D" w:rsidRPr="006F279E">
        <w:rPr>
          <w:rFonts w:ascii="Book Antiqua" w:hAnsi="Book Antiqua" w:cs="Book Antiqua"/>
          <w:color w:val="000000"/>
          <w:lang w:eastAsia="zh-CN"/>
        </w:rPr>
        <w:t xml:space="preserve">&lt; </w:t>
      </w:r>
      <w:r w:rsidRPr="006F279E">
        <w:rPr>
          <w:rFonts w:ascii="Book Antiqua" w:eastAsia="Book Antiqua" w:hAnsi="Book Antiqua" w:cs="Book Antiqua"/>
          <w:color w:val="000000"/>
        </w:rPr>
        <w:t>23 kg/m</w:t>
      </w:r>
      <w:r w:rsidRPr="006F279E">
        <w:rPr>
          <w:rFonts w:ascii="Book Antiqua" w:eastAsia="Book Antiqua" w:hAnsi="Book Antiqua" w:cs="Book Antiqua"/>
          <w:color w:val="000000"/>
          <w:vertAlign w:val="superscript"/>
        </w:rPr>
        <w:t>2</w:t>
      </w:r>
      <w:r w:rsidRPr="006F279E">
        <w:rPr>
          <w:rFonts w:ascii="Book Antiqua" w:eastAsia="Book Antiqua" w:hAnsi="Book Antiqua" w:cs="Book Antiqua"/>
          <w:color w:val="000000"/>
        </w:rPr>
        <w:t xml:space="preserve"> (</w:t>
      </w:r>
      <w:r w:rsidRPr="006F279E">
        <w:rPr>
          <w:rFonts w:ascii="Book Antiqua" w:eastAsia="Book Antiqua" w:hAnsi="Book Antiqua" w:cs="Book Antiqua"/>
          <w:i/>
          <w:iCs/>
          <w:color w:val="000000"/>
        </w:rPr>
        <w:t>X</w:t>
      </w:r>
      <w:r w:rsidR="004C3C06" w:rsidRPr="006F279E">
        <w:rPr>
          <w:rFonts w:ascii="Book Antiqua" w:eastAsia="Book Antiqua" w:hAnsi="Book Antiqua" w:cs="Book Antiqua"/>
          <w:i/>
          <w:iCs/>
          <w:color w:val="000000"/>
          <w:vertAlign w:val="superscript"/>
        </w:rPr>
        <w:t xml:space="preserve">2 </w:t>
      </w:r>
      <w:r w:rsidRPr="006F279E">
        <w:rPr>
          <w:rFonts w:ascii="Book Antiqua" w:eastAsia="Book Antiqua" w:hAnsi="Book Antiqua" w:cs="Book Antiqua"/>
          <w:color w:val="000000"/>
        </w:rPr>
        <w:t>= 5.059</w:t>
      </w:r>
      <w:r w:rsidR="004C3C06" w:rsidRPr="006F279E">
        <w:rPr>
          <w:rFonts w:ascii="Book Antiqua" w:hAnsi="Book Antiqua" w:cs="Book Antiqua"/>
          <w:color w:val="000000"/>
          <w:lang w:eastAsia="zh-CN"/>
        </w:rPr>
        <w:t xml:space="preserve">,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0.025), history of pelvic surgery (</w:t>
      </w:r>
      <w:r w:rsidRPr="006F279E">
        <w:rPr>
          <w:rFonts w:ascii="Book Antiqua" w:eastAsia="Book Antiqua" w:hAnsi="Book Antiqua" w:cs="Book Antiqua"/>
          <w:i/>
          <w:iCs/>
          <w:color w:val="000000"/>
        </w:rPr>
        <w:t>X</w:t>
      </w:r>
      <w:r w:rsidR="004C3C06" w:rsidRPr="006F279E">
        <w:rPr>
          <w:rFonts w:ascii="Book Antiqua" w:eastAsia="Book Antiqua" w:hAnsi="Book Antiqua" w:cs="Book Antiqua"/>
          <w:i/>
          <w:iCs/>
          <w:color w:val="000000"/>
          <w:vertAlign w:val="superscript"/>
        </w:rPr>
        <w:t xml:space="preserve">2 </w:t>
      </w:r>
      <w:r w:rsidRPr="006F279E">
        <w:rPr>
          <w:rFonts w:ascii="Book Antiqua" w:eastAsia="Book Antiqua" w:hAnsi="Book Antiqua" w:cs="Book Antiqua"/>
          <w:color w:val="000000"/>
        </w:rPr>
        <w:t>= 4.498</w:t>
      </w:r>
      <w:r w:rsidR="004C3C06" w:rsidRPr="006F279E">
        <w:rPr>
          <w:rFonts w:ascii="Book Antiqua" w:hAnsi="Book Antiqua" w:cs="Book Antiqua"/>
          <w:color w:val="000000"/>
          <w:lang w:eastAsia="zh-CN"/>
        </w:rPr>
        <w:t xml:space="preserve">,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0.034), history of chemotherapy (</w:t>
      </w:r>
      <w:r w:rsidRPr="006F279E">
        <w:rPr>
          <w:rFonts w:ascii="Book Antiqua" w:eastAsia="Book Antiqua" w:hAnsi="Book Antiqua" w:cs="Book Antiqua"/>
          <w:i/>
          <w:iCs/>
          <w:color w:val="000000"/>
        </w:rPr>
        <w:t>X</w:t>
      </w:r>
      <w:r w:rsidR="004C3C06" w:rsidRPr="006F279E">
        <w:rPr>
          <w:rFonts w:ascii="Book Antiqua" w:eastAsia="Book Antiqua" w:hAnsi="Book Antiqua" w:cs="Book Antiqua"/>
          <w:i/>
          <w:iCs/>
          <w:color w:val="000000"/>
          <w:vertAlign w:val="superscript"/>
        </w:rPr>
        <w:t xml:space="preserve">2 </w:t>
      </w:r>
      <w:r w:rsidRPr="006F279E">
        <w:rPr>
          <w:rFonts w:ascii="Book Antiqua" w:eastAsia="Book Antiqua" w:hAnsi="Book Antiqua" w:cs="Book Antiqua"/>
          <w:color w:val="000000"/>
        </w:rPr>
        <w:t>= 4.334</w:t>
      </w:r>
      <w:r w:rsidR="0010296C">
        <w:rPr>
          <w:rFonts w:ascii="Book Antiqua" w:eastAsia="SimSun" w:hAnsi="Book Antiqua" w:cs="SimSun" w:hint="eastAsia"/>
          <w:color w:val="000000"/>
        </w:rPr>
        <w:t>,</w:t>
      </w:r>
      <w:r w:rsidR="0010296C">
        <w:rPr>
          <w:rFonts w:ascii="Book Antiqua" w:eastAsia="SimSun" w:hAnsi="Book Antiqua" w:cs="SimSun"/>
          <w:color w:val="000000"/>
        </w:rPr>
        <w:t xml:space="preserve">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0.037), operation time ≥ 7 h (</w:t>
      </w:r>
      <w:r w:rsidRPr="006F279E">
        <w:rPr>
          <w:rFonts w:ascii="Book Antiqua" w:eastAsia="Book Antiqua" w:hAnsi="Book Antiqua" w:cs="Book Antiqua"/>
          <w:i/>
          <w:iCs/>
          <w:color w:val="000000"/>
        </w:rPr>
        <w:t>X</w:t>
      </w:r>
      <w:r w:rsidR="004C3C06" w:rsidRPr="006F279E">
        <w:rPr>
          <w:rFonts w:ascii="Book Antiqua" w:eastAsia="Book Antiqua" w:hAnsi="Book Antiqua" w:cs="Book Antiqua"/>
          <w:i/>
          <w:iCs/>
          <w:color w:val="000000"/>
          <w:vertAlign w:val="superscript"/>
        </w:rPr>
        <w:t xml:space="preserve">2 </w:t>
      </w:r>
      <w:r w:rsidRPr="006F279E">
        <w:rPr>
          <w:rFonts w:ascii="Book Antiqua" w:eastAsia="Book Antiqua" w:hAnsi="Book Antiqua" w:cs="Book Antiqua"/>
          <w:color w:val="000000"/>
        </w:rPr>
        <w:t>= 4.827</w:t>
      </w:r>
      <w:r w:rsidR="004C3C06" w:rsidRPr="006F279E">
        <w:rPr>
          <w:rFonts w:ascii="Book Antiqua" w:hAnsi="Book Antiqua" w:cs="Book Antiqua"/>
          <w:color w:val="000000"/>
          <w:lang w:eastAsia="zh-CN"/>
        </w:rPr>
        <w:t xml:space="preserve">,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0.047), and intraoperative hemorrhage ≥ 800 mL (</w:t>
      </w:r>
      <w:r w:rsidRPr="006F279E">
        <w:rPr>
          <w:rFonts w:ascii="Book Antiqua" w:eastAsia="Book Antiqua" w:hAnsi="Book Antiqua" w:cs="Book Antiqua"/>
          <w:i/>
          <w:iCs/>
          <w:color w:val="000000"/>
        </w:rPr>
        <w:t>X</w:t>
      </w:r>
      <w:r w:rsidR="004C3C06" w:rsidRPr="006F279E">
        <w:rPr>
          <w:rFonts w:ascii="Book Antiqua" w:eastAsia="Book Antiqua" w:hAnsi="Book Antiqua" w:cs="Book Antiqua"/>
          <w:i/>
          <w:iCs/>
          <w:color w:val="000000"/>
          <w:vertAlign w:val="superscript"/>
        </w:rPr>
        <w:t xml:space="preserve">2 </w:t>
      </w:r>
      <w:r w:rsidRPr="006F279E">
        <w:rPr>
          <w:rFonts w:ascii="Book Antiqua" w:eastAsia="Book Antiqua" w:hAnsi="Book Antiqua" w:cs="Book Antiqua"/>
          <w:color w:val="000000"/>
        </w:rPr>
        <w:t>= 7.112</w:t>
      </w:r>
      <w:r w:rsidR="004C3C06" w:rsidRPr="006F279E">
        <w:rPr>
          <w:rFonts w:ascii="Book Antiqua" w:hAnsi="Book Antiqua" w:cs="Book Antiqua"/>
          <w:color w:val="000000"/>
          <w:lang w:eastAsia="zh-CN"/>
        </w:rPr>
        <w:t xml:space="preserve">,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xml:space="preserve">= 0.008). Multivariable analysis revealed that age ≥ 70 years (HR = 7.127; 95%CI 1.122-45.264;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xml:space="preserve">= 0.037) and intraoperative hemorrhage ≥ 800 mL (HR = 3.416; 95%CI 1.067-10.939;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0.039) were independently associated with postoperative delayed gastric emptying after CRS-HIPEC.</w:t>
      </w:r>
    </w:p>
    <w:bookmarkEnd w:id="18"/>
    <w:bookmarkEnd w:id="19"/>
    <w:p w14:paraId="28AC0EBD" w14:textId="77777777" w:rsidR="00A77B3E" w:rsidRPr="006F279E" w:rsidRDefault="00A77B3E" w:rsidP="00A72E25">
      <w:pPr>
        <w:adjustRightInd w:val="0"/>
        <w:snapToGrid w:val="0"/>
        <w:spacing w:line="360" w:lineRule="auto"/>
        <w:jc w:val="both"/>
        <w:rPr>
          <w:rFonts w:ascii="Book Antiqua" w:hAnsi="Book Antiqua"/>
        </w:rPr>
      </w:pPr>
    </w:p>
    <w:p w14:paraId="6BBE3ADB"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CONCLUSION</w:t>
      </w:r>
    </w:p>
    <w:p w14:paraId="7BE4D5BF" w14:textId="0B6C58BC" w:rsidR="00A77B3E" w:rsidRPr="006F279E" w:rsidRDefault="006F279E" w:rsidP="00A72E25">
      <w:pPr>
        <w:adjustRightInd w:val="0"/>
        <w:snapToGrid w:val="0"/>
        <w:spacing w:line="360" w:lineRule="auto"/>
        <w:jc w:val="both"/>
        <w:rPr>
          <w:rFonts w:ascii="Book Antiqua" w:hAnsi="Book Antiqua"/>
        </w:rPr>
      </w:pPr>
      <w:bookmarkStart w:id="21" w:name="OLE_LINK26"/>
      <w:bookmarkStart w:id="22" w:name="OLE_LINK27"/>
      <w:r w:rsidRPr="006F279E">
        <w:rPr>
          <w:rFonts w:ascii="Book Antiqua" w:eastAsia="Book Antiqua" w:hAnsi="Book Antiqua" w:cs="Book Antiqua"/>
          <w:color w:val="000000"/>
        </w:rPr>
        <w:t xml:space="preserve">Postoperative gastrointestinal management, including prolonged nasogastric intubation, should be </w:t>
      </w:r>
      <w:r w:rsidR="0010296C">
        <w:rPr>
          <w:rFonts w:ascii="Book Antiqua" w:eastAsia="Book Antiqua" w:hAnsi="Book Antiqua" w:cs="Book Antiqua"/>
          <w:color w:val="000000"/>
        </w:rPr>
        <w:t>promoted</w:t>
      </w:r>
      <w:r w:rsidR="0010296C"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for patients over 70 years or </w:t>
      </w:r>
      <w:r w:rsidR="0010296C">
        <w:rPr>
          <w:rFonts w:ascii="Book Antiqua" w:eastAsia="Book Antiqua" w:hAnsi="Book Antiqua" w:cs="Book Antiqua"/>
          <w:color w:val="000000"/>
        </w:rPr>
        <w:t xml:space="preserve">those </w:t>
      </w:r>
      <w:r w:rsidRPr="006F279E">
        <w:rPr>
          <w:rFonts w:ascii="Book Antiqua" w:eastAsia="Book Antiqua" w:hAnsi="Book Antiqua" w:cs="Book Antiqua"/>
          <w:color w:val="000000"/>
        </w:rPr>
        <w:t xml:space="preserve">with intraoperative bleeding </w:t>
      </w:r>
      <w:r w:rsidR="0010296C">
        <w:rPr>
          <w:rFonts w:ascii="Book Antiqua" w:eastAsia="Book Antiqua" w:hAnsi="Book Antiqua" w:cs="Book Antiqua"/>
          <w:color w:val="000000"/>
        </w:rPr>
        <w:t>exceeding</w:t>
      </w:r>
      <w:r w:rsidR="0010296C"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800 mL.</w:t>
      </w:r>
    </w:p>
    <w:bookmarkEnd w:id="21"/>
    <w:bookmarkEnd w:id="22"/>
    <w:p w14:paraId="14E8F9B3" w14:textId="77777777" w:rsidR="00A77B3E" w:rsidRPr="006F279E" w:rsidRDefault="00A77B3E" w:rsidP="00A72E25">
      <w:pPr>
        <w:adjustRightInd w:val="0"/>
        <w:snapToGrid w:val="0"/>
        <w:spacing w:line="360" w:lineRule="auto"/>
        <w:jc w:val="both"/>
        <w:rPr>
          <w:rFonts w:ascii="Book Antiqua" w:hAnsi="Book Antiqua"/>
        </w:rPr>
      </w:pPr>
    </w:p>
    <w:p w14:paraId="19A9753C" w14:textId="77777777" w:rsidR="00A77B3E" w:rsidRPr="006F279E" w:rsidRDefault="00A77B3E" w:rsidP="00A72E25">
      <w:pPr>
        <w:adjustRightInd w:val="0"/>
        <w:snapToGrid w:val="0"/>
        <w:spacing w:line="360" w:lineRule="auto"/>
        <w:jc w:val="both"/>
        <w:rPr>
          <w:rFonts w:ascii="Book Antiqua" w:hAnsi="Book Antiqua"/>
        </w:rPr>
      </w:pPr>
    </w:p>
    <w:p w14:paraId="150330C7" w14:textId="6E3905DF"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bCs/>
          <w:color w:val="000000"/>
        </w:rPr>
        <w:t xml:space="preserve">Core Tip: </w:t>
      </w:r>
      <w:bookmarkStart w:id="23" w:name="OLE_LINK7"/>
      <w:bookmarkStart w:id="24" w:name="OLE_LINK8"/>
      <w:bookmarkStart w:id="25" w:name="OLE_LINK17"/>
      <w:r w:rsidRPr="006F279E">
        <w:rPr>
          <w:rFonts w:ascii="Book Antiqua" w:eastAsia="Book Antiqua" w:hAnsi="Book Antiqua" w:cs="Book Antiqua"/>
          <w:color w:val="000000"/>
        </w:rPr>
        <w:t xml:space="preserve">Cytoreductive surgery and hyperthermic intraperitoneal chemotherapy are alternatives for ovarian cancer. Delayed gastric emptying (DGE), a common complication of this procedure, can cause discomfort and decrease quality of life postoperatively. However, little attention has been </w:t>
      </w:r>
      <w:r w:rsidR="00972554">
        <w:rPr>
          <w:rFonts w:ascii="Book Antiqua" w:eastAsia="Book Antiqua" w:hAnsi="Book Antiqua" w:cs="Book Antiqua"/>
          <w:color w:val="000000"/>
        </w:rPr>
        <w:t>paid</w:t>
      </w:r>
      <w:r w:rsidR="00972554"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to this complication. </w:t>
      </w:r>
      <w:r w:rsidR="009E6461">
        <w:rPr>
          <w:rFonts w:ascii="Book Antiqua" w:eastAsia="Book Antiqua" w:hAnsi="Book Antiqua" w:cs="Book Antiqua"/>
          <w:color w:val="000000"/>
        </w:rPr>
        <w:t>Identifying</w:t>
      </w:r>
      <w:r w:rsidRPr="006F279E">
        <w:rPr>
          <w:rFonts w:ascii="Book Antiqua" w:eastAsia="Book Antiqua" w:hAnsi="Book Antiqua" w:cs="Book Antiqua"/>
          <w:color w:val="000000"/>
        </w:rPr>
        <w:t xml:space="preserve"> patients at increased risk for DGE may aid patient </w:t>
      </w:r>
      <w:r w:rsidR="009E6461">
        <w:rPr>
          <w:rFonts w:ascii="Book Antiqua" w:eastAsia="Book Antiqua" w:hAnsi="Book Antiqua" w:cs="Book Antiqua"/>
          <w:color w:val="000000"/>
        </w:rPr>
        <w:t>selection</w:t>
      </w:r>
      <w:r w:rsidR="009E6461"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as well as postoperative gastrointestinal management. A retrospective study was conducted, and risk factors for DGE were analyzed using univariate and multivariate analyses. We found that age ≥ 70 years and intraoperative hemorrhage ≥ 800 mL were independently associated with postoperative DGE after cytoreductive surgery and hyperthermic intraperitoneal chemotherapy.</w:t>
      </w:r>
    </w:p>
    <w:bookmarkEnd w:id="23"/>
    <w:bookmarkEnd w:id="24"/>
    <w:bookmarkEnd w:id="25"/>
    <w:p w14:paraId="3672FBB0" w14:textId="77777777" w:rsidR="00A77B3E" w:rsidRPr="006F279E" w:rsidRDefault="00A77B3E" w:rsidP="00A72E25">
      <w:pPr>
        <w:adjustRightInd w:val="0"/>
        <w:snapToGrid w:val="0"/>
        <w:spacing w:line="360" w:lineRule="auto"/>
        <w:jc w:val="both"/>
        <w:rPr>
          <w:rFonts w:ascii="Book Antiqua" w:hAnsi="Book Antiqua"/>
        </w:rPr>
      </w:pPr>
    </w:p>
    <w:p w14:paraId="742E6E05" w14:textId="248B2AE7" w:rsidR="00A77B3E" w:rsidRPr="006F279E" w:rsidRDefault="009031E0"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aps/>
          <w:color w:val="000000"/>
          <w:u w:val="single"/>
        </w:rPr>
        <w:br w:type="page"/>
      </w:r>
      <w:r w:rsidRPr="006F279E">
        <w:rPr>
          <w:rFonts w:ascii="Book Antiqua" w:eastAsia="Book Antiqua" w:hAnsi="Book Antiqua" w:cs="Book Antiqua"/>
          <w:b/>
          <w:caps/>
          <w:color w:val="000000"/>
          <w:u w:val="single"/>
        </w:rPr>
        <w:lastRenderedPageBreak/>
        <w:t>INTRODUCTION</w:t>
      </w:r>
    </w:p>
    <w:p w14:paraId="343FA2EA" w14:textId="4B911199" w:rsidR="00A77B3E" w:rsidRPr="006F279E" w:rsidRDefault="006F279E" w:rsidP="00A72E25">
      <w:pPr>
        <w:adjustRightInd w:val="0"/>
        <w:snapToGrid w:val="0"/>
        <w:spacing w:line="360" w:lineRule="auto"/>
        <w:jc w:val="both"/>
        <w:rPr>
          <w:rFonts w:ascii="Book Antiqua" w:hAnsi="Book Antiqua"/>
        </w:rPr>
      </w:pPr>
      <w:bookmarkStart w:id="26" w:name="OLE_LINK28"/>
      <w:bookmarkStart w:id="27" w:name="OLE_LINK29"/>
      <w:r w:rsidRPr="006F279E">
        <w:rPr>
          <w:rFonts w:ascii="Book Antiqua" w:eastAsia="Book Antiqua" w:hAnsi="Book Antiqua" w:cs="Book Antiqua"/>
          <w:color w:val="000000"/>
        </w:rPr>
        <w:t xml:space="preserve">Ovarian cancer, which </w:t>
      </w:r>
      <w:r w:rsidR="00C040DA">
        <w:rPr>
          <w:rFonts w:ascii="Book Antiqua" w:eastAsia="Book Antiqua" w:hAnsi="Book Antiqua" w:cs="Book Antiqua"/>
          <w:color w:val="000000"/>
        </w:rPr>
        <w:t>has the highest mortality rate</w:t>
      </w:r>
      <w:r w:rsidRPr="006F279E">
        <w:rPr>
          <w:rFonts w:ascii="Book Antiqua" w:eastAsia="Book Antiqua" w:hAnsi="Book Antiqua" w:cs="Book Antiqua"/>
          <w:color w:val="000000"/>
        </w:rPr>
        <w:t xml:space="preserve"> among gynecological malignancies in developed countries, is the seventh most common cancer in women globally, with </w:t>
      </w:r>
      <w:r w:rsidR="0022342F">
        <w:rPr>
          <w:rFonts w:ascii="Book Antiqua" w:eastAsia="Book Antiqua" w:hAnsi="Book Antiqua" w:cs="Book Antiqua"/>
          <w:color w:val="000000"/>
        </w:rPr>
        <w:t>5</w:t>
      </w:r>
      <w:r w:rsidRPr="006F279E">
        <w:rPr>
          <w:rFonts w:ascii="Book Antiqua" w:eastAsia="Book Antiqua" w:hAnsi="Book Antiqua" w:cs="Book Antiqua"/>
          <w:color w:val="000000"/>
        </w:rPr>
        <w:t>-year survival rates below 45%</w:t>
      </w:r>
      <w:r w:rsidRPr="006F279E">
        <w:rPr>
          <w:rFonts w:ascii="Book Antiqua" w:eastAsia="Book Antiqua" w:hAnsi="Book Antiqua" w:cs="Book Antiqua"/>
          <w:color w:val="000000"/>
          <w:vertAlign w:val="superscript"/>
        </w:rPr>
        <w:t>[</w:t>
      </w:r>
      <w:hyperlink w:anchor="_ENREF_1" w:tooltip="Webb,  #165" w:history="1">
        <w:r w:rsidRPr="006F279E">
          <w:rPr>
            <w:rFonts w:ascii="Book Antiqua" w:eastAsia="Book Antiqua" w:hAnsi="Book Antiqua" w:cs="Book Antiqua"/>
            <w:color w:val="000000"/>
            <w:vertAlign w:val="superscript"/>
          </w:rPr>
          <w:t>1</w:t>
        </w:r>
      </w:hyperlink>
      <w:r w:rsidRPr="006F279E">
        <w:rPr>
          <w:rFonts w:ascii="Book Antiqua" w:eastAsia="Book Antiqua" w:hAnsi="Book Antiqua" w:cs="Book Antiqua"/>
          <w:color w:val="000000"/>
          <w:vertAlign w:val="superscript"/>
        </w:rPr>
        <w:t>,</w:t>
      </w:r>
      <w:hyperlink w:anchor="_ENREF_2" w:tooltip="Arjona-Sanchez,  #125" w:history="1">
        <w:r w:rsidRPr="006F279E">
          <w:rPr>
            <w:rFonts w:ascii="Book Antiqua" w:eastAsia="Book Antiqua" w:hAnsi="Book Antiqua" w:cs="Book Antiqua"/>
            <w:color w:val="000000"/>
            <w:vertAlign w:val="superscript"/>
          </w:rPr>
          <w:t>2</w:t>
        </w:r>
      </w:hyperlink>
      <w:r w:rsidRPr="006F279E">
        <w:rPr>
          <w:rFonts w:ascii="Book Antiqua" w:eastAsia="Book Antiqua" w:hAnsi="Book Antiqua" w:cs="Book Antiqua"/>
          <w:color w:val="000000"/>
          <w:vertAlign w:val="superscript"/>
        </w:rPr>
        <w:t>]</w:t>
      </w:r>
      <w:r w:rsidRPr="006F279E">
        <w:rPr>
          <w:rFonts w:ascii="Book Antiqua" w:eastAsia="Book Antiqua" w:hAnsi="Book Antiqua" w:cs="Book Antiqua"/>
          <w:color w:val="000000"/>
        </w:rPr>
        <w:t>. Approximately 70% of cases are diagnosed at an advanced stage, and more than 60% of patients experience recurrence, though with a good initial response to treatment</w:t>
      </w:r>
      <w:r w:rsidRPr="006F279E">
        <w:rPr>
          <w:rFonts w:ascii="Book Antiqua" w:eastAsia="Book Antiqua" w:hAnsi="Book Antiqua" w:cs="Book Antiqua"/>
          <w:color w:val="000000"/>
          <w:vertAlign w:val="superscript"/>
        </w:rPr>
        <w:t>[</w:t>
      </w:r>
      <w:hyperlink w:anchor="_ENREF_3" w:tooltip="Siegel,  #167" w:history="1">
        <w:r w:rsidRPr="006F279E">
          <w:rPr>
            <w:rFonts w:ascii="Book Antiqua" w:eastAsia="Book Antiqua" w:hAnsi="Book Antiqua" w:cs="Book Antiqua"/>
            <w:color w:val="000000"/>
            <w:vertAlign w:val="superscript"/>
          </w:rPr>
          <w:t>3</w:t>
        </w:r>
      </w:hyperlink>
      <w:r w:rsidRPr="006F279E">
        <w:rPr>
          <w:rFonts w:ascii="Book Antiqua" w:eastAsia="Book Antiqua" w:hAnsi="Book Antiqua" w:cs="Book Antiqua"/>
          <w:color w:val="000000"/>
          <w:vertAlign w:val="superscript"/>
        </w:rPr>
        <w:t>]</w:t>
      </w:r>
      <w:r w:rsidRPr="006F279E">
        <w:rPr>
          <w:rFonts w:ascii="Book Antiqua" w:eastAsia="Book Antiqua" w:hAnsi="Book Antiqua" w:cs="Book Antiqua"/>
          <w:color w:val="000000"/>
        </w:rPr>
        <w:t>.</w:t>
      </w:r>
    </w:p>
    <w:p w14:paraId="0859B078" w14:textId="175CFBB1"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In recent years, cytoreductive surgery plus hyperthermic intraperitoneal chemotherapy (CRS-HIPEC) has emerged as an alternative</w:t>
      </w:r>
      <w:r w:rsidR="0022342F">
        <w:rPr>
          <w:rFonts w:ascii="Book Antiqua" w:eastAsia="Book Antiqua" w:hAnsi="Book Antiqua" w:cs="Book Antiqua"/>
          <w:color w:val="000000"/>
        </w:rPr>
        <w:t xml:space="preserve"> treatment</w:t>
      </w:r>
      <w:r w:rsidRPr="006F279E">
        <w:rPr>
          <w:rFonts w:ascii="Book Antiqua" w:eastAsia="Book Antiqua" w:hAnsi="Book Antiqua" w:cs="Book Antiqua"/>
          <w:color w:val="000000"/>
        </w:rPr>
        <w:t xml:space="preserve"> for ovarian cancer. Controversies still exist as to whether CRS-HIPEC can further improve the prognosis of ovarian cancer patients when compared with CRS </w:t>
      </w:r>
      <w:r w:rsidR="0022342F">
        <w:rPr>
          <w:rFonts w:ascii="Book Antiqua" w:eastAsia="Book Antiqua" w:hAnsi="Book Antiqua" w:cs="Book Antiqua"/>
          <w:color w:val="000000"/>
        </w:rPr>
        <w:t>alone</w:t>
      </w:r>
      <w:r w:rsidRPr="006F279E">
        <w:rPr>
          <w:rFonts w:ascii="Book Antiqua" w:eastAsia="Book Antiqua" w:hAnsi="Book Antiqua" w:cs="Book Antiqua"/>
          <w:color w:val="000000"/>
        </w:rPr>
        <w:t>. Some studies have shown promising results,</w:t>
      </w:r>
      <w:r w:rsidR="00C040DA">
        <w:rPr>
          <w:rFonts w:ascii="Book Antiqua" w:eastAsia="Book Antiqua" w:hAnsi="Book Antiqua" w:cs="Book Antiqua"/>
          <w:color w:val="000000"/>
        </w:rPr>
        <w:t xml:space="preserve"> and</w:t>
      </w:r>
      <w:r w:rsidRPr="006F279E">
        <w:rPr>
          <w:rFonts w:ascii="Book Antiqua" w:eastAsia="Book Antiqua" w:hAnsi="Book Antiqua" w:cs="Book Antiqua"/>
          <w:color w:val="000000"/>
        </w:rPr>
        <w:t xml:space="preserve"> the morbidity and mortality </w:t>
      </w:r>
      <w:r w:rsidR="0022342F">
        <w:rPr>
          <w:rFonts w:ascii="Book Antiqua" w:eastAsia="Book Antiqua" w:hAnsi="Book Antiqua" w:cs="Book Antiqua"/>
          <w:color w:val="000000"/>
        </w:rPr>
        <w:t xml:space="preserve">rates </w:t>
      </w:r>
      <w:r w:rsidRPr="006F279E">
        <w:rPr>
          <w:rFonts w:ascii="Book Antiqua" w:eastAsia="Book Antiqua" w:hAnsi="Book Antiqua" w:cs="Book Antiqua"/>
          <w:color w:val="000000"/>
        </w:rPr>
        <w:t xml:space="preserve">of </w:t>
      </w:r>
      <w:r w:rsidR="00C040DA">
        <w:rPr>
          <w:rFonts w:ascii="Book Antiqua" w:eastAsia="Book Antiqua" w:hAnsi="Book Antiqua" w:cs="Book Antiqua"/>
          <w:color w:val="000000"/>
        </w:rPr>
        <w:t>CRS-HIPEC</w:t>
      </w:r>
      <w:r w:rsidR="00C040DA" w:rsidRPr="006F279E">
        <w:rPr>
          <w:rFonts w:ascii="Book Antiqua" w:eastAsia="Book Antiqua" w:hAnsi="Book Antiqua" w:cs="Book Antiqua"/>
          <w:color w:val="000000"/>
        </w:rPr>
        <w:t xml:space="preserve"> </w:t>
      </w:r>
      <w:r w:rsidR="00C040DA">
        <w:rPr>
          <w:rFonts w:ascii="Book Antiqua" w:eastAsia="Book Antiqua" w:hAnsi="Book Antiqua" w:cs="Book Antiqua"/>
          <w:color w:val="000000"/>
        </w:rPr>
        <w:t>are</w:t>
      </w:r>
      <w:r w:rsidR="00C040DA" w:rsidRPr="006F279E">
        <w:rPr>
          <w:rFonts w:ascii="Book Antiqua" w:eastAsia="Book Antiqua" w:hAnsi="Book Antiqua" w:cs="Book Antiqua"/>
          <w:color w:val="000000"/>
        </w:rPr>
        <w:t xml:space="preserve"> directly </w:t>
      </w:r>
      <w:r w:rsidRPr="006F279E">
        <w:rPr>
          <w:rFonts w:ascii="Book Antiqua" w:eastAsia="Book Antiqua" w:hAnsi="Book Antiqua" w:cs="Book Antiqua"/>
          <w:color w:val="000000"/>
        </w:rPr>
        <w:t xml:space="preserve">comparable to </w:t>
      </w:r>
      <w:r w:rsidR="00C040DA">
        <w:rPr>
          <w:rFonts w:ascii="Book Antiqua" w:eastAsia="Book Antiqua" w:hAnsi="Book Antiqua" w:cs="Book Antiqua"/>
          <w:color w:val="000000"/>
        </w:rPr>
        <w:t xml:space="preserve">those of </w:t>
      </w:r>
      <w:r w:rsidRPr="006F279E">
        <w:rPr>
          <w:rFonts w:ascii="Book Antiqua" w:eastAsia="Book Antiqua" w:hAnsi="Book Antiqua" w:cs="Book Antiqua"/>
          <w:color w:val="000000"/>
        </w:rPr>
        <w:t>surgical oncology procedures of similar extent</w:t>
      </w:r>
      <w:r w:rsidRPr="006F279E">
        <w:rPr>
          <w:rFonts w:ascii="Book Antiqua" w:eastAsia="Book Antiqua" w:hAnsi="Book Antiqua" w:cs="Book Antiqua"/>
          <w:color w:val="000000"/>
          <w:vertAlign w:val="superscript"/>
        </w:rPr>
        <w:t>[4-8]</w:t>
      </w:r>
      <w:r w:rsidRPr="006F279E">
        <w:rPr>
          <w:rFonts w:ascii="Book Antiqua" w:eastAsia="Book Antiqua" w:hAnsi="Book Antiqua" w:cs="Book Antiqua"/>
          <w:color w:val="000000"/>
        </w:rPr>
        <w:t xml:space="preserve">. The procedure involves a considerable proportion of bowel resection and anastomosis. </w:t>
      </w:r>
      <w:r w:rsidR="00C040DA">
        <w:rPr>
          <w:rFonts w:ascii="Book Antiqua" w:eastAsia="Book Antiqua" w:hAnsi="Book Antiqua" w:cs="Book Antiqua"/>
          <w:color w:val="000000"/>
        </w:rPr>
        <w:t>M</w:t>
      </w:r>
      <w:r w:rsidRPr="006F279E">
        <w:rPr>
          <w:rFonts w:ascii="Book Antiqua" w:eastAsia="Book Antiqua" w:hAnsi="Book Antiqua" w:cs="Book Antiqua"/>
          <w:color w:val="000000"/>
        </w:rPr>
        <w:t>uch more attention has been given to organic lesions, such as intestinal perforation, fistula and mechanical ileus</w:t>
      </w:r>
      <w:r w:rsidR="00C040DA">
        <w:rPr>
          <w:rFonts w:ascii="Book Antiqua" w:eastAsia="Book Antiqua" w:hAnsi="Book Antiqua" w:cs="Book Antiqua"/>
          <w:color w:val="000000"/>
        </w:rPr>
        <w:t xml:space="preserve">, than to </w:t>
      </w:r>
      <w:r w:rsidR="00C040DA" w:rsidRPr="006F279E">
        <w:rPr>
          <w:rFonts w:ascii="Book Antiqua" w:eastAsia="Book Antiqua" w:hAnsi="Book Antiqua" w:cs="Book Antiqua"/>
          <w:color w:val="000000"/>
        </w:rPr>
        <w:t>delayed gastric emptying (DGE), a kind of functional gastroparesis</w:t>
      </w:r>
      <w:r w:rsidRPr="006F279E">
        <w:rPr>
          <w:rFonts w:ascii="Book Antiqua" w:eastAsia="Book Antiqua" w:hAnsi="Book Antiqua" w:cs="Book Antiqua"/>
          <w:color w:val="000000"/>
        </w:rPr>
        <w:t>.</w:t>
      </w:r>
    </w:p>
    <w:p w14:paraId="73D3ADAD" w14:textId="4CB058B3"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 xml:space="preserve">DGE, a common complication after abdominal surgery, can cause discomfort and decrease quality of life postoperatively. Characterized according to the definition of the International Study Group of Pancreatic Surgery, </w:t>
      </w:r>
      <w:r w:rsidR="00C040DA">
        <w:rPr>
          <w:rFonts w:ascii="Book Antiqua" w:eastAsia="Book Antiqua" w:hAnsi="Book Antiqua" w:cs="Book Antiqua"/>
          <w:color w:val="000000"/>
        </w:rPr>
        <w:t>DGE</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can be classified into grades A, B, and C by </w:t>
      </w:r>
      <w:r w:rsidR="00C040DA">
        <w:rPr>
          <w:rFonts w:ascii="Book Antiqua" w:eastAsia="Book Antiqua" w:hAnsi="Book Antiqua" w:cs="Book Antiqua"/>
          <w:color w:val="000000"/>
        </w:rPr>
        <w:t>its</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clinical impact</w:t>
      </w:r>
      <w:r w:rsidRPr="006F279E">
        <w:rPr>
          <w:rFonts w:ascii="Book Antiqua" w:eastAsia="Book Antiqua" w:hAnsi="Book Antiqua" w:cs="Book Antiqua"/>
          <w:color w:val="000000"/>
          <w:vertAlign w:val="superscript"/>
        </w:rPr>
        <w:t>[9]</w:t>
      </w:r>
      <w:r w:rsidRPr="006F279E">
        <w:rPr>
          <w:rFonts w:ascii="Book Antiqua" w:eastAsia="Book Antiqua" w:hAnsi="Book Antiqua" w:cs="Book Antiqua"/>
          <w:color w:val="000000"/>
        </w:rPr>
        <w:t>. Only grade</w:t>
      </w:r>
      <w:r w:rsidR="00C040DA">
        <w:rPr>
          <w:rFonts w:ascii="Book Antiqua" w:eastAsia="Book Antiqua" w:hAnsi="Book Antiqua" w:cs="Book Antiqua"/>
          <w:color w:val="000000"/>
        </w:rPr>
        <w:t>s</w:t>
      </w:r>
      <w:r w:rsidRPr="006F279E">
        <w:rPr>
          <w:rFonts w:ascii="Book Antiqua" w:eastAsia="Book Antiqua" w:hAnsi="Book Antiqua" w:cs="Book Antiqua"/>
          <w:color w:val="000000"/>
        </w:rPr>
        <w:t xml:space="preserve"> B </w:t>
      </w:r>
      <w:r w:rsidR="00C040DA">
        <w:rPr>
          <w:rFonts w:ascii="Book Antiqua" w:eastAsia="Book Antiqua" w:hAnsi="Book Antiqua" w:cs="Book Antiqua"/>
          <w:color w:val="000000"/>
        </w:rPr>
        <w:t>and</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C </w:t>
      </w:r>
      <w:r w:rsidR="00C040DA">
        <w:rPr>
          <w:rFonts w:ascii="Book Antiqua" w:eastAsia="Book Antiqua" w:hAnsi="Book Antiqua" w:cs="Book Antiqua"/>
          <w:color w:val="000000"/>
        </w:rPr>
        <w:t>are</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regarded as clinically relevant</w:t>
      </w:r>
      <w:r w:rsidRPr="006F279E">
        <w:rPr>
          <w:rFonts w:ascii="Book Antiqua" w:eastAsia="Book Antiqua" w:hAnsi="Book Antiqua" w:cs="Book Antiqua"/>
          <w:color w:val="000000"/>
          <w:vertAlign w:val="superscript"/>
        </w:rPr>
        <w:t>[9,10]</w:t>
      </w:r>
      <w:r w:rsidRPr="006F279E">
        <w:rPr>
          <w:rFonts w:ascii="Book Antiqua" w:eastAsia="Book Antiqua" w:hAnsi="Book Antiqua" w:cs="Book Antiqua"/>
          <w:color w:val="000000"/>
        </w:rPr>
        <w:t xml:space="preserve">. Though not a life-threatening complication, </w:t>
      </w:r>
      <w:r w:rsidR="00C040DA">
        <w:rPr>
          <w:rFonts w:ascii="Book Antiqua" w:eastAsia="Book Antiqua" w:hAnsi="Book Antiqua" w:cs="Book Antiqua"/>
          <w:color w:val="000000"/>
        </w:rPr>
        <w:t>DGE</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can increase the duration of postoperative hospitalization and hospital costs, decrease quality of life, and even affect long-term prognosis. However, few studies have focused on DGE </w:t>
      </w:r>
      <w:r w:rsidR="00C040DA">
        <w:rPr>
          <w:rFonts w:ascii="Book Antiqua" w:eastAsia="Book Antiqua" w:hAnsi="Book Antiqua" w:cs="Book Antiqua"/>
          <w:color w:val="000000"/>
        </w:rPr>
        <w:t>in</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ovarian cancer patients after CRS-HIPEC.</w:t>
      </w:r>
    </w:p>
    <w:p w14:paraId="1ABACDFF" w14:textId="7933CEB9"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 xml:space="preserve">The aim of this study was to identify the risk factors for DGE in </w:t>
      </w:r>
      <w:r w:rsidR="00C040DA">
        <w:rPr>
          <w:rFonts w:ascii="Book Antiqua" w:eastAsia="Book Antiqua" w:hAnsi="Book Antiqua" w:cs="Book Antiqua"/>
          <w:color w:val="000000"/>
        </w:rPr>
        <w:t xml:space="preserve">patients with </w:t>
      </w:r>
      <w:r w:rsidRPr="006F279E">
        <w:rPr>
          <w:rFonts w:ascii="Book Antiqua" w:eastAsia="Book Antiqua" w:hAnsi="Book Antiqua" w:cs="Book Antiqua"/>
          <w:color w:val="000000"/>
        </w:rPr>
        <w:t xml:space="preserve">advanced and recurrent ovarian cancer treated with CRS-HIPEC. </w:t>
      </w:r>
      <w:r w:rsidR="00C040DA">
        <w:rPr>
          <w:rFonts w:ascii="Book Antiqua" w:eastAsia="Book Antiqua" w:hAnsi="Book Antiqua" w:cs="Book Antiqua"/>
          <w:color w:val="000000"/>
        </w:rPr>
        <w:t>Identifying</w:t>
      </w:r>
      <w:r w:rsidRPr="006F279E">
        <w:rPr>
          <w:rFonts w:ascii="Book Antiqua" w:eastAsia="Book Antiqua" w:hAnsi="Book Antiqua" w:cs="Book Antiqua"/>
          <w:color w:val="000000"/>
        </w:rPr>
        <w:t xml:space="preserve"> patients at increased risk for DGE may aid patient </w:t>
      </w:r>
      <w:r w:rsidR="00C040DA">
        <w:rPr>
          <w:rFonts w:ascii="Book Antiqua" w:eastAsia="Book Antiqua" w:hAnsi="Book Antiqua" w:cs="Book Antiqua"/>
          <w:color w:val="000000"/>
        </w:rPr>
        <w:t>selection</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as well as postoperative gastrointestinal management.</w:t>
      </w:r>
    </w:p>
    <w:bookmarkEnd w:id="26"/>
    <w:bookmarkEnd w:id="27"/>
    <w:p w14:paraId="0B7D64C4" w14:textId="77777777" w:rsidR="00A77B3E" w:rsidRPr="006F279E" w:rsidRDefault="00A77B3E" w:rsidP="00A72E25">
      <w:pPr>
        <w:adjustRightInd w:val="0"/>
        <w:snapToGrid w:val="0"/>
        <w:spacing w:line="360" w:lineRule="auto"/>
        <w:jc w:val="both"/>
        <w:rPr>
          <w:rFonts w:ascii="Book Antiqua" w:hAnsi="Book Antiqua"/>
        </w:rPr>
      </w:pPr>
    </w:p>
    <w:p w14:paraId="648F5E5C"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aps/>
          <w:color w:val="000000"/>
          <w:u w:val="single"/>
        </w:rPr>
        <w:t>MATERIALS AND METHODS</w:t>
      </w:r>
    </w:p>
    <w:p w14:paraId="6B23E13C" w14:textId="3BB48B29" w:rsidR="00A77B3E" w:rsidRPr="006F279E" w:rsidRDefault="006F279E" w:rsidP="00A72E25">
      <w:pPr>
        <w:adjustRightInd w:val="0"/>
        <w:snapToGrid w:val="0"/>
        <w:spacing w:line="360" w:lineRule="auto"/>
        <w:jc w:val="both"/>
        <w:rPr>
          <w:rFonts w:ascii="Book Antiqua" w:hAnsi="Book Antiqua"/>
          <w:i/>
          <w:iCs/>
        </w:rPr>
      </w:pPr>
      <w:bookmarkStart w:id="28" w:name="OLE_LINK30"/>
      <w:bookmarkStart w:id="29" w:name="OLE_LINK31"/>
      <w:r w:rsidRPr="006F279E">
        <w:rPr>
          <w:rFonts w:ascii="Book Antiqua" w:eastAsia="Book Antiqua" w:hAnsi="Book Antiqua" w:cs="Book Antiqua"/>
          <w:b/>
          <w:bCs/>
          <w:i/>
          <w:iCs/>
          <w:color w:val="000000"/>
        </w:rPr>
        <w:lastRenderedPageBreak/>
        <w:t>Patient selection</w:t>
      </w:r>
    </w:p>
    <w:p w14:paraId="5A84B7A0" w14:textId="0000E9AB" w:rsidR="00A77B3E" w:rsidRPr="006F279E" w:rsidRDefault="006F279E" w:rsidP="00A72E25">
      <w:pPr>
        <w:adjustRightInd w:val="0"/>
        <w:snapToGrid w:val="0"/>
        <w:spacing w:line="360" w:lineRule="auto"/>
        <w:jc w:val="both"/>
        <w:rPr>
          <w:rFonts w:ascii="Book Antiqua" w:eastAsia="Book Antiqua" w:hAnsi="Book Antiqua" w:cs="Book Antiqua"/>
          <w:color w:val="000000"/>
        </w:rPr>
      </w:pPr>
      <w:r w:rsidRPr="006F279E">
        <w:rPr>
          <w:rFonts w:ascii="Book Antiqua" w:eastAsia="Book Antiqua" w:hAnsi="Book Antiqua" w:cs="Book Antiqua"/>
          <w:color w:val="000000"/>
        </w:rPr>
        <w:t xml:space="preserve">From March 2014 to April 2018, 77 patients with pathologically diagnosed advanced and recurrent ovarian cancer treated by CRS-HIPEC at the Department of Peritoneal Cancer Surgery and Gynecology, Beijing, China, were enrolled in this study. The major inclusion and exclusion criteria, as well as preoperative evaluations, </w:t>
      </w:r>
      <w:r w:rsidR="00281124">
        <w:rPr>
          <w:rFonts w:ascii="Book Antiqua" w:eastAsia="Book Antiqua" w:hAnsi="Book Antiqua" w:cs="Book Antiqua"/>
          <w:color w:val="000000"/>
        </w:rPr>
        <w:t>have been</w:t>
      </w:r>
      <w:r w:rsidR="00281124" w:rsidRPr="006F279E">
        <w:rPr>
          <w:rFonts w:ascii="Book Antiqua" w:eastAsia="Book Antiqua" w:hAnsi="Book Antiqua" w:cs="Book Antiqua"/>
          <w:color w:val="000000"/>
        </w:rPr>
        <w:t xml:space="preserve"> </w:t>
      </w:r>
      <w:r w:rsidR="0022342F">
        <w:rPr>
          <w:rFonts w:ascii="Book Antiqua" w:eastAsia="Book Antiqua" w:hAnsi="Book Antiqua" w:cs="Book Antiqua"/>
          <w:color w:val="000000"/>
        </w:rPr>
        <w:t xml:space="preserve">previously </w:t>
      </w:r>
      <w:proofErr w:type="gramStart"/>
      <w:r w:rsidRPr="006F279E">
        <w:rPr>
          <w:rFonts w:ascii="Book Antiqua" w:eastAsia="Book Antiqua" w:hAnsi="Book Antiqua" w:cs="Book Antiqua"/>
          <w:color w:val="000000"/>
        </w:rPr>
        <w:t>reported</w:t>
      </w:r>
      <w:r w:rsidRPr="006F279E">
        <w:rPr>
          <w:rFonts w:ascii="Book Antiqua" w:eastAsia="Book Antiqua" w:hAnsi="Book Antiqua" w:cs="Book Antiqua"/>
          <w:color w:val="000000"/>
          <w:vertAlign w:val="superscript"/>
        </w:rPr>
        <w:t>[</w:t>
      </w:r>
      <w:proofErr w:type="gramEnd"/>
      <w:r w:rsidRPr="006F279E">
        <w:rPr>
          <w:rFonts w:ascii="Book Antiqua" w:eastAsia="Book Antiqua" w:hAnsi="Book Antiqua" w:cs="Book Antiqua"/>
          <w:color w:val="000000"/>
          <w:vertAlign w:val="superscript"/>
        </w:rPr>
        <w:t>11]</w:t>
      </w:r>
      <w:r w:rsidRPr="006F279E">
        <w:rPr>
          <w:rFonts w:ascii="Book Antiqua" w:eastAsia="Book Antiqua" w:hAnsi="Book Antiqua" w:cs="Book Antiqua"/>
          <w:color w:val="000000"/>
        </w:rPr>
        <w:t xml:space="preserve"> and were strictly implemented in this study to minimize bias. All patients provided written informed consent before enrollment, and the study was approved by the ethics committee and institutional review board.</w:t>
      </w:r>
    </w:p>
    <w:p w14:paraId="1CDA94D0" w14:textId="77777777" w:rsidR="00F16F88" w:rsidRPr="006F279E" w:rsidRDefault="00F16F88" w:rsidP="00A72E25">
      <w:pPr>
        <w:adjustRightInd w:val="0"/>
        <w:snapToGrid w:val="0"/>
        <w:spacing w:line="360" w:lineRule="auto"/>
        <w:jc w:val="both"/>
        <w:rPr>
          <w:rFonts w:ascii="Book Antiqua" w:hAnsi="Book Antiqua"/>
        </w:rPr>
      </w:pPr>
    </w:p>
    <w:p w14:paraId="308566A5" w14:textId="28E9435C" w:rsidR="00A77B3E" w:rsidRPr="006F279E" w:rsidRDefault="006F279E" w:rsidP="00A72E25">
      <w:pPr>
        <w:adjustRightInd w:val="0"/>
        <w:snapToGrid w:val="0"/>
        <w:spacing w:line="360" w:lineRule="auto"/>
        <w:jc w:val="both"/>
        <w:rPr>
          <w:rFonts w:ascii="Book Antiqua" w:hAnsi="Book Antiqua"/>
          <w:b/>
          <w:bCs/>
          <w:i/>
          <w:iCs/>
        </w:rPr>
      </w:pPr>
      <w:r w:rsidRPr="006F279E">
        <w:rPr>
          <w:rFonts w:ascii="Book Antiqua" w:eastAsia="Book Antiqua" w:hAnsi="Book Antiqua" w:cs="Book Antiqua"/>
          <w:b/>
          <w:bCs/>
          <w:i/>
          <w:iCs/>
          <w:color w:val="000000"/>
        </w:rPr>
        <w:t>CRS-HIPEC procedure</w:t>
      </w:r>
    </w:p>
    <w:p w14:paraId="08BF828A" w14:textId="3B346E0A" w:rsidR="00A77B3E" w:rsidRPr="006F279E" w:rsidRDefault="006F279E" w:rsidP="00A72E25">
      <w:pPr>
        <w:adjustRightInd w:val="0"/>
        <w:snapToGrid w:val="0"/>
        <w:spacing w:line="360" w:lineRule="auto"/>
        <w:jc w:val="both"/>
        <w:rPr>
          <w:rFonts w:ascii="Book Antiqua" w:eastAsia="Book Antiqua" w:hAnsi="Book Antiqua" w:cs="Book Antiqua"/>
          <w:color w:val="000000"/>
        </w:rPr>
      </w:pPr>
      <w:r w:rsidRPr="006F279E">
        <w:rPr>
          <w:rFonts w:ascii="Book Antiqua" w:eastAsia="Book Antiqua" w:hAnsi="Book Antiqua" w:cs="Book Antiqua"/>
          <w:color w:val="000000"/>
        </w:rPr>
        <w:t xml:space="preserve">The extent of peritoneal spread was assessed after abdominal exploration using the </w:t>
      </w:r>
      <w:r w:rsidR="0028481E">
        <w:rPr>
          <w:rFonts w:ascii="Book Antiqua" w:eastAsia="Book Antiqua" w:hAnsi="Book Antiqua" w:cs="Book Antiqua"/>
          <w:color w:val="000000"/>
        </w:rPr>
        <w:t xml:space="preserve">peritoneal cancer index </w:t>
      </w:r>
      <w:r w:rsidRPr="006F279E">
        <w:rPr>
          <w:rFonts w:ascii="Book Antiqua" w:eastAsia="Book Antiqua" w:hAnsi="Book Antiqua" w:cs="Book Antiqua"/>
          <w:color w:val="000000"/>
        </w:rPr>
        <w:t xml:space="preserve">(PCI). Then maximal CRS was performed including primary tumor removal, complete resection of the tumor nodule with intestinal resection if necessary, and peritonectomy. The gastroepiploic artery was preserved during omentectomy to minimize </w:t>
      </w:r>
      <w:r w:rsidR="0028481E">
        <w:rPr>
          <w:rFonts w:ascii="Book Antiqua" w:eastAsia="Book Antiqua" w:hAnsi="Book Antiqua" w:cs="Book Antiqua"/>
          <w:color w:val="000000"/>
        </w:rPr>
        <w:t>the</w:t>
      </w:r>
      <w:r w:rsidR="0028481E"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effect on gastric emptying, although there </w:t>
      </w:r>
      <w:r w:rsidR="0022342F">
        <w:rPr>
          <w:rFonts w:ascii="Book Antiqua" w:eastAsia="Book Antiqua" w:hAnsi="Book Antiqua" w:cs="Book Antiqua"/>
          <w:color w:val="000000"/>
        </w:rPr>
        <w:t>it has been</w:t>
      </w:r>
      <w:r w:rsidRPr="006F279E">
        <w:rPr>
          <w:rFonts w:ascii="Book Antiqua" w:eastAsia="Book Antiqua" w:hAnsi="Book Antiqua" w:cs="Book Antiqua"/>
          <w:color w:val="000000"/>
        </w:rPr>
        <w:t xml:space="preserve"> report</w:t>
      </w:r>
      <w:r w:rsidR="0022342F">
        <w:rPr>
          <w:rFonts w:ascii="Book Antiqua" w:eastAsia="Book Antiqua" w:hAnsi="Book Antiqua" w:cs="Book Antiqua"/>
          <w:color w:val="000000"/>
        </w:rPr>
        <w:t>ed that there is</w:t>
      </w:r>
      <w:r w:rsidRPr="006F279E">
        <w:rPr>
          <w:rFonts w:ascii="Book Antiqua" w:eastAsia="Book Antiqua" w:hAnsi="Book Antiqua" w:cs="Book Antiqua"/>
          <w:color w:val="000000"/>
        </w:rPr>
        <w:t xml:space="preserve"> no association between preservation of the gastroepiploic artery during omentectomy and gastric emptying after CRS-</w:t>
      </w:r>
      <w:proofErr w:type="gramStart"/>
      <w:r w:rsidRPr="006F279E">
        <w:rPr>
          <w:rFonts w:ascii="Book Antiqua" w:eastAsia="Book Antiqua" w:hAnsi="Book Antiqua" w:cs="Book Antiqua"/>
          <w:color w:val="000000"/>
        </w:rPr>
        <w:t>HIPEC</w:t>
      </w:r>
      <w:r w:rsidRPr="006F279E">
        <w:rPr>
          <w:rFonts w:ascii="Book Antiqua" w:eastAsia="Book Antiqua" w:hAnsi="Book Antiqua" w:cs="Book Antiqua"/>
          <w:color w:val="000000"/>
          <w:vertAlign w:val="superscript"/>
        </w:rPr>
        <w:t>[</w:t>
      </w:r>
      <w:proofErr w:type="gramEnd"/>
      <w:r w:rsidRPr="006F279E">
        <w:rPr>
          <w:rFonts w:ascii="Book Antiqua" w:eastAsia="Book Antiqua" w:hAnsi="Book Antiqua" w:cs="Book Antiqua"/>
          <w:color w:val="000000"/>
          <w:vertAlign w:val="superscript"/>
        </w:rPr>
        <w:t>12]</w:t>
      </w:r>
      <w:r w:rsidRPr="006F279E">
        <w:rPr>
          <w:rFonts w:ascii="Book Antiqua" w:eastAsia="Book Antiqua" w:hAnsi="Book Antiqua" w:cs="Book Antiqua"/>
          <w:color w:val="000000"/>
        </w:rPr>
        <w:t>.</w:t>
      </w:r>
      <w:r w:rsidRPr="006F279E">
        <w:rPr>
          <w:rFonts w:ascii="Book Antiqua" w:eastAsia="Book Antiqua" w:hAnsi="Book Antiqua" w:cs="Book Antiqua"/>
          <w:color w:val="000000"/>
          <w:shd w:val="clear" w:color="auto" w:fill="FFFFFF"/>
        </w:rPr>
        <w:t xml:space="preserve"> </w:t>
      </w:r>
      <w:r w:rsidRPr="006F279E">
        <w:rPr>
          <w:rFonts w:ascii="Book Antiqua" w:eastAsia="Book Antiqua" w:hAnsi="Book Antiqua" w:cs="Book Antiqua"/>
          <w:color w:val="000000"/>
        </w:rPr>
        <w:t>The completeness of cytoreduction was evaluated for each patient with a standardized cytoreduction scoring system</w:t>
      </w:r>
      <w:r w:rsidRPr="006F279E">
        <w:rPr>
          <w:rFonts w:ascii="Book Antiqua" w:eastAsia="Book Antiqua" w:hAnsi="Book Antiqua" w:cs="Book Antiqua"/>
          <w:color w:val="000000"/>
          <w:vertAlign w:val="superscript"/>
        </w:rPr>
        <w:t>[13]</w:t>
      </w:r>
      <w:r w:rsidRPr="006F279E">
        <w:rPr>
          <w:rFonts w:ascii="Book Antiqua" w:eastAsia="Book Antiqua" w:hAnsi="Book Antiqua" w:cs="Book Antiqua"/>
          <w:color w:val="000000"/>
        </w:rPr>
        <w:t xml:space="preserve">. HIPEC was then implemented using the open coliseum technique, the details of which have been described elsewhere, and all CRS-HIPES procedures were based on Sugarbaker’s </w:t>
      </w:r>
      <w:proofErr w:type="gramStart"/>
      <w:r w:rsidRPr="006F279E">
        <w:rPr>
          <w:rFonts w:ascii="Book Antiqua" w:eastAsia="Book Antiqua" w:hAnsi="Book Antiqua" w:cs="Book Antiqua"/>
          <w:color w:val="000000"/>
        </w:rPr>
        <w:t>principles</w:t>
      </w:r>
      <w:r w:rsidRPr="006F279E">
        <w:rPr>
          <w:rFonts w:ascii="Book Antiqua" w:eastAsia="Book Antiqua" w:hAnsi="Book Antiqua" w:cs="Book Antiqua"/>
          <w:color w:val="000000"/>
          <w:vertAlign w:val="superscript"/>
        </w:rPr>
        <w:t>[</w:t>
      </w:r>
      <w:proofErr w:type="gramEnd"/>
      <w:r w:rsidRPr="006F279E">
        <w:rPr>
          <w:rFonts w:ascii="Book Antiqua" w:eastAsia="Book Antiqua" w:hAnsi="Book Antiqua" w:cs="Book Antiqua"/>
          <w:color w:val="000000"/>
          <w:vertAlign w:val="superscript"/>
        </w:rPr>
        <w:t>14,15]</w:t>
      </w:r>
      <w:r w:rsidRPr="006F279E">
        <w:rPr>
          <w:rFonts w:ascii="Book Antiqua" w:eastAsia="Book Antiqua" w:hAnsi="Book Antiqua" w:cs="Book Antiqua"/>
          <w:color w:val="000000"/>
        </w:rPr>
        <w:t>.</w:t>
      </w:r>
    </w:p>
    <w:p w14:paraId="0E8544C8" w14:textId="77777777" w:rsidR="00F16F88" w:rsidRPr="006F279E" w:rsidRDefault="00F16F88" w:rsidP="00A72E25">
      <w:pPr>
        <w:adjustRightInd w:val="0"/>
        <w:snapToGrid w:val="0"/>
        <w:spacing w:line="360" w:lineRule="auto"/>
        <w:jc w:val="both"/>
        <w:rPr>
          <w:rFonts w:ascii="Book Antiqua" w:hAnsi="Book Antiqua"/>
        </w:rPr>
      </w:pPr>
    </w:p>
    <w:p w14:paraId="35FF9D42" w14:textId="656E46C7" w:rsidR="00A77B3E" w:rsidRPr="006F279E" w:rsidRDefault="0022342F" w:rsidP="00A72E25">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D</w:t>
      </w:r>
      <w:r w:rsidR="006F279E" w:rsidRPr="006F279E">
        <w:rPr>
          <w:rFonts w:ascii="Book Antiqua" w:eastAsia="Book Antiqua" w:hAnsi="Book Antiqua" w:cs="Book Antiqua"/>
          <w:b/>
          <w:bCs/>
          <w:i/>
          <w:iCs/>
          <w:color w:val="000000"/>
        </w:rPr>
        <w:t>efinition of clinically relevant postoperative DGE</w:t>
      </w:r>
    </w:p>
    <w:p w14:paraId="2A40BE80" w14:textId="529E35A1" w:rsidR="00A77B3E" w:rsidRPr="006F279E" w:rsidRDefault="006F279E" w:rsidP="00A72E25">
      <w:pPr>
        <w:adjustRightInd w:val="0"/>
        <w:snapToGrid w:val="0"/>
        <w:spacing w:line="360" w:lineRule="auto"/>
        <w:jc w:val="both"/>
        <w:rPr>
          <w:rFonts w:ascii="Book Antiqua" w:eastAsia="Book Antiqua" w:hAnsi="Book Antiqua" w:cs="Book Antiqua"/>
          <w:color w:val="000000"/>
        </w:rPr>
      </w:pPr>
      <w:r w:rsidRPr="006F279E">
        <w:rPr>
          <w:rFonts w:ascii="Book Antiqua" w:eastAsia="Book Antiqua" w:hAnsi="Book Antiqua" w:cs="Book Antiqua"/>
          <w:color w:val="000000"/>
        </w:rPr>
        <w:t xml:space="preserve">Clinically relevant postoperative DGE was defined as </w:t>
      </w:r>
      <w:r w:rsidR="0028481E">
        <w:rPr>
          <w:rFonts w:ascii="Book Antiqua" w:eastAsia="Book Antiqua" w:hAnsi="Book Antiqua" w:cs="Book Antiqua"/>
          <w:color w:val="000000"/>
        </w:rPr>
        <w:t>a</w:t>
      </w:r>
      <w:r w:rsidR="0028481E"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nasogastric tube (NGT) left in place for ≥ 8 d</w:t>
      </w:r>
      <w:r w:rsidR="00B06C16" w:rsidRPr="006F279E">
        <w:rPr>
          <w:rFonts w:ascii="Book Antiqua" w:hAnsi="Book Antiqua" w:cs="Book Antiqua"/>
          <w:color w:val="000000"/>
          <w:lang w:eastAsia="zh-CN"/>
        </w:rPr>
        <w:t xml:space="preserve"> </w:t>
      </w:r>
      <w:r w:rsidRPr="006F279E">
        <w:rPr>
          <w:rFonts w:ascii="Book Antiqua" w:eastAsia="Book Antiqua" w:hAnsi="Book Antiqua" w:cs="Book Antiqua"/>
          <w:color w:val="000000"/>
        </w:rPr>
        <w:t xml:space="preserve">or </w:t>
      </w:r>
      <w:r w:rsidR="00B06C16" w:rsidRPr="006F279E">
        <w:rPr>
          <w:rFonts w:ascii="Book Antiqua" w:hAnsi="Book Antiqua" w:cs="Book Antiqua"/>
          <w:color w:val="000000"/>
          <w:lang w:eastAsia="zh-CN"/>
        </w:rPr>
        <w:t xml:space="preserve">&lt; </w:t>
      </w:r>
      <w:r w:rsidRPr="006F279E">
        <w:rPr>
          <w:rFonts w:ascii="Book Antiqua" w:eastAsia="Book Antiqua" w:hAnsi="Book Antiqua" w:cs="Book Antiqua"/>
          <w:color w:val="000000"/>
        </w:rPr>
        <w:t>8 d but repeated emesis after removal of the NGT and/or need for reinsertion of the NGT or failure to tolerate unlimited oral intake by postoperative day 14</w:t>
      </w:r>
      <w:r w:rsidRPr="006F279E">
        <w:rPr>
          <w:rFonts w:ascii="Book Antiqua" w:eastAsia="Book Antiqua" w:hAnsi="Book Antiqua" w:cs="Book Antiqua"/>
          <w:color w:val="000000"/>
          <w:vertAlign w:val="superscript"/>
        </w:rPr>
        <w:t>[9,10]</w:t>
      </w:r>
      <w:r w:rsidRPr="006F279E">
        <w:rPr>
          <w:rFonts w:ascii="Book Antiqua" w:eastAsia="Book Antiqua" w:hAnsi="Book Antiqua" w:cs="Book Antiqua"/>
          <w:color w:val="000000"/>
        </w:rPr>
        <w:t>.</w:t>
      </w:r>
    </w:p>
    <w:p w14:paraId="782A2C34" w14:textId="77777777" w:rsidR="00B06C16" w:rsidRPr="006F279E" w:rsidRDefault="00B06C16" w:rsidP="00A72E25">
      <w:pPr>
        <w:adjustRightInd w:val="0"/>
        <w:snapToGrid w:val="0"/>
        <w:spacing w:line="360" w:lineRule="auto"/>
        <w:jc w:val="both"/>
        <w:rPr>
          <w:rFonts w:ascii="Book Antiqua" w:hAnsi="Book Antiqua"/>
        </w:rPr>
      </w:pPr>
    </w:p>
    <w:p w14:paraId="10D8FFF5" w14:textId="11344DEE" w:rsidR="00A77B3E" w:rsidRPr="006F279E" w:rsidRDefault="006F279E" w:rsidP="00A72E25">
      <w:pPr>
        <w:adjustRightInd w:val="0"/>
        <w:snapToGrid w:val="0"/>
        <w:spacing w:line="360" w:lineRule="auto"/>
        <w:jc w:val="both"/>
        <w:rPr>
          <w:rFonts w:ascii="Book Antiqua" w:hAnsi="Book Antiqua"/>
          <w:i/>
          <w:iCs/>
        </w:rPr>
      </w:pPr>
      <w:r w:rsidRPr="006F279E">
        <w:rPr>
          <w:rFonts w:ascii="Book Antiqua" w:eastAsia="Book Antiqua" w:hAnsi="Book Antiqua" w:cs="Book Antiqua"/>
          <w:b/>
          <w:bCs/>
          <w:i/>
          <w:iCs/>
          <w:color w:val="000000"/>
        </w:rPr>
        <w:lastRenderedPageBreak/>
        <w:t>Parameters observed in the study</w:t>
      </w:r>
    </w:p>
    <w:p w14:paraId="6FE00A1B" w14:textId="7163FBE6" w:rsidR="00A77B3E" w:rsidRPr="006F279E" w:rsidRDefault="006F279E" w:rsidP="00A72E25">
      <w:pPr>
        <w:adjustRightInd w:val="0"/>
        <w:snapToGrid w:val="0"/>
        <w:spacing w:line="360" w:lineRule="auto"/>
        <w:jc w:val="both"/>
        <w:rPr>
          <w:rFonts w:ascii="Book Antiqua" w:eastAsia="Book Antiqua" w:hAnsi="Book Antiqua" w:cs="Book Antiqua"/>
          <w:color w:val="000000"/>
        </w:rPr>
      </w:pPr>
      <w:r w:rsidRPr="006F279E">
        <w:rPr>
          <w:rFonts w:ascii="Book Antiqua" w:eastAsia="Book Antiqua" w:hAnsi="Book Antiqua" w:cs="Book Antiqua"/>
          <w:color w:val="000000"/>
        </w:rPr>
        <w:t xml:space="preserve">The demographic data included age, body mass index (BMI), concomitant disease, preoperative chemotherapy, serum </w:t>
      </w:r>
      <w:r w:rsidR="008A414E">
        <w:rPr>
          <w:rFonts w:ascii="Book Antiqua" w:eastAsia="Book Antiqua" w:hAnsi="Book Antiqua" w:cs="Book Antiqua"/>
          <w:color w:val="000000"/>
        </w:rPr>
        <w:t>cancer antigen 125 (</w:t>
      </w:r>
      <w:r w:rsidRPr="006F279E">
        <w:rPr>
          <w:rFonts w:ascii="Book Antiqua" w:eastAsia="Book Antiqua" w:hAnsi="Book Antiqua" w:cs="Book Antiqua"/>
          <w:color w:val="000000"/>
        </w:rPr>
        <w:t>CA-125</w:t>
      </w:r>
      <w:r w:rsidR="008A414E">
        <w:rPr>
          <w:rFonts w:ascii="Book Antiqua" w:eastAsia="Book Antiqua" w:hAnsi="Book Antiqua" w:cs="Book Antiqua"/>
          <w:color w:val="000000"/>
        </w:rPr>
        <w:t>)</w:t>
      </w:r>
      <w:r w:rsidRPr="006F279E">
        <w:rPr>
          <w:rFonts w:ascii="Book Antiqua" w:eastAsia="Book Antiqua" w:hAnsi="Book Antiqua" w:cs="Book Antiqua"/>
          <w:color w:val="000000"/>
        </w:rPr>
        <w:t xml:space="preserve"> level</w:t>
      </w:r>
      <w:r w:rsidR="007F1DBB">
        <w:rPr>
          <w:rFonts w:ascii="Book Antiqua" w:eastAsia="Book Antiqua" w:hAnsi="Book Antiqua" w:cs="Book Antiqua"/>
          <w:color w:val="000000"/>
        </w:rPr>
        <w:t>,</w:t>
      </w:r>
      <w:r w:rsidRPr="006F279E">
        <w:rPr>
          <w:rFonts w:ascii="Book Antiqua" w:eastAsia="Book Antiqua" w:hAnsi="Book Antiqua" w:cs="Book Antiqua"/>
          <w:color w:val="000000"/>
        </w:rPr>
        <w:t xml:space="preserve"> and pleural effusion status. During CRS-HIPEC, we collected information about the operation time, PCI, intraoperative bleeding, number of organs removed</w:t>
      </w:r>
      <w:r w:rsidR="0028481E">
        <w:rPr>
          <w:rFonts w:ascii="Book Antiqua" w:eastAsia="Book Antiqua" w:hAnsi="Book Antiqua" w:cs="Book Antiqua"/>
          <w:color w:val="000000"/>
        </w:rPr>
        <w:t>,</w:t>
      </w:r>
      <w:r w:rsidRPr="006F279E">
        <w:rPr>
          <w:rFonts w:ascii="Book Antiqua" w:eastAsia="Book Antiqua" w:hAnsi="Book Antiqua" w:cs="Book Antiqua"/>
          <w:color w:val="000000"/>
        </w:rPr>
        <w:t xml:space="preserve"> intestinal resection and anastomosis. The NGT intubation time and eating status were recorded after CRS-HIPEC.</w:t>
      </w:r>
    </w:p>
    <w:p w14:paraId="2E5794E4" w14:textId="77777777" w:rsidR="00B06C16" w:rsidRPr="006F279E" w:rsidRDefault="00B06C16" w:rsidP="00A72E25">
      <w:pPr>
        <w:adjustRightInd w:val="0"/>
        <w:snapToGrid w:val="0"/>
        <w:spacing w:line="360" w:lineRule="auto"/>
        <w:jc w:val="both"/>
        <w:rPr>
          <w:rFonts w:ascii="Book Antiqua" w:eastAsia="Book Antiqua" w:hAnsi="Book Antiqua" w:cs="Book Antiqua"/>
          <w:b/>
          <w:bCs/>
          <w:color w:val="000000"/>
        </w:rPr>
      </w:pPr>
    </w:p>
    <w:p w14:paraId="00F09F2E" w14:textId="731601FF" w:rsidR="00A77B3E" w:rsidRPr="006F279E" w:rsidRDefault="006F279E" w:rsidP="00A72E25">
      <w:pPr>
        <w:adjustRightInd w:val="0"/>
        <w:snapToGrid w:val="0"/>
        <w:spacing w:line="360" w:lineRule="auto"/>
        <w:jc w:val="both"/>
        <w:rPr>
          <w:rFonts w:ascii="Book Antiqua" w:hAnsi="Book Antiqua"/>
          <w:i/>
          <w:iCs/>
        </w:rPr>
      </w:pPr>
      <w:r w:rsidRPr="006F279E">
        <w:rPr>
          <w:rFonts w:ascii="Book Antiqua" w:eastAsia="Book Antiqua" w:hAnsi="Book Antiqua" w:cs="Book Antiqua"/>
          <w:b/>
          <w:bCs/>
          <w:i/>
          <w:iCs/>
          <w:color w:val="000000"/>
        </w:rPr>
        <w:t>Statistical analysis</w:t>
      </w:r>
    </w:p>
    <w:p w14:paraId="2A175472" w14:textId="1016921F"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The data were included in a prospective database established at the beginning of the surgery and were analyzed using SPSS software (version 18.0; SPSS incorporated, an IBM Company, Chicago, IL, United States). Data from 77 patients</w:t>
      </w:r>
      <w:r w:rsidR="0028481E">
        <w:rPr>
          <w:rFonts w:ascii="Book Antiqua" w:eastAsia="Book Antiqua" w:hAnsi="Book Antiqua" w:cs="Book Antiqua"/>
          <w:color w:val="000000"/>
        </w:rPr>
        <w:t>,</w:t>
      </w:r>
      <w:r w:rsidRPr="006F279E">
        <w:rPr>
          <w:rFonts w:ascii="Book Antiqua" w:eastAsia="Book Antiqua" w:hAnsi="Book Antiqua" w:cs="Book Antiqua"/>
          <w:color w:val="000000"/>
        </w:rPr>
        <w:t xml:space="preserve"> without </w:t>
      </w:r>
      <w:r w:rsidR="0028481E">
        <w:rPr>
          <w:rFonts w:ascii="Book Antiqua" w:eastAsia="Book Antiqua" w:hAnsi="Book Antiqua" w:cs="Book Antiqua"/>
          <w:color w:val="000000"/>
        </w:rPr>
        <w:t xml:space="preserve">any </w:t>
      </w:r>
      <w:r w:rsidRPr="006F279E">
        <w:rPr>
          <w:rFonts w:ascii="Book Antiqua" w:eastAsia="Book Antiqua" w:hAnsi="Book Antiqua" w:cs="Book Antiqua"/>
          <w:color w:val="000000"/>
        </w:rPr>
        <w:t xml:space="preserve">missing </w:t>
      </w:r>
      <w:r w:rsidR="0028481E">
        <w:rPr>
          <w:rFonts w:ascii="Book Antiqua" w:eastAsia="Book Antiqua" w:hAnsi="Book Antiqua" w:cs="Book Antiqua"/>
          <w:color w:val="000000"/>
        </w:rPr>
        <w:t>data, are</w:t>
      </w:r>
      <w:r w:rsidR="0028481E"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expressed as the median (range) and </w:t>
      </w:r>
      <w:r w:rsidR="0028481E" w:rsidRPr="006F279E">
        <w:rPr>
          <w:rFonts w:ascii="Book Antiqua" w:eastAsia="Book Antiqua" w:hAnsi="Book Antiqua" w:cs="Book Antiqua"/>
          <w:color w:val="000000"/>
        </w:rPr>
        <w:t>frequenc</w:t>
      </w:r>
      <w:r w:rsidR="0028481E">
        <w:rPr>
          <w:rFonts w:ascii="Book Antiqua" w:eastAsia="Book Antiqua" w:hAnsi="Book Antiqua" w:cs="Book Antiqua"/>
          <w:color w:val="000000"/>
        </w:rPr>
        <w:t>y</w:t>
      </w:r>
      <w:r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shd w:val="clear" w:color="auto" w:fill="FFFFFF"/>
        </w:rPr>
        <w:t xml:space="preserve">Univariate analyses were </w:t>
      </w:r>
      <w:r w:rsidR="0028481E">
        <w:rPr>
          <w:rFonts w:ascii="Book Antiqua" w:eastAsia="Book Antiqua" w:hAnsi="Book Antiqua" w:cs="Book Antiqua"/>
          <w:color w:val="000000"/>
          <w:shd w:val="clear" w:color="auto" w:fill="FFFFFF"/>
        </w:rPr>
        <w:t>comparing</w:t>
      </w:r>
      <w:r w:rsidR="0028481E" w:rsidRPr="006F279E">
        <w:rPr>
          <w:rFonts w:ascii="Book Antiqua" w:eastAsia="Book Antiqua" w:hAnsi="Book Antiqua" w:cs="Book Antiqua"/>
          <w:color w:val="000000"/>
          <w:shd w:val="clear" w:color="auto" w:fill="FFFFFF"/>
        </w:rPr>
        <w:t xml:space="preserve"> </w:t>
      </w:r>
      <w:r w:rsidRPr="006F279E">
        <w:rPr>
          <w:rFonts w:ascii="Book Antiqua" w:eastAsia="Book Antiqua" w:hAnsi="Book Antiqua" w:cs="Book Antiqua"/>
          <w:color w:val="000000"/>
          <w:shd w:val="clear" w:color="auto" w:fill="FFFFFF"/>
        </w:rPr>
        <w:t>patients who experienced DGE with patients who did not</w:t>
      </w:r>
      <w:r w:rsidR="0028481E">
        <w:rPr>
          <w:rFonts w:ascii="Book Antiqua" w:eastAsia="Book Antiqua" w:hAnsi="Book Antiqua" w:cs="Book Antiqua"/>
          <w:color w:val="000000"/>
          <w:shd w:val="clear" w:color="auto" w:fill="FFFFFF"/>
        </w:rPr>
        <w:t xml:space="preserve"> were performed</w:t>
      </w:r>
      <w:r w:rsidRPr="006F279E">
        <w:rPr>
          <w:rFonts w:ascii="Book Antiqua" w:eastAsia="Book Antiqua" w:hAnsi="Book Antiqua" w:cs="Book Antiqua"/>
          <w:color w:val="000000"/>
          <w:shd w:val="clear" w:color="auto" w:fill="FFFFFF"/>
        </w:rPr>
        <w:t xml:space="preserve"> using </w:t>
      </w:r>
      <w:r w:rsidRPr="006F279E">
        <w:rPr>
          <w:rFonts w:ascii="Book Antiqua" w:eastAsia="Book Antiqua" w:hAnsi="Book Antiqua" w:cs="Book Antiqua"/>
          <w:color w:val="000000"/>
        </w:rPr>
        <w:t>chi</w:t>
      </w:r>
      <w:r w:rsidRPr="006F279E">
        <w:rPr>
          <w:rFonts w:ascii="Book Antiqua" w:eastAsia="Book Antiqua" w:hAnsi="Book Antiqua" w:cs="Book Antiqua"/>
          <w:color w:val="000000"/>
          <w:shd w:val="clear" w:color="auto" w:fill="FFFFFF"/>
        </w:rPr>
        <w:t>-square tests.</w:t>
      </w:r>
      <w:r w:rsidRPr="006F279E">
        <w:rPr>
          <w:rFonts w:ascii="Book Antiqua" w:eastAsia="Book Antiqua" w:hAnsi="Book Antiqua" w:cs="Book Antiqua"/>
          <w:color w:val="000000"/>
        </w:rPr>
        <w:t xml:space="preserve"> A 95% confidence interval (</w:t>
      </w:r>
      <w:r w:rsidR="00B06C16" w:rsidRPr="006F279E">
        <w:rPr>
          <w:rFonts w:ascii="Book Antiqua" w:eastAsia="Book Antiqua" w:hAnsi="Book Antiqua" w:cs="Book Antiqua"/>
          <w:i/>
          <w:iCs/>
          <w:color w:val="000000"/>
        </w:rPr>
        <w:t xml:space="preserve">P </w:t>
      </w:r>
      <w:r w:rsidR="00B06C16" w:rsidRPr="006F279E">
        <w:rPr>
          <w:rFonts w:ascii="Book Antiqua" w:hAnsi="Book Antiqua" w:cs="Book Antiqua"/>
          <w:color w:val="000000"/>
          <w:lang w:eastAsia="zh-CN"/>
        </w:rPr>
        <w:t xml:space="preserve">&lt; </w:t>
      </w:r>
      <w:r w:rsidRPr="006F279E">
        <w:rPr>
          <w:rFonts w:ascii="Book Antiqua" w:eastAsia="Book Antiqua" w:hAnsi="Book Antiqua" w:cs="Book Antiqua"/>
          <w:color w:val="000000"/>
        </w:rPr>
        <w:t xml:space="preserve">0.05) was considered statistically significant. All </w:t>
      </w:r>
      <w:r w:rsidR="0028481E">
        <w:rPr>
          <w:rFonts w:ascii="Book Antiqua" w:eastAsia="Book Antiqua" w:hAnsi="Book Antiqua" w:cs="Book Antiqua"/>
          <w:color w:val="000000"/>
        </w:rPr>
        <w:t xml:space="preserve">of </w:t>
      </w:r>
      <w:r w:rsidRPr="006F279E">
        <w:rPr>
          <w:rFonts w:ascii="Book Antiqua" w:eastAsia="Book Antiqua" w:hAnsi="Book Antiqua" w:cs="Book Antiqua"/>
          <w:color w:val="000000"/>
        </w:rPr>
        <w:t xml:space="preserve">the statistically significant variables in the univariate analysis were </w:t>
      </w:r>
      <w:r w:rsidR="00F874C6">
        <w:rPr>
          <w:rFonts w:ascii="Book Antiqua" w:eastAsia="Book Antiqua" w:hAnsi="Book Antiqua" w:cs="Book Antiqua"/>
          <w:color w:val="000000"/>
        </w:rPr>
        <w:t>entered</w:t>
      </w:r>
      <w:r w:rsidRPr="006F279E">
        <w:rPr>
          <w:rFonts w:ascii="Book Antiqua" w:eastAsia="Book Antiqua" w:hAnsi="Book Antiqua" w:cs="Book Antiqua"/>
          <w:color w:val="000000"/>
        </w:rPr>
        <w:t xml:space="preserve"> into the </w:t>
      </w:r>
      <w:r w:rsidRPr="006F279E">
        <w:rPr>
          <w:rFonts w:ascii="Book Antiqua" w:eastAsia="Book Antiqua" w:hAnsi="Book Antiqua" w:cs="Book Antiqua"/>
          <w:color w:val="000000"/>
          <w:shd w:val="clear" w:color="auto" w:fill="FFFFFF"/>
        </w:rPr>
        <w:t>multivariable logistic regression model to determine factors independently associated with DGE.</w:t>
      </w:r>
    </w:p>
    <w:p w14:paraId="5C0F5DC0" w14:textId="65A8917C" w:rsidR="00A77B3E" w:rsidRPr="006F279E" w:rsidRDefault="0028481E" w:rsidP="00A72E25">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A</w:t>
      </w:r>
      <w:r w:rsidRPr="006F279E">
        <w:rPr>
          <w:rFonts w:ascii="Book Antiqua" w:eastAsia="Book Antiqua" w:hAnsi="Book Antiqua" w:cs="Book Antiqua"/>
          <w:color w:val="000000"/>
          <w:shd w:val="clear" w:color="auto" w:fill="FFFFFF"/>
        </w:rPr>
        <w:t xml:space="preserve"> </w:t>
      </w:r>
      <w:r w:rsidR="006F279E" w:rsidRPr="006F279E">
        <w:rPr>
          <w:rFonts w:ascii="Book Antiqua" w:eastAsia="Book Antiqua" w:hAnsi="Book Antiqua" w:cs="Book Antiqua"/>
          <w:color w:val="000000"/>
          <w:shd w:val="clear" w:color="auto" w:fill="FFFFFF"/>
        </w:rPr>
        <w:t>statistical review of the study was performed by a biomedical statistician.</w:t>
      </w:r>
    </w:p>
    <w:bookmarkEnd w:id="28"/>
    <w:bookmarkEnd w:id="29"/>
    <w:p w14:paraId="548C66E7" w14:textId="77777777" w:rsidR="00A77B3E" w:rsidRPr="006F279E" w:rsidRDefault="00A77B3E" w:rsidP="00A72E25">
      <w:pPr>
        <w:adjustRightInd w:val="0"/>
        <w:snapToGrid w:val="0"/>
        <w:spacing w:line="360" w:lineRule="auto"/>
        <w:ind w:firstLine="120"/>
        <w:jc w:val="both"/>
        <w:rPr>
          <w:rFonts w:ascii="Book Antiqua" w:hAnsi="Book Antiqua"/>
        </w:rPr>
      </w:pPr>
    </w:p>
    <w:p w14:paraId="29548D7A"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aps/>
          <w:color w:val="000000"/>
          <w:u w:val="single"/>
        </w:rPr>
        <w:t>RESULTS</w:t>
      </w:r>
    </w:p>
    <w:p w14:paraId="2BC447D4" w14:textId="5B16F108" w:rsidR="00A77B3E" w:rsidRPr="006F279E" w:rsidRDefault="006F279E" w:rsidP="00A72E25">
      <w:pPr>
        <w:adjustRightInd w:val="0"/>
        <w:snapToGrid w:val="0"/>
        <w:spacing w:line="360" w:lineRule="auto"/>
        <w:jc w:val="both"/>
        <w:rPr>
          <w:rFonts w:ascii="Book Antiqua" w:hAnsi="Book Antiqua"/>
          <w:i/>
          <w:iCs/>
        </w:rPr>
      </w:pPr>
      <w:bookmarkStart w:id="30" w:name="OLE_LINK32"/>
      <w:bookmarkStart w:id="31" w:name="OLE_LINK33"/>
      <w:r w:rsidRPr="006F279E">
        <w:rPr>
          <w:rFonts w:ascii="Book Antiqua" w:eastAsia="Book Antiqua" w:hAnsi="Book Antiqua" w:cs="Book Antiqua"/>
          <w:b/>
          <w:bCs/>
          <w:i/>
          <w:iCs/>
          <w:color w:val="000000"/>
        </w:rPr>
        <w:t>Demographic data and surgical characteristics</w:t>
      </w:r>
    </w:p>
    <w:p w14:paraId="240466EF" w14:textId="35C012E1"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A total of 77 patients with pathologically confirmed ovarian cancer were enrolled in this study, with a median age of 59 years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35-79 years). The median BMI of all patients was 22.83 kg/m</w:t>
      </w:r>
      <w:r w:rsidRPr="006F279E">
        <w:rPr>
          <w:rFonts w:ascii="Book Antiqua" w:eastAsia="Book Antiqua" w:hAnsi="Book Antiqua" w:cs="Book Antiqua"/>
          <w:color w:val="000000"/>
          <w:vertAlign w:val="superscript"/>
        </w:rPr>
        <w:t>2</w:t>
      </w:r>
      <w:r w:rsidRPr="006F279E">
        <w:rPr>
          <w:rFonts w:ascii="Book Antiqua" w:eastAsia="Book Antiqua" w:hAnsi="Book Antiqua" w:cs="Book Antiqua"/>
          <w:color w:val="000000"/>
        </w:rPr>
        <w:t xml:space="preserve">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13.8-33.98). </w:t>
      </w:r>
      <w:r w:rsidR="000B6E2D">
        <w:rPr>
          <w:rFonts w:ascii="Book Antiqua" w:eastAsia="Book Antiqua" w:hAnsi="Book Antiqua" w:cs="Book Antiqua"/>
          <w:color w:val="000000"/>
        </w:rPr>
        <w:t xml:space="preserve">In total, </w:t>
      </w:r>
      <w:r w:rsidRPr="006F279E">
        <w:rPr>
          <w:rFonts w:ascii="Book Antiqua" w:eastAsia="Book Antiqua" w:hAnsi="Book Antiqua" w:cs="Book Antiqua"/>
          <w:color w:val="000000"/>
        </w:rPr>
        <w:t xml:space="preserve">10% </w:t>
      </w:r>
      <w:r w:rsidR="000B6E2D">
        <w:rPr>
          <w:rFonts w:ascii="Book Antiqua" w:eastAsia="Book Antiqua" w:hAnsi="Book Antiqua" w:cs="Book Antiqua"/>
          <w:color w:val="000000"/>
        </w:rPr>
        <w:t>of the patients</w:t>
      </w:r>
      <w:r w:rsidR="000B6E2D"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had </w:t>
      </w:r>
      <w:r w:rsidR="000B6E2D">
        <w:rPr>
          <w:rFonts w:ascii="Book Antiqua" w:eastAsia="Book Antiqua" w:hAnsi="Book Antiqua" w:cs="Book Antiqua"/>
          <w:color w:val="000000"/>
        </w:rPr>
        <w:t>d</w:t>
      </w:r>
      <w:r w:rsidR="000B6E2D" w:rsidRPr="006F279E">
        <w:rPr>
          <w:rFonts w:ascii="Book Antiqua" w:eastAsia="Book Antiqua" w:hAnsi="Book Antiqua" w:cs="Book Antiqua"/>
          <w:color w:val="000000"/>
        </w:rPr>
        <w:t xml:space="preserve">iabetes </w:t>
      </w:r>
      <w:r w:rsidRPr="006F279E">
        <w:rPr>
          <w:rFonts w:ascii="Book Antiqua" w:eastAsia="Book Antiqua" w:hAnsi="Book Antiqua" w:cs="Book Antiqua"/>
          <w:color w:val="000000"/>
        </w:rPr>
        <w:t>mellitus, and 21% had high blood pressure. Preoperative chemotherapy was administered in 55 patients (71%), with an average number of 6 chemotherapy cycles per patient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0 to 25 cycles). Cytoreductive surgery plus HIPEC was indicated in 32 patients (42%)</w:t>
      </w:r>
      <w:r w:rsidR="000B6E2D">
        <w:rPr>
          <w:rFonts w:ascii="Book Antiqua" w:eastAsia="Book Antiqua" w:hAnsi="Book Antiqua" w:cs="Book Antiqua"/>
          <w:color w:val="000000"/>
        </w:rPr>
        <w:t xml:space="preserve"> with </w:t>
      </w:r>
      <w:r w:rsidR="000B6E2D" w:rsidRPr="006F279E">
        <w:rPr>
          <w:rFonts w:ascii="Book Antiqua" w:eastAsia="Book Antiqua" w:hAnsi="Book Antiqua" w:cs="Book Antiqua"/>
          <w:color w:val="000000"/>
        </w:rPr>
        <w:t>primary ovarian cancer</w:t>
      </w:r>
      <w:r w:rsidRPr="006F279E">
        <w:rPr>
          <w:rFonts w:ascii="Book Antiqua" w:eastAsia="Book Antiqua" w:hAnsi="Book Antiqua" w:cs="Book Antiqua"/>
          <w:color w:val="000000"/>
        </w:rPr>
        <w:t xml:space="preserve"> and in the remaining 45 patients (58%) for recurrent disease. Sixty-two patients (81%) had </w:t>
      </w:r>
      <w:r w:rsidR="000B6E2D">
        <w:rPr>
          <w:rFonts w:ascii="Book Antiqua" w:eastAsia="Book Antiqua" w:hAnsi="Book Antiqua" w:cs="Book Antiqua"/>
          <w:color w:val="000000"/>
        </w:rPr>
        <w:t xml:space="preserve">a history of </w:t>
      </w:r>
      <w:r w:rsidRPr="006F279E">
        <w:rPr>
          <w:rFonts w:ascii="Book Antiqua" w:eastAsia="Book Antiqua" w:hAnsi="Book Antiqua" w:cs="Book Antiqua"/>
          <w:color w:val="000000"/>
        </w:rPr>
        <w:lastRenderedPageBreak/>
        <w:t xml:space="preserve">at least one previous pelvic surgery. The median serum CA-125 </w:t>
      </w:r>
      <w:r w:rsidR="000B6E2D">
        <w:rPr>
          <w:rFonts w:ascii="Book Antiqua" w:eastAsia="Book Antiqua" w:hAnsi="Book Antiqua" w:cs="Book Antiqua"/>
          <w:color w:val="000000"/>
        </w:rPr>
        <w:t>l</w:t>
      </w:r>
      <w:r w:rsidRPr="006F279E">
        <w:rPr>
          <w:rFonts w:ascii="Book Antiqua" w:eastAsia="Book Antiqua" w:hAnsi="Book Antiqua" w:cs="Book Antiqua"/>
          <w:color w:val="000000"/>
        </w:rPr>
        <w:t>evel was 277.2 U/mL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7.2-10001.0 U/mL). The demographic data </w:t>
      </w:r>
      <w:r w:rsidR="000B6E2D">
        <w:rPr>
          <w:rFonts w:ascii="Book Antiqua" w:eastAsia="Book Antiqua" w:hAnsi="Book Antiqua" w:cs="Book Antiqua"/>
          <w:color w:val="000000"/>
        </w:rPr>
        <w:t>are</w:t>
      </w:r>
      <w:r w:rsidRPr="006F279E">
        <w:rPr>
          <w:rFonts w:ascii="Book Antiqua" w:eastAsia="Book Antiqua" w:hAnsi="Book Antiqua" w:cs="Book Antiqua"/>
          <w:color w:val="000000"/>
        </w:rPr>
        <w:t xml:space="preserve"> shown in Table 1.</w:t>
      </w:r>
    </w:p>
    <w:p w14:paraId="57EDAD46" w14:textId="633AABAD" w:rsidR="00A77B3E" w:rsidRPr="006F279E" w:rsidRDefault="006F279E" w:rsidP="00A72E25">
      <w:pPr>
        <w:adjustRightInd w:val="0"/>
        <w:snapToGrid w:val="0"/>
        <w:spacing w:line="360" w:lineRule="auto"/>
        <w:ind w:firstLineChars="100" w:firstLine="240"/>
        <w:jc w:val="both"/>
        <w:rPr>
          <w:rFonts w:ascii="Book Antiqua" w:eastAsia="Book Antiqua" w:hAnsi="Book Antiqua" w:cs="Book Antiqua"/>
          <w:color w:val="000000"/>
        </w:rPr>
      </w:pPr>
      <w:r w:rsidRPr="006F279E">
        <w:rPr>
          <w:rFonts w:ascii="Book Antiqua" w:eastAsia="Book Antiqua" w:hAnsi="Book Antiqua" w:cs="Book Antiqua"/>
          <w:color w:val="000000"/>
        </w:rPr>
        <w:t xml:space="preserve">Table 2 summarizes the CRS-HIPEC characteristics. The median operation time and intraoperative hemorrhage </w:t>
      </w:r>
      <w:r w:rsidR="000B6E2D">
        <w:rPr>
          <w:rFonts w:ascii="Book Antiqua" w:eastAsia="Book Antiqua" w:hAnsi="Book Antiqua" w:cs="Book Antiqua"/>
          <w:color w:val="000000"/>
        </w:rPr>
        <w:t xml:space="preserve">volume </w:t>
      </w:r>
      <w:r w:rsidRPr="006F279E">
        <w:rPr>
          <w:rFonts w:ascii="Book Antiqua" w:eastAsia="Book Antiqua" w:hAnsi="Book Antiqua" w:cs="Book Antiqua"/>
          <w:color w:val="000000"/>
        </w:rPr>
        <w:t>were 630 min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280-960) and 600 mL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50-5000), respectively, with 69% of patients undergoing bowel resection. Omentectomy was performed in 32 cases of primary ovarian cancer and 24 cases of recurrence. The median PCI was 16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1-39), and 78% of patients underwent optimal cytoreductive surgery. The most commonly used chemotherapeutic agent was docetaxel, alone or in combination with carboplatin and mitomycin.</w:t>
      </w:r>
    </w:p>
    <w:p w14:paraId="5B1D6A0E" w14:textId="77777777" w:rsidR="00B547BA" w:rsidRPr="006F279E" w:rsidRDefault="00B547BA" w:rsidP="00A72E25">
      <w:pPr>
        <w:adjustRightInd w:val="0"/>
        <w:snapToGrid w:val="0"/>
        <w:spacing w:line="360" w:lineRule="auto"/>
        <w:jc w:val="both"/>
        <w:rPr>
          <w:rFonts w:ascii="Book Antiqua" w:hAnsi="Book Antiqua"/>
        </w:rPr>
      </w:pPr>
    </w:p>
    <w:p w14:paraId="541D3716" w14:textId="76DCE2D6" w:rsidR="00A77B3E" w:rsidRPr="006F279E" w:rsidRDefault="006F279E" w:rsidP="00A72E25">
      <w:pPr>
        <w:adjustRightInd w:val="0"/>
        <w:snapToGrid w:val="0"/>
        <w:spacing w:line="360" w:lineRule="auto"/>
        <w:jc w:val="both"/>
        <w:rPr>
          <w:rFonts w:ascii="Book Antiqua" w:hAnsi="Book Antiqua"/>
          <w:b/>
          <w:bCs/>
          <w:i/>
          <w:iCs/>
        </w:rPr>
      </w:pPr>
      <w:r w:rsidRPr="006F279E">
        <w:rPr>
          <w:rFonts w:ascii="Book Antiqua" w:eastAsia="Book Antiqua" w:hAnsi="Book Antiqua" w:cs="Book Antiqua"/>
          <w:b/>
          <w:bCs/>
          <w:i/>
          <w:iCs/>
          <w:color w:val="000000"/>
        </w:rPr>
        <w:t>Univariate analysis of risk factors associated with DGE after CRS-HIPEC</w:t>
      </w:r>
    </w:p>
    <w:p w14:paraId="7FD72CF7" w14:textId="36236BDB"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 xml:space="preserve">The incidence rate of DGE was 36% (28/77). Univariate analysis found </w:t>
      </w:r>
      <w:r w:rsidR="004064BB">
        <w:rPr>
          <w:rFonts w:ascii="Book Antiqua" w:eastAsia="Book Antiqua" w:hAnsi="Book Antiqua" w:cs="Book Antiqua"/>
          <w:color w:val="000000"/>
        </w:rPr>
        <w:t xml:space="preserve">a </w:t>
      </w:r>
      <w:r w:rsidRPr="006F279E">
        <w:rPr>
          <w:rFonts w:ascii="Book Antiqua" w:eastAsia="Book Antiqua" w:hAnsi="Book Antiqua" w:cs="Book Antiqua"/>
          <w:color w:val="000000"/>
        </w:rPr>
        <w:t>BMI &lt; 23 kg/m</w:t>
      </w:r>
      <w:r w:rsidRPr="006F279E">
        <w:rPr>
          <w:rFonts w:ascii="Book Antiqua" w:eastAsia="Book Antiqua" w:hAnsi="Book Antiqua" w:cs="Book Antiqua"/>
          <w:color w:val="000000"/>
          <w:vertAlign w:val="superscript"/>
        </w:rPr>
        <w:t>2</w:t>
      </w:r>
      <w:r w:rsidRPr="006F279E">
        <w:rPr>
          <w:rFonts w:ascii="Book Antiqua" w:eastAsia="Book Antiqua" w:hAnsi="Book Antiqua" w:cs="Book Antiqua"/>
          <w:color w:val="000000"/>
        </w:rPr>
        <w:t xml:space="preserve">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xml:space="preserve">= 0.025), no </w:t>
      </w:r>
      <w:r w:rsidR="00B96855" w:rsidRPr="006F279E">
        <w:rPr>
          <w:rFonts w:ascii="Book Antiqua" w:eastAsia="Book Antiqua" w:hAnsi="Book Antiqua" w:cs="Book Antiqua"/>
          <w:color w:val="000000"/>
        </w:rPr>
        <w:t>history</w:t>
      </w:r>
      <w:r w:rsidR="00B96855">
        <w:rPr>
          <w:rFonts w:ascii="Book Antiqua" w:eastAsia="Book Antiqua" w:hAnsi="Book Antiqua" w:cs="Book Antiqua"/>
          <w:color w:val="000000"/>
        </w:rPr>
        <w:t xml:space="preserve"> of</w:t>
      </w:r>
      <w:r w:rsidR="00B96855" w:rsidRPr="006F279E">
        <w:rPr>
          <w:rFonts w:ascii="Book Antiqua" w:eastAsia="Book Antiqua" w:hAnsi="Book Antiqua" w:cs="Book Antiqua"/>
          <w:i/>
          <w:iCs/>
          <w:color w:val="000000"/>
        </w:rPr>
        <w:t xml:space="preserve"> </w:t>
      </w:r>
      <w:r w:rsidRPr="006F279E">
        <w:rPr>
          <w:rFonts w:ascii="Book Antiqua" w:eastAsia="Book Antiqua" w:hAnsi="Book Antiqua" w:cs="Book Antiqua"/>
          <w:color w:val="000000"/>
        </w:rPr>
        <w:t xml:space="preserve">pelvic surgery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0.034), fewer than 7 previous chemotherapy cycles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0.037), operation time ≥ 7 h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0.047) and intraoperative hemorrhage ≥ 800 mL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0.008) to be associated with an increased rate of DGE (Table 3).</w:t>
      </w:r>
    </w:p>
    <w:p w14:paraId="7CE50819" w14:textId="28BD6DA5" w:rsidR="00A77B3E" w:rsidRPr="006F279E" w:rsidRDefault="006F279E" w:rsidP="00A72E25">
      <w:pPr>
        <w:adjustRightInd w:val="0"/>
        <w:snapToGrid w:val="0"/>
        <w:spacing w:line="360" w:lineRule="auto"/>
        <w:ind w:firstLineChars="100" w:firstLine="240"/>
        <w:jc w:val="both"/>
        <w:rPr>
          <w:rFonts w:ascii="Book Antiqua" w:eastAsia="Book Antiqua" w:hAnsi="Book Antiqua" w:cs="Book Antiqua"/>
          <w:color w:val="000000"/>
        </w:rPr>
      </w:pPr>
      <w:r w:rsidRPr="006F279E">
        <w:rPr>
          <w:rFonts w:ascii="Book Antiqua" w:eastAsia="Book Antiqua" w:hAnsi="Book Antiqua" w:cs="Book Antiqua"/>
          <w:color w:val="000000"/>
        </w:rPr>
        <w:t xml:space="preserve">Patients who underwent gastrectomy, pancreatectomy, splenectomy, and left total </w:t>
      </w:r>
      <w:r w:rsidR="00B96855" w:rsidRPr="00B96855">
        <w:rPr>
          <w:rFonts w:ascii="Book Antiqua" w:eastAsia="Book Antiqua" w:hAnsi="Book Antiqua" w:cs="Book Antiqua"/>
          <w:color w:val="000000"/>
        </w:rPr>
        <w:t>diaphragmatic</w:t>
      </w:r>
      <w:r w:rsidR="00B96855" w:rsidRPr="00B96855" w:rsidDel="00B96855">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peritonectomy were divided into perigastric and gastric dissection groups. Perigastric and gastric dissection is known to be the </w:t>
      </w:r>
      <w:r w:rsidR="00FA79AA">
        <w:rPr>
          <w:rFonts w:ascii="Book Antiqua" w:eastAsia="Book Antiqua" w:hAnsi="Book Antiqua" w:cs="Book Antiqua"/>
          <w:color w:val="000000"/>
        </w:rPr>
        <w:t>greatest</w:t>
      </w:r>
      <w:r w:rsidR="00FA79A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risk factor for DGE. However, it was not found to be related to DGE by univariate analysis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0.421) in this study.</w:t>
      </w:r>
    </w:p>
    <w:p w14:paraId="128259E4" w14:textId="77777777" w:rsidR="00B547BA" w:rsidRPr="006F279E" w:rsidRDefault="00B547BA" w:rsidP="00A72E25">
      <w:pPr>
        <w:adjustRightInd w:val="0"/>
        <w:snapToGrid w:val="0"/>
        <w:spacing w:line="360" w:lineRule="auto"/>
        <w:jc w:val="both"/>
        <w:rPr>
          <w:rFonts w:ascii="Book Antiqua" w:hAnsi="Book Antiqua"/>
        </w:rPr>
      </w:pPr>
    </w:p>
    <w:p w14:paraId="79749765" w14:textId="2DBF382D" w:rsidR="00A77B3E" w:rsidRPr="006F279E" w:rsidRDefault="006F279E" w:rsidP="00A72E25">
      <w:pPr>
        <w:adjustRightInd w:val="0"/>
        <w:snapToGrid w:val="0"/>
        <w:spacing w:line="360" w:lineRule="auto"/>
        <w:jc w:val="both"/>
        <w:rPr>
          <w:rFonts w:ascii="Book Antiqua" w:hAnsi="Book Antiqua"/>
          <w:i/>
          <w:iCs/>
        </w:rPr>
      </w:pPr>
      <w:r w:rsidRPr="006F279E">
        <w:rPr>
          <w:rFonts w:ascii="Book Antiqua" w:eastAsia="Book Antiqua" w:hAnsi="Book Antiqua" w:cs="Book Antiqua"/>
          <w:b/>
          <w:bCs/>
          <w:i/>
          <w:iCs/>
          <w:color w:val="000000"/>
        </w:rPr>
        <w:t>Multivariate analysis of risk factors associated with DGE after CRS-HIPEC</w:t>
      </w:r>
    </w:p>
    <w:p w14:paraId="08E108B0" w14:textId="74F4D631"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 xml:space="preserve">Age and all </w:t>
      </w:r>
      <w:r w:rsidR="00B96855">
        <w:rPr>
          <w:rFonts w:ascii="Book Antiqua" w:eastAsia="Book Antiqua" w:hAnsi="Book Antiqua" w:cs="Book Antiqua"/>
          <w:color w:val="000000"/>
        </w:rPr>
        <w:t xml:space="preserve">of </w:t>
      </w:r>
      <w:r w:rsidRPr="006F279E">
        <w:rPr>
          <w:rFonts w:ascii="Book Antiqua" w:eastAsia="Book Antiqua" w:hAnsi="Book Antiqua" w:cs="Book Antiqua"/>
          <w:color w:val="000000"/>
        </w:rPr>
        <w:t xml:space="preserve">the statistically significant variables in the univariate analysis, including BMI, </w:t>
      </w:r>
      <w:r w:rsidR="00B96855" w:rsidRPr="006F279E">
        <w:rPr>
          <w:rFonts w:ascii="Book Antiqua" w:eastAsia="Book Antiqua" w:hAnsi="Book Antiqua" w:cs="Book Antiqua"/>
          <w:color w:val="000000"/>
        </w:rPr>
        <w:t xml:space="preserve">history </w:t>
      </w:r>
      <w:r w:rsidR="00B96855">
        <w:rPr>
          <w:rFonts w:ascii="Book Antiqua" w:eastAsia="Book Antiqua" w:hAnsi="Book Antiqua" w:cs="Book Antiqua"/>
          <w:color w:val="000000"/>
        </w:rPr>
        <w:t xml:space="preserve">of </w:t>
      </w:r>
      <w:r w:rsidRPr="006F279E">
        <w:rPr>
          <w:rFonts w:ascii="Book Antiqua" w:eastAsia="Book Antiqua" w:hAnsi="Book Antiqua" w:cs="Book Antiqua"/>
          <w:color w:val="000000"/>
        </w:rPr>
        <w:t>pelvic surgery</w:t>
      </w:r>
      <w:r w:rsidR="00B547BA" w:rsidRPr="006F279E">
        <w:rPr>
          <w:rFonts w:ascii="Book Antiqua" w:hAnsi="Book Antiqua" w:cs="Book Antiqua"/>
          <w:color w:val="000000"/>
          <w:lang w:eastAsia="zh-CN"/>
        </w:rPr>
        <w:t xml:space="preserve">, </w:t>
      </w:r>
      <w:r w:rsidR="00B96855">
        <w:rPr>
          <w:rFonts w:ascii="Book Antiqua" w:hAnsi="Book Antiqua" w:cs="Book Antiqua"/>
          <w:color w:val="000000"/>
          <w:lang w:eastAsia="zh-CN"/>
        </w:rPr>
        <w:t xml:space="preserve">number of </w:t>
      </w:r>
      <w:r w:rsidRPr="006F279E">
        <w:rPr>
          <w:rFonts w:ascii="Book Antiqua" w:eastAsia="Book Antiqua" w:hAnsi="Book Antiqua" w:cs="Book Antiqua"/>
          <w:color w:val="000000"/>
        </w:rPr>
        <w:t xml:space="preserve">previous chemotherapy cycles, operation time and intraoperative hemorrhage, were </w:t>
      </w:r>
      <w:r w:rsidR="00F874C6">
        <w:rPr>
          <w:rFonts w:ascii="Book Antiqua" w:eastAsia="Book Antiqua" w:hAnsi="Book Antiqua" w:cs="Book Antiqua"/>
          <w:color w:val="000000"/>
        </w:rPr>
        <w:t>entered</w:t>
      </w:r>
      <w:r w:rsidRPr="006F279E">
        <w:rPr>
          <w:rFonts w:ascii="Book Antiqua" w:eastAsia="Book Antiqua" w:hAnsi="Book Antiqua" w:cs="Book Antiqua"/>
          <w:color w:val="000000"/>
        </w:rPr>
        <w:t xml:space="preserve"> into the multivariable logistic regression model to determine factors independently associated with DGE.</w:t>
      </w:r>
    </w:p>
    <w:p w14:paraId="3C16F951" w14:textId="6A85539C"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lastRenderedPageBreak/>
        <w:t xml:space="preserve">We found age ≥ 70 years (odds ratio </w:t>
      </w:r>
      <w:r w:rsidR="004064BB">
        <w:rPr>
          <w:rFonts w:ascii="Book Antiqua" w:eastAsia="Book Antiqua" w:hAnsi="Book Antiqua" w:cs="Book Antiqua"/>
          <w:color w:val="000000"/>
        </w:rPr>
        <w:t xml:space="preserve">[OR] </w:t>
      </w:r>
      <w:r w:rsidRPr="006F279E">
        <w:rPr>
          <w:rFonts w:ascii="Book Antiqua" w:eastAsia="Book Antiqua" w:hAnsi="Book Antiqua" w:cs="Book Antiqua"/>
          <w:color w:val="000000"/>
        </w:rPr>
        <w:t>= 7.127, 95% confidence interval</w:t>
      </w:r>
      <w:r w:rsidR="004064BB">
        <w:rPr>
          <w:rFonts w:ascii="Book Antiqua" w:eastAsia="Book Antiqua" w:hAnsi="Book Antiqua" w:cs="Book Antiqua"/>
          <w:color w:val="000000"/>
        </w:rPr>
        <w:t xml:space="preserve"> [CI]</w:t>
      </w:r>
      <w:r w:rsidRPr="006F279E">
        <w:rPr>
          <w:rFonts w:ascii="Book Antiqua" w:eastAsia="Book Antiqua" w:hAnsi="Book Antiqua" w:cs="Book Antiqua"/>
          <w:color w:val="000000"/>
        </w:rPr>
        <w:t xml:space="preserve">: 1.122-45.264,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0.037) and intraoperative hemorrhage ≥ 800 mL (</w:t>
      </w:r>
      <w:r w:rsidR="004064BB">
        <w:rPr>
          <w:rFonts w:ascii="Book Antiqua" w:eastAsia="Book Antiqua" w:hAnsi="Book Antiqua" w:cs="Book Antiqua"/>
          <w:color w:val="000000"/>
        </w:rPr>
        <w:t>OR</w:t>
      </w:r>
      <w:r w:rsidRPr="006F279E">
        <w:rPr>
          <w:rFonts w:ascii="Book Antiqua" w:eastAsia="Book Antiqua" w:hAnsi="Book Antiqua" w:cs="Book Antiqua"/>
          <w:color w:val="000000"/>
        </w:rPr>
        <w:t xml:space="preserve"> = 3.416, 95</w:t>
      </w:r>
      <w:r w:rsidR="004064BB">
        <w:rPr>
          <w:rFonts w:ascii="Book Antiqua" w:eastAsia="Book Antiqua" w:hAnsi="Book Antiqua" w:cs="Book Antiqua"/>
          <w:color w:val="000000"/>
        </w:rPr>
        <w:t>%</w:t>
      </w:r>
      <w:r w:rsidR="004064BB">
        <w:rPr>
          <w:rFonts w:ascii="Book Antiqua" w:hAnsi="Book Antiqua"/>
        </w:rPr>
        <w:t>CI</w:t>
      </w:r>
      <w:r w:rsidRPr="006F279E">
        <w:rPr>
          <w:rFonts w:ascii="Book Antiqua" w:eastAsia="Book Antiqua" w:hAnsi="Book Antiqua" w:cs="Book Antiqua"/>
          <w:color w:val="000000"/>
        </w:rPr>
        <w:t xml:space="preserve">: 1.067-10.939,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0.039) to be independent risk factors for DGE after CRS-HIPEC in advanced and recurrent ovarian cancer patients (Table 4).</w:t>
      </w:r>
    </w:p>
    <w:bookmarkEnd w:id="30"/>
    <w:bookmarkEnd w:id="31"/>
    <w:p w14:paraId="586766CD" w14:textId="77777777" w:rsidR="00A77B3E" w:rsidRPr="006F279E" w:rsidRDefault="00A77B3E" w:rsidP="00A72E25">
      <w:pPr>
        <w:adjustRightInd w:val="0"/>
        <w:snapToGrid w:val="0"/>
        <w:spacing w:line="360" w:lineRule="auto"/>
        <w:jc w:val="both"/>
        <w:rPr>
          <w:rFonts w:ascii="Book Antiqua" w:hAnsi="Book Antiqua"/>
        </w:rPr>
      </w:pPr>
    </w:p>
    <w:p w14:paraId="11DFA02A"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aps/>
          <w:color w:val="000000"/>
          <w:u w:val="single"/>
        </w:rPr>
        <w:t>DISCUSSION</w:t>
      </w:r>
    </w:p>
    <w:p w14:paraId="4B102EFE" w14:textId="542BAF48" w:rsidR="00A77B3E" w:rsidRPr="006F279E" w:rsidRDefault="006F279E" w:rsidP="00A72E25">
      <w:pPr>
        <w:adjustRightInd w:val="0"/>
        <w:snapToGrid w:val="0"/>
        <w:spacing w:line="360" w:lineRule="auto"/>
        <w:jc w:val="both"/>
        <w:rPr>
          <w:rFonts w:ascii="Book Antiqua" w:hAnsi="Book Antiqua"/>
        </w:rPr>
      </w:pPr>
      <w:bookmarkStart w:id="32" w:name="OLE_LINK34"/>
      <w:bookmarkStart w:id="33" w:name="OLE_LINK35"/>
      <w:r w:rsidRPr="006F279E">
        <w:rPr>
          <w:rFonts w:ascii="Book Antiqua" w:eastAsia="Book Antiqua" w:hAnsi="Book Antiqua" w:cs="Book Antiqua"/>
          <w:color w:val="000000"/>
        </w:rPr>
        <w:t xml:space="preserve">Ovarian cancer, </w:t>
      </w:r>
      <w:r w:rsidR="00192E23">
        <w:rPr>
          <w:rFonts w:ascii="Book Antiqua" w:eastAsia="Book Antiqua" w:hAnsi="Book Antiqua" w:cs="Book Antiqua"/>
          <w:color w:val="000000"/>
        </w:rPr>
        <w:t xml:space="preserve">which </w:t>
      </w:r>
      <w:r w:rsidRPr="006F279E">
        <w:rPr>
          <w:rFonts w:ascii="Book Antiqua" w:eastAsia="Book Antiqua" w:hAnsi="Book Antiqua" w:cs="Book Antiqua"/>
          <w:color w:val="000000"/>
        </w:rPr>
        <w:t xml:space="preserve">generally presents at an advanced stage, is the most common cause of </w:t>
      </w:r>
      <w:r w:rsidR="00192E23">
        <w:rPr>
          <w:rFonts w:ascii="Book Antiqua" w:eastAsia="Book Antiqua" w:hAnsi="Book Antiqua" w:cs="Book Antiqua"/>
          <w:color w:val="000000"/>
        </w:rPr>
        <w:t xml:space="preserve">death due to a </w:t>
      </w:r>
      <w:r w:rsidRPr="006F279E">
        <w:rPr>
          <w:rFonts w:ascii="Book Antiqua" w:eastAsia="Book Antiqua" w:hAnsi="Book Antiqua" w:cs="Book Antiqua"/>
          <w:color w:val="000000"/>
        </w:rPr>
        <w:t>gynecological cancer</w:t>
      </w:r>
      <w:r w:rsidRPr="006F279E">
        <w:rPr>
          <w:rFonts w:ascii="Book Antiqua" w:eastAsia="Book Antiqua" w:hAnsi="Book Antiqua" w:cs="Book Antiqua"/>
          <w:color w:val="000000"/>
          <w:vertAlign w:val="superscript"/>
        </w:rPr>
        <w:t>[16]</w:t>
      </w:r>
      <w:r w:rsidRPr="006F279E">
        <w:rPr>
          <w:rFonts w:ascii="Book Antiqua" w:eastAsia="Book Antiqua" w:hAnsi="Book Antiqua" w:cs="Book Antiqua"/>
          <w:color w:val="000000"/>
        </w:rPr>
        <w:t xml:space="preserve">. After standard treatment, including cytoreductive surgery and systemic chemotherapy, the peritoneal surface is usually the primary site of disease recurrence, and the prognosis of these patients is poor when treated with conventional systemic chemotherapy. Thus, cytoreductive surgery plus hyperthermic intraperitoneal chemotherapy has been developed, </w:t>
      </w:r>
      <w:r w:rsidR="00192E23">
        <w:rPr>
          <w:rFonts w:ascii="Book Antiqua" w:eastAsia="Book Antiqua" w:hAnsi="Book Antiqua" w:cs="Book Antiqua"/>
          <w:color w:val="000000"/>
        </w:rPr>
        <w:t>achieving</w:t>
      </w:r>
      <w:r w:rsidRPr="006F279E">
        <w:rPr>
          <w:rFonts w:ascii="Book Antiqua" w:eastAsia="Book Antiqua" w:hAnsi="Book Antiqua" w:cs="Book Antiqua"/>
          <w:color w:val="000000"/>
        </w:rPr>
        <w:t xml:space="preserve"> longer recurrence-free survival and overall survival than surgery alone, and the side effect rate is acceptable</w:t>
      </w:r>
      <w:r w:rsidRPr="006F279E">
        <w:rPr>
          <w:rFonts w:ascii="Book Antiqua" w:eastAsia="Book Antiqua" w:hAnsi="Book Antiqua" w:cs="Book Antiqua"/>
          <w:color w:val="000000"/>
          <w:vertAlign w:val="superscript"/>
        </w:rPr>
        <w:t>[11]</w:t>
      </w:r>
      <w:r w:rsidRPr="006F279E">
        <w:rPr>
          <w:rFonts w:ascii="Book Antiqua" w:eastAsia="Book Antiqua" w:hAnsi="Book Antiqua" w:cs="Book Antiqua"/>
          <w:color w:val="000000"/>
        </w:rPr>
        <w:t>.</w:t>
      </w:r>
    </w:p>
    <w:p w14:paraId="49B9C4FB" w14:textId="46E6C49F" w:rsidR="00B547BA"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The incidence of adverse events of CRS-HIPEC administered in ovarian cancer ranges from 15% to 66%</w:t>
      </w:r>
      <w:r w:rsidR="00A71578">
        <w:rPr>
          <w:rFonts w:ascii="Book Antiqua" w:eastAsia="Book Antiqua" w:hAnsi="Book Antiqua" w:cs="Book Antiqua"/>
          <w:color w:val="000000"/>
        </w:rPr>
        <w:t xml:space="preserve"> and</w:t>
      </w:r>
      <w:r w:rsidRPr="006F279E">
        <w:rPr>
          <w:rFonts w:ascii="Book Antiqua" w:eastAsia="Book Antiqua" w:hAnsi="Book Antiqua" w:cs="Book Antiqua"/>
          <w:color w:val="000000"/>
        </w:rPr>
        <w:t xml:space="preserve"> mainly </w:t>
      </w:r>
      <w:r w:rsidR="00A71578">
        <w:rPr>
          <w:rFonts w:ascii="Book Antiqua" w:eastAsia="Book Antiqua" w:hAnsi="Book Antiqua" w:cs="Book Antiqua"/>
          <w:color w:val="000000"/>
        </w:rPr>
        <w:t>includes</w:t>
      </w:r>
      <w:r w:rsidRPr="006F279E">
        <w:rPr>
          <w:rFonts w:ascii="Book Antiqua" w:eastAsia="Book Antiqua" w:hAnsi="Book Antiqua" w:cs="Book Antiqua"/>
          <w:color w:val="000000"/>
        </w:rPr>
        <w:t xml:space="preserve"> anastomotic leakage, abdominal abscess, intestinal obstruction, pleural effusion, and hematological toxicity</w:t>
      </w:r>
      <w:r w:rsidRPr="006F279E">
        <w:rPr>
          <w:rFonts w:ascii="Book Antiqua" w:eastAsia="Book Antiqua" w:hAnsi="Book Antiqua" w:cs="Book Antiqua"/>
          <w:color w:val="000000"/>
          <w:vertAlign w:val="superscript"/>
        </w:rPr>
        <w:t>[11,17]</w:t>
      </w:r>
      <w:r w:rsidRPr="006F279E">
        <w:rPr>
          <w:rFonts w:ascii="Book Antiqua" w:eastAsia="Book Antiqua" w:hAnsi="Book Antiqua" w:cs="Book Antiqua"/>
          <w:color w:val="000000"/>
        </w:rPr>
        <w:t xml:space="preserve">. Delayed gastric emptying, a frequent intestinal adverse effect, is frequently overlooked and can affect the quality of life of patients, prolong the length of hospital stay, and even affect long-term prognosis. The aim of this study was to identify the risk factors for clinically relevant DGE in </w:t>
      </w:r>
      <w:r w:rsidR="00A71578">
        <w:rPr>
          <w:rFonts w:ascii="Book Antiqua" w:eastAsia="Book Antiqua" w:hAnsi="Book Antiqua" w:cs="Book Antiqua"/>
          <w:color w:val="000000"/>
        </w:rPr>
        <w:t xml:space="preserve">patients with </w:t>
      </w:r>
      <w:r w:rsidRPr="006F279E">
        <w:rPr>
          <w:rFonts w:ascii="Book Antiqua" w:eastAsia="Book Antiqua" w:hAnsi="Book Antiqua" w:cs="Book Antiqua"/>
          <w:color w:val="000000"/>
        </w:rPr>
        <w:t>advanced and recurrent ovarian cancer treated with CRS-HIPEC.</w:t>
      </w:r>
    </w:p>
    <w:p w14:paraId="40213CC2" w14:textId="03489C18"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 xml:space="preserve">The pathophysiology behind delayed gastric emptying has proven to be complicated, with multiple variables involved. In our analysis, we found that age ≥ 70 years and intraoperative hemorrhage ≥ 800 mL were independent risk factors for DGE after CRS-HIPEC in advanced and recurrent ovarian cancer patients. With increasing age, gastrointestinal function gradually </w:t>
      </w:r>
      <w:r w:rsidR="00A71578" w:rsidRPr="006F279E">
        <w:rPr>
          <w:rFonts w:ascii="Book Antiqua" w:eastAsia="Book Antiqua" w:hAnsi="Book Antiqua" w:cs="Book Antiqua"/>
          <w:color w:val="000000"/>
        </w:rPr>
        <w:t>weaken</w:t>
      </w:r>
      <w:r w:rsidR="00A71578">
        <w:rPr>
          <w:rFonts w:ascii="Book Antiqua" w:eastAsia="Book Antiqua" w:hAnsi="Book Antiqua" w:cs="Book Antiqua"/>
          <w:color w:val="000000"/>
        </w:rPr>
        <w:t>s</w:t>
      </w:r>
      <w:r w:rsidRPr="006F279E">
        <w:rPr>
          <w:rFonts w:ascii="Book Antiqua" w:eastAsia="Book Antiqua" w:hAnsi="Book Antiqua" w:cs="Book Antiqua"/>
          <w:color w:val="000000"/>
        </w:rPr>
        <w:t xml:space="preserve">; thus, older people were more susceptible to DGE. The other risk factor associated with DGE was intraoperative hemorrhage. The specific mechanism of </w:t>
      </w:r>
      <w:r w:rsidR="00A71578">
        <w:rPr>
          <w:rFonts w:ascii="Book Antiqua" w:eastAsia="Book Antiqua" w:hAnsi="Book Antiqua" w:cs="Book Antiqua"/>
          <w:color w:val="000000"/>
        </w:rPr>
        <w:t xml:space="preserve">how </w:t>
      </w:r>
      <w:r w:rsidRPr="006F279E">
        <w:rPr>
          <w:rFonts w:ascii="Book Antiqua" w:eastAsia="Book Antiqua" w:hAnsi="Book Antiqua" w:cs="Book Antiqua"/>
          <w:color w:val="000000"/>
        </w:rPr>
        <w:t xml:space="preserve">blood loss </w:t>
      </w:r>
      <w:r w:rsidR="00A71578">
        <w:rPr>
          <w:rFonts w:ascii="Book Antiqua" w:eastAsia="Book Antiqua" w:hAnsi="Book Antiqua" w:cs="Book Antiqua"/>
          <w:color w:val="000000"/>
        </w:rPr>
        <w:t>affects</w:t>
      </w:r>
      <w:r w:rsidR="00A71578"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DGE is not clear. We hypothesize that the blood </w:t>
      </w:r>
      <w:r w:rsidR="00A71578" w:rsidRPr="006F279E">
        <w:rPr>
          <w:rFonts w:ascii="Book Antiqua" w:eastAsia="Book Antiqua" w:hAnsi="Book Antiqua" w:cs="Book Antiqua"/>
          <w:color w:val="000000"/>
        </w:rPr>
        <w:t>redistribute</w:t>
      </w:r>
      <w:r w:rsidR="00A71578">
        <w:rPr>
          <w:rFonts w:ascii="Book Antiqua" w:eastAsia="Book Antiqua" w:hAnsi="Book Antiqua" w:cs="Book Antiqua"/>
          <w:color w:val="000000"/>
        </w:rPr>
        <w:t>s</w:t>
      </w:r>
      <w:r w:rsidR="00A71578"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with </w:t>
      </w:r>
      <w:r w:rsidR="00A71578">
        <w:rPr>
          <w:rFonts w:ascii="Book Antiqua" w:eastAsia="Book Antiqua" w:hAnsi="Book Antiqua" w:cs="Book Antiqua"/>
          <w:color w:val="000000"/>
        </w:rPr>
        <w:t>an</w:t>
      </w:r>
      <w:r w:rsidR="00A71578"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increase in </w:t>
      </w:r>
      <w:r w:rsidRPr="006F279E">
        <w:rPr>
          <w:rFonts w:ascii="Book Antiqua" w:eastAsia="Book Antiqua" w:hAnsi="Book Antiqua" w:cs="Book Antiqua"/>
          <w:color w:val="000000"/>
        </w:rPr>
        <w:lastRenderedPageBreak/>
        <w:t xml:space="preserve">hemorrhage; hence, the gastric mucosa becomes ischemic, </w:t>
      </w:r>
      <w:r w:rsidR="00A71578">
        <w:rPr>
          <w:rFonts w:ascii="Book Antiqua" w:eastAsia="Book Antiqua" w:hAnsi="Book Antiqua" w:cs="Book Antiqua"/>
          <w:color w:val="000000"/>
        </w:rPr>
        <w:t>weakening</w:t>
      </w:r>
      <w:r w:rsidR="00A71578"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gastrointestinal motility.</w:t>
      </w:r>
    </w:p>
    <w:p w14:paraId="5624B145" w14:textId="507715B4"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 xml:space="preserve">Perigastric and gastric dissection is known to be the </w:t>
      </w:r>
      <w:r w:rsidR="00A71578">
        <w:rPr>
          <w:rFonts w:ascii="Book Antiqua" w:eastAsia="Book Antiqua" w:hAnsi="Book Antiqua" w:cs="Book Antiqua"/>
          <w:color w:val="000000"/>
        </w:rPr>
        <w:t>greatest</w:t>
      </w:r>
      <w:r w:rsidR="00A71578"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risk factor</w:t>
      </w:r>
      <w:r w:rsidR="00A71578">
        <w:rPr>
          <w:rFonts w:ascii="Book Antiqua" w:eastAsia="Book Antiqua" w:hAnsi="Book Antiqua" w:cs="Book Antiqua"/>
          <w:color w:val="000000"/>
        </w:rPr>
        <w:t>s</w:t>
      </w:r>
      <w:r w:rsidRPr="006F279E">
        <w:rPr>
          <w:rFonts w:ascii="Book Antiqua" w:eastAsia="Book Antiqua" w:hAnsi="Book Antiqua" w:cs="Book Antiqua"/>
          <w:color w:val="000000"/>
        </w:rPr>
        <w:t xml:space="preserve"> for DGE. However, it was not found to be related to DGE in our study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xml:space="preserve">= 0.421). The DGE rate in the perigastric and gastric dissection group was 46.2% (6/13), higher than that in the group without perigastric or gastric dissection (34.4%, 22/64). The possible reason </w:t>
      </w:r>
      <w:r w:rsidR="00A71578">
        <w:rPr>
          <w:rFonts w:ascii="Book Antiqua" w:eastAsia="Book Antiqua" w:hAnsi="Book Antiqua" w:cs="Book Antiqua"/>
          <w:color w:val="000000"/>
        </w:rPr>
        <w:t xml:space="preserve">for this </w:t>
      </w:r>
      <w:r w:rsidRPr="006F279E">
        <w:rPr>
          <w:rFonts w:ascii="Book Antiqua" w:eastAsia="Book Antiqua" w:hAnsi="Book Antiqua" w:cs="Book Antiqua"/>
          <w:color w:val="000000"/>
        </w:rPr>
        <w:t xml:space="preserve">may be that the sample size </w:t>
      </w:r>
      <w:r w:rsidR="00A71578">
        <w:rPr>
          <w:rFonts w:ascii="Book Antiqua" w:eastAsia="Book Antiqua" w:hAnsi="Book Antiqua" w:cs="Book Antiqua"/>
          <w:color w:val="000000"/>
        </w:rPr>
        <w:t>is</w:t>
      </w:r>
      <w:r w:rsidR="00A71578"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too small. Perhaps there will be a significant difference between the two groups as the number of cases increases.</w:t>
      </w:r>
    </w:p>
    <w:p w14:paraId="58B19941" w14:textId="581AF95F"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 xml:space="preserve">Delayed gastric emptying is a main complication after CRS-HIPEC with unknown origin in ovarian cancer. Extensive intestinal manipulation, intraperitoneal chemotherapy, and intraperitoneal hyperthermic perfusion during surgery are all plausible causes of this phenomenon. The definition of postsurgical delayed gastric emptying </w:t>
      </w:r>
      <w:r w:rsidR="005369B6">
        <w:rPr>
          <w:rFonts w:ascii="Book Antiqua" w:eastAsia="Book Antiqua" w:hAnsi="Book Antiqua" w:cs="Book Antiqua"/>
          <w:color w:val="000000"/>
        </w:rPr>
        <w:t>was</w:t>
      </w:r>
      <w:r w:rsidR="005369B6" w:rsidRPr="006F279E">
        <w:rPr>
          <w:rFonts w:ascii="Book Antiqua" w:eastAsia="Book Antiqua" w:hAnsi="Book Antiqua" w:cs="Book Antiqua"/>
          <w:color w:val="000000"/>
        </w:rPr>
        <w:t xml:space="preserve"> uncertain</w:t>
      </w:r>
      <w:r w:rsidRPr="006F279E">
        <w:rPr>
          <w:rFonts w:ascii="Book Antiqua" w:eastAsia="Book Antiqua" w:hAnsi="Book Antiqua" w:cs="Book Antiqua"/>
          <w:color w:val="000000"/>
        </w:rPr>
        <w:t xml:space="preserve"> and </w:t>
      </w:r>
      <w:r w:rsidR="005369B6">
        <w:rPr>
          <w:rFonts w:ascii="Book Antiqua" w:eastAsia="Book Antiqua" w:hAnsi="Book Antiqua" w:cs="Book Antiqua"/>
          <w:color w:val="000000"/>
        </w:rPr>
        <w:t>varied</w:t>
      </w:r>
      <w:r w:rsidRPr="006F279E">
        <w:rPr>
          <w:rFonts w:ascii="Book Antiqua" w:eastAsia="Book Antiqua" w:hAnsi="Book Antiqua" w:cs="Book Antiqua"/>
          <w:color w:val="000000"/>
        </w:rPr>
        <w:t xml:space="preserve"> in different reports before an objective and generally applicable definition of DGE was developed by the International Study Group of Pancreatic Surgery</w:t>
      </w:r>
      <w:r w:rsidRPr="006F279E">
        <w:rPr>
          <w:rFonts w:ascii="Book Antiqua" w:eastAsia="Book Antiqua" w:hAnsi="Book Antiqua" w:cs="Book Antiqua"/>
          <w:color w:val="000000"/>
          <w:vertAlign w:val="superscript"/>
        </w:rPr>
        <w:t>[9]</w:t>
      </w:r>
      <w:r w:rsidRPr="006F279E">
        <w:rPr>
          <w:rFonts w:ascii="Book Antiqua" w:eastAsia="Book Antiqua" w:hAnsi="Book Antiqua" w:cs="Book Antiqua"/>
          <w:color w:val="000000"/>
        </w:rPr>
        <w:t>. Based on severity and clinical impact, DGE was classified into grades A, B, and C. Only grade</w:t>
      </w:r>
      <w:r w:rsidR="005369B6">
        <w:rPr>
          <w:rFonts w:ascii="Book Antiqua" w:eastAsia="Book Antiqua" w:hAnsi="Book Antiqua" w:cs="Book Antiqua"/>
          <w:color w:val="000000"/>
        </w:rPr>
        <w:t>s</w:t>
      </w:r>
      <w:r w:rsidRPr="006F279E">
        <w:rPr>
          <w:rFonts w:ascii="Book Antiqua" w:eastAsia="Book Antiqua" w:hAnsi="Book Antiqua" w:cs="Book Antiqua"/>
          <w:color w:val="000000"/>
        </w:rPr>
        <w:t xml:space="preserve"> B </w:t>
      </w:r>
      <w:r w:rsidR="005369B6">
        <w:rPr>
          <w:rFonts w:ascii="Book Antiqua" w:eastAsia="Book Antiqua" w:hAnsi="Book Antiqua" w:cs="Book Antiqua"/>
          <w:color w:val="000000"/>
        </w:rPr>
        <w:t>and</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C </w:t>
      </w:r>
      <w:r w:rsidR="005369B6">
        <w:rPr>
          <w:rFonts w:ascii="Book Antiqua" w:eastAsia="Book Antiqua" w:hAnsi="Book Antiqua" w:cs="Book Antiqua"/>
          <w:color w:val="000000"/>
        </w:rPr>
        <w:t>are</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regarded as clinically relevant and </w:t>
      </w:r>
      <w:r w:rsidR="005369B6">
        <w:rPr>
          <w:rFonts w:ascii="Book Antiqua" w:eastAsia="Book Antiqua" w:hAnsi="Book Antiqua" w:cs="Book Antiqua"/>
          <w:color w:val="000000"/>
        </w:rPr>
        <w:t>were</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studied in this study. Nausea caused by anesthesia,</w:t>
      </w:r>
      <w:r w:rsidR="005369B6">
        <w:rPr>
          <w:rFonts w:ascii="Book Antiqua" w:eastAsia="Book Antiqua" w:hAnsi="Book Antiqua" w:cs="Book Antiqua"/>
          <w:color w:val="000000"/>
        </w:rPr>
        <w:t xml:space="preserve"> wound</w:t>
      </w:r>
      <w:r w:rsidRPr="006F279E">
        <w:rPr>
          <w:rFonts w:ascii="Book Antiqua" w:eastAsia="Book Antiqua" w:hAnsi="Book Antiqua" w:cs="Book Antiqua"/>
          <w:color w:val="000000"/>
        </w:rPr>
        <w:t xml:space="preserve"> pain, stimulation </w:t>
      </w:r>
      <w:r w:rsidR="005369B6">
        <w:rPr>
          <w:rFonts w:ascii="Book Antiqua" w:eastAsia="Book Antiqua" w:hAnsi="Book Antiqua" w:cs="Book Antiqua"/>
          <w:color w:val="000000"/>
        </w:rPr>
        <w:t>from</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the nasogastric tube and so on </w:t>
      </w:r>
      <w:r w:rsidR="005369B6">
        <w:rPr>
          <w:rFonts w:ascii="Book Antiqua" w:eastAsia="Book Antiqua" w:hAnsi="Book Antiqua" w:cs="Book Antiqua"/>
          <w:color w:val="000000"/>
        </w:rPr>
        <w:t>are</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sometimes difficult to distinguish from nausea caused by </w:t>
      </w:r>
      <w:r w:rsidR="005369B6">
        <w:rPr>
          <w:rFonts w:ascii="Book Antiqua" w:eastAsia="Book Antiqua" w:hAnsi="Book Antiqua" w:cs="Book Antiqua"/>
          <w:color w:val="000000"/>
        </w:rPr>
        <w:t>DGE</w:t>
      </w:r>
      <w:r w:rsidRPr="006F279E">
        <w:rPr>
          <w:rFonts w:ascii="Book Antiqua" w:eastAsia="Book Antiqua" w:hAnsi="Book Antiqua" w:cs="Book Antiqua"/>
          <w:color w:val="000000"/>
        </w:rPr>
        <w:t xml:space="preserve">. However, the severity, duration and clinical impact of nausea caused by the above reasons usually cannot match the </w:t>
      </w:r>
      <w:r w:rsidR="005369B6">
        <w:rPr>
          <w:rFonts w:ascii="Book Antiqua" w:eastAsia="Book Antiqua" w:hAnsi="Book Antiqua" w:cs="Book Antiqua"/>
          <w:color w:val="000000"/>
        </w:rPr>
        <w:t>levels</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of DGE in grade A or B. Thus, </w:t>
      </w:r>
      <w:r w:rsidR="005369B6">
        <w:rPr>
          <w:rFonts w:ascii="Book Antiqua" w:eastAsia="Book Antiqua" w:hAnsi="Book Antiqua" w:cs="Book Antiqua"/>
          <w:color w:val="000000"/>
        </w:rPr>
        <w:t>these causes of nausea were</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not studied here.</w:t>
      </w:r>
    </w:p>
    <w:p w14:paraId="30512FC0" w14:textId="19377528"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 xml:space="preserve">Treatments for delayed gastric emptying in our ovarian cancer patients after CRS-HIPEC </w:t>
      </w:r>
      <w:r w:rsidR="005369B6">
        <w:rPr>
          <w:rFonts w:ascii="Book Antiqua" w:eastAsia="Book Antiqua" w:hAnsi="Book Antiqua" w:cs="Book Antiqua"/>
          <w:color w:val="000000"/>
        </w:rPr>
        <w:t>included</w:t>
      </w:r>
      <w:r w:rsidRPr="006F279E">
        <w:rPr>
          <w:rFonts w:ascii="Book Antiqua" w:eastAsia="Book Antiqua" w:hAnsi="Book Antiqua" w:cs="Book Antiqua"/>
          <w:color w:val="000000"/>
        </w:rPr>
        <w:t xml:space="preserve"> symptomatic therapy and supplementation with electrolytes, minerals, proteins, and calories to maintain water and electrolyte balance and reduce malnutrition. Common symptomatic medications were antiemetic drugs, such as </w:t>
      </w:r>
      <w:r w:rsidRPr="003377DA">
        <w:rPr>
          <w:rFonts w:ascii="Book Antiqua" w:eastAsia="Book Antiqua" w:hAnsi="Book Antiqua" w:cs="Book Antiqua"/>
          <w:color w:val="000000"/>
        </w:rPr>
        <w:t>ondansetron, vitamin B6, and promethazine</w:t>
      </w:r>
      <w:r w:rsidRPr="006F279E">
        <w:rPr>
          <w:rFonts w:ascii="Book Antiqua" w:eastAsia="Book Antiqua" w:hAnsi="Book Antiqua" w:cs="Book Antiqua"/>
          <w:i/>
          <w:iCs/>
          <w:color w:val="000000"/>
        </w:rPr>
        <w:t>.</w:t>
      </w:r>
      <w:r w:rsidRPr="006F279E">
        <w:rPr>
          <w:rFonts w:ascii="Book Antiqua" w:eastAsia="Book Antiqua" w:hAnsi="Book Antiqua" w:cs="Book Antiqua"/>
          <w:color w:val="000000"/>
        </w:rPr>
        <w:t xml:space="preserve"> The specific dosage </w:t>
      </w:r>
      <w:r w:rsidR="00E3299D" w:rsidRPr="006F279E">
        <w:rPr>
          <w:rFonts w:ascii="Book Antiqua" w:eastAsia="Book Antiqua" w:hAnsi="Book Antiqua" w:cs="Book Antiqua"/>
          <w:color w:val="000000"/>
        </w:rPr>
        <w:t>depend</w:t>
      </w:r>
      <w:r w:rsidR="00E3299D">
        <w:rPr>
          <w:rFonts w:ascii="Book Antiqua" w:eastAsia="Book Antiqua" w:hAnsi="Book Antiqua" w:cs="Book Antiqua"/>
          <w:color w:val="000000"/>
        </w:rPr>
        <w:t>ed</w:t>
      </w:r>
      <w:r w:rsidR="00E3299D"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on the patient's age, weight and severity of DGE. Motility drugs were not used.</w:t>
      </w:r>
    </w:p>
    <w:p w14:paraId="35A1AA20" w14:textId="2D035093" w:rsidR="00A77B3E" w:rsidRPr="006F279E" w:rsidRDefault="00E3299D" w:rsidP="00A72E25">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The l</w:t>
      </w:r>
      <w:r w:rsidRPr="006F279E">
        <w:rPr>
          <w:rFonts w:ascii="Book Antiqua" w:eastAsia="Book Antiqua" w:hAnsi="Book Antiqua" w:cs="Book Antiqua"/>
          <w:color w:val="000000"/>
        </w:rPr>
        <w:t xml:space="preserve">imitations </w:t>
      </w:r>
      <w:r w:rsidR="006F279E" w:rsidRPr="006F279E">
        <w:rPr>
          <w:rFonts w:ascii="Book Antiqua" w:eastAsia="Book Antiqua" w:hAnsi="Book Antiqua" w:cs="Book Antiqua"/>
          <w:color w:val="000000"/>
        </w:rPr>
        <w:t xml:space="preserve">in the present study need to be addressed. First, this is a retrospective study with a relatively limited sample size, and an RCT study with large samples is needed to further </w:t>
      </w:r>
      <w:r>
        <w:rPr>
          <w:rFonts w:ascii="Book Antiqua" w:eastAsia="Book Antiqua" w:hAnsi="Book Antiqua" w:cs="Book Antiqua"/>
          <w:color w:val="000000"/>
        </w:rPr>
        <w:t>confirm</w:t>
      </w:r>
      <w:r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 xml:space="preserve">the risk factors for DGE and its effects on </w:t>
      </w:r>
      <w:r>
        <w:rPr>
          <w:rFonts w:ascii="Book Antiqua" w:eastAsia="Book Antiqua" w:hAnsi="Book Antiqua" w:cs="Book Antiqua"/>
          <w:color w:val="000000"/>
        </w:rPr>
        <w:t>improved</w:t>
      </w:r>
      <w:r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prognosis. Second, fundamental studies are needed to illustrate the potential mechanisms.</w:t>
      </w:r>
    </w:p>
    <w:p w14:paraId="16084B25" w14:textId="1DF427A5"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In conclusion, strengthened intestinal management, including prolonged nasogastric intubation, the use of gastrointestinal motility drugs and enteral nutrition, should be applied to patients aged ≥ 70 years or with intraoperative hemorrhage ≥ 800 mL when undergoing CRS-HIPEC.</w:t>
      </w:r>
    </w:p>
    <w:bookmarkEnd w:id="32"/>
    <w:bookmarkEnd w:id="33"/>
    <w:p w14:paraId="573782C9" w14:textId="77777777" w:rsidR="00A77B3E" w:rsidRPr="006F279E" w:rsidRDefault="00A77B3E" w:rsidP="00A72E25">
      <w:pPr>
        <w:adjustRightInd w:val="0"/>
        <w:snapToGrid w:val="0"/>
        <w:spacing w:line="360" w:lineRule="auto"/>
        <w:ind w:firstLine="120"/>
        <w:jc w:val="both"/>
        <w:rPr>
          <w:rFonts w:ascii="Book Antiqua" w:hAnsi="Book Antiqua"/>
        </w:rPr>
      </w:pPr>
    </w:p>
    <w:p w14:paraId="07A149A4"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aps/>
          <w:color w:val="000000"/>
          <w:u w:val="single"/>
        </w:rPr>
        <w:t>CONCLUSION</w:t>
      </w:r>
    </w:p>
    <w:p w14:paraId="5192CC47" w14:textId="646CBA62" w:rsidR="00A77B3E" w:rsidRPr="006F279E" w:rsidRDefault="006F279E" w:rsidP="00A72E25">
      <w:pPr>
        <w:adjustRightInd w:val="0"/>
        <w:snapToGrid w:val="0"/>
        <w:spacing w:line="360" w:lineRule="auto"/>
        <w:jc w:val="both"/>
        <w:rPr>
          <w:rFonts w:ascii="Book Antiqua" w:hAnsi="Book Antiqua"/>
        </w:rPr>
      </w:pPr>
      <w:bookmarkStart w:id="34" w:name="OLE_LINK36"/>
      <w:bookmarkStart w:id="35" w:name="OLE_LINK37"/>
      <w:r w:rsidRPr="006F279E">
        <w:rPr>
          <w:rFonts w:ascii="Book Antiqua" w:eastAsia="Book Antiqua" w:hAnsi="Book Antiqua" w:cs="Book Antiqua"/>
          <w:color w:val="000000"/>
        </w:rPr>
        <w:t>In conclusion, strengthened intestinal management, including prolonged nasogastric intubation, using gastrointestinal motility drugs and enteral nutrition, should be applied to patients aged ≥ 70 years or with intraoperative hemorrhage ≥ 800 mL when undergoing CRS-HIPEC.</w:t>
      </w:r>
    </w:p>
    <w:bookmarkEnd w:id="34"/>
    <w:bookmarkEnd w:id="35"/>
    <w:p w14:paraId="07B3A660" w14:textId="77777777" w:rsidR="00A77B3E" w:rsidRPr="006F279E" w:rsidRDefault="00A77B3E" w:rsidP="00A72E25">
      <w:pPr>
        <w:adjustRightInd w:val="0"/>
        <w:snapToGrid w:val="0"/>
        <w:spacing w:line="360" w:lineRule="auto"/>
        <w:ind w:firstLine="120"/>
        <w:jc w:val="both"/>
        <w:rPr>
          <w:rFonts w:ascii="Book Antiqua" w:hAnsi="Book Antiqua"/>
        </w:rPr>
      </w:pPr>
    </w:p>
    <w:p w14:paraId="1202578B"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aps/>
          <w:color w:val="000000"/>
          <w:u w:val="single"/>
        </w:rPr>
        <w:t>ARTICLE HIGHLIGHTS</w:t>
      </w:r>
    </w:p>
    <w:p w14:paraId="7EE5187A"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t>Research background</w:t>
      </w:r>
    </w:p>
    <w:p w14:paraId="35E90E3C" w14:textId="6F11F4E6" w:rsidR="00A77B3E" w:rsidRPr="006F279E" w:rsidRDefault="006F279E" w:rsidP="00A72E25">
      <w:pPr>
        <w:adjustRightInd w:val="0"/>
        <w:snapToGrid w:val="0"/>
        <w:spacing w:line="360" w:lineRule="auto"/>
        <w:jc w:val="both"/>
        <w:rPr>
          <w:rFonts w:ascii="Book Antiqua" w:hAnsi="Book Antiqua"/>
        </w:rPr>
      </w:pPr>
      <w:bookmarkStart w:id="36" w:name="OLE_LINK38"/>
      <w:bookmarkStart w:id="37" w:name="OLE_LINK39"/>
      <w:r w:rsidRPr="006F279E">
        <w:rPr>
          <w:rFonts w:ascii="Book Antiqua" w:eastAsia="Book Antiqua" w:hAnsi="Book Antiqua" w:cs="Book Antiqua"/>
          <w:color w:val="000000"/>
        </w:rPr>
        <w:t>Cytoreductive surgery and hyperthermic intraperitoneal chemotherapy (CRS-HIPEC) are alternatives for ovarian cancer. Delayed gastric emptying (DGE), a common complication of this procedure, can cause discomfort and decrease quality of life postoperatively. However, little attention has been given to this complication.</w:t>
      </w:r>
    </w:p>
    <w:bookmarkEnd w:id="36"/>
    <w:bookmarkEnd w:id="37"/>
    <w:p w14:paraId="48D3EED6" w14:textId="77777777" w:rsidR="00A77B3E" w:rsidRPr="006F279E" w:rsidRDefault="00A77B3E" w:rsidP="00A72E25">
      <w:pPr>
        <w:adjustRightInd w:val="0"/>
        <w:snapToGrid w:val="0"/>
        <w:spacing w:line="360" w:lineRule="auto"/>
        <w:jc w:val="both"/>
        <w:rPr>
          <w:rFonts w:ascii="Book Antiqua" w:hAnsi="Book Antiqua"/>
        </w:rPr>
      </w:pPr>
    </w:p>
    <w:p w14:paraId="057E55D2"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t>Research motivation</w:t>
      </w:r>
    </w:p>
    <w:p w14:paraId="5AAF171B" w14:textId="42F88169" w:rsidR="00A77B3E" w:rsidRPr="006F279E" w:rsidRDefault="006F279E" w:rsidP="00A72E25">
      <w:pPr>
        <w:adjustRightInd w:val="0"/>
        <w:snapToGrid w:val="0"/>
        <w:spacing w:line="360" w:lineRule="auto"/>
        <w:jc w:val="both"/>
        <w:rPr>
          <w:rFonts w:ascii="Book Antiqua" w:hAnsi="Book Antiqua"/>
        </w:rPr>
      </w:pPr>
      <w:bookmarkStart w:id="38" w:name="OLE_LINK40"/>
      <w:bookmarkStart w:id="39" w:name="OLE_LINK41"/>
      <w:r w:rsidRPr="006F279E">
        <w:rPr>
          <w:rFonts w:ascii="Book Antiqua" w:eastAsia="Book Antiqua" w:hAnsi="Book Antiqua" w:cs="Book Antiqua"/>
          <w:color w:val="000000"/>
        </w:rPr>
        <w:t>Though not life-threatening, DGE can increase the duration of postoperative hospitalization, decrease quality of life, and even affect the long-term prognosis of patients after CRS-HIPEC. More research is needed to elucidate the pathophysiology, etiology and treatment of DGE.</w:t>
      </w:r>
    </w:p>
    <w:bookmarkEnd w:id="38"/>
    <w:bookmarkEnd w:id="39"/>
    <w:p w14:paraId="0A163B08" w14:textId="77777777" w:rsidR="00A77B3E" w:rsidRPr="006F279E" w:rsidRDefault="00A77B3E" w:rsidP="00A72E25">
      <w:pPr>
        <w:adjustRightInd w:val="0"/>
        <w:snapToGrid w:val="0"/>
        <w:spacing w:line="360" w:lineRule="auto"/>
        <w:jc w:val="both"/>
        <w:rPr>
          <w:rFonts w:ascii="Book Antiqua" w:hAnsi="Book Antiqua"/>
        </w:rPr>
      </w:pPr>
    </w:p>
    <w:p w14:paraId="11E35BAE"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lastRenderedPageBreak/>
        <w:t>Research objectives</w:t>
      </w:r>
    </w:p>
    <w:p w14:paraId="5A40D769" w14:textId="770C3571" w:rsidR="00A77B3E" w:rsidRPr="006F279E" w:rsidRDefault="006F279E" w:rsidP="00A72E25">
      <w:pPr>
        <w:adjustRightInd w:val="0"/>
        <w:snapToGrid w:val="0"/>
        <w:spacing w:line="360" w:lineRule="auto"/>
        <w:jc w:val="both"/>
        <w:rPr>
          <w:rFonts w:ascii="Book Antiqua" w:hAnsi="Book Antiqua"/>
        </w:rPr>
      </w:pPr>
      <w:bookmarkStart w:id="40" w:name="OLE_LINK42"/>
      <w:r w:rsidRPr="006F279E">
        <w:rPr>
          <w:rFonts w:ascii="Book Antiqua" w:eastAsia="Book Antiqua" w:hAnsi="Book Antiqua" w:cs="Book Antiqua"/>
          <w:color w:val="000000"/>
        </w:rPr>
        <w:t xml:space="preserve">The aim of this study was to identify the risk factors for DGE in </w:t>
      </w:r>
      <w:r w:rsidR="00E97357">
        <w:rPr>
          <w:rFonts w:ascii="Book Antiqua" w:eastAsia="Book Antiqua" w:hAnsi="Book Antiqua" w:cs="Book Antiqua"/>
          <w:color w:val="000000"/>
        </w:rPr>
        <w:t xml:space="preserve">patients with </w:t>
      </w:r>
      <w:r w:rsidRPr="006F279E">
        <w:rPr>
          <w:rFonts w:ascii="Book Antiqua" w:eastAsia="Book Antiqua" w:hAnsi="Book Antiqua" w:cs="Book Antiqua"/>
          <w:color w:val="000000"/>
        </w:rPr>
        <w:t xml:space="preserve">ovarian cancer treated with CRS-HIPEC. </w:t>
      </w:r>
      <w:r w:rsidR="00E97357">
        <w:rPr>
          <w:rFonts w:ascii="Book Antiqua" w:eastAsia="Book Antiqua" w:hAnsi="Book Antiqua" w:cs="Book Antiqua"/>
          <w:color w:val="000000"/>
        </w:rPr>
        <w:t>Identifying</w:t>
      </w:r>
      <w:r w:rsidRPr="006F279E">
        <w:rPr>
          <w:rFonts w:ascii="Book Antiqua" w:eastAsia="Book Antiqua" w:hAnsi="Book Antiqua" w:cs="Book Antiqua"/>
          <w:color w:val="000000"/>
        </w:rPr>
        <w:t xml:space="preserve"> patients at increased risk for DGE may aid patient </w:t>
      </w:r>
      <w:r w:rsidR="00E97357">
        <w:rPr>
          <w:rFonts w:ascii="Book Antiqua" w:eastAsia="Book Antiqua" w:hAnsi="Book Antiqua" w:cs="Book Antiqua"/>
          <w:color w:val="000000"/>
        </w:rPr>
        <w:t>selection</w:t>
      </w:r>
      <w:r w:rsidR="00E97357"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as well as postoperative gastrointestinal management.</w:t>
      </w:r>
    </w:p>
    <w:bookmarkEnd w:id="40"/>
    <w:p w14:paraId="0494AFA4" w14:textId="77777777" w:rsidR="00A77B3E" w:rsidRPr="006F279E" w:rsidRDefault="00A77B3E" w:rsidP="00A72E25">
      <w:pPr>
        <w:adjustRightInd w:val="0"/>
        <w:snapToGrid w:val="0"/>
        <w:spacing w:line="360" w:lineRule="auto"/>
        <w:jc w:val="both"/>
        <w:rPr>
          <w:rFonts w:ascii="Book Antiqua" w:hAnsi="Book Antiqua"/>
        </w:rPr>
      </w:pPr>
    </w:p>
    <w:p w14:paraId="5722C78C"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t>Research methods</w:t>
      </w:r>
    </w:p>
    <w:p w14:paraId="6C4E1CB3" w14:textId="1236C26C" w:rsidR="00A77B3E" w:rsidRPr="006F279E" w:rsidRDefault="006F279E" w:rsidP="00A72E25">
      <w:pPr>
        <w:adjustRightInd w:val="0"/>
        <w:snapToGrid w:val="0"/>
        <w:spacing w:line="360" w:lineRule="auto"/>
        <w:jc w:val="both"/>
        <w:rPr>
          <w:rFonts w:ascii="Book Antiqua" w:hAnsi="Book Antiqua"/>
        </w:rPr>
      </w:pPr>
      <w:bookmarkStart w:id="41" w:name="OLE_LINK43"/>
      <w:bookmarkStart w:id="42" w:name="OLE_LINK44"/>
      <w:r w:rsidRPr="006F279E">
        <w:rPr>
          <w:rFonts w:ascii="Book Antiqua" w:eastAsia="Book Antiqua" w:hAnsi="Book Antiqua" w:cs="Book Antiqua"/>
          <w:color w:val="000000"/>
        </w:rPr>
        <w:t>A retrospective study was conducted, and risk factors for DGE were analyzed using univariate and multivariate analyses.</w:t>
      </w:r>
    </w:p>
    <w:bookmarkEnd w:id="41"/>
    <w:bookmarkEnd w:id="42"/>
    <w:p w14:paraId="0BAFECE0" w14:textId="77777777" w:rsidR="00A77B3E" w:rsidRPr="006F279E" w:rsidRDefault="00A77B3E" w:rsidP="00A72E25">
      <w:pPr>
        <w:adjustRightInd w:val="0"/>
        <w:snapToGrid w:val="0"/>
        <w:spacing w:line="360" w:lineRule="auto"/>
        <w:jc w:val="both"/>
        <w:rPr>
          <w:rFonts w:ascii="Book Antiqua" w:hAnsi="Book Antiqua"/>
        </w:rPr>
      </w:pPr>
    </w:p>
    <w:p w14:paraId="771F0BF0"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t>Research results</w:t>
      </w:r>
    </w:p>
    <w:p w14:paraId="7D19E9B9" w14:textId="12C56166" w:rsidR="00A77B3E" w:rsidRPr="006F279E" w:rsidRDefault="006F279E" w:rsidP="00A72E25">
      <w:pPr>
        <w:adjustRightInd w:val="0"/>
        <w:snapToGrid w:val="0"/>
        <w:spacing w:line="360" w:lineRule="auto"/>
        <w:jc w:val="both"/>
        <w:rPr>
          <w:rFonts w:ascii="Book Antiqua" w:hAnsi="Book Antiqua"/>
        </w:rPr>
      </w:pPr>
      <w:bookmarkStart w:id="43" w:name="OLE_LINK45"/>
      <w:bookmarkStart w:id="44" w:name="OLE_LINK46"/>
      <w:r w:rsidRPr="006F279E">
        <w:rPr>
          <w:rFonts w:ascii="Book Antiqua" w:eastAsia="Book Antiqua" w:hAnsi="Book Antiqua" w:cs="Book Antiqua"/>
          <w:color w:val="000000"/>
        </w:rPr>
        <w:t xml:space="preserve">Age ≥ 70 years and intraoperative hemorrhage ≥ 800 mL were independently associated with postoperative DGE after CRS-HIPEC. Perigastric and gastric dissection is known to be the </w:t>
      </w:r>
      <w:r w:rsidR="00E97357">
        <w:rPr>
          <w:rFonts w:ascii="Book Antiqua" w:eastAsia="Book Antiqua" w:hAnsi="Book Antiqua" w:cs="Book Antiqua"/>
          <w:color w:val="000000"/>
        </w:rPr>
        <w:t>greatest</w:t>
      </w:r>
      <w:r w:rsidR="00E97357"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risk factor for DGE. However, it was not found to be related to DGE in our study. The possible reason may be that the sample size was too small.</w:t>
      </w:r>
    </w:p>
    <w:bookmarkEnd w:id="43"/>
    <w:bookmarkEnd w:id="44"/>
    <w:p w14:paraId="66286201" w14:textId="77777777" w:rsidR="00A77B3E" w:rsidRPr="006F279E" w:rsidRDefault="00A77B3E" w:rsidP="00A72E25">
      <w:pPr>
        <w:adjustRightInd w:val="0"/>
        <w:snapToGrid w:val="0"/>
        <w:spacing w:line="360" w:lineRule="auto"/>
        <w:jc w:val="both"/>
        <w:rPr>
          <w:rFonts w:ascii="Book Antiqua" w:hAnsi="Book Antiqua"/>
        </w:rPr>
      </w:pPr>
    </w:p>
    <w:p w14:paraId="3644ADAF"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t>Research conclusions</w:t>
      </w:r>
    </w:p>
    <w:p w14:paraId="03C7ECF1" w14:textId="41EDD943" w:rsidR="00A77B3E" w:rsidRPr="006F279E" w:rsidRDefault="006F279E" w:rsidP="00A72E25">
      <w:pPr>
        <w:adjustRightInd w:val="0"/>
        <w:snapToGrid w:val="0"/>
        <w:spacing w:line="360" w:lineRule="auto"/>
        <w:jc w:val="both"/>
        <w:rPr>
          <w:rFonts w:ascii="Book Antiqua" w:hAnsi="Book Antiqua"/>
        </w:rPr>
      </w:pPr>
      <w:bookmarkStart w:id="45" w:name="OLE_LINK47"/>
      <w:bookmarkStart w:id="46" w:name="OLE_LINK48"/>
      <w:r w:rsidRPr="006F279E">
        <w:rPr>
          <w:rFonts w:ascii="Book Antiqua" w:eastAsia="Book Antiqua" w:hAnsi="Book Antiqua" w:cs="Book Antiqua"/>
          <w:color w:val="000000"/>
        </w:rPr>
        <w:t xml:space="preserve">Postoperative gastrointestinal management, including prolonged nasogastric intubation, should be strengthened for patients over 70 years or with intraoperative bleeding </w:t>
      </w:r>
      <w:r w:rsidR="00E97357">
        <w:rPr>
          <w:rFonts w:ascii="Book Antiqua" w:eastAsia="Book Antiqua" w:hAnsi="Book Antiqua" w:cs="Book Antiqua"/>
          <w:color w:val="000000"/>
        </w:rPr>
        <w:t>exceeding</w:t>
      </w:r>
      <w:r w:rsidR="00E97357"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800 mL.</w:t>
      </w:r>
    </w:p>
    <w:bookmarkEnd w:id="45"/>
    <w:bookmarkEnd w:id="46"/>
    <w:p w14:paraId="27D98F47" w14:textId="77777777" w:rsidR="00A77B3E" w:rsidRPr="006F279E" w:rsidRDefault="00A77B3E" w:rsidP="00A72E25">
      <w:pPr>
        <w:adjustRightInd w:val="0"/>
        <w:snapToGrid w:val="0"/>
        <w:spacing w:line="360" w:lineRule="auto"/>
        <w:jc w:val="both"/>
        <w:rPr>
          <w:rFonts w:ascii="Book Antiqua" w:hAnsi="Book Antiqua"/>
        </w:rPr>
      </w:pPr>
    </w:p>
    <w:p w14:paraId="605A5355"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t>Research perspectives</w:t>
      </w:r>
    </w:p>
    <w:p w14:paraId="043BDB18" w14:textId="5A5C7294" w:rsidR="00A77B3E" w:rsidRPr="006F279E" w:rsidRDefault="006F279E" w:rsidP="00A72E25">
      <w:pPr>
        <w:adjustRightInd w:val="0"/>
        <w:snapToGrid w:val="0"/>
        <w:spacing w:line="360" w:lineRule="auto"/>
        <w:jc w:val="both"/>
        <w:rPr>
          <w:rFonts w:ascii="Book Antiqua" w:hAnsi="Book Antiqua"/>
        </w:rPr>
      </w:pPr>
      <w:bookmarkStart w:id="47" w:name="OLE_LINK49"/>
      <w:bookmarkStart w:id="48" w:name="OLE_LINK50"/>
      <w:r w:rsidRPr="006F279E">
        <w:rPr>
          <w:rFonts w:ascii="Book Antiqua" w:eastAsia="Book Antiqua" w:hAnsi="Book Antiqua" w:cs="Book Antiqua"/>
          <w:color w:val="000000"/>
        </w:rPr>
        <w:t>Large-sample RCTs are needed to further identify the risk factors and management of DGE.</w:t>
      </w:r>
    </w:p>
    <w:bookmarkEnd w:id="47"/>
    <w:bookmarkEnd w:id="48"/>
    <w:p w14:paraId="4C23CC2C" w14:textId="34971F24" w:rsidR="00A77B3E" w:rsidRDefault="00A77B3E" w:rsidP="00A72E25">
      <w:pPr>
        <w:adjustRightInd w:val="0"/>
        <w:snapToGrid w:val="0"/>
        <w:spacing w:line="360" w:lineRule="auto"/>
        <w:jc w:val="both"/>
        <w:rPr>
          <w:rFonts w:ascii="Book Antiqua" w:hAnsi="Book Antiqua"/>
        </w:rPr>
      </w:pPr>
    </w:p>
    <w:p w14:paraId="2492775B" w14:textId="6C659460" w:rsidR="0025272D" w:rsidRDefault="0025272D" w:rsidP="00A72E25">
      <w:pPr>
        <w:adjustRightInd w:val="0"/>
        <w:snapToGrid w:val="0"/>
        <w:spacing w:line="360" w:lineRule="auto"/>
        <w:jc w:val="both"/>
        <w:rPr>
          <w:rFonts w:ascii="Book Antiqua" w:hAnsi="Book Antiqua"/>
        </w:rPr>
      </w:pPr>
    </w:p>
    <w:p w14:paraId="00A7DCD1"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REFERENCES</w:t>
      </w:r>
    </w:p>
    <w:p w14:paraId="42CEE9AF"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lastRenderedPageBreak/>
        <w:t xml:space="preserve">1 </w:t>
      </w:r>
      <w:r w:rsidRPr="00A72E25">
        <w:rPr>
          <w:rFonts w:ascii="Book Antiqua" w:eastAsia="Book Antiqua" w:hAnsi="Book Antiqua" w:cs="Book Antiqua"/>
          <w:b/>
          <w:bCs/>
          <w:color w:val="000000"/>
        </w:rPr>
        <w:t>Webb PM</w:t>
      </w:r>
      <w:r w:rsidRPr="00A72E25">
        <w:rPr>
          <w:rFonts w:ascii="Book Antiqua" w:eastAsia="Book Antiqua" w:hAnsi="Book Antiqua" w:cs="Book Antiqua"/>
          <w:color w:val="000000"/>
        </w:rPr>
        <w:t xml:space="preserve">, Jordan SJ. Epidemiology of epithelial ovarian cancer. </w:t>
      </w:r>
      <w:r w:rsidRPr="00A72E25">
        <w:rPr>
          <w:rFonts w:ascii="Book Antiqua" w:eastAsia="Book Antiqua" w:hAnsi="Book Antiqua" w:cs="Book Antiqua"/>
          <w:i/>
          <w:iCs/>
          <w:color w:val="000000"/>
        </w:rPr>
        <w:t>Best Pract Res Clin Obstet Gynaecol</w:t>
      </w:r>
      <w:r w:rsidRPr="00A72E25">
        <w:rPr>
          <w:rFonts w:ascii="Book Antiqua" w:eastAsia="Book Antiqua" w:hAnsi="Book Antiqua" w:cs="Book Antiqua"/>
          <w:color w:val="000000"/>
        </w:rPr>
        <w:t xml:space="preserve"> 2017; </w:t>
      </w:r>
      <w:r w:rsidRPr="00A72E25">
        <w:rPr>
          <w:rFonts w:ascii="Book Antiqua" w:eastAsia="Book Antiqua" w:hAnsi="Book Antiqua" w:cs="Book Antiqua"/>
          <w:b/>
          <w:bCs/>
          <w:color w:val="000000"/>
        </w:rPr>
        <w:t>41</w:t>
      </w:r>
      <w:r w:rsidRPr="00A72E25">
        <w:rPr>
          <w:rFonts w:ascii="Book Antiqua" w:eastAsia="Book Antiqua" w:hAnsi="Book Antiqua" w:cs="Book Antiqua"/>
          <w:color w:val="000000"/>
        </w:rPr>
        <w:t>: 3-14 [PMID: 27743768 DOI: 10.1016/j.bpobgyn.2016.08.006]</w:t>
      </w:r>
    </w:p>
    <w:p w14:paraId="16E7BB6A"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2 </w:t>
      </w:r>
      <w:r w:rsidRPr="00A72E25">
        <w:rPr>
          <w:rFonts w:ascii="Book Antiqua" w:eastAsia="Book Antiqua" w:hAnsi="Book Antiqua" w:cs="Book Antiqua"/>
          <w:b/>
          <w:bCs/>
          <w:color w:val="000000"/>
        </w:rPr>
        <w:t>Arjona-Sanchez A</w:t>
      </w:r>
      <w:r w:rsidRPr="00A72E25">
        <w:rPr>
          <w:rFonts w:ascii="Book Antiqua" w:eastAsia="Book Antiqua" w:hAnsi="Book Antiqua" w:cs="Book Antiqua"/>
          <w:color w:val="000000"/>
        </w:rPr>
        <w:t xml:space="preserve">, Rufian-Peña S, Artiles M, Sánchez-Hidalgo JM, Casado-Adam Á, Cosano A, Thoelecke H, Ramnarine S, Garcilazo D, Briceño-Delgado J. Residual tumour less than 0.25 centimetres and positive lymph nodes are risk factors for early relapse in recurrent ovarian peritoneal carcinomatosis treated with cytoreductive surgery, HIPEC and systemic chemotherapy. </w:t>
      </w:r>
      <w:r w:rsidRPr="00A72E25">
        <w:rPr>
          <w:rFonts w:ascii="Book Antiqua" w:eastAsia="Book Antiqua" w:hAnsi="Book Antiqua" w:cs="Book Antiqua"/>
          <w:i/>
          <w:iCs/>
          <w:color w:val="000000"/>
        </w:rPr>
        <w:t>Int J Hyperthermia</w:t>
      </w:r>
      <w:r w:rsidRPr="00A72E25">
        <w:rPr>
          <w:rFonts w:ascii="Book Antiqua" w:eastAsia="Book Antiqua" w:hAnsi="Book Antiqua" w:cs="Book Antiqua"/>
          <w:color w:val="000000"/>
        </w:rPr>
        <w:t xml:space="preserve"> 2018; </w:t>
      </w:r>
      <w:r w:rsidRPr="00A72E25">
        <w:rPr>
          <w:rFonts w:ascii="Book Antiqua" w:eastAsia="Book Antiqua" w:hAnsi="Book Antiqua" w:cs="Book Antiqua"/>
          <w:b/>
          <w:bCs/>
          <w:color w:val="000000"/>
        </w:rPr>
        <w:t>34</w:t>
      </w:r>
      <w:r w:rsidRPr="00A72E25">
        <w:rPr>
          <w:rFonts w:ascii="Book Antiqua" w:eastAsia="Book Antiqua" w:hAnsi="Book Antiqua" w:cs="Book Antiqua"/>
          <w:color w:val="000000"/>
        </w:rPr>
        <w:t>: 570-577 [PMID: 29298538 DOI: 10.1080/02656736.2018.1423708]</w:t>
      </w:r>
    </w:p>
    <w:p w14:paraId="530D9278"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3 </w:t>
      </w:r>
      <w:r w:rsidRPr="00A72E25">
        <w:rPr>
          <w:rFonts w:ascii="Book Antiqua" w:eastAsia="Book Antiqua" w:hAnsi="Book Antiqua" w:cs="Book Antiqua"/>
          <w:b/>
          <w:bCs/>
          <w:color w:val="000000"/>
        </w:rPr>
        <w:t>Siegel RL</w:t>
      </w:r>
      <w:r w:rsidRPr="00A72E25">
        <w:rPr>
          <w:rFonts w:ascii="Book Antiqua" w:eastAsia="Book Antiqua" w:hAnsi="Book Antiqua" w:cs="Book Antiqua"/>
          <w:color w:val="000000"/>
        </w:rPr>
        <w:t xml:space="preserve">, Miller KD, Jemal A. Cancer statistics, 2015. </w:t>
      </w:r>
      <w:r w:rsidRPr="00A72E25">
        <w:rPr>
          <w:rFonts w:ascii="Book Antiqua" w:eastAsia="Book Antiqua" w:hAnsi="Book Antiqua" w:cs="Book Antiqua"/>
          <w:i/>
          <w:iCs/>
          <w:color w:val="000000"/>
        </w:rPr>
        <w:t>CA Cancer J Clin</w:t>
      </w:r>
      <w:r w:rsidRPr="00A72E25">
        <w:rPr>
          <w:rFonts w:ascii="Book Antiqua" w:eastAsia="Book Antiqua" w:hAnsi="Book Antiqua" w:cs="Book Antiqua"/>
          <w:color w:val="000000"/>
        </w:rPr>
        <w:t xml:space="preserve"> 2015; </w:t>
      </w:r>
      <w:r w:rsidRPr="00A72E25">
        <w:rPr>
          <w:rFonts w:ascii="Book Antiqua" w:eastAsia="Book Antiqua" w:hAnsi="Book Antiqua" w:cs="Book Antiqua"/>
          <w:b/>
          <w:bCs/>
          <w:color w:val="000000"/>
        </w:rPr>
        <w:t>65</w:t>
      </w:r>
      <w:r w:rsidRPr="00A72E25">
        <w:rPr>
          <w:rFonts w:ascii="Book Antiqua" w:eastAsia="Book Antiqua" w:hAnsi="Book Antiqua" w:cs="Book Antiqua"/>
          <w:color w:val="000000"/>
        </w:rPr>
        <w:t>: 5-29 [PMID: 25559415 DOI: 10.3322/caac.21254]</w:t>
      </w:r>
    </w:p>
    <w:p w14:paraId="4AB8F1F1"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4 </w:t>
      </w:r>
      <w:r w:rsidRPr="00A72E25">
        <w:rPr>
          <w:rFonts w:ascii="Book Antiqua" w:eastAsia="Book Antiqua" w:hAnsi="Book Antiqua" w:cs="Book Antiqua"/>
          <w:b/>
          <w:bCs/>
          <w:color w:val="000000"/>
        </w:rPr>
        <w:t>van Driel WJ</w:t>
      </w:r>
      <w:r w:rsidRPr="00A72E25">
        <w:rPr>
          <w:rFonts w:ascii="Book Antiqua" w:eastAsia="Book Antiqua" w:hAnsi="Book Antiqua" w:cs="Book Antiqua"/>
          <w:color w:val="000000"/>
        </w:rPr>
        <w:t xml:space="preserve">, Koole SN, Sikorska K, Schagen van Leeuwen JH, Schreuder HWR, Hermans RHM, de Hingh IHJT, van der Velden J, Arts HJ, Massuger LFAG, Aalbers AGJ, Verwaal VJ, Kieffer JM, Van de Vijver KK, van Tinteren H, Aaronson NK, Sonke GS. Hyperthermic Intraperitoneal Chemotherapy in Ovarian Cancer. </w:t>
      </w:r>
      <w:r w:rsidRPr="00A72E25">
        <w:rPr>
          <w:rFonts w:ascii="Book Antiqua" w:eastAsia="Book Antiqua" w:hAnsi="Book Antiqua" w:cs="Book Antiqua"/>
          <w:i/>
          <w:iCs/>
          <w:color w:val="000000"/>
        </w:rPr>
        <w:t>N Engl J Med</w:t>
      </w:r>
      <w:r w:rsidRPr="00A72E25">
        <w:rPr>
          <w:rFonts w:ascii="Book Antiqua" w:eastAsia="Book Antiqua" w:hAnsi="Book Antiqua" w:cs="Book Antiqua"/>
          <w:color w:val="000000"/>
        </w:rPr>
        <w:t xml:space="preserve"> 2018; </w:t>
      </w:r>
      <w:r w:rsidRPr="00A72E25">
        <w:rPr>
          <w:rFonts w:ascii="Book Antiqua" w:eastAsia="Book Antiqua" w:hAnsi="Book Antiqua" w:cs="Book Antiqua"/>
          <w:b/>
          <w:bCs/>
          <w:color w:val="000000"/>
        </w:rPr>
        <w:t>378</w:t>
      </w:r>
      <w:r w:rsidRPr="00A72E25">
        <w:rPr>
          <w:rFonts w:ascii="Book Antiqua" w:eastAsia="Book Antiqua" w:hAnsi="Book Antiqua" w:cs="Book Antiqua"/>
          <w:color w:val="000000"/>
        </w:rPr>
        <w:t>: 230-240 [PMID: 29342393 DOI: 10.1056/NEJMoa1708618]</w:t>
      </w:r>
    </w:p>
    <w:p w14:paraId="3426770E"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5 </w:t>
      </w:r>
      <w:r w:rsidRPr="00A72E25">
        <w:rPr>
          <w:rFonts w:ascii="Book Antiqua" w:eastAsia="Book Antiqua" w:hAnsi="Book Antiqua" w:cs="Book Antiqua"/>
          <w:b/>
          <w:bCs/>
          <w:color w:val="000000"/>
        </w:rPr>
        <w:t>Spiliotis J</w:t>
      </w:r>
      <w:r w:rsidRPr="00A72E25">
        <w:rPr>
          <w:rFonts w:ascii="Book Antiqua" w:eastAsia="Book Antiqua" w:hAnsi="Book Antiqua" w:cs="Book Antiqua"/>
          <w:color w:val="000000"/>
        </w:rPr>
        <w:t xml:space="preserve">, Halkia E, Lianos E, Kalantzi N, Grivas A, Efstathiou E, Giassas S. Cytoreductive surgery and HIPEC in recurrent epithelial ovarian cancer: a prospective randomized phase III study. </w:t>
      </w:r>
      <w:r w:rsidRPr="00A72E25">
        <w:rPr>
          <w:rFonts w:ascii="Book Antiqua" w:eastAsia="Book Antiqua" w:hAnsi="Book Antiqua" w:cs="Book Antiqua"/>
          <w:i/>
          <w:iCs/>
          <w:color w:val="000000"/>
        </w:rPr>
        <w:t>Ann Surg Oncol</w:t>
      </w:r>
      <w:r w:rsidRPr="00A72E25">
        <w:rPr>
          <w:rFonts w:ascii="Book Antiqua" w:eastAsia="Book Antiqua" w:hAnsi="Book Antiqua" w:cs="Book Antiqua"/>
          <w:color w:val="000000"/>
        </w:rPr>
        <w:t xml:space="preserve"> 2015; </w:t>
      </w:r>
      <w:r w:rsidRPr="00A72E25">
        <w:rPr>
          <w:rFonts w:ascii="Book Antiqua" w:eastAsia="Book Antiqua" w:hAnsi="Book Antiqua" w:cs="Book Antiqua"/>
          <w:b/>
          <w:bCs/>
          <w:color w:val="000000"/>
        </w:rPr>
        <w:t>22</w:t>
      </w:r>
      <w:r w:rsidRPr="00A72E25">
        <w:rPr>
          <w:rFonts w:ascii="Book Antiqua" w:eastAsia="Book Antiqua" w:hAnsi="Book Antiqua" w:cs="Book Antiqua"/>
          <w:color w:val="000000"/>
        </w:rPr>
        <w:t>: 1570-1575 [PMID: 25391263 DOI: 10.1245/s10434-014-4157-9]</w:t>
      </w:r>
    </w:p>
    <w:p w14:paraId="42B21905"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6 </w:t>
      </w:r>
      <w:r w:rsidRPr="00A72E25">
        <w:rPr>
          <w:rFonts w:ascii="Book Antiqua" w:eastAsia="Book Antiqua" w:hAnsi="Book Antiqua" w:cs="Book Antiqua"/>
          <w:b/>
          <w:bCs/>
          <w:color w:val="000000"/>
        </w:rPr>
        <w:t>Hayes-Jordan A</w:t>
      </w:r>
      <w:r w:rsidRPr="00A72E25">
        <w:rPr>
          <w:rFonts w:ascii="Book Antiqua" w:eastAsia="Book Antiqua" w:hAnsi="Book Antiqua" w:cs="Book Antiqua"/>
          <w:color w:val="000000"/>
        </w:rPr>
        <w:t xml:space="preserve">, Lopez C, Green HL, Xiao LC, Huh W, Herzog CE. Cytoreductive surgery (CRS) and hyperthermic intraperitoneal chemotherapy (HIPEC) in pediatric ovarian tumors: a novel treatment approach. </w:t>
      </w:r>
      <w:r w:rsidRPr="00A72E25">
        <w:rPr>
          <w:rFonts w:ascii="Book Antiqua" w:eastAsia="Book Antiqua" w:hAnsi="Book Antiqua" w:cs="Book Antiqua"/>
          <w:i/>
          <w:iCs/>
          <w:color w:val="000000"/>
        </w:rPr>
        <w:t>Pediatr Surg Int</w:t>
      </w:r>
      <w:r w:rsidRPr="00A72E25">
        <w:rPr>
          <w:rFonts w:ascii="Book Antiqua" w:eastAsia="Book Antiqua" w:hAnsi="Book Antiqua" w:cs="Book Antiqua"/>
          <w:color w:val="000000"/>
        </w:rPr>
        <w:t xml:space="preserve"> 2016; </w:t>
      </w:r>
      <w:r w:rsidRPr="00A72E25">
        <w:rPr>
          <w:rFonts w:ascii="Book Antiqua" w:eastAsia="Book Antiqua" w:hAnsi="Book Antiqua" w:cs="Book Antiqua"/>
          <w:b/>
          <w:bCs/>
          <w:color w:val="000000"/>
        </w:rPr>
        <w:t>32</w:t>
      </w:r>
      <w:r w:rsidRPr="00A72E25">
        <w:rPr>
          <w:rFonts w:ascii="Book Antiqua" w:eastAsia="Book Antiqua" w:hAnsi="Book Antiqua" w:cs="Book Antiqua"/>
          <w:color w:val="000000"/>
        </w:rPr>
        <w:t>: 71-73 [PMID: 26500075 DOI: 10.1007/s00383-015-3814-9]</w:t>
      </w:r>
    </w:p>
    <w:p w14:paraId="4576B2DA"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7 </w:t>
      </w:r>
      <w:r w:rsidRPr="00A72E25">
        <w:rPr>
          <w:rFonts w:ascii="Book Antiqua" w:eastAsia="Book Antiqua" w:hAnsi="Book Antiqua" w:cs="Book Antiqua"/>
          <w:b/>
          <w:bCs/>
          <w:color w:val="000000"/>
        </w:rPr>
        <w:t>Fahim MI</w:t>
      </w:r>
      <w:r w:rsidRPr="00A72E25">
        <w:rPr>
          <w:rFonts w:ascii="Book Antiqua" w:eastAsia="Book Antiqua" w:hAnsi="Book Antiqua" w:cs="Book Antiqua"/>
          <w:color w:val="000000"/>
        </w:rPr>
        <w:t xml:space="preserve">, Nassar OA, Mansour OM, Ali AM, Mahmoud AM, Allam RM, Kamal A. Combined cytoreductive surgery and hyperthermic intraperitoneal chemotherapy as a treatment for recurrent epithelial ovarian cancer-National Cancer Institute experience. </w:t>
      </w:r>
      <w:r w:rsidRPr="00A72E25">
        <w:rPr>
          <w:rFonts w:ascii="Book Antiqua" w:eastAsia="Book Antiqua" w:hAnsi="Book Antiqua" w:cs="Book Antiqua"/>
          <w:i/>
          <w:iCs/>
          <w:color w:val="000000"/>
        </w:rPr>
        <w:t>J Egypt Natl Canc Inst</w:t>
      </w:r>
      <w:r w:rsidRPr="00A72E25">
        <w:rPr>
          <w:rFonts w:ascii="Book Antiqua" w:eastAsia="Book Antiqua" w:hAnsi="Book Antiqua" w:cs="Book Antiqua"/>
          <w:color w:val="000000"/>
        </w:rPr>
        <w:t xml:space="preserve"> 2018; </w:t>
      </w:r>
      <w:r w:rsidRPr="00A72E25">
        <w:rPr>
          <w:rFonts w:ascii="Book Antiqua" w:eastAsia="Book Antiqua" w:hAnsi="Book Antiqua" w:cs="Book Antiqua"/>
          <w:b/>
          <w:bCs/>
          <w:color w:val="000000"/>
        </w:rPr>
        <w:t>30</w:t>
      </w:r>
      <w:r w:rsidRPr="00A72E25">
        <w:rPr>
          <w:rFonts w:ascii="Book Antiqua" w:eastAsia="Book Antiqua" w:hAnsi="Book Antiqua" w:cs="Book Antiqua"/>
          <w:color w:val="000000"/>
        </w:rPr>
        <w:t>: 139-141 [PMID: 30470604 DOI: 10.1016/j.jnci.2018.10.003]</w:t>
      </w:r>
    </w:p>
    <w:p w14:paraId="75B82D75"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lastRenderedPageBreak/>
        <w:t xml:space="preserve">8 </w:t>
      </w:r>
      <w:r w:rsidRPr="00A72E25">
        <w:rPr>
          <w:rFonts w:ascii="Book Antiqua" w:eastAsia="Book Antiqua" w:hAnsi="Book Antiqua" w:cs="Book Antiqua"/>
          <w:b/>
          <w:bCs/>
          <w:color w:val="000000"/>
        </w:rPr>
        <w:t>Levine EA</w:t>
      </w:r>
      <w:r w:rsidRPr="00A72E25">
        <w:rPr>
          <w:rFonts w:ascii="Book Antiqua" w:eastAsia="Book Antiqua" w:hAnsi="Book Antiqua" w:cs="Book Antiqua"/>
          <w:color w:val="000000"/>
        </w:rPr>
        <w:t xml:space="preserve">, Stewart JH 4th, Shen P, Russell GB, Loggie BL, Votanopoulos KI. Intraperitoneal chemotherapy for peritoneal surface malignancy: experience with 1,000 patients. </w:t>
      </w:r>
      <w:r w:rsidRPr="00A72E25">
        <w:rPr>
          <w:rFonts w:ascii="Book Antiqua" w:eastAsia="Book Antiqua" w:hAnsi="Book Antiqua" w:cs="Book Antiqua"/>
          <w:i/>
          <w:iCs/>
          <w:color w:val="000000"/>
        </w:rPr>
        <w:t>J Am Coll Surg</w:t>
      </w:r>
      <w:r w:rsidRPr="00A72E25">
        <w:rPr>
          <w:rFonts w:ascii="Book Antiqua" w:eastAsia="Book Antiqua" w:hAnsi="Book Antiqua" w:cs="Book Antiqua"/>
          <w:color w:val="000000"/>
        </w:rPr>
        <w:t xml:space="preserve"> 2014; </w:t>
      </w:r>
      <w:r w:rsidRPr="00A72E25">
        <w:rPr>
          <w:rFonts w:ascii="Book Antiqua" w:eastAsia="Book Antiqua" w:hAnsi="Book Antiqua" w:cs="Book Antiqua"/>
          <w:b/>
          <w:bCs/>
          <w:color w:val="000000"/>
        </w:rPr>
        <w:t>218</w:t>
      </w:r>
      <w:r w:rsidRPr="00A72E25">
        <w:rPr>
          <w:rFonts w:ascii="Book Antiqua" w:eastAsia="Book Antiqua" w:hAnsi="Book Antiqua" w:cs="Book Antiqua"/>
          <w:color w:val="000000"/>
        </w:rPr>
        <w:t>: 573-585 [PMID: 24491244 DOI: 10.1016/j.jamcollsurg.2013.12.013]</w:t>
      </w:r>
    </w:p>
    <w:p w14:paraId="35B4E0A8"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9 </w:t>
      </w:r>
      <w:r w:rsidRPr="00A72E25">
        <w:rPr>
          <w:rFonts w:ascii="Book Antiqua" w:eastAsia="Book Antiqua" w:hAnsi="Book Antiqua" w:cs="Book Antiqua"/>
          <w:b/>
          <w:bCs/>
          <w:color w:val="000000"/>
        </w:rPr>
        <w:t>Wente MN</w:t>
      </w:r>
      <w:r w:rsidRPr="00A72E25">
        <w:rPr>
          <w:rFonts w:ascii="Book Antiqua" w:eastAsia="Book Antiqua" w:hAnsi="Book Antiqua" w:cs="Book Antiqua"/>
          <w:color w:val="000000"/>
        </w:rPr>
        <w:t xml:space="preserve">, Bassi C, Dervenis C, Fingerhut A, Gouma DJ, Izbicki JR, Neoptolemos JP, Padbury RT, Sarr MG, Traverso LW, Yeo CJ, Büchler MW. Delayed gastric emptying (DGE) after pancreatic surgery: a suggested definition by the International Study Group of Pancreatic Surgery (ISGPS). </w:t>
      </w:r>
      <w:r w:rsidRPr="00A72E25">
        <w:rPr>
          <w:rFonts w:ascii="Book Antiqua" w:eastAsia="Book Antiqua" w:hAnsi="Book Antiqua" w:cs="Book Antiqua"/>
          <w:i/>
          <w:iCs/>
          <w:color w:val="000000"/>
        </w:rPr>
        <w:t>Surgery</w:t>
      </w:r>
      <w:r w:rsidRPr="00A72E25">
        <w:rPr>
          <w:rFonts w:ascii="Book Antiqua" w:eastAsia="Book Antiqua" w:hAnsi="Book Antiqua" w:cs="Book Antiqua"/>
          <w:color w:val="000000"/>
        </w:rPr>
        <w:t xml:space="preserve"> 2007; </w:t>
      </w:r>
      <w:r w:rsidRPr="00A72E25">
        <w:rPr>
          <w:rFonts w:ascii="Book Antiqua" w:eastAsia="Book Antiqua" w:hAnsi="Book Antiqua" w:cs="Book Antiqua"/>
          <w:b/>
          <w:bCs/>
          <w:color w:val="000000"/>
        </w:rPr>
        <w:t>142</w:t>
      </w:r>
      <w:r w:rsidRPr="00A72E25">
        <w:rPr>
          <w:rFonts w:ascii="Book Antiqua" w:eastAsia="Book Antiqua" w:hAnsi="Book Antiqua" w:cs="Book Antiqua"/>
          <w:color w:val="000000"/>
        </w:rPr>
        <w:t>: 761-768 [PMID: 17981197 DOI: 10.1016/j.surg.2007.05.005]</w:t>
      </w:r>
    </w:p>
    <w:p w14:paraId="771B704F"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10 </w:t>
      </w:r>
      <w:r w:rsidRPr="00A72E25">
        <w:rPr>
          <w:rFonts w:ascii="Book Antiqua" w:eastAsia="Book Antiqua" w:hAnsi="Book Antiqua" w:cs="Book Antiqua"/>
          <w:b/>
          <w:bCs/>
          <w:color w:val="000000"/>
        </w:rPr>
        <w:t>Horstmann O</w:t>
      </w:r>
      <w:r w:rsidRPr="00A72E25">
        <w:rPr>
          <w:rFonts w:ascii="Book Antiqua" w:eastAsia="Book Antiqua" w:hAnsi="Book Antiqua" w:cs="Book Antiqua"/>
          <w:color w:val="000000"/>
        </w:rPr>
        <w:t xml:space="preserve">, Becker H, Post S, Nustede R. Is delayed gastric emptying following pancreaticoduodenectomy related to pylorus preservation? </w:t>
      </w:r>
      <w:r w:rsidRPr="00A72E25">
        <w:rPr>
          <w:rFonts w:ascii="Book Antiqua" w:eastAsia="Book Antiqua" w:hAnsi="Book Antiqua" w:cs="Book Antiqua"/>
          <w:i/>
          <w:iCs/>
          <w:color w:val="000000"/>
        </w:rPr>
        <w:t>Langenbecks Arch Surg</w:t>
      </w:r>
      <w:r w:rsidRPr="00A72E25">
        <w:rPr>
          <w:rFonts w:ascii="Book Antiqua" w:eastAsia="Book Antiqua" w:hAnsi="Book Antiqua" w:cs="Book Antiqua"/>
          <w:color w:val="000000"/>
        </w:rPr>
        <w:t xml:space="preserve"> 1999; </w:t>
      </w:r>
      <w:r w:rsidRPr="00A72E25">
        <w:rPr>
          <w:rFonts w:ascii="Book Antiqua" w:eastAsia="Book Antiqua" w:hAnsi="Book Antiqua" w:cs="Book Antiqua"/>
          <w:b/>
          <w:bCs/>
          <w:color w:val="000000"/>
        </w:rPr>
        <w:t>384</w:t>
      </w:r>
      <w:r w:rsidRPr="00A72E25">
        <w:rPr>
          <w:rFonts w:ascii="Book Antiqua" w:eastAsia="Book Antiqua" w:hAnsi="Book Antiqua" w:cs="Book Antiqua"/>
          <w:color w:val="000000"/>
        </w:rPr>
        <w:t>: 354-359 [PMID: 10473855 DOI: 10.1007/s004230050213]</w:t>
      </w:r>
    </w:p>
    <w:p w14:paraId="72B07A63"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11 </w:t>
      </w:r>
      <w:r w:rsidRPr="00A72E25">
        <w:rPr>
          <w:rFonts w:ascii="Book Antiqua" w:eastAsia="Book Antiqua" w:hAnsi="Book Antiqua" w:cs="Book Antiqua"/>
          <w:b/>
          <w:bCs/>
          <w:color w:val="000000"/>
        </w:rPr>
        <w:t>Li Y</w:t>
      </w:r>
      <w:r w:rsidRPr="00A72E25">
        <w:rPr>
          <w:rFonts w:ascii="Book Antiqua" w:eastAsia="Book Antiqua" w:hAnsi="Book Antiqua" w:cs="Book Antiqua"/>
          <w:color w:val="000000"/>
        </w:rPr>
        <w:t xml:space="preserve">, Zhou YF, Liang H, Wang HQ, Hao JH, Zhu ZG, Wan DS, Qin LX, Cui SZ, Ji JF, Xu HM, Wei SZ, Xu HB, Suo T, Yang SJ, Xie CH, Yang XJ, Yang GL. Chinese expert consensus on cytoreductive surgery and hyperthermic intraperitoneal chemotherapy for peritoneal malignancies. </w:t>
      </w:r>
      <w:r w:rsidRPr="00A72E25">
        <w:rPr>
          <w:rFonts w:ascii="Book Antiqua" w:eastAsia="Book Antiqua" w:hAnsi="Book Antiqua" w:cs="Book Antiqua"/>
          <w:i/>
          <w:iCs/>
          <w:color w:val="000000"/>
        </w:rPr>
        <w:t>World J Gastroenterol</w:t>
      </w:r>
      <w:r w:rsidRPr="00A72E25">
        <w:rPr>
          <w:rFonts w:ascii="Book Antiqua" w:eastAsia="Book Antiqua" w:hAnsi="Book Antiqua" w:cs="Book Antiqua"/>
          <w:color w:val="000000"/>
        </w:rPr>
        <w:t xml:space="preserve"> 2016; </w:t>
      </w:r>
      <w:r w:rsidRPr="00A72E25">
        <w:rPr>
          <w:rFonts w:ascii="Book Antiqua" w:eastAsia="Book Antiqua" w:hAnsi="Book Antiqua" w:cs="Book Antiqua"/>
          <w:b/>
          <w:bCs/>
          <w:color w:val="000000"/>
        </w:rPr>
        <w:t>22</w:t>
      </w:r>
      <w:r w:rsidRPr="00A72E25">
        <w:rPr>
          <w:rFonts w:ascii="Book Antiqua" w:eastAsia="Book Antiqua" w:hAnsi="Book Antiqua" w:cs="Book Antiqua"/>
          <w:color w:val="000000"/>
        </w:rPr>
        <w:t>: 6906-6916 [PMID: 27570426 DOI: 10.3748/wjg.v22.i30.6906]</w:t>
      </w:r>
    </w:p>
    <w:p w14:paraId="7754132F"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12 </w:t>
      </w:r>
      <w:r w:rsidRPr="00A72E25">
        <w:rPr>
          <w:rFonts w:ascii="Book Antiqua" w:eastAsia="Book Antiqua" w:hAnsi="Book Antiqua" w:cs="Book Antiqua"/>
          <w:b/>
          <w:bCs/>
          <w:color w:val="000000"/>
        </w:rPr>
        <w:t>Evers DJ</w:t>
      </w:r>
      <w:r w:rsidRPr="00A72E25">
        <w:rPr>
          <w:rFonts w:ascii="Book Antiqua" w:eastAsia="Book Antiqua" w:hAnsi="Book Antiqua" w:cs="Book Antiqua"/>
          <w:color w:val="000000"/>
        </w:rPr>
        <w:t xml:space="preserve">, Smeenk RM, Bottenberg PD, van Werkhoven ED, Boot H, Verwaal VJ. Effect of preservation of the right gastro-epiploic artery on delayed gastric emptying after cytoreductive surgery and HIPEC: a randomized clinical trial. </w:t>
      </w:r>
      <w:r w:rsidRPr="00A72E25">
        <w:rPr>
          <w:rFonts w:ascii="Book Antiqua" w:eastAsia="Book Antiqua" w:hAnsi="Book Antiqua" w:cs="Book Antiqua"/>
          <w:i/>
          <w:iCs/>
          <w:color w:val="000000"/>
        </w:rPr>
        <w:t>Eur J Surg Oncol</w:t>
      </w:r>
      <w:r w:rsidRPr="00A72E25">
        <w:rPr>
          <w:rFonts w:ascii="Book Antiqua" w:eastAsia="Book Antiqua" w:hAnsi="Book Antiqua" w:cs="Book Antiqua"/>
          <w:color w:val="000000"/>
        </w:rPr>
        <w:t xml:space="preserve"> 2011; </w:t>
      </w:r>
      <w:r w:rsidRPr="00A72E25">
        <w:rPr>
          <w:rFonts w:ascii="Book Antiqua" w:eastAsia="Book Antiqua" w:hAnsi="Book Antiqua" w:cs="Book Antiqua"/>
          <w:b/>
          <w:bCs/>
          <w:color w:val="000000"/>
        </w:rPr>
        <w:t>37</w:t>
      </w:r>
      <w:r w:rsidRPr="00A72E25">
        <w:rPr>
          <w:rFonts w:ascii="Book Antiqua" w:eastAsia="Book Antiqua" w:hAnsi="Book Antiqua" w:cs="Book Antiqua"/>
          <w:color w:val="000000"/>
        </w:rPr>
        <w:t>: 162-167 [PMID: 21216560 DOI: 10.1016/j.ejso.2010.12.005]</w:t>
      </w:r>
    </w:p>
    <w:p w14:paraId="6F70EF94"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13 </w:t>
      </w:r>
      <w:r w:rsidRPr="00A72E25">
        <w:rPr>
          <w:rFonts w:ascii="Book Antiqua" w:eastAsia="Book Antiqua" w:hAnsi="Book Antiqua" w:cs="Book Antiqua"/>
          <w:b/>
          <w:bCs/>
          <w:color w:val="000000"/>
        </w:rPr>
        <w:t>Sugarbaker PH</w:t>
      </w:r>
      <w:r w:rsidRPr="00A72E25">
        <w:rPr>
          <w:rFonts w:ascii="Book Antiqua" w:eastAsia="Book Antiqua" w:hAnsi="Book Antiqua" w:cs="Book Antiqua"/>
          <w:color w:val="000000"/>
        </w:rPr>
        <w:t xml:space="preserve">. Cytoreductive surgery and peri-operative intraperitoneal chemotherapy as a curative approach to pseudomyxoma peritonei syndrome. </w:t>
      </w:r>
      <w:r w:rsidRPr="00A72E25">
        <w:rPr>
          <w:rFonts w:ascii="Book Antiqua" w:eastAsia="Book Antiqua" w:hAnsi="Book Antiqua" w:cs="Book Antiqua"/>
          <w:i/>
          <w:iCs/>
          <w:color w:val="000000"/>
        </w:rPr>
        <w:t>Eur J Surg Oncol</w:t>
      </w:r>
      <w:r w:rsidRPr="00A72E25">
        <w:rPr>
          <w:rFonts w:ascii="Book Antiqua" w:eastAsia="Book Antiqua" w:hAnsi="Book Antiqua" w:cs="Book Antiqua"/>
          <w:color w:val="000000"/>
        </w:rPr>
        <w:t xml:space="preserve"> 2001; </w:t>
      </w:r>
      <w:r w:rsidRPr="00A72E25">
        <w:rPr>
          <w:rFonts w:ascii="Book Antiqua" w:eastAsia="Book Antiqua" w:hAnsi="Book Antiqua" w:cs="Book Antiqua"/>
          <w:b/>
          <w:bCs/>
          <w:color w:val="000000"/>
        </w:rPr>
        <w:t>27</w:t>
      </w:r>
      <w:r w:rsidRPr="00A72E25">
        <w:rPr>
          <w:rFonts w:ascii="Book Antiqua" w:eastAsia="Book Antiqua" w:hAnsi="Book Antiqua" w:cs="Book Antiqua"/>
          <w:color w:val="000000"/>
        </w:rPr>
        <w:t>: 239-243 [PMID: 11373099 DOI: 10.1053/ejso.2000.1038]</w:t>
      </w:r>
    </w:p>
    <w:p w14:paraId="5AA3E432"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14 </w:t>
      </w:r>
      <w:r w:rsidRPr="00A72E25">
        <w:rPr>
          <w:rFonts w:ascii="Book Antiqua" w:eastAsia="Book Antiqua" w:hAnsi="Book Antiqua" w:cs="Book Antiqua"/>
          <w:b/>
          <w:bCs/>
          <w:color w:val="000000"/>
        </w:rPr>
        <w:t>Liu G</w:t>
      </w:r>
      <w:r w:rsidRPr="00A72E25">
        <w:rPr>
          <w:rFonts w:ascii="Book Antiqua" w:eastAsia="Book Antiqua" w:hAnsi="Book Antiqua" w:cs="Book Antiqua"/>
          <w:color w:val="000000"/>
        </w:rPr>
        <w:t xml:space="preserve">, Ji ZH, Yu Y, Li XB, Zhang YB, Peng KW, Li Y. Treatment of hypermyoglobinemia after CRS + HIPEC for patients with peritoneal carcinomatosis: A retrospective comparative study. </w:t>
      </w:r>
      <w:r w:rsidRPr="00A72E25">
        <w:rPr>
          <w:rFonts w:ascii="Book Antiqua" w:eastAsia="Book Antiqua" w:hAnsi="Book Antiqua" w:cs="Book Antiqua"/>
          <w:i/>
          <w:iCs/>
          <w:color w:val="000000"/>
        </w:rPr>
        <w:t>Medicine (Baltimore)</w:t>
      </w:r>
      <w:r w:rsidRPr="00A72E25">
        <w:rPr>
          <w:rFonts w:ascii="Book Antiqua" w:eastAsia="Book Antiqua" w:hAnsi="Book Antiqua" w:cs="Book Antiqua"/>
          <w:color w:val="000000"/>
        </w:rPr>
        <w:t xml:space="preserve"> 2017; </w:t>
      </w:r>
      <w:r w:rsidRPr="00A72E25">
        <w:rPr>
          <w:rFonts w:ascii="Book Antiqua" w:eastAsia="Book Antiqua" w:hAnsi="Book Antiqua" w:cs="Book Antiqua"/>
          <w:b/>
          <w:bCs/>
          <w:color w:val="000000"/>
        </w:rPr>
        <w:t>96</w:t>
      </w:r>
      <w:r w:rsidRPr="00A72E25">
        <w:rPr>
          <w:rFonts w:ascii="Book Antiqua" w:eastAsia="Book Antiqua" w:hAnsi="Book Antiqua" w:cs="Book Antiqua"/>
          <w:color w:val="000000"/>
        </w:rPr>
        <w:t>: e8573 [PMID: 29137079 DOI: 10.1097/MD.0000000000008573]</w:t>
      </w:r>
    </w:p>
    <w:p w14:paraId="5C762D80"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15 </w:t>
      </w:r>
      <w:r w:rsidRPr="00A72E25">
        <w:rPr>
          <w:rFonts w:ascii="Book Antiqua" w:eastAsia="Book Antiqua" w:hAnsi="Book Antiqua" w:cs="Book Antiqua"/>
          <w:b/>
          <w:bCs/>
          <w:color w:val="000000"/>
        </w:rPr>
        <w:t>Sugarbaker PH</w:t>
      </w:r>
      <w:r w:rsidRPr="00A72E25">
        <w:rPr>
          <w:rFonts w:ascii="Book Antiqua" w:eastAsia="Book Antiqua" w:hAnsi="Book Antiqua" w:cs="Book Antiqua"/>
          <w:color w:val="000000"/>
        </w:rPr>
        <w:t xml:space="preserve">. Peritonectomy procedures. </w:t>
      </w:r>
      <w:r w:rsidRPr="00A72E25">
        <w:rPr>
          <w:rFonts w:ascii="Book Antiqua" w:eastAsia="Book Antiqua" w:hAnsi="Book Antiqua" w:cs="Book Antiqua"/>
          <w:i/>
          <w:iCs/>
          <w:color w:val="000000"/>
        </w:rPr>
        <w:t>Cancer Treat Res</w:t>
      </w:r>
      <w:r w:rsidRPr="00A72E25">
        <w:rPr>
          <w:rFonts w:ascii="Book Antiqua" w:eastAsia="Book Antiqua" w:hAnsi="Book Antiqua" w:cs="Book Antiqua"/>
          <w:color w:val="000000"/>
        </w:rPr>
        <w:t xml:space="preserve"> 2007; </w:t>
      </w:r>
      <w:r w:rsidRPr="00A72E25">
        <w:rPr>
          <w:rFonts w:ascii="Book Antiqua" w:eastAsia="Book Antiqua" w:hAnsi="Book Antiqua" w:cs="Book Antiqua"/>
          <w:b/>
          <w:bCs/>
          <w:color w:val="000000"/>
        </w:rPr>
        <w:t>134</w:t>
      </w:r>
      <w:r w:rsidRPr="00A72E25">
        <w:rPr>
          <w:rFonts w:ascii="Book Antiqua" w:eastAsia="Book Antiqua" w:hAnsi="Book Antiqua" w:cs="Book Antiqua"/>
          <w:color w:val="000000"/>
        </w:rPr>
        <w:t>: 247-264 [PMID: 17633058 DOI: 10.1007/978-0-387-48993-3_15]</w:t>
      </w:r>
    </w:p>
    <w:p w14:paraId="3CBC7173"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lastRenderedPageBreak/>
        <w:t xml:space="preserve">16 </w:t>
      </w:r>
      <w:r w:rsidRPr="00A72E25">
        <w:rPr>
          <w:rFonts w:ascii="Book Antiqua" w:eastAsia="Book Antiqua" w:hAnsi="Book Antiqua" w:cs="Book Antiqua"/>
          <w:b/>
          <w:bCs/>
          <w:color w:val="000000"/>
        </w:rPr>
        <w:t>Lheureux S</w:t>
      </w:r>
      <w:r w:rsidRPr="00A72E25">
        <w:rPr>
          <w:rFonts w:ascii="Book Antiqua" w:eastAsia="Book Antiqua" w:hAnsi="Book Antiqua" w:cs="Book Antiqua"/>
          <w:color w:val="000000"/>
        </w:rPr>
        <w:t xml:space="preserve">, Gourley C, Vergote I, Oza AM. Epithelial ovarian cancer. </w:t>
      </w:r>
      <w:r w:rsidRPr="00A72E25">
        <w:rPr>
          <w:rFonts w:ascii="Book Antiqua" w:eastAsia="Book Antiqua" w:hAnsi="Book Antiqua" w:cs="Book Antiqua"/>
          <w:i/>
          <w:iCs/>
          <w:color w:val="000000"/>
        </w:rPr>
        <w:t>Lancet</w:t>
      </w:r>
      <w:r w:rsidRPr="00A72E25">
        <w:rPr>
          <w:rFonts w:ascii="Book Antiqua" w:eastAsia="Book Antiqua" w:hAnsi="Book Antiqua" w:cs="Book Antiqua"/>
          <w:color w:val="000000"/>
        </w:rPr>
        <w:t xml:space="preserve"> 2019; </w:t>
      </w:r>
      <w:r w:rsidRPr="00A72E25">
        <w:rPr>
          <w:rFonts w:ascii="Book Antiqua" w:eastAsia="Book Antiqua" w:hAnsi="Book Antiqua" w:cs="Book Antiqua"/>
          <w:b/>
          <w:bCs/>
          <w:color w:val="000000"/>
        </w:rPr>
        <w:t>393</w:t>
      </w:r>
      <w:r w:rsidRPr="00A72E25">
        <w:rPr>
          <w:rFonts w:ascii="Book Antiqua" w:eastAsia="Book Antiqua" w:hAnsi="Book Antiqua" w:cs="Book Antiqua"/>
          <w:color w:val="000000"/>
        </w:rPr>
        <w:t>: 1240-1253 [PMID: 30910306 DOI: 10.1016/S0140-6736(18)32552-2]</w:t>
      </w:r>
    </w:p>
    <w:p w14:paraId="24591C79"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17 </w:t>
      </w:r>
      <w:r w:rsidRPr="00A72E25">
        <w:rPr>
          <w:rFonts w:ascii="Book Antiqua" w:eastAsia="Book Antiqua" w:hAnsi="Book Antiqua" w:cs="Book Antiqua"/>
          <w:b/>
          <w:bCs/>
          <w:color w:val="000000"/>
        </w:rPr>
        <w:t>Cascales Campos P</w:t>
      </w:r>
      <w:r w:rsidRPr="00A72E25">
        <w:rPr>
          <w:rFonts w:ascii="Book Antiqua" w:eastAsia="Book Antiqua" w:hAnsi="Book Antiqua" w:cs="Book Antiqua"/>
          <w:color w:val="000000"/>
        </w:rPr>
        <w:t xml:space="preserve">, Gil J, Parrilla P. Morbidity and mortality outcomes of cytoreductive surgery and hyperthermic intraperitoneal chemotherapy in patients with primary and recurrent advanced ovarian cancer. </w:t>
      </w:r>
      <w:r w:rsidRPr="00A72E25">
        <w:rPr>
          <w:rFonts w:ascii="Book Antiqua" w:eastAsia="Book Antiqua" w:hAnsi="Book Antiqua" w:cs="Book Antiqua"/>
          <w:i/>
          <w:iCs/>
          <w:color w:val="000000"/>
        </w:rPr>
        <w:t>Eur J Surg Oncol</w:t>
      </w:r>
      <w:r w:rsidRPr="00A72E25">
        <w:rPr>
          <w:rFonts w:ascii="Book Antiqua" w:eastAsia="Book Antiqua" w:hAnsi="Book Antiqua" w:cs="Book Antiqua"/>
          <w:color w:val="000000"/>
        </w:rPr>
        <w:t xml:space="preserve"> 2014; </w:t>
      </w:r>
      <w:r w:rsidRPr="00A72E25">
        <w:rPr>
          <w:rFonts w:ascii="Book Antiqua" w:eastAsia="Book Antiqua" w:hAnsi="Book Antiqua" w:cs="Book Antiqua"/>
          <w:b/>
          <w:bCs/>
          <w:color w:val="000000"/>
        </w:rPr>
        <w:t>40</w:t>
      </w:r>
      <w:r w:rsidRPr="00A72E25">
        <w:rPr>
          <w:rFonts w:ascii="Book Antiqua" w:eastAsia="Book Antiqua" w:hAnsi="Book Antiqua" w:cs="Book Antiqua"/>
          <w:color w:val="000000"/>
        </w:rPr>
        <w:t>: 970-975 [PMID: 24035502 DOI: 10.1016/j.ejso.2013.08.013]</w:t>
      </w:r>
    </w:p>
    <w:p w14:paraId="0FFA16E5" w14:textId="0CAB2517" w:rsidR="0025272D" w:rsidRDefault="0025272D" w:rsidP="00A72E25">
      <w:pPr>
        <w:adjustRightInd w:val="0"/>
        <w:snapToGrid w:val="0"/>
        <w:spacing w:line="360" w:lineRule="auto"/>
        <w:jc w:val="both"/>
        <w:rPr>
          <w:rFonts w:ascii="Book Antiqua" w:hAnsi="Book Antiqua"/>
        </w:rPr>
      </w:pPr>
    </w:p>
    <w:p w14:paraId="1CBA96FC" w14:textId="4280750A" w:rsidR="0025272D" w:rsidRDefault="0025272D" w:rsidP="00A72E25">
      <w:pPr>
        <w:adjustRightInd w:val="0"/>
        <w:snapToGrid w:val="0"/>
        <w:spacing w:line="360" w:lineRule="auto"/>
        <w:jc w:val="both"/>
        <w:rPr>
          <w:rFonts w:ascii="Book Antiqua" w:hAnsi="Book Antiqua"/>
        </w:rPr>
      </w:pPr>
    </w:p>
    <w:p w14:paraId="5516E93B" w14:textId="7B43B9EE" w:rsidR="0025272D" w:rsidRDefault="0025272D" w:rsidP="00A72E25">
      <w:pPr>
        <w:adjustRightInd w:val="0"/>
        <w:snapToGrid w:val="0"/>
        <w:spacing w:line="360" w:lineRule="auto"/>
        <w:jc w:val="both"/>
        <w:rPr>
          <w:rFonts w:ascii="Book Antiqua" w:hAnsi="Book Antiqua"/>
        </w:rPr>
      </w:pPr>
    </w:p>
    <w:p w14:paraId="7040DC10" w14:textId="22C9C0F7" w:rsidR="0025272D" w:rsidRDefault="0025272D" w:rsidP="00A72E25">
      <w:pPr>
        <w:adjustRightInd w:val="0"/>
        <w:snapToGrid w:val="0"/>
        <w:spacing w:line="360" w:lineRule="auto"/>
        <w:jc w:val="both"/>
        <w:rPr>
          <w:rFonts w:ascii="Book Antiqua" w:hAnsi="Book Antiqua"/>
        </w:rPr>
      </w:pPr>
    </w:p>
    <w:p w14:paraId="30FC93AE" w14:textId="5E9FEEFA" w:rsidR="0025272D" w:rsidRDefault="0025272D" w:rsidP="00A72E25">
      <w:pPr>
        <w:adjustRightInd w:val="0"/>
        <w:snapToGrid w:val="0"/>
        <w:spacing w:line="360" w:lineRule="auto"/>
        <w:jc w:val="both"/>
        <w:rPr>
          <w:rFonts w:ascii="Book Antiqua" w:hAnsi="Book Antiqua"/>
        </w:rPr>
      </w:pPr>
    </w:p>
    <w:p w14:paraId="389FDD4A" w14:textId="14EC3868" w:rsidR="0025272D" w:rsidRDefault="0025272D" w:rsidP="00A72E25">
      <w:pPr>
        <w:adjustRightInd w:val="0"/>
        <w:snapToGrid w:val="0"/>
        <w:spacing w:line="360" w:lineRule="auto"/>
        <w:jc w:val="both"/>
        <w:rPr>
          <w:rFonts w:ascii="Book Antiqua" w:hAnsi="Book Antiqua"/>
        </w:rPr>
      </w:pPr>
    </w:p>
    <w:p w14:paraId="453CB09E" w14:textId="344B028C" w:rsidR="0025272D" w:rsidRDefault="0025272D" w:rsidP="00A72E25">
      <w:pPr>
        <w:adjustRightInd w:val="0"/>
        <w:snapToGrid w:val="0"/>
        <w:spacing w:line="360" w:lineRule="auto"/>
        <w:jc w:val="both"/>
        <w:rPr>
          <w:rFonts w:ascii="Book Antiqua" w:hAnsi="Book Antiqua"/>
        </w:rPr>
      </w:pPr>
    </w:p>
    <w:p w14:paraId="3CAD857C" w14:textId="19E138E7" w:rsidR="0025272D" w:rsidRDefault="0025272D" w:rsidP="00A72E25">
      <w:pPr>
        <w:adjustRightInd w:val="0"/>
        <w:snapToGrid w:val="0"/>
        <w:spacing w:line="360" w:lineRule="auto"/>
        <w:jc w:val="both"/>
        <w:rPr>
          <w:rFonts w:ascii="Book Antiqua" w:hAnsi="Book Antiqua"/>
        </w:rPr>
      </w:pPr>
    </w:p>
    <w:p w14:paraId="7050A3EC" w14:textId="69BD83CC" w:rsidR="0025272D" w:rsidRDefault="0025272D" w:rsidP="00A72E25">
      <w:pPr>
        <w:adjustRightInd w:val="0"/>
        <w:snapToGrid w:val="0"/>
        <w:spacing w:line="360" w:lineRule="auto"/>
        <w:jc w:val="both"/>
        <w:rPr>
          <w:rFonts w:ascii="Book Antiqua" w:hAnsi="Book Antiqua"/>
        </w:rPr>
      </w:pPr>
    </w:p>
    <w:p w14:paraId="267626EA" w14:textId="15E35A4F" w:rsidR="0025272D" w:rsidRDefault="0025272D" w:rsidP="00A72E25">
      <w:pPr>
        <w:adjustRightInd w:val="0"/>
        <w:snapToGrid w:val="0"/>
        <w:spacing w:line="360" w:lineRule="auto"/>
        <w:jc w:val="both"/>
        <w:rPr>
          <w:rFonts w:ascii="Book Antiqua" w:hAnsi="Book Antiqua"/>
        </w:rPr>
      </w:pPr>
    </w:p>
    <w:p w14:paraId="4E0C4C49" w14:textId="1AB4AEF1" w:rsidR="0025272D" w:rsidRDefault="0025272D" w:rsidP="00A72E25">
      <w:pPr>
        <w:adjustRightInd w:val="0"/>
        <w:snapToGrid w:val="0"/>
        <w:spacing w:line="360" w:lineRule="auto"/>
        <w:jc w:val="both"/>
        <w:rPr>
          <w:rFonts w:ascii="Book Antiqua" w:hAnsi="Book Antiqua"/>
        </w:rPr>
      </w:pPr>
    </w:p>
    <w:p w14:paraId="44562B05" w14:textId="77777777" w:rsidR="0081497D" w:rsidRDefault="0081497D">
      <w:pPr>
        <w:rPr>
          <w:rFonts w:ascii="Book Antiqua" w:eastAsia="Book Antiqua" w:hAnsi="Book Antiqua" w:cs="Book Antiqua"/>
          <w:b/>
          <w:color w:val="000000"/>
        </w:rPr>
      </w:pPr>
      <w:r>
        <w:rPr>
          <w:rFonts w:ascii="Book Antiqua" w:eastAsia="Book Antiqua" w:hAnsi="Book Antiqua" w:cs="Book Antiqua"/>
          <w:b/>
          <w:color w:val="000000"/>
        </w:rPr>
        <w:br w:type="page"/>
      </w:r>
    </w:p>
    <w:p w14:paraId="3A3900A2" w14:textId="78468480"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lastRenderedPageBreak/>
        <w:t>Footnotes</w:t>
      </w:r>
    </w:p>
    <w:p w14:paraId="37DA1A2C"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Institutional review board statement: </w:t>
      </w:r>
      <w:bookmarkStart w:id="49" w:name="OLE_LINK51"/>
      <w:bookmarkStart w:id="50" w:name="OLE_LINK52"/>
      <w:r w:rsidRPr="00A72E25">
        <w:rPr>
          <w:rFonts w:ascii="Book Antiqua" w:eastAsia="Book Antiqua" w:hAnsi="Book Antiqua" w:cs="Book Antiqua"/>
          <w:color w:val="000000"/>
        </w:rPr>
        <w:t>All the patients provided written informed consent before enrollment and the study was reviewed and approved by the ethics committee and institutional review board of Beijing Shijitan Hospital, Capital Medical University</w:t>
      </w:r>
      <w:r w:rsidRPr="00A72E25">
        <w:rPr>
          <w:rFonts w:ascii="Book Antiqua" w:eastAsia="Book Antiqua" w:hAnsi="Book Antiqua" w:cs="Book Antiqua"/>
          <w:color w:val="000000"/>
          <w:shd w:val="clear" w:color="auto" w:fill="FFFFFF"/>
        </w:rPr>
        <w:t>.</w:t>
      </w:r>
    </w:p>
    <w:bookmarkEnd w:id="49"/>
    <w:bookmarkEnd w:id="50"/>
    <w:p w14:paraId="452AE339" w14:textId="77777777" w:rsidR="0025272D" w:rsidRPr="00A72E25" w:rsidRDefault="0025272D" w:rsidP="0025272D">
      <w:pPr>
        <w:adjustRightInd w:val="0"/>
        <w:snapToGrid w:val="0"/>
        <w:spacing w:line="360" w:lineRule="auto"/>
        <w:jc w:val="both"/>
        <w:rPr>
          <w:rFonts w:ascii="Book Antiqua" w:hAnsi="Book Antiqua"/>
        </w:rPr>
      </w:pPr>
    </w:p>
    <w:p w14:paraId="195BE85D"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Informed consent statement: </w:t>
      </w:r>
      <w:bookmarkStart w:id="51" w:name="OLE_LINK53"/>
      <w:bookmarkStart w:id="52" w:name="OLE_LINK54"/>
      <w:r w:rsidRPr="00A72E25">
        <w:rPr>
          <w:rFonts w:ascii="Book Antiqua" w:eastAsia="Book Antiqua" w:hAnsi="Book Antiqua" w:cs="Book Antiqua"/>
          <w:color w:val="000000"/>
        </w:rPr>
        <w:t>All the patients provided written informed consent before enrollment.</w:t>
      </w:r>
    </w:p>
    <w:bookmarkEnd w:id="51"/>
    <w:bookmarkEnd w:id="52"/>
    <w:p w14:paraId="75EDE56A" w14:textId="77777777" w:rsidR="0025272D" w:rsidRPr="00A72E25" w:rsidRDefault="0025272D" w:rsidP="0025272D">
      <w:pPr>
        <w:adjustRightInd w:val="0"/>
        <w:snapToGrid w:val="0"/>
        <w:spacing w:line="360" w:lineRule="auto"/>
        <w:jc w:val="both"/>
        <w:rPr>
          <w:rFonts w:ascii="Book Antiqua" w:hAnsi="Book Antiqua"/>
        </w:rPr>
      </w:pPr>
    </w:p>
    <w:p w14:paraId="42870519"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Conflict-of-interest statement: </w:t>
      </w:r>
      <w:bookmarkStart w:id="53" w:name="OLE_LINK55"/>
      <w:bookmarkStart w:id="54" w:name="OLE_LINK56"/>
      <w:r w:rsidRPr="00A72E25">
        <w:rPr>
          <w:rFonts w:ascii="Book Antiqua" w:eastAsia="Book Antiqua" w:hAnsi="Book Antiqua" w:cs="Book Antiqua"/>
          <w:color w:val="000000"/>
        </w:rPr>
        <w:t>Neither the submitted paper nor any similar paper, in whole or in part, has been submitted to or published in any other scientific journal. All authors of this paper have read and approved the final submitted version and are aware that they are listed as an author on the paper. There are no financial or other interests with regard to the submitted manuscript that might be construed as a conflict of interest.</w:t>
      </w:r>
    </w:p>
    <w:bookmarkEnd w:id="53"/>
    <w:bookmarkEnd w:id="54"/>
    <w:p w14:paraId="50DB7802" w14:textId="77777777" w:rsidR="0025272D" w:rsidRPr="00A72E25" w:rsidRDefault="0025272D" w:rsidP="0025272D">
      <w:pPr>
        <w:adjustRightInd w:val="0"/>
        <w:snapToGrid w:val="0"/>
        <w:spacing w:line="360" w:lineRule="auto"/>
        <w:jc w:val="both"/>
        <w:rPr>
          <w:rFonts w:ascii="Book Antiqua" w:hAnsi="Book Antiqua"/>
        </w:rPr>
      </w:pPr>
    </w:p>
    <w:p w14:paraId="0E97BC19"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Data sharing statement: </w:t>
      </w:r>
      <w:bookmarkStart w:id="55" w:name="OLE_LINK57"/>
      <w:bookmarkStart w:id="56" w:name="OLE_LINK58"/>
      <w:r w:rsidRPr="00A72E25">
        <w:rPr>
          <w:rFonts w:ascii="Book Antiqua" w:eastAsia="Book Antiqua" w:hAnsi="Book Antiqua" w:cs="Book Antiqua"/>
          <w:color w:val="000000"/>
          <w:shd w:val="clear" w:color="auto" w:fill="FFFFFF"/>
        </w:rPr>
        <w:t>No additional data are available.</w:t>
      </w:r>
    </w:p>
    <w:bookmarkEnd w:id="55"/>
    <w:bookmarkEnd w:id="56"/>
    <w:p w14:paraId="6E17B69D" w14:textId="77777777" w:rsidR="0025272D" w:rsidRPr="00A72E25" w:rsidRDefault="0025272D" w:rsidP="0025272D">
      <w:pPr>
        <w:adjustRightInd w:val="0"/>
        <w:snapToGrid w:val="0"/>
        <w:spacing w:line="360" w:lineRule="auto"/>
        <w:jc w:val="both"/>
        <w:rPr>
          <w:rFonts w:ascii="Book Antiqua" w:hAnsi="Book Antiqua"/>
        </w:rPr>
      </w:pPr>
    </w:p>
    <w:p w14:paraId="1EC59355"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STROBE statement: </w:t>
      </w:r>
      <w:bookmarkStart w:id="57" w:name="OLE_LINK59"/>
      <w:bookmarkStart w:id="58" w:name="OLE_LINK60"/>
      <w:r w:rsidRPr="00A72E25">
        <w:rPr>
          <w:rFonts w:ascii="Book Antiqua" w:eastAsia="Book Antiqua" w:hAnsi="Book Antiqua" w:cs="Book Antiqua"/>
          <w:color w:val="000000"/>
        </w:rPr>
        <w:t>The guidelines of the STROBE Statement have been adopted in this study.</w:t>
      </w:r>
    </w:p>
    <w:bookmarkEnd w:id="57"/>
    <w:bookmarkEnd w:id="58"/>
    <w:p w14:paraId="1CB1E5BE" w14:textId="77777777" w:rsidR="0025272D" w:rsidRPr="00A72E25" w:rsidRDefault="0025272D" w:rsidP="0025272D">
      <w:pPr>
        <w:adjustRightInd w:val="0"/>
        <w:snapToGrid w:val="0"/>
        <w:spacing w:line="360" w:lineRule="auto"/>
        <w:jc w:val="both"/>
        <w:rPr>
          <w:rFonts w:ascii="Book Antiqua" w:hAnsi="Book Antiqua"/>
        </w:rPr>
      </w:pPr>
    </w:p>
    <w:p w14:paraId="6FC776E6"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Open-Access: </w:t>
      </w:r>
      <w:bookmarkStart w:id="59" w:name="OLE_LINK6"/>
      <w:r w:rsidRPr="00A72E2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9"/>
    <w:p w14:paraId="52293D54" w14:textId="77777777" w:rsidR="0025272D" w:rsidRPr="00A72E25" w:rsidRDefault="0025272D" w:rsidP="0025272D">
      <w:pPr>
        <w:adjustRightInd w:val="0"/>
        <w:snapToGrid w:val="0"/>
        <w:spacing w:line="360" w:lineRule="auto"/>
        <w:jc w:val="both"/>
        <w:rPr>
          <w:rFonts w:ascii="Book Antiqua" w:hAnsi="Book Antiqua"/>
        </w:rPr>
      </w:pPr>
    </w:p>
    <w:p w14:paraId="1322AF63"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Manuscript source: </w:t>
      </w:r>
      <w:r w:rsidRPr="00A72E25">
        <w:rPr>
          <w:rFonts w:ascii="Book Antiqua" w:eastAsia="Book Antiqua" w:hAnsi="Book Antiqua" w:cs="Book Antiqua"/>
          <w:color w:val="000000"/>
        </w:rPr>
        <w:t>Unsolicited manuscript</w:t>
      </w:r>
    </w:p>
    <w:p w14:paraId="34AF23B6" w14:textId="77777777" w:rsidR="0025272D" w:rsidRPr="00A72E25" w:rsidRDefault="0025272D" w:rsidP="0025272D">
      <w:pPr>
        <w:adjustRightInd w:val="0"/>
        <w:snapToGrid w:val="0"/>
        <w:spacing w:line="360" w:lineRule="auto"/>
        <w:jc w:val="both"/>
        <w:rPr>
          <w:rFonts w:ascii="Book Antiqua" w:hAnsi="Book Antiqua"/>
        </w:rPr>
      </w:pPr>
    </w:p>
    <w:p w14:paraId="3DF9C02E"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Peer-review started: </w:t>
      </w:r>
      <w:r w:rsidRPr="00A72E25">
        <w:rPr>
          <w:rFonts w:ascii="Book Antiqua" w:eastAsia="Book Antiqua" w:hAnsi="Book Antiqua" w:cs="Book Antiqua"/>
          <w:color w:val="000000"/>
        </w:rPr>
        <w:t>December 19, 2020</w:t>
      </w:r>
    </w:p>
    <w:p w14:paraId="314E6DFE"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First decision: </w:t>
      </w:r>
      <w:r w:rsidRPr="00A72E25">
        <w:rPr>
          <w:rFonts w:ascii="Book Antiqua" w:eastAsia="Book Antiqua" w:hAnsi="Book Antiqua" w:cs="Book Antiqua"/>
          <w:color w:val="000000"/>
        </w:rPr>
        <w:t>January 23, 2021</w:t>
      </w:r>
    </w:p>
    <w:p w14:paraId="28DE757A"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Article in press: </w:t>
      </w:r>
    </w:p>
    <w:p w14:paraId="794D98BE" w14:textId="77777777" w:rsidR="0025272D" w:rsidRPr="00A72E25" w:rsidRDefault="0025272D" w:rsidP="0025272D">
      <w:pPr>
        <w:adjustRightInd w:val="0"/>
        <w:snapToGrid w:val="0"/>
        <w:spacing w:line="360" w:lineRule="auto"/>
        <w:jc w:val="both"/>
        <w:rPr>
          <w:rFonts w:ascii="Book Antiqua" w:hAnsi="Book Antiqua"/>
        </w:rPr>
      </w:pPr>
    </w:p>
    <w:p w14:paraId="30E99F8B"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Specialty type: </w:t>
      </w:r>
      <w:r w:rsidRPr="00A72E25">
        <w:rPr>
          <w:rFonts w:ascii="Book Antiqua" w:eastAsia="Book Antiqua" w:hAnsi="Book Antiqua" w:cs="Book Antiqua"/>
          <w:color w:val="000000"/>
        </w:rPr>
        <w:t>Medicine, research and experimental</w:t>
      </w:r>
    </w:p>
    <w:p w14:paraId="0D9A6E57"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Country/Territory of origin: </w:t>
      </w:r>
      <w:r w:rsidRPr="00A72E25">
        <w:rPr>
          <w:rFonts w:ascii="Book Antiqua" w:eastAsia="Book Antiqua" w:hAnsi="Book Antiqua" w:cs="Book Antiqua"/>
          <w:color w:val="000000"/>
        </w:rPr>
        <w:t>China</w:t>
      </w:r>
    </w:p>
    <w:p w14:paraId="7887C715"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Peer-review report’s scientific quality classification</w:t>
      </w:r>
    </w:p>
    <w:p w14:paraId="0BED7BC6"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Grade A (Excellent): 0</w:t>
      </w:r>
    </w:p>
    <w:p w14:paraId="30B21A3F"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Grade B (Very good): 0</w:t>
      </w:r>
    </w:p>
    <w:p w14:paraId="3BA5A905"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Grade C (Good): C</w:t>
      </w:r>
    </w:p>
    <w:p w14:paraId="5D51FF41"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Grade D (Fair): 0</w:t>
      </w:r>
    </w:p>
    <w:p w14:paraId="2DBA43AC"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Grade E (Poor): 0</w:t>
      </w:r>
    </w:p>
    <w:p w14:paraId="5DC2D5E7" w14:textId="77777777" w:rsidR="0025272D" w:rsidRPr="00A72E25" w:rsidRDefault="0025272D" w:rsidP="0025272D">
      <w:pPr>
        <w:adjustRightInd w:val="0"/>
        <w:snapToGrid w:val="0"/>
        <w:spacing w:line="360" w:lineRule="auto"/>
        <w:jc w:val="both"/>
        <w:rPr>
          <w:rFonts w:ascii="Book Antiqua" w:hAnsi="Book Antiqua"/>
        </w:rPr>
      </w:pPr>
    </w:p>
    <w:p w14:paraId="20A801EF" w14:textId="1694F682" w:rsidR="0025272D" w:rsidRPr="006F279E" w:rsidRDefault="0025272D" w:rsidP="0025272D">
      <w:pPr>
        <w:adjustRightInd w:val="0"/>
        <w:snapToGrid w:val="0"/>
        <w:spacing w:line="360" w:lineRule="auto"/>
        <w:jc w:val="both"/>
        <w:rPr>
          <w:rFonts w:ascii="Book Antiqua" w:hAnsi="Book Antiqua"/>
        </w:rPr>
        <w:sectPr w:rsidR="0025272D" w:rsidRPr="006F279E" w:rsidSect="00E06D51">
          <w:pgSz w:w="12240" w:h="15840"/>
          <w:pgMar w:top="1440" w:right="1800" w:bottom="1440" w:left="1800" w:header="720" w:footer="720" w:gutter="0"/>
          <w:cols w:space="720"/>
          <w:docGrid w:linePitch="360"/>
        </w:sectPr>
      </w:pPr>
      <w:r w:rsidRPr="00A72E25">
        <w:rPr>
          <w:rFonts w:ascii="Book Antiqua" w:eastAsia="Book Antiqua" w:hAnsi="Book Antiqua" w:cs="Book Antiqua"/>
          <w:b/>
          <w:color w:val="000000"/>
        </w:rPr>
        <w:t xml:space="preserve">P-Reviewer: </w:t>
      </w:r>
      <w:r w:rsidRPr="00A72E25">
        <w:rPr>
          <w:rFonts w:ascii="Book Antiqua" w:eastAsia="Book Antiqua" w:hAnsi="Book Antiqua" w:cs="Book Antiqua"/>
          <w:color w:val="000000"/>
        </w:rPr>
        <w:t>Cashin PH</w:t>
      </w:r>
      <w:r w:rsidRPr="00A72E25">
        <w:rPr>
          <w:rFonts w:ascii="Book Antiqua" w:eastAsia="Book Antiqua" w:hAnsi="Book Antiqua" w:cs="Book Antiqua"/>
          <w:b/>
          <w:color w:val="000000"/>
        </w:rPr>
        <w:t xml:space="preserve"> S-Editor: </w:t>
      </w:r>
      <w:r w:rsidRPr="00A72E25">
        <w:rPr>
          <w:rFonts w:ascii="Book Antiqua" w:eastAsia="Book Antiqua" w:hAnsi="Book Antiqua" w:cs="Book Antiqua"/>
          <w:color w:val="000000"/>
        </w:rPr>
        <w:t>Zhang L</w:t>
      </w:r>
      <w:r w:rsidRPr="00A72E25">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sidRPr="00A72E25">
        <w:rPr>
          <w:rFonts w:ascii="Book Antiqua" w:eastAsia="Book Antiqua" w:hAnsi="Book Antiqua" w:cs="Book Antiqua"/>
          <w:b/>
          <w:color w:val="000000"/>
        </w:rPr>
        <w:t>P-Editor:</w:t>
      </w:r>
    </w:p>
    <w:p w14:paraId="3D19BC2F" w14:textId="77777777" w:rsidR="00A77B3E" w:rsidRPr="006F279E" w:rsidRDefault="00A77B3E" w:rsidP="00A72E25">
      <w:pPr>
        <w:adjustRightInd w:val="0"/>
        <w:snapToGrid w:val="0"/>
        <w:spacing w:line="360" w:lineRule="auto"/>
        <w:jc w:val="both"/>
        <w:rPr>
          <w:rFonts w:ascii="Book Antiqua" w:hAnsi="Book Antiqua"/>
        </w:rPr>
      </w:pPr>
    </w:p>
    <w:p w14:paraId="21849B38" w14:textId="77777777" w:rsidR="00A77B3E" w:rsidRPr="006F279E" w:rsidRDefault="00A77B3E" w:rsidP="00A72E25">
      <w:pPr>
        <w:adjustRightInd w:val="0"/>
        <w:snapToGrid w:val="0"/>
        <w:spacing w:line="360" w:lineRule="auto"/>
        <w:jc w:val="both"/>
        <w:rPr>
          <w:rFonts w:ascii="Book Antiqua" w:hAnsi="Book Antiqua"/>
        </w:rPr>
      </w:pPr>
    </w:p>
    <w:p w14:paraId="703F52C9" w14:textId="77777777" w:rsidR="00A77B3E" w:rsidRPr="006F279E" w:rsidRDefault="00A77B3E" w:rsidP="00A72E25">
      <w:pPr>
        <w:adjustRightInd w:val="0"/>
        <w:snapToGrid w:val="0"/>
        <w:spacing w:line="360" w:lineRule="auto"/>
        <w:jc w:val="both"/>
        <w:rPr>
          <w:rFonts w:ascii="Book Antiqua" w:hAnsi="Book Antiqua"/>
        </w:rPr>
      </w:pPr>
    </w:p>
    <w:p w14:paraId="6DDA95A0" w14:textId="77777777" w:rsidR="00A77B3E" w:rsidRPr="006F279E" w:rsidRDefault="00A77B3E" w:rsidP="00A72E25">
      <w:pPr>
        <w:adjustRightInd w:val="0"/>
        <w:snapToGrid w:val="0"/>
        <w:spacing w:line="360" w:lineRule="auto"/>
        <w:jc w:val="both"/>
        <w:rPr>
          <w:rFonts w:ascii="Book Antiqua" w:hAnsi="Book Antiqua"/>
        </w:rPr>
      </w:pPr>
    </w:p>
    <w:p w14:paraId="057C41B3" w14:textId="77777777" w:rsidR="00767D13" w:rsidRPr="006F279E" w:rsidRDefault="006F279E" w:rsidP="00A72E25">
      <w:pPr>
        <w:adjustRightInd w:val="0"/>
        <w:snapToGrid w:val="0"/>
        <w:spacing w:line="360" w:lineRule="auto"/>
        <w:jc w:val="both"/>
        <w:rPr>
          <w:rFonts w:ascii="Book Antiqua" w:hAnsi="Book Antiqua"/>
          <w:b/>
        </w:rPr>
      </w:pPr>
      <w:r w:rsidRPr="006F279E">
        <w:rPr>
          <w:rFonts w:ascii="Book Antiqua" w:eastAsia="Book Antiqua" w:hAnsi="Book Antiqua" w:cs="Book Antiqua"/>
          <w:b/>
          <w:color w:val="000000"/>
        </w:rPr>
        <w:br w:type="page"/>
      </w:r>
      <w:r w:rsidRPr="006F279E">
        <w:rPr>
          <w:rFonts w:ascii="Book Antiqua" w:hAnsi="Book Antiqua"/>
          <w:b/>
        </w:rPr>
        <w:lastRenderedPageBreak/>
        <w:t>Table 1 Patients data (</w:t>
      </w:r>
      <w:r w:rsidRPr="006F279E">
        <w:rPr>
          <w:rFonts w:ascii="Book Antiqua" w:hAnsi="Book Antiqua"/>
          <w:b/>
          <w:i/>
          <w:iCs/>
        </w:rPr>
        <w:t>n</w:t>
      </w:r>
      <w:r w:rsidRPr="006F279E">
        <w:rPr>
          <w:rFonts w:ascii="Book Antiqua" w:hAnsi="Book Antiqua"/>
          <w:b/>
        </w:rPr>
        <w:t xml:space="preserve"> = 77)</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5"/>
        <w:gridCol w:w="2725"/>
      </w:tblGrid>
      <w:tr w:rsidR="00A23B67" w:rsidRPr="006F279E" w14:paraId="666EA0CA" w14:textId="77777777" w:rsidTr="000E60C4">
        <w:tc>
          <w:tcPr>
            <w:tcW w:w="3423" w:type="pct"/>
            <w:tcBorders>
              <w:top w:val="single" w:sz="4" w:space="0" w:color="auto"/>
              <w:bottom w:val="single" w:sz="4" w:space="0" w:color="auto"/>
            </w:tcBorders>
          </w:tcPr>
          <w:p w14:paraId="0AF134E4"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rPr>
            </w:pPr>
            <w:r w:rsidRPr="006F279E">
              <w:rPr>
                <w:rFonts w:ascii="Book Antiqua" w:hAnsi="Book Antiqua" w:cs="Times New Roman"/>
                <w:b/>
                <w:bCs/>
              </w:rPr>
              <w:t>Characteristic</w:t>
            </w:r>
          </w:p>
        </w:tc>
        <w:tc>
          <w:tcPr>
            <w:tcW w:w="1577" w:type="pct"/>
            <w:tcBorders>
              <w:top w:val="single" w:sz="4" w:space="0" w:color="auto"/>
              <w:bottom w:val="single" w:sz="4" w:space="0" w:color="auto"/>
            </w:tcBorders>
          </w:tcPr>
          <w:p w14:paraId="6286BF88"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rPr>
            </w:pPr>
            <w:r w:rsidRPr="006F279E">
              <w:rPr>
                <w:rFonts w:ascii="Book Antiqua" w:hAnsi="Book Antiqua" w:cs="Times New Roman"/>
                <w:b/>
                <w:bCs/>
              </w:rPr>
              <w:t>Value</w:t>
            </w:r>
          </w:p>
        </w:tc>
      </w:tr>
      <w:tr w:rsidR="00A23B67" w:rsidRPr="006F279E" w14:paraId="140731BA" w14:textId="77777777" w:rsidTr="000E60C4">
        <w:tc>
          <w:tcPr>
            <w:tcW w:w="3423" w:type="pct"/>
            <w:tcBorders>
              <w:top w:val="single" w:sz="4" w:space="0" w:color="auto"/>
            </w:tcBorders>
          </w:tcPr>
          <w:p w14:paraId="3D1B6429"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rPr>
            </w:pPr>
            <w:r w:rsidRPr="006F279E">
              <w:rPr>
                <w:rFonts w:ascii="Book Antiqua" w:hAnsi="Book Antiqua" w:cs="Times New Roman"/>
              </w:rPr>
              <w:t>Age (yr, median and range)</w:t>
            </w:r>
          </w:p>
        </w:tc>
        <w:tc>
          <w:tcPr>
            <w:tcW w:w="1577" w:type="pct"/>
            <w:tcBorders>
              <w:top w:val="single" w:sz="4" w:space="0" w:color="auto"/>
            </w:tcBorders>
          </w:tcPr>
          <w:p w14:paraId="5EDE5F9F"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rPr>
            </w:pPr>
            <w:r w:rsidRPr="006F279E">
              <w:rPr>
                <w:rFonts w:ascii="Book Antiqua" w:hAnsi="Book Antiqua" w:cs="Times New Roman"/>
              </w:rPr>
              <w:t>59 (35-75)</w:t>
            </w:r>
          </w:p>
        </w:tc>
      </w:tr>
      <w:tr w:rsidR="00A23B67" w:rsidRPr="006F279E" w14:paraId="50B031A6" w14:textId="77777777" w:rsidTr="000E60C4">
        <w:tc>
          <w:tcPr>
            <w:tcW w:w="3423" w:type="pct"/>
          </w:tcPr>
          <w:p w14:paraId="730B73AD" w14:textId="5260297F" w:rsidR="00767D13" w:rsidRPr="006F279E" w:rsidRDefault="006F279E" w:rsidP="000E60C4">
            <w:pPr>
              <w:autoSpaceDE w:val="0"/>
              <w:autoSpaceDN w:val="0"/>
              <w:adjustRightInd w:val="0"/>
              <w:snapToGrid w:val="0"/>
              <w:spacing w:line="360" w:lineRule="auto"/>
              <w:jc w:val="both"/>
              <w:rPr>
                <w:rFonts w:ascii="Book Antiqua" w:hAnsi="Book Antiqua" w:cs="Times New Roman"/>
              </w:rPr>
            </w:pPr>
            <w:r w:rsidRPr="006F279E">
              <w:rPr>
                <w:rFonts w:ascii="Book Antiqua" w:hAnsi="Book Antiqua" w:cs="Times New Roman"/>
              </w:rPr>
              <w:t>BMI (kg/m</w:t>
            </w:r>
            <w:r w:rsidRPr="006F279E">
              <w:rPr>
                <w:rFonts w:ascii="Book Antiqua" w:hAnsi="Book Antiqua" w:cs="Times New Roman"/>
                <w:vertAlign w:val="superscript"/>
              </w:rPr>
              <w:t>2</w:t>
            </w:r>
            <w:r w:rsidRPr="006F279E">
              <w:rPr>
                <w:rFonts w:ascii="Book Antiqua" w:hAnsi="Book Antiqua" w:cs="Times New Roman"/>
              </w:rPr>
              <w:t>, median and range)</w:t>
            </w:r>
          </w:p>
        </w:tc>
        <w:tc>
          <w:tcPr>
            <w:tcW w:w="1577" w:type="pct"/>
          </w:tcPr>
          <w:p w14:paraId="19619C27" w14:textId="16F7DC9F" w:rsidR="00767D13" w:rsidRPr="006F279E" w:rsidRDefault="006F279E" w:rsidP="000E60C4">
            <w:pPr>
              <w:autoSpaceDE w:val="0"/>
              <w:autoSpaceDN w:val="0"/>
              <w:adjustRightInd w:val="0"/>
              <w:snapToGrid w:val="0"/>
              <w:spacing w:line="360" w:lineRule="auto"/>
              <w:jc w:val="both"/>
              <w:rPr>
                <w:rFonts w:ascii="Book Antiqua" w:hAnsi="Book Antiqua" w:cs="Times New Roman"/>
              </w:rPr>
            </w:pPr>
            <w:r w:rsidRPr="006F279E">
              <w:rPr>
                <w:rFonts w:ascii="Book Antiqua" w:hAnsi="Book Antiqua" w:cs="Times New Roman"/>
              </w:rPr>
              <w:t>22.83 (13.8-33.98)</w:t>
            </w:r>
          </w:p>
        </w:tc>
      </w:tr>
      <w:tr w:rsidR="00A23B67" w:rsidRPr="006F279E" w14:paraId="5E877080" w14:textId="77777777" w:rsidTr="000E60C4">
        <w:tc>
          <w:tcPr>
            <w:tcW w:w="3423" w:type="pct"/>
          </w:tcPr>
          <w:p w14:paraId="4FA464B3" w14:textId="291533D2" w:rsidR="000E60C4" w:rsidRPr="006F279E" w:rsidRDefault="006F279E" w:rsidP="00644A2A">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 xml:space="preserve">Concomitant disease, </w:t>
            </w:r>
            <w:r w:rsidR="00644A2A" w:rsidRPr="006F279E">
              <w:rPr>
                <w:rFonts w:ascii="Book Antiqua" w:hAnsi="Book Antiqua" w:cs="Times New Roman"/>
                <w:i/>
                <w:iCs/>
              </w:rPr>
              <w:t>n</w:t>
            </w:r>
            <w:r w:rsidRPr="006F279E">
              <w:rPr>
                <w:rFonts w:ascii="Book Antiqua" w:hAnsi="Book Antiqua" w:cs="Times New Roman"/>
              </w:rPr>
              <w:t xml:space="preserve"> (%)</w:t>
            </w:r>
          </w:p>
        </w:tc>
        <w:tc>
          <w:tcPr>
            <w:tcW w:w="1577" w:type="pct"/>
          </w:tcPr>
          <w:p w14:paraId="70B8043C" w14:textId="4DB4D3E7" w:rsidR="000E60C4" w:rsidRPr="006F279E" w:rsidRDefault="000E60C4" w:rsidP="000E60C4">
            <w:pPr>
              <w:autoSpaceDE w:val="0"/>
              <w:autoSpaceDN w:val="0"/>
              <w:adjustRightInd w:val="0"/>
              <w:snapToGrid w:val="0"/>
              <w:spacing w:line="360" w:lineRule="auto"/>
              <w:jc w:val="both"/>
              <w:rPr>
                <w:rFonts w:ascii="Book Antiqua" w:hAnsi="Book Antiqua"/>
              </w:rPr>
            </w:pPr>
          </w:p>
        </w:tc>
      </w:tr>
      <w:tr w:rsidR="00A23B67" w:rsidRPr="006F279E" w14:paraId="620573A3" w14:textId="77777777" w:rsidTr="000E60C4">
        <w:tc>
          <w:tcPr>
            <w:tcW w:w="3423" w:type="pct"/>
          </w:tcPr>
          <w:p w14:paraId="02D0E801" w14:textId="59E70973"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Diabetes mellitus</w:t>
            </w:r>
          </w:p>
        </w:tc>
        <w:tc>
          <w:tcPr>
            <w:tcW w:w="1577" w:type="pct"/>
          </w:tcPr>
          <w:p w14:paraId="23612CEE" w14:textId="5C24B530"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8 (10)</w:t>
            </w:r>
          </w:p>
        </w:tc>
      </w:tr>
      <w:tr w:rsidR="00A23B67" w:rsidRPr="006F279E" w14:paraId="0F11A0BB" w14:textId="77777777" w:rsidTr="000E60C4">
        <w:tc>
          <w:tcPr>
            <w:tcW w:w="3423" w:type="pct"/>
          </w:tcPr>
          <w:p w14:paraId="58CE6A86" w14:textId="1F449F88"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High blood pressure</w:t>
            </w:r>
          </w:p>
        </w:tc>
        <w:tc>
          <w:tcPr>
            <w:tcW w:w="1577" w:type="pct"/>
          </w:tcPr>
          <w:p w14:paraId="01D9795D" w14:textId="632BA0B5"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16 (21)</w:t>
            </w:r>
          </w:p>
        </w:tc>
      </w:tr>
      <w:tr w:rsidR="00A23B67" w:rsidRPr="006F279E" w14:paraId="22329B70" w14:textId="77777777" w:rsidTr="000E60C4">
        <w:tc>
          <w:tcPr>
            <w:tcW w:w="3423" w:type="pct"/>
          </w:tcPr>
          <w:p w14:paraId="0CF3BE56" w14:textId="53F87203"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History of chemotherapy (cycles, median and range)</w:t>
            </w:r>
          </w:p>
        </w:tc>
        <w:tc>
          <w:tcPr>
            <w:tcW w:w="1577" w:type="pct"/>
          </w:tcPr>
          <w:p w14:paraId="7DD9A8EE" w14:textId="7E9F5EE1"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6 (0-25)</w:t>
            </w:r>
          </w:p>
        </w:tc>
      </w:tr>
      <w:tr w:rsidR="00A23B67" w:rsidRPr="006F279E" w14:paraId="46BAD3F4" w14:textId="77777777" w:rsidTr="000E60C4">
        <w:tc>
          <w:tcPr>
            <w:tcW w:w="3423" w:type="pct"/>
          </w:tcPr>
          <w:p w14:paraId="0A81DD99" w14:textId="42FFA31F" w:rsidR="00F64496" w:rsidRPr="006F279E" w:rsidRDefault="00644A2A"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 xml:space="preserve">Pelvic surgical history, </w:t>
            </w:r>
            <w:r w:rsidRPr="006F279E">
              <w:rPr>
                <w:rFonts w:ascii="Book Antiqua" w:hAnsi="Book Antiqua" w:cs="Times New Roman"/>
                <w:i/>
                <w:iCs/>
              </w:rPr>
              <w:t>n</w:t>
            </w:r>
            <w:r w:rsidRPr="006F279E">
              <w:rPr>
                <w:rFonts w:ascii="Book Antiqua" w:hAnsi="Book Antiqua" w:cs="Times New Roman"/>
              </w:rPr>
              <w:t xml:space="preserve"> (%)</w:t>
            </w:r>
          </w:p>
        </w:tc>
        <w:tc>
          <w:tcPr>
            <w:tcW w:w="1577" w:type="pct"/>
          </w:tcPr>
          <w:p w14:paraId="331EFC1E" w14:textId="7E75FC8B"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62 (81)</w:t>
            </w:r>
          </w:p>
        </w:tc>
      </w:tr>
      <w:tr w:rsidR="00A23B67" w:rsidRPr="006F279E" w14:paraId="3457F8F0" w14:textId="77777777" w:rsidTr="000E60C4">
        <w:tc>
          <w:tcPr>
            <w:tcW w:w="3423" w:type="pct"/>
          </w:tcPr>
          <w:p w14:paraId="3B882DDF" w14:textId="4FB32BCB"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Serum CA-125 level (U/mL, median and range)</w:t>
            </w:r>
          </w:p>
        </w:tc>
        <w:tc>
          <w:tcPr>
            <w:tcW w:w="1577" w:type="pct"/>
          </w:tcPr>
          <w:p w14:paraId="7254A557" w14:textId="7C75D682"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277.2 (7.2-10001.0)</w:t>
            </w:r>
          </w:p>
        </w:tc>
      </w:tr>
      <w:tr w:rsidR="00A23B67" w:rsidRPr="006F279E" w14:paraId="0E8CD85C" w14:textId="77777777" w:rsidTr="000E60C4">
        <w:tc>
          <w:tcPr>
            <w:tcW w:w="3423" w:type="pct"/>
          </w:tcPr>
          <w:p w14:paraId="2DF5CC41" w14:textId="6B29524C" w:rsidR="00F64496" w:rsidRPr="006F279E" w:rsidRDefault="00644A2A"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 xml:space="preserve">Primary/recurrent ovarian cancer, </w:t>
            </w:r>
            <w:r w:rsidRPr="006F279E">
              <w:rPr>
                <w:rFonts w:ascii="Book Antiqua" w:hAnsi="Book Antiqua" w:cs="Times New Roman"/>
                <w:i/>
                <w:iCs/>
              </w:rPr>
              <w:t>n</w:t>
            </w:r>
            <w:r w:rsidRPr="006F279E">
              <w:rPr>
                <w:rFonts w:ascii="Book Antiqua" w:hAnsi="Book Antiqua" w:cs="Times New Roman"/>
              </w:rPr>
              <w:t xml:space="preserve"> (%)</w:t>
            </w:r>
          </w:p>
        </w:tc>
        <w:tc>
          <w:tcPr>
            <w:tcW w:w="1577" w:type="pct"/>
          </w:tcPr>
          <w:p w14:paraId="49A9B4E0" w14:textId="72BFEA73" w:rsidR="00F64496" w:rsidRPr="006F279E" w:rsidRDefault="00F64496" w:rsidP="00F64496">
            <w:pPr>
              <w:autoSpaceDE w:val="0"/>
              <w:autoSpaceDN w:val="0"/>
              <w:adjustRightInd w:val="0"/>
              <w:snapToGrid w:val="0"/>
              <w:spacing w:line="360" w:lineRule="auto"/>
              <w:jc w:val="both"/>
              <w:rPr>
                <w:rFonts w:ascii="Book Antiqua" w:hAnsi="Book Antiqua"/>
              </w:rPr>
            </w:pPr>
          </w:p>
        </w:tc>
      </w:tr>
      <w:tr w:rsidR="00A23B67" w:rsidRPr="006F279E" w14:paraId="3EEC6AB9" w14:textId="77777777" w:rsidTr="000E60C4">
        <w:tc>
          <w:tcPr>
            <w:tcW w:w="3423" w:type="pct"/>
          </w:tcPr>
          <w:p w14:paraId="21B91C11" w14:textId="175E6D56" w:rsidR="00F64496" w:rsidRPr="006F279E" w:rsidRDefault="006F279E" w:rsidP="00644A2A">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Primary</w:t>
            </w:r>
          </w:p>
        </w:tc>
        <w:tc>
          <w:tcPr>
            <w:tcW w:w="1577" w:type="pct"/>
          </w:tcPr>
          <w:p w14:paraId="55768580" w14:textId="5F883200"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32 (42)</w:t>
            </w:r>
          </w:p>
        </w:tc>
      </w:tr>
      <w:tr w:rsidR="00A23B67" w:rsidRPr="006F279E" w14:paraId="05477209" w14:textId="77777777" w:rsidTr="000E60C4">
        <w:tc>
          <w:tcPr>
            <w:tcW w:w="3423" w:type="pct"/>
          </w:tcPr>
          <w:p w14:paraId="522C38A6" w14:textId="7DE9E8D7" w:rsidR="00F64496" w:rsidRPr="006F279E" w:rsidRDefault="006F279E" w:rsidP="00644A2A">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Recurrent</w:t>
            </w:r>
          </w:p>
        </w:tc>
        <w:tc>
          <w:tcPr>
            <w:tcW w:w="1577" w:type="pct"/>
          </w:tcPr>
          <w:p w14:paraId="05861E5C" w14:textId="38EC06F8"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45 (58)</w:t>
            </w:r>
          </w:p>
        </w:tc>
      </w:tr>
      <w:tr w:rsidR="00A23B67" w:rsidRPr="006F279E" w14:paraId="1183786A" w14:textId="77777777" w:rsidTr="000E60C4">
        <w:tc>
          <w:tcPr>
            <w:tcW w:w="3423" w:type="pct"/>
          </w:tcPr>
          <w:p w14:paraId="4C54F2E0" w14:textId="1B40443D"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FIGO stage for primary ovarian cancer (</w:t>
            </w:r>
            <w:r w:rsidRPr="006F279E">
              <w:rPr>
                <w:rFonts w:ascii="Book Antiqua" w:hAnsi="Book Antiqua" w:cs="Times New Roman"/>
                <w:i/>
                <w:iCs/>
              </w:rPr>
              <w:t>n</w:t>
            </w:r>
            <w:r w:rsidRPr="006F279E">
              <w:rPr>
                <w:rFonts w:ascii="Book Antiqua" w:hAnsi="Book Antiqua" w:cs="Times New Roman"/>
              </w:rPr>
              <w:t>)</w:t>
            </w:r>
          </w:p>
        </w:tc>
        <w:tc>
          <w:tcPr>
            <w:tcW w:w="1577" w:type="pct"/>
          </w:tcPr>
          <w:p w14:paraId="71F650B7" w14:textId="51D23247" w:rsidR="00F64496" w:rsidRPr="006F279E" w:rsidRDefault="00F64496" w:rsidP="00F64496">
            <w:pPr>
              <w:autoSpaceDE w:val="0"/>
              <w:autoSpaceDN w:val="0"/>
              <w:adjustRightInd w:val="0"/>
              <w:snapToGrid w:val="0"/>
              <w:spacing w:line="360" w:lineRule="auto"/>
              <w:jc w:val="both"/>
              <w:rPr>
                <w:rFonts w:ascii="Book Antiqua" w:hAnsi="Book Antiqua"/>
              </w:rPr>
            </w:pPr>
          </w:p>
        </w:tc>
      </w:tr>
      <w:tr w:rsidR="00A23B67" w:rsidRPr="006F279E" w14:paraId="295354AB" w14:textId="77777777" w:rsidTr="000E60C4">
        <w:tc>
          <w:tcPr>
            <w:tcW w:w="3423" w:type="pct"/>
          </w:tcPr>
          <w:p w14:paraId="1D2C3816" w14:textId="0F31BB53" w:rsidR="00F64496" w:rsidRPr="006F279E" w:rsidRDefault="006F279E" w:rsidP="00C4338F">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IIIB</w:t>
            </w:r>
          </w:p>
        </w:tc>
        <w:tc>
          <w:tcPr>
            <w:tcW w:w="1577" w:type="pct"/>
          </w:tcPr>
          <w:p w14:paraId="4470755D" w14:textId="0B86A484"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hint="eastAsia"/>
              </w:rPr>
              <w:t>7</w:t>
            </w:r>
          </w:p>
        </w:tc>
      </w:tr>
      <w:tr w:rsidR="00A23B67" w:rsidRPr="006F279E" w14:paraId="76D2FAA1" w14:textId="77777777" w:rsidTr="000E60C4">
        <w:tc>
          <w:tcPr>
            <w:tcW w:w="3423" w:type="pct"/>
          </w:tcPr>
          <w:p w14:paraId="72ECABF8" w14:textId="794CB797" w:rsidR="00F64496" w:rsidRPr="006F279E" w:rsidRDefault="006F279E" w:rsidP="00C4338F">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IIIC</w:t>
            </w:r>
          </w:p>
        </w:tc>
        <w:tc>
          <w:tcPr>
            <w:tcW w:w="1577" w:type="pct"/>
          </w:tcPr>
          <w:p w14:paraId="7C8E36A3" w14:textId="476212F3"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hint="eastAsia"/>
              </w:rPr>
              <w:t>4</w:t>
            </w:r>
          </w:p>
        </w:tc>
      </w:tr>
      <w:tr w:rsidR="00A23B67" w:rsidRPr="006F279E" w14:paraId="1A574250" w14:textId="77777777" w:rsidTr="000E60C4">
        <w:tc>
          <w:tcPr>
            <w:tcW w:w="3423" w:type="pct"/>
          </w:tcPr>
          <w:p w14:paraId="5AEC5141" w14:textId="25AC9669" w:rsidR="00F64496" w:rsidRPr="006F279E" w:rsidRDefault="006F279E" w:rsidP="00C4338F">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IVB</w:t>
            </w:r>
          </w:p>
        </w:tc>
        <w:tc>
          <w:tcPr>
            <w:tcW w:w="1577" w:type="pct"/>
          </w:tcPr>
          <w:p w14:paraId="36F61A2F" w14:textId="2F36511B"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hint="eastAsia"/>
              </w:rPr>
              <w:t>2</w:t>
            </w:r>
            <w:r w:rsidRPr="006F279E">
              <w:rPr>
                <w:rFonts w:ascii="Book Antiqua" w:hAnsi="Book Antiqua"/>
              </w:rPr>
              <w:t>1</w:t>
            </w:r>
          </w:p>
        </w:tc>
      </w:tr>
      <w:tr w:rsidR="00A23B67" w:rsidRPr="006F279E" w14:paraId="669EE775" w14:textId="77777777" w:rsidTr="000E60C4">
        <w:tc>
          <w:tcPr>
            <w:tcW w:w="3423" w:type="pct"/>
          </w:tcPr>
          <w:p w14:paraId="1CFFCFDF" w14:textId="5461516F" w:rsidR="00F64496" w:rsidRPr="006F279E" w:rsidRDefault="00644A2A"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 xml:space="preserve">Histology, </w:t>
            </w:r>
            <w:r w:rsidRPr="006F279E">
              <w:rPr>
                <w:rFonts w:ascii="Book Antiqua" w:hAnsi="Book Antiqua" w:cs="Times New Roman"/>
                <w:i/>
                <w:iCs/>
              </w:rPr>
              <w:t>n</w:t>
            </w:r>
            <w:r w:rsidRPr="006F279E">
              <w:rPr>
                <w:rFonts w:ascii="Book Antiqua" w:hAnsi="Book Antiqua" w:cs="Times New Roman"/>
              </w:rPr>
              <w:t xml:space="preserve"> (%)</w:t>
            </w:r>
          </w:p>
        </w:tc>
        <w:tc>
          <w:tcPr>
            <w:tcW w:w="1577" w:type="pct"/>
          </w:tcPr>
          <w:p w14:paraId="1CD65C48" w14:textId="31D232DC" w:rsidR="00F64496" w:rsidRPr="006F279E" w:rsidRDefault="00F64496" w:rsidP="00F64496">
            <w:pPr>
              <w:autoSpaceDE w:val="0"/>
              <w:autoSpaceDN w:val="0"/>
              <w:adjustRightInd w:val="0"/>
              <w:snapToGrid w:val="0"/>
              <w:spacing w:line="360" w:lineRule="auto"/>
              <w:jc w:val="both"/>
              <w:rPr>
                <w:rFonts w:ascii="Book Antiqua" w:hAnsi="Book Antiqua"/>
              </w:rPr>
            </w:pPr>
          </w:p>
        </w:tc>
      </w:tr>
      <w:tr w:rsidR="00A23B67" w:rsidRPr="006F279E" w14:paraId="3807791A" w14:textId="77777777" w:rsidTr="000E60C4">
        <w:tc>
          <w:tcPr>
            <w:tcW w:w="3423" w:type="pct"/>
          </w:tcPr>
          <w:p w14:paraId="15E53140" w14:textId="7F9C325A" w:rsidR="00F64496" w:rsidRPr="006F279E" w:rsidRDefault="006F279E" w:rsidP="00644A2A">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Serous</w:t>
            </w:r>
          </w:p>
        </w:tc>
        <w:tc>
          <w:tcPr>
            <w:tcW w:w="1577" w:type="pct"/>
          </w:tcPr>
          <w:p w14:paraId="149F22D1" w14:textId="60D93A3A"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55 (71)</w:t>
            </w:r>
          </w:p>
        </w:tc>
      </w:tr>
      <w:tr w:rsidR="00A23B67" w:rsidRPr="006F279E" w14:paraId="5BBB9D24" w14:textId="77777777" w:rsidTr="000E60C4">
        <w:tc>
          <w:tcPr>
            <w:tcW w:w="3423" w:type="pct"/>
          </w:tcPr>
          <w:p w14:paraId="3F9CB50F" w14:textId="6C2DC9C9" w:rsidR="00F64496" w:rsidRPr="006F279E" w:rsidRDefault="006F279E" w:rsidP="00644A2A">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Others</w:t>
            </w:r>
          </w:p>
        </w:tc>
        <w:tc>
          <w:tcPr>
            <w:tcW w:w="1577" w:type="pct"/>
          </w:tcPr>
          <w:p w14:paraId="79DAD8C9" w14:textId="54EDC7AB"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22 (29)</w:t>
            </w:r>
          </w:p>
        </w:tc>
      </w:tr>
    </w:tbl>
    <w:p w14:paraId="126D90F6" w14:textId="400A8402" w:rsidR="00767D13" w:rsidRPr="006F279E" w:rsidRDefault="00A24090" w:rsidP="00A72E25">
      <w:pPr>
        <w:autoSpaceDE w:val="0"/>
        <w:autoSpaceDN w:val="0"/>
        <w:adjustRightInd w:val="0"/>
        <w:snapToGrid w:val="0"/>
        <w:spacing w:line="360" w:lineRule="auto"/>
        <w:jc w:val="both"/>
        <w:rPr>
          <w:rFonts w:ascii="Book Antiqua" w:hAnsi="Book Antiqua"/>
          <w:b/>
        </w:rPr>
      </w:pPr>
      <w:r w:rsidRPr="006F279E">
        <w:rPr>
          <w:rFonts w:ascii="Book Antiqua" w:hAnsi="Book Antiqua"/>
        </w:rPr>
        <w:t>BMI: Body mass index.</w:t>
      </w:r>
    </w:p>
    <w:p w14:paraId="263D299A" w14:textId="61729C44" w:rsidR="00767D13" w:rsidRPr="006F279E" w:rsidRDefault="006F279E" w:rsidP="00A72E25">
      <w:pPr>
        <w:adjustRightInd w:val="0"/>
        <w:snapToGrid w:val="0"/>
        <w:spacing w:line="360" w:lineRule="auto"/>
        <w:jc w:val="both"/>
        <w:rPr>
          <w:rFonts w:ascii="Book Antiqua" w:hAnsi="Book Antiqua"/>
          <w:b/>
        </w:rPr>
      </w:pPr>
      <w:r w:rsidRPr="006F279E">
        <w:rPr>
          <w:rFonts w:ascii="Book Antiqua" w:hAnsi="Book Antiqua"/>
          <w:b/>
        </w:rPr>
        <w:br w:type="page"/>
      </w:r>
      <w:r w:rsidRPr="006F279E">
        <w:rPr>
          <w:rFonts w:ascii="Book Antiqua" w:hAnsi="Book Antiqua"/>
          <w:b/>
        </w:rPr>
        <w:lastRenderedPageBreak/>
        <w:t xml:space="preserve">Table 2 Cytoreductive surgery and hyperthermic intraperitoneal chemotherapy </w:t>
      </w:r>
      <w:r w:rsidRPr="006F279E">
        <w:rPr>
          <w:rFonts w:ascii="Book Antiqua" w:eastAsia="SimSun" w:hAnsi="Book Antiqua"/>
          <w:b/>
        </w:rPr>
        <w:t>characteristics</w:t>
      </w:r>
      <w:r w:rsidRPr="006F279E">
        <w:rPr>
          <w:rFonts w:ascii="Book Antiqua" w:hAnsi="Book Antiqua"/>
          <w:b/>
        </w:rPr>
        <w:t xml:space="preserve"> (</w:t>
      </w:r>
      <w:r w:rsidRPr="006F279E">
        <w:rPr>
          <w:rFonts w:ascii="Book Antiqua" w:hAnsi="Book Antiqua"/>
          <w:b/>
          <w:i/>
          <w:iCs/>
        </w:rPr>
        <w:t>n</w:t>
      </w:r>
      <w:r w:rsidRPr="006F279E">
        <w:rPr>
          <w:rFonts w:ascii="Book Antiqua" w:hAnsi="Book Antiqua"/>
          <w:b/>
        </w:rPr>
        <w:t xml:space="preserve"> = 77)</w:t>
      </w:r>
    </w:p>
    <w:tbl>
      <w:tblPr>
        <w:tblStyle w:val="TableGrid"/>
        <w:tblW w:w="475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268"/>
      </w:tblGrid>
      <w:tr w:rsidR="00A23B67" w:rsidRPr="006F279E" w14:paraId="287B7B01" w14:textId="77777777" w:rsidTr="00B875F9">
        <w:tc>
          <w:tcPr>
            <w:tcW w:w="3621" w:type="pct"/>
            <w:tcBorders>
              <w:top w:val="single" w:sz="4" w:space="0" w:color="auto"/>
              <w:bottom w:val="single" w:sz="4" w:space="0" w:color="auto"/>
            </w:tcBorders>
          </w:tcPr>
          <w:p w14:paraId="1371D1E3"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Characteristic</w:t>
            </w:r>
          </w:p>
        </w:tc>
        <w:tc>
          <w:tcPr>
            <w:tcW w:w="1379" w:type="pct"/>
            <w:tcBorders>
              <w:top w:val="single" w:sz="4" w:space="0" w:color="auto"/>
              <w:bottom w:val="single" w:sz="4" w:space="0" w:color="auto"/>
            </w:tcBorders>
          </w:tcPr>
          <w:p w14:paraId="108DBC3F" w14:textId="42122A41"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Value</w:t>
            </w:r>
          </w:p>
        </w:tc>
      </w:tr>
      <w:tr w:rsidR="00A23B67" w:rsidRPr="006F279E" w14:paraId="5D5A9235" w14:textId="77777777" w:rsidTr="00B875F9">
        <w:tc>
          <w:tcPr>
            <w:tcW w:w="3621" w:type="pct"/>
            <w:tcBorders>
              <w:top w:val="single" w:sz="4" w:space="0" w:color="auto"/>
            </w:tcBorders>
          </w:tcPr>
          <w:p w14:paraId="242A9F18" w14:textId="6A2B8203"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Operation time (minute, median and range)</w:t>
            </w:r>
          </w:p>
        </w:tc>
        <w:tc>
          <w:tcPr>
            <w:tcW w:w="1379" w:type="pct"/>
            <w:tcBorders>
              <w:top w:val="single" w:sz="4" w:space="0" w:color="auto"/>
            </w:tcBorders>
          </w:tcPr>
          <w:p w14:paraId="12262B5F"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630 (280-960)</w:t>
            </w:r>
          </w:p>
        </w:tc>
      </w:tr>
      <w:tr w:rsidR="00A23B67" w:rsidRPr="006F279E" w14:paraId="2D002743" w14:textId="77777777" w:rsidTr="00EB6AF5">
        <w:tc>
          <w:tcPr>
            <w:tcW w:w="3621" w:type="pct"/>
          </w:tcPr>
          <w:p w14:paraId="76A7EC05" w14:textId="6AA8D65B" w:rsidR="00767D13" w:rsidRPr="006F279E" w:rsidRDefault="006F279E" w:rsidP="000E60C4">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Intraoperative hemorrhage (mL, median and range)</w:t>
            </w:r>
          </w:p>
        </w:tc>
        <w:tc>
          <w:tcPr>
            <w:tcW w:w="1379" w:type="pct"/>
          </w:tcPr>
          <w:p w14:paraId="231663D2" w14:textId="08539977" w:rsidR="00767D13" w:rsidRPr="006F279E" w:rsidRDefault="006F279E" w:rsidP="000E60C4">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600 (50-5000)</w:t>
            </w:r>
          </w:p>
        </w:tc>
      </w:tr>
      <w:tr w:rsidR="00A23B67" w:rsidRPr="006F279E" w14:paraId="40ED9C88" w14:textId="77777777" w:rsidTr="00EB6AF5">
        <w:tc>
          <w:tcPr>
            <w:tcW w:w="3621" w:type="pct"/>
          </w:tcPr>
          <w:p w14:paraId="6472E4CD" w14:textId="4F5DDC2C" w:rsidR="000E60C4" w:rsidRPr="006F279E" w:rsidRDefault="006F279E" w:rsidP="000D6B34">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Number of organ</w:t>
            </w:r>
            <w:r w:rsidR="00FA79AA">
              <w:rPr>
                <w:rFonts w:ascii="Book Antiqua" w:hAnsi="Book Antiqua" w:cs="Times New Roman"/>
                <w:kern w:val="0"/>
              </w:rPr>
              <w:t>s</w:t>
            </w:r>
            <w:r w:rsidRPr="006F279E">
              <w:rPr>
                <w:rFonts w:ascii="Book Antiqua" w:hAnsi="Book Antiqua" w:cs="Times New Roman"/>
                <w:kern w:val="0"/>
              </w:rPr>
              <w:t xml:space="preserve"> resected (median and range)</w:t>
            </w:r>
          </w:p>
        </w:tc>
        <w:tc>
          <w:tcPr>
            <w:tcW w:w="1379" w:type="pct"/>
          </w:tcPr>
          <w:p w14:paraId="26C078F8" w14:textId="0A332D12" w:rsidR="000E60C4"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2 (0-9)</w:t>
            </w:r>
          </w:p>
        </w:tc>
      </w:tr>
      <w:tr w:rsidR="00A23B67" w:rsidRPr="006F279E" w14:paraId="71F7AD77" w14:textId="77777777" w:rsidTr="00EB6AF5">
        <w:tc>
          <w:tcPr>
            <w:tcW w:w="3621" w:type="pct"/>
          </w:tcPr>
          <w:p w14:paraId="2E2404ED" w14:textId="7C7D4853" w:rsidR="000E60C4"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Resected organs</w:t>
            </w:r>
            <w:r w:rsidR="00EB6AF5" w:rsidRPr="006F279E">
              <w:rPr>
                <w:rFonts w:ascii="Book Antiqua" w:hAnsi="Book Antiqua" w:cs="Times New Roman"/>
              </w:rPr>
              <w:t xml:space="preserve">, </w:t>
            </w:r>
            <w:r w:rsidR="00EB6AF5" w:rsidRPr="006F279E">
              <w:rPr>
                <w:rFonts w:ascii="Book Antiqua" w:hAnsi="Book Antiqua" w:cs="Times New Roman"/>
                <w:i/>
                <w:iCs/>
              </w:rPr>
              <w:t>n</w:t>
            </w:r>
            <w:r w:rsidR="00EB6AF5" w:rsidRPr="006F279E">
              <w:rPr>
                <w:rFonts w:ascii="Book Antiqua" w:hAnsi="Book Antiqua" w:cs="Times New Roman"/>
              </w:rPr>
              <w:t xml:space="preserve"> (%)</w:t>
            </w:r>
          </w:p>
        </w:tc>
        <w:tc>
          <w:tcPr>
            <w:tcW w:w="1379" w:type="pct"/>
          </w:tcPr>
          <w:p w14:paraId="36DDB1B8" w14:textId="58A00775" w:rsidR="000E60C4" w:rsidRPr="006F279E" w:rsidRDefault="000E60C4" w:rsidP="00A72E25">
            <w:pPr>
              <w:autoSpaceDE w:val="0"/>
              <w:autoSpaceDN w:val="0"/>
              <w:adjustRightInd w:val="0"/>
              <w:snapToGrid w:val="0"/>
              <w:spacing w:line="360" w:lineRule="auto"/>
              <w:jc w:val="both"/>
              <w:rPr>
                <w:rFonts w:ascii="Book Antiqua" w:hAnsi="Book Antiqua"/>
              </w:rPr>
            </w:pPr>
          </w:p>
        </w:tc>
      </w:tr>
      <w:tr w:rsidR="00A23B67" w:rsidRPr="006F279E" w14:paraId="412DCD6E" w14:textId="77777777" w:rsidTr="00EB6AF5">
        <w:tc>
          <w:tcPr>
            <w:tcW w:w="3621" w:type="pct"/>
          </w:tcPr>
          <w:p w14:paraId="649DC008" w14:textId="2DE54FF0" w:rsidR="00F64496" w:rsidRPr="006F279E" w:rsidRDefault="00192CB9" w:rsidP="00F64496">
            <w:pPr>
              <w:autoSpaceDE w:val="0"/>
              <w:autoSpaceDN w:val="0"/>
              <w:adjustRightInd w:val="0"/>
              <w:snapToGrid w:val="0"/>
              <w:spacing w:line="360" w:lineRule="auto"/>
              <w:ind w:firstLineChars="50" w:firstLine="120"/>
              <w:jc w:val="both"/>
              <w:rPr>
                <w:rFonts w:ascii="Book Antiqua" w:hAnsi="Book Antiqua"/>
              </w:rPr>
            </w:pPr>
            <w:hyperlink r:id="rId8" w:history="1">
              <w:r w:rsidR="006F279E" w:rsidRPr="006F279E">
                <w:rPr>
                  <w:rFonts w:ascii="Book Antiqua" w:hAnsi="Book Antiqua" w:cs="Times New Roman"/>
                  <w:kern w:val="0"/>
                </w:rPr>
                <w:t>Ascending</w:t>
              </w:r>
            </w:hyperlink>
            <w:r w:rsidR="006F279E" w:rsidRPr="006F279E">
              <w:rPr>
                <w:rFonts w:ascii="Book Antiqua" w:hAnsi="Book Antiqua" w:cs="Times New Roman"/>
                <w:kern w:val="0"/>
              </w:rPr>
              <w:t> </w:t>
            </w:r>
            <w:hyperlink r:id="rId9" w:history="1">
              <w:r w:rsidR="006F279E" w:rsidRPr="006F279E">
                <w:rPr>
                  <w:rFonts w:ascii="Book Antiqua" w:hAnsi="Book Antiqua" w:cs="Times New Roman"/>
                  <w:kern w:val="0"/>
                </w:rPr>
                <w:t>colon</w:t>
              </w:r>
            </w:hyperlink>
          </w:p>
        </w:tc>
        <w:tc>
          <w:tcPr>
            <w:tcW w:w="1379" w:type="pct"/>
          </w:tcPr>
          <w:p w14:paraId="12DCF19D" w14:textId="63F4EEF3"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18 (23)</w:t>
            </w:r>
          </w:p>
        </w:tc>
      </w:tr>
      <w:tr w:rsidR="00A23B67" w:rsidRPr="006F279E" w14:paraId="7976392D" w14:textId="77777777" w:rsidTr="00EB6AF5">
        <w:tc>
          <w:tcPr>
            <w:tcW w:w="3621" w:type="pct"/>
          </w:tcPr>
          <w:p w14:paraId="152ED40C" w14:textId="0EEA340A"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 xml:space="preserve">Transverse </w:t>
            </w:r>
            <w:hyperlink r:id="rId10" w:history="1">
              <w:r w:rsidRPr="006F279E">
                <w:rPr>
                  <w:rFonts w:ascii="Book Antiqua" w:hAnsi="Book Antiqua" w:cs="Times New Roman"/>
                  <w:kern w:val="0"/>
                </w:rPr>
                <w:t>colon</w:t>
              </w:r>
            </w:hyperlink>
          </w:p>
        </w:tc>
        <w:tc>
          <w:tcPr>
            <w:tcW w:w="1379" w:type="pct"/>
          </w:tcPr>
          <w:p w14:paraId="40899718" w14:textId="323B4736"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4 (5)</w:t>
            </w:r>
          </w:p>
        </w:tc>
      </w:tr>
      <w:tr w:rsidR="00A23B67" w:rsidRPr="006F279E" w14:paraId="41E1FFFB" w14:textId="77777777" w:rsidTr="00EB6AF5">
        <w:tc>
          <w:tcPr>
            <w:tcW w:w="3621" w:type="pct"/>
          </w:tcPr>
          <w:p w14:paraId="477C5BCC" w14:textId="1FE5EE2C" w:rsidR="00F64496" w:rsidRPr="006F279E" w:rsidRDefault="00192CB9" w:rsidP="00F64496">
            <w:pPr>
              <w:autoSpaceDE w:val="0"/>
              <w:autoSpaceDN w:val="0"/>
              <w:adjustRightInd w:val="0"/>
              <w:snapToGrid w:val="0"/>
              <w:spacing w:line="360" w:lineRule="auto"/>
              <w:ind w:firstLineChars="50" w:firstLine="120"/>
              <w:jc w:val="both"/>
              <w:rPr>
                <w:rFonts w:ascii="Book Antiqua" w:hAnsi="Book Antiqua"/>
              </w:rPr>
            </w:pPr>
            <w:hyperlink r:id="rId11" w:history="1">
              <w:r w:rsidR="006F279E" w:rsidRPr="006F279E">
                <w:rPr>
                  <w:rFonts w:ascii="Book Antiqua" w:hAnsi="Book Antiqua" w:cs="Times New Roman"/>
                  <w:kern w:val="0"/>
                </w:rPr>
                <w:t>Descending</w:t>
              </w:r>
            </w:hyperlink>
            <w:r w:rsidR="006F279E" w:rsidRPr="006F279E">
              <w:rPr>
                <w:rFonts w:ascii="Book Antiqua" w:hAnsi="Book Antiqua" w:cs="Times New Roman"/>
                <w:kern w:val="0"/>
              </w:rPr>
              <w:t> </w:t>
            </w:r>
            <w:hyperlink r:id="rId12" w:history="1">
              <w:r w:rsidR="006F279E" w:rsidRPr="006F279E">
                <w:rPr>
                  <w:rFonts w:ascii="Book Antiqua" w:hAnsi="Book Antiqua" w:cs="Times New Roman"/>
                  <w:kern w:val="0"/>
                </w:rPr>
                <w:t>colon</w:t>
              </w:r>
            </w:hyperlink>
          </w:p>
        </w:tc>
        <w:tc>
          <w:tcPr>
            <w:tcW w:w="1379" w:type="pct"/>
          </w:tcPr>
          <w:p w14:paraId="08DA830B" w14:textId="38A11B42"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5 (6)</w:t>
            </w:r>
          </w:p>
        </w:tc>
      </w:tr>
      <w:tr w:rsidR="00A23B67" w:rsidRPr="006F279E" w14:paraId="4D0437EA" w14:textId="77777777" w:rsidTr="00EB6AF5">
        <w:tc>
          <w:tcPr>
            <w:tcW w:w="3621" w:type="pct"/>
          </w:tcPr>
          <w:p w14:paraId="631B76ED" w14:textId="50550936"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Sigmoid colon</w:t>
            </w:r>
          </w:p>
        </w:tc>
        <w:tc>
          <w:tcPr>
            <w:tcW w:w="1379" w:type="pct"/>
          </w:tcPr>
          <w:p w14:paraId="2FAE4E72" w14:textId="5C0740D5"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19 (25)</w:t>
            </w:r>
          </w:p>
        </w:tc>
      </w:tr>
      <w:tr w:rsidR="00A23B67" w:rsidRPr="006F279E" w14:paraId="02E099C8" w14:textId="77777777" w:rsidTr="00EB6AF5">
        <w:tc>
          <w:tcPr>
            <w:tcW w:w="3621" w:type="pct"/>
          </w:tcPr>
          <w:p w14:paraId="35E1F74E" w14:textId="7097B33F"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Total colon</w:t>
            </w:r>
          </w:p>
        </w:tc>
        <w:tc>
          <w:tcPr>
            <w:tcW w:w="1379" w:type="pct"/>
          </w:tcPr>
          <w:p w14:paraId="38D9495F" w14:textId="7EF4BF91"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3 (4)</w:t>
            </w:r>
          </w:p>
        </w:tc>
      </w:tr>
      <w:tr w:rsidR="00A23B67" w:rsidRPr="006F279E" w14:paraId="5BDA172D" w14:textId="77777777" w:rsidTr="00EB6AF5">
        <w:tc>
          <w:tcPr>
            <w:tcW w:w="3621" w:type="pct"/>
          </w:tcPr>
          <w:p w14:paraId="7D784014" w14:textId="25776E55"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Stomach (partial)</w:t>
            </w:r>
          </w:p>
        </w:tc>
        <w:tc>
          <w:tcPr>
            <w:tcW w:w="1379" w:type="pct"/>
          </w:tcPr>
          <w:p w14:paraId="093F48D7" w14:textId="7FDFA3AF"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3 (4)</w:t>
            </w:r>
          </w:p>
        </w:tc>
      </w:tr>
      <w:tr w:rsidR="00A23B67" w:rsidRPr="006F279E" w14:paraId="3EDA0F3E" w14:textId="77777777" w:rsidTr="00EB6AF5">
        <w:tc>
          <w:tcPr>
            <w:tcW w:w="3621" w:type="pct"/>
          </w:tcPr>
          <w:p w14:paraId="58B80698" w14:textId="578A7B1D"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Small intestine (partial)</w:t>
            </w:r>
          </w:p>
        </w:tc>
        <w:tc>
          <w:tcPr>
            <w:tcW w:w="1379" w:type="pct"/>
          </w:tcPr>
          <w:p w14:paraId="26E1C89E" w14:textId="69CB743E"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13 (17)</w:t>
            </w:r>
          </w:p>
        </w:tc>
      </w:tr>
      <w:tr w:rsidR="00A23B67" w:rsidRPr="006F279E" w14:paraId="1127FEF9" w14:textId="77777777" w:rsidTr="00EB6AF5">
        <w:tc>
          <w:tcPr>
            <w:tcW w:w="3621" w:type="pct"/>
          </w:tcPr>
          <w:p w14:paraId="6346FC0F" w14:textId="78D8D3F8"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Rectum</w:t>
            </w:r>
          </w:p>
        </w:tc>
        <w:tc>
          <w:tcPr>
            <w:tcW w:w="1379" w:type="pct"/>
          </w:tcPr>
          <w:p w14:paraId="3540C73B" w14:textId="0F836B12"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46 (60)</w:t>
            </w:r>
          </w:p>
        </w:tc>
      </w:tr>
      <w:tr w:rsidR="00A23B67" w:rsidRPr="006F279E" w14:paraId="15792045" w14:textId="77777777" w:rsidTr="00EB6AF5">
        <w:tc>
          <w:tcPr>
            <w:tcW w:w="3621" w:type="pct"/>
          </w:tcPr>
          <w:p w14:paraId="466D5672" w14:textId="5ED46457"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Liver</w:t>
            </w:r>
            <w:r w:rsidR="00FA79AA">
              <w:rPr>
                <w:rFonts w:ascii="Book Antiqua" w:hAnsi="Book Antiqua" w:cs="Times New Roman"/>
                <w:kern w:val="0"/>
              </w:rPr>
              <w:t xml:space="preserve"> </w:t>
            </w:r>
            <w:r w:rsidRPr="006F279E">
              <w:rPr>
                <w:rFonts w:ascii="Book Antiqua" w:hAnsi="Book Antiqua" w:cs="Times New Roman"/>
                <w:kern w:val="0"/>
              </w:rPr>
              <w:t>(partial)</w:t>
            </w:r>
          </w:p>
        </w:tc>
        <w:tc>
          <w:tcPr>
            <w:tcW w:w="1379" w:type="pct"/>
          </w:tcPr>
          <w:p w14:paraId="6B9A31E5" w14:textId="407EED11"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3 (4)</w:t>
            </w:r>
          </w:p>
        </w:tc>
      </w:tr>
      <w:tr w:rsidR="00A23B67" w:rsidRPr="006F279E" w14:paraId="7CFC90A3" w14:textId="77777777" w:rsidTr="00EB6AF5">
        <w:tc>
          <w:tcPr>
            <w:tcW w:w="3621" w:type="pct"/>
          </w:tcPr>
          <w:p w14:paraId="62D7B721" w14:textId="73F44AE4"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Spleen</w:t>
            </w:r>
          </w:p>
        </w:tc>
        <w:tc>
          <w:tcPr>
            <w:tcW w:w="1379" w:type="pct"/>
          </w:tcPr>
          <w:p w14:paraId="08995272" w14:textId="64C3AA1D"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7 (9)</w:t>
            </w:r>
          </w:p>
        </w:tc>
      </w:tr>
      <w:tr w:rsidR="00A23B67" w:rsidRPr="006F279E" w14:paraId="2A446305" w14:textId="77777777" w:rsidTr="00EB6AF5">
        <w:tc>
          <w:tcPr>
            <w:tcW w:w="3621" w:type="pct"/>
          </w:tcPr>
          <w:p w14:paraId="6541B3BE" w14:textId="433A9509" w:rsidR="00F64496" w:rsidRPr="006F279E" w:rsidRDefault="00192CB9" w:rsidP="00F64496">
            <w:pPr>
              <w:autoSpaceDE w:val="0"/>
              <w:autoSpaceDN w:val="0"/>
              <w:adjustRightInd w:val="0"/>
              <w:snapToGrid w:val="0"/>
              <w:spacing w:line="360" w:lineRule="auto"/>
              <w:ind w:firstLineChars="50" w:firstLine="120"/>
              <w:jc w:val="both"/>
              <w:rPr>
                <w:rFonts w:ascii="Book Antiqua" w:hAnsi="Book Antiqua"/>
              </w:rPr>
            </w:pPr>
            <w:hyperlink r:id="rId13" w:history="1">
              <w:r w:rsidR="006F279E" w:rsidRPr="006F279E">
                <w:rPr>
                  <w:rFonts w:ascii="Book Antiqua" w:hAnsi="Book Antiqua" w:cs="Times New Roman"/>
                  <w:kern w:val="0"/>
                </w:rPr>
                <w:t>Pancreas</w:t>
              </w:r>
            </w:hyperlink>
            <w:r w:rsidR="006F279E" w:rsidRPr="006F279E">
              <w:rPr>
                <w:rFonts w:ascii="Book Antiqua" w:hAnsi="Book Antiqua" w:cs="Times New Roman"/>
                <w:kern w:val="0"/>
              </w:rPr>
              <w:t xml:space="preserve"> (partial)</w:t>
            </w:r>
          </w:p>
        </w:tc>
        <w:tc>
          <w:tcPr>
            <w:tcW w:w="1379" w:type="pct"/>
          </w:tcPr>
          <w:p w14:paraId="24995AFD" w14:textId="69B18CF6"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 (1)</w:t>
            </w:r>
          </w:p>
        </w:tc>
      </w:tr>
      <w:tr w:rsidR="00A23B67" w:rsidRPr="006F279E" w14:paraId="7A3B35A8" w14:textId="77777777" w:rsidTr="00EB6AF5">
        <w:tc>
          <w:tcPr>
            <w:tcW w:w="3621" w:type="pct"/>
          </w:tcPr>
          <w:p w14:paraId="1C9778C1" w14:textId="297D81C2"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Gallbladder</w:t>
            </w:r>
          </w:p>
        </w:tc>
        <w:tc>
          <w:tcPr>
            <w:tcW w:w="1379" w:type="pct"/>
          </w:tcPr>
          <w:p w14:paraId="7A0057F4" w14:textId="669795CE"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8 (10)</w:t>
            </w:r>
          </w:p>
        </w:tc>
      </w:tr>
      <w:tr w:rsidR="00A23B67" w:rsidRPr="006F279E" w14:paraId="3EBD62D7" w14:textId="77777777" w:rsidTr="00EB6AF5">
        <w:tc>
          <w:tcPr>
            <w:tcW w:w="3621" w:type="pct"/>
          </w:tcPr>
          <w:p w14:paraId="45C6B553" w14:textId="1C5FC55A" w:rsidR="000E60C4" w:rsidRPr="006F279E" w:rsidRDefault="006F279E" w:rsidP="000D6B34">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Omentectomy</w:t>
            </w:r>
            <w:r w:rsidR="00170208" w:rsidRPr="006F279E">
              <w:rPr>
                <w:rFonts w:ascii="Book Antiqua" w:hAnsi="Book Antiqua" w:cs="Times New Roman"/>
              </w:rPr>
              <w:t xml:space="preserve">, </w:t>
            </w:r>
            <w:r w:rsidR="00170208" w:rsidRPr="006F279E">
              <w:rPr>
                <w:rFonts w:ascii="Book Antiqua" w:hAnsi="Book Antiqua" w:cs="Times New Roman"/>
                <w:i/>
                <w:iCs/>
              </w:rPr>
              <w:t>n</w:t>
            </w:r>
            <w:r w:rsidR="00170208" w:rsidRPr="006F279E">
              <w:rPr>
                <w:rFonts w:ascii="Book Antiqua" w:hAnsi="Book Antiqua" w:cs="Times New Roman"/>
              </w:rPr>
              <w:t xml:space="preserve"> (%)</w:t>
            </w:r>
          </w:p>
        </w:tc>
        <w:tc>
          <w:tcPr>
            <w:tcW w:w="1379" w:type="pct"/>
          </w:tcPr>
          <w:p w14:paraId="73271E2C" w14:textId="51057C5E" w:rsidR="000E60C4"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56 (73)</w:t>
            </w:r>
          </w:p>
        </w:tc>
      </w:tr>
      <w:tr w:rsidR="00A23B67" w:rsidRPr="006F279E" w14:paraId="04C4AC51" w14:textId="77777777" w:rsidTr="00EB6AF5">
        <w:tc>
          <w:tcPr>
            <w:tcW w:w="3621" w:type="pct"/>
          </w:tcPr>
          <w:p w14:paraId="02859878" w14:textId="78DAA296" w:rsidR="000E60C4" w:rsidRPr="006F279E" w:rsidRDefault="00192CB9" w:rsidP="000D6B34">
            <w:pPr>
              <w:autoSpaceDE w:val="0"/>
              <w:autoSpaceDN w:val="0"/>
              <w:adjustRightInd w:val="0"/>
              <w:snapToGrid w:val="0"/>
              <w:spacing w:line="360" w:lineRule="auto"/>
              <w:jc w:val="both"/>
              <w:rPr>
                <w:rFonts w:ascii="Book Antiqua" w:hAnsi="Book Antiqua"/>
              </w:rPr>
            </w:pPr>
            <w:hyperlink r:id="rId14" w:history="1">
              <w:r w:rsidR="006F279E" w:rsidRPr="006F279E">
                <w:rPr>
                  <w:rFonts w:ascii="Book Antiqua" w:hAnsi="Book Antiqua" w:cs="Times New Roman"/>
                  <w:kern w:val="0"/>
                </w:rPr>
                <w:t>Urinary</w:t>
              </w:r>
            </w:hyperlink>
            <w:r w:rsidR="006F279E" w:rsidRPr="006F279E">
              <w:rPr>
                <w:rFonts w:ascii="Book Antiqua" w:hAnsi="Book Antiqua" w:cs="Times New Roman"/>
                <w:kern w:val="0"/>
              </w:rPr>
              <w:t> </w:t>
            </w:r>
            <w:hyperlink r:id="rId15" w:history="1">
              <w:r w:rsidR="006F279E" w:rsidRPr="006F279E">
                <w:rPr>
                  <w:rFonts w:ascii="Book Antiqua" w:hAnsi="Book Antiqua" w:cs="Times New Roman"/>
                  <w:kern w:val="0"/>
                </w:rPr>
                <w:t>bladder</w:t>
              </w:r>
            </w:hyperlink>
            <w:r w:rsidR="00296EF8" w:rsidRPr="006F279E">
              <w:rPr>
                <w:rFonts w:ascii="Book Antiqua" w:hAnsi="Book Antiqua" w:cs="Times New Roman"/>
              </w:rPr>
              <w:t xml:space="preserve">, </w:t>
            </w:r>
            <w:r w:rsidR="00296EF8" w:rsidRPr="006F279E">
              <w:rPr>
                <w:rFonts w:ascii="Book Antiqua" w:hAnsi="Book Antiqua" w:cs="Times New Roman"/>
                <w:i/>
                <w:iCs/>
              </w:rPr>
              <w:t>n</w:t>
            </w:r>
            <w:r w:rsidR="00296EF8" w:rsidRPr="006F279E">
              <w:rPr>
                <w:rFonts w:ascii="Book Antiqua" w:hAnsi="Book Antiqua" w:cs="Times New Roman"/>
              </w:rPr>
              <w:t xml:space="preserve"> (%)</w:t>
            </w:r>
          </w:p>
        </w:tc>
        <w:tc>
          <w:tcPr>
            <w:tcW w:w="1379" w:type="pct"/>
          </w:tcPr>
          <w:p w14:paraId="5A36D636" w14:textId="2083D3C4" w:rsidR="000E60C4"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2 (3)</w:t>
            </w:r>
          </w:p>
        </w:tc>
      </w:tr>
      <w:tr w:rsidR="00A23B67" w:rsidRPr="006F279E" w14:paraId="6E318455" w14:textId="77777777" w:rsidTr="00EB6AF5">
        <w:tc>
          <w:tcPr>
            <w:tcW w:w="3621" w:type="pct"/>
          </w:tcPr>
          <w:p w14:paraId="1E2AF7C4" w14:textId="1DD6E6F4" w:rsidR="000E60C4" w:rsidRPr="006F279E" w:rsidRDefault="006F279E" w:rsidP="000D6B34">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Number of bowel resection</w:t>
            </w:r>
            <w:r w:rsidR="00170208" w:rsidRPr="006F279E">
              <w:rPr>
                <w:rFonts w:ascii="Book Antiqua" w:hAnsi="Book Antiqua" w:cs="Times New Roman"/>
              </w:rPr>
              <w:t xml:space="preserve">, </w:t>
            </w:r>
            <w:r w:rsidR="00170208" w:rsidRPr="006F279E">
              <w:rPr>
                <w:rFonts w:ascii="Book Antiqua" w:hAnsi="Book Antiqua" w:cs="Times New Roman"/>
                <w:i/>
                <w:iCs/>
              </w:rPr>
              <w:t>n</w:t>
            </w:r>
            <w:r w:rsidR="00170208" w:rsidRPr="006F279E">
              <w:rPr>
                <w:rFonts w:ascii="Book Antiqua" w:hAnsi="Book Antiqua" w:cs="Times New Roman"/>
              </w:rPr>
              <w:t xml:space="preserve"> (%)</w:t>
            </w:r>
          </w:p>
        </w:tc>
        <w:tc>
          <w:tcPr>
            <w:tcW w:w="1379" w:type="pct"/>
          </w:tcPr>
          <w:p w14:paraId="716FEF05" w14:textId="02EC9126" w:rsidR="000E60C4"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53 (69)</w:t>
            </w:r>
          </w:p>
        </w:tc>
      </w:tr>
      <w:tr w:rsidR="00A23B67" w:rsidRPr="006F279E" w14:paraId="08FBE4CC" w14:textId="77777777" w:rsidTr="00EB6AF5">
        <w:tc>
          <w:tcPr>
            <w:tcW w:w="3621" w:type="pct"/>
          </w:tcPr>
          <w:p w14:paraId="7CAE91E8" w14:textId="5CEFD91C" w:rsidR="000E60C4" w:rsidRPr="006F279E" w:rsidRDefault="006F279E" w:rsidP="000D6B34">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PCI (median and range)</w:t>
            </w:r>
          </w:p>
        </w:tc>
        <w:tc>
          <w:tcPr>
            <w:tcW w:w="1379" w:type="pct"/>
          </w:tcPr>
          <w:p w14:paraId="50207A2D" w14:textId="3F0C0233" w:rsidR="000E60C4"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16 (1-39)</w:t>
            </w:r>
          </w:p>
        </w:tc>
      </w:tr>
      <w:tr w:rsidR="00A23B67" w:rsidRPr="006F279E" w14:paraId="2A27BFF1" w14:textId="77777777" w:rsidTr="00B875F9">
        <w:trPr>
          <w:trHeight w:val="301"/>
        </w:trPr>
        <w:tc>
          <w:tcPr>
            <w:tcW w:w="3621" w:type="pct"/>
          </w:tcPr>
          <w:p w14:paraId="42850E6C" w14:textId="473AE573" w:rsidR="000E60C4" w:rsidRPr="006F279E" w:rsidRDefault="006F279E" w:rsidP="001428CD">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CCS</w:t>
            </w:r>
            <w:r w:rsidR="001428CD" w:rsidRPr="006F279E">
              <w:rPr>
                <w:rFonts w:ascii="Book Antiqua" w:hAnsi="Book Antiqua" w:cs="Times New Roman"/>
              </w:rPr>
              <w:t xml:space="preserve">, </w:t>
            </w:r>
            <w:r w:rsidR="001428CD" w:rsidRPr="006F279E">
              <w:rPr>
                <w:rFonts w:ascii="Book Antiqua" w:hAnsi="Book Antiqua" w:cs="Times New Roman"/>
                <w:i/>
                <w:iCs/>
              </w:rPr>
              <w:t>n</w:t>
            </w:r>
            <w:r w:rsidR="001428CD" w:rsidRPr="006F279E">
              <w:rPr>
                <w:rFonts w:ascii="Book Antiqua" w:hAnsi="Book Antiqua" w:cs="Times New Roman"/>
              </w:rPr>
              <w:t xml:space="preserve"> (%)</w:t>
            </w:r>
            <w:r w:rsidRPr="006F279E">
              <w:rPr>
                <w:rFonts w:ascii="Book Antiqua" w:hAnsi="Book Antiqua" w:cs="Times New Roman"/>
                <w:kern w:val="0"/>
              </w:rPr>
              <w:t xml:space="preserve"> </w:t>
            </w:r>
          </w:p>
        </w:tc>
        <w:tc>
          <w:tcPr>
            <w:tcW w:w="1379" w:type="pct"/>
          </w:tcPr>
          <w:p w14:paraId="05871470" w14:textId="4ABB8D71" w:rsidR="000E60C4" w:rsidRPr="006F279E" w:rsidRDefault="000E60C4" w:rsidP="00A72E25">
            <w:pPr>
              <w:autoSpaceDE w:val="0"/>
              <w:autoSpaceDN w:val="0"/>
              <w:adjustRightInd w:val="0"/>
              <w:snapToGrid w:val="0"/>
              <w:spacing w:line="360" w:lineRule="auto"/>
              <w:jc w:val="both"/>
              <w:rPr>
                <w:rFonts w:ascii="Book Antiqua" w:hAnsi="Book Antiqua"/>
              </w:rPr>
            </w:pPr>
          </w:p>
        </w:tc>
      </w:tr>
      <w:tr w:rsidR="00A23B67" w:rsidRPr="006F279E" w14:paraId="7AB5B59D" w14:textId="77777777" w:rsidTr="00B875F9">
        <w:trPr>
          <w:trHeight w:val="171"/>
        </w:trPr>
        <w:tc>
          <w:tcPr>
            <w:tcW w:w="3621" w:type="pct"/>
          </w:tcPr>
          <w:p w14:paraId="55720481" w14:textId="18F525CF" w:rsidR="001428CD" w:rsidRPr="006F279E" w:rsidRDefault="006F279E" w:rsidP="001428CD">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kern w:val="0"/>
              </w:rPr>
              <w:t>CC 0-1</w:t>
            </w:r>
          </w:p>
        </w:tc>
        <w:tc>
          <w:tcPr>
            <w:tcW w:w="1379" w:type="pct"/>
          </w:tcPr>
          <w:p w14:paraId="1223991D" w14:textId="06402613" w:rsidR="001428CD"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60 (78)</w:t>
            </w:r>
          </w:p>
        </w:tc>
      </w:tr>
      <w:tr w:rsidR="00A23B67" w:rsidRPr="006F279E" w14:paraId="55F06841" w14:textId="77777777" w:rsidTr="00B875F9">
        <w:trPr>
          <w:trHeight w:val="263"/>
        </w:trPr>
        <w:tc>
          <w:tcPr>
            <w:tcW w:w="3621" w:type="pct"/>
          </w:tcPr>
          <w:p w14:paraId="05F9C04B" w14:textId="56A4C1BF" w:rsidR="001428CD" w:rsidRPr="006F279E" w:rsidRDefault="006F279E" w:rsidP="001428CD">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kern w:val="0"/>
              </w:rPr>
              <w:t>CC 2-3</w:t>
            </w:r>
          </w:p>
        </w:tc>
        <w:tc>
          <w:tcPr>
            <w:tcW w:w="1379" w:type="pct"/>
          </w:tcPr>
          <w:p w14:paraId="5952BB83" w14:textId="4AD3F91D" w:rsidR="001428CD"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17 (22)</w:t>
            </w:r>
          </w:p>
        </w:tc>
      </w:tr>
      <w:tr w:rsidR="00A23B67" w:rsidRPr="006F279E" w14:paraId="07CDDBD1" w14:textId="77777777" w:rsidTr="00B875F9">
        <w:tc>
          <w:tcPr>
            <w:tcW w:w="3621" w:type="pct"/>
          </w:tcPr>
          <w:p w14:paraId="51FB3D51" w14:textId="7BAE9988" w:rsidR="000E60C4" w:rsidRPr="006F279E" w:rsidRDefault="006F279E" w:rsidP="000E60C4">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Chemotherapeutic agent</w:t>
            </w:r>
            <w:r w:rsidR="00170208" w:rsidRPr="006F279E">
              <w:rPr>
                <w:rFonts w:ascii="Book Antiqua" w:hAnsi="Book Antiqua" w:cs="Times New Roman"/>
              </w:rPr>
              <w:t xml:space="preserve">, </w:t>
            </w:r>
            <w:r w:rsidR="00170208" w:rsidRPr="006F279E">
              <w:rPr>
                <w:rFonts w:ascii="Book Antiqua" w:hAnsi="Book Antiqua" w:cs="Times New Roman"/>
                <w:i/>
                <w:iCs/>
              </w:rPr>
              <w:t>n</w:t>
            </w:r>
            <w:r w:rsidR="00170208" w:rsidRPr="006F279E">
              <w:rPr>
                <w:rFonts w:ascii="Book Antiqua" w:hAnsi="Book Antiqua" w:cs="Times New Roman"/>
              </w:rPr>
              <w:t xml:space="preserve"> (%)</w:t>
            </w:r>
          </w:p>
        </w:tc>
        <w:tc>
          <w:tcPr>
            <w:tcW w:w="1379" w:type="pct"/>
          </w:tcPr>
          <w:p w14:paraId="2E6C322E" w14:textId="5DF39D76" w:rsidR="000E60C4" w:rsidRPr="006F279E" w:rsidRDefault="000E60C4" w:rsidP="00A72E25">
            <w:pPr>
              <w:autoSpaceDE w:val="0"/>
              <w:autoSpaceDN w:val="0"/>
              <w:adjustRightInd w:val="0"/>
              <w:snapToGrid w:val="0"/>
              <w:spacing w:line="360" w:lineRule="auto"/>
              <w:jc w:val="both"/>
              <w:rPr>
                <w:rFonts w:ascii="Book Antiqua" w:hAnsi="Book Antiqua"/>
              </w:rPr>
            </w:pPr>
          </w:p>
        </w:tc>
      </w:tr>
      <w:tr w:rsidR="00A23B67" w:rsidRPr="006F279E" w14:paraId="6C9287DC" w14:textId="77777777" w:rsidTr="00EB6AF5">
        <w:tc>
          <w:tcPr>
            <w:tcW w:w="3621" w:type="pct"/>
          </w:tcPr>
          <w:p w14:paraId="704299A1" w14:textId="5D495291" w:rsidR="000E60C4" w:rsidRPr="006F279E" w:rsidRDefault="00192CB9" w:rsidP="000E60C4">
            <w:pPr>
              <w:autoSpaceDE w:val="0"/>
              <w:autoSpaceDN w:val="0"/>
              <w:adjustRightInd w:val="0"/>
              <w:snapToGrid w:val="0"/>
              <w:spacing w:line="360" w:lineRule="auto"/>
              <w:ind w:firstLineChars="50" w:firstLine="120"/>
              <w:jc w:val="both"/>
              <w:rPr>
                <w:rFonts w:ascii="Book Antiqua" w:hAnsi="Book Antiqua"/>
              </w:rPr>
            </w:pPr>
            <w:hyperlink r:id="rId16" w:history="1">
              <w:r w:rsidR="006F279E" w:rsidRPr="006F279E">
                <w:rPr>
                  <w:rFonts w:ascii="Book Antiqua" w:hAnsi="Book Antiqua" w:cs="Times New Roman"/>
                  <w:kern w:val="0"/>
                </w:rPr>
                <w:t>Docetaxel</w:t>
              </w:r>
            </w:hyperlink>
          </w:p>
        </w:tc>
        <w:tc>
          <w:tcPr>
            <w:tcW w:w="1379" w:type="pct"/>
          </w:tcPr>
          <w:p w14:paraId="460C9A91" w14:textId="157347E3" w:rsidR="000E60C4" w:rsidRPr="006F279E" w:rsidRDefault="00F64496"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4 (5)</w:t>
            </w:r>
          </w:p>
        </w:tc>
      </w:tr>
      <w:tr w:rsidR="00A23B67" w:rsidRPr="006F279E" w14:paraId="04B9E145" w14:textId="77777777" w:rsidTr="00EB6AF5">
        <w:tc>
          <w:tcPr>
            <w:tcW w:w="3621" w:type="pct"/>
          </w:tcPr>
          <w:p w14:paraId="384A9FD4" w14:textId="0AD63899" w:rsidR="000E60C4" w:rsidRPr="006F279E" w:rsidRDefault="00192CB9" w:rsidP="000E60C4">
            <w:pPr>
              <w:autoSpaceDE w:val="0"/>
              <w:autoSpaceDN w:val="0"/>
              <w:adjustRightInd w:val="0"/>
              <w:snapToGrid w:val="0"/>
              <w:spacing w:line="360" w:lineRule="auto"/>
              <w:ind w:firstLineChars="50" w:firstLine="120"/>
              <w:jc w:val="both"/>
              <w:rPr>
                <w:rFonts w:ascii="Book Antiqua" w:hAnsi="Book Antiqua"/>
              </w:rPr>
            </w:pPr>
            <w:hyperlink r:id="rId17" w:history="1">
              <w:r w:rsidR="006F279E" w:rsidRPr="006F279E">
                <w:rPr>
                  <w:rFonts w:ascii="Book Antiqua" w:hAnsi="Book Antiqua" w:cs="Times New Roman"/>
                  <w:kern w:val="0"/>
                </w:rPr>
                <w:t>Docetaxel</w:t>
              </w:r>
            </w:hyperlink>
            <w:r w:rsidR="006F279E" w:rsidRPr="006F279E">
              <w:rPr>
                <w:rFonts w:ascii="Book Antiqua" w:hAnsi="Book Antiqua" w:cs="Times New Roman"/>
                <w:kern w:val="0"/>
              </w:rPr>
              <w:t xml:space="preserve"> + </w:t>
            </w:r>
            <w:hyperlink r:id="rId18" w:history="1">
              <w:r w:rsidR="006F279E" w:rsidRPr="006F279E">
                <w:rPr>
                  <w:rFonts w:ascii="Book Antiqua" w:hAnsi="Book Antiqua" w:cs="Times New Roman"/>
                  <w:kern w:val="0"/>
                </w:rPr>
                <w:t>carboplatin</w:t>
              </w:r>
            </w:hyperlink>
          </w:p>
        </w:tc>
        <w:tc>
          <w:tcPr>
            <w:tcW w:w="1379" w:type="pct"/>
          </w:tcPr>
          <w:p w14:paraId="21E26142" w14:textId="56B9E3CA" w:rsidR="000E60C4" w:rsidRPr="006F279E" w:rsidRDefault="00F64496"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55 (71)</w:t>
            </w:r>
          </w:p>
        </w:tc>
      </w:tr>
      <w:tr w:rsidR="00A23B67" w:rsidRPr="006F279E" w14:paraId="5B5E948A" w14:textId="77777777" w:rsidTr="00EB6AF5">
        <w:tc>
          <w:tcPr>
            <w:tcW w:w="3621" w:type="pct"/>
          </w:tcPr>
          <w:p w14:paraId="6A03C1B2" w14:textId="61ACD6E5" w:rsidR="000E60C4" w:rsidRPr="006F279E" w:rsidRDefault="00192CB9" w:rsidP="000E60C4">
            <w:pPr>
              <w:autoSpaceDE w:val="0"/>
              <w:autoSpaceDN w:val="0"/>
              <w:adjustRightInd w:val="0"/>
              <w:snapToGrid w:val="0"/>
              <w:spacing w:line="360" w:lineRule="auto"/>
              <w:ind w:firstLineChars="50" w:firstLine="120"/>
              <w:jc w:val="both"/>
              <w:rPr>
                <w:rFonts w:ascii="Book Antiqua" w:hAnsi="Book Antiqua"/>
              </w:rPr>
            </w:pPr>
            <w:hyperlink r:id="rId19" w:history="1">
              <w:r w:rsidR="006F279E" w:rsidRPr="006F279E">
                <w:rPr>
                  <w:rFonts w:ascii="Book Antiqua" w:hAnsi="Book Antiqua" w:cs="Times New Roman"/>
                  <w:kern w:val="0"/>
                </w:rPr>
                <w:t>Mitomycin</w:t>
              </w:r>
            </w:hyperlink>
            <w:r w:rsidR="006F279E" w:rsidRPr="006F279E">
              <w:rPr>
                <w:rFonts w:ascii="Book Antiqua" w:hAnsi="Book Antiqua" w:cs="Times New Roman"/>
                <w:kern w:val="0"/>
              </w:rPr>
              <w:t xml:space="preserve"> + </w:t>
            </w:r>
            <w:hyperlink r:id="rId20" w:history="1">
              <w:r w:rsidR="006F279E" w:rsidRPr="006F279E">
                <w:rPr>
                  <w:rFonts w:ascii="Book Antiqua" w:hAnsi="Book Antiqua" w:cs="Times New Roman"/>
                  <w:kern w:val="0"/>
                </w:rPr>
                <w:t>docetaxel</w:t>
              </w:r>
            </w:hyperlink>
          </w:p>
        </w:tc>
        <w:tc>
          <w:tcPr>
            <w:tcW w:w="1379" w:type="pct"/>
          </w:tcPr>
          <w:p w14:paraId="2D2ABB42" w14:textId="3464A882" w:rsidR="000E60C4"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4 (5)</w:t>
            </w:r>
          </w:p>
        </w:tc>
      </w:tr>
      <w:tr w:rsidR="00A23B67" w:rsidRPr="006F279E" w14:paraId="021FDA9B" w14:textId="77777777" w:rsidTr="00EB6AF5">
        <w:tc>
          <w:tcPr>
            <w:tcW w:w="3621" w:type="pct"/>
          </w:tcPr>
          <w:p w14:paraId="72314E12" w14:textId="30ECE69D" w:rsidR="000E60C4" w:rsidRPr="006F279E" w:rsidRDefault="00192CB9" w:rsidP="000E60C4">
            <w:pPr>
              <w:autoSpaceDE w:val="0"/>
              <w:autoSpaceDN w:val="0"/>
              <w:adjustRightInd w:val="0"/>
              <w:snapToGrid w:val="0"/>
              <w:spacing w:line="360" w:lineRule="auto"/>
              <w:ind w:firstLineChars="50" w:firstLine="120"/>
              <w:jc w:val="both"/>
              <w:rPr>
                <w:rFonts w:ascii="Book Antiqua" w:hAnsi="Book Antiqua"/>
              </w:rPr>
            </w:pPr>
            <w:hyperlink r:id="rId21" w:history="1">
              <w:r w:rsidR="006F279E" w:rsidRPr="006F279E">
                <w:rPr>
                  <w:rFonts w:ascii="Book Antiqua" w:hAnsi="Book Antiqua" w:cs="Times New Roman"/>
                  <w:kern w:val="0"/>
                </w:rPr>
                <w:t>Mitomycin</w:t>
              </w:r>
            </w:hyperlink>
            <w:r w:rsidR="006F279E" w:rsidRPr="006F279E">
              <w:rPr>
                <w:rFonts w:ascii="Book Antiqua" w:hAnsi="Book Antiqua" w:cs="Times New Roman"/>
                <w:kern w:val="0"/>
              </w:rPr>
              <w:t xml:space="preserve"> + carboplatin</w:t>
            </w:r>
          </w:p>
        </w:tc>
        <w:tc>
          <w:tcPr>
            <w:tcW w:w="1379" w:type="pct"/>
          </w:tcPr>
          <w:p w14:paraId="688CF1A9" w14:textId="0BCCFA40" w:rsidR="000E60C4" w:rsidRPr="006F279E" w:rsidRDefault="00F64496"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14 (19)</w:t>
            </w:r>
          </w:p>
        </w:tc>
      </w:tr>
    </w:tbl>
    <w:p w14:paraId="79EF031D" w14:textId="7FD12A3C" w:rsidR="00767D13" w:rsidRPr="006F279E" w:rsidRDefault="004064BB" w:rsidP="00A72E25">
      <w:pPr>
        <w:autoSpaceDE w:val="0"/>
        <w:autoSpaceDN w:val="0"/>
        <w:adjustRightInd w:val="0"/>
        <w:snapToGrid w:val="0"/>
        <w:spacing w:line="360" w:lineRule="auto"/>
        <w:jc w:val="both"/>
        <w:rPr>
          <w:rFonts w:ascii="Book Antiqua" w:hAnsi="Book Antiqua"/>
          <w:b/>
        </w:rPr>
      </w:pPr>
      <w:r w:rsidRPr="006F279E">
        <w:rPr>
          <w:rFonts w:ascii="Book Antiqua" w:hAnsi="Book Antiqua"/>
        </w:rPr>
        <w:t>CC: Cytoreduction</w:t>
      </w:r>
      <w:r>
        <w:rPr>
          <w:rFonts w:ascii="Book Antiqua" w:hAnsi="Book Antiqua"/>
        </w:rPr>
        <w:t xml:space="preserve">; </w:t>
      </w:r>
      <w:r w:rsidRPr="006F279E">
        <w:rPr>
          <w:rFonts w:ascii="Book Antiqua" w:hAnsi="Book Antiqua"/>
        </w:rPr>
        <w:t xml:space="preserve">CCS: Cytoreduction scoring; </w:t>
      </w:r>
      <w:r w:rsidR="006F279E" w:rsidRPr="006F279E">
        <w:rPr>
          <w:rFonts w:ascii="Book Antiqua" w:hAnsi="Book Antiqua"/>
        </w:rPr>
        <w:t xml:space="preserve">PCI: </w:t>
      </w:r>
      <w:r w:rsidR="006F279E" w:rsidRPr="006F279E">
        <w:rPr>
          <w:rFonts w:ascii="Book Antiqua" w:eastAsia="Book Antiqua" w:hAnsi="Book Antiqua" w:cs="Book Antiqua"/>
          <w:color w:val="000000"/>
        </w:rPr>
        <w:t xml:space="preserve">Peritoneal </w:t>
      </w:r>
      <w:r w:rsidR="00FA79AA">
        <w:rPr>
          <w:rFonts w:ascii="Book Antiqua" w:eastAsia="Book Antiqua" w:hAnsi="Book Antiqua" w:cs="Book Antiqua"/>
          <w:color w:val="000000"/>
        </w:rPr>
        <w:t>cancer index</w:t>
      </w:r>
      <w:r w:rsidR="006F279E" w:rsidRPr="006F279E">
        <w:rPr>
          <w:rFonts w:ascii="Book Antiqua" w:hAnsi="Book Antiqua"/>
        </w:rPr>
        <w:t>.</w:t>
      </w:r>
    </w:p>
    <w:p w14:paraId="6FC5D5AB" w14:textId="5A90B401" w:rsidR="00767D13" w:rsidRPr="006F279E" w:rsidRDefault="006F279E" w:rsidP="00A72E25">
      <w:pPr>
        <w:adjustRightInd w:val="0"/>
        <w:snapToGrid w:val="0"/>
        <w:spacing w:line="360" w:lineRule="auto"/>
        <w:jc w:val="both"/>
        <w:rPr>
          <w:rFonts w:ascii="Book Antiqua" w:hAnsi="Book Antiqua"/>
          <w:b/>
        </w:rPr>
      </w:pPr>
      <w:r w:rsidRPr="006F279E">
        <w:rPr>
          <w:rFonts w:ascii="Book Antiqua" w:hAnsi="Book Antiqua"/>
          <w:b/>
        </w:rPr>
        <w:br w:type="page"/>
      </w:r>
      <w:r w:rsidRPr="006F279E">
        <w:rPr>
          <w:rFonts w:ascii="Book Antiqua" w:hAnsi="Book Antiqua"/>
          <w:b/>
        </w:rPr>
        <w:lastRenderedPageBreak/>
        <w:t>Table 3 Univariate analysis of risk factors associated with delayed gastric emptying after cytoreductive surgery and hyperthermic intraperitoneal chemotherapy</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4"/>
        <w:gridCol w:w="1039"/>
        <w:gridCol w:w="1134"/>
        <w:gridCol w:w="1135"/>
        <w:gridCol w:w="1007"/>
        <w:gridCol w:w="1051"/>
      </w:tblGrid>
      <w:tr w:rsidR="00A23B67" w:rsidRPr="006F279E" w14:paraId="5EDB9ED1" w14:textId="77777777" w:rsidTr="004064BB">
        <w:trPr>
          <w:trHeight w:hRule="exact" w:val="431"/>
          <w:jc w:val="center"/>
        </w:trPr>
        <w:tc>
          <w:tcPr>
            <w:tcW w:w="1895" w:type="pct"/>
            <w:vMerge w:val="restart"/>
            <w:tcBorders>
              <w:top w:val="single" w:sz="4" w:space="0" w:color="auto"/>
              <w:bottom w:val="single" w:sz="4" w:space="0" w:color="auto"/>
            </w:tcBorders>
          </w:tcPr>
          <w:p w14:paraId="0AAED429"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Variable</w:t>
            </w:r>
          </w:p>
        </w:tc>
        <w:tc>
          <w:tcPr>
            <w:tcW w:w="601" w:type="pct"/>
            <w:vMerge w:val="restart"/>
            <w:tcBorders>
              <w:top w:val="single" w:sz="4" w:space="0" w:color="auto"/>
              <w:bottom w:val="single" w:sz="4" w:space="0" w:color="auto"/>
            </w:tcBorders>
          </w:tcPr>
          <w:p w14:paraId="700DE84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i/>
                <w:iCs/>
                <w:kern w:val="0"/>
              </w:rPr>
            </w:pPr>
            <w:r w:rsidRPr="006F279E">
              <w:rPr>
                <w:rFonts w:ascii="Book Antiqua" w:hAnsi="Book Antiqua" w:cs="Times New Roman"/>
                <w:b/>
                <w:bCs/>
                <w:i/>
                <w:iCs/>
                <w:kern w:val="0"/>
              </w:rPr>
              <w:t>n</w:t>
            </w:r>
          </w:p>
        </w:tc>
        <w:tc>
          <w:tcPr>
            <w:tcW w:w="1313" w:type="pct"/>
            <w:gridSpan w:val="2"/>
            <w:tcBorders>
              <w:top w:val="single" w:sz="4" w:space="0" w:color="auto"/>
              <w:bottom w:val="single" w:sz="4" w:space="0" w:color="auto"/>
            </w:tcBorders>
          </w:tcPr>
          <w:p w14:paraId="6095059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DGE</w:t>
            </w:r>
          </w:p>
        </w:tc>
        <w:tc>
          <w:tcPr>
            <w:tcW w:w="583" w:type="pct"/>
            <w:vMerge w:val="restart"/>
            <w:tcBorders>
              <w:top w:val="single" w:sz="4" w:space="0" w:color="auto"/>
              <w:bottom w:val="single" w:sz="4" w:space="0" w:color="auto"/>
            </w:tcBorders>
          </w:tcPr>
          <w:p w14:paraId="50057B27"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i/>
                <w:iCs/>
                <w:kern w:val="0"/>
              </w:rPr>
            </w:pPr>
            <w:r w:rsidRPr="006F279E">
              <w:rPr>
                <w:rFonts w:ascii="Book Antiqua" w:hAnsi="Book Antiqua" w:cs="Times New Roman"/>
                <w:b/>
                <w:bCs/>
                <w:i/>
                <w:iCs/>
                <w:kern w:val="0"/>
              </w:rPr>
              <w:t>X</w:t>
            </w:r>
            <w:r w:rsidRPr="006F279E">
              <w:rPr>
                <w:rFonts w:ascii="Book Antiqua" w:hAnsi="Book Antiqua" w:cs="Times New Roman"/>
                <w:b/>
                <w:bCs/>
                <w:i/>
                <w:iCs/>
                <w:kern w:val="0"/>
                <w:vertAlign w:val="superscript"/>
              </w:rPr>
              <w:t>2</w:t>
            </w:r>
          </w:p>
        </w:tc>
        <w:tc>
          <w:tcPr>
            <w:tcW w:w="609" w:type="pct"/>
            <w:vMerge w:val="restart"/>
            <w:tcBorders>
              <w:top w:val="single" w:sz="4" w:space="0" w:color="auto"/>
              <w:bottom w:val="single" w:sz="4" w:space="0" w:color="auto"/>
            </w:tcBorders>
          </w:tcPr>
          <w:p w14:paraId="7D52719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i/>
                <w:kern w:val="0"/>
              </w:rPr>
              <w:t>P</w:t>
            </w:r>
            <w:r w:rsidRPr="006F279E">
              <w:rPr>
                <w:rFonts w:ascii="Book Antiqua" w:hAnsi="Book Antiqua" w:cs="Times New Roman"/>
                <w:b/>
                <w:bCs/>
                <w:kern w:val="0"/>
              </w:rPr>
              <w:t xml:space="preserve"> value</w:t>
            </w:r>
          </w:p>
        </w:tc>
      </w:tr>
      <w:tr w:rsidR="00A23B67" w:rsidRPr="006F279E" w14:paraId="3BAC9828" w14:textId="77777777" w:rsidTr="008F6C62">
        <w:trPr>
          <w:trHeight w:val="266"/>
          <w:jc w:val="center"/>
        </w:trPr>
        <w:tc>
          <w:tcPr>
            <w:tcW w:w="1895" w:type="pct"/>
            <w:vMerge/>
            <w:tcBorders>
              <w:top w:val="single" w:sz="4" w:space="0" w:color="auto"/>
              <w:bottom w:val="single" w:sz="4" w:space="0" w:color="auto"/>
            </w:tcBorders>
          </w:tcPr>
          <w:p w14:paraId="2A689B5B"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1" w:type="pct"/>
            <w:vMerge/>
            <w:tcBorders>
              <w:top w:val="single" w:sz="4" w:space="0" w:color="auto"/>
              <w:bottom w:val="single" w:sz="4" w:space="0" w:color="auto"/>
            </w:tcBorders>
          </w:tcPr>
          <w:p w14:paraId="0A1CCD5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Borders>
              <w:top w:val="single" w:sz="4" w:space="0" w:color="auto"/>
              <w:bottom w:val="single" w:sz="4" w:space="0" w:color="auto"/>
            </w:tcBorders>
          </w:tcPr>
          <w:p w14:paraId="0DFDA5C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Yes</w:t>
            </w:r>
          </w:p>
        </w:tc>
        <w:tc>
          <w:tcPr>
            <w:tcW w:w="656" w:type="pct"/>
            <w:tcBorders>
              <w:top w:val="single" w:sz="4" w:space="0" w:color="auto"/>
              <w:bottom w:val="single" w:sz="4" w:space="0" w:color="auto"/>
            </w:tcBorders>
          </w:tcPr>
          <w:p w14:paraId="56CD4E62"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No</w:t>
            </w:r>
          </w:p>
        </w:tc>
        <w:tc>
          <w:tcPr>
            <w:tcW w:w="583" w:type="pct"/>
            <w:vMerge/>
            <w:tcBorders>
              <w:top w:val="single" w:sz="4" w:space="0" w:color="auto"/>
              <w:bottom w:val="single" w:sz="4" w:space="0" w:color="auto"/>
            </w:tcBorders>
          </w:tcPr>
          <w:p w14:paraId="1D44DAF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vMerge/>
            <w:tcBorders>
              <w:top w:val="single" w:sz="4" w:space="0" w:color="auto"/>
              <w:bottom w:val="single" w:sz="4" w:space="0" w:color="auto"/>
            </w:tcBorders>
          </w:tcPr>
          <w:p w14:paraId="75904B7B"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4BE2AAAF" w14:textId="77777777" w:rsidTr="008F6C62">
        <w:trPr>
          <w:trHeight w:val="344"/>
          <w:jc w:val="center"/>
        </w:trPr>
        <w:tc>
          <w:tcPr>
            <w:tcW w:w="1895" w:type="pct"/>
            <w:tcBorders>
              <w:top w:val="single" w:sz="4" w:space="0" w:color="auto"/>
              <w:bottom w:val="nil"/>
            </w:tcBorders>
          </w:tcPr>
          <w:p w14:paraId="675614B7"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Age (yr)</w:t>
            </w:r>
          </w:p>
        </w:tc>
        <w:tc>
          <w:tcPr>
            <w:tcW w:w="601" w:type="pct"/>
            <w:tcBorders>
              <w:top w:val="single" w:sz="4" w:space="0" w:color="auto"/>
              <w:bottom w:val="nil"/>
            </w:tcBorders>
          </w:tcPr>
          <w:p w14:paraId="6C6596A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Borders>
              <w:top w:val="single" w:sz="4" w:space="0" w:color="auto"/>
              <w:bottom w:val="nil"/>
            </w:tcBorders>
          </w:tcPr>
          <w:p w14:paraId="10528820"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Borders>
              <w:top w:val="single" w:sz="4" w:space="0" w:color="auto"/>
              <w:bottom w:val="nil"/>
            </w:tcBorders>
          </w:tcPr>
          <w:p w14:paraId="493CF14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Borders>
              <w:top w:val="single" w:sz="4" w:space="0" w:color="auto"/>
              <w:bottom w:val="nil"/>
            </w:tcBorders>
          </w:tcPr>
          <w:p w14:paraId="42019087"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2.697</w:t>
            </w:r>
          </w:p>
        </w:tc>
        <w:tc>
          <w:tcPr>
            <w:tcW w:w="609" w:type="pct"/>
            <w:tcBorders>
              <w:top w:val="single" w:sz="4" w:space="0" w:color="auto"/>
              <w:bottom w:val="nil"/>
            </w:tcBorders>
          </w:tcPr>
          <w:p w14:paraId="5112736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0.101</w:t>
            </w:r>
          </w:p>
        </w:tc>
      </w:tr>
      <w:tr w:rsidR="00A23B67" w:rsidRPr="006F279E" w14:paraId="56B30B56" w14:textId="77777777" w:rsidTr="008F6C62">
        <w:trPr>
          <w:trHeight w:val="275"/>
          <w:jc w:val="center"/>
        </w:trPr>
        <w:tc>
          <w:tcPr>
            <w:tcW w:w="1895" w:type="pct"/>
            <w:tcBorders>
              <w:top w:val="nil"/>
            </w:tcBorders>
          </w:tcPr>
          <w:p w14:paraId="51BADB1B"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70</w:t>
            </w:r>
          </w:p>
        </w:tc>
        <w:tc>
          <w:tcPr>
            <w:tcW w:w="601" w:type="pct"/>
            <w:tcBorders>
              <w:top w:val="nil"/>
            </w:tcBorders>
          </w:tcPr>
          <w:p w14:paraId="08748B5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9</w:t>
            </w:r>
          </w:p>
        </w:tc>
        <w:tc>
          <w:tcPr>
            <w:tcW w:w="656" w:type="pct"/>
            <w:tcBorders>
              <w:top w:val="nil"/>
            </w:tcBorders>
          </w:tcPr>
          <w:p w14:paraId="7A12CECA"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w:t>
            </w:r>
          </w:p>
        </w:tc>
        <w:tc>
          <w:tcPr>
            <w:tcW w:w="656" w:type="pct"/>
            <w:tcBorders>
              <w:top w:val="nil"/>
            </w:tcBorders>
          </w:tcPr>
          <w:p w14:paraId="3E94061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w:t>
            </w:r>
          </w:p>
        </w:tc>
        <w:tc>
          <w:tcPr>
            <w:tcW w:w="583" w:type="pct"/>
            <w:tcBorders>
              <w:top w:val="nil"/>
            </w:tcBorders>
          </w:tcPr>
          <w:p w14:paraId="4FBA204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Borders>
              <w:top w:val="nil"/>
            </w:tcBorders>
          </w:tcPr>
          <w:p w14:paraId="32753D0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34579E7D" w14:textId="77777777" w:rsidTr="008F6C62">
        <w:trPr>
          <w:trHeight w:hRule="exact" w:val="367"/>
          <w:jc w:val="center"/>
        </w:trPr>
        <w:tc>
          <w:tcPr>
            <w:tcW w:w="1895" w:type="pct"/>
          </w:tcPr>
          <w:p w14:paraId="2DC6BB42"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70</w:t>
            </w:r>
          </w:p>
        </w:tc>
        <w:tc>
          <w:tcPr>
            <w:tcW w:w="601" w:type="pct"/>
          </w:tcPr>
          <w:p w14:paraId="3C0AA4B9"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68</w:t>
            </w:r>
          </w:p>
        </w:tc>
        <w:tc>
          <w:tcPr>
            <w:tcW w:w="656" w:type="pct"/>
          </w:tcPr>
          <w:p w14:paraId="7F5E2D9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22</w:t>
            </w:r>
          </w:p>
        </w:tc>
        <w:tc>
          <w:tcPr>
            <w:tcW w:w="656" w:type="pct"/>
          </w:tcPr>
          <w:p w14:paraId="5B06DDC7"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46</w:t>
            </w:r>
          </w:p>
        </w:tc>
        <w:tc>
          <w:tcPr>
            <w:tcW w:w="583" w:type="pct"/>
          </w:tcPr>
          <w:p w14:paraId="31770DD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3F5B805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40BCB2A" w14:textId="77777777" w:rsidTr="008F6C62">
        <w:trPr>
          <w:jc w:val="center"/>
        </w:trPr>
        <w:tc>
          <w:tcPr>
            <w:tcW w:w="1895" w:type="pct"/>
          </w:tcPr>
          <w:p w14:paraId="2067F82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BMI (kg/m</w:t>
            </w:r>
            <w:r w:rsidRPr="006F279E">
              <w:rPr>
                <w:rFonts w:ascii="Book Antiqua" w:hAnsi="Book Antiqua" w:cs="Times New Roman"/>
                <w:kern w:val="0"/>
                <w:vertAlign w:val="superscript"/>
              </w:rPr>
              <w:t>2</w:t>
            </w:r>
            <w:r w:rsidRPr="006F279E">
              <w:rPr>
                <w:rFonts w:ascii="Book Antiqua" w:hAnsi="Book Antiqua" w:cs="Times New Roman"/>
                <w:kern w:val="0"/>
              </w:rPr>
              <w:t>)</w:t>
            </w:r>
          </w:p>
        </w:tc>
        <w:tc>
          <w:tcPr>
            <w:tcW w:w="601" w:type="pct"/>
          </w:tcPr>
          <w:p w14:paraId="4FA8BD3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17701C9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43064B8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638CAFD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5.059</w:t>
            </w:r>
          </w:p>
        </w:tc>
        <w:tc>
          <w:tcPr>
            <w:tcW w:w="609" w:type="pct"/>
          </w:tcPr>
          <w:p w14:paraId="2741D81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0.025</w:t>
            </w:r>
          </w:p>
        </w:tc>
      </w:tr>
      <w:tr w:rsidR="00A23B67" w:rsidRPr="006F279E" w14:paraId="39F31361" w14:textId="77777777" w:rsidTr="008F6C62">
        <w:trPr>
          <w:jc w:val="center"/>
        </w:trPr>
        <w:tc>
          <w:tcPr>
            <w:tcW w:w="1895" w:type="pct"/>
          </w:tcPr>
          <w:p w14:paraId="737DD7CE"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23</w:t>
            </w:r>
          </w:p>
        </w:tc>
        <w:tc>
          <w:tcPr>
            <w:tcW w:w="601" w:type="pct"/>
          </w:tcPr>
          <w:p w14:paraId="3DCCF9F7"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35</w:t>
            </w:r>
          </w:p>
        </w:tc>
        <w:tc>
          <w:tcPr>
            <w:tcW w:w="656" w:type="pct"/>
          </w:tcPr>
          <w:p w14:paraId="7B9E439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8</w:t>
            </w:r>
          </w:p>
        </w:tc>
        <w:tc>
          <w:tcPr>
            <w:tcW w:w="656" w:type="pct"/>
          </w:tcPr>
          <w:p w14:paraId="0193969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27</w:t>
            </w:r>
          </w:p>
        </w:tc>
        <w:tc>
          <w:tcPr>
            <w:tcW w:w="583" w:type="pct"/>
          </w:tcPr>
          <w:p w14:paraId="1604718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4383FFA4"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07E719BA" w14:textId="77777777" w:rsidTr="008F6C62">
        <w:trPr>
          <w:jc w:val="center"/>
        </w:trPr>
        <w:tc>
          <w:tcPr>
            <w:tcW w:w="1895" w:type="pct"/>
          </w:tcPr>
          <w:p w14:paraId="3D3B3579"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23</w:t>
            </w:r>
          </w:p>
        </w:tc>
        <w:tc>
          <w:tcPr>
            <w:tcW w:w="601" w:type="pct"/>
          </w:tcPr>
          <w:p w14:paraId="237F368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42</w:t>
            </w:r>
          </w:p>
        </w:tc>
        <w:tc>
          <w:tcPr>
            <w:tcW w:w="656" w:type="pct"/>
          </w:tcPr>
          <w:p w14:paraId="625ABAA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20</w:t>
            </w:r>
          </w:p>
        </w:tc>
        <w:tc>
          <w:tcPr>
            <w:tcW w:w="656" w:type="pct"/>
          </w:tcPr>
          <w:p w14:paraId="4DB7263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22</w:t>
            </w:r>
          </w:p>
        </w:tc>
        <w:tc>
          <w:tcPr>
            <w:tcW w:w="583" w:type="pct"/>
          </w:tcPr>
          <w:p w14:paraId="06427A8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3F645A40"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592851DE" w14:textId="77777777" w:rsidTr="008F6C62">
        <w:trPr>
          <w:jc w:val="center"/>
        </w:trPr>
        <w:tc>
          <w:tcPr>
            <w:tcW w:w="1895" w:type="pct"/>
          </w:tcPr>
          <w:p w14:paraId="47D2AB3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Pelvic surgery history</w:t>
            </w:r>
          </w:p>
        </w:tc>
        <w:tc>
          <w:tcPr>
            <w:tcW w:w="601" w:type="pct"/>
          </w:tcPr>
          <w:p w14:paraId="77FE609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74CCB9B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6CFD0C6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42D289F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4.498</w:t>
            </w:r>
          </w:p>
        </w:tc>
        <w:tc>
          <w:tcPr>
            <w:tcW w:w="609" w:type="pct"/>
          </w:tcPr>
          <w:p w14:paraId="22029C0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0.034</w:t>
            </w:r>
          </w:p>
        </w:tc>
      </w:tr>
      <w:tr w:rsidR="00A23B67" w:rsidRPr="006F279E" w14:paraId="7B44AA6E" w14:textId="77777777" w:rsidTr="008F6C62">
        <w:trPr>
          <w:jc w:val="center"/>
        </w:trPr>
        <w:tc>
          <w:tcPr>
            <w:tcW w:w="1895" w:type="pct"/>
          </w:tcPr>
          <w:p w14:paraId="7AD99A9F"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090DB1F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62</w:t>
            </w:r>
          </w:p>
        </w:tc>
        <w:tc>
          <w:tcPr>
            <w:tcW w:w="656" w:type="pct"/>
          </w:tcPr>
          <w:p w14:paraId="6D70E8E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19</w:t>
            </w:r>
          </w:p>
        </w:tc>
        <w:tc>
          <w:tcPr>
            <w:tcW w:w="656" w:type="pct"/>
          </w:tcPr>
          <w:p w14:paraId="1FA4E60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43</w:t>
            </w:r>
          </w:p>
        </w:tc>
        <w:tc>
          <w:tcPr>
            <w:tcW w:w="583" w:type="pct"/>
          </w:tcPr>
          <w:p w14:paraId="14186B70"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07DE6E9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6B64078C" w14:textId="77777777" w:rsidTr="008F6C62">
        <w:trPr>
          <w:jc w:val="center"/>
        </w:trPr>
        <w:tc>
          <w:tcPr>
            <w:tcW w:w="1895" w:type="pct"/>
          </w:tcPr>
          <w:p w14:paraId="144B4489"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2690F7F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15</w:t>
            </w:r>
          </w:p>
        </w:tc>
        <w:tc>
          <w:tcPr>
            <w:tcW w:w="656" w:type="pct"/>
          </w:tcPr>
          <w:p w14:paraId="2284868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9</w:t>
            </w:r>
          </w:p>
        </w:tc>
        <w:tc>
          <w:tcPr>
            <w:tcW w:w="656" w:type="pct"/>
          </w:tcPr>
          <w:p w14:paraId="512AE3A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w:t>
            </w:r>
          </w:p>
        </w:tc>
        <w:tc>
          <w:tcPr>
            <w:tcW w:w="583" w:type="pct"/>
          </w:tcPr>
          <w:p w14:paraId="756C775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5D2B90EF"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8769F2E" w14:textId="77777777" w:rsidTr="008F6C62">
        <w:trPr>
          <w:jc w:val="center"/>
        </w:trPr>
        <w:tc>
          <w:tcPr>
            <w:tcW w:w="1895" w:type="pct"/>
          </w:tcPr>
          <w:p w14:paraId="7782872F" w14:textId="5435B120" w:rsidR="001C6609" w:rsidRPr="006F279E" w:rsidRDefault="00A24090"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Comorbidity (DM/HBP)</w:t>
            </w:r>
          </w:p>
        </w:tc>
        <w:tc>
          <w:tcPr>
            <w:tcW w:w="601" w:type="pct"/>
          </w:tcPr>
          <w:p w14:paraId="658903B1"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545F939D"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71AEC09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581FDA97"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2.802</w:t>
            </w:r>
          </w:p>
        </w:tc>
        <w:tc>
          <w:tcPr>
            <w:tcW w:w="609" w:type="pct"/>
          </w:tcPr>
          <w:p w14:paraId="5911BC6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0.094</w:t>
            </w:r>
          </w:p>
        </w:tc>
      </w:tr>
      <w:tr w:rsidR="00A23B67" w:rsidRPr="006F279E" w14:paraId="6FF511E9" w14:textId="77777777" w:rsidTr="008F6C62">
        <w:trPr>
          <w:jc w:val="center"/>
        </w:trPr>
        <w:tc>
          <w:tcPr>
            <w:tcW w:w="1895" w:type="pct"/>
          </w:tcPr>
          <w:p w14:paraId="19C56BAC"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45C075A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24</w:t>
            </w:r>
          </w:p>
        </w:tc>
        <w:tc>
          <w:tcPr>
            <w:tcW w:w="656" w:type="pct"/>
          </w:tcPr>
          <w:p w14:paraId="036E958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12</w:t>
            </w:r>
          </w:p>
        </w:tc>
        <w:tc>
          <w:tcPr>
            <w:tcW w:w="656" w:type="pct"/>
          </w:tcPr>
          <w:p w14:paraId="446A702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12</w:t>
            </w:r>
          </w:p>
        </w:tc>
        <w:tc>
          <w:tcPr>
            <w:tcW w:w="583" w:type="pct"/>
          </w:tcPr>
          <w:p w14:paraId="425D2611"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0A8A1FDD"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29F6353" w14:textId="77777777" w:rsidTr="008F6C62">
        <w:trPr>
          <w:jc w:val="center"/>
        </w:trPr>
        <w:tc>
          <w:tcPr>
            <w:tcW w:w="1895" w:type="pct"/>
          </w:tcPr>
          <w:p w14:paraId="27BD136E"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1B9F192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53</w:t>
            </w:r>
          </w:p>
        </w:tc>
        <w:tc>
          <w:tcPr>
            <w:tcW w:w="656" w:type="pct"/>
          </w:tcPr>
          <w:p w14:paraId="419413B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16</w:t>
            </w:r>
          </w:p>
        </w:tc>
        <w:tc>
          <w:tcPr>
            <w:tcW w:w="656" w:type="pct"/>
          </w:tcPr>
          <w:p w14:paraId="68C4BED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37</w:t>
            </w:r>
          </w:p>
        </w:tc>
        <w:tc>
          <w:tcPr>
            <w:tcW w:w="583" w:type="pct"/>
          </w:tcPr>
          <w:p w14:paraId="5EDB7316"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23DAF96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53DD8C9E" w14:textId="77777777" w:rsidTr="008F6C62">
        <w:trPr>
          <w:jc w:val="center"/>
        </w:trPr>
        <w:tc>
          <w:tcPr>
            <w:tcW w:w="1895" w:type="pct"/>
          </w:tcPr>
          <w:p w14:paraId="57B23EB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History of chemotherapy</w:t>
            </w:r>
          </w:p>
        </w:tc>
        <w:tc>
          <w:tcPr>
            <w:tcW w:w="601" w:type="pct"/>
          </w:tcPr>
          <w:p w14:paraId="6C1DE5D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5206B195"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65D78A8D"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18EB32D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4.334</w:t>
            </w:r>
          </w:p>
        </w:tc>
        <w:tc>
          <w:tcPr>
            <w:tcW w:w="609" w:type="pct"/>
          </w:tcPr>
          <w:p w14:paraId="120B3AD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0.037</w:t>
            </w:r>
          </w:p>
        </w:tc>
      </w:tr>
      <w:tr w:rsidR="00A23B67" w:rsidRPr="006F279E" w14:paraId="5DF82292" w14:textId="77777777" w:rsidTr="008F6C62">
        <w:trPr>
          <w:jc w:val="center"/>
        </w:trPr>
        <w:tc>
          <w:tcPr>
            <w:tcW w:w="1895" w:type="pct"/>
          </w:tcPr>
          <w:p w14:paraId="756877EA"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7 cycles</w:t>
            </w:r>
          </w:p>
        </w:tc>
        <w:tc>
          <w:tcPr>
            <w:tcW w:w="601" w:type="pct"/>
          </w:tcPr>
          <w:p w14:paraId="43CD492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34</w:t>
            </w:r>
          </w:p>
        </w:tc>
        <w:tc>
          <w:tcPr>
            <w:tcW w:w="656" w:type="pct"/>
          </w:tcPr>
          <w:p w14:paraId="357BAAB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8</w:t>
            </w:r>
          </w:p>
        </w:tc>
        <w:tc>
          <w:tcPr>
            <w:tcW w:w="656" w:type="pct"/>
          </w:tcPr>
          <w:p w14:paraId="64520B7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26</w:t>
            </w:r>
          </w:p>
        </w:tc>
        <w:tc>
          <w:tcPr>
            <w:tcW w:w="583" w:type="pct"/>
          </w:tcPr>
          <w:p w14:paraId="3A8FE420"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3D2F6310"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9B3A303" w14:textId="77777777" w:rsidTr="008F6C62">
        <w:trPr>
          <w:jc w:val="center"/>
        </w:trPr>
        <w:tc>
          <w:tcPr>
            <w:tcW w:w="1895" w:type="pct"/>
          </w:tcPr>
          <w:p w14:paraId="13531901"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7 cycles</w:t>
            </w:r>
          </w:p>
        </w:tc>
        <w:tc>
          <w:tcPr>
            <w:tcW w:w="601" w:type="pct"/>
          </w:tcPr>
          <w:p w14:paraId="75F2E64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43</w:t>
            </w:r>
          </w:p>
        </w:tc>
        <w:tc>
          <w:tcPr>
            <w:tcW w:w="656" w:type="pct"/>
          </w:tcPr>
          <w:p w14:paraId="0279CE8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20</w:t>
            </w:r>
          </w:p>
        </w:tc>
        <w:tc>
          <w:tcPr>
            <w:tcW w:w="656" w:type="pct"/>
          </w:tcPr>
          <w:p w14:paraId="15F4A72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23</w:t>
            </w:r>
          </w:p>
        </w:tc>
        <w:tc>
          <w:tcPr>
            <w:tcW w:w="583" w:type="pct"/>
          </w:tcPr>
          <w:p w14:paraId="65BD26AF"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2481FC2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DF24549" w14:textId="77777777" w:rsidTr="008F6C62">
        <w:trPr>
          <w:jc w:val="center"/>
        </w:trPr>
        <w:tc>
          <w:tcPr>
            <w:tcW w:w="1895" w:type="pct"/>
          </w:tcPr>
          <w:p w14:paraId="6B81761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CA-125 level</w:t>
            </w:r>
          </w:p>
        </w:tc>
        <w:tc>
          <w:tcPr>
            <w:tcW w:w="601" w:type="pct"/>
          </w:tcPr>
          <w:p w14:paraId="609B4B0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409B530B"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21CDA99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69F08CA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0.990</w:t>
            </w:r>
          </w:p>
        </w:tc>
        <w:tc>
          <w:tcPr>
            <w:tcW w:w="609" w:type="pct"/>
          </w:tcPr>
          <w:p w14:paraId="4C4FD6DA"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0.320</w:t>
            </w:r>
          </w:p>
        </w:tc>
      </w:tr>
      <w:tr w:rsidR="00A23B67" w:rsidRPr="006F279E" w14:paraId="22D5B7D7" w14:textId="77777777" w:rsidTr="008F6C62">
        <w:trPr>
          <w:jc w:val="center"/>
        </w:trPr>
        <w:tc>
          <w:tcPr>
            <w:tcW w:w="1895" w:type="pct"/>
          </w:tcPr>
          <w:p w14:paraId="4258BE10"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Normal (&lt; 35 U/mL)</w:t>
            </w:r>
          </w:p>
        </w:tc>
        <w:tc>
          <w:tcPr>
            <w:tcW w:w="601" w:type="pct"/>
          </w:tcPr>
          <w:p w14:paraId="61803CA9"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12</w:t>
            </w:r>
          </w:p>
        </w:tc>
        <w:tc>
          <w:tcPr>
            <w:tcW w:w="656" w:type="pct"/>
          </w:tcPr>
          <w:p w14:paraId="0FA3F8DD"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w:t>
            </w:r>
          </w:p>
        </w:tc>
        <w:tc>
          <w:tcPr>
            <w:tcW w:w="656" w:type="pct"/>
          </w:tcPr>
          <w:p w14:paraId="208EE51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10</w:t>
            </w:r>
          </w:p>
        </w:tc>
        <w:tc>
          <w:tcPr>
            <w:tcW w:w="583" w:type="pct"/>
          </w:tcPr>
          <w:p w14:paraId="24F8778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6B0E68C2"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4E8E57C" w14:textId="77777777" w:rsidTr="008F6C62">
        <w:trPr>
          <w:jc w:val="center"/>
        </w:trPr>
        <w:tc>
          <w:tcPr>
            <w:tcW w:w="1895" w:type="pct"/>
          </w:tcPr>
          <w:p w14:paraId="7BFA732A"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Elevated (≥ 35 U/mL)</w:t>
            </w:r>
          </w:p>
        </w:tc>
        <w:tc>
          <w:tcPr>
            <w:tcW w:w="601" w:type="pct"/>
          </w:tcPr>
          <w:p w14:paraId="52211E1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65</w:t>
            </w:r>
          </w:p>
        </w:tc>
        <w:tc>
          <w:tcPr>
            <w:tcW w:w="656" w:type="pct"/>
          </w:tcPr>
          <w:p w14:paraId="5B8B96A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25</w:t>
            </w:r>
          </w:p>
        </w:tc>
        <w:tc>
          <w:tcPr>
            <w:tcW w:w="656" w:type="pct"/>
          </w:tcPr>
          <w:p w14:paraId="151F0652"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40</w:t>
            </w:r>
          </w:p>
        </w:tc>
        <w:tc>
          <w:tcPr>
            <w:tcW w:w="583" w:type="pct"/>
          </w:tcPr>
          <w:p w14:paraId="62422B1D"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1F7CE1A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D523BEE" w14:textId="77777777" w:rsidTr="008F6C62">
        <w:trPr>
          <w:jc w:val="center"/>
        </w:trPr>
        <w:tc>
          <w:tcPr>
            <w:tcW w:w="1895" w:type="pct"/>
          </w:tcPr>
          <w:p w14:paraId="45B8938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Pleural effusion before surgery</w:t>
            </w:r>
          </w:p>
        </w:tc>
        <w:tc>
          <w:tcPr>
            <w:tcW w:w="601" w:type="pct"/>
          </w:tcPr>
          <w:p w14:paraId="55004E7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07CF6D26"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3B9B0194"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44985C2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0.359</w:t>
            </w:r>
          </w:p>
        </w:tc>
        <w:tc>
          <w:tcPr>
            <w:tcW w:w="609" w:type="pct"/>
          </w:tcPr>
          <w:p w14:paraId="24138E99"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0.549</w:t>
            </w:r>
          </w:p>
        </w:tc>
      </w:tr>
      <w:tr w:rsidR="00A23B67" w:rsidRPr="006F279E" w14:paraId="2EB53995" w14:textId="77777777" w:rsidTr="008F6C62">
        <w:trPr>
          <w:jc w:val="center"/>
        </w:trPr>
        <w:tc>
          <w:tcPr>
            <w:tcW w:w="1895" w:type="pct"/>
          </w:tcPr>
          <w:p w14:paraId="76D1E3B6"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6D19BD8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19</w:t>
            </w:r>
          </w:p>
        </w:tc>
        <w:tc>
          <w:tcPr>
            <w:tcW w:w="656" w:type="pct"/>
          </w:tcPr>
          <w:p w14:paraId="0F89643A"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8</w:t>
            </w:r>
          </w:p>
        </w:tc>
        <w:tc>
          <w:tcPr>
            <w:tcW w:w="656" w:type="pct"/>
          </w:tcPr>
          <w:p w14:paraId="24D6B9B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11</w:t>
            </w:r>
          </w:p>
        </w:tc>
        <w:tc>
          <w:tcPr>
            <w:tcW w:w="583" w:type="pct"/>
          </w:tcPr>
          <w:p w14:paraId="5CA0A276"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19856D0D"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71791F18" w14:textId="77777777" w:rsidTr="008F6C62">
        <w:trPr>
          <w:jc w:val="center"/>
        </w:trPr>
        <w:tc>
          <w:tcPr>
            <w:tcW w:w="1895" w:type="pct"/>
          </w:tcPr>
          <w:p w14:paraId="796EC2E5"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2937CD1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58</w:t>
            </w:r>
          </w:p>
        </w:tc>
        <w:tc>
          <w:tcPr>
            <w:tcW w:w="656" w:type="pct"/>
          </w:tcPr>
          <w:p w14:paraId="5CC4D08A"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20</w:t>
            </w:r>
          </w:p>
        </w:tc>
        <w:tc>
          <w:tcPr>
            <w:tcW w:w="656" w:type="pct"/>
          </w:tcPr>
          <w:p w14:paraId="0581136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38</w:t>
            </w:r>
          </w:p>
        </w:tc>
        <w:tc>
          <w:tcPr>
            <w:tcW w:w="583" w:type="pct"/>
          </w:tcPr>
          <w:p w14:paraId="43D22505"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6FE2F90B"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4F6E48A7" w14:textId="77777777" w:rsidTr="008F6C62">
        <w:trPr>
          <w:jc w:val="center"/>
        </w:trPr>
        <w:tc>
          <w:tcPr>
            <w:tcW w:w="1895" w:type="pct"/>
          </w:tcPr>
          <w:p w14:paraId="4EAABE8C"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PCI</w:t>
            </w:r>
          </w:p>
        </w:tc>
        <w:tc>
          <w:tcPr>
            <w:tcW w:w="601" w:type="pct"/>
          </w:tcPr>
          <w:p w14:paraId="075CF12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139D2FE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1043819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08D055E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1.967</w:t>
            </w:r>
          </w:p>
        </w:tc>
        <w:tc>
          <w:tcPr>
            <w:tcW w:w="609" w:type="pct"/>
          </w:tcPr>
          <w:p w14:paraId="3B7D4289"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0.161</w:t>
            </w:r>
          </w:p>
        </w:tc>
      </w:tr>
      <w:tr w:rsidR="00A23B67" w:rsidRPr="006F279E" w14:paraId="07C4EFA9" w14:textId="77777777" w:rsidTr="008F6C62">
        <w:trPr>
          <w:jc w:val="center"/>
        </w:trPr>
        <w:tc>
          <w:tcPr>
            <w:tcW w:w="1895" w:type="pct"/>
          </w:tcPr>
          <w:p w14:paraId="54E60210"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10</w:t>
            </w:r>
          </w:p>
        </w:tc>
        <w:tc>
          <w:tcPr>
            <w:tcW w:w="601" w:type="pct"/>
          </w:tcPr>
          <w:p w14:paraId="16EA000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52</w:t>
            </w:r>
          </w:p>
        </w:tc>
        <w:tc>
          <w:tcPr>
            <w:tcW w:w="656" w:type="pct"/>
          </w:tcPr>
          <w:p w14:paraId="2A0FA259"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22</w:t>
            </w:r>
          </w:p>
        </w:tc>
        <w:tc>
          <w:tcPr>
            <w:tcW w:w="656" w:type="pct"/>
          </w:tcPr>
          <w:p w14:paraId="34D404B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30</w:t>
            </w:r>
          </w:p>
        </w:tc>
        <w:tc>
          <w:tcPr>
            <w:tcW w:w="583" w:type="pct"/>
          </w:tcPr>
          <w:p w14:paraId="44C5351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5C92D36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DBED983" w14:textId="77777777" w:rsidTr="008F6C62">
        <w:trPr>
          <w:jc w:val="center"/>
        </w:trPr>
        <w:tc>
          <w:tcPr>
            <w:tcW w:w="1895" w:type="pct"/>
          </w:tcPr>
          <w:p w14:paraId="292AE6AF"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lastRenderedPageBreak/>
              <w:t>&lt; 10</w:t>
            </w:r>
          </w:p>
        </w:tc>
        <w:tc>
          <w:tcPr>
            <w:tcW w:w="601" w:type="pct"/>
          </w:tcPr>
          <w:p w14:paraId="6DE09B9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14</w:t>
            </w:r>
          </w:p>
        </w:tc>
        <w:tc>
          <w:tcPr>
            <w:tcW w:w="656" w:type="pct"/>
          </w:tcPr>
          <w:p w14:paraId="5CBCFB4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w:t>
            </w:r>
          </w:p>
        </w:tc>
        <w:tc>
          <w:tcPr>
            <w:tcW w:w="656" w:type="pct"/>
          </w:tcPr>
          <w:p w14:paraId="590047A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12</w:t>
            </w:r>
          </w:p>
        </w:tc>
        <w:tc>
          <w:tcPr>
            <w:tcW w:w="583" w:type="pct"/>
          </w:tcPr>
          <w:p w14:paraId="7AC8C2D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02E81D76"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06956C69" w14:textId="77777777" w:rsidTr="008F6C62">
        <w:trPr>
          <w:jc w:val="center"/>
        </w:trPr>
        <w:tc>
          <w:tcPr>
            <w:tcW w:w="1895" w:type="pct"/>
          </w:tcPr>
          <w:p w14:paraId="3DAB3F6C" w14:textId="3A4986F1"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Diaphragm</w:t>
            </w:r>
            <w:r w:rsidR="00FA79AA">
              <w:rPr>
                <w:rFonts w:ascii="Book Antiqua" w:hAnsi="Book Antiqua" w:cs="Times New Roman"/>
                <w:kern w:val="0"/>
              </w:rPr>
              <w:t>atic</w:t>
            </w:r>
            <w:r w:rsidRPr="006F279E">
              <w:rPr>
                <w:rFonts w:ascii="Book Antiqua" w:hAnsi="Book Antiqua" w:cs="Times New Roman"/>
                <w:kern w:val="0"/>
              </w:rPr>
              <w:t xml:space="preserve"> invasion</w:t>
            </w:r>
          </w:p>
        </w:tc>
        <w:tc>
          <w:tcPr>
            <w:tcW w:w="601" w:type="pct"/>
          </w:tcPr>
          <w:p w14:paraId="6DACF1F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1ECC7C5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25CB9C3B"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0F354FDD"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0.717</w:t>
            </w:r>
          </w:p>
        </w:tc>
        <w:tc>
          <w:tcPr>
            <w:tcW w:w="609" w:type="pct"/>
          </w:tcPr>
          <w:p w14:paraId="0B458F4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0.397</w:t>
            </w:r>
          </w:p>
        </w:tc>
      </w:tr>
      <w:tr w:rsidR="00A23B67" w:rsidRPr="006F279E" w14:paraId="446076C2" w14:textId="77777777" w:rsidTr="008F6C62">
        <w:trPr>
          <w:jc w:val="center"/>
        </w:trPr>
        <w:tc>
          <w:tcPr>
            <w:tcW w:w="1895" w:type="pct"/>
          </w:tcPr>
          <w:p w14:paraId="2D6CA9AC"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3CB607CC"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23</w:t>
            </w:r>
          </w:p>
        </w:tc>
        <w:tc>
          <w:tcPr>
            <w:tcW w:w="656" w:type="pct"/>
          </w:tcPr>
          <w:p w14:paraId="2E55EE8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10</w:t>
            </w:r>
          </w:p>
        </w:tc>
        <w:tc>
          <w:tcPr>
            <w:tcW w:w="656" w:type="pct"/>
          </w:tcPr>
          <w:p w14:paraId="31ADA86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13</w:t>
            </w:r>
          </w:p>
        </w:tc>
        <w:tc>
          <w:tcPr>
            <w:tcW w:w="583" w:type="pct"/>
          </w:tcPr>
          <w:p w14:paraId="6E2384E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63AECFA2"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9D2C9F1" w14:textId="77777777" w:rsidTr="008F6C62">
        <w:trPr>
          <w:jc w:val="center"/>
        </w:trPr>
        <w:tc>
          <w:tcPr>
            <w:tcW w:w="1895" w:type="pct"/>
          </w:tcPr>
          <w:p w14:paraId="43B8C273"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220884A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54</w:t>
            </w:r>
          </w:p>
        </w:tc>
        <w:tc>
          <w:tcPr>
            <w:tcW w:w="656" w:type="pct"/>
          </w:tcPr>
          <w:p w14:paraId="3BD6C4F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18</w:t>
            </w:r>
          </w:p>
        </w:tc>
        <w:tc>
          <w:tcPr>
            <w:tcW w:w="656" w:type="pct"/>
          </w:tcPr>
          <w:p w14:paraId="394E91E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36</w:t>
            </w:r>
          </w:p>
        </w:tc>
        <w:tc>
          <w:tcPr>
            <w:tcW w:w="583" w:type="pct"/>
          </w:tcPr>
          <w:p w14:paraId="163FBC16"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261F4CD2"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4AA98320" w14:textId="77777777" w:rsidTr="008F6C62">
        <w:trPr>
          <w:jc w:val="center"/>
        </w:trPr>
        <w:tc>
          <w:tcPr>
            <w:tcW w:w="1895" w:type="pct"/>
          </w:tcPr>
          <w:p w14:paraId="4699D820" w14:textId="77777777" w:rsidR="001C6609" w:rsidRPr="006F279E" w:rsidRDefault="006F279E" w:rsidP="00A72E25">
            <w:pPr>
              <w:autoSpaceDE w:val="0"/>
              <w:autoSpaceDN w:val="0"/>
              <w:adjustRightInd w:val="0"/>
              <w:snapToGrid w:val="0"/>
              <w:spacing w:line="360" w:lineRule="auto"/>
              <w:ind w:left="120" w:hangingChars="50" w:hanging="120"/>
              <w:jc w:val="both"/>
              <w:rPr>
                <w:rFonts w:ascii="Book Antiqua" w:hAnsi="Book Antiqua" w:cs="Times New Roman"/>
                <w:kern w:val="0"/>
              </w:rPr>
            </w:pPr>
            <w:r w:rsidRPr="006F279E">
              <w:rPr>
                <w:rFonts w:ascii="Book Antiqua" w:hAnsi="Book Antiqua" w:cs="Times New Roman"/>
                <w:kern w:val="0"/>
              </w:rPr>
              <w:t>Perigastric and gastric dissection</w:t>
            </w:r>
          </w:p>
        </w:tc>
        <w:tc>
          <w:tcPr>
            <w:tcW w:w="601" w:type="pct"/>
          </w:tcPr>
          <w:p w14:paraId="1705189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398D584F"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7E81A76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4F0069B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0.648</w:t>
            </w:r>
          </w:p>
        </w:tc>
        <w:tc>
          <w:tcPr>
            <w:tcW w:w="609" w:type="pct"/>
          </w:tcPr>
          <w:p w14:paraId="5DE58EF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0.421</w:t>
            </w:r>
          </w:p>
        </w:tc>
      </w:tr>
      <w:tr w:rsidR="00A23B67" w:rsidRPr="006F279E" w14:paraId="5719F803" w14:textId="77777777" w:rsidTr="008F6C62">
        <w:trPr>
          <w:jc w:val="center"/>
        </w:trPr>
        <w:tc>
          <w:tcPr>
            <w:tcW w:w="1895" w:type="pct"/>
          </w:tcPr>
          <w:p w14:paraId="641838B7"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1044B95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13</w:t>
            </w:r>
          </w:p>
        </w:tc>
        <w:tc>
          <w:tcPr>
            <w:tcW w:w="656" w:type="pct"/>
          </w:tcPr>
          <w:p w14:paraId="378832C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w:t>
            </w:r>
          </w:p>
        </w:tc>
        <w:tc>
          <w:tcPr>
            <w:tcW w:w="656" w:type="pct"/>
          </w:tcPr>
          <w:p w14:paraId="7F10B7C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7</w:t>
            </w:r>
          </w:p>
        </w:tc>
        <w:tc>
          <w:tcPr>
            <w:tcW w:w="583" w:type="pct"/>
          </w:tcPr>
          <w:p w14:paraId="3F677C67"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c>
          <w:tcPr>
            <w:tcW w:w="609" w:type="pct"/>
          </w:tcPr>
          <w:p w14:paraId="001C41EE"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r>
      <w:tr w:rsidR="00A23B67" w:rsidRPr="006F279E" w14:paraId="48D0A921" w14:textId="77777777" w:rsidTr="008F6C62">
        <w:trPr>
          <w:jc w:val="center"/>
        </w:trPr>
        <w:tc>
          <w:tcPr>
            <w:tcW w:w="1895" w:type="pct"/>
          </w:tcPr>
          <w:p w14:paraId="1A4C7FE8"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03D3AFF7" w14:textId="77777777" w:rsidR="001C6609" w:rsidRPr="006F279E" w:rsidRDefault="006F279E" w:rsidP="00A72E25">
            <w:pPr>
              <w:autoSpaceDE w:val="0"/>
              <w:autoSpaceDN w:val="0"/>
              <w:adjustRightInd w:val="0"/>
              <w:snapToGrid w:val="0"/>
              <w:spacing w:line="360" w:lineRule="auto"/>
              <w:jc w:val="both"/>
              <w:rPr>
                <w:rFonts w:ascii="Book Antiqua" w:hAnsi="Book Antiqua"/>
                <w:kern w:val="0"/>
              </w:rPr>
            </w:pPr>
            <w:r w:rsidRPr="006F279E">
              <w:rPr>
                <w:rFonts w:ascii="Book Antiqua" w:hAnsi="Book Antiqua" w:cs="Times New Roman"/>
                <w:kern w:val="0"/>
              </w:rPr>
              <w:t>64</w:t>
            </w:r>
          </w:p>
        </w:tc>
        <w:tc>
          <w:tcPr>
            <w:tcW w:w="656" w:type="pct"/>
          </w:tcPr>
          <w:p w14:paraId="6B12518C" w14:textId="77777777" w:rsidR="001C6609" w:rsidRPr="006F279E" w:rsidRDefault="006F279E" w:rsidP="00A72E25">
            <w:pPr>
              <w:autoSpaceDE w:val="0"/>
              <w:autoSpaceDN w:val="0"/>
              <w:adjustRightInd w:val="0"/>
              <w:snapToGrid w:val="0"/>
              <w:spacing w:line="360" w:lineRule="auto"/>
              <w:jc w:val="both"/>
              <w:rPr>
                <w:rFonts w:ascii="Book Antiqua" w:hAnsi="Book Antiqua"/>
                <w:kern w:val="0"/>
              </w:rPr>
            </w:pPr>
            <w:r w:rsidRPr="006F279E">
              <w:rPr>
                <w:rFonts w:ascii="Book Antiqua" w:hAnsi="Book Antiqua" w:cs="Times New Roman"/>
                <w:kern w:val="0"/>
              </w:rPr>
              <w:t>22</w:t>
            </w:r>
          </w:p>
        </w:tc>
        <w:tc>
          <w:tcPr>
            <w:tcW w:w="656" w:type="pct"/>
          </w:tcPr>
          <w:p w14:paraId="38CF5841" w14:textId="77777777" w:rsidR="001C6609" w:rsidRPr="006F279E" w:rsidRDefault="006F279E" w:rsidP="00A72E25">
            <w:pPr>
              <w:autoSpaceDE w:val="0"/>
              <w:autoSpaceDN w:val="0"/>
              <w:adjustRightInd w:val="0"/>
              <w:snapToGrid w:val="0"/>
              <w:spacing w:line="360" w:lineRule="auto"/>
              <w:jc w:val="both"/>
              <w:rPr>
                <w:rFonts w:ascii="Book Antiqua" w:hAnsi="Book Antiqua"/>
                <w:kern w:val="0"/>
              </w:rPr>
            </w:pPr>
            <w:r w:rsidRPr="006F279E">
              <w:rPr>
                <w:rFonts w:ascii="Book Antiqua" w:hAnsi="Book Antiqua" w:cs="Times New Roman"/>
                <w:kern w:val="0"/>
              </w:rPr>
              <w:t>42</w:t>
            </w:r>
          </w:p>
        </w:tc>
        <w:tc>
          <w:tcPr>
            <w:tcW w:w="583" w:type="pct"/>
          </w:tcPr>
          <w:p w14:paraId="05797AC7"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c>
          <w:tcPr>
            <w:tcW w:w="609" w:type="pct"/>
          </w:tcPr>
          <w:p w14:paraId="2067CA82"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r>
      <w:tr w:rsidR="00A23B67" w:rsidRPr="006F279E" w14:paraId="73A9CD1A" w14:textId="77777777" w:rsidTr="008F6C62">
        <w:trPr>
          <w:jc w:val="center"/>
        </w:trPr>
        <w:tc>
          <w:tcPr>
            <w:tcW w:w="1895" w:type="pct"/>
          </w:tcPr>
          <w:p w14:paraId="07F530E8" w14:textId="77777777" w:rsidR="001C6609" w:rsidRPr="006F279E" w:rsidRDefault="006F279E" w:rsidP="00A72E25">
            <w:pPr>
              <w:autoSpaceDE w:val="0"/>
              <w:autoSpaceDN w:val="0"/>
              <w:adjustRightInd w:val="0"/>
              <w:snapToGrid w:val="0"/>
              <w:spacing w:line="360" w:lineRule="auto"/>
              <w:ind w:left="120" w:hangingChars="50" w:hanging="120"/>
              <w:jc w:val="both"/>
              <w:rPr>
                <w:rFonts w:ascii="Book Antiqua" w:hAnsi="Book Antiqua"/>
                <w:kern w:val="0"/>
              </w:rPr>
            </w:pPr>
            <w:r w:rsidRPr="006F279E">
              <w:rPr>
                <w:rFonts w:ascii="Book Antiqua" w:hAnsi="Book Antiqua" w:cs="Times New Roman"/>
                <w:kern w:val="0"/>
              </w:rPr>
              <w:t>Operation time</w:t>
            </w:r>
          </w:p>
        </w:tc>
        <w:tc>
          <w:tcPr>
            <w:tcW w:w="601" w:type="pct"/>
          </w:tcPr>
          <w:p w14:paraId="6461E68E"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c>
          <w:tcPr>
            <w:tcW w:w="656" w:type="pct"/>
          </w:tcPr>
          <w:p w14:paraId="1AD6D138"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c>
          <w:tcPr>
            <w:tcW w:w="656" w:type="pct"/>
          </w:tcPr>
          <w:p w14:paraId="3E251FF2"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c>
          <w:tcPr>
            <w:tcW w:w="583" w:type="pct"/>
          </w:tcPr>
          <w:p w14:paraId="31474F25" w14:textId="77777777" w:rsidR="001C6609" w:rsidRPr="006F279E" w:rsidRDefault="006F279E" w:rsidP="00A72E25">
            <w:pPr>
              <w:autoSpaceDE w:val="0"/>
              <w:autoSpaceDN w:val="0"/>
              <w:adjustRightInd w:val="0"/>
              <w:snapToGrid w:val="0"/>
              <w:spacing w:line="360" w:lineRule="auto"/>
              <w:jc w:val="both"/>
              <w:rPr>
                <w:rFonts w:ascii="Book Antiqua" w:hAnsi="Book Antiqua"/>
                <w:kern w:val="0"/>
              </w:rPr>
            </w:pPr>
            <w:r w:rsidRPr="006F279E">
              <w:rPr>
                <w:rFonts w:ascii="Book Antiqua" w:hAnsi="Book Antiqua" w:cs="Times New Roman"/>
                <w:kern w:val="0"/>
              </w:rPr>
              <w:t>4.827</w:t>
            </w:r>
          </w:p>
        </w:tc>
        <w:tc>
          <w:tcPr>
            <w:tcW w:w="609" w:type="pct"/>
          </w:tcPr>
          <w:p w14:paraId="17B41C2E" w14:textId="77777777" w:rsidR="001C6609" w:rsidRPr="006F279E" w:rsidRDefault="006F279E" w:rsidP="00A72E25">
            <w:pPr>
              <w:autoSpaceDE w:val="0"/>
              <w:autoSpaceDN w:val="0"/>
              <w:adjustRightInd w:val="0"/>
              <w:snapToGrid w:val="0"/>
              <w:spacing w:line="360" w:lineRule="auto"/>
              <w:jc w:val="both"/>
              <w:rPr>
                <w:rFonts w:ascii="Book Antiqua" w:hAnsi="Book Antiqua"/>
                <w:kern w:val="0"/>
              </w:rPr>
            </w:pPr>
            <w:r w:rsidRPr="006F279E">
              <w:rPr>
                <w:rFonts w:ascii="Book Antiqua" w:hAnsi="Book Antiqua" w:cs="Times New Roman"/>
                <w:kern w:val="0"/>
              </w:rPr>
              <w:t>0.047</w:t>
            </w:r>
          </w:p>
        </w:tc>
      </w:tr>
      <w:tr w:rsidR="00A23B67" w:rsidRPr="006F279E" w14:paraId="2F1D79D7" w14:textId="77777777" w:rsidTr="008F6C62">
        <w:trPr>
          <w:jc w:val="center"/>
        </w:trPr>
        <w:tc>
          <w:tcPr>
            <w:tcW w:w="1895" w:type="pct"/>
          </w:tcPr>
          <w:p w14:paraId="542E47B8"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7 h</w:t>
            </w:r>
          </w:p>
        </w:tc>
        <w:tc>
          <w:tcPr>
            <w:tcW w:w="601" w:type="pct"/>
          </w:tcPr>
          <w:p w14:paraId="0E823FA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65</w:t>
            </w:r>
          </w:p>
        </w:tc>
        <w:tc>
          <w:tcPr>
            <w:tcW w:w="656" w:type="pct"/>
          </w:tcPr>
          <w:p w14:paraId="35CFB88A"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27</w:t>
            </w:r>
          </w:p>
        </w:tc>
        <w:tc>
          <w:tcPr>
            <w:tcW w:w="656" w:type="pct"/>
          </w:tcPr>
          <w:p w14:paraId="7CE750A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38</w:t>
            </w:r>
          </w:p>
        </w:tc>
        <w:tc>
          <w:tcPr>
            <w:tcW w:w="583" w:type="pct"/>
          </w:tcPr>
          <w:p w14:paraId="510F3F8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51045AD5"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649E14F" w14:textId="77777777" w:rsidTr="008F6C62">
        <w:trPr>
          <w:trHeight w:val="234"/>
          <w:jc w:val="center"/>
        </w:trPr>
        <w:tc>
          <w:tcPr>
            <w:tcW w:w="1895" w:type="pct"/>
          </w:tcPr>
          <w:p w14:paraId="18D80C7E"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Symbol" w:hAnsi="Symbol" w:cs="Times New Roman"/>
                <w:kern w:val="0"/>
              </w:rPr>
              <w:sym w:font="Symbol" w:char="F03C"/>
            </w:r>
            <w:r w:rsidRPr="006F279E">
              <w:rPr>
                <w:rFonts w:ascii="Book Antiqua" w:hAnsi="Book Antiqua" w:cs="Times New Roman"/>
                <w:kern w:val="0"/>
              </w:rPr>
              <w:t xml:space="preserve"> 7 h</w:t>
            </w:r>
          </w:p>
        </w:tc>
        <w:tc>
          <w:tcPr>
            <w:tcW w:w="601" w:type="pct"/>
          </w:tcPr>
          <w:p w14:paraId="3363FA0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12</w:t>
            </w:r>
          </w:p>
        </w:tc>
        <w:tc>
          <w:tcPr>
            <w:tcW w:w="656" w:type="pct"/>
          </w:tcPr>
          <w:p w14:paraId="1D7B46C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656" w:type="pct"/>
          </w:tcPr>
          <w:p w14:paraId="1D579D5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11</w:t>
            </w:r>
          </w:p>
        </w:tc>
        <w:tc>
          <w:tcPr>
            <w:tcW w:w="583" w:type="pct"/>
          </w:tcPr>
          <w:p w14:paraId="453B999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1A7F721F"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0C31E9E9" w14:textId="77777777" w:rsidTr="008F6C62">
        <w:trPr>
          <w:trHeight w:val="326"/>
          <w:jc w:val="center"/>
        </w:trPr>
        <w:tc>
          <w:tcPr>
            <w:tcW w:w="1895" w:type="pct"/>
          </w:tcPr>
          <w:p w14:paraId="7B55699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Intraoperative hemorrhage</w:t>
            </w:r>
          </w:p>
        </w:tc>
        <w:tc>
          <w:tcPr>
            <w:tcW w:w="601" w:type="pct"/>
          </w:tcPr>
          <w:p w14:paraId="16BFBFA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5528841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0E60746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255F15B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7.112</w:t>
            </w:r>
          </w:p>
        </w:tc>
        <w:tc>
          <w:tcPr>
            <w:tcW w:w="609" w:type="pct"/>
          </w:tcPr>
          <w:p w14:paraId="4BD02BEC"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0.008</w:t>
            </w:r>
          </w:p>
        </w:tc>
      </w:tr>
      <w:tr w:rsidR="00A23B67" w:rsidRPr="006F279E" w14:paraId="3C2B41FF" w14:textId="77777777" w:rsidTr="008F6C62">
        <w:trPr>
          <w:trHeight w:val="374"/>
          <w:jc w:val="center"/>
        </w:trPr>
        <w:tc>
          <w:tcPr>
            <w:tcW w:w="1895" w:type="pct"/>
          </w:tcPr>
          <w:p w14:paraId="71E735B5"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800 mL</w:t>
            </w:r>
          </w:p>
        </w:tc>
        <w:tc>
          <w:tcPr>
            <w:tcW w:w="601" w:type="pct"/>
          </w:tcPr>
          <w:p w14:paraId="4E04451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29</w:t>
            </w:r>
          </w:p>
        </w:tc>
        <w:tc>
          <w:tcPr>
            <w:tcW w:w="656" w:type="pct"/>
          </w:tcPr>
          <w:p w14:paraId="14DB18DD"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16</w:t>
            </w:r>
          </w:p>
        </w:tc>
        <w:tc>
          <w:tcPr>
            <w:tcW w:w="656" w:type="pct"/>
          </w:tcPr>
          <w:p w14:paraId="34558EC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13</w:t>
            </w:r>
          </w:p>
        </w:tc>
        <w:tc>
          <w:tcPr>
            <w:tcW w:w="583" w:type="pct"/>
          </w:tcPr>
          <w:p w14:paraId="515366D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079D64A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66FB9A1E" w14:textId="77777777" w:rsidTr="008F6C62">
        <w:trPr>
          <w:jc w:val="center"/>
        </w:trPr>
        <w:tc>
          <w:tcPr>
            <w:tcW w:w="1895" w:type="pct"/>
          </w:tcPr>
          <w:p w14:paraId="628F999E"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800 mL</w:t>
            </w:r>
          </w:p>
        </w:tc>
        <w:tc>
          <w:tcPr>
            <w:tcW w:w="601" w:type="pct"/>
          </w:tcPr>
          <w:p w14:paraId="3A05354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48</w:t>
            </w:r>
          </w:p>
        </w:tc>
        <w:tc>
          <w:tcPr>
            <w:tcW w:w="656" w:type="pct"/>
          </w:tcPr>
          <w:p w14:paraId="74D936A2"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12</w:t>
            </w:r>
          </w:p>
        </w:tc>
        <w:tc>
          <w:tcPr>
            <w:tcW w:w="656" w:type="pct"/>
          </w:tcPr>
          <w:p w14:paraId="4C11E94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36</w:t>
            </w:r>
          </w:p>
        </w:tc>
        <w:tc>
          <w:tcPr>
            <w:tcW w:w="583" w:type="pct"/>
          </w:tcPr>
          <w:p w14:paraId="662E149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10D8C49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4785989C" w14:textId="77777777" w:rsidTr="008F6C62">
        <w:trPr>
          <w:jc w:val="center"/>
        </w:trPr>
        <w:tc>
          <w:tcPr>
            <w:tcW w:w="1895" w:type="pct"/>
          </w:tcPr>
          <w:p w14:paraId="5D545DF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Anastomosis</w:t>
            </w:r>
          </w:p>
        </w:tc>
        <w:tc>
          <w:tcPr>
            <w:tcW w:w="601" w:type="pct"/>
          </w:tcPr>
          <w:p w14:paraId="08A6C51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00E4122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4899DD6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51CF93D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3.634</w:t>
            </w:r>
          </w:p>
        </w:tc>
        <w:tc>
          <w:tcPr>
            <w:tcW w:w="609" w:type="pct"/>
          </w:tcPr>
          <w:p w14:paraId="2367286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0.057</w:t>
            </w:r>
          </w:p>
        </w:tc>
      </w:tr>
      <w:tr w:rsidR="00A23B67" w:rsidRPr="006F279E" w14:paraId="12D3E37A" w14:textId="77777777" w:rsidTr="008F6C62">
        <w:trPr>
          <w:jc w:val="center"/>
        </w:trPr>
        <w:tc>
          <w:tcPr>
            <w:tcW w:w="1895" w:type="pct"/>
          </w:tcPr>
          <w:p w14:paraId="6B3C846B"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0BB0DE5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53</w:t>
            </w:r>
          </w:p>
        </w:tc>
        <w:tc>
          <w:tcPr>
            <w:tcW w:w="656" w:type="pct"/>
          </w:tcPr>
          <w:p w14:paraId="1B4F08AD"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23</w:t>
            </w:r>
          </w:p>
        </w:tc>
        <w:tc>
          <w:tcPr>
            <w:tcW w:w="656" w:type="pct"/>
          </w:tcPr>
          <w:p w14:paraId="420C907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30</w:t>
            </w:r>
          </w:p>
        </w:tc>
        <w:tc>
          <w:tcPr>
            <w:tcW w:w="583" w:type="pct"/>
          </w:tcPr>
          <w:p w14:paraId="770FFBB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3B38F320"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66723D78" w14:textId="77777777" w:rsidTr="008F6C62">
        <w:trPr>
          <w:jc w:val="center"/>
        </w:trPr>
        <w:tc>
          <w:tcPr>
            <w:tcW w:w="1895" w:type="pct"/>
          </w:tcPr>
          <w:p w14:paraId="65CA726B"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22946E6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24</w:t>
            </w:r>
          </w:p>
        </w:tc>
        <w:tc>
          <w:tcPr>
            <w:tcW w:w="656" w:type="pct"/>
          </w:tcPr>
          <w:p w14:paraId="335D399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w:t>
            </w:r>
          </w:p>
        </w:tc>
        <w:tc>
          <w:tcPr>
            <w:tcW w:w="656" w:type="pct"/>
          </w:tcPr>
          <w:p w14:paraId="1A77489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19</w:t>
            </w:r>
          </w:p>
        </w:tc>
        <w:tc>
          <w:tcPr>
            <w:tcW w:w="583" w:type="pct"/>
          </w:tcPr>
          <w:p w14:paraId="6D27E666"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2EBEBD55"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0B22EBCF" w14:textId="77777777" w:rsidTr="008F6C62">
        <w:trPr>
          <w:jc w:val="center"/>
        </w:trPr>
        <w:tc>
          <w:tcPr>
            <w:tcW w:w="1895" w:type="pct"/>
          </w:tcPr>
          <w:p w14:paraId="47AD0B6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Number of organs removed</w:t>
            </w:r>
          </w:p>
        </w:tc>
        <w:tc>
          <w:tcPr>
            <w:tcW w:w="601" w:type="pct"/>
          </w:tcPr>
          <w:p w14:paraId="549B039F"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59E6D41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07641ED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27003B2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2.495</w:t>
            </w:r>
          </w:p>
        </w:tc>
        <w:tc>
          <w:tcPr>
            <w:tcW w:w="609" w:type="pct"/>
          </w:tcPr>
          <w:p w14:paraId="4EEA3C9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0.114</w:t>
            </w:r>
          </w:p>
        </w:tc>
      </w:tr>
      <w:tr w:rsidR="00A23B67" w:rsidRPr="006F279E" w14:paraId="585F8C48" w14:textId="77777777" w:rsidTr="008F6C62">
        <w:trPr>
          <w:jc w:val="center"/>
        </w:trPr>
        <w:tc>
          <w:tcPr>
            <w:tcW w:w="1895" w:type="pct"/>
          </w:tcPr>
          <w:p w14:paraId="55BD2935"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4</w:t>
            </w:r>
          </w:p>
        </w:tc>
        <w:tc>
          <w:tcPr>
            <w:tcW w:w="601" w:type="pct"/>
          </w:tcPr>
          <w:p w14:paraId="54E2BB42"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27</w:t>
            </w:r>
          </w:p>
        </w:tc>
        <w:tc>
          <w:tcPr>
            <w:tcW w:w="656" w:type="pct"/>
          </w:tcPr>
          <w:p w14:paraId="1936A72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13</w:t>
            </w:r>
          </w:p>
        </w:tc>
        <w:tc>
          <w:tcPr>
            <w:tcW w:w="656" w:type="pct"/>
          </w:tcPr>
          <w:p w14:paraId="60B6296D"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14</w:t>
            </w:r>
          </w:p>
        </w:tc>
        <w:tc>
          <w:tcPr>
            <w:tcW w:w="583" w:type="pct"/>
          </w:tcPr>
          <w:p w14:paraId="47601A4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4CDD1445"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5F31C72" w14:textId="77777777" w:rsidTr="008F6C62">
        <w:trPr>
          <w:jc w:val="center"/>
        </w:trPr>
        <w:tc>
          <w:tcPr>
            <w:tcW w:w="1895" w:type="pct"/>
          </w:tcPr>
          <w:p w14:paraId="6495919A"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4</w:t>
            </w:r>
          </w:p>
        </w:tc>
        <w:tc>
          <w:tcPr>
            <w:tcW w:w="601" w:type="pct"/>
          </w:tcPr>
          <w:p w14:paraId="58FFACEA"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50</w:t>
            </w:r>
          </w:p>
        </w:tc>
        <w:tc>
          <w:tcPr>
            <w:tcW w:w="656" w:type="pct"/>
          </w:tcPr>
          <w:p w14:paraId="6399836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15</w:t>
            </w:r>
          </w:p>
        </w:tc>
        <w:tc>
          <w:tcPr>
            <w:tcW w:w="656" w:type="pct"/>
          </w:tcPr>
          <w:p w14:paraId="1352933C"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35</w:t>
            </w:r>
          </w:p>
        </w:tc>
        <w:tc>
          <w:tcPr>
            <w:tcW w:w="583" w:type="pct"/>
          </w:tcPr>
          <w:p w14:paraId="61E71A9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79F4231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6CC03054" w14:textId="77777777" w:rsidTr="008F6C62">
        <w:trPr>
          <w:jc w:val="center"/>
        </w:trPr>
        <w:tc>
          <w:tcPr>
            <w:tcW w:w="1895" w:type="pct"/>
          </w:tcPr>
          <w:p w14:paraId="7A971B4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Pleural effusion after surgery</w:t>
            </w:r>
          </w:p>
        </w:tc>
        <w:tc>
          <w:tcPr>
            <w:tcW w:w="601" w:type="pct"/>
          </w:tcPr>
          <w:p w14:paraId="11FD5E4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4016F00F"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4B044B9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7ED5898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3.667</w:t>
            </w:r>
          </w:p>
        </w:tc>
        <w:tc>
          <w:tcPr>
            <w:tcW w:w="609" w:type="pct"/>
          </w:tcPr>
          <w:p w14:paraId="610A8C9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0.056</w:t>
            </w:r>
          </w:p>
        </w:tc>
      </w:tr>
      <w:tr w:rsidR="00A23B67" w:rsidRPr="006F279E" w14:paraId="5B314F15" w14:textId="77777777" w:rsidTr="008F6C62">
        <w:trPr>
          <w:jc w:val="center"/>
        </w:trPr>
        <w:tc>
          <w:tcPr>
            <w:tcW w:w="1895" w:type="pct"/>
          </w:tcPr>
          <w:p w14:paraId="240AFE8E"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54D440C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44</w:t>
            </w:r>
          </w:p>
        </w:tc>
        <w:tc>
          <w:tcPr>
            <w:tcW w:w="656" w:type="pct"/>
          </w:tcPr>
          <w:p w14:paraId="6DC5550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20</w:t>
            </w:r>
          </w:p>
        </w:tc>
        <w:tc>
          <w:tcPr>
            <w:tcW w:w="656" w:type="pct"/>
          </w:tcPr>
          <w:p w14:paraId="465ACAE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24</w:t>
            </w:r>
          </w:p>
        </w:tc>
        <w:tc>
          <w:tcPr>
            <w:tcW w:w="583" w:type="pct"/>
          </w:tcPr>
          <w:p w14:paraId="2425C02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574A5F2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60A435CF" w14:textId="77777777" w:rsidTr="008F6C62">
        <w:trPr>
          <w:jc w:val="center"/>
        </w:trPr>
        <w:tc>
          <w:tcPr>
            <w:tcW w:w="1895" w:type="pct"/>
          </w:tcPr>
          <w:p w14:paraId="0DB3B265"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41CF976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33</w:t>
            </w:r>
          </w:p>
        </w:tc>
        <w:tc>
          <w:tcPr>
            <w:tcW w:w="656" w:type="pct"/>
          </w:tcPr>
          <w:p w14:paraId="53EFDB3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8</w:t>
            </w:r>
          </w:p>
        </w:tc>
        <w:tc>
          <w:tcPr>
            <w:tcW w:w="656" w:type="pct"/>
          </w:tcPr>
          <w:p w14:paraId="33B927B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25</w:t>
            </w:r>
          </w:p>
        </w:tc>
        <w:tc>
          <w:tcPr>
            <w:tcW w:w="583" w:type="pct"/>
          </w:tcPr>
          <w:p w14:paraId="6136734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00F20B32"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bl>
    <w:p w14:paraId="2485ACBC" w14:textId="2C9C17AB" w:rsidR="00767D13" w:rsidRPr="006F279E" w:rsidRDefault="004064BB" w:rsidP="00A72E25">
      <w:pPr>
        <w:autoSpaceDE w:val="0"/>
        <w:autoSpaceDN w:val="0"/>
        <w:adjustRightInd w:val="0"/>
        <w:snapToGrid w:val="0"/>
        <w:spacing w:line="360" w:lineRule="auto"/>
        <w:jc w:val="both"/>
        <w:rPr>
          <w:rFonts w:ascii="Book Antiqua" w:hAnsi="Book Antiqua"/>
          <w:b/>
        </w:rPr>
      </w:pPr>
      <w:r w:rsidRPr="006F279E">
        <w:rPr>
          <w:rFonts w:ascii="Book Antiqua" w:eastAsia="Book Antiqua" w:hAnsi="Book Antiqua" w:cs="Book Antiqua"/>
          <w:color w:val="000000"/>
        </w:rPr>
        <w:t>D</w:t>
      </w:r>
      <w:r>
        <w:rPr>
          <w:rFonts w:ascii="Book Antiqua" w:eastAsia="Book Antiqua" w:hAnsi="Book Antiqua" w:cs="Book Antiqua"/>
          <w:color w:val="000000"/>
        </w:rPr>
        <w:t>GE</w:t>
      </w:r>
      <w:r w:rsidRPr="006F279E">
        <w:rPr>
          <w:rFonts w:ascii="Book Antiqua" w:eastAsia="Book Antiqua" w:hAnsi="Book Antiqua" w:cs="Book Antiqua"/>
          <w:color w:val="000000"/>
        </w:rPr>
        <w:t>: Delayed gastric emptying</w:t>
      </w:r>
      <w:r>
        <w:rPr>
          <w:rFonts w:ascii="Book Antiqua" w:hAnsi="Book Antiqua"/>
        </w:rPr>
        <w:t xml:space="preserve">; </w:t>
      </w:r>
      <w:r w:rsidR="006F279E" w:rsidRPr="006F279E">
        <w:rPr>
          <w:rFonts w:ascii="Book Antiqua" w:hAnsi="Book Antiqua"/>
        </w:rPr>
        <w:t xml:space="preserve">PCI: </w:t>
      </w:r>
      <w:r w:rsidR="006F279E" w:rsidRPr="006F279E">
        <w:rPr>
          <w:rFonts w:ascii="Book Antiqua" w:eastAsia="Book Antiqua" w:hAnsi="Book Antiqua" w:cs="Book Antiqua"/>
          <w:color w:val="000000"/>
        </w:rPr>
        <w:t xml:space="preserve">Peritoneal </w:t>
      </w:r>
      <w:r w:rsidR="00FA79AA">
        <w:rPr>
          <w:rFonts w:ascii="Book Antiqua" w:eastAsia="Book Antiqua" w:hAnsi="Book Antiqua" w:cs="Book Antiqua"/>
          <w:color w:val="000000"/>
        </w:rPr>
        <w:t>cancer index</w:t>
      </w:r>
      <w:r w:rsidR="006F279E" w:rsidRPr="006F279E">
        <w:rPr>
          <w:rFonts w:ascii="Book Antiqua" w:eastAsia="Book Antiqua" w:hAnsi="Book Antiqua" w:cs="Book Antiqua"/>
          <w:color w:val="000000"/>
        </w:rPr>
        <w:t>.</w:t>
      </w:r>
    </w:p>
    <w:p w14:paraId="3F7739C7" w14:textId="13805A94" w:rsidR="00767D13" w:rsidRPr="006F279E" w:rsidRDefault="006F279E" w:rsidP="00A72E25">
      <w:pPr>
        <w:adjustRightInd w:val="0"/>
        <w:snapToGrid w:val="0"/>
        <w:spacing w:line="360" w:lineRule="auto"/>
        <w:jc w:val="both"/>
        <w:rPr>
          <w:rFonts w:ascii="Book Antiqua" w:hAnsi="Book Antiqua"/>
          <w:b/>
        </w:rPr>
      </w:pPr>
      <w:r w:rsidRPr="006F279E">
        <w:rPr>
          <w:rFonts w:ascii="Book Antiqua" w:hAnsi="Book Antiqua"/>
          <w:b/>
        </w:rPr>
        <w:br w:type="page"/>
      </w:r>
      <w:r w:rsidRPr="006F279E">
        <w:rPr>
          <w:rFonts w:ascii="Book Antiqua" w:hAnsi="Book Antiqua"/>
          <w:b/>
        </w:rPr>
        <w:lastRenderedPageBreak/>
        <w:t>Table 4 Multivariate analysis of risk factors associated with delayed gastric emptying after cytoreductive surgery and hyperthermic intraperitoneal chemotherapy</w:t>
      </w:r>
    </w:p>
    <w:tbl>
      <w:tblPr>
        <w:tblStyle w:val="TableGrid"/>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18"/>
        <w:gridCol w:w="1984"/>
        <w:gridCol w:w="1560"/>
        <w:gridCol w:w="1559"/>
      </w:tblGrid>
      <w:tr w:rsidR="00A23B67" w:rsidRPr="006F279E" w14:paraId="4465DB48" w14:textId="77777777" w:rsidTr="008F6C62">
        <w:trPr>
          <w:trHeight w:val="342"/>
        </w:trPr>
        <w:tc>
          <w:tcPr>
            <w:tcW w:w="2376" w:type="dxa"/>
            <w:vMerge w:val="restart"/>
            <w:tcBorders>
              <w:top w:val="single" w:sz="4" w:space="0" w:color="auto"/>
              <w:bottom w:val="single" w:sz="4" w:space="0" w:color="auto"/>
            </w:tcBorders>
          </w:tcPr>
          <w:p w14:paraId="5BF0585D"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Variable</w:t>
            </w:r>
          </w:p>
        </w:tc>
        <w:tc>
          <w:tcPr>
            <w:tcW w:w="1418" w:type="dxa"/>
            <w:vMerge w:val="restart"/>
            <w:tcBorders>
              <w:top w:val="single" w:sz="4" w:space="0" w:color="auto"/>
              <w:bottom w:val="single" w:sz="4" w:space="0" w:color="auto"/>
            </w:tcBorders>
          </w:tcPr>
          <w:p w14:paraId="2E7AD628"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OR</w:t>
            </w:r>
          </w:p>
        </w:tc>
        <w:tc>
          <w:tcPr>
            <w:tcW w:w="3544" w:type="dxa"/>
            <w:gridSpan w:val="2"/>
            <w:tcBorders>
              <w:top w:val="single" w:sz="4" w:space="0" w:color="auto"/>
              <w:bottom w:val="single" w:sz="4" w:space="0" w:color="auto"/>
            </w:tcBorders>
          </w:tcPr>
          <w:p w14:paraId="3976855D" w14:textId="51E4C206" w:rsidR="00767D13" w:rsidRPr="006F279E" w:rsidRDefault="008F6C62"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 xml:space="preserve">95% Confidence </w:t>
            </w:r>
            <w:r w:rsidRPr="006F279E">
              <w:rPr>
                <w:rFonts w:ascii="Book Antiqua" w:eastAsia="Book Antiqua" w:hAnsi="Book Antiqua" w:cs="Book Antiqua"/>
                <w:b/>
                <w:color w:val="000000"/>
              </w:rPr>
              <w:t>interval</w:t>
            </w:r>
          </w:p>
        </w:tc>
        <w:tc>
          <w:tcPr>
            <w:tcW w:w="1559" w:type="dxa"/>
            <w:vMerge w:val="restart"/>
            <w:tcBorders>
              <w:top w:val="single" w:sz="4" w:space="0" w:color="auto"/>
              <w:bottom w:val="single" w:sz="4" w:space="0" w:color="auto"/>
            </w:tcBorders>
          </w:tcPr>
          <w:p w14:paraId="12E7098B"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i/>
                <w:kern w:val="0"/>
              </w:rPr>
              <w:t>P</w:t>
            </w:r>
            <w:r w:rsidRPr="006F279E">
              <w:rPr>
                <w:rFonts w:ascii="Book Antiqua" w:hAnsi="Book Antiqua" w:cs="Times New Roman"/>
                <w:b/>
                <w:bCs/>
                <w:kern w:val="0"/>
              </w:rPr>
              <w:t xml:space="preserve"> value</w:t>
            </w:r>
          </w:p>
        </w:tc>
      </w:tr>
      <w:tr w:rsidR="00A23B67" w:rsidRPr="006F279E" w14:paraId="4E26BA10" w14:textId="77777777" w:rsidTr="008F6C62">
        <w:trPr>
          <w:trHeight w:val="277"/>
        </w:trPr>
        <w:tc>
          <w:tcPr>
            <w:tcW w:w="2376" w:type="dxa"/>
            <w:vMerge/>
            <w:tcBorders>
              <w:top w:val="single" w:sz="4" w:space="0" w:color="auto"/>
              <w:bottom w:val="single" w:sz="4" w:space="0" w:color="auto"/>
            </w:tcBorders>
          </w:tcPr>
          <w:p w14:paraId="129A456E"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418" w:type="dxa"/>
            <w:vMerge/>
            <w:tcBorders>
              <w:top w:val="single" w:sz="4" w:space="0" w:color="auto"/>
              <w:bottom w:val="single" w:sz="4" w:space="0" w:color="auto"/>
            </w:tcBorders>
          </w:tcPr>
          <w:p w14:paraId="4366527F"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Borders>
              <w:top w:val="single" w:sz="4" w:space="0" w:color="auto"/>
              <w:bottom w:val="single" w:sz="4" w:space="0" w:color="auto"/>
            </w:tcBorders>
          </w:tcPr>
          <w:p w14:paraId="47779B31"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Lower</w:t>
            </w:r>
          </w:p>
        </w:tc>
        <w:tc>
          <w:tcPr>
            <w:tcW w:w="1560" w:type="dxa"/>
            <w:tcBorders>
              <w:top w:val="single" w:sz="4" w:space="0" w:color="auto"/>
              <w:bottom w:val="single" w:sz="4" w:space="0" w:color="auto"/>
            </w:tcBorders>
          </w:tcPr>
          <w:p w14:paraId="52898476"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Upper</w:t>
            </w:r>
          </w:p>
        </w:tc>
        <w:tc>
          <w:tcPr>
            <w:tcW w:w="1559" w:type="dxa"/>
            <w:vMerge/>
            <w:tcBorders>
              <w:top w:val="single" w:sz="4" w:space="0" w:color="auto"/>
              <w:bottom w:val="single" w:sz="4" w:space="0" w:color="auto"/>
            </w:tcBorders>
          </w:tcPr>
          <w:p w14:paraId="00AB7EA9"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D425E7F" w14:textId="77777777" w:rsidTr="008F6C62">
        <w:trPr>
          <w:trHeight w:val="262"/>
        </w:trPr>
        <w:tc>
          <w:tcPr>
            <w:tcW w:w="2376" w:type="dxa"/>
            <w:tcBorders>
              <w:top w:val="single" w:sz="4" w:space="0" w:color="auto"/>
            </w:tcBorders>
          </w:tcPr>
          <w:p w14:paraId="3EBCD925"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Age (yr)</w:t>
            </w:r>
          </w:p>
        </w:tc>
        <w:tc>
          <w:tcPr>
            <w:tcW w:w="1418" w:type="dxa"/>
            <w:tcBorders>
              <w:top w:val="single" w:sz="4" w:space="0" w:color="auto"/>
            </w:tcBorders>
          </w:tcPr>
          <w:p w14:paraId="6DE343DE"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Borders>
              <w:top w:val="single" w:sz="4" w:space="0" w:color="auto"/>
            </w:tcBorders>
          </w:tcPr>
          <w:p w14:paraId="42AF9D46"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Borders>
              <w:top w:val="single" w:sz="4" w:space="0" w:color="auto"/>
            </w:tcBorders>
          </w:tcPr>
          <w:p w14:paraId="6631698F"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Borders>
              <w:top w:val="single" w:sz="4" w:space="0" w:color="auto"/>
            </w:tcBorders>
          </w:tcPr>
          <w:p w14:paraId="10AB78B4"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7C4ED6BF" w14:textId="77777777" w:rsidTr="008F6C62">
        <w:trPr>
          <w:trHeight w:hRule="exact" w:val="375"/>
        </w:trPr>
        <w:tc>
          <w:tcPr>
            <w:tcW w:w="2376" w:type="dxa"/>
          </w:tcPr>
          <w:p w14:paraId="162FDE18"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70</w:t>
            </w:r>
          </w:p>
        </w:tc>
        <w:tc>
          <w:tcPr>
            <w:tcW w:w="1418" w:type="dxa"/>
          </w:tcPr>
          <w:p w14:paraId="4567FBC9"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7.127</w:t>
            </w:r>
          </w:p>
        </w:tc>
        <w:tc>
          <w:tcPr>
            <w:tcW w:w="1984" w:type="dxa"/>
          </w:tcPr>
          <w:p w14:paraId="41332948"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1.122</w:t>
            </w:r>
          </w:p>
        </w:tc>
        <w:tc>
          <w:tcPr>
            <w:tcW w:w="1560" w:type="dxa"/>
          </w:tcPr>
          <w:p w14:paraId="62C39222"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45.264</w:t>
            </w:r>
          </w:p>
        </w:tc>
        <w:tc>
          <w:tcPr>
            <w:tcW w:w="1559" w:type="dxa"/>
          </w:tcPr>
          <w:p w14:paraId="03CA2089"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0.037</w:t>
            </w:r>
          </w:p>
        </w:tc>
      </w:tr>
      <w:tr w:rsidR="00A23B67" w:rsidRPr="006F279E" w14:paraId="35159712" w14:textId="77777777" w:rsidTr="008F6C62">
        <w:trPr>
          <w:trHeight w:hRule="exact" w:val="411"/>
        </w:trPr>
        <w:tc>
          <w:tcPr>
            <w:tcW w:w="2376" w:type="dxa"/>
          </w:tcPr>
          <w:p w14:paraId="77915951"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70</w:t>
            </w:r>
          </w:p>
        </w:tc>
        <w:tc>
          <w:tcPr>
            <w:tcW w:w="1418" w:type="dxa"/>
          </w:tcPr>
          <w:p w14:paraId="1E1C630D"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1984" w:type="dxa"/>
          </w:tcPr>
          <w:p w14:paraId="4210AF7B"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1528DFA6"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5C188E3D"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7D814293" w14:textId="77777777" w:rsidTr="008F6C62">
        <w:trPr>
          <w:trHeight w:val="299"/>
        </w:trPr>
        <w:tc>
          <w:tcPr>
            <w:tcW w:w="2376" w:type="dxa"/>
          </w:tcPr>
          <w:p w14:paraId="1851705F"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Intraoperative hemorrhage</w:t>
            </w:r>
          </w:p>
        </w:tc>
        <w:tc>
          <w:tcPr>
            <w:tcW w:w="1418" w:type="dxa"/>
          </w:tcPr>
          <w:p w14:paraId="0750B665"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Pr>
          <w:p w14:paraId="3E71F7EA"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3540A0D4"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0B66B02C"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0D63DCD1" w14:textId="77777777" w:rsidTr="008F6C62">
        <w:trPr>
          <w:trHeight w:val="261"/>
        </w:trPr>
        <w:tc>
          <w:tcPr>
            <w:tcW w:w="2376" w:type="dxa"/>
          </w:tcPr>
          <w:p w14:paraId="62E40340"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800 mL</w:t>
            </w:r>
          </w:p>
        </w:tc>
        <w:tc>
          <w:tcPr>
            <w:tcW w:w="1418" w:type="dxa"/>
          </w:tcPr>
          <w:p w14:paraId="605DA635"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3.416</w:t>
            </w:r>
          </w:p>
        </w:tc>
        <w:tc>
          <w:tcPr>
            <w:tcW w:w="1984" w:type="dxa"/>
          </w:tcPr>
          <w:p w14:paraId="03BE380B"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1.067</w:t>
            </w:r>
          </w:p>
        </w:tc>
        <w:tc>
          <w:tcPr>
            <w:tcW w:w="1560" w:type="dxa"/>
          </w:tcPr>
          <w:p w14:paraId="3378A9FB"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10.939</w:t>
            </w:r>
          </w:p>
        </w:tc>
        <w:tc>
          <w:tcPr>
            <w:tcW w:w="1559" w:type="dxa"/>
          </w:tcPr>
          <w:p w14:paraId="371DCD90"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0.039</w:t>
            </w:r>
          </w:p>
        </w:tc>
      </w:tr>
      <w:tr w:rsidR="00A23B67" w:rsidRPr="006F279E" w14:paraId="7877B5BC" w14:textId="77777777" w:rsidTr="008F6C62">
        <w:trPr>
          <w:trHeight w:val="291"/>
        </w:trPr>
        <w:tc>
          <w:tcPr>
            <w:tcW w:w="2376" w:type="dxa"/>
          </w:tcPr>
          <w:p w14:paraId="4B1AE6B0"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800 mL</w:t>
            </w:r>
          </w:p>
        </w:tc>
        <w:tc>
          <w:tcPr>
            <w:tcW w:w="1418" w:type="dxa"/>
          </w:tcPr>
          <w:p w14:paraId="6210C095"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1984" w:type="dxa"/>
          </w:tcPr>
          <w:p w14:paraId="37B8FB62"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4E909D9E"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1CFB8706"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3C4F6E9B" w14:textId="77777777" w:rsidTr="008F6C62">
        <w:trPr>
          <w:trHeight w:val="266"/>
        </w:trPr>
        <w:tc>
          <w:tcPr>
            <w:tcW w:w="2376" w:type="dxa"/>
          </w:tcPr>
          <w:p w14:paraId="2383F538"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BMI (kg/m</w:t>
            </w:r>
            <w:r w:rsidRPr="006F279E">
              <w:rPr>
                <w:rFonts w:ascii="Book Antiqua" w:hAnsi="Book Antiqua" w:cs="Times New Roman"/>
                <w:kern w:val="0"/>
                <w:vertAlign w:val="superscript"/>
              </w:rPr>
              <w:t>2</w:t>
            </w:r>
            <w:r w:rsidRPr="006F279E">
              <w:rPr>
                <w:rFonts w:ascii="Book Antiqua" w:hAnsi="Book Antiqua" w:cs="Times New Roman"/>
                <w:kern w:val="0"/>
              </w:rPr>
              <w:t>)</w:t>
            </w:r>
          </w:p>
        </w:tc>
        <w:tc>
          <w:tcPr>
            <w:tcW w:w="1418" w:type="dxa"/>
          </w:tcPr>
          <w:p w14:paraId="18632C01"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Pr>
          <w:p w14:paraId="2F9BE0DB"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0A0DF7C5"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54E6FB9C"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7BE0D08A" w14:textId="77777777" w:rsidTr="008F6C62">
        <w:trPr>
          <w:trHeight w:val="317"/>
        </w:trPr>
        <w:tc>
          <w:tcPr>
            <w:tcW w:w="2376" w:type="dxa"/>
          </w:tcPr>
          <w:p w14:paraId="4E530F78"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23</w:t>
            </w:r>
          </w:p>
        </w:tc>
        <w:tc>
          <w:tcPr>
            <w:tcW w:w="1418" w:type="dxa"/>
          </w:tcPr>
          <w:p w14:paraId="63853C4B"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0.450</w:t>
            </w:r>
          </w:p>
        </w:tc>
        <w:tc>
          <w:tcPr>
            <w:tcW w:w="1984" w:type="dxa"/>
          </w:tcPr>
          <w:p w14:paraId="0966F0F3"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0.147</w:t>
            </w:r>
          </w:p>
        </w:tc>
        <w:tc>
          <w:tcPr>
            <w:tcW w:w="1560" w:type="dxa"/>
          </w:tcPr>
          <w:p w14:paraId="4D365CBD"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1.379</w:t>
            </w:r>
          </w:p>
        </w:tc>
        <w:tc>
          <w:tcPr>
            <w:tcW w:w="1559" w:type="dxa"/>
          </w:tcPr>
          <w:p w14:paraId="39909CEC"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0.162</w:t>
            </w:r>
          </w:p>
        </w:tc>
      </w:tr>
      <w:tr w:rsidR="00A23B67" w:rsidRPr="006F279E" w14:paraId="41C55A92" w14:textId="77777777" w:rsidTr="008F6C62">
        <w:trPr>
          <w:trHeight w:val="285"/>
        </w:trPr>
        <w:tc>
          <w:tcPr>
            <w:tcW w:w="2376" w:type="dxa"/>
          </w:tcPr>
          <w:p w14:paraId="7AAD30EB"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23</w:t>
            </w:r>
          </w:p>
        </w:tc>
        <w:tc>
          <w:tcPr>
            <w:tcW w:w="1418" w:type="dxa"/>
          </w:tcPr>
          <w:p w14:paraId="613AB210"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1984" w:type="dxa"/>
          </w:tcPr>
          <w:p w14:paraId="23CDF20C"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2ECB6EDB"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4D689FC0"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2FB0878" w14:textId="77777777" w:rsidTr="008F6C62">
        <w:trPr>
          <w:trHeight w:hRule="exact" w:val="389"/>
        </w:trPr>
        <w:tc>
          <w:tcPr>
            <w:tcW w:w="2376" w:type="dxa"/>
          </w:tcPr>
          <w:p w14:paraId="4B307A5D"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Operation time</w:t>
            </w:r>
          </w:p>
        </w:tc>
        <w:tc>
          <w:tcPr>
            <w:tcW w:w="1418" w:type="dxa"/>
          </w:tcPr>
          <w:p w14:paraId="1DD32E22"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Pr>
          <w:p w14:paraId="499D9ADA"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3E4A887E"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4C6327CF"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4FD5FFB" w14:textId="77777777" w:rsidTr="008F6C62">
        <w:trPr>
          <w:trHeight w:hRule="exact" w:val="399"/>
        </w:trPr>
        <w:tc>
          <w:tcPr>
            <w:tcW w:w="2376" w:type="dxa"/>
          </w:tcPr>
          <w:p w14:paraId="43809605"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7 h</w:t>
            </w:r>
          </w:p>
        </w:tc>
        <w:tc>
          <w:tcPr>
            <w:tcW w:w="1418" w:type="dxa"/>
          </w:tcPr>
          <w:p w14:paraId="37082106"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3.206</w:t>
            </w:r>
          </w:p>
        </w:tc>
        <w:tc>
          <w:tcPr>
            <w:tcW w:w="1984" w:type="dxa"/>
          </w:tcPr>
          <w:p w14:paraId="4DE7A989"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0.329</w:t>
            </w:r>
          </w:p>
        </w:tc>
        <w:tc>
          <w:tcPr>
            <w:tcW w:w="1560" w:type="dxa"/>
          </w:tcPr>
          <w:p w14:paraId="4B5FDC1D"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31.226</w:t>
            </w:r>
          </w:p>
        </w:tc>
        <w:tc>
          <w:tcPr>
            <w:tcW w:w="1559" w:type="dxa"/>
          </w:tcPr>
          <w:p w14:paraId="378C1B3A"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0.316</w:t>
            </w:r>
          </w:p>
        </w:tc>
      </w:tr>
      <w:tr w:rsidR="00A23B67" w:rsidRPr="006F279E" w14:paraId="653BEC82" w14:textId="77777777" w:rsidTr="008F6C62">
        <w:trPr>
          <w:trHeight w:hRule="exact" w:val="431"/>
        </w:trPr>
        <w:tc>
          <w:tcPr>
            <w:tcW w:w="2376" w:type="dxa"/>
          </w:tcPr>
          <w:p w14:paraId="5757E6D7"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7 h</w:t>
            </w:r>
          </w:p>
        </w:tc>
        <w:tc>
          <w:tcPr>
            <w:tcW w:w="1418" w:type="dxa"/>
          </w:tcPr>
          <w:p w14:paraId="623FAAF5"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1984" w:type="dxa"/>
          </w:tcPr>
          <w:p w14:paraId="3F8E6593"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54DB99CF"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07A87923"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05BAB700" w14:textId="77777777" w:rsidTr="008F6C62">
        <w:trPr>
          <w:trHeight w:val="274"/>
        </w:trPr>
        <w:tc>
          <w:tcPr>
            <w:tcW w:w="2376" w:type="dxa"/>
          </w:tcPr>
          <w:p w14:paraId="46ED2B4A"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History of abdominal surgery</w:t>
            </w:r>
          </w:p>
        </w:tc>
        <w:tc>
          <w:tcPr>
            <w:tcW w:w="1418" w:type="dxa"/>
          </w:tcPr>
          <w:p w14:paraId="13A29D96"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Pr>
          <w:p w14:paraId="608445F4"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4D7C7FE6"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3C4387BA"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1B02ADB" w14:textId="77777777" w:rsidTr="008F6C62">
        <w:trPr>
          <w:trHeight w:hRule="exact" w:val="350"/>
        </w:trPr>
        <w:tc>
          <w:tcPr>
            <w:tcW w:w="2376" w:type="dxa"/>
          </w:tcPr>
          <w:p w14:paraId="670B38F7"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1418" w:type="dxa"/>
          </w:tcPr>
          <w:p w14:paraId="34953DE3"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0.787</w:t>
            </w:r>
          </w:p>
        </w:tc>
        <w:tc>
          <w:tcPr>
            <w:tcW w:w="1984" w:type="dxa"/>
          </w:tcPr>
          <w:p w14:paraId="5C74055B"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0.175</w:t>
            </w:r>
          </w:p>
        </w:tc>
        <w:tc>
          <w:tcPr>
            <w:tcW w:w="1560" w:type="dxa"/>
          </w:tcPr>
          <w:p w14:paraId="69FE505E"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3.538</w:t>
            </w:r>
          </w:p>
        </w:tc>
        <w:tc>
          <w:tcPr>
            <w:tcW w:w="1559" w:type="dxa"/>
          </w:tcPr>
          <w:p w14:paraId="5C5E1DF5"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0.755</w:t>
            </w:r>
          </w:p>
        </w:tc>
      </w:tr>
      <w:tr w:rsidR="00A23B67" w:rsidRPr="006F279E" w14:paraId="3BA93125" w14:textId="77777777" w:rsidTr="008F6C62">
        <w:trPr>
          <w:trHeight w:hRule="exact" w:val="427"/>
        </w:trPr>
        <w:tc>
          <w:tcPr>
            <w:tcW w:w="2376" w:type="dxa"/>
          </w:tcPr>
          <w:p w14:paraId="7E68C7C8"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1418" w:type="dxa"/>
          </w:tcPr>
          <w:p w14:paraId="14C534A7"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1984" w:type="dxa"/>
          </w:tcPr>
          <w:p w14:paraId="6C819AD8"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431E48CE"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7BDBD5E2"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F138952" w14:textId="77777777" w:rsidTr="008F6C62">
        <w:trPr>
          <w:trHeight w:val="275"/>
        </w:trPr>
        <w:tc>
          <w:tcPr>
            <w:tcW w:w="2376" w:type="dxa"/>
          </w:tcPr>
          <w:p w14:paraId="64CF1D99"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History of chemotherapy</w:t>
            </w:r>
          </w:p>
        </w:tc>
        <w:tc>
          <w:tcPr>
            <w:tcW w:w="1418" w:type="dxa"/>
          </w:tcPr>
          <w:p w14:paraId="78AF6985"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Pr>
          <w:p w14:paraId="7C700594"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7092FF1D"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52520195"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64B49710" w14:textId="77777777" w:rsidTr="008F6C62">
        <w:trPr>
          <w:trHeight w:hRule="exact" w:val="373"/>
        </w:trPr>
        <w:tc>
          <w:tcPr>
            <w:tcW w:w="2376" w:type="dxa"/>
          </w:tcPr>
          <w:p w14:paraId="1B87E09D" w14:textId="25099E05"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7 cycles</w:t>
            </w:r>
          </w:p>
        </w:tc>
        <w:tc>
          <w:tcPr>
            <w:tcW w:w="1418" w:type="dxa"/>
          </w:tcPr>
          <w:p w14:paraId="46C0A7FF"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0.301</w:t>
            </w:r>
          </w:p>
        </w:tc>
        <w:tc>
          <w:tcPr>
            <w:tcW w:w="1984" w:type="dxa"/>
          </w:tcPr>
          <w:p w14:paraId="67F9CDFB"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0.078</w:t>
            </w:r>
          </w:p>
        </w:tc>
        <w:tc>
          <w:tcPr>
            <w:tcW w:w="1560" w:type="dxa"/>
          </w:tcPr>
          <w:p w14:paraId="7560090C"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1.167</w:t>
            </w:r>
          </w:p>
        </w:tc>
        <w:tc>
          <w:tcPr>
            <w:tcW w:w="1559" w:type="dxa"/>
          </w:tcPr>
          <w:p w14:paraId="0047FCA9"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0.082</w:t>
            </w:r>
          </w:p>
        </w:tc>
      </w:tr>
      <w:tr w:rsidR="00A23B67" w:rsidRPr="006F279E" w14:paraId="231D6FB9" w14:textId="77777777" w:rsidTr="008F6C62">
        <w:trPr>
          <w:trHeight w:val="425"/>
        </w:trPr>
        <w:tc>
          <w:tcPr>
            <w:tcW w:w="2376" w:type="dxa"/>
          </w:tcPr>
          <w:p w14:paraId="7F143F70"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7 cycles</w:t>
            </w:r>
          </w:p>
        </w:tc>
        <w:tc>
          <w:tcPr>
            <w:tcW w:w="1418" w:type="dxa"/>
          </w:tcPr>
          <w:p w14:paraId="46D2B93A"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1984" w:type="dxa"/>
          </w:tcPr>
          <w:p w14:paraId="1D18C48F"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5A39574C"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64D6E509"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bl>
    <w:p w14:paraId="707C03A7" w14:textId="2CC1809E" w:rsidR="00A77B3E" w:rsidRPr="006F279E" w:rsidRDefault="006F279E" w:rsidP="00A72E25">
      <w:pPr>
        <w:adjustRightInd w:val="0"/>
        <w:snapToGrid w:val="0"/>
        <w:spacing w:line="360" w:lineRule="auto"/>
        <w:jc w:val="both"/>
        <w:rPr>
          <w:rFonts w:ascii="Book Antiqua" w:hAnsi="Book Antiqua"/>
        </w:rPr>
      </w:pPr>
      <w:r w:rsidRPr="006F279E">
        <w:rPr>
          <w:rFonts w:ascii="Book Antiqua" w:hAnsi="Book Antiqua"/>
        </w:rPr>
        <w:t xml:space="preserve">BMI: </w:t>
      </w:r>
      <w:r w:rsidRPr="006F279E">
        <w:rPr>
          <w:rFonts w:ascii="Book Antiqua" w:eastAsia="Book Antiqua" w:hAnsi="Book Antiqua" w:cs="Book Antiqua"/>
          <w:color w:val="000000"/>
        </w:rPr>
        <w:t>Body mass index.</w:t>
      </w:r>
    </w:p>
    <w:sectPr w:rsidR="00A77B3E" w:rsidRPr="006F279E" w:rsidSect="00E06D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9C715" w14:textId="77777777" w:rsidR="00192CB9" w:rsidRPr="006F279E" w:rsidRDefault="00192CB9">
      <w:r w:rsidRPr="006F279E">
        <w:separator/>
      </w:r>
    </w:p>
  </w:endnote>
  <w:endnote w:type="continuationSeparator" w:id="0">
    <w:p w14:paraId="071CD6A4" w14:textId="77777777" w:rsidR="00192CB9" w:rsidRPr="006F279E" w:rsidRDefault="00192CB9">
      <w:r w:rsidRPr="006F279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09491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143EF7C" w14:textId="7AAB5686" w:rsidR="007F1DBB" w:rsidRPr="00C07246" w:rsidRDefault="007F1DBB">
            <w:pPr>
              <w:pStyle w:val="Footer"/>
              <w:jc w:val="right"/>
              <w:rPr>
                <w:rFonts w:ascii="Book Antiqua" w:hAnsi="Book Antiqua"/>
                <w:sz w:val="24"/>
                <w:szCs w:val="24"/>
              </w:rPr>
            </w:pPr>
            <w:r w:rsidRPr="00C07246">
              <w:rPr>
                <w:rFonts w:ascii="Book Antiqua" w:hAnsi="Book Antiqua"/>
                <w:sz w:val="24"/>
                <w:szCs w:val="24"/>
              </w:rPr>
              <w:fldChar w:fldCharType="begin"/>
            </w:r>
            <w:r w:rsidRPr="00C07246">
              <w:rPr>
                <w:rFonts w:ascii="Book Antiqua" w:hAnsi="Book Antiqua"/>
                <w:sz w:val="24"/>
                <w:szCs w:val="24"/>
              </w:rPr>
              <w:instrText>PAGE</w:instrText>
            </w:r>
            <w:r w:rsidRPr="00C07246">
              <w:rPr>
                <w:rFonts w:ascii="Book Antiqua" w:hAnsi="Book Antiqua"/>
                <w:sz w:val="24"/>
                <w:szCs w:val="24"/>
              </w:rPr>
              <w:fldChar w:fldCharType="separate"/>
            </w:r>
            <w:r w:rsidRPr="00C07246">
              <w:rPr>
                <w:rFonts w:ascii="Book Antiqua" w:hAnsi="Book Antiqua"/>
                <w:noProof/>
                <w:sz w:val="24"/>
                <w:szCs w:val="24"/>
              </w:rPr>
              <w:t>23</w:t>
            </w:r>
            <w:r w:rsidRPr="00C07246">
              <w:rPr>
                <w:rFonts w:ascii="Book Antiqua" w:hAnsi="Book Antiqua"/>
                <w:sz w:val="24"/>
                <w:szCs w:val="24"/>
              </w:rPr>
              <w:fldChar w:fldCharType="end"/>
            </w:r>
            <w:r w:rsidR="0081497D">
              <w:rPr>
                <w:rFonts w:ascii="Book Antiqua" w:hAnsi="Book Antiqua"/>
                <w:sz w:val="24"/>
                <w:szCs w:val="24"/>
              </w:rPr>
              <w:t xml:space="preserve"> </w:t>
            </w:r>
            <w:r w:rsidRPr="00C07246">
              <w:rPr>
                <w:rFonts w:ascii="Book Antiqua" w:hAnsi="Book Antiqua"/>
                <w:sz w:val="24"/>
                <w:szCs w:val="24"/>
                <w:lang w:eastAsia="zh-CN"/>
              </w:rPr>
              <w:t>/</w:t>
            </w:r>
            <w:r w:rsidR="0081497D">
              <w:rPr>
                <w:rFonts w:ascii="Book Antiqua" w:hAnsi="Book Antiqua"/>
                <w:sz w:val="24"/>
                <w:szCs w:val="24"/>
                <w:lang w:eastAsia="zh-CN"/>
              </w:rPr>
              <w:t xml:space="preserve"> </w:t>
            </w:r>
            <w:r w:rsidRPr="00C07246">
              <w:rPr>
                <w:rFonts w:ascii="Book Antiqua" w:hAnsi="Book Antiqua"/>
                <w:sz w:val="24"/>
                <w:szCs w:val="24"/>
              </w:rPr>
              <w:fldChar w:fldCharType="begin"/>
            </w:r>
            <w:r w:rsidRPr="00C07246">
              <w:rPr>
                <w:rFonts w:ascii="Book Antiqua" w:hAnsi="Book Antiqua"/>
                <w:sz w:val="24"/>
                <w:szCs w:val="24"/>
              </w:rPr>
              <w:instrText>NUMPAGES</w:instrText>
            </w:r>
            <w:r w:rsidRPr="00C07246">
              <w:rPr>
                <w:rFonts w:ascii="Book Antiqua" w:hAnsi="Book Antiqua"/>
                <w:sz w:val="24"/>
                <w:szCs w:val="24"/>
              </w:rPr>
              <w:fldChar w:fldCharType="separate"/>
            </w:r>
            <w:r w:rsidRPr="00C07246">
              <w:rPr>
                <w:rFonts w:ascii="Book Antiqua" w:hAnsi="Book Antiqua"/>
                <w:noProof/>
                <w:sz w:val="24"/>
                <w:szCs w:val="24"/>
              </w:rPr>
              <w:t>24</w:t>
            </w:r>
            <w:r w:rsidRPr="00C07246">
              <w:rPr>
                <w:rFonts w:ascii="Book Antiqua" w:hAnsi="Book Antiqua"/>
                <w:sz w:val="24"/>
                <w:szCs w:val="24"/>
              </w:rPr>
              <w:fldChar w:fldCharType="end"/>
            </w:r>
          </w:p>
        </w:sdtContent>
      </w:sdt>
    </w:sdtContent>
  </w:sdt>
  <w:p w14:paraId="2B33E8DD" w14:textId="77777777" w:rsidR="007F1DBB" w:rsidRPr="006F279E" w:rsidRDefault="007F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9BD6B" w14:textId="77777777" w:rsidR="00192CB9" w:rsidRPr="006F279E" w:rsidRDefault="00192CB9">
      <w:r w:rsidRPr="006F279E">
        <w:separator/>
      </w:r>
    </w:p>
  </w:footnote>
  <w:footnote w:type="continuationSeparator" w:id="0">
    <w:p w14:paraId="725BA471" w14:textId="77777777" w:rsidR="00192CB9" w:rsidRPr="006F279E" w:rsidRDefault="00192CB9">
      <w:r w:rsidRPr="006F279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7220"/>
    <w:multiLevelType w:val="multilevel"/>
    <w:tmpl w:val="FDB4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6C3"/>
    <w:rsid w:val="000A038C"/>
    <w:rsid w:val="000A3E50"/>
    <w:rsid w:val="000B6E2D"/>
    <w:rsid w:val="000D6B34"/>
    <w:rsid w:val="000E60C4"/>
    <w:rsid w:val="0010296C"/>
    <w:rsid w:val="001428CD"/>
    <w:rsid w:val="00170208"/>
    <w:rsid w:val="001847B3"/>
    <w:rsid w:val="00192CB9"/>
    <w:rsid w:val="00192E23"/>
    <w:rsid w:val="001C6609"/>
    <w:rsid w:val="00222FD0"/>
    <w:rsid w:val="0022342F"/>
    <w:rsid w:val="0024578E"/>
    <w:rsid w:val="0025272D"/>
    <w:rsid w:val="002578F5"/>
    <w:rsid w:val="002641BD"/>
    <w:rsid w:val="00281124"/>
    <w:rsid w:val="0028481E"/>
    <w:rsid w:val="00286CCC"/>
    <w:rsid w:val="00296EF8"/>
    <w:rsid w:val="002C1617"/>
    <w:rsid w:val="002D5AA1"/>
    <w:rsid w:val="002F4382"/>
    <w:rsid w:val="00327547"/>
    <w:rsid w:val="003377DA"/>
    <w:rsid w:val="00393D3D"/>
    <w:rsid w:val="003A18D5"/>
    <w:rsid w:val="003B642A"/>
    <w:rsid w:val="003F5617"/>
    <w:rsid w:val="004064BB"/>
    <w:rsid w:val="00420659"/>
    <w:rsid w:val="00430BF9"/>
    <w:rsid w:val="00441CAD"/>
    <w:rsid w:val="0046370A"/>
    <w:rsid w:val="004A60F1"/>
    <w:rsid w:val="004B06F6"/>
    <w:rsid w:val="004B73F8"/>
    <w:rsid w:val="004C3C06"/>
    <w:rsid w:val="005369B6"/>
    <w:rsid w:val="00545F89"/>
    <w:rsid w:val="00565C5D"/>
    <w:rsid w:val="005B7D82"/>
    <w:rsid w:val="005C7ADC"/>
    <w:rsid w:val="006179D3"/>
    <w:rsid w:val="00643301"/>
    <w:rsid w:val="00644A2A"/>
    <w:rsid w:val="00685078"/>
    <w:rsid w:val="006E4C8E"/>
    <w:rsid w:val="006F279E"/>
    <w:rsid w:val="007216AF"/>
    <w:rsid w:val="0073404F"/>
    <w:rsid w:val="00755F91"/>
    <w:rsid w:val="00767D13"/>
    <w:rsid w:val="00776D81"/>
    <w:rsid w:val="007F1DBB"/>
    <w:rsid w:val="00810107"/>
    <w:rsid w:val="0081497D"/>
    <w:rsid w:val="0087750B"/>
    <w:rsid w:val="00892D63"/>
    <w:rsid w:val="008A414E"/>
    <w:rsid w:val="008C4EBA"/>
    <w:rsid w:val="008E2D17"/>
    <w:rsid w:val="008F6C62"/>
    <w:rsid w:val="009031E0"/>
    <w:rsid w:val="00940BE2"/>
    <w:rsid w:val="009645D2"/>
    <w:rsid w:val="00972554"/>
    <w:rsid w:val="0098655F"/>
    <w:rsid w:val="009B5600"/>
    <w:rsid w:val="009E6461"/>
    <w:rsid w:val="00A23B67"/>
    <w:rsid w:val="00A24090"/>
    <w:rsid w:val="00A36BFB"/>
    <w:rsid w:val="00A40F91"/>
    <w:rsid w:val="00A71578"/>
    <w:rsid w:val="00A72E25"/>
    <w:rsid w:val="00A75D39"/>
    <w:rsid w:val="00A77B3E"/>
    <w:rsid w:val="00AC5064"/>
    <w:rsid w:val="00AC50FC"/>
    <w:rsid w:val="00AD71EB"/>
    <w:rsid w:val="00B04E3D"/>
    <w:rsid w:val="00B06C16"/>
    <w:rsid w:val="00B32B05"/>
    <w:rsid w:val="00B331DD"/>
    <w:rsid w:val="00B54633"/>
    <w:rsid w:val="00B547BA"/>
    <w:rsid w:val="00B77379"/>
    <w:rsid w:val="00B875F9"/>
    <w:rsid w:val="00B93576"/>
    <w:rsid w:val="00B96855"/>
    <w:rsid w:val="00C040DA"/>
    <w:rsid w:val="00C07246"/>
    <w:rsid w:val="00C24790"/>
    <w:rsid w:val="00C4338F"/>
    <w:rsid w:val="00CA28E5"/>
    <w:rsid w:val="00CA2A55"/>
    <w:rsid w:val="00CD3889"/>
    <w:rsid w:val="00CF469E"/>
    <w:rsid w:val="00D10A3D"/>
    <w:rsid w:val="00D163F4"/>
    <w:rsid w:val="00D7660F"/>
    <w:rsid w:val="00E06D51"/>
    <w:rsid w:val="00E3299D"/>
    <w:rsid w:val="00E71FB2"/>
    <w:rsid w:val="00E97357"/>
    <w:rsid w:val="00EB6AF5"/>
    <w:rsid w:val="00F079FE"/>
    <w:rsid w:val="00F16F88"/>
    <w:rsid w:val="00F3426A"/>
    <w:rsid w:val="00F35BFE"/>
    <w:rsid w:val="00F643D9"/>
    <w:rsid w:val="00F64496"/>
    <w:rsid w:val="00F874C6"/>
    <w:rsid w:val="00FA79AA"/>
    <w:rsid w:val="00FC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B1C8A"/>
  <w15:docId w15:val="{5F6DCAC4-3F4E-41D0-9859-ED9BEF49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D1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C5C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C5CE8"/>
    <w:rPr>
      <w:sz w:val="18"/>
      <w:szCs w:val="18"/>
    </w:rPr>
  </w:style>
  <w:style w:type="paragraph" w:styleId="Footer">
    <w:name w:val="footer"/>
    <w:basedOn w:val="Normal"/>
    <w:link w:val="FooterChar"/>
    <w:uiPriority w:val="99"/>
    <w:unhideWhenUsed/>
    <w:rsid w:val="00FC5CE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C5CE8"/>
    <w:rPr>
      <w:sz w:val="18"/>
      <w:szCs w:val="18"/>
    </w:rPr>
  </w:style>
  <w:style w:type="paragraph" w:styleId="BalloonText">
    <w:name w:val="Balloon Text"/>
    <w:basedOn w:val="Normal"/>
    <w:link w:val="BalloonTextChar"/>
    <w:rsid w:val="00776D81"/>
    <w:rPr>
      <w:sz w:val="18"/>
      <w:szCs w:val="18"/>
    </w:rPr>
  </w:style>
  <w:style w:type="character" w:customStyle="1" w:styleId="BalloonTextChar">
    <w:name w:val="Balloon Text Char"/>
    <w:basedOn w:val="DefaultParagraphFont"/>
    <w:link w:val="BalloonText"/>
    <w:rsid w:val="00776D81"/>
    <w:rPr>
      <w:sz w:val="18"/>
      <w:szCs w:val="18"/>
    </w:rPr>
  </w:style>
  <w:style w:type="character" w:styleId="CommentReference">
    <w:name w:val="annotation reference"/>
    <w:basedOn w:val="DefaultParagraphFont"/>
    <w:uiPriority w:val="99"/>
    <w:rsid w:val="000F3DF7"/>
    <w:rPr>
      <w:rFonts w:ascii="Tahoma" w:hAnsi="Tahoma" w:cs="Tahoma"/>
      <w:b w:val="0"/>
      <w:i w:val="0"/>
      <w:caps w:val="0"/>
      <w:strike w:val="0"/>
      <w:sz w:val="16"/>
      <w:szCs w:val="16"/>
      <w:u w:val="none"/>
    </w:rPr>
  </w:style>
  <w:style w:type="paragraph" w:styleId="CommentText">
    <w:name w:val="annotation text"/>
    <w:basedOn w:val="Normal"/>
    <w:link w:val="CommentTextChar"/>
    <w:semiHidden/>
    <w:unhideWhenUsed/>
    <w:rPr>
      <w:rFonts w:ascii="Tahoma" w:hAnsi="Tahoma" w:cs="Tahoma"/>
      <w:sz w:val="16"/>
      <w:szCs w:val="20"/>
    </w:rPr>
  </w:style>
  <w:style w:type="character" w:customStyle="1" w:styleId="CommentTextChar">
    <w:name w:val="Comment Text Char"/>
    <w:basedOn w:val="DefaultParagraphFont"/>
    <w:link w:val="CommentText"/>
    <w:semiHidden/>
    <w:rPr>
      <w:rFonts w:ascii="Tahoma" w:hAnsi="Tahoma" w:cs="Tahoma"/>
      <w:sz w:val="16"/>
    </w:rPr>
  </w:style>
  <w:style w:type="paragraph" w:styleId="CommentSubject">
    <w:name w:val="annotation subject"/>
    <w:basedOn w:val="CommentText"/>
    <w:next w:val="CommentText"/>
    <w:link w:val="CommentSubjectChar"/>
    <w:semiHidden/>
    <w:unhideWhenUsed/>
    <w:rsid w:val="006F279E"/>
    <w:rPr>
      <w:b/>
      <w:bCs/>
    </w:rPr>
  </w:style>
  <w:style w:type="character" w:customStyle="1" w:styleId="CommentSubjectChar">
    <w:name w:val="Comment Subject Char"/>
    <w:basedOn w:val="CommentTextChar"/>
    <w:link w:val="CommentSubject"/>
    <w:semiHidden/>
    <w:rsid w:val="006F279E"/>
    <w:rPr>
      <w:rFonts w:ascii="Tahoma" w:hAnsi="Tahoma" w:cs="Tahoma"/>
      <w:b/>
      <w:bCs/>
      <w:sz w:val="16"/>
    </w:rPr>
  </w:style>
  <w:style w:type="paragraph" w:styleId="Revision">
    <w:name w:val="Revision"/>
    <w:hidden/>
    <w:uiPriority w:val="99"/>
    <w:semiHidden/>
    <w:rsid w:val="004A60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footer" Target="footer1.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4406</Words>
  <Characters>26085</Characters>
  <Application>Microsoft Office Word</Application>
  <DocSecurity>0</DocSecurity>
  <Lines>401</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2021-04-26T09:27:00Z</dcterms:created>
  <dcterms:modified xsi:type="dcterms:W3CDTF">2021-04-26T09:27:00Z</dcterms:modified>
</cp:coreProperties>
</file>