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B81E" w14:textId="2A9CDBC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Name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Journal: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World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Journal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Gastrointestinal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Endoscopy</w:t>
      </w:r>
    </w:p>
    <w:p w14:paraId="55AA3AC7" w14:textId="03D9671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Manuscript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NO: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61572</w:t>
      </w:r>
    </w:p>
    <w:p w14:paraId="7E9DC300" w14:textId="0808683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Manuscript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Type: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</w:p>
    <w:p w14:paraId="054EC79F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4CD28A" w14:textId="3B68742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cholecystectomy</w:t>
      </w:r>
    </w:p>
    <w:p w14:paraId="3035BF51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94F55" w14:textId="4807B91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Asaad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</w:p>
    <w:bookmarkEnd w:id="0"/>
    <w:bookmarkEnd w:id="1"/>
    <w:p w14:paraId="2F653F9B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45DAF9" w14:textId="3173EC1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Peter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Asaad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Adam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O’Connor,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Shahab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Shahin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</w:p>
    <w:p w14:paraId="44EE6F1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2920D3" w14:textId="20E275D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Asaad,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Department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Colorectal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Wythenshawe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Hospital,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Manchester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M23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9LT,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</w:t>
      </w:r>
    </w:p>
    <w:p w14:paraId="66DCF31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670BFB" w14:textId="13A00E6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O’Connor,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Department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Royal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Blackburn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Hospital,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Blackburn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BB2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3HH,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</w:t>
      </w:r>
    </w:p>
    <w:p w14:paraId="1D43665D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BAD0E2" w14:textId="2FB5C35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Shahab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Department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Glan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Clwyd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Hospital,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Rhyl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LL18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5UJ,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</w:t>
      </w:r>
    </w:p>
    <w:p w14:paraId="42EC3270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57BF56" w14:textId="559C4A1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Shahin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Department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Wye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Valley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NHS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Trust,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Hereford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HR1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</w:t>
      </w:r>
    </w:p>
    <w:p w14:paraId="13543F7B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140144" w14:textId="04723E9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Asaad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59C8" w:rsidRPr="00433250">
        <w:rPr>
          <w:rFonts w:ascii="Book Antiqua" w:eastAsia="Book Antiqua" w:hAnsi="Book Antiqua" w:cs="Book Antiqua"/>
          <w:color w:val="000000"/>
        </w:rPr>
        <w:t>Shahi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designed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Asaad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O’Connor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59C8" w:rsidRPr="00433250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collected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7F3E" w:rsidRPr="00433250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7F3E" w:rsidRPr="00433250">
        <w:rPr>
          <w:rFonts w:ascii="Book Antiqua" w:eastAsia="Book Antiqua" w:hAnsi="Book Antiqua" w:cs="Book Antiqua"/>
          <w:color w:val="000000"/>
        </w:rPr>
        <w:t>Shahi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interpreted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433250">
        <w:rPr>
          <w:rFonts w:ascii="Book Antiqua" w:eastAsia="Book Antiqua" w:hAnsi="Book Antiqua" w:cs="Book Antiqua"/>
          <w:color w:val="000000"/>
        </w:rPr>
        <w:t>Shahi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statistical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Asaad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433250">
        <w:rPr>
          <w:rFonts w:ascii="Book Antiqua" w:eastAsia="Book Antiqua" w:hAnsi="Book Antiqua" w:cs="Book Antiqua"/>
          <w:color w:val="000000"/>
        </w:rPr>
        <w:t>Shahi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wrote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DB7F3E" w:rsidRPr="00433250">
        <w:rPr>
          <w:rFonts w:ascii="Book Antiqua" w:eastAsia="Book Antiqua" w:hAnsi="Book Antiqua" w:cs="Book Antiqua"/>
          <w:color w:val="000000"/>
        </w:rPr>
        <w:t>a</w:t>
      </w:r>
      <w:r w:rsidRPr="00433250">
        <w:rPr>
          <w:rFonts w:ascii="Book Antiqua" w:eastAsia="Book Antiqua" w:hAnsi="Book Antiqua" w:cs="Book Antiqua"/>
          <w:color w:val="000000"/>
        </w:rPr>
        <w:t>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critically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approval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article.</w:t>
      </w:r>
    </w:p>
    <w:p w14:paraId="74814E4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A55CC1" w14:textId="2022E66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Shahin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Department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Wye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Valley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NHS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Trust,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Hereford,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Hereford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HR1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shahin_hajibandeh@yahoo.com</w:t>
      </w:r>
    </w:p>
    <w:p w14:paraId="25E412EF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B724DB" w14:textId="466CDBB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December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2020</w:t>
      </w:r>
    </w:p>
    <w:p w14:paraId="420DAAB8" w14:textId="512A575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February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2021</w:t>
      </w:r>
    </w:p>
    <w:p w14:paraId="215B216C" w14:textId="49B2F19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0CD2" w:rsidRPr="00433250">
        <w:rPr>
          <w:rFonts w:ascii="Book Antiqua" w:eastAsia="Book Antiqua" w:hAnsi="Book Antiqua" w:cs="Book Antiqua"/>
          <w:color w:val="000000"/>
        </w:rPr>
        <w:t>April 11, 2021</w:t>
      </w:r>
    </w:p>
    <w:p w14:paraId="2334EE1B" w14:textId="6348CFEB" w:rsidR="00A478BE" w:rsidRPr="00433250" w:rsidRDefault="0060315B" w:rsidP="00A478B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78BE" w:rsidRPr="00433250">
        <w:rPr>
          <w:rFonts w:ascii="Book Antiqua" w:hAnsi="Book Antiqua"/>
          <w:color w:val="000000"/>
          <w:shd w:val="clear" w:color="auto" w:fill="FFFFFF"/>
        </w:rPr>
        <w:t>May 16</w:t>
      </w:r>
      <w:r w:rsidR="00A478BE" w:rsidRPr="00433250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39EDFF1C" w14:textId="77777777" w:rsidR="00A478BE" w:rsidRPr="00433250" w:rsidRDefault="00A478BE" w:rsidP="00A478B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A60AFAF" w14:textId="77777777" w:rsidR="00A478BE" w:rsidRPr="00433250" w:rsidRDefault="00A478BE" w:rsidP="00A478B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0540E01" w14:textId="409F4A31" w:rsidR="007D01B9" w:rsidRPr="00433250" w:rsidRDefault="007D01B9" w:rsidP="00A478B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br w:type="page"/>
      </w:r>
    </w:p>
    <w:p w14:paraId="1FE76921" w14:textId="4EFBE38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B8EC43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BACKGROUND</w:t>
      </w:r>
    </w:p>
    <w:p w14:paraId="504C6E93" w14:textId="141FAD22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effort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morbidity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mortality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profile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context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combining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technique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earlier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ambulation.</w:t>
      </w:r>
    </w:p>
    <w:p w14:paraId="1F3AEC00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7C7360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AIM</w:t>
      </w:r>
    </w:p>
    <w:p w14:paraId="6B62E644" w14:textId="7473D405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(GA)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</w:p>
    <w:p w14:paraId="4C28A7F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C1039A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METHODS</w:t>
      </w:r>
    </w:p>
    <w:p w14:paraId="5DB4065B" w14:textId="0A85207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comprehensive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subsequent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Preferred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Items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standards</w:t>
      </w:r>
      <w:r w:rsidR="00C97BFB" w:rsidRPr="00433250">
        <w:rPr>
          <w:rFonts w:ascii="Book Antiqua" w:eastAsia="Book Antiqua" w:hAnsi="Book Antiqua" w:cs="Book Antiqua"/>
          <w:color w:val="000000"/>
        </w:rPr>
        <w:t>.</w:t>
      </w:r>
    </w:p>
    <w:p w14:paraId="5E64C1F9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726365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RESULTS</w:t>
      </w:r>
    </w:p>
    <w:p w14:paraId="715BEFC8" w14:textId="69B2EF7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13"/>
      <w:bookmarkStart w:id="3" w:name="OLE_LINK14"/>
      <w:r w:rsidRPr="00433250">
        <w:rPr>
          <w:rFonts w:ascii="Book Antiqua" w:eastAsia="Book Antiqua" w:hAnsi="Book Antiqua" w:cs="Book Antiqua"/>
          <w:color w:val="000000"/>
        </w:rPr>
        <w:t>Thirteen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enrolling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populations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0.41),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0.98)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0.24).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conversion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2.3%.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2.22,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0.00001],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-1.53,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0.0006),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-2.08,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-0.90,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ratio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0.0001].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4.69,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2.73,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outcomes,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exception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</w:p>
    <w:bookmarkEnd w:id="2"/>
    <w:bookmarkEnd w:id="3"/>
    <w:p w14:paraId="6F0AC08B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897C20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CONCLUSION</w:t>
      </w:r>
    </w:p>
    <w:p w14:paraId="576B9331" w14:textId="5A056845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OLE_LINK15"/>
      <w:bookmarkStart w:id="5" w:name="OLE_LINK16"/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attractive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</w:t>
      </w:r>
      <w:r w:rsidR="007D01B9" w:rsidRPr="00433250">
        <w:rPr>
          <w:rFonts w:ascii="Book Antiqua" w:eastAsia="Book Antiqua" w:hAnsi="Book Antiqua" w:cs="Book Antiqua"/>
          <w:color w:val="000000"/>
        </w:rPr>
        <w:t>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433250">
        <w:rPr>
          <w:rFonts w:ascii="Book Antiqua" w:eastAsia="Book Antiqua" w:hAnsi="Book Antiqua" w:cs="Book Antiqua"/>
          <w:color w:val="000000"/>
        </w:rPr>
        <w:t>it</w:t>
      </w:r>
      <w:r w:rsidR="00D24099" w:rsidRPr="00433250">
        <w:rPr>
          <w:rFonts w:ascii="Book Antiqua" w:eastAsia="Book Antiqua" w:hAnsi="Book Antiqua" w:cs="Book Antiqua"/>
          <w:color w:val="000000"/>
        </w:rPr>
        <w:t>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knowledge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procedure-related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justify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</w:p>
    <w:bookmarkEnd w:id="4"/>
    <w:bookmarkEnd w:id="5"/>
    <w:p w14:paraId="54FAA826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11A27B" w14:textId="58E1CED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Laparoscopy;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Level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</w:p>
    <w:p w14:paraId="52931902" w14:textId="77777777" w:rsidR="0032709C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8FAF030" w14:textId="77777777" w:rsidR="00131FFF" w:rsidRDefault="00131FFF" w:rsidP="00131F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176E77A" w14:textId="77777777" w:rsidR="00131FFF" w:rsidRPr="00433250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4EA3DDC" w14:textId="50FE394A" w:rsidR="00131FFF" w:rsidRP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6" w:name="OLE_LINK22"/>
      <w:bookmarkStart w:id="7" w:name="OLE_LINK23"/>
      <w:r w:rsidRPr="00131FFF">
        <w:rPr>
          <w:rFonts w:ascii="Book Antiqua" w:eastAsia="Book Antiqua" w:hAnsi="Book Antiqua" w:cs="Book Antiqua" w:hint="eastAsia"/>
          <w:b/>
          <w:color w:val="000000"/>
        </w:rPr>
        <w:t>Citation:</w:t>
      </w:r>
      <w:r>
        <w:rPr>
          <w:rFonts w:asciiTheme="minorEastAsia" w:hAnsiTheme="minorEastAsia" w:cs="Book Antiqua" w:hint="eastAsia"/>
          <w:color w:val="000000"/>
          <w:lang w:eastAsia="zh-CN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Asaad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 xml:space="preserve"> P, O’Connor A,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 xml:space="preserve"> S. Meta-analysis and trial sequential analysis of randomized evidence comparing general anesthesia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433250">
        <w:rPr>
          <w:rFonts w:ascii="Book Antiqua" w:eastAsia="Book Antiqua" w:hAnsi="Book Antiqua" w:cs="Book Antiqua"/>
          <w:color w:val="000000"/>
        </w:rPr>
        <w:t xml:space="preserve"> regional anesthesia for laparoscopic cholecystectomy.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 xml:space="preserve"> 2021; 1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3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5</w:t>
      </w:r>
      <w:r w:rsidRPr="00433250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137</w:t>
      </w:r>
      <w:r w:rsidRPr="0043325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154</w:t>
      </w:r>
    </w:p>
    <w:p w14:paraId="7A34698E" w14:textId="62A592E2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31FFF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433250">
        <w:rPr>
          <w:rFonts w:ascii="Book Antiqua" w:eastAsia="Book Antiqua" w:hAnsi="Book Antiqua" w:cs="Book Antiqua"/>
          <w:color w:val="000000"/>
        </w:rPr>
        <w:t>https://www.wjgnet.com/1948-5190/full/v1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3</w:t>
      </w:r>
      <w:r w:rsidRPr="00433250">
        <w:rPr>
          <w:rFonts w:ascii="Book Antiqua" w:eastAsia="Book Antiqua" w:hAnsi="Book Antiqua" w:cs="Book Antiqua"/>
          <w:color w:val="000000"/>
        </w:rPr>
        <w:t>/i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5</w:t>
      </w:r>
      <w:r w:rsidRPr="00433250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hAnsi="Book Antiqua" w:cs="Book Antiqua" w:hint="eastAsia"/>
          <w:color w:val="000000"/>
          <w:lang w:eastAsia="zh-CN"/>
        </w:rPr>
        <w:t>137</w:t>
      </w:r>
      <w:r w:rsidRPr="00433250">
        <w:rPr>
          <w:rFonts w:ascii="Book Antiqua" w:eastAsia="Book Antiqua" w:hAnsi="Book Antiqua" w:cs="Book Antiqua"/>
          <w:color w:val="000000"/>
        </w:rPr>
        <w:t xml:space="preserve">.htm  </w:t>
      </w:r>
    </w:p>
    <w:p w14:paraId="725907F5" w14:textId="58225E6E" w:rsidR="00131FFF" w:rsidRP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131FFF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433250">
        <w:rPr>
          <w:rFonts w:ascii="Book Antiqua" w:eastAsia="Book Antiqua" w:hAnsi="Book Antiqua" w:cs="Book Antiqua"/>
          <w:color w:val="000000"/>
        </w:rPr>
        <w:t>https://dx.doi.org/10.4253/wjge.v1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3</w:t>
      </w:r>
      <w:r w:rsidRPr="00433250">
        <w:rPr>
          <w:rFonts w:ascii="Book Antiqua" w:eastAsia="Book Antiqua" w:hAnsi="Book Antiqua" w:cs="Book Antiqua"/>
          <w:color w:val="000000"/>
        </w:rPr>
        <w:t>.i</w:t>
      </w:r>
      <w:r w:rsidRPr="00433250">
        <w:rPr>
          <w:rFonts w:ascii="Book Antiqua" w:hAnsi="Book Antiqua" w:cs="Book Antiqua" w:hint="eastAsia"/>
          <w:color w:val="000000"/>
          <w:lang w:eastAsia="zh-CN"/>
        </w:rPr>
        <w:t>5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 w:hint="eastAsia"/>
          <w:color w:val="000000"/>
          <w:lang w:eastAsia="zh-CN"/>
        </w:rPr>
        <w:t>137</w:t>
      </w:r>
    </w:p>
    <w:bookmarkEnd w:id="6"/>
    <w:bookmarkEnd w:id="7"/>
    <w:p w14:paraId="76E30DF8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9BCE9D" w14:textId="6712C0C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3"/>
      <w:bookmarkStart w:id="9" w:name="OLE_LINK4"/>
      <w:r w:rsidRPr="00433250">
        <w:rPr>
          <w:rFonts w:ascii="Book Antiqua" w:eastAsia="Book Antiqua" w:hAnsi="Book Antiqua" w:cs="Book Antiqua"/>
          <w:color w:val="000000"/>
        </w:rPr>
        <w:t>Despite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existence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solid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level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multiple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feasibility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knowledge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specific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hesitate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highlight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justify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</w:p>
    <w:bookmarkEnd w:id="8"/>
    <w:bookmarkEnd w:id="9"/>
    <w:p w14:paraId="1752500E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hAnsi="Book Antiqua"/>
        </w:rPr>
        <w:br w:type="page"/>
      </w:r>
    </w:p>
    <w:p w14:paraId="4BD5D5AB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572DDE1" w14:textId="306174E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7"/>
      <w:r w:rsidRPr="00433250">
        <w:rPr>
          <w:rFonts w:ascii="Book Antiqua" w:eastAsia="Book Antiqua" w:hAnsi="Book Antiqua" w:cs="Book Antiqua"/>
          <w:color w:val="000000"/>
        </w:rPr>
        <w:t>Gallstone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thought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occur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approximately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population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symptomatic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gold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standard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treatment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symptomatic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gallstone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procedures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shorter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length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hospital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quicker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recovery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traditional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approach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33250">
        <w:rPr>
          <w:rFonts w:ascii="Book Antiqua" w:eastAsia="Book Antiqua" w:hAnsi="Book Antiqua" w:cs="Book Antiqua"/>
          <w:color w:val="000000"/>
        </w:rPr>
        <w:t>.</w:t>
      </w:r>
    </w:p>
    <w:p w14:paraId="02B6FC00" w14:textId="7B36FC25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Traditionally,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carried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(GA).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argue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endotracheal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intubation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required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prevent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aspiration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respiratory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complications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pneumoperitoneum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Furthermore,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rapid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onset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stress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33250">
        <w:rPr>
          <w:rFonts w:ascii="Book Antiqua" w:eastAsia="Book Antiqua" w:hAnsi="Book Antiqua" w:cs="Book Antiqua"/>
          <w:color w:val="000000"/>
        </w:rPr>
        <w:t>.</w:t>
      </w:r>
    </w:p>
    <w:p w14:paraId="40EE37C2" w14:textId="4F6B5E20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effort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morbidity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mortality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profile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evaluated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(SA)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epidural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(EA),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confers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advantages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avoidance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paralytic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endotracheal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intubation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Although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combining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technique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appear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attractive,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it’s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currently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limited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Nevertheless,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neuraxial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decreases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thromboembolic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events,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myocardial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infarction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mortality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earlier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ambulation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0DDDEA52" w14:textId="19E937B8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purpose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comprehensive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current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literature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Furthermore,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aimed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robustness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0"/>
    <w:p w14:paraId="1572F1EE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B7FC64" w14:textId="0E3A21B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1D59C8"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D59C8"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E5A8CBA" w14:textId="5001607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1" w:name="OLE_LINK18"/>
      <w:bookmarkStart w:id="12" w:name="OLE_LINK20"/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62D593E9" w14:textId="1ABD877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highlighted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eligibility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criteria,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methods,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protocol.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carried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Preferred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Items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standards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33250">
        <w:rPr>
          <w:rFonts w:ascii="Book Antiqua" w:eastAsia="Book Antiqua" w:hAnsi="Book Antiqua" w:cs="Book Antiqua"/>
          <w:color w:val="000000"/>
        </w:rPr>
        <w:t>.</w:t>
      </w:r>
    </w:p>
    <w:p w14:paraId="36983167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7AC1B81" w14:textId="3C92369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0A7EA98" w14:textId="57D9DBA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(1)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(RCTs);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(2)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&gt;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years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gender;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(3)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(4)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</w:p>
    <w:p w14:paraId="74DFB50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5312928" w14:textId="4F00C75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A04CC5C" w14:textId="3F424CA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(1)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Observational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series,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letters;</w:t>
      </w:r>
      <w:r w:rsidR="001D59C8" w:rsidRPr="00433250">
        <w:rPr>
          <w:rFonts w:ascii="Book Antiqua" w:hAnsi="Book Antiqua"/>
          <w:lang w:eastAsia="zh-CN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(2)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hAnsi="Book Antiqua"/>
          <w:lang w:eastAsia="zh-CN"/>
        </w:rPr>
        <w:t>(3)</w:t>
      </w:r>
      <w:r w:rsidR="001D59C8" w:rsidRPr="00433250">
        <w:rPr>
          <w:rFonts w:ascii="Book Antiqua" w:hAnsi="Book Antiqua"/>
          <w:lang w:eastAsia="zh-CN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intraoperative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cholangiogram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exploration.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75209D51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401998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922CF15" w14:textId="2F6A13E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Primary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measures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intensity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visual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analogue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scale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(VAS)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intensity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described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standardi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scale.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inability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spontaneously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early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period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requiring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application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catheterization),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hypotension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&gt;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arterial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pressure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systolic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blood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pressure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mmHg)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parameters.</w:t>
      </w:r>
    </w:p>
    <w:p w14:paraId="276F4401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2909900" w14:textId="092C0E6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Literature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304A8F82" w14:textId="2EA18CD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</w:rPr>
      </w:pPr>
      <w:r w:rsidRPr="00433250">
        <w:rPr>
          <w:rFonts w:ascii="Book Antiqua" w:eastAsia="Book Antiqua" w:hAnsi="Book Antiqua" w:cs="Book Antiqua"/>
          <w:color w:val="000000"/>
        </w:rPr>
        <w:t>Three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electronic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databases: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MEDLINE,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EMBASE,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CINAHL,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Cochrane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Central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Register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(CENTRAL).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literature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2019.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strategy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adapted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thesaurus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headings,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limits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aforementioned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databases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="004845AB" w:rsidRPr="00433250">
        <w:rPr>
          <w:rFonts w:ascii="Book Antiqua" w:eastAsia="Calibri" w:hAnsi="Book Antiqua"/>
          <w:bCs/>
        </w:rPr>
        <w:t>Supplementary</w:t>
      </w:r>
      <w:r w:rsidR="001D59C8" w:rsidRPr="00433250">
        <w:rPr>
          <w:rFonts w:ascii="Book Antiqua" w:eastAsia="Calibri" w:hAnsi="Book Antiqua"/>
          <w:bCs/>
        </w:rPr>
        <w:t xml:space="preserve"> </w:t>
      </w:r>
      <w:r w:rsidR="004845AB" w:rsidRPr="00433250">
        <w:rPr>
          <w:rFonts w:ascii="Book Antiqua" w:eastAsia="Calibri" w:hAnsi="Book Antiqua"/>
          <w:bCs/>
        </w:rPr>
        <w:t>Table</w:t>
      </w:r>
      <w:r w:rsidR="001D59C8" w:rsidRPr="00433250">
        <w:rPr>
          <w:rFonts w:ascii="Book Antiqua" w:eastAsia="Calibri" w:hAnsi="Book Antiqua"/>
          <w:bCs/>
        </w:rPr>
        <w:t xml:space="preserve"> </w:t>
      </w:r>
      <w:r w:rsidR="004845AB" w:rsidRPr="00433250">
        <w:rPr>
          <w:rFonts w:ascii="Book Antiqua" w:eastAsia="Calibri" w:hAnsi="Book Antiqua"/>
          <w:bCs/>
        </w:rPr>
        <w:t>1</w:t>
      </w:r>
      <w:r w:rsidRPr="00433250">
        <w:rPr>
          <w:rFonts w:ascii="Book Antiqua" w:eastAsia="Book Antiqua" w:hAnsi="Book Antiqua" w:cs="Book Antiqua"/>
          <w:color w:val="000000"/>
        </w:rPr>
        <w:t>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Furthermore,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World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Health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Organization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International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Clinical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Registry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(http://apps.who.int/trialsearch/</w:t>
      </w:r>
      <w:r w:rsidR="00F52EDD" w:rsidRPr="00433250">
        <w:rPr>
          <w:rFonts w:ascii="Book Antiqua" w:eastAsia="Book Antiqua" w:hAnsi="Book Antiqua" w:cs="Book Antiqua"/>
          <w:color w:val="000000"/>
          <w:u w:color="0563C1"/>
        </w:rPr>
        <w:t>)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ClinicalTrials.gov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(http://clinicaltrials.gov/</w:t>
      </w:r>
      <w:r w:rsidR="00F52EDD" w:rsidRPr="00433250">
        <w:rPr>
          <w:rFonts w:ascii="Book Antiqua" w:eastAsia="Book Antiqua" w:hAnsi="Book Antiqua" w:cs="Book Antiqua"/>
          <w:color w:val="000000"/>
          <w:u w:color="0563C1"/>
        </w:rPr>
        <w:t>)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ISRCTN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Register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(http://www.isrctn.com/</w:t>
      </w:r>
      <w:r w:rsidR="00F52EDD" w:rsidRPr="00433250">
        <w:rPr>
          <w:rFonts w:ascii="Book Antiqua" w:eastAsia="Book Antiqua" w:hAnsi="Book Antiqua" w:cs="Book Antiqua"/>
          <w:color w:val="000000"/>
          <w:u w:color="0563C1"/>
        </w:rPr>
        <w:t>)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unpublished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lists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screened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eligible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trials.</w:t>
      </w:r>
    </w:p>
    <w:p w14:paraId="37704778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7286E1" w14:textId="333D82B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69AD6018" w14:textId="11ADA75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yielded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reviewers.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titles,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abstracts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full-texts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those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criteria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synthesis.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Disagreements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resolved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discussion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reviewers.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discrepancies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unresolved,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involved.</w:t>
      </w:r>
    </w:p>
    <w:p w14:paraId="3B4C6A50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97409F" w14:textId="1173941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E97117E" w14:textId="57B0585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created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electronic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spreadsheet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Cochrane's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recommendations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spreadsheet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pilot-tested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adjusted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accordingly.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(1)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Study-related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publication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year,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country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origin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corresponding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journal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published,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design,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size);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hAnsi="Book Antiqua"/>
          <w:lang w:eastAsia="zh-CN"/>
        </w:rPr>
        <w:t>(2)</w:t>
      </w:r>
      <w:r w:rsidR="001D59C8" w:rsidRPr="00433250">
        <w:rPr>
          <w:rFonts w:ascii="Book Antiqua" w:hAnsi="Book Antiqua"/>
          <w:lang w:eastAsia="zh-CN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Baseline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demographic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clinical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populations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(age,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gender,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weight,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height,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index,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American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Society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Anesthesiologists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classification);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(3)</w:t>
      </w:r>
      <w:r w:rsidR="001D59C8" w:rsidRPr="00433250">
        <w:rPr>
          <w:rFonts w:ascii="Book Antiqua" w:hAnsi="Book Antiqua"/>
          <w:lang w:eastAsia="zh-CN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additional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medications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conversion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GA;</w:t>
      </w:r>
      <w:r w:rsidR="001D59C8" w:rsidRPr="00433250">
        <w:rPr>
          <w:rFonts w:ascii="Book Antiqua" w:hAnsi="Book Antiqua"/>
          <w:lang w:eastAsia="zh-CN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(4)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(5)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Disagreements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management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resolved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consultation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author.</w:t>
      </w:r>
    </w:p>
    <w:p w14:paraId="7486E0D1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56BAE27" w14:textId="63992D1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3F0514AA" w14:textId="1206551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methodological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quality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carried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Cochrane's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tool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Cochrane’s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tool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classifies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unclear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determining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sources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resolved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discrepancies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discussion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Nevertheless,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agreement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involved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adjudicator.</w:t>
      </w:r>
    </w:p>
    <w:p w14:paraId="40F69965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F679726" w14:textId="3D64308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541E7661" w14:textId="20E1AF0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ratio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summary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measures.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adverse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</w:p>
    <w:p w14:paraId="2FB03E75" w14:textId="46344A03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individual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parameters.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regards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dropouts,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withdrawals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recorded.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planned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respected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intention-to-treat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concept.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1758D277" w14:textId="13D30678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entered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Manager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5.3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software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synthesis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entered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subsequently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checked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Random-effects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fixed-effect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modelling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appropriate,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existed,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random-effects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applied.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previously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Higgins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parameter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confidence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(CIs).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458EEF67" w14:textId="28EAFB41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Cochran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433250">
        <w:rPr>
          <w:rFonts w:ascii="Book Antiqua" w:eastAsia="Book Antiqua" w:hAnsi="Book Antiqua" w:cs="Book Antiqua"/>
          <w:color w:val="000000"/>
        </w:rPr>
        <w:t>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quantified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inconsistency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I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interpreted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guide: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important;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75%: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represent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represent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substantial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parameter,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funnel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plots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planned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constructed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symmetry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visually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publication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</w:p>
    <w:p w14:paraId="178329E6" w14:textId="719C350E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sensitivity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explore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sources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robustness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parameter,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repeated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random-effects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fixed-effect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dichotomous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variable,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odds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ratio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r</w:t>
      </w:r>
      <w:r w:rsidRPr="00433250">
        <w:rPr>
          <w:rFonts w:ascii="Book Antiqua" w:eastAsia="Book Antiqua" w:hAnsi="Book Antiqua" w:cs="Book Antiqua"/>
          <w:color w:val="000000"/>
        </w:rPr>
        <w:t>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d</w:t>
      </w:r>
      <w:r w:rsidRPr="00433250">
        <w:rPr>
          <w:rFonts w:ascii="Book Antiqua" w:eastAsia="Book Antiqua" w:hAnsi="Book Antiqua" w:cs="Book Antiqua"/>
          <w:color w:val="000000"/>
        </w:rPr>
        <w:t>ifference.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Finally,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repeating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</w:p>
    <w:p w14:paraId="1DEB0A1D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CEFBECB" w14:textId="16FADE5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4775DCA" w14:textId="5354E9D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least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software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0.9.5.5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(Copenhagen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Copenhagen,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Denmark).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planned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adjust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thresholds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O’Brien-Fleming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α-spending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function;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restored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desired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maximum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O’Brien-Fleming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α-spending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statistical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significance.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penalised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values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strength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repeated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tests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defined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iterated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logarithm.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β-spending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function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anticipated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fixed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modelling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applied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appropriate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handled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zero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constant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continuity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correction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involved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continuity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correction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non-events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two-sided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CI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confidence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level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statistical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significance.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estimated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based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achievement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</w:p>
    <w:bookmarkEnd w:id="11"/>
    <w:bookmarkEnd w:id="12"/>
    <w:p w14:paraId="22560BBD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0D2727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A3E6AC" w14:textId="632A28F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3" w:name="OLE_LINK21"/>
      <w:bookmarkStart w:id="14" w:name="OLE_LINK24"/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literature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1267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RCTs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4,5,11-21]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criteria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(Figure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554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underwent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557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</w:p>
    <w:p w14:paraId="3BD536B7" w14:textId="07B86DF8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publication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country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origin,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journal,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design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presented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baseline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demographic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clinical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characteristics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populations.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0.41),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0.98)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0.24)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conversion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details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</w:p>
    <w:p w14:paraId="7DA0E956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12486CC" w14:textId="6BD66D6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appraisal</w:t>
      </w:r>
    </w:p>
    <w:p w14:paraId="11541202" w14:textId="4BE34F9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lastRenderedPageBreak/>
        <w:t>Figure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Eleven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unclear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allocation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concealment.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blinding.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Three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blinded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assessor.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</w:p>
    <w:p w14:paraId="61439EA8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2A7B41" w14:textId="017460D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4AC75FDA" w14:textId="02DBC6B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summari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1522B032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B5161F" w14:textId="0C9DD13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(539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</w:t>
      </w:r>
      <w:r w:rsidR="00525E86" w:rsidRPr="00433250">
        <w:rPr>
          <w:rFonts w:ascii="Book Antiqua" w:eastAsia="Book Antiqua" w:hAnsi="Book Antiqua" w:cs="Book Antiqua"/>
          <w:color w:val="000000"/>
        </w:rPr>
        <w:t>urgery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-2.22,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95%CI: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-3.10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-</w:t>
      </w:r>
      <w:r w:rsidRPr="00433250">
        <w:rPr>
          <w:rFonts w:ascii="Book Antiqua" w:eastAsia="Book Antiqua" w:hAnsi="Book Antiqua" w:cs="Book Antiqua"/>
          <w:color w:val="000000"/>
        </w:rPr>
        <w:t>1.34,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94%,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</w:p>
    <w:p w14:paraId="6ECE2B87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1E7AA2" w14:textId="615E9C6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430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-1.53,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95%CI</w:t>
      </w:r>
      <w:r w:rsidR="00525E86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-2.41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-0.66</w:t>
      </w:r>
      <w:r w:rsidR="00525E86" w:rsidRPr="00433250">
        <w:rPr>
          <w:rFonts w:ascii="Book Antiqua" w:eastAsia="Book Antiqua" w:hAnsi="Book Antiqua" w:cs="Book Antiqua"/>
          <w:color w:val="000000"/>
        </w:rPr>
        <w:t>)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0.0006).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89%,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</w:p>
    <w:p w14:paraId="7668D12D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534463" w14:textId="4158A7E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473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-2.08,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95%CI</w:t>
      </w:r>
      <w:r w:rsidR="00525E86" w:rsidRPr="00433250">
        <w:rPr>
          <w:rFonts w:ascii="Book Antiqua" w:hAnsi="Book Antiqua" w:cs="Book Antiqua"/>
          <w:color w:val="000000"/>
          <w:lang w:eastAsia="zh-CN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-2.58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-1.58,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existed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84%,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0.0001).</w:t>
      </w:r>
    </w:p>
    <w:p w14:paraId="2E2DA45C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351E6" w14:textId="02A4AEC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lastRenderedPageBreak/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(583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-0.90,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95%CI</w:t>
      </w:r>
      <w:r w:rsidR="00525E86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-1.28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-0.53,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87%,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</w:p>
    <w:p w14:paraId="28071E63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19A66B" w14:textId="4E174AF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vomiting: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(811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6.2%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15.7%,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respectively.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95%CI: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0.26-</w:t>
      </w:r>
      <w:r w:rsidRPr="00433250">
        <w:rPr>
          <w:rFonts w:ascii="Book Antiqua" w:eastAsia="Book Antiqua" w:hAnsi="Book Antiqua" w:cs="Book Antiqua"/>
          <w:color w:val="000000"/>
        </w:rPr>
        <w:t>0.61,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existed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0.49).</w:t>
      </w:r>
    </w:p>
    <w:p w14:paraId="342581F3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223BF" w14:textId="09566B0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Headache: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(631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3.2%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0.3%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4.69,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95%CI: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1.21-18.21,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0.98).</w:t>
      </w:r>
    </w:p>
    <w:p w14:paraId="1DF713C8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F23E2A" w14:textId="09BA0EB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retention: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4.1%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1.1%,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respectively.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751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2.73,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95%CI</w:t>
      </w:r>
      <w:r w:rsidR="00525E86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1.13-6.56),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0.54).</w:t>
      </w:r>
    </w:p>
    <w:p w14:paraId="2ABEA498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479AC2" w14:textId="531DA30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time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681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</w:t>
      </w:r>
      <w:r w:rsidR="00525E86" w:rsidRPr="00433250">
        <w:rPr>
          <w:rFonts w:ascii="Book Antiqua" w:eastAsia="Book Antiqua" w:hAnsi="Book Antiqua" w:cs="Book Antiqua"/>
          <w:color w:val="000000"/>
        </w:rPr>
        <w:t>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-2.29,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433250">
        <w:rPr>
          <w:rFonts w:ascii="Book Antiqua" w:eastAsia="Book Antiqua" w:hAnsi="Book Antiqua" w:cs="Book Antiqua"/>
          <w:color w:val="000000"/>
        </w:rPr>
        <w:t>95%CI: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-7.00-2.41,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0.34).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90%,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6EBD12E3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90BF2" w14:textId="4F8F3D4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(491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-1.43,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95%CI</w:t>
      </w:r>
      <w:r w:rsidR="00525E86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-5.39-2.53,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0.48).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43325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77%,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0.0005).</w:t>
      </w:r>
    </w:p>
    <w:p w14:paraId="101C2C57" w14:textId="1159585D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possible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hypotension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23DDCEE3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F56A6AC" w14:textId="7E70D3D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A44BD8C" w14:textId="14D1A9A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random-effects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fixed-effect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except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became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insignificant.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Nevertheless,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0%,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fixed-effect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deemed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appropriate.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direction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unchanged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C752C6" w:rsidRPr="00433250">
        <w:rPr>
          <w:rFonts w:ascii="Book Antiqua" w:eastAsia="Book Antiqua" w:hAnsi="Book Antiqua" w:cs="Book Antiqua"/>
          <w:color w:val="000000"/>
        </w:rPr>
        <w:t>odds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C752C6" w:rsidRPr="00433250">
        <w:rPr>
          <w:rFonts w:ascii="Book Antiqua" w:eastAsia="Book Antiqua" w:hAnsi="Book Antiqua" w:cs="Book Antiqua"/>
          <w:color w:val="000000"/>
        </w:rPr>
        <w:t>ratio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dichotomous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variables.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0A286C05" w14:textId="29EC1725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  <w:u w:color="0563C1"/>
        </w:rPr>
        <w:t>Bessa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43325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u w:color="0563C1"/>
          <w:vertAlign w:val="superscript"/>
        </w:rPr>
        <w:t>21]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proofErr w:type="spellStart"/>
      <w:r w:rsidR="00525E86" w:rsidRPr="00433250">
        <w:rPr>
          <w:rFonts w:ascii="Book Antiqua" w:eastAsia="Book Antiqua" w:hAnsi="Book Antiqua" w:cs="Book Antiqua"/>
          <w:bCs/>
          <w:color w:val="000000"/>
        </w:rPr>
        <w:t>Bessa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43325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[5]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same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group,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order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ensure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potential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overlapping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included,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repeated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analyses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exclusion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proofErr w:type="spellStart"/>
      <w:r w:rsidR="00525E86" w:rsidRPr="00433250">
        <w:rPr>
          <w:rFonts w:ascii="Book Antiqua" w:eastAsia="Book Antiqua" w:hAnsi="Book Antiqua" w:cs="Book Antiqua"/>
          <w:bCs/>
          <w:color w:val="000000"/>
        </w:rPr>
        <w:t>Bessa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433250">
        <w:rPr>
          <w:rFonts w:ascii="Book Antiqua" w:eastAsia="Book Antiqua" w:hAnsi="Book Antiqua" w:cs="Book Antiqua"/>
          <w:color w:val="000000"/>
          <w:u w:color="0563C1"/>
          <w:vertAlign w:val="superscript"/>
        </w:rPr>
        <w:t>[5]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change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direction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  <w:u w:color="0563C1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4BC4AC38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30FC738" w14:textId="7D7F3332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F5A983F" w14:textId="31B8881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19EE4BB3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0C629BD" w14:textId="08CB448A" w:rsidR="00525E86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330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alpha-spending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greater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minimal.</w:t>
      </w:r>
    </w:p>
    <w:p w14:paraId="639DB700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58C19CD" w14:textId="25D293F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alpha-spending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greater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minimal.</w:t>
      </w:r>
    </w:p>
    <w:p w14:paraId="34825AAF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C69A6D" w14:textId="4EAD25D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alpha-spending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greater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minimal.</w:t>
      </w:r>
    </w:p>
    <w:p w14:paraId="07DDC3B2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F0FFC" w14:textId="0979126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277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alpha-spending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greater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minimal.</w:t>
      </w:r>
    </w:p>
    <w:p w14:paraId="61A92827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B4D57E" w14:textId="4402DF6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vomiting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417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alpha-spending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greater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minimal.</w:t>
      </w:r>
    </w:p>
    <w:p w14:paraId="31764B9E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F1D4A" w14:textId="34B8B6E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lastRenderedPageBreak/>
        <w:t>Headache: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1105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α-spending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absolute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smaller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subject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error.</w:t>
      </w:r>
    </w:p>
    <w:p w14:paraId="223FB202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C371ED" w14:textId="46456C5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retention: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1218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α-spending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absolute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smaller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subject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error.</w:t>
      </w:r>
    </w:p>
    <w:p w14:paraId="009CC6C1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68D55" w14:textId="143CED7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time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631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conventional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absolute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smaller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sides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</w:t>
      </w:r>
      <w:r w:rsidR="00525E86" w:rsidRPr="00433250">
        <w:rPr>
          <w:rFonts w:ascii="Book Antiqua" w:eastAsia="Book Antiqua" w:hAnsi="Book Antiqua" w:cs="Book Antiqua"/>
          <w:color w:val="000000"/>
        </w:rPr>
        <w:t>.</w:t>
      </w:r>
    </w:p>
    <w:p w14:paraId="1A162C0C" w14:textId="77777777" w:rsidR="00525E86" w:rsidRPr="00433250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98AFA6" w14:textId="70A6DC2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D59C8" w:rsidRPr="004332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1261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Z-curve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cross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α-spending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before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information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absolute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penali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smaller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1.96;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therefore,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subject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error.</w:t>
      </w:r>
    </w:p>
    <w:bookmarkEnd w:id="13"/>
    <w:bookmarkEnd w:id="14"/>
    <w:p w14:paraId="0C974EDF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B97324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C82F36A" w14:textId="04CC566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25"/>
      <w:bookmarkStart w:id="16" w:name="OLE_LINK26"/>
      <w:r w:rsidRPr="00433250">
        <w:rPr>
          <w:rFonts w:ascii="Book Antiqua" w:eastAsia="Book Antiqua" w:hAnsi="Book Antiqua" w:cs="Book Antiqua"/>
          <w:color w:val="000000"/>
        </w:rPr>
        <w:lastRenderedPageBreak/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comprehensive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literature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identified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RCTs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4,5,11-21]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underwent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557)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554).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subsequent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robustness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robust.</w:t>
      </w:r>
    </w:p>
    <w:p w14:paraId="66C0D9FC" w14:textId="26342013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also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Overall,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exceptions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error.</w:t>
      </w:r>
    </w:p>
    <w:p w14:paraId="0F778665" w14:textId="740B8197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previous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7,22]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whilst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Consistent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period.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agreement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independently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previous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similar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dural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puncture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believed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distension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intracranial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vessels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brain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blood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flow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playing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dural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formation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unlike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previously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carried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RA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776B8F1B" w14:textId="11856C1C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regards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convinced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also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robustness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complemented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regard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745DE469" w14:textId="3351AE3B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complaint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surgery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unique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pathophysiology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believed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peripheral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central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sensitisation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humoral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factors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problematic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analgesia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optimised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delayed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discharges.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2.3%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conversions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well-tolerated.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Furthermore,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supports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argument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feasible.</w:t>
      </w:r>
    </w:p>
    <w:p w14:paraId="511075AC" w14:textId="107A811F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second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complaint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vomiting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another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delayed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discharges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pathophysiological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mechanism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influenced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multiple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pre-operative,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intraoperative,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factors,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factors.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particular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known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vomiting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clear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robust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turn,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larger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number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successfully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discharged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surgery.</w:t>
      </w:r>
    </w:p>
    <w:p w14:paraId="7F7F261E" w14:textId="5ED562FA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70%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procedures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transient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cases.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Catheterisation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primary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treatment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Multiple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longer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analgesia,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described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inherent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pharmacology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drugs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changes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physiology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micturition.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nerve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blocks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decreasing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micturition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pontine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micturition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cent</w:t>
      </w:r>
      <w:r w:rsidR="00D24099" w:rsidRPr="00433250">
        <w:rPr>
          <w:rFonts w:ascii="Book Antiqua" w:eastAsia="Book Antiqua" w:hAnsi="Book Antiqua" w:cs="Book Antiqua"/>
          <w:color w:val="000000"/>
        </w:rPr>
        <w:t>e</w:t>
      </w:r>
      <w:r w:rsidRPr="00433250">
        <w:rPr>
          <w:rFonts w:ascii="Book Antiqua" w:eastAsia="Book Antiqua" w:hAnsi="Book Antiqua" w:cs="Book Antiqua"/>
          <w:color w:val="000000"/>
        </w:rPr>
        <w:t>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peripherally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blocking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transmission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cord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relaxes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smooth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muscle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bladder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contractility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interfering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autonomic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regulation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detrusor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muscle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physiologically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apparent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given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bladder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capacity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substantially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subjected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GA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micturition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mechanism.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interfere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afferent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nerves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micturition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disrupt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reflex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arcs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peripherally.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suggests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color w:val="000000"/>
        </w:rPr>
        <w:t>GA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agreement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showed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those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4BE6368C" w14:textId="5AA50ED3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“half-full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glass”.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feasible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promising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Nevertheless,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cancel-out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effectiveness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early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period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prolonging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length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hospital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need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outpatient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assessment.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determined.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Unfortunately,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appropriate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difficulties,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complications.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gallbladder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polyp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challenging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cholecystitis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gallstone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pancreatitis.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</w:t>
      </w:r>
      <w:r w:rsidR="00D24099" w:rsidRPr="00433250">
        <w:rPr>
          <w:rFonts w:ascii="Book Antiqua" w:eastAsia="Book Antiqua" w:hAnsi="Book Antiqua" w:cs="Book Antiqua"/>
          <w:color w:val="000000"/>
        </w:rPr>
        <w:t>z</w:t>
      </w:r>
      <w:r w:rsidRPr="00433250">
        <w:rPr>
          <w:rFonts w:ascii="Book Antiqua" w:eastAsia="Book Antiqua" w:hAnsi="Book Antiqua" w:cs="Book Antiqua"/>
          <w:color w:val="000000"/>
        </w:rPr>
        <w:t>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</w:p>
    <w:p w14:paraId="59C77731" w14:textId="4A4AA1C9" w:rsidR="0032709C" w:rsidRPr="00433250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important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limitations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interpreting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Although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ensure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quality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found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remained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between-study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heterogeneity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post-operative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Furthermore,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although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two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also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median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interquartile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range.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calculated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standard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deviation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method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described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332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33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3325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subjected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degree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failure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consistent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treat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concept.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affected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favor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subsequently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introduced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Finally,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among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blinding.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regards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performance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blinding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participants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impossible;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blinding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possible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bias.</w:t>
      </w:r>
    </w:p>
    <w:bookmarkEnd w:id="15"/>
    <w:bookmarkEnd w:id="16"/>
    <w:p w14:paraId="543486F0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2993DA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1A1D44" w14:textId="0F97EA6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(Level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safe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feasible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makes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attractive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expedite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discharge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planning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help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facilitating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aim.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knowledge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specific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importantly,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intention-to-treat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principle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breached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some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excluding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failed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attempts.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limitations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hesitate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highlight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justify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although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should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focus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respect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intention-to-treat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concept.</w:t>
      </w:r>
    </w:p>
    <w:p w14:paraId="30E171FA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DE471B" w14:textId="2F370AA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D59C8"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3325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15AB4FF" w14:textId="499A8C3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FDE5A79" w14:textId="218D19A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lastRenderedPageBreak/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effort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further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morbidity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mortality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profile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evaluated</w:t>
      </w:r>
      <w:r w:rsidR="00C97BFB"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041CADE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108A9B" w14:textId="493C735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0A21BC6" w14:textId="2A46A4A2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context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combining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surgical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minimally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invasive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technique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potentially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earlier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ambulation</w:t>
      </w:r>
      <w:r w:rsidR="00C97BFB" w:rsidRPr="00433250">
        <w:rPr>
          <w:rFonts w:ascii="Book Antiqua" w:eastAsia="Book Antiqua" w:hAnsi="Book Antiqua" w:cs="Book Antiqua"/>
          <w:color w:val="000000"/>
        </w:rPr>
        <w:t>.</w:t>
      </w:r>
    </w:p>
    <w:p w14:paraId="26104F00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38532" w14:textId="2E48037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409B2F8" w14:textId="446DA4E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objective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(GA)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C97BFB" w:rsidRPr="00433250">
        <w:rPr>
          <w:rFonts w:ascii="Book Antiqua" w:eastAsia="Book Antiqua" w:hAnsi="Book Antiqua" w:cs="Book Antiqua"/>
          <w:color w:val="000000"/>
        </w:rPr>
        <w:t>.</w:t>
      </w:r>
    </w:p>
    <w:p w14:paraId="7323ABD5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3FF1E" w14:textId="149FA51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4DEFBBC" w14:textId="6328DF8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comprehensive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(RCTs)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subsequent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conducted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Preferred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Items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standards.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296C5355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C5BD6B" w14:textId="430B42A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008E09" w14:textId="011A9CC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Thirteen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enrolling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populations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groups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0.41),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0.98)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0.24).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conversion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2.3%.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[mean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difference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(MD)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-2.22,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</w:t>
      </w:r>
      <w:r w:rsidR="008F1D92" w:rsidRPr="00433250">
        <w:rPr>
          <w:rFonts w:ascii="Book Antiqua" w:eastAsia="Book Antiqua" w:hAnsi="Book Antiqua" w:cs="Book Antiqua"/>
          <w:color w:val="000000"/>
        </w:rPr>
        <w:t>]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-1.53,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0.0006),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-2.08,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(MD: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-0.90,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0.00001)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Moreover,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[risk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ratio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433250">
        <w:rPr>
          <w:rFonts w:ascii="Book Antiqua" w:eastAsia="Book Antiqua" w:hAnsi="Book Antiqua" w:cs="Book Antiqua"/>
          <w:color w:val="000000"/>
        </w:rPr>
        <w:t>(RR)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0.40,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&lt;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0.0001</w:t>
      </w:r>
      <w:r w:rsidR="008F1D92" w:rsidRPr="00433250">
        <w:rPr>
          <w:rFonts w:ascii="Book Antiqua" w:eastAsia="Book Antiqua" w:hAnsi="Book Antiqua" w:cs="Book Antiqua"/>
          <w:color w:val="000000"/>
        </w:rPr>
        <w:t>]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increased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4.69,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lastRenderedPageBreak/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(RR: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2.73,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=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0.03).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demonstrated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conclusive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exception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type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error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p w14:paraId="2C55B2C8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B86F61" w14:textId="3C9FB7A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495DC71" w14:textId="357EFAD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Our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findings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attractive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modality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lower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</w:t>
      </w:r>
      <w:r w:rsidR="004826CB" w:rsidRPr="00433250">
        <w:rPr>
          <w:rFonts w:ascii="Book Antiqua" w:eastAsia="Book Antiqua" w:hAnsi="Book Antiqua" w:cs="Book Antiqua"/>
          <w:color w:val="000000"/>
        </w:rPr>
        <w:t>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compared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GA.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However,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lack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knowledge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impact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procedure-related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justify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anaesthetic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</w:p>
    <w:p w14:paraId="7436ACCB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8FEE77" w14:textId="154BA31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 w:rsidRPr="004332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CBC3BD9" w14:textId="342338D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appropriate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data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about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indication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difficulties,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complications.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encourage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procedure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outcomes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GA.</w:t>
      </w:r>
    </w:p>
    <w:p w14:paraId="3C50CDF9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FA90A5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8BAC7B" w14:textId="633E152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National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Institute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Health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Care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Excellence.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2"/>
      <w:r w:rsidRPr="00433250">
        <w:rPr>
          <w:rFonts w:ascii="Book Antiqua" w:eastAsia="Book Antiqua" w:hAnsi="Book Antiqua" w:cs="Book Antiqua"/>
          <w:color w:val="000000"/>
        </w:rPr>
        <w:t>Costing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statement: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Gallstone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–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Implementing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guideline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gallstone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disease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(CG188)</w:t>
      </w:r>
      <w:bookmarkEnd w:id="17"/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[cited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20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January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2021].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Available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from: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F52EDD" w:rsidRPr="00433250">
        <w:rPr>
          <w:rFonts w:ascii="Book Antiqua" w:eastAsia="Book Antiqua" w:hAnsi="Book Antiqua" w:cs="Book Antiqua"/>
          <w:color w:val="000000"/>
        </w:rPr>
        <w:t>https://www.nice.org.uk/guidance/cg188</w:t>
      </w:r>
    </w:p>
    <w:p w14:paraId="4664E0C6" w14:textId="3A2DD992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Marks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Phillips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Tacchino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Roberts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Onders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DeNoto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Gecelter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Rubach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Islam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Soper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Paraskeva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Ross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Shah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Single-incision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associated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improved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cosmesis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scoring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cost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significantly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higher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hernia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rates: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1-year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multicenter,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single-blinded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lastRenderedPageBreak/>
        <w:t>traditional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multiport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single-incision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2013;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1037-47;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discussion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1047-8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23619321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10.1016/j.jamcollsurg.2013.02.024]</w:t>
      </w:r>
    </w:p>
    <w:p w14:paraId="270FE09A" w14:textId="4E89B8A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Capdevila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Aveline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Delaunay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Bouaziz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Zetlaoui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Choquet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Jouffroy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Herman-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Demars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Bonnet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Factors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Determining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Choice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Versus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Ambulatory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Multicenter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Observational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527-540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31828612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10.1007/s12325-019-01171-6]</w:t>
      </w:r>
    </w:p>
    <w:p w14:paraId="2728312A" w14:textId="43AE91A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Tzovaras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Fafoulakis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Pratsas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Georgopoulou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Stamatiou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Hatzitheofilou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interim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2008;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497-501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18490561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10.1001/archsurg.143.5.497]</w:t>
      </w:r>
    </w:p>
    <w:p w14:paraId="4BF2DB18" w14:textId="12D8ACC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Bessa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Sayes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Saiedi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Baki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Maksoud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515-520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20578922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10.1089/</w:t>
      </w:r>
      <w:r w:rsidR="00482FAD" w:rsidRPr="00433250">
        <w:rPr>
          <w:rFonts w:ascii="Book Antiqua" w:eastAsia="Book Antiqua" w:hAnsi="Book Antiqua" w:cs="Book Antiqua"/>
          <w:color w:val="000000"/>
        </w:rPr>
        <w:t>l</w:t>
      </w:r>
      <w:r w:rsidRPr="00433250">
        <w:rPr>
          <w:rFonts w:ascii="Book Antiqua" w:eastAsia="Book Antiqua" w:hAnsi="Book Antiqua" w:cs="Book Antiqua"/>
          <w:color w:val="000000"/>
        </w:rPr>
        <w:t>ap.2010.0041]</w:t>
      </w:r>
    </w:p>
    <w:p w14:paraId="3ECC0275" w14:textId="420D36A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X.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Comparison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inguinal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hernia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repair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adult: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32156258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10.1186/s12871-020-00980-5]</w:t>
      </w:r>
    </w:p>
    <w:p w14:paraId="33871B12" w14:textId="4B9B5C4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Zhou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DB,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HW,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Zhou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Guo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Huang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Comparison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9480539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27525282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10.1155/2016/9480539]</w:t>
      </w:r>
    </w:p>
    <w:p w14:paraId="61264FD6" w14:textId="5D8E0D6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Rodgers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Walker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Schug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McKee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Zundert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Saville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Clark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MacMahon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Reduction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mortality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morbidity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epidural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overview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lastRenderedPageBreak/>
        <w:t>randomised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321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1493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11118174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10.1136/bmj.321.7275.1493]</w:t>
      </w:r>
    </w:p>
    <w:p w14:paraId="15D1BDD4" w14:textId="07A74A8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Liberati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Altman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Mulrow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PC,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Ioannidis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Clarke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Devereaux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Kleijnen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Moher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PRISMA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statement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reporting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evaluate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healthcare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interventions: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explanation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elaboration.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2009;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b2700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19622552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10.1136/bmj.b2700]</w:t>
      </w:r>
    </w:p>
    <w:p w14:paraId="2A6C35E0" w14:textId="6C05D80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Altman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DG.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Assessing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included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studies.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Higgins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33"/>
      <w:bookmarkStart w:id="19" w:name="OLE_LINK34"/>
      <w:r w:rsidRPr="00433250">
        <w:rPr>
          <w:rFonts w:ascii="Book Antiqua" w:eastAsia="Book Antiqua" w:hAnsi="Book Antiqua" w:cs="Book Antiqua"/>
          <w:color w:val="000000"/>
        </w:rPr>
        <w:t>Cochrane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handbook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systematic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interventions</w:t>
      </w:r>
      <w:bookmarkEnd w:id="18"/>
      <w:bookmarkEnd w:id="19"/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2</w:t>
      </w:r>
      <w:r w:rsidR="00482FAD" w:rsidRPr="00433250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ed.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Chichester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(UK):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John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Wiley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&amp;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Sons,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201</w:t>
      </w:r>
      <w:r w:rsidR="00BF02C6" w:rsidRPr="00433250">
        <w:rPr>
          <w:rFonts w:ascii="Book Antiqua" w:eastAsia="Book Antiqua" w:hAnsi="Book Antiqua" w:cs="Book Antiqua"/>
          <w:color w:val="000000"/>
        </w:rPr>
        <w:t>9</w:t>
      </w:r>
    </w:p>
    <w:p w14:paraId="145B8D46" w14:textId="4283A41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Donmez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Erdem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Uzman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Yildirim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Avaroglu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Ferahman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Sunamak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spinal-epidural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2017;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136-142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28289667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10.4174/astr.2017.92.3.136]</w:t>
      </w:r>
    </w:p>
    <w:p w14:paraId="17476111" w14:textId="33028227" w:rsidR="0032709C" w:rsidRPr="00433250" w:rsidRDefault="00A87319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315B" w:rsidRPr="00433250">
        <w:rPr>
          <w:rFonts w:ascii="Book Antiqua" w:eastAsia="Book Antiqua" w:hAnsi="Book Antiqua" w:cs="Book Antiqua"/>
          <w:b/>
          <w:color w:val="000000"/>
        </w:rPr>
        <w:t>Ellakany</w:t>
      </w:r>
      <w:proofErr w:type="spellEnd"/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b/>
          <w:color w:val="000000"/>
        </w:rPr>
        <w:t>M</w:t>
      </w:r>
      <w:r w:rsidR="0060315B" w:rsidRPr="00433250">
        <w:rPr>
          <w:rFonts w:ascii="Book Antiqua" w:eastAsia="Book Antiqua" w:hAnsi="Book Antiqua" w:cs="Book Antiqua"/>
          <w:bCs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between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thoracic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Egypt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color w:val="000000"/>
        </w:rPr>
        <w:t>Anaesth</w:t>
      </w:r>
      <w:proofErr w:type="spellEnd"/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2013;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29</w:t>
      </w:r>
      <w:r w:rsidR="0060315B" w:rsidRPr="00433250">
        <w:rPr>
          <w:rFonts w:ascii="Book Antiqua" w:eastAsia="Book Antiqua" w:hAnsi="Book Antiqua" w:cs="Book Antiqua"/>
          <w:bCs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375</w:t>
      </w:r>
      <w:r w:rsidR="00482FAD" w:rsidRPr="00433250">
        <w:rPr>
          <w:rFonts w:ascii="Book Antiqua" w:eastAsia="Book Antiqua" w:hAnsi="Book Antiqua" w:cs="Book Antiqua"/>
          <w:color w:val="000000"/>
        </w:rPr>
        <w:t>-</w:t>
      </w:r>
      <w:r w:rsidR="0060315B" w:rsidRPr="00433250">
        <w:rPr>
          <w:rFonts w:ascii="Book Antiqua" w:eastAsia="Book Antiqua" w:hAnsi="Book Antiqua" w:cs="Book Antiqua"/>
          <w:color w:val="000000"/>
        </w:rPr>
        <w:t>381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[DOI: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433250">
        <w:rPr>
          <w:rFonts w:ascii="Book Antiqua" w:eastAsia="Book Antiqua" w:hAnsi="Book Antiqua" w:cs="Book Antiqua"/>
          <w:color w:val="000000"/>
        </w:rPr>
        <w:t>10.1016/j.egja.2013.05.004]</w:t>
      </w:r>
    </w:p>
    <w:p w14:paraId="28638A37" w14:textId="5C61C0F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Imbelloni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Fornasari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Fialho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JC,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Sant'Anna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Cordeiro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Anestesiol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217-227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20682154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10.1016/S0034-7094(10)70030-1]</w:t>
      </w:r>
    </w:p>
    <w:p w14:paraId="0DBA2CEF" w14:textId="28E8BE4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0259" w:rsidRPr="00433250">
        <w:rPr>
          <w:rFonts w:ascii="Book Antiqua" w:eastAsia="Calibri" w:hAnsi="Book Antiqua"/>
          <w:lang w:eastAsia="zh-CN"/>
        </w:rPr>
        <w:t>Kalaivani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Pujari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Hiremath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BV,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Bevinaguddaiah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2014;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NC01-NC04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25302232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10.7860/JCDR/2014/9829.4700]</w:t>
      </w:r>
    </w:p>
    <w:p w14:paraId="3A5A9535" w14:textId="546659E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Majedi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Sarlak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Sadeghi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Ahsan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Comparison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Thoracic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Epidural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Hemodynamic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Changes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Complications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2019;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30820428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10.4103/abr.abr_193_18]</w:t>
      </w:r>
    </w:p>
    <w:p w14:paraId="401AD790" w14:textId="7F302E0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lastRenderedPageBreak/>
        <w:t>16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Chavda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Wadhwana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Porecha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Comparative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Essays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91-95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25885237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10.4103/0259-1162.73514]</w:t>
      </w:r>
    </w:p>
    <w:p w14:paraId="60CC89D3" w14:textId="1A7C317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CGS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Mannur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Suresh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–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i/>
          <w:color w:val="000000"/>
        </w:rPr>
        <w:t>JEMDS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2014;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b/>
          <w:color w:val="000000"/>
        </w:rPr>
        <w:t>3</w:t>
      </w:r>
      <w:r w:rsidRPr="00433250">
        <w:rPr>
          <w:rFonts w:ascii="Book Antiqua" w:eastAsia="Book Antiqua" w:hAnsi="Book Antiqua" w:cs="Book Antiqua"/>
          <w:bCs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1361-</w:t>
      </w:r>
      <w:r w:rsidRPr="00433250">
        <w:rPr>
          <w:rFonts w:ascii="Book Antiqua" w:eastAsia="Book Antiqua" w:hAnsi="Book Antiqua" w:cs="Book Antiqua"/>
          <w:color w:val="000000"/>
        </w:rPr>
        <w:t>1368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10.14260/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jemds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/2014/1992]</w:t>
      </w:r>
    </w:p>
    <w:p w14:paraId="21D04DAE" w14:textId="63901072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Mangar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Karlnoski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Camporesi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Downes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Luberice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Haines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Laparo-endoscopic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single-site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(LESS)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epidural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2013;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1810-1819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23242490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10.1007/s00464-012-2667-8]</w:t>
      </w:r>
    </w:p>
    <w:p w14:paraId="4F40C083" w14:textId="74AC109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19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Sharaf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Burki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Saira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Bano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9"/>
      <w:r w:rsidRPr="00433250">
        <w:rPr>
          <w:rFonts w:ascii="Book Antiqua" w:eastAsia="Book Antiqua" w:hAnsi="Book Antiqua" w:cs="Book Antiqua"/>
          <w:color w:val="000000"/>
        </w:rPr>
        <w:t>Comparison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relief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following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patients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undergoing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bookmarkEnd w:id="20"/>
      <w:r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7319" w:rsidRPr="00433250">
        <w:rPr>
          <w:rFonts w:ascii="Book Antiqua" w:eastAsia="Book Antiqua" w:hAnsi="Book Antiqua" w:cs="Book Antiqua"/>
          <w:i/>
          <w:color w:val="000000"/>
        </w:rPr>
        <w:t>Anaesth</w:t>
      </w:r>
      <w:proofErr w:type="spellEnd"/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i/>
          <w:color w:val="000000"/>
        </w:rPr>
        <w:t>Pain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i/>
          <w:color w:val="000000"/>
        </w:rPr>
        <w:t>Intensive</w:t>
      </w:r>
      <w:r w:rsidR="001D59C8" w:rsidRPr="0043325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i/>
          <w:color w:val="000000"/>
        </w:rPr>
        <w:t>Care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2018;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b/>
          <w:color w:val="000000"/>
        </w:rPr>
        <w:t>22</w:t>
      </w:r>
      <w:r w:rsidRPr="00433250">
        <w:rPr>
          <w:rFonts w:ascii="Book Antiqua" w:eastAsia="Book Antiqua" w:hAnsi="Book Antiqua" w:cs="Book Antiqua"/>
          <w:bCs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67</w:t>
      </w:r>
      <w:r w:rsidR="00482FAD" w:rsidRPr="00433250">
        <w:rPr>
          <w:rFonts w:ascii="Book Antiqua" w:eastAsia="Book Antiqua" w:hAnsi="Book Antiqua" w:cs="Book Antiqua"/>
          <w:color w:val="000000"/>
        </w:rPr>
        <w:t>-</w:t>
      </w:r>
      <w:r w:rsidRPr="00433250">
        <w:rPr>
          <w:rFonts w:ascii="Book Antiqua" w:eastAsia="Book Antiqua" w:hAnsi="Book Antiqua" w:cs="Book Antiqua"/>
          <w:color w:val="000000"/>
        </w:rPr>
        <w:t>72</w:t>
      </w:r>
    </w:p>
    <w:p w14:paraId="02263331" w14:textId="597EC59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Tiwari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Chauhan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Chaterjee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prospective,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2013;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65-71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23741111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10.4103/0972-9941.110965]</w:t>
      </w:r>
    </w:p>
    <w:p w14:paraId="0495AE2A" w14:textId="206AE3BA" w:rsidR="00482FAD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1" w:name="OLE_LINK36"/>
      <w:bookmarkStart w:id="22" w:name="OLE_LINK37"/>
      <w:r w:rsidRPr="00433250">
        <w:rPr>
          <w:rFonts w:ascii="Book Antiqua" w:eastAsia="Book Antiqua" w:hAnsi="Book Antiqua" w:cs="Book Antiqua"/>
          <w:color w:val="000000"/>
        </w:rPr>
        <w:t>21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b/>
          <w:bCs/>
          <w:color w:val="000000"/>
        </w:rPr>
        <w:t>Bessa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b/>
          <w:bCs/>
          <w:color w:val="000000"/>
        </w:rPr>
        <w:t>SS</w:t>
      </w:r>
      <w:r w:rsidR="00482FAD"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color w:val="000000"/>
        </w:rPr>
        <w:t>Katri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KM,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Abdel-Salam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WN,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="00482FAD" w:rsidRPr="00433250">
        <w:rPr>
          <w:rFonts w:ascii="Book Antiqua" w:eastAsia="Book Antiqua" w:hAnsi="Book Antiqua" w:cs="Book Antiqua"/>
          <w:color w:val="000000"/>
        </w:rPr>
        <w:t>Kayal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el-SA,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color w:val="000000"/>
        </w:rPr>
        <w:t>Tawfik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TA.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versus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day-case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cholecystectomy: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prospective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study.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i/>
          <w:iCs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2012;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82FAD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550-555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22686181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33250">
        <w:rPr>
          <w:rFonts w:ascii="Book Antiqua" w:eastAsia="Book Antiqua" w:hAnsi="Book Antiqua" w:cs="Book Antiqua"/>
          <w:color w:val="000000"/>
        </w:rPr>
        <w:t>10.1089/lap.2012.0110]</w:t>
      </w:r>
    </w:p>
    <w:bookmarkEnd w:id="21"/>
    <w:bookmarkEnd w:id="22"/>
    <w:p w14:paraId="5A89EC45" w14:textId="0C6029E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Yu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Q,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Yu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cholecystectomy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randomized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controlled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2015;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176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26634822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10.1186/s12871-015-0158-x]</w:t>
      </w:r>
    </w:p>
    <w:p w14:paraId="7839F572" w14:textId="4245A9E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Esmaoglu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Akpinar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Uğur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multidose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caffeine-paracetamol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combination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prophylaxis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postdural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puncture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2005;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58-61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15721731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10.1016/j.jclinane.2004.04.003]</w:t>
      </w:r>
    </w:p>
    <w:p w14:paraId="628A0335" w14:textId="1B77751D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lastRenderedPageBreak/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Mobarak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Bhattacharya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Mobarak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Satyadas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Meta-Analysis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Versus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During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Laparoscopic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Extraperitoneal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Repair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Inguinal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Hernia.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2020;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371-380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32217883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10.1097/SLE.0000000000000783]</w:t>
      </w:r>
    </w:p>
    <w:p w14:paraId="63A9FE90" w14:textId="6AE8438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25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Shaikh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SI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Nagarekha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Hegade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Marutheesh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simple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yet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complex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problem.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Essays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2016;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388-396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27746521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10.4103/0259-1162.179310]</w:t>
      </w:r>
    </w:p>
    <w:p w14:paraId="0B97D340" w14:textId="7CD0C871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Baldini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Bagry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Aprikian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Carli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perioperative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considerations.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2009;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1139-1157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19352147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10.1097/ALN.0b013e31819f7aea]</w:t>
      </w:r>
    </w:p>
    <w:p w14:paraId="5A8FF82B" w14:textId="2FD0947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Buckley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Lapitan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MC.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Drugs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treatment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adults.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2010: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CD008023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20927768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10.1002/14651858.CD008023.pub2]</w:t>
      </w:r>
    </w:p>
    <w:p w14:paraId="6030731E" w14:textId="6C4F44A6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Kamphuis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ET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Ionescu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PW,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Gier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Venrooij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TA.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Recovery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storage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emptying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functions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bladder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after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spinal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anesthesia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lidocaine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bupivacaine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1998;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310-316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9477049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10.1097/00000542-199802000-00007]</w:t>
      </w:r>
    </w:p>
    <w:p w14:paraId="3DBD3C83" w14:textId="4A1AC56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29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Darrah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Griebling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TL,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Silverstein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JH.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Postoperative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2009;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465-484,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table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contents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19825487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10.1016/j.anclin.2009.07.010]</w:t>
      </w:r>
    </w:p>
    <w:p w14:paraId="1FC735AC" w14:textId="49CBF1F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30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b/>
          <w:bCs/>
          <w:color w:val="000000"/>
        </w:rPr>
        <w:t>Hozo</w:t>
      </w:r>
      <w:proofErr w:type="spellEnd"/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433250">
        <w:rPr>
          <w:rFonts w:ascii="Book Antiqua" w:eastAsia="Book Antiqua" w:hAnsi="Book Antiqua" w:cs="Book Antiqua"/>
          <w:color w:val="000000"/>
        </w:rPr>
        <w:t>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Djulbegovic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Estimating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variance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from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median,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range,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sample.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2005;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13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[PMID: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15840177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DOI: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10.1186/1471-2288-5-13]</w:t>
      </w:r>
    </w:p>
    <w:p w14:paraId="3862D749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2709C" w:rsidRPr="00433250" w:rsidSect="007D01B9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ABB692" w14:textId="77777777" w:rsidR="004826CB" w:rsidRPr="00433250" w:rsidRDefault="004826CB" w:rsidP="00C610A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</w:p>
    <w:p w14:paraId="42E9D027" w14:textId="70C4F9B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E350B2" w14:textId="6B4AB04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27"/>
      <w:bookmarkStart w:id="24" w:name="OLE_LINK28"/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conflict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interest.</w:t>
      </w:r>
      <w:bookmarkEnd w:id="23"/>
      <w:bookmarkEnd w:id="24"/>
    </w:p>
    <w:p w14:paraId="119B7F0E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65ED04" w14:textId="072A0FA4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9"/>
      <w:bookmarkStart w:id="26" w:name="OLE_LINK30"/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authors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read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PRISMA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Checklist,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manuscript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prepared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revised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PRISMA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2009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Checklist.</w:t>
      </w:r>
    </w:p>
    <w:bookmarkEnd w:id="25"/>
    <w:bookmarkEnd w:id="26"/>
    <w:p w14:paraId="02427D63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D0E4A7" w14:textId="34208FCD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open-access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article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selected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in-house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editor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fully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peer-reviewed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external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reviewers.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distributed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accordance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with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Creative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Commons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Attribution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(CC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BY-NC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4.0)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license,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which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permits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others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distribute,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remix,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adapt,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build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upon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work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non-commercially,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license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their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derivative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works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terms,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provided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original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work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properly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use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non-commercial.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7E0C286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34FB7" w14:textId="197F75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Manuscript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source: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Invited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color w:val="000000"/>
        </w:rPr>
        <w:t>m</w:t>
      </w:r>
      <w:r w:rsidRPr="00433250">
        <w:rPr>
          <w:rFonts w:ascii="Book Antiqua" w:eastAsia="Book Antiqua" w:hAnsi="Book Antiqua" w:cs="Book Antiqua"/>
          <w:color w:val="000000"/>
        </w:rPr>
        <w:t>anuscript</w:t>
      </w:r>
    </w:p>
    <w:p w14:paraId="526612CB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EBE491" w14:textId="0C3EAA0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Peer-review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started: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December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11,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2020</w:t>
      </w:r>
    </w:p>
    <w:p w14:paraId="64AC5AF3" w14:textId="18A47C93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First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decision: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January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29,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2021</w:t>
      </w:r>
    </w:p>
    <w:p w14:paraId="432A1908" w14:textId="63310C0E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Article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in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press: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3250" w:rsidRPr="00433250">
        <w:rPr>
          <w:rFonts w:ascii="Book Antiqua" w:eastAsia="Book Antiqua" w:hAnsi="Book Antiqua" w:cs="Book Antiqua"/>
          <w:color w:val="000000"/>
        </w:rPr>
        <w:t>April 11, 2021</w:t>
      </w:r>
    </w:p>
    <w:p w14:paraId="410F324E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09B179" w14:textId="69360E9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Specialty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type: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Surgery</w:t>
      </w:r>
    </w:p>
    <w:p w14:paraId="31EA78AD" w14:textId="2FB7963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Country/Territory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origin: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United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Kingdom</w:t>
      </w:r>
    </w:p>
    <w:p w14:paraId="0B24594C" w14:textId="52B95D20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Peer-review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report’s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scientific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quality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8260ED" w14:textId="19CD93D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Grade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(Excellent):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</w:t>
      </w:r>
    </w:p>
    <w:p w14:paraId="00CD0CF0" w14:textId="3DB1336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Grade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(Very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good):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</w:t>
      </w:r>
    </w:p>
    <w:p w14:paraId="55760670" w14:textId="58C92ABF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Grade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(Good):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</w:t>
      </w:r>
    </w:p>
    <w:p w14:paraId="2BE1D9D2" w14:textId="6DF7AC68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Grade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(Fair):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</w:t>
      </w:r>
    </w:p>
    <w:p w14:paraId="126E1825" w14:textId="49DCFD1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color w:val="000000"/>
        </w:rPr>
        <w:t>Grade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(Poor):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0</w:t>
      </w:r>
    </w:p>
    <w:p w14:paraId="24A10887" w14:textId="77777777" w:rsidR="0032709C" w:rsidRPr="00433250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51D91E" w14:textId="6AFA2731" w:rsidR="00A478BE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t>P-Reviewer: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Mutter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S-Editor: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Zhang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L-Editor: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478BE" w:rsidRPr="00433250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433250">
        <w:rPr>
          <w:rFonts w:ascii="Book Antiqua" w:eastAsia="Book Antiqua" w:hAnsi="Book Antiqua" w:cs="Book Antiqua"/>
          <w:b/>
          <w:color w:val="000000"/>
        </w:rPr>
        <w:t>P-Editor:</w:t>
      </w:r>
      <w:r w:rsidR="00A478BE" w:rsidRPr="00433250">
        <w:rPr>
          <w:rFonts w:ascii="Book Antiqua" w:eastAsia="Book Antiqua" w:hAnsi="Book Antiqua" w:cs="Book Antiqua" w:hint="eastAsia"/>
          <w:color w:val="000000"/>
        </w:rPr>
        <w:t xml:space="preserve"> Wang LL</w:t>
      </w:r>
    </w:p>
    <w:p w14:paraId="50D0E8A7" w14:textId="5D030F51" w:rsidR="0032709C" w:rsidRPr="00433250" w:rsidRDefault="001D59C8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2709C" w:rsidRPr="00433250" w:rsidSect="007D01B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D3DEBD" w14:textId="77777777" w:rsidR="004826CB" w:rsidRPr="00433250" w:rsidRDefault="004826CB" w:rsidP="00C610A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</w:p>
    <w:p w14:paraId="797A1EB0" w14:textId="5D10950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3325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D59C8" w:rsidRPr="004332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color w:val="000000"/>
        </w:rPr>
        <w:t>Legends</w:t>
      </w:r>
    </w:p>
    <w:p w14:paraId="5CF845D7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hAnsi="Book Antiqua"/>
          <w:noProof/>
          <w:lang w:eastAsia="zh-CN"/>
        </w:rPr>
        <w:drawing>
          <wp:inline distT="0" distB="0" distL="0" distR="0" wp14:anchorId="40C870D6" wp14:editId="649D8F71">
            <wp:extent cx="59436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2558" w14:textId="2707C4F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1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6CB" w:rsidRPr="0043325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diagram.</w:t>
      </w:r>
    </w:p>
    <w:p w14:paraId="70516B72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E93E361" w14:textId="70E3E960" w:rsidR="0032709C" w:rsidRPr="00433250" w:rsidRDefault="00A87319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27CF57E" wp14:editId="15C59B78">
            <wp:extent cx="5486400" cy="2709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00E5" w14:textId="394A4FC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bookmarkStart w:id="27" w:name="OLE_LINK5"/>
      <w:bookmarkStart w:id="28" w:name="OLE_LINK31"/>
      <w:r w:rsidRPr="004332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2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graph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authors’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judgments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about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each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item.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</w:rPr>
        <w:t>A:</w:t>
      </w:r>
      <w:r w:rsidR="001D59C8" w:rsidRPr="0043325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Risk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bias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summary;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</w:rPr>
        <w:t>B:</w:t>
      </w:r>
      <w:r w:rsidR="001D59C8" w:rsidRPr="0043325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Risk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bias</w:t>
      </w:r>
      <w:r w:rsidR="001D59C8" w:rsidRPr="00433250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433250">
        <w:rPr>
          <w:rFonts w:ascii="Book Antiqua" w:eastAsia="Book Antiqua" w:hAnsi="Book Antiqua" w:cs="Book Antiqua"/>
          <w:bCs/>
          <w:color w:val="000000"/>
          <w:lang w:val="en-GB"/>
        </w:rPr>
        <w:t>graph.</w:t>
      </w:r>
    </w:p>
    <w:bookmarkEnd w:id="27"/>
    <w:bookmarkEnd w:id="28"/>
    <w:p w14:paraId="783A0005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41FADCF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051ECAA" wp14:editId="31F0FC91">
            <wp:extent cx="5943600" cy="3343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516131B" wp14:editId="3AE7B0C6">
            <wp:extent cx="5943600" cy="3343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D0EA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5757E15" wp14:editId="234D522C">
            <wp:extent cx="5943600" cy="153709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54024"/>
                    <a:stretch/>
                  </pic:blipFill>
                  <pic:spPr bwMode="auto">
                    <a:xfrm>
                      <a:off x="0" y="0"/>
                      <a:ext cx="5943600" cy="153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A7E5F" w14:textId="49D77469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9" w:name="OLE_LINK9"/>
      <w:bookmarkStart w:id="30" w:name="OLE_LINK10"/>
      <w:bookmarkStart w:id="31" w:name="OLE_LINK32"/>
      <w:bookmarkStart w:id="32" w:name="OLE_LINK6"/>
      <w:r w:rsidRPr="004332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3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C97BFB" w:rsidRPr="00433250">
        <w:rPr>
          <w:rFonts w:ascii="Book Antiqua" w:eastAsia="Book Antiqua" w:hAnsi="Book Antiqua" w:cs="Book Antiqua"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C97BFB" w:rsidRPr="00433250">
        <w:rPr>
          <w:rFonts w:ascii="Book Antiqua" w:eastAsia="Book Antiqua" w:hAnsi="Book Antiqua" w:cs="Book Antiqua"/>
          <w:color w:val="000000"/>
        </w:rPr>
        <w:t>A: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433250">
        <w:rPr>
          <w:rFonts w:ascii="Book Antiqua" w:eastAsia="Book Antiqua" w:hAnsi="Book Antiqua" w:cs="Book Antiqua"/>
          <w:color w:val="000000"/>
        </w:rPr>
        <w:t>Visual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433250">
        <w:rPr>
          <w:rFonts w:ascii="Book Antiqua" w:eastAsia="Book Antiqua" w:hAnsi="Book Antiqua" w:cs="Book Antiqua"/>
          <w:color w:val="000000"/>
        </w:rPr>
        <w:t>analogue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433250">
        <w:rPr>
          <w:rFonts w:ascii="Book Antiqua" w:eastAsia="Book Antiqua" w:hAnsi="Book Antiqua" w:cs="Book Antiqua"/>
          <w:color w:val="000000"/>
        </w:rPr>
        <w:t>scale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DD63D5" w:rsidRPr="00433250">
        <w:rPr>
          <w:rFonts w:ascii="Book Antiqua" w:eastAsia="Book Antiqua" w:hAnsi="Book Antiqua" w:cs="Book Antiqua"/>
          <w:color w:val="000000"/>
        </w:rPr>
        <w:t>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C97BFB" w:rsidRPr="00433250">
        <w:rPr>
          <w:rFonts w:ascii="Book Antiqua" w:eastAsia="Book Antiqua" w:hAnsi="Book Antiqua" w:cs="Book Antiqua"/>
          <w:color w:val="000000"/>
        </w:rPr>
        <w:t>B</w:t>
      </w:r>
      <w:r w:rsidR="002979FD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C: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F: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G: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433250">
        <w:rPr>
          <w:rFonts w:ascii="Book Antiqua" w:eastAsia="Book Antiqua" w:hAnsi="Book Antiqua" w:cs="Book Antiqua"/>
          <w:color w:val="000000"/>
        </w:rPr>
        <w:t>O</w:t>
      </w:r>
      <w:r w:rsidRPr="00433250">
        <w:rPr>
          <w:rFonts w:ascii="Book Antiqua" w:eastAsia="Book Antiqua" w:hAnsi="Book Antiqua" w:cs="Book Antiqua"/>
          <w:color w:val="000000"/>
        </w:rPr>
        <w:t>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</w:t>
      </w:r>
      <w:r w:rsidR="00170259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solid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squares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denote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risk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ratios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or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mean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difference.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horizontal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represent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95%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confidence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intervals,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diamond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denotes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pooled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effect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size.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M-H</w:t>
      </w:r>
      <w:r w:rsidR="00170259" w:rsidRPr="00433250">
        <w:rPr>
          <w:rFonts w:ascii="Book Antiqua" w:eastAsia="Book Antiqua" w:hAnsi="Book Antiqua" w:cs="Book Antiqua"/>
          <w:color w:val="000000"/>
        </w:rPr>
        <w:t>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Mantel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Haenszel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test</w:t>
      </w:r>
      <w:r w:rsidR="00BF02C6" w:rsidRPr="00433250">
        <w:rPr>
          <w:rFonts w:ascii="Book Antiqua" w:eastAsia="Book Antiqua" w:hAnsi="Book Antiqua" w:cs="Book Antiqua"/>
          <w:color w:val="000000"/>
        </w:rPr>
        <w:t>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433250">
        <w:rPr>
          <w:rFonts w:ascii="Book Antiqua" w:eastAsia="Book Antiqua" w:hAnsi="Book Antiqua" w:cs="Book Antiqua"/>
          <w:color w:val="000000"/>
        </w:rPr>
        <w:t>RA: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Regional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anesthesia;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433250">
        <w:rPr>
          <w:rFonts w:ascii="Book Antiqua" w:eastAsia="Book Antiqua" w:hAnsi="Book Antiqua" w:cs="Book Antiqua"/>
          <w:color w:val="000000"/>
        </w:rPr>
        <w:t>GA: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General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anesthesia;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433250">
        <w:rPr>
          <w:rFonts w:ascii="Book Antiqua" w:eastAsia="Book Antiqua" w:hAnsi="Book Antiqua" w:cs="Book Antiqua"/>
          <w:color w:val="000000"/>
        </w:rPr>
        <w:t>CI: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Confidence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interval;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433250">
        <w:rPr>
          <w:rFonts w:ascii="Book Antiqua" w:eastAsia="Book Antiqua" w:hAnsi="Book Antiqua" w:cs="Book Antiqua"/>
          <w:color w:val="000000"/>
        </w:rPr>
        <w:t>SD:</w:t>
      </w:r>
      <w:r w:rsidR="001D59C8" w:rsidRPr="00433250"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Standard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433250">
        <w:rPr>
          <w:rFonts w:ascii="Book Antiqua" w:eastAsia="Book Antiqua" w:hAnsi="Book Antiqua" w:cs="Book Antiqua"/>
          <w:color w:val="000000"/>
        </w:rPr>
        <w:t>deviation.</w:t>
      </w:r>
    </w:p>
    <w:bookmarkEnd w:id="29"/>
    <w:bookmarkEnd w:id="30"/>
    <w:bookmarkEnd w:id="31"/>
    <w:p w14:paraId="777EC26C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bookmarkEnd w:id="32"/>
    <w:p w14:paraId="31DBD30F" w14:textId="61D0D99D" w:rsidR="00DD63D5" w:rsidRPr="00433250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4394EAD" wp14:editId="68ADFC17">
            <wp:extent cx="5486400" cy="29908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E1B5" w14:textId="5942F01D" w:rsidR="00DD63D5" w:rsidRPr="00433250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33250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80263A5" wp14:editId="6ACFF63C">
            <wp:extent cx="5486400" cy="243141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5E6F" w14:textId="5C81EA4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2709C" w:rsidRPr="00433250" w:rsidSect="007D01B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33" w:name="OLE_LINK7"/>
      <w:bookmarkStart w:id="34" w:name="OLE_LINK8"/>
      <w:bookmarkStart w:id="35" w:name="OLE_LINK11"/>
      <w:r w:rsidRPr="0043325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2979FD" w:rsidRPr="0043325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A: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Visual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analogue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scale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433250">
        <w:rPr>
          <w:rFonts w:ascii="Book Antiqua" w:eastAsia="Book Antiqua" w:hAnsi="Book Antiqua" w:cs="Book Antiqua"/>
          <w:color w:val="000000"/>
        </w:rPr>
        <w:t>(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A87319" w:rsidRPr="00433250">
        <w:rPr>
          <w:rFonts w:ascii="Book Antiqua" w:eastAsia="Book Antiqua" w:hAnsi="Book Antiqua" w:cs="Book Antiqua"/>
          <w:color w:val="000000"/>
        </w:rPr>
        <w:t>)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B: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8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C: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12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D: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at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24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E: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Nausea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vomiting;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F: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Headache;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G: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Urinary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retention;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H: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time;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433250">
        <w:rPr>
          <w:rFonts w:ascii="Book Antiqua" w:eastAsia="Book Antiqua" w:hAnsi="Book Antiqua" w:cs="Book Antiqua"/>
          <w:color w:val="000000"/>
        </w:rPr>
        <w:t>I: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Total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operative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anesthetic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time.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inward-sloping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dashed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make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trial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sequential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monitoring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boundaries.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To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right,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outward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sloping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dashed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make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up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futility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region.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solid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blue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is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cumulative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curve.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The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solid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green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line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presents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33250">
        <w:rPr>
          <w:rFonts w:ascii="Book Antiqua" w:eastAsia="Book Antiqua" w:hAnsi="Book Antiqua" w:cs="Book Antiqua"/>
          <w:color w:val="000000"/>
        </w:rPr>
        <w:t>penalised</w:t>
      </w:r>
      <w:proofErr w:type="spellEnd"/>
      <w:r w:rsidR="001D59C8" w:rsidRPr="004332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  <w:r w:rsidRPr="00433250">
        <w:rPr>
          <w:rFonts w:ascii="Book Antiqua" w:eastAsia="Book Antiqua" w:hAnsi="Book Antiqua" w:cs="Book Antiqua"/>
          <w:color w:val="000000"/>
        </w:rPr>
        <w:t>value.</w:t>
      </w:r>
      <w:r w:rsidR="001D59C8" w:rsidRPr="00433250">
        <w:rPr>
          <w:rFonts w:ascii="Book Antiqua" w:eastAsia="Book Antiqua" w:hAnsi="Book Antiqua" w:cs="Book Antiqua"/>
          <w:color w:val="000000"/>
        </w:rPr>
        <w:t xml:space="preserve"> </w:t>
      </w:r>
    </w:p>
    <w:bookmarkEnd w:id="33"/>
    <w:bookmarkEnd w:id="34"/>
    <w:bookmarkEnd w:id="35"/>
    <w:p w14:paraId="1F82CB87" w14:textId="6A1F9D9C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33250">
        <w:rPr>
          <w:rFonts w:ascii="Book Antiqua" w:eastAsia="Calibri" w:hAnsi="Book Antiqua"/>
          <w:b/>
          <w:bCs/>
        </w:rPr>
        <w:lastRenderedPageBreak/>
        <w:t>Table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1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  <w:b/>
          <w:bCs/>
        </w:rPr>
        <w:t>Summary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characteristics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of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included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studies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14"/>
        <w:gridCol w:w="506"/>
        <w:gridCol w:w="1047"/>
        <w:gridCol w:w="3845"/>
        <w:gridCol w:w="678"/>
        <w:gridCol w:w="1816"/>
        <w:gridCol w:w="443"/>
        <w:gridCol w:w="427"/>
      </w:tblGrid>
      <w:tr w:rsidR="0032709C" w:rsidRPr="00433250" w14:paraId="5B0B0910" w14:textId="77777777" w:rsidTr="0043325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C6AF9D" w14:textId="40799E8E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4C155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Ye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DC906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Countr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9C0C9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Journal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9CDD6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Des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E636EC" w14:textId="245D7112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Total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number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of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D5C8C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G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83B03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R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lastRenderedPageBreak/>
              <w:t>A</w:t>
            </w:r>
          </w:p>
        </w:tc>
      </w:tr>
      <w:tr w:rsidR="0032709C" w:rsidRPr="00433250" w14:paraId="56362AB9" w14:textId="77777777" w:rsidTr="0043325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51678CAB" w14:textId="7D38A06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Majedi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C8C5E8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012414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Iran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75FD08F" w14:textId="2B04E4DC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Advanced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Biomedical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1D0D08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2DC6C3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D31258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17A26F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40</w:t>
            </w:r>
          </w:p>
        </w:tc>
      </w:tr>
      <w:tr w:rsidR="0032709C" w:rsidRPr="00433250" w14:paraId="500A0454" w14:textId="77777777" w:rsidTr="00433250">
        <w:trPr>
          <w:trHeight w:val="300"/>
        </w:trPr>
        <w:tc>
          <w:tcPr>
            <w:tcW w:w="0" w:type="auto"/>
          </w:tcPr>
          <w:p w14:paraId="7711D63E" w14:textId="2AE5171F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Sharaf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noWrap/>
          </w:tcPr>
          <w:p w14:paraId="0254FCF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2018</w:t>
            </w:r>
          </w:p>
        </w:tc>
        <w:tc>
          <w:tcPr>
            <w:tcW w:w="0" w:type="auto"/>
            <w:noWrap/>
          </w:tcPr>
          <w:p w14:paraId="11794DB3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Pakistan</w:t>
            </w:r>
          </w:p>
        </w:tc>
        <w:tc>
          <w:tcPr>
            <w:tcW w:w="0" w:type="auto"/>
            <w:noWrap/>
          </w:tcPr>
          <w:p w14:paraId="75A687D2" w14:textId="7C7FD3F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Anaesthesia</w:t>
            </w:r>
            <w:proofErr w:type="spellEnd"/>
            <w:r w:rsidRPr="00433250">
              <w:rPr>
                <w:rFonts w:ascii="Book Antiqua" w:eastAsia="Calibri" w:hAnsi="Book Antiqua"/>
                <w:i/>
                <w:lang w:eastAsia="zh-CN"/>
              </w:rPr>
              <w:t>,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Pain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Intensive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Care</w:t>
            </w:r>
          </w:p>
        </w:tc>
        <w:tc>
          <w:tcPr>
            <w:tcW w:w="0" w:type="auto"/>
            <w:noWrap/>
          </w:tcPr>
          <w:p w14:paraId="10B5723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1BEA485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120</w:t>
            </w:r>
          </w:p>
        </w:tc>
        <w:tc>
          <w:tcPr>
            <w:tcW w:w="0" w:type="auto"/>
            <w:noWrap/>
          </w:tcPr>
          <w:p w14:paraId="05E5441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4770DE3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</w:tr>
      <w:tr w:rsidR="0032709C" w:rsidRPr="00433250" w14:paraId="711069D9" w14:textId="77777777" w:rsidTr="00433250">
        <w:trPr>
          <w:trHeight w:val="300"/>
        </w:trPr>
        <w:tc>
          <w:tcPr>
            <w:tcW w:w="0" w:type="auto"/>
          </w:tcPr>
          <w:p w14:paraId="2B54D944" w14:textId="0EFD1BCA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[11]</w:t>
            </w:r>
          </w:p>
        </w:tc>
        <w:tc>
          <w:tcPr>
            <w:tcW w:w="0" w:type="auto"/>
            <w:noWrap/>
          </w:tcPr>
          <w:p w14:paraId="711FDBD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2017</w:t>
            </w:r>
          </w:p>
        </w:tc>
        <w:tc>
          <w:tcPr>
            <w:tcW w:w="0" w:type="auto"/>
            <w:noWrap/>
          </w:tcPr>
          <w:p w14:paraId="6E42CF8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Turkey</w:t>
            </w:r>
          </w:p>
        </w:tc>
        <w:tc>
          <w:tcPr>
            <w:tcW w:w="0" w:type="auto"/>
            <w:noWrap/>
          </w:tcPr>
          <w:p w14:paraId="141F6B72" w14:textId="5B8D687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Annals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Treatment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0" w:type="auto"/>
            <w:noWrap/>
          </w:tcPr>
          <w:p w14:paraId="1469B75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36AACCD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49</w:t>
            </w:r>
          </w:p>
        </w:tc>
        <w:tc>
          <w:tcPr>
            <w:tcW w:w="0" w:type="auto"/>
            <w:noWrap/>
          </w:tcPr>
          <w:p w14:paraId="5181E85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0" w:type="auto"/>
            <w:noWrap/>
          </w:tcPr>
          <w:p w14:paraId="7FBC2CD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24</w:t>
            </w:r>
          </w:p>
        </w:tc>
      </w:tr>
      <w:tr w:rsidR="0032709C" w:rsidRPr="00433250" w14:paraId="1FAA54FC" w14:textId="77777777" w:rsidTr="00433250">
        <w:trPr>
          <w:trHeight w:val="300"/>
        </w:trPr>
        <w:tc>
          <w:tcPr>
            <w:tcW w:w="0" w:type="auto"/>
          </w:tcPr>
          <w:p w14:paraId="1DB9A9E3" w14:textId="70F356E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[14]</w:t>
            </w:r>
          </w:p>
        </w:tc>
        <w:tc>
          <w:tcPr>
            <w:tcW w:w="0" w:type="auto"/>
            <w:noWrap/>
          </w:tcPr>
          <w:p w14:paraId="76B72D4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2014</w:t>
            </w:r>
          </w:p>
        </w:tc>
        <w:tc>
          <w:tcPr>
            <w:tcW w:w="0" w:type="auto"/>
            <w:noWrap/>
          </w:tcPr>
          <w:p w14:paraId="6C50BF0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0" w:type="auto"/>
            <w:noWrap/>
          </w:tcPr>
          <w:p w14:paraId="70BD5F42" w14:textId="511A74D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Clinical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Diagnostic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0" w:type="auto"/>
            <w:noWrap/>
          </w:tcPr>
          <w:p w14:paraId="2BFC609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0C122CD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50</w:t>
            </w:r>
          </w:p>
        </w:tc>
        <w:tc>
          <w:tcPr>
            <w:tcW w:w="0" w:type="auto"/>
            <w:noWrap/>
          </w:tcPr>
          <w:p w14:paraId="304EFF7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0" w:type="auto"/>
            <w:noWrap/>
          </w:tcPr>
          <w:p w14:paraId="61AC078B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</w:p>
        </w:tc>
      </w:tr>
      <w:tr w:rsidR="0032709C" w:rsidRPr="00433250" w14:paraId="06976F4D" w14:textId="77777777" w:rsidTr="00433250">
        <w:trPr>
          <w:trHeight w:val="300"/>
        </w:trPr>
        <w:tc>
          <w:tcPr>
            <w:tcW w:w="0" w:type="auto"/>
          </w:tcPr>
          <w:p w14:paraId="648B1A31" w14:textId="7351BE5F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Prasad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0" w:type="auto"/>
            <w:noWrap/>
          </w:tcPr>
          <w:p w14:paraId="4778B10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2014</w:t>
            </w:r>
          </w:p>
        </w:tc>
        <w:tc>
          <w:tcPr>
            <w:tcW w:w="0" w:type="auto"/>
            <w:noWrap/>
          </w:tcPr>
          <w:p w14:paraId="7C2D251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0" w:type="auto"/>
            <w:noWrap/>
          </w:tcPr>
          <w:p w14:paraId="6AF52711" w14:textId="345C1AA2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Evolution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Medical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Dental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Sciences</w:t>
            </w:r>
          </w:p>
        </w:tc>
        <w:tc>
          <w:tcPr>
            <w:tcW w:w="0" w:type="auto"/>
            <w:noWrap/>
          </w:tcPr>
          <w:p w14:paraId="59E8A21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4C9F7AB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1D338BF5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14:paraId="5D8D08C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433250" w14:paraId="6CE626D4" w14:textId="77777777" w:rsidTr="00433250">
        <w:trPr>
          <w:trHeight w:val="300"/>
        </w:trPr>
        <w:tc>
          <w:tcPr>
            <w:tcW w:w="0" w:type="auto"/>
          </w:tcPr>
          <w:p w14:paraId="7A9593BE" w14:textId="49EAA2B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[12]</w:t>
            </w:r>
          </w:p>
        </w:tc>
        <w:tc>
          <w:tcPr>
            <w:tcW w:w="0" w:type="auto"/>
            <w:noWrap/>
          </w:tcPr>
          <w:p w14:paraId="5751D7C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2013</w:t>
            </w:r>
          </w:p>
        </w:tc>
        <w:tc>
          <w:tcPr>
            <w:tcW w:w="0" w:type="auto"/>
            <w:noWrap/>
          </w:tcPr>
          <w:p w14:paraId="79CF118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0" w:type="auto"/>
            <w:noWrap/>
          </w:tcPr>
          <w:p w14:paraId="17DF6E83" w14:textId="562A8A7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Egyptian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Anaesthesia</w:t>
            </w:r>
            <w:proofErr w:type="spellEnd"/>
          </w:p>
        </w:tc>
        <w:tc>
          <w:tcPr>
            <w:tcW w:w="0" w:type="auto"/>
            <w:noWrap/>
          </w:tcPr>
          <w:p w14:paraId="719F59C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0943038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40</w:t>
            </w:r>
          </w:p>
        </w:tc>
        <w:tc>
          <w:tcPr>
            <w:tcW w:w="0" w:type="auto"/>
            <w:noWrap/>
          </w:tcPr>
          <w:p w14:paraId="6AEA1CF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0" w:type="auto"/>
            <w:noWrap/>
          </w:tcPr>
          <w:p w14:paraId="3265226B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</w:p>
        </w:tc>
      </w:tr>
      <w:tr w:rsidR="0032709C" w:rsidRPr="00433250" w14:paraId="68522891" w14:textId="77777777" w:rsidTr="00433250">
        <w:trPr>
          <w:trHeight w:val="300"/>
        </w:trPr>
        <w:tc>
          <w:tcPr>
            <w:tcW w:w="0" w:type="auto"/>
          </w:tcPr>
          <w:p w14:paraId="546C898D" w14:textId="5FC66D0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Tiwari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[20]</w:t>
            </w:r>
          </w:p>
        </w:tc>
        <w:tc>
          <w:tcPr>
            <w:tcW w:w="0" w:type="auto"/>
            <w:noWrap/>
          </w:tcPr>
          <w:p w14:paraId="62E5CDD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2013</w:t>
            </w:r>
          </w:p>
        </w:tc>
        <w:tc>
          <w:tcPr>
            <w:tcW w:w="0" w:type="auto"/>
            <w:noWrap/>
          </w:tcPr>
          <w:p w14:paraId="2516DFB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0" w:type="auto"/>
            <w:noWrap/>
          </w:tcPr>
          <w:p w14:paraId="79904551" w14:textId="47E61C92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Minimal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Access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Surgery</w:t>
            </w:r>
          </w:p>
        </w:tc>
        <w:tc>
          <w:tcPr>
            <w:tcW w:w="0" w:type="auto"/>
            <w:noWrap/>
          </w:tcPr>
          <w:p w14:paraId="2EC0213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1BC757A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235</w:t>
            </w:r>
          </w:p>
        </w:tc>
        <w:tc>
          <w:tcPr>
            <w:tcW w:w="0" w:type="auto"/>
            <w:noWrap/>
          </w:tcPr>
          <w:p w14:paraId="497A9A9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114</w:t>
            </w:r>
          </w:p>
        </w:tc>
        <w:tc>
          <w:tcPr>
            <w:tcW w:w="0" w:type="auto"/>
            <w:noWrap/>
          </w:tcPr>
          <w:p w14:paraId="7F89E63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110</w:t>
            </w:r>
          </w:p>
        </w:tc>
      </w:tr>
      <w:tr w:rsidR="0032709C" w:rsidRPr="00433250" w14:paraId="21C09997" w14:textId="77777777" w:rsidTr="00433250">
        <w:trPr>
          <w:trHeight w:val="300"/>
        </w:trPr>
        <w:tc>
          <w:tcPr>
            <w:tcW w:w="0" w:type="auto"/>
          </w:tcPr>
          <w:p w14:paraId="32EB394A" w14:textId="3BB3D3C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[5]</w:t>
            </w:r>
          </w:p>
        </w:tc>
        <w:tc>
          <w:tcPr>
            <w:tcW w:w="0" w:type="auto"/>
            <w:noWrap/>
          </w:tcPr>
          <w:p w14:paraId="050193F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2012</w:t>
            </w:r>
          </w:p>
        </w:tc>
        <w:tc>
          <w:tcPr>
            <w:tcW w:w="0" w:type="auto"/>
            <w:noWrap/>
          </w:tcPr>
          <w:p w14:paraId="28963A8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0" w:type="auto"/>
            <w:noWrap/>
          </w:tcPr>
          <w:p w14:paraId="2650380B" w14:textId="6ACBB75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Laparoendoscopic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Advanced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Techniques</w:t>
            </w:r>
          </w:p>
        </w:tc>
        <w:tc>
          <w:tcPr>
            <w:tcW w:w="0" w:type="auto"/>
            <w:noWrap/>
          </w:tcPr>
          <w:p w14:paraId="6E82C02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2912A74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180</w:t>
            </w:r>
          </w:p>
        </w:tc>
        <w:tc>
          <w:tcPr>
            <w:tcW w:w="0" w:type="auto"/>
            <w:noWrap/>
          </w:tcPr>
          <w:p w14:paraId="4BA84C9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90</w:t>
            </w:r>
          </w:p>
        </w:tc>
        <w:tc>
          <w:tcPr>
            <w:tcW w:w="0" w:type="auto"/>
            <w:noWrap/>
          </w:tcPr>
          <w:p w14:paraId="128F6273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90</w:t>
            </w:r>
          </w:p>
        </w:tc>
      </w:tr>
      <w:tr w:rsidR="0032709C" w:rsidRPr="00433250" w14:paraId="4E6BD135" w14:textId="77777777" w:rsidTr="00433250">
        <w:trPr>
          <w:trHeight w:val="300"/>
        </w:trPr>
        <w:tc>
          <w:tcPr>
            <w:tcW w:w="0" w:type="auto"/>
          </w:tcPr>
          <w:p w14:paraId="74D0F817" w14:textId="088B63E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Ross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0" w:type="auto"/>
            <w:noWrap/>
          </w:tcPr>
          <w:p w14:paraId="0FCA7A1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2012</w:t>
            </w:r>
          </w:p>
        </w:tc>
        <w:tc>
          <w:tcPr>
            <w:tcW w:w="0" w:type="auto"/>
            <w:noWrap/>
          </w:tcPr>
          <w:p w14:paraId="65B9FE25" w14:textId="79DD9D6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United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States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  <w:noWrap/>
          </w:tcPr>
          <w:p w14:paraId="2B57CA14" w14:textId="20CFE46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Endoscopy</w:t>
            </w:r>
          </w:p>
        </w:tc>
        <w:tc>
          <w:tcPr>
            <w:tcW w:w="0" w:type="auto"/>
            <w:noWrap/>
          </w:tcPr>
          <w:p w14:paraId="61F025A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54E2317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0" w:type="auto"/>
            <w:noWrap/>
          </w:tcPr>
          <w:p w14:paraId="0490975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</w:t>
            </w:r>
          </w:p>
        </w:tc>
        <w:tc>
          <w:tcPr>
            <w:tcW w:w="0" w:type="auto"/>
            <w:noWrap/>
          </w:tcPr>
          <w:p w14:paraId="3A0AE123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</w:t>
            </w:r>
          </w:p>
        </w:tc>
      </w:tr>
      <w:tr w:rsidR="0032709C" w:rsidRPr="00433250" w14:paraId="43A60154" w14:textId="77777777" w:rsidTr="00433250">
        <w:trPr>
          <w:trHeight w:val="300"/>
        </w:trPr>
        <w:tc>
          <w:tcPr>
            <w:tcW w:w="0" w:type="auto"/>
          </w:tcPr>
          <w:p w14:paraId="1945C1C3" w14:textId="5517A5F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Mehta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0" w:type="auto"/>
            <w:noWrap/>
          </w:tcPr>
          <w:p w14:paraId="242711B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0" w:type="auto"/>
            <w:noWrap/>
          </w:tcPr>
          <w:p w14:paraId="09DF2B9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0" w:type="auto"/>
            <w:noWrap/>
          </w:tcPr>
          <w:p w14:paraId="5198FE3A" w14:textId="124F744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Anesthesia,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Essays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Researches</w:t>
            </w:r>
          </w:p>
        </w:tc>
        <w:tc>
          <w:tcPr>
            <w:tcW w:w="0" w:type="auto"/>
            <w:noWrap/>
          </w:tcPr>
          <w:p w14:paraId="755DC8E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29F0BA2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1322569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14:paraId="2760B25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433250" w14:paraId="36437466" w14:textId="77777777" w:rsidTr="00433250">
        <w:trPr>
          <w:trHeight w:val="300"/>
        </w:trPr>
        <w:tc>
          <w:tcPr>
            <w:tcW w:w="0" w:type="auto"/>
          </w:tcPr>
          <w:p w14:paraId="528DD1ED" w14:textId="30A24FF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[13]</w:t>
            </w:r>
          </w:p>
        </w:tc>
        <w:tc>
          <w:tcPr>
            <w:tcW w:w="0" w:type="auto"/>
            <w:noWrap/>
          </w:tcPr>
          <w:p w14:paraId="25BB45D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0" w:type="auto"/>
            <w:noWrap/>
          </w:tcPr>
          <w:p w14:paraId="1C7333A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Brazil</w:t>
            </w:r>
          </w:p>
        </w:tc>
        <w:tc>
          <w:tcPr>
            <w:tcW w:w="0" w:type="auto"/>
            <w:noWrap/>
          </w:tcPr>
          <w:p w14:paraId="0A9172C0" w14:textId="66A0DE5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Revista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Brasileira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de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Anestesiologia</w:t>
            </w:r>
            <w:proofErr w:type="spellEnd"/>
          </w:p>
        </w:tc>
        <w:tc>
          <w:tcPr>
            <w:tcW w:w="0" w:type="auto"/>
            <w:noWrap/>
          </w:tcPr>
          <w:p w14:paraId="08EBE48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5CA9D78B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68</w:t>
            </w:r>
          </w:p>
        </w:tc>
        <w:tc>
          <w:tcPr>
            <w:tcW w:w="0" w:type="auto"/>
            <w:noWrap/>
          </w:tcPr>
          <w:p w14:paraId="7ABECF8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33</w:t>
            </w:r>
          </w:p>
        </w:tc>
        <w:tc>
          <w:tcPr>
            <w:tcW w:w="0" w:type="auto"/>
            <w:noWrap/>
          </w:tcPr>
          <w:p w14:paraId="052D4F2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35</w:t>
            </w:r>
          </w:p>
        </w:tc>
      </w:tr>
      <w:tr w:rsidR="0032709C" w:rsidRPr="00433250" w14:paraId="7AE7D896" w14:textId="77777777" w:rsidTr="00433250">
        <w:trPr>
          <w:trHeight w:val="300"/>
        </w:trPr>
        <w:tc>
          <w:tcPr>
            <w:tcW w:w="0" w:type="auto"/>
          </w:tcPr>
          <w:p w14:paraId="54D53AFB" w14:textId="29BBC0A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[21]</w:t>
            </w:r>
          </w:p>
        </w:tc>
        <w:tc>
          <w:tcPr>
            <w:tcW w:w="0" w:type="auto"/>
            <w:noWrap/>
          </w:tcPr>
          <w:p w14:paraId="1344856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0" w:type="auto"/>
            <w:noWrap/>
          </w:tcPr>
          <w:p w14:paraId="46BF830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0" w:type="auto"/>
            <w:noWrap/>
          </w:tcPr>
          <w:p w14:paraId="3C13B5D5" w14:textId="341F2BC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i/>
                <w:lang w:eastAsia="zh-CN"/>
              </w:rPr>
              <w:t>Laparoendoscopic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433250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Advanced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Techniques</w:t>
            </w:r>
          </w:p>
        </w:tc>
        <w:tc>
          <w:tcPr>
            <w:tcW w:w="0" w:type="auto"/>
            <w:noWrap/>
          </w:tcPr>
          <w:p w14:paraId="5B338EFC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640134E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1D56AC0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14:paraId="2113426B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433250" w14:paraId="7D89E851" w14:textId="77777777" w:rsidTr="00433250">
        <w:trPr>
          <w:trHeight w:val="300"/>
        </w:trPr>
        <w:tc>
          <w:tcPr>
            <w:tcW w:w="0" w:type="auto"/>
          </w:tcPr>
          <w:p w14:paraId="2B6CEAE7" w14:textId="073B1BAB" w:rsidR="0032709C" w:rsidRPr="00433250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</w:rPr>
              <w:t>Tzovaras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="0060315B" w:rsidRPr="00433250">
              <w:rPr>
                <w:rFonts w:ascii="Book Antiqua" w:eastAsia="Calibri" w:hAnsi="Book Antiqua"/>
                <w:vertAlign w:val="superscript"/>
                <w:lang w:eastAsia="zh-CN"/>
              </w:rPr>
              <w:t>[4]</w:t>
            </w:r>
          </w:p>
        </w:tc>
        <w:tc>
          <w:tcPr>
            <w:tcW w:w="0" w:type="auto"/>
            <w:noWrap/>
          </w:tcPr>
          <w:p w14:paraId="0C7C75DD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2008</w:t>
            </w:r>
          </w:p>
        </w:tc>
        <w:tc>
          <w:tcPr>
            <w:tcW w:w="0" w:type="auto"/>
            <w:noWrap/>
          </w:tcPr>
          <w:p w14:paraId="1DC25FE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Greece</w:t>
            </w:r>
          </w:p>
        </w:tc>
        <w:tc>
          <w:tcPr>
            <w:tcW w:w="0" w:type="auto"/>
            <w:noWrap/>
          </w:tcPr>
          <w:p w14:paraId="44E4DDE1" w14:textId="1B8A1E2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433250">
              <w:rPr>
                <w:rFonts w:ascii="Book Antiqua" w:eastAsia="Calibri" w:hAnsi="Book Antiqua"/>
                <w:i/>
                <w:lang w:eastAsia="zh-CN"/>
              </w:rPr>
              <w:t>Archives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lang w:eastAsia="zh-CN"/>
              </w:rPr>
              <w:t>Surgery</w:t>
            </w:r>
          </w:p>
        </w:tc>
        <w:tc>
          <w:tcPr>
            <w:tcW w:w="0" w:type="auto"/>
            <w:noWrap/>
          </w:tcPr>
          <w:p w14:paraId="1B20E1D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0" w:type="auto"/>
            <w:noWrap/>
          </w:tcPr>
          <w:p w14:paraId="578504E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100</w:t>
            </w:r>
          </w:p>
        </w:tc>
        <w:tc>
          <w:tcPr>
            <w:tcW w:w="0" w:type="auto"/>
            <w:noWrap/>
          </w:tcPr>
          <w:p w14:paraId="25198E7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50</w:t>
            </w:r>
          </w:p>
        </w:tc>
        <w:tc>
          <w:tcPr>
            <w:tcW w:w="0" w:type="auto"/>
            <w:noWrap/>
          </w:tcPr>
          <w:p w14:paraId="607B842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50</w:t>
            </w:r>
          </w:p>
        </w:tc>
      </w:tr>
    </w:tbl>
    <w:p w14:paraId="25616FC2" w14:textId="44A9E23B" w:rsidR="0032709C" w:rsidRPr="00433250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</w:rPr>
      </w:pPr>
      <w:r w:rsidRPr="00433250">
        <w:rPr>
          <w:rFonts w:ascii="Book Antiqua" w:eastAsia="Calibri" w:hAnsi="Book Antiqua"/>
        </w:rPr>
        <w:t>RCT: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Randomized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controlled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trial;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GA: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General</w:t>
      </w:r>
      <w:r w:rsidR="001D59C8" w:rsidRPr="00433250">
        <w:rPr>
          <w:rFonts w:ascii="Book Antiqua" w:eastAsia="Calibri" w:hAnsi="Book Antiqua"/>
        </w:rPr>
        <w:t xml:space="preserve"> </w:t>
      </w:r>
      <w:r w:rsidR="00A605F4" w:rsidRPr="00433250">
        <w:rPr>
          <w:rFonts w:ascii="Book Antiqua" w:eastAsia="Calibri" w:hAnsi="Book Antiqua"/>
        </w:rPr>
        <w:t>a</w:t>
      </w:r>
      <w:r w:rsidR="0060315B" w:rsidRPr="00433250">
        <w:rPr>
          <w:rFonts w:ascii="Book Antiqua" w:eastAsia="Calibri" w:hAnsi="Book Antiqua"/>
        </w:rPr>
        <w:t>nesthesia;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RA: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Regional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eastAsia="Calibri" w:hAnsi="Book Antiqua"/>
        </w:rPr>
        <w:t>anesthesia</w:t>
      </w:r>
      <w:r w:rsidRPr="00433250">
        <w:rPr>
          <w:rFonts w:ascii="Book Antiqua" w:eastAsia="Calibri" w:hAnsi="Book Antiqua"/>
        </w:rPr>
        <w:t>.</w:t>
      </w:r>
      <w:r w:rsidR="001D59C8" w:rsidRPr="00433250">
        <w:rPr>
          <w:rFonts w:ascii="Book Antiqua" w:eastAsia="Calibri" w:hAnsi="Book Antiqua"/>
        </w:rPr>
        <w:t xml:space="preserve"> </w:t>
      </w:r>
      <w:r w:rsidR="0060315B" w:rsidRPr="00433250">
        <w:rPr>
          <w:rFonts w:ascii="Book Antiqua" w:hAnsi="Book Antiqua"/>
        </w:rPr>
        <w:br w:type="page"/>
      </w:r>
    </w:p>
    <w:p w14:paraId="26092CF6" w14:textId="71F4B1CA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</w:rPr>
      </w:pPr>
      <w:r w:rsidRPr="00433250">
        <w:rPr>
          <w:rFonts w:ascii="Book Antiqua" w:eastAsia="Calibri" w:hAnsi="Book Antiqua"/>
          <w:b/>
          <w:bCs/>
        </w:rPr>
        <w:lastRenderedPageBreak/>
        <w:t>Table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2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  <w:b/>
          <w:bCs/>
        </w:rPr>
        <w:t>Demography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and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clinical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characteristics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of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the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patients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88"/>
        <w:gridCol w:w="1183"/>
        <w:gridCol w:w="1183"/>
        <w:gridCol w:w="839"/>
        <w:gridCol w:w="839"/>
        <w:gridCol w:w="1348"/>
        <w:gridCol w:w="1218"/>
        <w:gridCol w:w="739"/>
        <w:gridCol w:w="739"/>
      </w:tblGrid>
      <w:tr w:rsidR="0032709C" w:rsidRPr="00433250" w14:paraId="1EBBDFE4" w14:textId="77777777" w:rsidTr="0043325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E1B942" w14:textId="42282652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CFE8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0C796C" w14:textId="13FC80C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Male:</w:t>
            </w:r>
            <w:r w:rsidR="003665EB" w:rsidRPr="00433250">
              <w:rPr>
                <w:rFonts w:ascii="Book Antiqua" w:eastAsia="Calibri" w:hAnsi="Book Antiqua"/>
                <w:b/>
                <w:bCs/>
                <w:lang w:eastAsia="zh-CN"/>
              </w:rPr>
              <w:t>f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emale</w:t>
            </w:r>
            <w:proofErr w:type="spellEnd"/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9B06EB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BMI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652151" w14:textId="1F65474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ASA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I: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II: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III</w:t>
            </w:r>
          </w:p>
        </w:tc>
      </w:tr>
      <w:tr w:rsidR="0032709C" w:rsidRPr="00433250" w14:paraId="34111A91" w14:textId="77777777" w:rsidTr="0043325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01E6" w14:textId="77777777" w:rsidR="0032709C" w:rsidRPr="00433250" w:rsidRDefault="0032709C" w:rsidP="00C610A9">
            <w:pPr>
              <w:adjustRightInd w:val="0"/>
              <w:snapToGrid w:val="0"/>
              <w:spacing w:line="360" w:lineRule="auto"/>
              <w:ind w:firstLine="482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1AA6C1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7BF78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4DA55" w14:textId="4108A63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C896E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518284" w14:textId="03DE6FD2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08EC0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54905B" w14:textId="72DABF6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32C08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</w:tr>
      <w:tr w:rsidR="0032709C" w:rsidRPr="00433250" w14:paraId="047FF98E" w14:textId="77777777" w:rsidTr="0043325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0F34FB81" w14:textId="28287C5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Majedi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EA13AA2" w14:textId="5729F4E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50.1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9.78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A535097" w14:textId="58FBE7B7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52.06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9476E86" w14:textId="6F162EA7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14: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467D0F7" w14:textId="5A63936F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DC855B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98E34D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F8DD54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F3BCEF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6E7E4374" w14:textId="77777777" w:rsidTr="00433250">
        <w:trPr>
          <w:trHeight w:val="300"/>
        </w:trPr>
        <w:tc>
          <w:tcPr>
            <w:tcW w:w="0" w:type="auto"/>
            <w:noWrap/>
          </w:tcPr>
          <w:p w14:paraId="3C9580EC" w14:textId="41D46D3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Sharaf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noWrap/>
          </w:tcPr>
          <w:p w14:paraId="4E7FAA63" w14:textId="701717C1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44.07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5.62</w:t>
            </w:r>
          </w:p>
        </w:tc>
        <w:tc>
          <w:tcPr>
            <w:tcW w:w="0" w:type="auto"/>
            <w:noWrap/>
          </w:tcPr>
          <w:p w14:paraId="12B86AD7" w14:textId="3FEBED4F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42.57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5.77</w:t>
            </w:r>
          </w:p>
        </w:tc>
        <w:tc>
          <w:tcPr>
            <w:tcW w:w="0" w:type="auto"/>
            <w:noWrap/>
          </w:tcPr>
          <w:p w14:paraId="47E76989" w14:textId="5073F954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13C885CA" w14:textId="69A32BC8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0" w:type="auto"/>
            <w:noWrap/>
          </w:tcPr>
          <w:p w14:paraId="0EC141C5" w14:textId="7AF8CD1E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25.41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2.36</w:t>
            </w:r>
          </w:p>
        </w:tc>
        <w:tc>
          <w:tcPr>
            <w:tcW w:w="0" w:type="auto"/>
            <w:noWrap/>
          </w:tcPr>
          <w:p w14:paraId="2704DC90" w14:textId="5C56600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2.31</w:t>
            </w:r>
          </w:p>
        </w:tc>
        <w:tc>
          <w:tcPr>
            <w:tcW w:w="0" w:type="auto"/>
            <w:noWrap/>
          </w:tcPr>
          <w:p w14:paraId="008E4A6C" w14:textId="32C9D06A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14:46: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0" w:type="auto"/>
            <w:noWrap/>
          </w:tcPr>
          <w:p w14:paraId="6DC9B6FF" w14:textId="34E912BD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22:38: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  <w:tr w:rsidR="0032709C" w:rsidRPr="00433250" w14:paraId="0017F189" w14:textId="77777777" w:rsidTr="00433250">
        <w:trPr>
          <w:trHeight w:val="300"/>
        </w:trPr>
        <w:tc>
          <w:tcPr>
            <w:tcW w:w="0" w:type="auto"/>
            <w:noWrap/>
          </w:tcPr>
          <w:p w14:paraId="7CEEB764" w14:textId="3445FE6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[11]</w:t>
            </w:r>
          </w:p>
        </w:tc>
        <w:tc>
          <w:tcPr>
            <w:tcW w:w="0" w:type="auto"/>
            <w:noWrap/>
          </w:tcPr>
          <w:p w14:paraId="6CFE7A13" w14:textId="38735EF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14:paraId="799E29C1" w14:textId="60CC67E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14</w:t>
            </w:r>
          </w:p>
        </w:tc>
        <w:tc>
          <w:tcPr>
            <w:tcW w:w="0" w:type="auto"/>
            <w:noWrap/>
          </w:tcPr>
          <w:p w14:paraId="43B4BEE2" w14:textId="147F6A21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07</w:t>
            </w:r>
          </w:p>
        </w:tc>
        <w:tc>
          <w:tcPr>
            <w:tcW w:w="0" w:type="auto"/>
            <w:noWrap/>
          </w:tcPr>
          <w:p w14:paraId="080BC1FE" w14:textId="06D22C90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6</w:t>
            </w:r>
          </w:p>
        </w:tc>
        <w:tc>
          <w:tcPr>
            <w:tcW w:w="0" w:type="auto"/>
            <w:noWrap/>
          </w:tcPr>
          <w:p w14:paraId="461DD13D" w14:textId="6F6DD439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28.75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4.5</w:t>
            </w:r>
          </w:p>
        </w:tc>
        <w:tc>
          <w:tcPr>
            <w:tcW w:w="0" w:type="auto"/>
            <w:noWrap/>
          </w:tcPr>
          <w:p w14:paraId="00F0F232" w14:textId="195A67C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30.63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3.6</w:t>
            </w:r>
          </w:p>
        </w:tc>
        <w:tc>
          <w:tcPr>
            <w:tcW w:w="0" w:type="auto"/>
            <w:noWrap/>
          </w:tcPr>
          <w:p w14:paraId="36882442" w14:textId="4AB97F33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18:7: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0" w:type="auto"/>
            <w:noWrap/>
          </w:tcPr>
          <w:p w14:paraId="1FE3C562" w14:textId="75B59346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16:6: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</w:t>
            </w:r>
          </w:p>
        </w:tc>
      </w:tr>
      <w:tr w:rsidR="0032709C" w:rsidRPr="00433250" w14:paraId="035880D7" w14:textId="77777777" w:rsidTr="00433250">
        <w:trPr>
          <w:trHeight w:val="300"/>
        </w:trPr>
        <w:tc>
          <w:tcPr>
            <w:tcW w:w="0" w:type="auto"/>
            <w:noWrap/>
          </w:tcPr>
          <w:p w14:paraId="3199B956" w14:textId="4FDA102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[14]</w:t>
            </w:r>
          </w:p>
        </w:tc>
        <w:tc>
          <w:tcPr>
            <w:tcW w:w="0" w:type="auto"/>
            <w:noWrap/>
          </w:tcPr>
          <w:p w14:paraId="7167E44B" w14:textId="6E56A54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47.84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10.49</w:t>
            </w:r>
          </w:p>
        </w:tc>
        <w:tc>
          <w:tcPr>
            <w:tcW w:w="0" w:type="auto"/>
            <w:noWrap/>
          </w:tcPr>
          <w:p w14:paraId="39AE06BC" w14:textId="0362769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11.73</w:t>
            </w:r>
          </w:p>
        </w:tc>
        <w:tc>
          <w:tcPr>
            <w:tcW w:w="0" w:type="auto"/>
            <w:noWrap/>
          </w:tcPr>
          <w:p w14:paraId="64452CF1" w14:textId="44267A8F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08: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17</w:t>
            </w:r>
          </w:p>
        </w:tc>
        <w:tc>
          <w:tcPr>
            <w:tcW w:w="0" w:type="auto"/>
            <w:noWrap/>
          </w:tcPr>
          <w:p w14:paraId="4CDA00CD" w14:textId="3B2FE3B2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15</w:t>
            </w:r>
          </w:p>
        </w:tc>
        <w:tc>
          <w:tcPr>
            <w:tcW w:w="0" w:type="auto"/>
            <w:noWrap/>
          </w:tcPr>
          <w:p w14:paraId="625D9DD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3C7D84D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365D30D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3027D664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67E237FE" w14:textId="77777777" w:rsidTr="00433250">
        <w:trPr>
          <w:trHeight w:val="300"/>
        </w:trPr>
        <w:tc>
          <w:tcPr>
            <w:tcW w:w="0" w:type="auto"/>
            <w:noWrap/>
          </w:tcPr>
          <w:p w14:paraId="755368A8" w14:textId="045CF12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Prasad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0" w:type="auto"/>
            <w:noWrap/>
          </w:tcPr>
          <w:p w14:paraId="1BE2E9D9" w14:textId="08E49F2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38.5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9.83</w:t>
            </w:r>
          </w:p>
        </w:tc>
        <w:tc>
          <w:tcPr>
            <w:tcW w:w="0" w:type="auto"/>
            <w:noWrap/>
          </w:tcPr>
          <w:p w14:paraId="6B31E433" w14:textId="241F6004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35.06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7.5</w:t>
            </w:r>
          </w:p>
        </w:tc>
        <w:tc>
          <w:tcPr>
            <w:tcW w:w="0" w:type="auto"/>
            <w:noWrap/>
          </w:tcPr>
          <w:p w14:paraId="740C6578" w14:textId="648E8A65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14:paraId="1A9DB0FF" w14:textId="7D980C88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17: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14:paraId="2E9BD89E" w14:textId="049B953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23.</w:t>
            </w:r>
            <w:r w:rsidR="00DD63D5" w:rsidRPr="00433250">
              <w:rPr>
                <w:rFonts w:ascii="Book Antiqua" w:eastAsia="Calibri" w:hAnsi="Book Antiqua"/>
                <w:lang w:eastAsia="zh-CN"/>
              </w:rPr>
              <w:t>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1.98</w:t>
            </w:r>
          </w:p>
        </w:tc>
        <w:tc>
          <w:tcPr>
            <w:tcW w:w="0" w:type="auto"/>
            <w:noWrap/>
          </w:tcPr>
          <w:p w14:paraId="2BD1DECC" w14:textId="6308647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22.96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2.98</w:t>
            </w:r>
          </w:p>
        </w:tc>
        <w:tc>
          <w:tcPr>
            <w:tcW w:w="0" w:type="auto"/>
            <w:noWrap/>
          </w:tcPr>
          <w:p w14:paraId="2D5CF0D5" w14:textId="1FF9D8EC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23: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7: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0" w:type="auto"/>
            <w:noWrap/>
          </w:tcPr>
          <w:p w14:paraId="618FE21C" w14:textId="0A9E2C7F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22:8: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  <w:tr w:rsidR="0032709C" w:rsidRPr="00433250" w14:paraId="6474D976" w14:textId="77777777" w:rsidTr="00433250">
        <w:trPr>
          <w:trHeight w:val="300"/>
        </w:trPr>
        <w:tc>
          <w:tcPr>
            <w:tcW w:w="0" w:type="auto"/>
            <w:noWrap/>
          </w:tcPr>
          <w:p w14:paraId="6C8AF3B9" w14:textId="0CD7EDC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[12]</w:t>
            </w:r>
          </w:p>
        </w:tc>
        <w:tc>
          <w:tcPr>
            <w:tcW w:w="0" w:type="auto"/>
            <w:noWrap/>
          </w:tcPr>
          <w:p w14:paraId="29B4E1FD" w14:textId="094D652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44.3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13.2</w:t>
            </w:r>
          </w:p>
        </w:tc>
        <w:tc>
          <w:tcPr>
            <w:tcW w:w="0" w:type="auto"/>
            <w:noWrap/>
          </w:tcPr>
          <w:p w14:paraId="1B4E8266" w14:textId="46792C9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45.9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13.6</w:t>
            </w:r>
          </w:p>
        </w:tc>
        <w:tc>
          <w:tcPr>
            <w:tcW w:w="0" w:type="auto"/>
            <w:noWrap/>
          </w:tcPr>
          <w:p w14:paraId="2DED5494" w14:textId="4E2E7F73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07: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0" w:type="auto"/>
            <w:noWrap/>
          </w:tcPr>
          <w:p w14:paraId="04D27D39" w14:textId="06A46BE9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12</w:t>
            </w:r>
          </w:p>
        </w:tc>
        <w:tc>
          <w:tcPr>
            <w:tcW w:w="0" w:type="auto"/>
            <w:noWrap/>
          </w:tcPr>
          <w:p w14:paraId="1A1AA3D0" w14:textId="1F5F11B9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3.9</w:t>
            </w:r>
          </w:p>
        </w:tc>
        <w:tc>
          <w:tcPr>
            <w:tcW w:w="0" w:type="auto"/>
            <w:noWrap/>
          </w:tcPr>
          <w:p w14:paraId="0B0B2D92" w14:textId="519D046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29.8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4.1</w:t>
            </w:r>
          </w:p>
        </w:tc>
        <w:tc>
          <w:tcPr>
            <w:tcW w:w="0" w:type="auto"/>
            <w:noWrap/>
          </w:tcPr>
          <w:p w14:paraId="46DFE6B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16A21E65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35163AF3" w14:textId="77777777" w:rsidTr="00433250">
        <w:trPr>
          <w:trHeight w:val="300"/>
        </w:trPr>
        <w:tc>
          <w:tcPr>
            <w:tcW w:w="0" w:type="auto"/>
            <w:noWrap/>
          </w:tcPr>
          <w:p w14:paraId="71C77CB9" w14:textId="6C996EE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Tiwari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[20]</w:t>
            </w:r>
          </w:p>
        </w:tc>
        <w:tc>
          <w:tcPr>
            <w:tcW w:w="0" w:type="auto"/>
            <w:noWrap/>
          </w:tcPr>
          <w:p w14:paraId="0D08C4E3" w14:textId="6D6EDCE4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46.1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12.9</w:t>
            </w:r>
          </w:p>
        </w:tc>
        <w:tc>
          <w:tcPr>
            <w:tcW w:w="0" w:type="auto"/>
            <w:noWrap/>
          </w:tcPr>
          <w:p w14:paraId="2475FFB9" w14:textId="628B10E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45.07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Pr="00433250">
              <w:rPr>
                <w:rFonts w:ascii="Book Antiqua" w:eastAsia="Calibri" w:hAnsi="Book Antiqua"/>
                <w:lang w:eastAsia="zh-CN"/>
              </w:rPr>
              <w:t>13.19</w:t>
            </w:r>
          </w:p>
        </w:tc>
        <w:tc>
          <w:tcPr>
            <w:tcW w:w="0" w:type="auto"/>
            <w:noWrap/>
          </w:tcPr>
          <w:p w14:paraId="5DE02C14" w14:textId="7B5A041B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98</w:t>
            </w:r>
          </w:p>
        </w:tc>
        <w:tc>
          <w:tcPr>
            <w:tcW w:w="0" w:type="auto"/>
            <w:noWrap/>
          </w:tcPr>
          <w:p w14:paraId="7C07ED3A" w14:textId="214754A6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13: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96</w:t>
            </w:r>
          </w:p>
        </w:tc>
        <w:tc>
          <w:tcPr>
            <w:tcW w:w="0" w:type="auto"/>
            <w:noWrap/>
          </w:tcPr>
          <w:p w14:paraId="5724D4D6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3B05FEDE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700F5E6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18A60B8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043A0298" w14:textId="77777777" w:rsidTr="00433250">
        <w:trPr>
          <w:trHeight w:val="300"/>
        </w:trPr>
        <w:tc>
          <w:tcPr>
            <w:tcW w:w="0" w:type="auto"/>
            <w:noWrap/>
          </w:tcPr>
          <w:p w14:paraId="30E0597D" w14:textId="71C5139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[5]</w:t>
            </w:r>
          </w:p>
        </w:tc>
        <w:tc>
          <w:tcPr>
            <w:tcW w:w="0" w:type="auto"/>
            <w:noWrap/>
          </w:tcPr>
          <w:p w14:paraId="29D5E8C1" w14:textId="3E7332C0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44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(19-50)</w:t>
            </w:r>
          </w:p>
        </w:tc>
        <w:tc>
          <w:tcPr>
            <w:tcW w:w="0" w:type="auto"/>
            <w:noWrap/>
          </w:tcPr>
          <w:p w14:paraId="0E4EED83" w14:textId="066CB7BC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(16-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50)</w:t>
            </w:r>
          </w:p>
        </w:tc>
        <w:tc>
          <w:tcPr>
            <w:tcW w:w="0" w:type="auto"/>
            <w:noWrap/>
          </w:tcPr>
          <w:p w14:paraId="04FA7351" w14:textId="4279C6E8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82</w:t>
            </w:r>
          </w:p>
        </w:tc>
        <w:tc>
          <w:tcPr>
            <w:tcW w:w="0" w:type="auto"/>
            <w:noWrap/>
          </w:tcPr>
          <w:p w14:paraId="17268ACC" w14:textId="5EF87A4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</w:t>
            </w:r>
            <w:r w:rsidR="00DD63D5" w:rsidRPr="00433250">
              <w:rPr>
                <w:rFonts w:ascii="Book Antiqua" w:eastAsia="Calibri" w:hAnsi="Book Antiqua"/>
                <w:lang w:eastAsia="zh-CN"/>
              </w:rPr>
              <w:t>1:</w:t>
            </w:r>
            <w:r w:rsidRPr="00433250">
              <w:rPr>
                <w:rFonts w:ascii="Book Antiqua" w:eastAsia="Calibri" w:hAnsi="Book Antiqua"/>
                <w:lang w:eastAsia="zh-CN"/>
              </w:rPr>
              <w:t>79</w:t>
            </w:r>
          </w:p>
        </w:tc>
        <w:tc>
          <w:tcPr>
            <w:tcW w:w="0" w:type="auto"/>
            <w:noWrap/>
          </w:tcPr>
          <w:p w14:paraId="3CA77992" w14:textId="6010210F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29.1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(23.4-33.1)</w:t>
            </w:r>
          </w:p>
        </w:tc>
        <w:tc>
          <w:tcPr>
            <w:tcW w:w="0" w:type="auto"/>
            <w:noWrap/>
          </w:tcPr>
          <w:p w14:paraId="7FEF981F" w14:textId="2422661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28.7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(22.8-34)</w:t>
            </w:r>
          </w:p>
        </w:tc>
        <w:tc>
          <w:tcPr>
            <w:tcW w:w="0" w:type="auto"/>
            <w:noWrap/>
          </w:tcPr>
          <w:p w14:paraId="25ABE569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4E8CA245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718ECE33" w14:textId="77777777" w:rsidTr="00433250">
        <w:trPr>
          <w:trHeight w:val="300"/>
        </w:trPr>
        <w:tc>
          <w:tcPr>
            <w:tcW w:w="0" w:type="auto"/>
            <w:noWrap/>
          </w:tcPr>
          <w:p w14:paraId="4082264F" w14:textId="18DB890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Ross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0" w:type="auto"/>
            <w:noWrap/>
          </w:tcPr>
          <w:p w14:paraId="5C047B2A" w14:textId="59A1A223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39.4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11.7</w:t>
            </w:r>
          </w:p>
        </w:tc>
        <w:tc>
          <w:tcPr>
            <w:tcW w:w="0" w:type="auto"/>
            <w:noWrap/>
          </w:tcPr>
          <w:p w14:paraId="32F5EBA0" w14:textId="39E8C65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44.9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12.5</w:t>
            </w:r>
          </w:p>
        </w:tc>
        <w:tc>
          <w:tcPr>
            <w:tcW w:w="0" w:type="auto"/>
            <w:noWrap/>
          </w:tcPr>
          <w:p w14:paraId="1F5D2C26" w14:textId="00DE877A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7</w:t>
            </w:r>
          </w:p>
        </w:tc>
        <w:tc>
          <w:tcPr>
            <w:tcW w:w="0" w:type="auto"/>
            <w:noWrap/>
          </w:tcPr>
          <w:p w14:paraId="54736B2C" w14:textId="42421890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8</w:t>
            </w:r>
          </w:p>
        </w:tc>
        <w:tc>
          <w:tcPr>
            <w:tcW w:w="0" w:type="auto"/>
            <w:noWrap/>
          </w:tcPr>
          <w:p w14:paraId="6AE347C1" w14:textId="4FBA23D3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4.6</w:t>
            </w:r>
          </w:p>
        </w:tc>
        <w:tc>
          <w:tcPr>
            <w:tcW w:w="0" w:type="auto"/>
            <w:noWrap/>
          </w:tcPr>
          <w:p w14:paraId="2C44AFF9" w14:textId="0252DEB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26.1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5.5</w:t>
            </w:r>
          </w:p>
        </w:tc>
        <w:tc>
          <w:tcPr>
            <w:tcW w:w="0" w:type="auto"/>
            <w:noWrap/>
          </w:tcPr>
          <w:p w14:paraId="621FBCD8" w14:textId="562755CA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1:6: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14:paraId="769C9F0E" w14:textId="79A5BFF5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3:5: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</w:t>
            </w:r>
          </w:p>
        </w:tc>
      </w:tr>
      <w:tr w:rsidR="0032709C" w:rsidRPr="00433250" w14:paraId="244D668F" w14:textId="77777777" w:rsidTr="00433250">
        <w:trPr>
          <w:trHeight w:val="300"/>
        </w:trPr>
        <w:tc>
          <w:tcPr>
            <w:tcW w:w="0" w:type="auto"/>
            <w:noWrap/>
          </w:tcPr>
          <w:p w14:paraId="0E896CF2" w14:textId="7CD99D0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Mehta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0" w:type="auto"/>
            <w:noWrap/>
          </w:tcPr>
          <w:p w14:paraId="4925417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38.3</w:t>
            </w:r>
          </w:p>
        </w:tc>
        <w:tc>
          <w:tcPr>
            <w:tcW w:w="0" w:type="auto"/>
            <w:noWrap/>
          </w:tcPr>
          <w:p w14:paraId="354DBCB0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39.1</w:t>
            </w:r>
          </w:p>
        </w:tc>
        <w:tc>
          <w:tcPr>
            <w:tcW w:w="0" w:type="auto"/>
            <w:noWrap/>
          </w:tcPr>
          <w:p w14:paraId="024C7DD7" w14:textId="651D28D7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0" w:type="auto"/>
            <w:noWrap/>
          </w:tcPr>
          <w:p w14:paraId="4B8442AC" w14:textId="6FE40F2B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14: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16</w:t>
            </w:r>
          </w:p>
        </w:tc>
        <w:tc>
          <w:tcPr>
            <w:tcW w:w="0" w:type="auto"/>
            <w:noWrap/>
          </w:tcPr>
          <w:p w14:paraId="2BFEA8B7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639B31FF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53D9E258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68CD3A95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21DD679C" w14:textId="77777777" w:rsidTr="00433250">
        <w:trPr>
          <w:trHeight w:val="300"/>
        </w:trPr>
        <w:tc>
          <w:tcPr>
            <w:tcW w:w="0" w:type="auto"/>
            <w:noWrap/>
          </w:tcPr>
          <w:p w14:paraId="48643C2A" w14:textId="1C2633B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[13]</w:t>
            </w:r>
          </w:p>
        </w:tc>
        <w:tc>
          <w:tcPr>
            <w:tcW w:w="0" w:type="auto"/>
            <w:noWrap/>
          </w:tcPr>
          <w:p w14:paraId="4864E449" w14:textId="2F1F666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45.2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12.1</w:t>
            </w:r>
          </w:p>
        </w:tc>
        <w:tc>
          <w:tcPr>
            <w:tcW w:w="0" w:type="auto"/>
            <w:noWrap/>
          </w:tcPr>
          <w:p w14:paraId="619693DE" w14:textId="15C1D2BC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41.1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12.4</w:t>
            </w:r>
          </w:p>
        </w:tc>
        <w:tc>
          <w:tcPr>
            <w:tcW w:w="0" w:type="auto"/>
            <w:noWrap/>
          </w:tcPr>
          <w:p w14:paraId="68B39332" w14:textId="2BB57185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23</w:t>
            </w:r>
          </w:p>
        </w:tc>
        <w:tc>
          <w:tcPr>
            <w:tcW w:w="0" w:type="auto"/>
            <w:noWrap/>
          </w:tcPr>
          <w:p w14:paraId="4C22E66A" w14:textId="39A1B864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9: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26</w:t>
            </w:r>
          </w:p>
        </w:tc>
        <w:tc>
          <w:tcPr>
            <w:tcW w:w="0" w:type="auto"/>
            <w:noWrap/>
          </w:tcPr>
          <w:p w14:paraId="71EE570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5F8CD425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38B3895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5AA9097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2C50DEAC" w14:textId="77777777" w:rsidTr="00433250">
        <w:trPr>
          <w:trHeight w:val="300"/>
        </w:trPr>
        <w:tc>
          <w:tcPr>
            <w:tcW w:w="0" w:type="auto"/>
            <w:noWrap/>
          </w:tcPr>
          <w:p w14:paraId="45DCA0CA" w14:textId="12F5DDA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i/>
                <w:iCs/>
                <w:lang w:eastAsia="zh-CN"/>
              </w:rPr>
              <w:lastRenderedPageBreak/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[21]</w:t>
            </w:r>
          </w:p>
        </w:tc>
        <w:tc>
          <w:tcPr>
            <w:tcW w:w="0" w:type="auto"/>
            <w:noWrap/>
          </w:tcPr>
          <w:p w14:paraId="3C114C69" w14:textId="1CF8453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40.9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11</w:t>
            </w:r>
          </w:p>
        </w:tc>
        <w:tc>
          <w:tcPr>
            <w:tcW w:w="0" w:type="auto"/>
            <w:noWrap/>
          </w:tcPr>
          <w:p w14:paraId="7EAD289D" w14:textId="5BFBB8F4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41.4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11.1</w:t>
            </w:r>
          </w:p>
        </w:tc>
        <w:tc>
          <w:tcPr>
            <w:tcW w:w="0" w:type="auto"/>
            <w:noWrap/>
          </w:tcPr>
          <w:p w14:paraId="53FC1262" w14:textId="2145FF39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6: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24</w:t>
            </w:r>
          </w:p>
        </w:tc>
        <w:tc>
          <w:tcPr>
            <w:tcW w:w="0" w:type="auto"/>
            <w:noWrap/>
          </w:tcPr>
          <w:p w14:paraId="085A237B" w14:textId="7F0E0419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0" w:type="auto"/>
            <w:noWrap/>
          </w:tcPr>
          <w:p w14:paraId="050FCC0D" w14:textId="56F9E74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30.8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6.6</w:t>
            </w:r>
          </w:p>
        </w:tc>
        <w:tc>
          <w:tcPr>
            <w:tcW w:w="0" w:type="auto"/>
            <w:noWrap/>
          </w:tcPr>
          <w:p w14:paraId="4A13C233" w14:textId="081CE7B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31.3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433250">
              <w:rPr>
                <w:rFonts w:ascii="Book Antiqua" w:eastAsia="Calibri" w:hAnsi="Book Antiqua"/>
                <w:lang w:eastAsia="zh-CN"/>
              </w:rPr>
              <w:t>±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4.1</w:t>
            </w:r>
          </w:p>
        </w:tc>
        <w:tc>
          <w:tcPr>
            <w:tcW w:w="0" w:type="auto"/>
            <w:noWrap/>
          </w:tcPr>
          <w:p w14:paraId="730DF032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0" w:type="auto"/>
            <w:noWrap/>
          </w:tcPr>
          <w:p w14:paraId="78C4ADEA" w14:textId="777777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433250" w14:paraId="21F96454" w14:textId="77777777" w:rsidTr="00433250">
        <w:trPr>
          <w:trHeight w:val="300"/>
        </w:trPr>
        <w:tc>
          <w:tcPr>
            <w:tcW w:w="0" w:type="auto"/>
            <w:noWrap/>
          </w:tcPr>
          <w:p w14:paraId="357B3F48" w14:textId="71194F8C" w:rsidR="0032709C" w:rsidRPr="00433250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</w:rPr>
              <w:lastRenderedPageBreak/>
              <w:t>Tzovaras</w:t>
            </w:r>
            <w:proofErr w:type="spellEnd"/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="0060315B" w:rsidRPr="00433250">
              <w:rPr>
                <w:rFonts w:ascii="Book Antiqua" w:eastAsia="Calibri" w:hAnsi="Book Antiqua"/>
                <w:vertAlign w:val="superscript"/>
                <w:lang w:eastAsia="zh-CN"/>
              </w:rPr>
              <w:t>[4]</w:t>
            </w:r>
          </w:p>
        </w:tc>
        <w:tc>
          <w:tcPr>
            <w:tcW w:w="0" w:type="auto"/>
            <w:noWrap/>
          </w:tcPr>
          <w:p w14:paraId="54377BFB" w14:textId="6D3D802E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(26-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65)</w:t>
            </w:r>
          </w:p>
        </w:tc>
        <w:tc>
          <w:tcPr>
            <w:tcW w:w="0" w:type="auto"/>
            <w:noWrap/>
          </w:tcPr>
          <w:p w14:paraId="6F9C2951" w14:textId="0FFA4E8E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44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(23-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65)</w:t>
            </w:r>
          </w:p>
        </w:tc>
        <w:tc>
          <w:tcPr>
            <w:tcW w:w="0" w:type="auto"/>
            <w:noWrap/>
          </w:tcPr>
          <w:p w14:paraId="54EA0029" w14:textId="682E16B5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0" w:type="auto"/>
            <w:noWrap/>
          </w:tcPr>
          <w:p w14:paraId="301508ED" w14:textId="248DAE13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29</w:t>
            </w:r>
          </w:p>
        </w:tc>
        <w:tc>
          <w:tcPr>
            <w:tcW w:w="0" w:type="auto"/>
            <w:noWrap/>
          </w:tcPr>
          <w:p w14:paraId="32043262" w14:textId="0A6AA8A0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26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(19-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30)</w:t>
            </w:r>
          </w:p>
        </w:tc>
        <w:tc>
          <w:tcPr>
            <w:tcW w:w="0" w:type="auto"/>
            <w:noWrap/>
          </w:tcPr>
          <w:p w14:paraId="660D9B9D" w14:textId="2F5D4A6D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(18-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30)</w:t>
            </w:r>
          </w:p>
        </w:tc>
        <w:tc>
          <w:tcPr>
            <w:tcW w:w="0" w:type="auto"/>
            <w:noWrap/>
          </w:tcPr>
          <w:p w14:paraId="3317B0D9" w14:textId="5DF79DE4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37:11: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0" w:type="auto"/>
            <w:noWrap/>
          </w:tcPr>
          <w:p w14:paraId="2EE8545E" w14:textId="22CBDAED" w:rsidR="0032709C" w:rsidRPr="00433250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40:9:</w:t>
            </w:r>
            <w:r w:rsidR="0060315B" w:rsidRPr="00433250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</w:tbl>
    <w:p w14:paraId="778ABD9C" w14:textId="083FFAFD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</w:rPr>
      </w:pPr>
      <w:r w:rsidRPr="00433250">
        <w:rPr>
          <w:rFonts w:ascii="Book Antiqua" w:eastAsia="Calibri" w:hAnsi="Book Antiqua"/>
        </w:rPr>
        <w:t>GA: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General</w:t>
      </w:r>
      <w:r w:rsidR="001D59C8" w:rsidRPr="00433250">
        <w:rPr>
          <w:rFonts w:ascii="Book Antiqua" w:eastAsia="Calibri" w:hAnsi="Book Antiqua"/>
        </w:rPr>
        <w:t xml:space="preserve"> </w:t>
      </w:r>
      <w:r w:rsidR="00A605F4" w:rsidRPr="00433250">
        <w:rPr>
          <w:rFonts w:ascii="Book Antiqua" w:eastAsia="Calibri" w:hAnsi="Book Antiqua"/>
        </w:rPr>
        <w:t>a</w:t>
      </w:r>
      <w:r w:rsidRPr="00433250">
        <w:rPr>
          <w:rFonts w:ascii="Book Antiqua" w:eastAsia="Calibri" w:hAnsi="Book Antiqua"/>
        </w:rPr>
        <w:t>nesthesia;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RA: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Regional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anesthesia;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NR</w:t>
      </w:r>
      <w:r w:rsidR="00A605F4" w:rsidRPr="00433250">
        <w:rPr>
          <w:rFonts w:ascii="Book Antiqua" w:eastAsia="Calibri" w:hAnsi="Book Antiqua"/>
        </w:rPr>
        <w:t>:</w:t>
      </w:r>
      <w:r w:rsidR="001D59C8" w:rsidRPr="00433250">
        <w:rPr>
          <w:rFonts w:ascii="Book Antiqua" w:eastAsia="Calibri" w:hAnsi="Book Antiqua"/>
        </w:rPr>
        <w:t xml:space="preserve"> </w:t>
      </w:r>
      <w:r w:rsidR="00A605F4" w:rsidRPr="00433250">
        <w:rPr>
          <w:rFonts w:ascii="Book Antiqua" w:eastAsia="Calibri" w:hAnsi="Book Antiqua"/>
        </w:rPr>
        <w:t>N</w:t>
      </w:r>
      <w:r w:rsidRPr="00433250">
        <w:rPr>
          <w:rFonts w:ascii="Book Antiqua" w:eastAsia="Calibri" w:hAnsi="Book Antiqua"/>
        </w:rPr>
        <w:t>ot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reported;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ASA: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American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S</w:t>
      </w:r>
      <w:r w:rsidRPr="00433250">
        <w:rPr>
          <w:rFonts w:ascii="Book Antiqua" w:eastAsia="Calibri" w:hAnsi="Book Antiqua"/>
        </w:rPr>
        <w:t>ociety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</w:rPr>
        <w:t>of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A</w:t>
      </w:r>
      <w:r w:rsidRPr="00433250">
        <w:rPr>
          <w:rFonts w:ascii="Book Antiqua" w:eastAsia="Calibri" w:hAnsi="Book Antiqua"/>
        </w:rPr>
        <w:t>nesthesiologists</w:t>
      </w:r>
      <w:r w:rsidR="003665EB" w:rsidRPr="00433250">
        <w:rPr>
          <w:rFonts w:ascii="Book Antiqua" w:eastAsia="Calibri" w:hAnsi="Book Antiqua"/>
        </w:rPr>
        <w:t>;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BMI: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Body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mass</w:t>
      </w:r>
      <w:r w:rsidR="001D59C8" w:rsidRPr="00433250">
        <w:rPr>
          <w:rFonts w:ascii="Book Antiqua" w:eastAsia="Calibri" w:hAnsi="Book Antiqua"/>
        </w:rPr>
        <w:t xml:space="preserve"> </w:t>
      </w:r>
      <w:r w:rsidR="003665EB" w:rsidRPr="00433250">
        <w:rPr>
          <w:rFonts w:ascii="Book Antiqua" w:eastAsia="Calibri" w:hAnsi="Book Antiqua"/>
        </w:rPr>
        <w:t>index.</w:t>
      </w:r>
    </w:p>
    <w:p w14:paraId="2098F45F" w14:textId="77777777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hAnsi="Book Antiqua"/>
        </w:rPr>
        <w:br w:type="page"/>
      </w:r>
    </w:p>
    <w:p w14:paraId="26E3AD2A" w14:textId="338ED6FB" w:rsidR="0032709C" w:rsidRPr="00433250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33250">
        <w:rPr>
          <w:rFonts w:ascii="Book Antiqua" w:eastAsia="Calibri" w:hAnsi="Book Antiqua"/>
          <w:b/>
          <w:bCs/>
        </w:rPr>
        <w:lastRenderedPageBreak/>
        <w:t>Table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3</w:t>
      </w:r>
      <w:r w:rsidR="001D59C8" w:rsidRPr="00433250">
        <w:rPr>
          <w:rFonts w:ascii="Book Antiqua" w:eastAsia="Calibri" w:hAnsi="Book Antiqua"/>
        </w:rPr>
        <w:t xml:space="preserve"> </w:t>
      </w:r>
      <w:r w:rsidRPr="00433250">
        <w:rPr>
          <w:rFonts w:ascii="Book Antiqua" w:eastAsia="Calibri" w:hAnsi="Book Antiqua"/>
          <w:b/>
          <w:bCs/>
        </w:rPr>
        <w:t>Anesthetic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agents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used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in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the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regional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anesthesia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group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in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each</w:t>
      </w:r>
      <w:r w:rsidR="001D59C8" w:rsidRPr="00433250">
        <w:rPr>
          <w:rFonts w:ascii="Book Antiqua" w:eastAsia="Calibri" w:hAnsi="Book Antiqua"/>
          <w:b/>
          <w:bCs/>
        </w:rPr>
        <w:t xml:space="preserve"> </w:t>
      </w:r>
      <w:r w:rsidRPr="00433250">
        <w:rPr>
          <w:rFonts w:ascii="Book Antiqua" w:eastAsia="Calibri" w:hAnsi="Book Antiqua"/>
          <w:b/>
          <w:bCs/>
        </w:rPr>
        <w:t>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1428"/>
        <w:gridCol w:w="8148"/>
      </w:tblGrid>
      <w:tr w:rsidR="0032709C" w:rsidRPr="00433250" w14:paraId="0DED0BAD" w14:textId="77777777" w:rsidTr="0043325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76F722" w14:textId="34EFD7A3" w:rsidR="0032709C" w:rsidRPr="00433250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F382C7" w14:textId="5E8FFF11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Anesthetic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agent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b/>
                <w:bCs/>
                <w:lang w:eastAsia="zh-CN"/>
              </w:rPr>
              <w:t>used</w:t>
            </w:r>
            <w:r w:rsidR="001D59C8" w:rsidRPr="00433250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</w:p>
        </w:tc>
      </w:tr>
      <w:tr w:rsidR="0032709C" w:rsidRPr="00433250" w14:paraId="69F73FD9" w14:textId="77777777" w:rsidTr="0043325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E5973B" w14:textId="281E1F6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Majedi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E792CA" w14:textId="6517D612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18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L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li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docaine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2%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plus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epinephrine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(1:</w:t>
            </w:r>
            <w:r w:rsidRPr="00433250">
              <w:rPr>
                <w:rFonts w:ascii="Book Antiqua" w:eastAsia="Calibri" w:hAnsi="Book Antiqua"/>
                <w:lang w:eastAsia="zh-CN"/>
              </w:rPr>
              <w:t>200000)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plus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mL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sodium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bicarbonate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8.4%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50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</w:t>
            </w:r>
            <w:r w:rsidRPr="00433250">
              <w:rPr>
                <w:rFonts w:ascii="Book Antiqua" w:eastAsia="Calibri" w:hAnsi="Book Antiqua"/>
                <w:lang w:eastAsia="zh-CN"/>
              </w:rPr>
              <w:t>g</w:t>
            </w:r>
          </w:p>
        </w:tc>
      </w:tr>
      <w:tr w:rsidR="0032709C" w:rsidRPr="00433250" w14:paraId="0A372EF4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D595A52" w14:textId="0042ACF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Sharaf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7EAEA9B" w14:textId="4889E3C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3C18E13E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210F6D3" w14:textId="749FEB4D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FD9A842" w14:textId="70ECF95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16mg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micrograms</w:t>
            </w:r>
          </w:p>
        </w:tc>
      </w:tr>
      <w:tr w:rsidR="0032709C" w:rsidRPr="00433250" w14:paraId="2A030754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185DC45" w14:textId="3A21BD5C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7600741" w14:textId="785B9FFF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46DA1E77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13CFCA1" w14:textId="2E2F6B4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Prasad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BB48189" w14:textId="30ACDBB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heavy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1D0BEDAA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8CF8FD3" w14:textId="68E10B96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DCD6E44" w14:textId="6F213E89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plain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7F47E34A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DA946C1" w14:textId="368C5E3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Tiwari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20C5C91" w14:textId="12EA19A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12.5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to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17.5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</w:p>
        </w:tc>
      </w:tr>
      <w:tr w:rsidR="0032709C" w:rsidRPr="00433250" w14:paraId="29862F1A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3E78C11" w14:textId="2C7A884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4F51727" w14:textId="4E814D0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mcg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0D3D98E7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BC9BC8F" w14:textId="6405CB65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Ross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255371B3" w14:textId="52482C8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20-25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mL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lidocaine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2%</w:t>
            </w:r>
          </w:p>
        </w:tc>
      </w:tr>
      <w:tr w:rsidR="0032709C" w:rsidRPr="00433250" w14:paraId="406773B8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F1F843A" w14:textId="7E899A77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Mehta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7206249" w14:textId="6B4A070F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0.3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mg/kg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0.5%</w:t>
            </w:r>
          </w:p>
        </w:tc>
      </w:tr>
      <w:tr w:rsidR="0032709C" w:rsidRPr="00433250" w14:paraId="0A8A4AF8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BCF3495" w14:textId="19272C5E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72110B2" w14:textId="05DBF934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433250" w14:paraId="7AE074F7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66AB873" w14:textId="3223E2AB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433250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433250">
              <w:rPr>
                <w:rFonts w:ascii="Book Antiqua" w:eastAsia="Calibri" w:hAnsi="Book Antiqua"/>
                <w:vertAlign w:val="superscript"/>
                <w:lang w:eastAsia="zh-CN"/>
              </w:rPr>
              <w:t>[21]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773301FE" w14:textId="7787C5F8" w:rsidR="0032709C" w:rsidRPr="00433250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3DBD4D05" w14:textId="77777777" w:rsidTr="004332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F42623" w14:textId="713C61C5" w:rsidR="0032709C" w:rsidRPr="00433250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433250">
              <w:rPr>
                <w:rFonts w:ascii="Book Antiqua" w:eastAsia="Calibri" w:hAnsi="Book Antiqua"/>
              </w:rPr>
              <w:t>Tzovaras</w:t>
            </w:r>
            <w:proofErr w:type="spellEnd"/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 w:rsidRPr="00433250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="0060315B" w:rsidRPr="00433250">
              <w:rPr>
                <w:rFonts w:ascii="Book Antiqua" w:hAnsi="Book Antiqua"/>
                <w:i/>
                <w:iCs/>
                <w:lang w:eastAsia="zh-CN"/>
              </w:rPr>
              <w:lastRenderedPageBreak/>
              <w:t>al</w:t>
            </w:r>
            <w:r w:rsidR="0060315B" w:rsidRPr="00433250">
              <w:rPr>
                <w:rFonts w:ascii="Book Antiqua" w:eastAsia="Calibri" w:hAnsi="Book Antiqua"/>
                <w:vertAlign w:val="superscript"/>
                <w:lang w:eastAsia="zh-CN"/>
              </w:rPr>
              <w:t>[4]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67D0AD" w14:textId="0E98EE4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433250">
              <w:rPr>
                <w:rFonts w:ascii="Book Antiqua" w:eastAsia="Calibri" w:hAnsi="Book Antiqua"/>
                <w:lang w:eastAsia="zh-CN"/>
              </w:rPr>
              <w:lastRenderedPageBreak/>
              <w:t>15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of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hyperbaric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433250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Pr="00433250">
              <w:rPr>
                <w:rFonts w:ascii="Book Antiqua" w:eastAsia="Calibri" w:hAnsi="Book Antiqua"/>
                <w:lang w:eastAsia="zh-CN"/>
              </w:rPr>
              <w:t>,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0.25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morphine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and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20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433250">
              <w:rPr>
                <w:rFonts w:ascii="Book Antiqua" w:eastAsia="Calibri" w:hAnsi="Book Antiqua"/>
                <w:lang w:eastAsia="zh-CN"/>
              </w:rPr>
              <w:t>µg</w:t>
            </w:r>
            <w:r w:rsidR="001D59C8" w:rsidRPr="00433250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433250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</w:tbl>
    <w:p w14:paraId="2951C392" w14:textId="3F490D00" w:rsidR="0032709C" w:rsidRDefault="001D59C8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>
        <w:rPr>
          <w:rFonts w:ascii="Book Antiqua" w:hAnsi="Book Antiqua"/>
        </w:rPr>
        <w:lastRenderedPageBreak/>
        <w:t xml:space="preserve"> </w:t>
      </w:r>
    </w:p>
    <w:p w14:paraId="07A1AD4F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08252C4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2AE0359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8C30E26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1E02B714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9363AA0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0740D73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F34E23F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AD87331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CC7CC49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7F4C9D1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4EEFA5E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F07BEC3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172E3E25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412DC4B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29A14B2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C18B646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B156B74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FC81AAF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AB46160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5086363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DD999B0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FE9F524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D6E37D3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8607A02" w14:textId="77777777" w:rsid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441A1FB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54EFD860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104CAB93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685EF1EE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1D7414E6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09528271" w14:textId="23673E06" w:rsidR="00131FFF" w:rsidRDefault="00131FFF" w:rsidP="00131FFF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899CEC" wp14:editId="77737548">
            <wp:extent cx="2498090" cy="1442085"/>
            <wp:effectExtent l="0" t="0" r="0" b="5715"/>
            <wp:docPr id="6" name="图片 6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2D615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13BBC3D7" w14:textId="77777777" w:rsidR="00131FFF" w:rsidRDefault="00131FFF" w:rsidP="00131FF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554CB46" w14:textId="77777777" w:rsidR="00131FFF" w:rsidRDefault="00131FFF" w:rsidP="00131FF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10710CD" w14:textId="77777777" w:rsidR="00131FFF" w:rsidRDefault="00131FFF" w:rsidP="00131FF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71C502E" w14:textId="77777777" w:rsidR="00131FFF" w:rsidRDefault="00131FFF" w:rsidP="00131FF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43CC809" w14:textId="77777777" w:rsidR="00131FFF" w:rsidRDefault="00131FFF" w:rsidP="00131FF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AD2B425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055D619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48032AB7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3C8A79B6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276BFCAE" w14:textId="1CF0E2AA" w:rsidR="00131FFF" w:rsidRDefault="00131FFF" w:rsidP="00131FFF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55EBBE" wp14:editId="63966D6D">
            <wp:extent cx="1447800" cy="1442085"/>
            <wp:effectExtent l="0" t="0" r="0" b="5715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7693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6FD6DDA9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21028AC4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2100AC39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31DBCD11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5856CE28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152FAB3A" w14:textId="77777777" w:rsidR="00131FFF" w:rsidRDefault="00131FFF" w:rsidP="00131FFF">
      <w:pPr>
        <w:jc w:val="center"/>
        <w:rPr>
          <w:rFonts w:ascii="Book Antiqua" w:hAnsi="Book Antiqua"/>
          <w:lang w:eastAsia="zh-CN"/>
        </w:rPr>
      </w:pPr>
    </w:p>
    <w:p w14:paraId="0854390F" w14:textId="77777777" w:rsidR="00131FFF" w:rsidRDefault="00131FFF" w:rsidP="00131FFF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8358F31" w14:textId="77777777" w:rsidR="00131FFF" w:rsidRPr="00131FFF" w:rsidRDefault="00131FFF" w:rsidP="00C610A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 w:hint="eastAsia"/>
          <w:lang w:eastAsia="zh-CN"/>
        </w:rPr>
      </w:pPr>
      <w:bookmarkStart w:id="36" w:name="_GoBack"/>
      <w:bookmarkEnd w:id="36"/>
    </w:p>
    <w:sectPr w:rsidR="00131FFF" w:rsidRPr="00131FFF" w:rsidSect="00131FFF">
      <w:type w:val="continuous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1A2D" w14:textId="77777777" w:rsidR="006238E8" w:rsidRDefault="006238E8" w:rsidP="00170259">
      <w:r>
        <w:separator/>
      </w:r>
    </w:p>
  </w:endnote>
  <w:endnote w:type="continuationSeparator" w:id="0">
    <w:p w14:paraId="5B007EE2" w14:textId="77777777" w:rsidR="006238E8" w:rsidRDefault="006238E8" w:rsidP="001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8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C9EEA" w14:textId="2AD1E0B4" w:rsidR="00DB7F3E" w:rsidRDefault="00DB7F3E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FF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FF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A6F55" w14:textId="77777777" w:rsidR="00DB7F3E" w:rsidRDefault="00DB7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43CB" w14:textId="77777777" w:rsidR="006238E8" w:rsidRDefault="006238E8" w:rsidP="00170259">
      <w:r>
        <w:separator/>
      </w:r>
    </w:p>
  </w:footnote>
  <w:footnote w:type="continuationSeparator" w:id="0">
    <w:p w14:paraId="33C979C6" w14:textId="77777777" w:rsidR="006238E8" w:rsidRDefault="006238E8" w:rsidP="0017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0CD2"/>
    <w:rsid w:val="00046168"/>
    <w:rsid w:val="00092BC2"/>
    <w:rsid w:val="00131FFF"/>
    <w:rsid w:val="001648CD"/>
    <w:rsid w:val="00170259"/>
    <w:rsid w:val="001D59C8"/>
    <w:rsid w:val="00231089"/>
    <w:rsid w:val="00284FE2"/>
    <w:rsid w:val="002979FD"/>
    <w:rsid w:val="0032709C"/>
    <w:rsid w:val="00337B8D"/>
    <w:rsid w:val="003665EB"/>
    <w:rsid w:val="003F59DD"/>
    <w:rsid w:val="00433250"/>
    <w:rsid w:val="004454B8"/>
    <w:rsid w:val="004826CB"/>
    <w:rsid w:val="00482FAD"/>
    <w:rsid w:val="004845AB"/>
    <w:rsid w:val="004F3B1A"/>
    <w:rsid w:val="00525E86"/>
    <w:rsid w:val="005B5867"/>
    <w:rsid w:val="0060315B"/>
    <w:rsid w:val="00604371"/>
    <w:rsid w:val="00604F2E"/>
    <w:rsid w:val="006238E8"/>
    <w:rsid w:val="00624A08"/>
    <w:rsid w:val="00646C70"/>
    <w:rsid w:val="00693279"/>
    <w:rsid w:val="006E53BB"/>
    <w:rsid w:val="0073496B"/>
    <w:rsid w:val="00737E5E"/>
    <w:rsid w:val="00746F18"/>
    <w:rsid w:val="00754573"/>
    <w:rsid w:val="007D01B9"/>
    <w:rsid w:val="0084105F"/>
    <w:rsid w:val="00883021"/>
    <w:rsid w:val="008E2C26"/>
    <w:rsid w:val="008F1D92"/>
    <w:rsid w:val="009174AE"/>
    <w:rsid w:val="00997B23"/>
    <w:rsid w:val="009F173F"/>
    <w:rsid w:val="00A478BE"/>
    <w:rsid w:val="00A5451C"/>
    <w:rsid w:val="00A605F4"/>
    <w:rsid w:val="00A77B3E"/>
    <w:rsid w:val="00A87319"/>
    <w:rsid w:val="00B61489"/>
    <w:rsid w:val="00B702DB"/>
    <w:rsid w:val="00BF02C6"/>
    <w:rsid w:val="00C610A9"/>
    <w:rsid w:val="00C752C6"/>
    <w:rsid w:val="00C90409"/>
    <w:rsid w:val="00C91CCA"/>
    <w:rsid w:val="00C97BFB"/>
    <w:rsid w:val="00CA2A55"/>
    <w:rsid w:val="00CF36E1"/>
    <w:rsid w:val="00D24099"/>
    <w:rsid w:val="00D43209"/>
    <w:rsid w:val="00DB7F3E"/>
    <w:rsid w:val="00DD5F4F"/>
    <w:rsid w:val="00DD63D5"/>
    <w:rsid w:val="00E87AF4"/>
    <w:rsid w:val="00F52EDD"/>
    <w:rsid w:val="00F745E9"/>
    <w:rsid w:val="00FC581C"/>
    <w:rsid w:val="00FE7CEE"/>
    <w:rsid w:val="55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2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customStyle="1" w:styleId="LightShading1">
    <w:name w:val="Light Shading1"/>
    <w:basedOn w:val="a1"/>
    <w:qFormat/>
    <w:rPr>
      <w:rFonts w:eastAsia="Times New Roman"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a5">
    <w:name w:val="header"/>
    <w:basedOn w:val="a"/>
    <w:link w:val="Char"/>
    <w:unhideWhenUsed/>
    <w:rsid w:val="0017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0259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170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0259"/>
    <w:rPr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A8731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Char1"/>
    <w:rsid w:val="00DD5F4F"/>
    <w:rPr>
      <w:sz w:val="18"/>
      <w:szCs w:val="18"/>
    </w:rPr>
  </w:style>
  <w:style w:type="character" w:customStyle="1" w:styleId="Char1">
    <w:name w:val="批注框文本 Char"/>
    <w:basedOn w:val="a0"/>
    <w:link w:val="a8"/>
    <w:rsid w:val="00DD5F4F"/>
    <w:rPr>
      <w:sz w:val="18"/>
      <w:szCs w:val="18"/>
      <w:lang w:eastAsia="en-US"/>
    </w:rPr>
  </w:style>
  <w:style w:type="character" w:styleId="a9">
    <w:name w:val="Hyperlink"/>
    <w:basedOn w:val="a0"/>
    <w:unhideWhenUsed/>
    <w:rsid w:val="00F52E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customStyle="1" w:styleId="LightShading1">
    <w:name w:val="Light Shading1"/>
    <w:basedOn w:val="a1"/>
    <w:qFormat/>
    <w:rPr>
      <w:rFonts w:eastAsia="Times New Roman"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a5">
    <w:name w:val="header"/>
    <w:basedOn w:val="a"/>
    <w:link w:val="Char"/>
    <w:unhideWhenUsed/>
    <w:rsid w:val="0017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0259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170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0259"/>
    <w:rPr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A8731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Char1"/>
    <w:rsid w:val="00DD5F4F"/>
    <w:rPr>
      <w:sz w:val="18"/>
      <w:szCs w:val="18"/>
    </w:rPr>
  </w:style>
  <w:style w:type="character" w:customStyle="1" w:styleId="Char1">
    <w:name w:val="批注框文本 Char"/>
    <w:basedOn w:val="a0"/>
    <w:link w:val="a8"/>
    <w:rsid w:val="00DD5F4F"/>
    <w:rPr>
      <w:sz w:val="18"/>
      <w:szCs w:val="18"/>
      <w:lang w:eastAsia="en-US"/>
    </w:rPr>
  </w:style>
  <w:style w:type="character" w:styleId="a9">
    <w:name w:val="Hyperlink"/>
    <w:basedOn w:val="a0"/>
    <w:unhideWhenUsed/>
    <w:rsid w:val="00F52E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马玉杰</cp:lastModifiedBy>
  <cp:revision>7</cp:revision>
  <dcterms:created xsi:type="dcterms:W3CDTF">2021-04-12T03:32:00Z</dcterms:created>
  <dcterms:modified xsi:type="dcterms:W3CDTF">2021-05-07T04:55:00Z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