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4E0D" w14:textId="77777777" w:rsidR="00A77B3E" w:rsidRDefault="00D772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881752" w14:textId="77777777" w:rsidR="00A77B3E" w:rsidRDefault="00D772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61645</w:t>
      </w:r>
    </w:p>
    <w:p w14:paraId="68F39362" w14:textId="77777777" w:rsidR="00A77B3E" w:rsidRDefault="00D772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369F456" w14:textId="77777777" w:rsidR="00A77B3E" w:rsidRDefault="00A77B3E">
      <w:pPr>
        <w:spacing w:line="360" w:lineRule="auto"/>
        <w:jc w:val="both"/>
      </w:pPr>
    </w:p>
    <w:p w14:paraId="72CF69FF" w14:textId="77777777" w:rsidR="00A77B3E" w:rsidRDefault="00D772A7">
      <w:pPr>
        <w:spacing w:line="360" w:lineRule="auto"/>
        <w:jc w:val="both"/>
      </w:pPr>
      <w:r>
        <w:rPr>
          <w:rFonts w:ascii="Book Antiqua" w:eastAsia="Book Antiqua" w:hAnsi="Book Antiqua" w:cs="Book Antiqua"/>
          <w:b/>
          <w:i/>
          <w:color w:val="000000"/>
        </w:rPr>
        <w:t>Randomized Controlled Trial</w:t>
      </w:r>
    </w:p>
    <w:p w14:paraId="7734FA30" w14:textId="4BB22ED2" w:rsidR="00CF319D" w:rsidRPr="00C473E5" w:rsidRDefault="00CF319D" w:rsidP="00C473E5">
      <w:pPr>
        <w:autoSpaceDE w:val="0"/>
        <w:autoSpaceDN w:val="0"/>
        <w:adjustRightInd w:val="0"/>
        <w:spacing w:line="360" w:lineRule="auto"/>
        <w:jc w:val="both"/>
        <w:rPr>
          <w:rFonts w:ascii="Book Antiqua" w:hAnsi="Book Antiqua" w:cs="Lato-Bold"/>
          <w:b/>
          <w:bCs/>
        </w:rPr>
      </w:pPr>
      <w:bookmarkStart w:id="0" w:name="_Hlk69314638"/>
      <w:bookmarkStart w:id="1" w:name="_Hlk69315698"/>
      <w:r w:rsidRPr="002721A5">
        <w:rPr>
          <w:rFonts w:ascii="Book Antiqua" w:hAnsi="Book Antiqua" w:cs="Lato-Bold"/>
          <w:b/>
          <w:bCs/>
        </w:rPr>
        <w:t xml:space="preserve">Tenofovir disoproxil fumarate in </w:t>
      </w:r>
      <w:r>
        <w:rPr>
          <w:rFonts w:ascii="Book Antiqua" w:eastAsia="Book Antiqua" w:hAnsi="Book Antiqua" w:cs="Book Antiqua"/>
          <w:b/>
          <w:bCs/>
          <w:color w:val="000000"/>
        </w:rPr>
        <w:t>Chinese chronic hepatitis B patients</w:t>
      </w:r>
      <w:r w:rsidRPr="002721A5">
        <w:rPr>
          <w:rFonts w:ascii="Book Antiqua" w:hAnsi="Book Antiqua" w:cs="Lato-Bold"/>
          <w:b/>
          <w:bCs/>
          <w:color w:val="000000" w:themeColor="text1"/>
        </w:rPr>
        <w:t>: Res</w:t>
      </w:r>
      <w:r w:rsidRPr="002721A5">
        <w:rPr>
          <w:rFonts w:ascii="Book Antiqua" w:hAnsi="Book Antiqua" w:cs="Lato-Bold"/>
          <w:b/>
          <w:bCs/>
        </w:rPr>
        <w:t>ults of a multicenter, double-blind, double-dummy, clinical trial at 96</w:t>
      </w:r>
      <w:r w:rsidR="00B86CA2">
        <w:rPr>
          <w:rFonts w:ascii="Book Antiqua" w:hAnsi="Book Antiqua" w:cs="Lato-Bold"/>
          <w:b/>
          <w:bCs/>
          <w:lang w:eastAsia="zh-CN"/>
        </w:rPr>
        <w:t xml:space="preserve"> </w:t>
      </w:r>
      <w:r w:rsidR="00A66760">
        <w:rPr>
          <w:rFonts w:ascii="Book Antiqua" w:hAnsi="Book Antiqua" w:cs="Lato-Bold" w:hint="eastAsia"/>
          <w:b/>
          <w:bCs/>
          <w:lang w:eastAsia="zh-CN"/>
        </w:rPr>
        <w:t>week</w:t>
      </w:r>
      <w:bookmarkEnd w:id="0"/>
      <w:r w:rsidR="00B86CA2">
        <w:rPr>
          <w:rFonts w:ascii="Book Antiqua" w:hAnsi="Book Antiqua" w:cs="Lato-Bold"/>
          <w:b/>
          <w:bCs/>
          <w:lang w:eastAsia="zh-CN"/>
        </w:rPr>
        <w:t>s</w:t>
      </w:r>
    </w:p>
    <w:bookmarkEnd w:id="1"/>
    <w:p w14:paraId="2FBA806D" w14:textId="77777777" w:rsidR="00A77B3E" w:rsidRDefault="00A77B3E">
      <w:pPr>
        <w:spacing w:line="360" w:lineRule="auto"/>
        <w:jc w:val="both"/>
      </w:pPr>
    </w:p>
    <w:p w14:paraId="20DDB103" w14:textId="7121D273" w:rsidR="00A77B3E" w:rsidRDefault="00026D6E">
      <w:pPr>
        <w:spacing w:line="360" w:lineRule="auto"/>
        <w:jc w:val="both"/>
      </w:pPr>
      <w:r>
        <w:rPr>
          <w:rFonts w:ascii="Book Antiqua" w:eastAsia="Book Antiqua" w:hAnsi="Book Antiqua" w:cs="Book Antiqua"/>
          <w:color w:val="000000"/>
        </w:rPr>
        <w:t xml:space="preserve">Chen XF </w:t>
      </w:r>
      <w:r w:rsidRPr="00026D6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772A7">
        <w:rPr>
          <w:rFonts w:ascii="Book Antiqua" w:eastAsia="Book Antiqua" w:hAnsi="Book Antiqua" w:cs="Book Antiqua"/>
          <w:color w:val="000000"/>
        </w:rPr>
        <w:t xml:space="preserve">Qingzhong </w:t>
      </w:r>
      <w:r w:rsidR="00D772A7">
        <w:rPr>
          <w:rFonts w:ascii="Book Antiqua" w:eastAsia="Book Antiqua" w:hAnsi="Book Antiqua" w:cs="Book Antiqua"/>
          <w:i/>
          <w:iCs/>
          <w:color w:val="000000"/>
        </w:rPr>
        <w:t>vs</w:t>
      </w:r>
      <w:r w:rsidR="00D772A7">
        <w:rPr>
          <w:rFonts w:ascii="Book Antiqua" w:eastAsia="Book Antiqua" w:hAnsi="Book Antiqua" w:cs="Book Antiqua"/>
          <w:color w:val="000000"/>
        </w:rPr>
        <w:t xml:space="preserve"> Viread in CHB patients</w:t>
      </w:r>
    </w:p>
    <w:p w14:paraId="73DC8AA4" w14:textId="77777777" w:rsidR="00A77B3E" w:rsidRDefault="00A77B3E">
      <w:pPr>
        <w:spacing w:line="360" w:lineRule="auto"/>
        <w:jc w:val="both"/>
      </w:pPr>
    </w:p>
    <w:p w14:paraId="6EBFAB83" w14:textId="77777777" w:rsidR="00A77B3E" w:rsidRDefault="00D772A7">
      <w:pPr>
        <w:spacing w:line="360" w:lineRule="auto"/>
        <w:jc w:val="both"/>
      </w:pPr>
      <w:r>
        <w:rPr>
          <w:rFonts w:ascii="Book Antiqua" w:eastAsia="Book Antiqua" w:hAnsi="Book Antiqua" w:cs="Book Antiqua"/>
          <w:color w:val="000000"/>
        </w:rPr>
        <w:t>Xiao-Fan Chen, Ya-Nan Fan, Chong-Wen Si, Yan-Yan Yu, Jia Shang, Zu-Jiang Yu, Qing Mao, Qing Xie, Wei Zhao, Jun Li, Zhi-Liang Gao, Shan-Ming Wu, Hong Tang, Jun Cheng, Xin-Yue Chen, Wen-Hong Zhang, Hao Wang, Zhong-Nan Xu, Ling Wang, Jun Dai, Jing-Hang Xu</w:t>
      </w:r>
    </w:p>
    <w:p w14:paraId="4A23BD32" w14:textId="77777777" w:rsidR="00A77B3E" w:rsidRDefault="00A77B3E">
      <w:pPr>
        <w:spacing w:line="360" w:lineRule="auto"/>
        <w:jc w:val="both"/>
      </w:pPr>
    </w:p>
    <w:p w14:paraId="581E03B3" w14:textId="77777777" w:rsidR="00A77B3E" w:rsidRDefault="00D772A7">
      <w:pPr>
        <w:spacing w:line="360" w:lineRule="auto"/>
        <w:jc w:val="both"/>
      </w:pPr>
      <w:r>
        <w:rPr>
          <w:rFonts w:ascii="Book Antiqua" w:eastAsia="Book Antiqua" w:hAnsi="Book Antiqua" w:cs="Book Antiqua"/>
          <w:b/>
          <w:bCs/>
          <w:color w:val="000000"/>
        </w:rPr>
        <w:t xml:space="preserve">Xiao-Fan Chen, Ya-Nan Fan, Chong-Wen Si, Yan-Yan Yu, Jing-Hang Xu, </w:t>
      </w:r>
      <w:r>
        <w:rPr>
          <w:rFonts w:ascii="Book Antiqua" w:eastAsia="Book Antiqua" w:hAnsi="Book Antiqua" w:cs="Book Antiqua"/>
          <w:color w:val="000000"/>
        </w:rPr>
        <w:t>Department of Infectious Diseases, Center for Liver Diseases, Peking University First Hospital, Beijing 100034, China</w:t>
      </w:r>
    </w:p>
    <w:p w14:paraId="1280D062" w14:textId="77777777" w:rsidR="00A77B3E" w:rsidRDefault="00A77B3E">
      <w:pPr>
        <w:spacing w:line="360" w:lineRule="auto"/>
        <w:jc w:val="both"/>
      </w:pPr>
    </w:p>
    <w:p w14:paraId="72C6F7B8" w14:textId="77777777" w:rsidR="00A77B3E" w:rsidRDefault="00D772A7">
      <w:pPr>
        <w:spacing w:line="360" w:lineRule="auto"/>
        <w:jc w:val="both"/>
      </w:pPr>
      <w:r>
        <w:rPr>
          <w:rFonts w:ascii="Book Antiqua" w:eastAsia="Book Antiqua" w:hAnsi="Book Antiqua" w:cs="Book Antiqua"/>
          <w:b/>
          <w:bCs/>
          <w:color w:val="000000"/>
        </w:rPr>
        <w:t xml:space="preserve">Jia Shang, </w:t>
      </w:r>
      <w:r>
        <w:rPr>
          <w:rFonts w:ascii="Book Antiqua" w:eastAsia="Book Antiqua" w:hAnsi="Book Antiqua" w:cs="Book Antiqua"/>
          <w:color w:val="000000"/>
        </w:rPr>
        <w:t>Department of Infectious Diseases, Henan Provincial People's Hospital, Zhengzhou 450003, Henan Province, China</w:t>
      </w:r>
    </w:p>
    <w:p w14:paraId="561A4FEB" w14:textId="77777777" w:rsidR="00A77B3E" w:rsidRDefault="00A77B3E">
      <w:pPr>
        <w:spacing w:line="360" w:lineRule="auto"/>
        <w:jc w:val="both"/>
      </w:pPr>
    </w:p>
    <w:p w14:paraId="4A78D0CC" w14:textId="77777777" w:rsidR="00A77B3E" w:rsidRDefault="00D772A7">
      <w:pPr>
        <w:spacing w:line="360" w:lineRule="auto"/>
        <w:jc w:val="both"/>
      </w:pPr>
      <w:r>
        <w:rPr>
          <w:rFonts w:ascii="Book Antiqua" w:eastAsia="Book Antiqua" w:hAnsi="Book Antiqua" w:cs="Book Antiqua"/>
          <w:b/>
          <w:bCs/>
          <w:color w:val="000000"/>
        </w:rPr>
        <w:t xml:space="preserve">Zu-Jiang Yu, </w:t>
      </w:r>
      <w:r>
        <w:rPr>
          <w:rFonts w:ascii="Book Antiqua" w:eastAsia="Book Antiqua" w:hAnsi="Book Antiqua" w:cs="Book Antiqua"/>
          <w:color w:val="000000"/>
        </w:rPr>
        <w:t>Department of Infectious Diseases, The First Affiliated Hospital of Zhengzhou University, Zhengzhou 450052, Henan Province, China</w:t>
      </w:r>
    </w:p>
    <w:p w14:paraId="17EF0791" w14:textId="77777777" w:rsidR="00A77B3E" w:rsidRDefault="00A77B3E">
      <w:pPr>
        <w:spacing w:line="360" w:lineRule="auto"/>
        <w:jc w:val="both"/>
      </w:pPr>
    </w:p>
    <w:p w14:paraId="4801F6E7" w14:textId="77777777" w:rsidR="00A77B3E" w:rsidRDefault="00D772A7">
      <w:pPr>
        <w:spacing w:line="360" w:lineRule="auto"/>
        <w:jc w:val="both"/>
      </w:pPr>
      <w:r>
        <w:rPr>
          <w:rFonts w:ascii="Book Antiqua" w:eastAsia="Book Antiqua" w:hAnsi="Book Antiqua" w:cs="Book Antiqua"/>
          <w:b/>
          <w:bCs/>
          <w:color w:val="000000"/>
        </w:rPr>
        <w:t xml:space="preserve">Qing Mao, </w:t>
      </w:r>
      <w:r>
        <w:rPr>
          <w:rFonts w:ascii="Book Antiqua" w:eastAsia="Book Antiqua" w:hAnsi="Book Antiqua" w:cs="Book Antiqua"/>
          <w:color w:val="000000"/>
        </w:rPr>
        <w:t>Department of Infectious Diseases, Southwest Hospital, Third Military Medical University (Army Medical University), Chongqing 400038, China</w:t>
      </w:r>
    </w:p>
    <w:p w14:paraId="0E69E2B9" w14:textId="77777777" w:rsidR="00A77B3E" w:rsidRDefault="00A77B3E">
      <w:pPr>
        <w:spacing w:line="360" w:lineRule="auto"/>
        <w:jc w:val="both"/>
      </w:pPr>
    </w:p>
    <w:p w14:paraId="0F2B8EC7" w14:textId="77777777" w:rsidR="00A77B3E" w:rsidRDefault="00D772A7">
      <w:pPr>
        <w:spacing w:line="360" w:lineRule="auto"/>
        <w:jc w:val="both"/>
      </w:pPr>
      <w:r>
        <w:rPr>
          <w:rFonts w:ascii="Book Antiqua" w:eastAsia="Book Antiqua" w:hAnsi="Book Antiqua" w:cs="Book Antiqua"/>
          <w:b/>
          <w:bCs/>
          <w:color w:val="000000"/>
        </w:rPr>
        <w:t xml:space="preserve">Qing Xie, </w:t>
      </w:r>
      <w:r>
        <w:rPr>
          <w:rFonts w:ascii="Book Antiqua" w:eastAsia="Book Antiqua" w:hAnsi="Book Antiqua" w:cs="Book Antiqua"/>
          <w:color w:val="000000"/>
        </w:rPr>
        <w:t>Department of Infectious Diseases, Ruijin Hospital, Shanghai Jiaotong University School of Medicine, Shanghai 200025, China</w:t>
      </w:r>
    </w:p>
    <w:p w14:paraId="15112B48" w14:textId="77777777" w:rsidR="00A77B3E" w:rsidRDefault="00A77B3E">
      <w:pPr>
        <w:spacing w:line="360" w:lineRule="auto"/>
        <w:jc w:val="both"/>
      </w:pPr>
    </w:p>
    <w:p w14:paraId="4EB62B78" w14:textId="77777777" w:rsidR="00A77B3E" w:rsidRDefault="00D772A7">
      <w:pPr>
        <w:spacing w:line="360" w:lineRule="auto"/>
        <w:jc w:val="both"/>
      </w:pPr>
      <w:r>
        <w:rPr>
          <w:rFonts w:ascii="Book Antiqua" w:eastAsia="Book Antiqua" w:hAnsi="Book Antiqua" w:cs="Book Antiqua"/>
          <w:b/>
          <w:bCs/>
          <w:color w:val="000000"/>
        </w:rPr>
        <w:t xml:space="preserve">Wei Zhao, </w:t>
      </w:r>
      <w:r>
        <w:rPr>
          <w:rFonts w:ascii="Book Antiqua" w:eastAsia="Book Antiqua" w:hAnsi="Book Antiqua" w:cs="Book Antiqua"/>
          <w:color w:val="000000"/>
        </w:rPr>
        <w:t>Department of Infectious Diseases, The Second Affiliated Hospital of Southeast University, Nanjing 210011, Jiangsu Province, China</w:t>
      </w:r>
    </w:p>
    <w:p w14:paraId="3DAE6AEB" w14:textId="77777777" w:rsidR="00A77B3E" w:rsidRDefault="00A77B3E">
      <w:pPr>
        <w:spacing w:line="360" w:lineRule="auto"/>
        <w:jc w:val="both"/>
      </w:pPr>
    </w:p>
    <w:p w14:paraId="6748886B" w14:textId="77777777" w:rsidR="00A77B3E" w:rsidRDefault="00D772A7">
      <w:pPr>
        <w:spacing w:line="360" w:lineRule="auto"/>
        <w:jc w:val="both"/>
      </w:pPr>
      <w:r>
        <w:rPr>
          <w:rFonts w:ascii="Book Antiqua" w:eastAsia="Book Antiqua" w:hAnsi="Book Antiqua" w:cs="Book Antiqua"/>
          <w:b/>
          <w:bCs/>
          <w:color w:val="000000"/>
        </w:rPr>
        <w:t xml:space="preserve">Jun Li, </w:t>
      </w:r>
      <w:r>
        <w:rPr>
          <w:rFonts w:ascii="Book Antiqua" w:eastAsia="Book Antiqua" w:hAnsi="Book Antiqua" w:cs="Book Antiqua"/>
          <w:color w:val="000000"/>
        </w:rPr>
        <w:t>Department of Infectious Diseases, The First Affiliated Hospital with Nanjing Medical University, Nanjing 210029, Jiangsu Province, China</w:t>
      </w:r>
    </w:p>
    <w:p w14:paraId="64A662E9" w14:textId="77777777" w:rsidR="00A77B3E" w:rsidRDefault="00A77B3E">
      <w:pPr>
        <w:spacing w:line="360" w:lineRule="auto"/>
        <w:jc w:val="both"/>
      </w:pPr>
    </w:p>
    <w:p w14:paraId="5E2D7004" w14:textId="77777777" w:rsidR="00A77B3E" w:rsidRDefault="00D772A7">
      <w:pPr>
        <w:spacing w:line="360" w:lineRule="auto"/>
        <w:jc w:val="both"/>
      </w:pPr>
      <w:r>
        <w:rPr>
          <w:rFonts w:ascii="Book Antiqua" w:eastAsia="Book Antiqua" w:hAnsi="Book Antiqua" w:cs="Book Antiqua"/>
          <w:b/>
          <w:bCs/>
          <w:color w:val="000000"/>
        </w:rPr>
        <w:t xml:space="preserve">Zhi-Liang Gao, </w:t>
      </w:r>
      <w:r>
        <w:rPr>
          <w:rFonts w:ascii="Book Antiqua" w:eastAsia="Book Antiqua" w:hAnsi="Book Antiqua" w:cs="Book Antiqua"/>
          <w:color w:val="000000"/>
        </w:rPr>
        <w:t>Department of Infectious Diseases, The Third Affiliated Hospital, Sun Yat-sen University, Guangzhou 510630, Guangdong Province, China</w:t>
      </w:r>
    </w:p>
    <w:p w14:paraId="102F2E76" w14:textId="77777777" w:rsidR="00A77B3E" w:rsidRDefault="00A77B3E">
      <w:pPr>
        <w:spacing w:line="360" w:lineRule="auto"/>
        <w:jc w:val="both"/>
      </w:pPr>
    </w:p>
    <w:p w14:paraId="7D1612A5" w14:textId="77777777" w:rsidR="00A77B3E" w:rsidRDefault="00D772A7">
      <w:pPr>
        <w:spacing w:line="360" w:lineRule="auto"/>
        <w:jc w:val="both"/>
      </w:pPr>
      <w:r>
        <w:rPr>
          <w:rFonts w:ascii="Book Antiqua" w:eastAsia="Book Antiqua" w:hAnsi="Book Antiqua" w:cs="Book Antiqua"/>
          <w:b/>
          <w:bCs/>
          <w:color w:val="000000"/>
        </w:rPr>
        <w:t xml:space="preserve">Shan-Ming Wu, </w:t>
      </w:r>
      <w:r>
        <w:rPr>
          <w:rFonts w:ascii="Book Antiqua" w:eastAsia="Book Antiqua" w:hAnsi="Book Antiqua" w:cs="Book Antiqua"/>
          <w:color w:val="000000"/>
        </w:rPr>
        <w:t>Department of Infectious Diseases, Shanghai Public Health Clinical Center, Fudan University, Shanghai 201052, China</w:t>
      </w:r>
    </w:p>
    <w:p w14:paraId="52D64378" w14:textId="77777777" w:rsidR="00A77B3E" w:rsidRDefault="00A77B3E">
      <w:pPr>
        <w:spacing w:line="360" w:lineRule="auto"/>
        <w:jc w:val="both"/>
      </w:pPr>
    </w:p>
    <w:p w14:paraId="00E7326E" w14:textId="77777777" w:rsidR="00A77B3E" w:rsidRDefault="00D772A7">
      <w:pPr>
        <w:spacing w:line="360" w:lineRule="auto"/>
        <w:jc w:val="both"/>
      </w:pPr>
      <w:r>
        <w:rPr>
          <w:rFonts w:ascii="Book Antiqua" w:eastAsia="Book Antiqua" w:hAnsi="Book Antiqua" w:cs="Book Antiqua"/>
          <w:b/>
          <w:bCs/>
          <w:color w:val="000000"/>
        </w:rPr>
        <w:t xml:space="preserve">Hong Tang, </w:t>
      </w:r>
      <w:r>
        <w:rPr>
          <w:rFonts w:ascii="Book Antiqua" w:eastAsia="Book Antiqua" w:hAnsi="Book Antiqua" w:cs="Book Antiqua"/>
          <w:color w:val="000000"/>
        </w:rPr>
        <w:t>Department of Infectious Diseases, West China Hospital of Sichuan University, Chengdu 610041, Sichuan Province, China</w:t>
      </w:r>
    </w:p>
    <w:p w14:paraId="408665A6" w14:textId="77777777" w:rsidR="00A77B3E" w:rsidRDefault="00A77B3E">
      <w:pPr>
        <w:spacing w:line="360" w:lineRule="auto"/>
        <w:jc w:val="both"/>
      </w:pPr>
    </w:p>
    <w:p w14:paraId="7EF67A47" w14:textId="77777777" w:rsidR="00A77B3E" w:rsidRDefault="00D772A7">
      <w:pPr>
        <w:spacing w:line="360" w:lineRule="auto"/>
        <w:jc w:val="both"/>
      </w:pPr>
      <w:r>
        <w:rPr>
          <w:rFonts w:ascii="Book Antiqua" w:eastAsia="Book Antiqua" w:hAnsi="Book Antiqua" w:cs="Book Antiqua"/>
          <w:b/>
          <w:bCs/>
          <w:color w:val="000000"/>
        </w:rPr>
        <w:t xml:space="preserve">Jun Cheng, </w:t>
      </w:r>
      <w:r>
        <w:rPr>
          <w:rFonts w:ascii="Book Antiqua" w:eastAsia="Book Antiqua" w:hAnsi="Book Antiqua" w:cs="Book Antiqua"/>
          <w:color w:val="000000"/>
        </w:rPr>
        <w:t>Center of Hepatology, Beijing Ditan Hospital, Capital Medical University, Beijing 100015, China</w:t>
      </w:r>
    </w:p>
    <w:p w14:paraId="50BDED74" w14:textId="77777777" w:rsidR="00A77B3E" w:rsidRDefault="00A77B3E">
      <w:pPr>
        <w:spacing w:line="360" w:lineRule="auto"/>
        <w:jc w:val="both"/>
      </w:pPr>
    </w:p>
    <w:p w14:paraId="214B5821" w14:textId="77777777" w:rsidR="00A77B3E" w:rsidRDefault="00D772A7">
      <w:pPr>
        <w:spacing w:line="360" w:lineRule="auto"/>
        <w:jc w:val="both"/>
      </w:pPr>
      <w:r>
        <w:rPr>
          <w:rFonts w:ascii="Book Antiqua" w:eastAsia="Book Antiqua" w:hAnsi="Book Antiqua" w:cs="Book Antiqua"/>
          <w:b/>
          <w:bCs/>
          <w:color w:val="000000"/>
        </w:rPr>
        <w:t xml:space="preserve">Xin-Yue Chen, </w:t>
      </w:r>
      <w:r>
        <w:rPr>
          <w:rFonts w:ascii="Book Antiqua" w:eastAsia="Book Antiqua" w:hAnsi="Book Antiqua" w:cs="Book Antiqua"/>
          <w:color w:val="000000"/>
        </w:rPr>
        <w:t>Department of International Medical, Beijing Youan Hospital, Capital Medical University, Beijing 10069, China</w:t>
      </w:r>
    </w:p>
    <w:p w14:paraId="6280AD6C" w14:textId="77777777" w:rsidR="00A77B3E" w:rsidRDefault="00A77B3E">
      <w:pPr>
        <w:spacing w:line="360" w:lineRule="auto"/>
        <w:jc w:val="both"/>
      </w:pPr>
    </w:p>
    <w:p w14:paraId="7D89F45A" w14:textId="77777777" w:rsidR="00A77B3E" w:rsidRDefault="00D772A7">
      <w:pPr>
        <w:spacing w:line="360" w:lineRule="auto"/>
        <w:jc w:val="both"/>
      </w:pPr>
      <w:r>
        <w:rPr>
          <w:rFonts w:ascii="Book Antiqua" w:eastAsia="Book Antiqua" w:hAnsi="Book Antiqua" w:cs="Book Antiqua"/>
          <w:b/>
          <w:bCs/>
          <w:color w:val="000000"/>
        </w:rPr>
        <w:t xml:space="preserve">Wen-Hong Zhang, </w:t>
      </w:r>
      <w:r>
        <w:rPr>
          <w:rFonts w:ascii="Book Antiqua" w:eastAsia="Book Antiqua" w:hAnsi="Book Antiqua" w:cs="Book Antiqua"/>
          <w:color w:val="000000"/>
        </w:rPr>
        <w:t>Department of Infectious Diseases, Huashan Hospital, Fudan University, Shanghai 200040, China</w:t>
      </w:r>
    </w:p>
    <w:p w14:paraId="30702505" w14:textId="77777777" w:rsidR="00A77B3E" w:rsidRDefault="00A77B3E">
      <w:pPr>
        <w:spacing w:line="360" w:lineRule="auto"/>
        <w:jc w:val="both"/>
      </w:pPr>
    </w:p>
    <w:p w14:paraId="59490243" w14:textId="77777777" w:rsidR="00A77B3E" w:rsidRDefault="00D772A7">
      <w:pPr>
        <w:spacing w:line="360" w:lineRule="auto"/>
        <w:jc w:val="both"/>
      </w:pPr>
      <w:r>
        <w:rPr>
          <w:rFonts w:ascii="Book Antiqua" w:eastAsia="Book Antiqua" w:hAnsi="Book Antiqua" w:cs="Book Antiqua"/>
          <w:b/>
          <w:bCs/>
          <w:color w:val="000000"/>
        </w:rPr>
        <w:t xml:space="preserve">Hao Wang, </w:t>
      </w:r>
      <w:r>
        <w:rPr>
          <w:rFonts w:ascii="Book Antiqua" w:eastAsia="Book Antiqua" w:hAnsi="Book Antiqua" w:cs="Book Antiqua"/>
          <w:color w:val="000000"/>
        </w:rPr>
        <w:t>Department of Infectious Diseases, Peking University People's Hospital, Beijing 100044, China</w:t>
      </w:r>
    </w:p>
    <w:p w14:paraId="60E8AF30" w14:textId="77777777" w:rsidR="00A77B3E" w:rsidRDefault="00A77B3E">
      <w:pPr>
        <w:spacing w:line="360" w:lineRule="auto"/>
        <w:jc w:val="both"/>
      </w:pPr>
    </w:p>
    <w:p w14:paraId="59959F06" w14:textId="77777777" w:rsidR="00A77B3E" w:rsidRDefault="00D772A7">
      <w:pPr>
        <w:spacing w:line="360" w:lineRule="auto"/>
        <w:jc w:val="both"/>
      </w:pPr>
      <w:r>
        <w:rPr>
          <w:rFonts w:ascii="Book Antiqua" w:eastAsia="Book Antiqua" w:hAnsi="Book Antiqua" w:cs="Book Antiqua"/>
          <w:b/>
          <w:bCs/>
          <w:color w:val="000000"/>
        </w:rPr>
        <w:t xml:space="preserve">Zhong-Nan Xu, Ling Wang, Jun Dai, </w:t>
      </w:r>
      <w:r>
        <w:rPr>
          <w:rFonts w:ascii="Book Antiqua" w:eastAsia="Book Antiqua" w:hAnsi="Book Antiqua" w:cs="Book Antiqua"/>
          <w:color w:val="000000"/>
        </w:rPr>
        <w:t>Clinical Center, Jiangsu Chia-tai Tianqing Pharmaceutical Co., Ltd, Nanjing 210000, Jiangsu Province, China</w:t>
      </w:r>
    </w:p>
    <w:p w14:paraId="5C029A2C" w14:textId="77777777" w:rsidR="00A77B3E" w:rsidRDefault="00A77B3E">
      <w:pPr>
        <w:spacing w:line="360" w:lineRule="auto"/>
        <w:jc w:val="both"/>
      </w:pPr>
    </w:p>
    <w:p w14:paraId="6AE16086" w14:textId="33A539F2" w:rsidR="00A77B3E" w:rsidRDefault="00D772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w:t>
      </w:r>
      <w:r w:rsidR="00026D6E">
        <w:rPr>
          <w:rFonts w:ascii="Book Antiqua" w:eastAsia="Book Antiqua" w:hAnsi="Book Antiqua" w:cs="Book Antiqua"/>
          <w:color w:val="000000"/>
        </w:rPr>
        <w:t xml:space="preserve"> XF</w:t>
      </w:r>
      <w:r w:rsidR="00B86CA2">
        <w:rPr>
          <w:rFonts w:ascii="Book Antiqua" w:eastAsia="Book Antiqua" w:hAnsi="Book Antiqua" w:cs="Book Antiqua"/>
          <w:color w:val="000000"/>
        </w:rPr>
        <w:t xml:space="preserve"> and </w:t>
      </w:r>
      <w:r>
        <w:rPr>
          <w:rFonts w:ascii="Book Antiqua" w:eastAsia="Book Antiqua" w:hAnsi="Book Antiqua" w:cs="Book Antiqua"/>
          <w:color w:val="000000"/>
        </w:rPr>
        <w:t xml:space="preserve">Fan </w:t>
      </w:r>
      <w:r w:rsidR="00026D6E">
        <w:rPr>
          <w:rFonts w:ascii="Book Antiqua" w:eastAsia="Book Antiqua" w:hAnsi="Book Antiqua" w:cs="Book Antiqua"/>
          <w:color w:val="000000"/>
        </w:rPr>
        <w:t xml:space="preserve">YN </w:t>
      </w:r>
      <w:r>
        <w:rPr>
          <w:rFonts w:ascii="Book Antiqua" w:eastAsia="Book Antiqua" w:hAnsi="Book Antiqua" w:cs="Book Antiqua"/>
          <w:color w:val="000000"/>
        </w:rPr>
        <w:t>wrote the article; Yu</w:t>
      </w:r>
      <w:r w:rsidR="00026D6E">
        <w:rPr>
          <w:rFonts w:ascii="Book Antiqua" w:eastAsia="Book Antiqua" w:hAnsi="Book Antiqua" w:cs="Book Antiqua"/>
          <w:color w:val="000000"/>
        </w:rPr>
        <w:t xml:space="preserve"> YY</w:t>
      </w:r>
      <w:r>
        <w:rPr>
          <w:rFonts w:ascii="Book Antiqua" w:eastAsia="Book Antiqua" w:hAnsi="Book Antiqua" w:cs="Book Antiqua"/>
          <w:color w:val="000000"/>
        </w:rPr>
        <w:t>, Xu</w:t>
      </w:r>
      <w:r w:rsidR="00026D6E">
        <w:rPr>
          <w:rFonts w:ascii="Book Antiqua" w:eastAsia="Book Antiqua" w:hAnsi="Book Antiqua" w:cs="Book Antiqua"/>
          <w:color w:val="000000"/>
        </w:rPr>
        <w:t xml:space="preserve"> JH</w:t>
      </w:r>
      <w:r w:rsidR="00B86CA2">
        <w:rPr>
          <w:rFonts w:ascii="Book Antiqua" w:eastAsia="Book Antiqua" w:hAnsi="Book Antiqua" w:cs="Book Antiqua"/>
          <w:color w:val="000000"/>
        </w:rPr>
        <w:t>,</w:t>
      </w:r>
      <w:r w:rsidR="00026D6E">
        <w:rPr>
          <w:rFonts w:ascii="Book Antiqua" w:eastAsia="Book Antiqua" w:hAnsi="Book Antiqua" w:cs="Book Antiqua"/>
          <w:color w:val="000000"/>
        </w:rPr>
        <w:t xml:space="preserve"> and</w:t>
      </w:r>
      <w:r>
        <w:rPr>
          <w:rFonts w:ascii="Book Antiqua" w:eastAsia="Book Antiqua" w:hAnsi="Book Antiqua" w:cs="Book Antiqua"/>
          <w:color w:val="000000"/>
        </w:rPr>
        <w:t xml:space="preserve"> Si</w:t>
      </w:r>
      <w:r w:rsidR="00026D6E">
        <w:rPr>
          <w:rFonts w:ascii="Book Antiqua" w:eastAsia="Book Antiqua" w:hAnsi="Book Antiqua" w:cs="Book Antiqua"/>
          <w:color w:val="000000"/>
        </w:rPr>
        <w:t xml:space="preserve"> CW</w:t>
      </w:r>
      <w:r>
        <w:rPr>
          <w:rFonts w:ascii="Book Antiqua" w:eastAsia="Book Antiqua" w:hAnsi="Book Antiqua" w:cs="Book Antiqua"/>
          <w:color w:val="000000"/>
        </w:rPr>
        <w:t xml:space="preserve"> formatted and revised the article; Shang</w:t>
      </w:r>
      <w:r w:rsidR="00026D6E">
        <w:rPr>
          <w:rFonts w:ascii="Book Antiqua" w:eastAsia="Book Antiqua" w:hAnsi="Book Antiqua" w:cs="Book Antiqua"/>
          <w:color w:val="000000"/>
        </w:rPr>
        <w:t xml:space="preserve"> J</w:t>
      </w:r>
      <w:r>
        <w:rPr>
          <w:rFonts w:ascii="Book Antiqua" w:eastAsia="Book Antiqua" w:hAnsi="Book Antiqua" w:cs="Book Antiqua"/>
          <w:color w:val="000000"/>
        </w:rPr>
        <w:t>, Yu</w:t>
      </w:r>
      <w:r w:rsidR="00026D6E">
        <w:rPr>
          <w:rFonts w:ascii="Book Antiqua" w:eastAsia="Book Antiqua" w:hAnsi="Book Antiqua" w:cs="Book Antiqua"/>
          <w:color w:val="000000"/>
        </w:rPr>
        <w:t xml:space="preserve"> ZJ</w:t>
      </w:r>
      <w:r>
        <w:rPr>
          <w:rFonts w:ascii="Book Antiqua" w:eastAsia="Book Antiqua" w:hAnsi="Book Antiqua" w:cs="Book Antiqua"/>
          <w:color w:val="000000"/>
        </w:rPr>
        <w:t>, Mao</w:t>
      </w:r>
      <w:r w:rsidR="00026D6E">
        <w:rPr>
          <w:rFonts w:ascii="Book Antiqua" w:eastAsia="Book Antiqua" w:hAnsi="Book Antiqua" w:cs="Book Antiqua"/>
          <w:color w:val="000000"/>
        </w:rPr>
        <w:t xml:space="preserve"> Q</w:t>
      </w:r>
      <w:r>
        <w:rPr>
          <w:rFonts w:ascii="Book Antiqua" w:eastAsia="Book Antiqua" w:hAnsi="Book Antiqua" w:cs="Book Antiqua"/>
          <w:color w:val="000000"/>
        </w:rPr>
        <w:t>, Xie</w:t>
      </w:r>
      <w:r w:rsidR="00026D6E">
        <w:rPr>
          <w:rFonts w:ascii="Book Antiqua" w:eastAsia="Book Antiqua" w:hAnsi="Book Antiqua" w:cs="Book Antiqua"/>
          <w:color w:val="000000"/>
        </w:rPr>
        <w:t xml:space="preserve"> Q</w:t>
      </w:r>
      <w:r>
        <w:rPr>
          <w:rFonts w:ascii="Book Antiqua" w:eastAsia="Book Antiqua" w:hAnsi="Book Antiqua" w:cs="Book Antiqua"/>
          <w:color w:val="000000"/>
        </w:rPr>
        <w:t>, Zhao</w:t>
      </w:r>
      <w:r w:rsidR="00026D6E">
        <w:rPr>
          <w:rFonts w:ascii="Book Antiqua" w:eastAsia="Book Antiqua" w:hAnsi="Book Antiqua" w:cs="Book Antiqua"/>
          <w:color w:val="000000"/>
        </w:rPr>
        <w:t xml:space="preserve"> W</w:t>
      </w:r>
      <w:r>
        <w:rPr>
          <w:rFonts w:ascii="Book Antiqua" w:eastAsia="Book Antiqua" w:hAnsi="Book Antiqua" w:cs="Book Antiqua"/>
          <w:color w:val="000000"/>
        </w:rPr>
        <w:t>, Li</w:t>
      </w:r>
      <w:r w:rsidR="00026D6E">
        <w:rPr>
          <w:rFonts w:ascii="Book Antiqua" w:eastAsia="Book Antiqua" w:hAnsi="Book Antiqua" w:cs="Book Antiqua"/>
          <w:color w:val="000000"/>
        </w:rPr>
        <w:t xml:space="preserve"> J</w:t>
      </w:r>
      <w:r>
        <w:rPr>
          <w:rFonts w:ascii="Book Antiqua" w:eastAsia="Book Antiqua" w:hAnsi="Book Antiqua" w:cs="Book Antiqua"/>
          <w:color w:val="000000"/>
        </w:rPr>
        <w:t>, Gao</w:t>
      </w:r>
      <w:r w:rsidR="00026D6E">
        <w:rPr>
          <w:rFonts w:ascii="Book Antiqua" w:eastAsia="Book Antiqua" w:hAnsi="Book Antiqua" w:cs="Book Antiqua"/>
          <w:color w:val="000000"/>
        </w:rPr>
        <w:t xml:space="preserve"> ZL</w:t>
      </w:r>
      <w:r>
        <w:rPr>
          <w:rFonts w:ascii="Book Antiqua" w:eastAsia="Book Antiqua" w:hAnsi="Book Antiqua" w:cs="Book Antiqua"/>
          <w:color w:val="000000"/>
        </w:rPr>
        <w:t>, Wu</w:t>
      </w:r>
      <w:r w:rsidR="00026D6E">
        <w:rPr>
          <w:rFonts w:ascii="Book Antiqua" w:eastAsia="Book Antiqua" w:hAnsi="Book Antiqua" w:cs="Book Antiqua"/>
          <w:color w:val="000000"/>
        </w:rPr>
        <w:t xml:space="preserve"> SM</w:t>
      </w:r>
      <w:r>
        <w:rPr>
          <w:rFonts w:ascii="Book Antiqua" w:eastAsia="Book Antiqua" w:hAnsi="Book Antiqua" w:cs="Book Antiqua"/>
          <w:color w:val="000000"/>
        </w:rPr>
        <w:t>, Tang</w:t>
      </w:r>
      <w:r w:rsidR="00026D6E">
        <w:rPr>
          <w:rFonts w:ascii="Book Antiqua" w:eastAsia="Book Antiqua" w:hAnsi="Book Antiqua" w:cs="Book Antiqua"/>
          <w:color w:val="000000"/>
        </w:rPr>
        <w:t xml:space="preserve"> H</w:t>
      </w:r>
      <w:r>
        <w:rPr>
          <w:rFonts w:ascii="Book Antiqua" w:eastAsia="Book Antiqua" w:hAnsi="Book Antiqua" w:cs="Book Antiqua"/>
          <w:color w:val="000000"/>
        </w:rPr>
        <w:t>, Cheng</w:t>
      </w:r>
      <w:r w:rsidR="00026D6E">
        <w:rPr>
          <w:rFonts w:ascii="Book Antiqua" w:eastAsia="Book Antiqua" w:hAnsi="Book Antiqua" w:cs="Book Antiqua"/>
          <w:color w:val="000000"/>
        </w:rPr>
        <w:t xml:space="preserve"> J</w:t>
      </w:r>
      <w:r>
        <w:rPr>
          <w:rFonts w:ascii="Book Antiqua" w:eastAsia="Book Antiqua" w:hAnsi="Book Antiqua" w:cs="Book Antiqua"/>
          <w:color w:val="000000"/>
        </w:rPr>
        <w:t>, Chen</w:t>
      </w:r>
      <w:r w:rsidR="00026D6E">
        <w:rPr>
          <w:rFonts w:ascii="Book Antiqua" w:eastAsia="Book Antiqua" w:hAnsi="Book Antiqua" w:cs="Book Antiqua"/>
          <w:color w:val="000000"/>
        </w:rPr>
        <w:t xml:space="preserve"> XY</w:t>
      </w:r>
      <w:r>
        <w:rPr>
          <w:rFonts w:ascii="Book Antiqua" w:eastAsia="Book Antiqua" w:hAnsi="Book Antiqua" w:cs="Book Antiqua"/>
          <w:color w:val="000000"/>
        </w:rPr>
        <w:t>, Zhang</w:t>
      </w:r>
      <w:r w:rsidR="00026D6E">
        <w:rPr>
          <w:rFonts w:ascii="Book Antiqua" w:eastAsia="Book Antiqua" w:hAnsi="Book Antiqua" w:cs="Book Antiqua"/>
          <w:color w:val="000000"/>
        </w:rPr>
        <w:t xml:space="preserve"> WH</w:t>
      </w:r>
      <w:r w:rsidR="00B86CA2">
        <w:rPr>
          <w:rFonts w:ascii="Book Antiqua" w:eastAsia="Book Antiqua" w:hAnsi="Book Antiqua" w:cs="Book Antiqua"/>
          <w:color w:val="000000"/>
        </w:rPr>
        <w:t>,</w:t>
      </w:r>
      <w:r w:rsidR="00026D6E">
        <w:rPr>
          <w:rFonts w:ascii="Book Antiqua" w:eastAsia="Book Antiqua" w:hAnsi="Book Antiqua" w:cs="Book Antiqua"/>
          <w:color w:val="000000"/>
        </w:rPr>
        <w:t xml:space="preserve"> and</w:t>
      </w:r>
      <w:r>
        <w:rPr>
          <w:rFonts w:ascii="Book Antiqua" w:eastAsia="Book Antiqua" w:hAnsi="Book Antiqua" w:cs="Book Antiqua"/>
          <w:color w:val="000000"/>
        </w:rPr>
        <w:t xml:space="preserve"> Wang </w:t>
      </w:r>
      <w:r w:rsidR="00026D6E">
        <w:rPr>
          <w:rFonts w:ascii="Book Antiqua" w:eastAsia="Book Antiqua" w:hAnsi="Book Antiqua" w:cs="Book Antiqua"/>
          <w:color w:val="000000"/>
        </w:rPr>
        <w:t xml:space="preserve">H </w:t>
      </w:r>
      <w:r>
        <w:rPr>
          <w:rFonts w:ascii="Book Antiqua" w:eastAsia="Book Antiqua" w:hAnsi="Book Antiqua" w:cs="Book Antiqua"/>
          <w:color w:val="000000"/>
        </w:rPr>
        <w:t>provided data from various clinical centers</w:t>
      </w:r>
      <w:r w:rsidR="00026D6E">
        <w:rPr>
          <w:rFonts w:ascii="Book Antiqua" w:eastAsia="Book Antiqua" w:hAnsi="Book Antiqua" w:cs="Book Antiqua"/>
          <w:color w:val="000000"/>
        </w:rPr>
        <w:t>;</w:t>
      </w:r>
      <w:r>
        <w:rPr>
          <w:rFonts w:ascii="Book Antiqua" w:eastAsia="Book Antiqua" w:hAnsi="Book Antiqua" w:cs="Book Antiqua"/>
          <w:color w:val="000000"/>
        </w:rPr>
        <w:t xml:space="preserve"> Xu</w:t>
      </w:r>
      <w:r w:rsidR="00026D6E">
        <w:rPr>
          <w:rFonts w:ascii="Book Antiqua" w:eastAsia="Book Antiqua" w:hAnsi="Book Antiqua" w:cs="Book Antiqua"/>
          <w:color w:val="000000"/>
        </w:rPr>
        <w:t xml:space="preserve"> ZN</w:t>
      </w:r>
      <w:r>
        <w:rPr>
          <w:rFonts w:ascii="Book Antiqua" w:eastAsia="Book Antiqua" w:hAnsi="Book Antiqua" w:cs="Book Antiqua"/>
          <w:color w:val="000000"/>
        </w:rPr>
        <w:t>, Wang</w:t>
      </w:r>
      <w:r w:rsidR="00026D6E">
        <w:rPr>
          <w:rFonts w:ascii="Book Antiqua" w:eastAsia="Book Antiqua" w:hAnsi="Book Antiqua" w:cs="Book Antiqua"/>
          <w:color w:val="000000"/>
        </w:rPr>
        <w:t xml:space="preserve"> L</w:t>
      </w:r>
      <w:r w:rsidR="00B86CA2">
        <w:rPr>
          <w:rFonts w:ascii="Book Antiqua" w:eastAsia="Book Antiqua" w:hAnsi="Book Antiqua" w:cs="Book Antiqua"/>
          <w:color w:val="000000"/>
        </w:rPr>
        <w:t>,</w:t>
      </w:r>
      <w:r w:rsidR="00026D6E">
        <w:rPr>
          <w:rFonts w:ascii="Book Antiqua" w:eastAsia="Book Antiqua" w:hAnsi="Book Antiqua" w:cs="Book Antiqua"/>
          <w:color w:val="000000"/>
        </w:rPr>
        <w:t xml:space="preserve"> and</w:t>
      </w:r>
      <w:r>
        <w:rPr>
          <w:rFonts w:ascii="Book Antiqua" w:eastAsia="Book Antiqua" w:hAnsi="Book Antiqua" w:cs="Book Antiqua"/>
          <w:color w:val="000000"/>
        </w:rPr>
        <w:t xml:space="preserve"> Dai </w:t>
      </w:r>
      <w:r w:rsidR="00026D6E">
        <w:rPr>
          <w:rFonts w:ascii="Book Antiqua" w:eastAsia="Book Antiqua" w:hAnsi="Book Antiqua" w:cs="Book Antiqua"/>
          <w:color w:val="000000"/>
        </w:rPr>
        <w:t xml:space="preserve">J </w:t>
      </w:r>
      <w:r>
        <w:rPr>
          <w:rFonts w:ascii="Book Antiqua" w:eastAsia="Book Antiqua" w:hAnsi="Book Antiqua" w:cs="Book Antiqua"/>
          <w:color w:val="000000"/>
        </w:rPr>
        <w:t>made statistics.</w:t>
      </w:r>
    </w:p>
    <w:p w14:paraId="6340ED03" w14:textId="77777777" w:rsidR="00A77B3E" w:rsidRDefault="00A77B3E">
      <w:pPr>
        <w:spacing w:line="360" w:lineRule="auto"/>
        <w:jc w:val="both"/>
      </w:pPr>
    </w:p>
    <w:p w14:paraId="4CD18181" w14:textId="4630A3A4" w:rsidR="00A77B3E" w:rsidRDefault="00D772A7">
      <w:pPr>
        <w:spacing w:line="360" w:lineRule="auto"/>
        <w:jc w:val="both"/>
      </w:pPr>
      <w:r>
        <w:rPr>
          <w:rFonts w:ascii="Book Antiqua" w:eastAsia="Book Antiqua" w:hAnsi="Book Antiqua" w:cs="Book Antiqua"/>
          <w:b/>
          <w:bCs/>
          <w:color w:val="000000"/>
          <w:szCs w:val="21"/>
        </w:rPr>
        <w:t>Supported by</w:t>
      </w:r>
      <w:r w:rsidRPr="00026D6E">
        <w:rPr>
          <w:rFonts w:ascii="Book Antiqua" w:eastAsia="Book Antiqua" w:hAnsi="Book Antiqua" w:cs="Book Antiqua"/>
          <w:color w:val="000000"/>
          <w:szCs w:val="21"/>
        </w:rPr>
        <w:t xml:space="preserve"> </w:t>
      </w:r>
      <w:r w:rsidR="00026D6E" w:rsidRPr="00026D6E">
        <w:rPr>
          <w:rFonts w:ascii="Book Antiqua" w:eastAsia="Book Antiqua" w:hAnsi="Book Antiqua" w:cs="Book Antiqua"/>
          <w:color w:val="000000"/>
          <w:szCs w:val="21"/>
        </w:rPr>
        <w:t xml:space="preserve">The </w:t>
      </w:r>
      <w:r>
        <w:rPr>
          <w:rFonts w:ascii="Book Antiqua" w:eastAsia="Book Antiqua" w:hAnsi="Book Antiqua" w:cs="Book Antiqua"/>
          <w:color w:val="000000"/>
        </w:rPr>
        <w:t>13</w:t>
      </w:r>
      <w:r w:rsidRPr="00026D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026D6E">
        <w:rPr>
          <w:rFonts w:ascii="Book Antiqua" w:eastAsia="Book Antiqua" w:hAnsi="Book Antiqua" w:cs="Book Antiqua"/>
          <w:color w:val="000000"/>
        </w:rPr>
        <w:t>F</w:t>
      </w:r>
      <w:r>
        <w:rPr>
          <w:rFonts w:ascii="Book Antiqua" w:eastAsia="Book Antiqua" w:hAnsi="Book Antiqua" w:cs="Book Antiqua"/>
          <w:color w:val="000000"/>
        </w:rPr>
        <w:t xml:space="preserve">ive-year </w:t>
      </w:r>
      <w:r w:rsidR="00026D6E">
        <w:rPr>
          <w:rFonts w:ascii="Book Antiqua" w:eastAsia="Book Antiqua" w:hAnsi="Book Antiqua" w:cs="Book Antiqua"/>
          <w:color w:val="000000"/>
        </w:rPr>
        <w:t>Scien</w:t>
      </w:r>
      <w:r>
        <w:rPr>
          <w:rFonts w:ascii="Book Antiqua" w:eastAsia="Book Antiqua" w:hAnsi="Book Antiqua" w:cs="Book Antiqua"/>
          <w:color w:val="000000"/>
        </w:rPr>
        <w:t xml:space="preserve">ce and </w:t>
      </w:r>
      <w:r w:rsidR="00026D6E">
        <w:rPr>
          <w:rFonts w:ascii="Book Antiqua" w:eastAsia="Book Antiqua" w:hAnsi="Book Antiqua" w:cs="Book Antiqua"/>
          <w:color w:val="000000"/>
        </w:rPr>
        <w:t>T</w:t>
      </w:r>
      <w:r>
        <w:rPr>
          <w:rFonts w:ascii="Book Antiqua" w:eastAsia="Book Antiqua" w:hAnsi="Book Antiqua" w:cs="Book Antiqua"/>
          <w:color w:val="000000"/>
        </w:rPr>
        <w:t xml:space="preserve">echnology </w:t>
      </w:r>
      <w:r w:rsidR="00026D6E">
        <w:rPr>
          <w:rFonts w:ascii="Book Antiqua" w:eastAsia="Book Antiqua" w:hAnsi="Book Antiqua" w:cs="Book Antiqua"/>
          <w:color w:val="000000"/>
        </w:rPr>
        <w:t>M</w:t>
      </w:r>
      <w:r>
        <w:rPr>
          <w:rFonts w:ascii="Book Antiqua" w:eastAsia="Book Antiqua" w:hAnsi="Book Antiqua" w:cs="Book Antiqua"/>
          <w:color w:val="000000"/>
        </w:rPr>
        <w:t xml:space="preserve">ajor </w:t>
      </w:r>
      <w:r w:rsidR="00026D6E">
        <w:rPr>
          <w:rFonts w:ascii="Book Antiqua" w:eastAsia="Book Antiqua" w:hAnsi="Book Antiqua" w:cs="Book Antiqua"/>
          <w:color w:val="000000"/>
        </w:rPr>
        <w:t>P</w:t>
      </w:r>
      <w:r>
        <w:rPr>
          <w:rFonts w:ascii="Book Antiqua" w:eastAsia="Book Antiqua" w:hAnsi="Book Antiqua" w:cs="Book Antiqua"/>
          <w:color w:val="000000"/>
        </w:rPr>
        <w:t xml:space="preserve">roject of China, on the </w:t>
      </w:r>
      <w:r w:rsidR="00026D6E">
        <w:rPr>
          <w:rFonts w:ascii="Book Antiqua" w:eastAsia="Book Antiqua" w:hAnsi="Book Antiqua" w:cs="Book Antiqua"/>
          <w:color w:val="000000"/>
        </w:rPr>
        <w:t>Preventi</w:t>
      </w:r>
      <w:r>
        <w:rPr>
          <w:rFonts w:ascii="Book Antiqua" w:eastAsia="Book Antiqua" w:hAnsi="Book Antiqua" w:cs="Book Antiqua"/>
          <w:color w:val="000000"/>
        </w:rPr>
        <w:t xml:space="preserve">on and </w:t>
      </w:r>
      <w:r w:rsidR="00026D6E">
        <w:rPr>
          <w:rFonts w:ascii="Book Antiqua" w:eastAsia="Book Antiqua" w:hAnsi="Book Antiqua" w:cs="Book Antiqua"/>
          <w:color w:val="000000"/>
        </w:rPr>
        <w:t>T</w:t>
      </w:r>
      <w:r>
        <w:rPr>
          <w:rFonts w:ascii="Book Antiqua" w:eastAsia="Book Antiqua" w:hAnsi="Book Antiqua" w:cs="Book Antiqua"/>
          <w:color w:val="000000"/>
        </w:rPr>
        <w:t xml:space="preserve">reatment of </w:t>
      </w:r>
      <w:r w:rsidR="00026D6E">
        <w:rPr>
          <w:rFonts w:ascii="Book Antiqua" w:eastAsia="Book Antiqua" w:hAnsi="Book Antiqua" w:cs="Book Antiqua"/>
          <w:color w:val="000000"/>
        </w:rPr>
        <w:t>M</w:t>
      </w:r>
      <w:r>
        <w:rPr>
          <w:rFonts w:ascii="Book Antiqua" w:eastAsia="Book Antiqua" w:hAnsi="Book Antiqua" w:cs="Book Antiqua"/>
          <w:color w:val="000000"/>
        </w:rPr>
        <w:t xml:space="preserve">ajor </w:t>
      </w:r>
      <w:r w:rsidR="00026D6E">
        <w:rPr>
          <w:rFonts w:ascii="Book Antiqua" w:eastAsia="Book Antiqua" w:hAnsi="Book Antiqua" w:cs="Book Antiqua"/>
          <w:color w:val="000000"/>
        </w:rPr>
        <w:t>I</w:t>
      </w:r>
      <w:r>
        <w:rPr>
          <w:rFonts w:ascii="Book Antiqua" w:eastAsia="Book Antiqua" w:hAnsi="Book Antiqua" w:cs="Book Antiqua"/>
          <w:color w:val="000000"/>
        </w:rPr>
        <w:t xml:space="preserve">nfectious </w:t>
      </w:r>
      <w:r w:rsidR="00026D6E">
        <w:rPr>
          <w:rFonts w:ascii="Book Antiqua" w:eastAsia="Book Antiqua" w:hAnsi="Book Antiqua" w:cs="Book Antiqua"/>
          <w:color w:val="000000"/>
        </w:rPr>
        <w:t>D</w:t>
      </w:r>
      <w:r>
        <w:rPr>
          <w:rFonts w:ascii="Book Antiqua" w:eastAsia="Book Antiqua" w:hAnsi="Book Antiqua" w:cs="Book Antiqua"/>
          <w:color w:val="000000"/>
        </w:rPr>
        <w:t>iseases, No. 2017ZX10202202.</w:t>
      </w:r>
    </w:p>
    <w:p w14:paraId="1C61FD8B" w14:textId="77777777" w:rsidR="00A77B3E" w:rsidRDefault="00A77B3E">
      <w:pPr>
        <w:spacing w:line="360" w:lineRule="auto"/>
        <w:jc w:val="both"/>
      </w:pPr>
    </w:p>
    <w:p w14:paraId="76488281" w14:textId="77777777" w:rsidR="00A77B3E" w:rsidRDefault="00D772A7">
      <w:pPr>
        <w:spacing w:line="360" w:lineRule="auto"/>
        <w:jc w:val="both"/>
      </w:pPr>
      <w:r>
        <w:rPr>
          <w:rFonts w:ascii="Book Antiqua" w:eastAsia="Book Antiqua" w:hAnsi="Book Antiqua" w:cs="Book Antiqua"/>
          <w:b/>
          <w:bCs/>
          <w:color w:val="000000"/>
        </w:rPr>
        <w:t xml:space="preserve">Corresponding author: Jing-Hang Xu, MD, PhD, Professor, </w:t>
      </w:r>
      <w:r>
        <w:rPr>
          <w:rFonts w:ascii="Book Antiqua" w:eastAsia="Book Antiqua" w:hAnsi="Book Antiqua" w:cs="Book Antiqua"/>
          <w:color w:val="000000"/>
        </w:rPr>
        <w:t>Department of Infectious Diseases, Center for Liver Diseases, Peking University First Hospital, No. 8 Xishiku Street, Xicheng District, Beijing 100034, China. ddcatjh@sina.com</w:t>
      </w:r>
    </w:p>
    <w:p w14:paraId="56C373DE" w14:textId="77777777" w:rsidR="00A77B3E" w:rsidRDefault="00A77B3E">
      <w:pPr>
        <w:spacing w:line="360" w:lineRule="auto"/>
        <w:jc w:val="both"/>
      </w:pPr>
    </w:p>
    <w:p w14:paraId="2340DFCC" w14:textId="77777777" w:rsidR="00A77B3E" w:rsidRDefault="00D772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2020</w:t>
      </w:r>
    </w:p>
    <w:p w14:paraId="0AD647EA" w14:textId="77777777" w:rsidR="00A77B3E" w:rsidRDefault="00D772A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24, 2021</w:t>
      </w:r>
    </w:p>
    <w:p w14:paraId="59919554" w14:textId="77EFD619" w:rsidR="00A77B3E" w:rsidRDefault="00D772A7">
      <w:pPr>
        <w:spacing w:line="360" w:lineRule="auto"/>
        <w:jc w:val="both"/>
      </w:pPr>
      <w:r>
        <w:rPr>
          <w:rFonts w:ascii="Book Antiqua" w:eastAsia="Book Antiqua" w:hAnsi="Book Antiqua" w:cs="Book Antiqua"/>
          <w:b/>
          <w:bCs/>
          <w:color w:val="000000"/>
        </w:rPr>
        <w:t xml:space="preserve">Accepted: </w:t>
      </w:r>
      <w:r w:rsidR="005D01E7" w:rsidRPr="005D01E7">
        <w:rPr>
          <w:rFonts w:ascii="Book Antiqua" w:eastAsia="Book Antiqua" w:hAnsi="Book Antiqua" w:cs="Book Antiqua"/>
          <w:color w:val="000000"/>
        </w:rPr>
        <w:t>April 21, 2021</w:t>
      </w:r>
    </w:p>
    <w:p w14:paraId="411A8FA2" w14:textId="4D081FB5" w:rsidR="00A77B3E" w:rsidRDefault="00D772A7">
      <w:pPr>
        <w:spacing w:line="360" w:lineRule="auto"/>
        <w:jc w:val="both"/>
        <w:rPr>
          <w:lang w:eastAsia="zh-CN"/>
        </w:rPr>
      </w:pPr>
      <w:r>
        <w:rPr>
          <w:rFonts w:ascii="Book Antiqua" w:eastAsia="Book Antiqua" w:hAnsi="Book Antiqua" w:cs="Book Antiqua"/>
          <w:b/>
          <w:bCs/>
          <w:color w:val="000000"/>
        </w:rPr>
        <w:t xml:space="preserve">Published online: </w:t>
      </w:r>
      <w:r w:rsidR="00F11951">
        <w:rPr>
          <w:rFonts w:ascii="Book Antiqua" w:hAnsi="Book Antiqua"/>
          <w:color w:val="000000"/>
          <w:shd w:val="clear" w:color="auto" w:fill="FFFFFF"/>
        </w:rPr>
        <w:t>June 26</w:t>
      </w:r>
      <w:r w:rsidR="00F11951">
        <w:rPr>
          <w:rFonts w:ascii="Book Antiqua" w:hAnsi="Book Antiqua" w:hint="eastAsia"/>
          <w:color w:val="000000"/>
          <w:shd w:val="clear" w:color="auto" w:fill="FFFFFF"/>
          <w:lang w:eastAsia="zh-CN"/>
        </w:rPr>
        <w:t>, 2021</w:t>
      </w:r>
    </w:p>
    <w:p w14:paraId="330504B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29258D6" w14:textId="77777777" w:rsidR="00A77B3E" w:rsidRDefault="00D772A7">
      <w:pPr>
        <w:spacing w:line="360" w:lineRule="auto"/>
        <w:jc w:val="both"/>
      </w:pPr>
      <w:r>
        <w:rPr>
          <w:rFonts w:ascii="Book Antiqua" w:eastAsia="Book Antiqua" w:hAnsi="Book Antiqua" w:cs="Book Antiqua"/>
          <w:b/>
          <w:color w:val="000000"/>
        </w:rPr>
        <w:t>Abstract</w:t>
      </w:r>
    </w:p>
    <w:p w14:paraId="2366F5B7" w14:textId="77777777" w:rsidR="00A77B3E" w:rsidRDefault="00D772A7">
      <w:pPr>
        <w:spacing w:line="360" w:lineRule="auto"/>
        <w:jc w:val="both"/>
      </w:pPr>
      <w:r>
        <w:rPr>
          <w:rFonts w:ascii="Book Antiqua" w:eastAsia="Book Antiqua" w:hAnsi="Book Antiqua" w:cs="Book Antiqua"/>
          <w:color w:val="000000"/>
        </w:rPr>
        <w:t>BACKGROUND</w:t>
      </w:r>
    </w:p>
    <w:p w14:paraId="3FED3D81" w14:textId="64ACB957" w:rsidR="00A77B3E" w:rsidRDefault="00D772A7">
      <w:pPr>
        <w:spacing w:line="360" w:lineRule="auto"/>
        <w:jc w:val="both"/>
      </w:pPr>
      <w:r>
        <w:rPr>
          <w:rFonts w:ascii="Book Antiqua" w:eastAsia="Book Antiqua" w:hAnsi="Book Antiqua" w:cs="Book Antiqua"/>
          <w:color w:val="000000"/>
        </w:rPr>
        <w:t xml:space="preserve">Tenofovir disoproxil fumarate (TDF) is a prodrug of a nucleotide analogue. As an antiviral drug, TDF has been proposed in the first-line treatment of chronic hepatitis B (CHB). Qingzhong, </w:t>
      </w:r>
      <w:r w:rsidR="00B86CA2">
        <w:rPr>
          <w:rFonts w:ascii="Book Antiqua" w:eastAsia="Book Antiqua" w:hAnsi="Book Antiqua" w:cs="Book Antiqua"/>
          <w:color w:val="000000"/>
        </w:rPr>
        <w:t xml:space="preserve">a </w:t>
      </w:r>
      <w:r>
        <w:rPr>
          <w:rFonts w:ascii="Book Antiqua" w:eastAsia="Book Antiqua" w:hAnsi="Book Antiqua" w:cs="Book Antiqua"/>
          <w:color w:val="000000"/>
        </w:rPr>
        <w:t>brand name of TDF, commercialized by Jiangsu Chia-tai Tianqing Pharmaceutical Co Ltd., and Viread, another brand name of TDF, commercialized by GlaxoSmithKline, have both been approved by the State Food and Drug Administration, China.</w:t>
      </w:r>
    </w:p>
    <w:p w14:paraId="0B5D5768" w14:textId="77777777" w:rsidR="00A77B3E" w:rsidRDefault="00A77B3E">
      <w:pPr>
        <w:spacing w:line="360" w:lineRule="auto"/>
        <w:jc w:val="both"/>
      </w:pPr>
    </w:p>
    <w:p w14:paraId="16EEE695" w14:textId="77777777" w:rsidR="00A77B3E" w:rsidRDefault="00D772A7">
      <w:pPr>
        <w:spacing w:line="360" w:lineRule="auto"/>
        <w:jc w:val="both"/>
      </w:pPr>
      <w:r>
        <w:rPr>
          <w:rFonts w:ascii="Book Antiqua" w:eastAsia="Book Antiqua" w:hAnsi="Book Antiqua" w:cs="Book Antiqua"/>
          <w:color w:val="000000"/>
        </w:rPr>
        <w:t>AIM</w:t>
      </w:r>
    </w:p>
    <w:p w14:paraId="6610A5A3" w14:textId="514F37A7" w:rsidR="00A77B3E" w:rsidRDefault="00D772A7">
      <w:pPr>
        <w:spacing w:line="360" w:lineRule="auto"/>
        <w:jc w:val="both"/>
      </w:pPr>
      <w:r>
        <w:rPr>
          <w:rFonts w:ascii="Book Antiqua" w:eastAsia="Book Antiqua" w:hAnsi="Book Antiqua" w:cs="Book Antiqua"/>
          <w:color w:val="000000"/>
        </w:rPr>
        <w:t>To investigate the</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efficacy and safety </w:t>
      </w:r>
      <w:r w:rsidR="00B86CA2">
        <w:rPr>
          <w:rFonts w:ascii="Book Antiqua" w:eastAsia="Book Antiqua" w:hAnsi="Book Antiqua" w:cs="Book Antiqua"/>
          <w:color w:val="000000"/>
        </w:rPr>
        <w:t xml:space="preserve">of the two TDF agents </w:t>
      </w:r>
      <w:r>
        <w:rPr>
          <w:rFonts w:ascii="Book Antiqua" w:eastAsia="Book Antiqua" w:hAnsi="Book Antiqua" w:cs="Book Antiqua"/>
          <w:color w:val="000000"/>
        </w:rPr>
        <w:t>in the treatment of Chinese CHB patients.</w:t>
      </w:r>
    </w:p>
    <w:p w14:paraId="27AF514E" w14:textId="77777777" w:rsidR="00A77B3E" w:rsidRDefault="00A77B3E">
      <w:pPr>
        <w:spacing w:line="360" w:lineRule="auto"/>
        <w:jc w:val="both"/>
      </w:pPr>
    </w:p>
    <w:p w14:paraId="0BCEF72E" w14:textId="77777777" w:rsidR="00A77B3E" w:rsidRDefault="00D772A7">
      <w:pPr>
        <w:spacing w:line="360" w:lineRule="auto"/>
        <w:jc w:val="both"/>
      </w:pPr>
      <w:r>
        <w:rPr>
          <w:rFonts w:ascii="Book Antiqua" w:eastAsia="Book Antiqua" w:hAnsi="Book Antiqua" w:cs="Book Antiqua"/>
          <w:color w:val="000000"/>
        </w:rPr>
        <w:t>METHODS</w:t>
      </w:r>
    </w:p>
    <w:p w14:paraId="1DED4B06" w14:textId="53055F01" w:rsidR="00A77B3E" w:rsidRDefault="00D772A7">
      <w:pPr>
        <w:spacing w:line="360" w:lineRule="auto"/>
        <w:jc w:val="both"/>
      </w:pPr>
      <w:r>
        <w:rPr>
          <w:rFonts w:ascii="Book Antiqua" w:eastAsia="Book Antiqua" w:hAnsi="Book Antiqua" w:cs="Book Antiqua"/>
          <w:color w:val="000000"/>
        </w:rPr>
        <w:t xml:space="preserve">This trial was registered at ClinicalTrials.gov with the identifier number of NCT02287857. A total of 330 Chinese CHB patients, among which 232 were </w:t>
      </w:r>
      <w:r w:rsidR="00026D6E" w:rsidRPr="00C46357">
        <w:rPr>
          <w:rFonts w:ascii="Book Antiqua" w:hAnsi="Book Antiqua"/>
        </w:rPr>
        <w:t>hepatitis B e antigen</w:t>
      </w:r>
      <w:r w:rsidR="00026D6E">
        <w:rPr>
          <w:rFonts w:ascii="Book Antiqua" w:eastAsia="Book Antiqua" w:hAnsi="Book Antiqua" w:cs="Book Antiqua"/>
          <w:color w:val="000000"/>
        </w:rPr>
        <w:t xml:space="preserve"> (</w:t>
      </w:r>
      <w:r>
        <w:rPr>
          <w:rFonts w:ascii="Book Antiqua" w:eastAsia="Book Antiqua" w:hAnsi="Book Antiqua" w:cs="Book Antiqua"/>
          <w:color w:val="000000"/>
        </w:rPr>
        <w:t>HBeAg</w:t>
      </w:r>
      <w:r w:rsidR="00026D6E">
        <w:rPr>
          <w:rFonts w:ascii="Book Antiqua" w:eastAsia="Book Antiqua" w:hAnsi="Book Antiqua" w:cs="Book Antiqua"/>
          <w:color w:val="000000"/>
        </w:rPr>
        <w:t>)</w:t>
      </w:r>
      <w:r>
        <w:rPr>
          <w:rFonts w:ascii="Book Antiqua" w:eastAsia="Book Antiqua" w:hAnsi="Book Antiqua" w:cs="Book Antiqua"/>
          <w:color w:val="000000"/>
        </w:rPr>
        <w:t xml:space="preserve">-positive, were included in this </w:t>
      </w:r>
      <w:r w:rsidR="00F35C39">
        <w:rPr>
          <w:rFonts w:ascii="Book Antiqua" w:eastAsia="Book Antiqua" w:hAnsi="Book Antiqua" w:cs="Book Antiqua"/>
          <w:color w:val="000000"/>
        </w:rPr>
        <w:t>5</w:t>
      </w:r>
      <w:r>
        <w:rPr>
          <w:rFonts w:ascii="Book Antiqua" w:eastAsia="Book Antiqua" w:hAnsi="Book Antiqua" w:cs="Book Antiqua"/>
          <w:color w:val="000000"/>
        </w:rPr>
        <w:t>-year-long, multicenter, double-blinded, double-dummy, randomized-controlled, non-inferiority phase III trial. The participants were initially randomized into two groups: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161), in which the participants received 300 mg Qingzhong once a day for 48 wk; and Group B, in which the participants received 300 mg Viread once a day for 48 wk. Starting from week 49, all the participants in Groups A and B received 300 mg Qingzhong once a day until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this study, the primary endpoint was the decrease in plasma level of </w:t>
      </w:r>
      <w:r w:rsidR="00026D6E" w:rsidRPr="00C46357">
        <w:rPr>
          <w:rFonts w:ascii="Book Antiqua" w:hAnsi="Book Antiqua"/>
        </w:rPr>
        <w:t>hepatitis B virus</w:t>
      </w:r>
      <w:r w:rsidR="00026D6E">
        <w:rPr>
          <w:rFonts w:ascii="Book Antiqua" w:eastAsia="Book Antiqua" w:hAnsi="Book Antiqua" w:cs="Book Antiqua"/>
          <w:color w:val="000000"/>
        </w:rPr>
        <w:t xml:space="preserve"> (</w:t>
      </w:r>
      <w:r>
        <w:rPr>
          <w:rFonts w:ascii="Book Antiqua" w:eastAsia="Book Antiqua" w:hAnsi="Book Antiqua" w:cs="Book Antiqua"/>
          <w:color w:val="000000"/>
        </w:rPr>
        <w:t>HBV</w:t>
      </w:r>
      <w:r w:rsidR="00026D6E">
        <w:rPr>
          <w:rFonts w:ascii="Book Antiqua" w:eastAsia="Book Antiqua" w:hAnsi="Book Antiqua" w:cs="Book Antiqua"/>
          <w:color w:val="000000"/>
        </w:rPr>
        <w:t>)</w:t>
      </w:r>
      <w:r>
        <w:rPr>
          <w:rFonts w:ascii="Book Antiqua" w:eastAsia="Book Antiqua" w:hAnsi="Book Antiqua" w:cs="Book Antiqua"/>
          <w:color w:val="000000"/>
        </w:rPr>
        <w:t xml:space="preserve"> DNA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while the secondary endpoints were suppression of HBV replication, alanine aminotransferase (ALT) normalization, HBeAg loss, and HBeAg seroconversion rates.</w:t>
      </w:r>
    </w:p>
    <w:p w14:paraId="3363D835" w14:textId="77777777" w:rsidR="00A77B3E" w:rsidRDefault="00A77B3E">
      <w:pPr>
        <w:spacing w:line="360" w:lineRule="auto"/>
        <w:jc w:val="both"/>
      </w:pPr>
    </w:p>
    <w:p w14:paraId="186A377B" w14:textId="77777777" w:rsidR="00A77B3E" w:rsidRDefault="00D772A7">
      <w:pPr>
        <w:spacing w:line="360" w:lineRule="auto"/>
        <w:jc w:val="both"/>
      </w:pPr>
      <w:r>
        <w:rPr>
          <w:rFonts w:ascii="Book Antiqua" w:eastAsia="Book Antiqua" w:hAnsi="Book Antiqua" w:cs="Book Antiqua"/>
          <w:color w:val="000000"/>
        </w:rPr>
        <w:t>RESULTS</w:t>
      </w:r>
    </w:p>
    <w:p w14:paraId="423EBBA4" w14:textId="08A445E7" w:rsidR="00A77B3E" w:rsidRDefault="00D772A7">
      <w:pPr>
        <w:spacing w:line="360" w:lineRule="auto"/>
        <w:jc w:val="both"/>
      </w:pPr>
      <w:r>
        <w:rPr>
          <w:rFonts w:ascii="Book Antiqua" w:eastAsia="Book Antiqua" w:hAnsi="Book Antiqua" w:cs="Book Antiqua"/>
          <w:color w:val="000000"/>
        </w:rPr>
        <w:t xml:space="preserve">For the participants with HBeAg-positive CHB, the decrease in mean HBV DNA level relative to the baseline value was comparable between Groups A and B (5.77 </w:t>
      </w:r>
      <w:r w:rsidR="00B86CA2" w:rsidRPr="000B3ABA">
        <w:rPr>
          <w:rFonts w:ascii="Book Antiqua" w:eastAsia="Book Antiqua" w:hAnsi="Book Antiqua" w:cs="Book Antiqua"/>
          <w:i/>
          <w:color w:val="000000"/>
        </w:rPr>
        <w:t>vs</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5.73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w:t>
      </w:r>
      <w:r w:rsidR="00B86CA2">
        <w:rPr>
          <w:rFonts w:ascii="Book Antiqua" w:eastAsia="Book Antiqua" w:hAnsi="Book Antiqua" w:cs="Book Antiqua"/>
          <w:color w:val="000000"/>
        </w:rPr>
        <w:t>,</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addition, similar percentages of HBeAg-positive participants in the two groups exhibited undetectable levels of HBV DNA, HBeAg loss, and HBeAg seroconversion (71.05% </w:t>
      </w:r>
      <w:r>
        <w:rPr>
          <w:rFonts w:ascii="Book Antiqua" w:eastAsia="Book Antiqua" w:hAnsi="Book Antiqua" w:cs="Book Antiqua"/>
          <w:i/>
          <w:iCs/>
          <w:color w:val="000000"/>
        </w:rPr>
        <w:t>vs</w:t>
      </w:r>
      <w:r>
        <w:rPr>
          <w:rFonts w:ascii="Book Antiqua" w:eastAsia="Book Antiqua" w:hAnsi="Book Antiqua" w:cs="Book Antiqua"/>
          <w:color w:val="000000"/>
        </w:rPr>
        <w:t xml:space="preserve"> 77.97%, 31.00% </w:t>
      </w:r>
      <w:r>
        <w:rPr>
          <w:rFonts w:ascii="Book Antiqua" w:eastAsia="Book Antiqua" w:hAnsi="Book Antiqua" w:cs="Book Antiqua"/>
          <w:i/>
          <w:iCs/>
          <w:color w:val="000000"/>
        </w:rPr>
        <w:t>vs</w:t>
      </w:r>
      <w:r>
        <w:rPr>
          <w:rFonts w:ascii="Book Antiqua" w:eastAsia="Book Antiqua" w:hAnsi="Book Antiqua" w:cs="Book Antiqua"/>
          <w:color w:val="000000"/>
        </w:rPr>
        <w:t xml:space="preserve"> 27.27%, and 20.22% </w:t>
      </w:r>
      <w:r>
        <w:rPr>
          <w:rFonts w:ascii="Book Antiqua" w:eastAsia="Book Antiqua" w:hAnsi="Book Antiqua" w:cs="Book Antiqua"/>
          <w:i/>
          <w:iCs/>
          <w:color w:val="000000"/>
        </w:rPr>
        <w:t>vs</w:t>
      </w:r>
      <w:r>
        <w:rPr>
          <w:rFonts w:ascii="Book Antiqua" w:eastAsia="Book Antiqua" w:hAnsi="Book Antiqua" w:cs="Book Antiqua"/>
          <w:color w:val="000000"/>
        </w:rPr>
        <w:t xml:space="preserve"> 15.79%, respectively,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 </w:t>
      </w:r>
      <w:r w:rsidRPr="00D30C96">
        <w:rPr>
          <w:rFonts w:ascii="Book Antiqua" w:eastAsia="Book Antiqua" w:hAnsi="Book Antiqua" w:cs="Book Antiqua"/>
          <w:i/>
          <w:iCs/>
          <w:color w:val="000000"/>
        </w:rPr>
        <w:t>P</w:t>
      </w:r>
      <w:r>
        <w:rPr>
          <w:rFonts w:ascii="Book Antiqua" w:eastAsia="Book Antiqua" w:hAnsi="Book Antiqua" w:cs="Book Antiqua"/>
          <w:color w:val="000000"/>
        </w:rPr>
        <w:t xml:space="preserve"> &gt;</w:t>
      </w:r>
      <w:r w:rsidR="00D30C96">
        <w:rPr>
          <w:rFonts w:ascii="Book Antiqua" w:eastAsia="Book Antiqua" w:hAnsi="Book Antiqua" w:cs="Book Antiqua"/>
          <w:color w:val="000000"/>
        </w:rPr>
        <w:t xml:space="preserve"> </w:t>
      </w:r>
      <w:r>
        <w:rPr>
          <w:rFonts w:ascii="Book Antiqua" w:eastAsia="Book Antiqua" w:hAnsi="Book Antiqua" w:cs="Book Antiqua"/>
          <w:color w:val="000000"/>
        </w:rPr>
        <w:t xml:space="preserve">0.05). For the participants with HBeAg-negative CHB, the decrease in mean HBV DNA level relative to the baseline value was also comparable between Groups A and B (4.46 </w:t>
      </w:r>
      <w:r w:rsidR="00B86CA2" w:rsidRPr="000B3ABA">
        <w:rPr>
          <w:rFonts w:ascii="Book Antiqua" w:eastAsia="Book Antiqua" w:hAnsi="Book Antiqua" w:cs="Book Antiqua"/>
          <w:i/>
          <w:color w:val="000000"/>
        </w:rPr>
        <w:t>vs</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4.70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w:t>
      </w:r>
      <w:r w:rsidR="00B86CA2">
        <w:rPr>
          <w:rFonts w:ascii="Book Antiqua" w:eastAsia="Book Antiqua" w:hAnsi="Book Antiqua" w:cs="Book Antiqua"/>
          <w:color w:val="000000"/>
        </w:rPr>
        <w:t>,</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addition, similar percentages of HBeAg-negative participants in the two groups exhibited undetectable levels of HBV DNA (87.23% </w:t>
      </w:r>
      <w:r>
        <w:rPr>
          <w:rFonts w:ascii="Book Antiqua" w:eastAsia="Book Antiqua" w:hAnsi="Book Antiqua" w:cs="Book Antiqua"/>
          <w:i/>
          <w:iCs/>
          <w:color w:val="000000"/>
        </w:rPr>
        <w:t>vs</w:t>
      </w:r>
      <w:r>
        <w:rPr>
          <w:rFonts w:ascii="Book Antiqua" w:eastAsia="Book Antiqua" w:hAnsi="Book Antiqua" w:cs="Book Antiqua"/>
          <w:color w:val="000000"/>
        </w:rPr>
        <w:t xml:space="preserve"> 94.12%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w:t>
      </w:r>
      <w:r w:rsidR="00B86CA2">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w:t>
      </w:r>
      <w:r w:rsidR="005E4F2B">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similar percentages of CHB patients (HBeAg-positive or HBeAg-negative) in the two groups exhibited normalization of ALT (80.14% </w:t>
      </w:r>
      <w:r>
        <w:rPr>
          <w:rFonts w:ascii="Book Antiqua" w:eastAsia="Book Antiqua" w:hAnsi="Book Antiqua" w:cs="Book Antiqua"/>
          <w:i/>
          <w:iCs/>
          <w:color w:val="000000"/>
        </w:rPr>
        <w:t>vs</w:t>
      </w:r>
      <w:r>
        <w:rPr>
          <w:rFonts w:ascii="Book Antiqua" w:eastAsia="Book Antiqua" w:hAnsi="Book Antiqua" w:cs="Book Antiqua"/>
          <w:color w:val="000000"/>
        </w:rPr>
        <w:t xml:space="preserve"> 84.57%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w:t>
      </w:r>
      <w:r w:rsidR="00B86CA2">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w:t>
      </w:r>
      <w:r w:rsidR="00B86CA2">
        <w:rPr>
          <w:rFonts w:ascii="Book Antiqua" w:eastAsia="Book Antiqua" w:hAnsi="Book Antiqua" w:cs="Book Antiqua"/>
          <w:color w:val="000000"/>
        </w:rPr>
        <w:t xml:space="preserve">), </w:t>
      </w:r>
      <w:r>
        <w:rPr>
          <w:rFonts w:ascii="Book Antiqua" w:eastAsia="Book Antiqua" w:hAnsi="Book Antiqua" w:cs="Book Antiqua"/>
          <w:color w:val="000000"/>
        </w:rPr>
        <w:t xml:space="preserve">and similar incidences of adverse events were observed (106 </w:t>
      </w:r>
      <w:r>
        <w:rPr>
          <w:rFonts w:ascii="Book Antiqua" w:eastAsia="Book Antiqua" w:hAnsi="Book Antiqua" w:cs="Book Antiqua"/>
          <w:i/>
          <w:iCs/>
          <w:color w:val="000000"/>
        </w:rPr>
        <w:t>vs</w:t>
      </w:r>
      <w:r>
        <w:rPr>
          <w:rFonts w:ascii="Book Antiqua" w:eastAsia="Book Antiqua" w:hAnsi="Book Antiqua" w:cs="Book Antiqua"/>
          <w:color w:val="000000"/>
        </w:rPr>
        <w:t xml:space="preserve"> 104 in Group A </w:t>
      </w:r>
      <w:r>
        <w:rPr>
          <w:rFonts w:ascii="Book Antiqua" w:eastAsia="Book Antiqua" w:hAnsi="Book Antiqua" w:cs="Book Antiqua"/>
          <w:i/>
          <w:iCs/>
          <w:color w:val="000000"/>
        </w:rPr>
        <w:t>vs</w:t>
      </w:r>
      <w:r>
        <w:rPr>
          <w:rFonts w:ascii="Book Antiqua" w:eastAsia="Book Antiqua" w:hAnsi="Book Antiqua" w:cs="Book Antiqua"/>
          <w:color w:val="000000"/>
        </w:rPr>
        <w:t xml:space="preserve"> Group B</w:t>
      </w:r>
      <w:r w:rsidR="00B86CA2">
        <w:rPr>
          <w:rFonts w:ascii="Book Antiqua" w:eastAsia="Book Antiqua" w:hAnsi="Book Antiqua" w:cs="Book Antiqua"/>
          <w:color w:val="000000"/>
        </w:rPr>
        <w:t>, respectively</w:t>
      </w:r>
      <w:r>
        <w:rPr>
          <w:rFonts w:ascii="Book Antiqua" w:eastAsia="Book Antiqua" w:hAnsi="Book Antiqua" w:cs="Book Antiqua"/>
          <w:color w:val="000000"/>
        </w:rPr>
        <w:t xml:space="preserve">; </w:t>
      </w:r>
      <w:r w:rsidRPr="005E4F2B">
        <w:rPr>
          <w:rFonts w:ascii="Book Antiqua" w:eastAsia="Book Antiqua" w:hAnsi="Book Antiqua" w:cs="Book Antiqua"/>
          <w:i/>
          <w:iCs/>
          <w:color w:val="000000"/>
        </w:rPr>
        <w:t>P</w:t>
      </w:r>
      <w:r w:rsidR="005E4F2B">
        <w:rPr>
          <w:rFonts w:ascii="Book Antiqua" w:eastAsia="Book Antiqua" w:hAnsi="Book Antiqua" w:cs="Book Antiqua"/>
          <w:color w:val="000000"/>
        </w:rPr>
        <w:t xml:space="preserve"> </w:t>
      </w:r>
      <w:r>
        <w:rPr>
          <w:rFonts w:ascii="Book Antiqua" w:eastAsia="Book Antiqua" w:hAnsi="Book Antiqua" w:cs="Book Antiqua"/>
          <w:color w:val="000000"/>
        </w:rPr>
        <w:t>&gt;</w:t>
      </w:r>
      <w:r w:rsidR="005E4F2B">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7BB15718" w14:textId="77777777" w:rsidR="00A77B3E" w:rsidRDefault="00A77B3E">
      <w:pPr>
        <w:spacing w:line="360" w:lineRule="auto"/>
        <w:jc w:val="both"/>
      </w:pPr>
    </w:p>
    <w:p w14:paraId="5D672FB9" w14:textId="77777777" w:rsidR="00A77B3E" w:rsidRDefault="00D772A7">
      <w:pPr>
        <w:spacing w:line="360" w:lineRule="auto"/>
        <w:jc w:val="both"/>
      </w:pPr>
      <w:r>
        <w:rPr>
          <w:rFonts w:ascii="Book Antiqua" w:eastAsia="Book Antiqua" w:hAnsi="Book Antiqua" w:cs="Book Antiqua"/>
          <w:color w:val="000000"/>
        </w:rPr>
        <w:t>CONCLUSION</w:t>
      </w:r>
    </w:p>
    <w:p w14:paraId="5A9EBDB9" w14:textId="211A7295" w:rsidR="00A77B3E" w:rsidRDefault="00D772A7">
      <w:pPr>
        <w:spacing w:line="360" w:lineRule="auto"/>
        <w:jc w:val="both"/>
      </w:pPr>
      <w:r>
        <w:rPr>
          <w:rFonts w:ascii="Book Antiqua" w:eastAsia="Book Antiqua" w:hAnsi="Book Antiqua" w:cs="Book Antiqua"/>
          <w:color w:val="000000"/>
        </w:rPr>
        <w:t xml:space="preserve">Both Qingzhong and Viread </w:t>
      </w:r>
      <w:r w:rsidR="00B86CA2">
        <w:rPr>
          <w:rFonts w:ascii="Book Antiqua" w:eastAsia="Book Antiqua" w:hAnsi="Book Antiqua" w:cs="Book Antiqua"/>
          <w:color w:val="000000"/>
        </w:rPr>
        <w:t xml:space="preserve">are </w:t>
      </w:r>
      <w:r>
        <w:rPr>
          <w:rFonts w:ascii="Book Antiqua" w:eastAsia="Book Antiqua" w:hAnsi="Book Antiqua" w:cs="Book Antiqua"/>
          <w:color w:val="000000"/>
        </w:rPr>
        <w:t>effective and safe in the treatment of Chinese CHB patients according to the results of our clinical trial.</w:t>
      </w:r>
    </w:p>
    <w:p w14:paraId="16E1432B" w14:textId="77777777" w:rsidR="00A77B3E" w:rsidRDefault="00A77B3E">
      <w:pPr>
        <w:spacing w:line="360" w:lineRule="auto"/>
        <w:jc w:val="both"/>
      </w:pPr>
    </w:p>
    <w:p w14:paraId="5ADA7DBE" w14:textId="0EAA726F" w:rsidR="00A77B3E" w:rsidRDefault="00D772A7">
      <w:pPr>
        <w:spacing w:line="360" w:lineRule="auto"/>
        <w:jc w:val="both"/>
      </w:pPr>
      <w:r>
        <w:rPr>
          <w:rFonts w:ascii="Book Antiqua" w:eastAsia="Book Antiqua" w:hAnsi="Book Antiqua" w:cs="Book Antiqua"/>
          <w:b/>
          <w:bCs/>
          <w:color w:val="000000"/>
        </w:rPr>
        <w:t xml:space="preserve">Key Words: </w:t>
      </w:r>
      <w:r w:rsidR="005E4F2B">
        <w:rPr>
          <w:rFonts w:ascii="Book Antiqua" w:eastAsia="Book Antiqua" w:hAnsi="Book Antiqua" w:cs="Book Antiqua"/>
          <w:color w:val="000000"/>
        </w:rPr>
        <w:t>C</w:t>
      </w:r>
      <w:r>
        <w:rPr>
          <w:rFonts w:ascii="Book Antiqua" w:eastAsia="Book Antiqua" w:hAnsi="Book Antiqua" w:cs="Book Antiqua"/>
          <w:color w:val="000000"/>
        </w:rPr>
        <w:t>hronic</w:t>
      </w:r>
      <w:r>
        <w:rPr>
          <w:rFonts w:ascii="Book Antiqua" w:eastAsia="Book Antiqua" w:hAnsi="Book Antiqua" w:cs="Book Antiqua"/>
          <w:b/>
          <w:bCs/>
          <w:color w:val="000000"/>
        </w:rPr>
        <w:t xml:space="preserve"> </w:t>
      </w:r>
      <w:r>
        <w:rPr>
          <w:rFonts w:ascii="Book Antiqua" w:eastAsia="Book Antiqua" w:hAnsi="Book Antiqua" w:cs="Book Antiqua"/>
          <w:color w:val="000000"/>
        </w:rPr>
        <w:t>hepatitis B</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H</w:t>
      </w:r>
      <w:r>
        <w:rPr>
          <w:rFonts w:ascii="Book Antiqua" w:eastAsia="Book Antiqua" w:hAnsi="Book Antiqua" w:cs="Book Antiqua"/>
          <w:color w:val="000000"/>
        </w:rPr>
        <w:t>epatitis B virus infection</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C</w:t>
      </w:r>
      <w:r>
        <w:rPr>
          <w:rFonts w:ascii="Book Antiqua" w:eastAsia="Book Antiqua" w:hAnsi="Book Antiqua" w:cs="Book Antiqua"/>
          <w:color w:val="000000"/>
        </w:rPr>
        <w:t>hronic</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T</w:t>
      </w:r>
      <w:r>
        <w:rPr>
          <w:rFonts w:ascii="Book Antiqua" w:eastAsia="Book Antiqua" w:hAnsi="Book Antiqua" w:cs="Book Antiqua"/>
          <w:color w:val="000000"/>
        </w:rPr>
        <w:t>enofovir disoproxil fumarate</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R</w:t>
      </w:r>
      <w:r>
        <w:rPr>
          <w:rFonts w:ascii="Book Antiqua" w:eastAsia="Book Antiqua" w:hAnsi="Book Antiqua" w:cs="Book Antiqua"/>
          <w:color w:val="000000"/>
        </w:rPr>
        <w:t>andomized</w:t>
      </w:r>
      <w:r w:rsidR="00B86CA2">
        <w:rPr>
          <w:rFonts w:ascii="Book Antiqua" w:eastAsia="Book Antiqua" w:hAnsi="Book Antiqua" w:cs="Book Antiqua"/>
          <w:color w:val="000000"/>
        </w:rPr>
        <w:t xml:space="preserve">, </w:t>
      </w:r>
      <w:r>
        <w:rPr>
          <w:rFonts w:ascii="Book Antiqua" w:eastAsia="Book Antiqua" w:hAnsi="Book Antiqua" w:cs="Book Antiqua"/>
          <w:color w:val="000000"/>
        </w:rPr>
        <w:t>controlled trial</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T</w:t>
      </w:r>
      <w:r>
        <w:rPr>
          <w:rFonts w:ascii="Book Antiqua" w:eastAsia="Book Antiqua" w:hAnsi="Book Antiqua" w:cs="Book Antiqua"/>
          <w:color w:val="000000"/>
        </w:rPr>
        <w:t>reatment outcomes</w:t>
      </w:r>
      <w:r w:rsidR="005E4F2B">
        <w:rPr>
          <w:rFonts w:ascii="Book Antiqua" w:eastAsia="Book Antiqua" w:hAnsi="Book Antiqua" w:cs="Book Antiqua"/>
          <w:color w:val="000000"/>
        </w:rPr>
        <w:t>;</w:t>
      </w:r>
      <w:r>
        <w:rPr>
          <w:rFonts w:ascii="Book Antiqua" w:eastAsia="Book Antiqua" w:hAnsi="Book Antiqua" w:cs="Book Antiqua"/>
          <w:color w:val="000000"/>
        </w:rPr>
        <w:t xml:space="preserve"> </w:t>
      </w:r>
      <w:r w:rsidR="005E4F2B">
        <w:rPr>
          <w:rFonts w:ascii="Book Antiqua" w:eastAsia="Book Antiqua" w:hAnsi="Book Antiqua" w:cs="Book Antiqua"/>
          <w:color w:val="000000"/>
        </w:rPr>
        <w:t>N</w:t>
      </w:r>
      <w:r>
        <w:rPr>
          <w:rFonts w:ascii="Book Antiqua" w:eastAsia="Book Antiqua" w:hAnsi="Book Antiqua" w:cs="Book Antiqua"/>
          <w:color w:val="000000"/>
        </w:rPr>
        <w:t>oninferiority trial</w:t>
      </w:r>
    </w:p>
    <w:p w14:paraId="698E6245" w14:textId="77777777" w:rsidR="008552C1" w:rsidRDefault="008552C1" w:rsidP="008552C1">
      <w:pPr>
        <w:spacing w:line="360" w:lineRule="auto"/>
        <w:jc w:val="both"/>
        <w:rPr>
          <w:lang w:eastAsia="zh-CN"/>
        </w:rPr>
      </w:pPr>
    </w:p>
    <w:p w14:paraId="165CE2E3" w14:textId="77777777" w:rsidR="008552C1" w:rsidRPr="00026CB8" w:rsidRDefault="008552C1" w:rsidP="008552C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B16D9EA" w14:textId="77777777" w:rsidR="00A77B3E" w:rsidRDefault="00A77B3E">
      <w:pPr>
        <w:spacing w:line="360" w:lineRule="auto"/>
        <w:jc w:val="both"/>
      </w:pPr>
    </w:p>
    <w:p w14:paraId="40E731DA" w14:textId="3C8C2079" w:rsidR="00B85663" w:rsidRDefault="00B85663">
      <w:pPr>
        <w:spacing w:line="360" w:lineRule="auto"/>
        <w:jc w:val="both"/>
        <w:rPr>
          <w:rFonts w:ascii="Book Antiqua" w:hAnsi="Book Antiqua" w:cs="Book Antiqua" w:hint="eastAsia"/>
          <w:color w:val="000000"/>
          <w:lang w:eastAsia="zh-CN"/>
        </w:rPr>
      </w:pPr>
      <w:r w:rsidRPr="00B85663">
        <w:rPr>
          <w:rFonts w:ascii="Book Antiqua" w:hAnsi="Book Antiqua" w:cs="Book Antiqua" w:hint="eastAsia"/>
          <w:b/>
          <w:color w:val="000000"/>
          <w:lang w:eastAsia="zh-CN"/>
        </w:rPr>
        <w:t xml:space="preserve">Citation: </w:t>
      </w:r>
      <w:r w:rsidR="00D772A7">
        <w:rPr>
          <w:rFonts w:ascii="Book Antiqua" w:eastAsia="Book Antiqua" w:hAnsi="Book Antiqua" w:cs="Book Antiqua"/>
          <w:color w:val="000000"/>
        </w:rPr>
        <w:t xml:space="preserve">Chen XF, Fan YN, Si CW, Yu YY, Shang J, Yu ZJ, Mao Q, Xie Q, Zhao W, Li J, Gao ZL, Wu SM, Tang H, Cheng J, Chen XY, Zhang WH, Wang H, Xu ZN, Wang L, Dai J, Xu JH. </w:t>
      </w:r>
      <w:r w:rsidR="00D30C96" w:rsidRPr="00D30C96">
        <w:rPr>
          <w:rFonts w:ascii="Book Antiqua" w:eastAsia="Book Antiqua" w:hAnsi="Book Antiqua" w:cs="Book Antiqua"/>
          <w:color w:val="000000"/>
        </w:rPr>
        <w:t>Tenofovir disoproxil fumarate in Chinese chronic hepatitis B patients: Results of a multicenter, double-blind, double-dummy, clinical trial at 96</w:t>
      </w:r>
      <w:r w:rsidR="00B86CA2">
        <w:rPr>
          <w:rFonts w:ascii="Book Antiqua" w:eastAsia="Book Antiqua" w:hAnsi="Book Antiqua" w:cs="Book Antiqua"/>
          <w:color w:val="000000"/>
        </w:rPr>
        <w:t xml:space="preserve"> </w:t>
      </w:r>
      <w:r w:rsidR="00D30C96" w:rsidRPr="00D30C96">
        <w:rPr>
          <w:rFonts w:ascii="Book Antiqua" w:eastAsia="Book Antiqua" w:hAnsi="Book Antiqua" w:cs="Book Antiqua"/>
          <w:color w:val="000000"/>
        </w:rPr>
        <w:t>week</w:t>
      </w:r>
      <w:r w:rsidR="00B86CA2">
        <w:rPr>
          <w:rFonts w:ascii="Book Antiqua" w:eastAsia="Book Antiqua" w:hAnsi="Book Antiqua" w:cs="Book Antiqua"/>
          <w:color w:val="000000"/>
        </w:rPr>
        <w:t>s</w:t>
      </w:r>
      <w:r w:rsidR="00D772A7">
        <w:rPr>
          <w:rFonts w:ascii="Book Antiqua" w:eastAsia="Book Antiqua" w:hAnsi="Book Antiqua" w:cs="Book Antiqua"/>
          <w:color w:val="000000"/>
        </w:rPr>
        <w:t xml:space="preserve">. </w:t>
      </w:r>
      <w:r w:rsidR="00D772A7">
        <w:rPr>
          <w:rFonts w:ascii="Book Antiqua" w:eastAsia="Book Antiqua" w:hAnsi="Book Antiqua" w:cs="Book Antiqua"/>
          <w:i/>
          <w:iCs/>
          <w:color w:val="000000"/>
        </w:rPr>
        <w:t>World J Clin Cases</w:t>
      </w:r>
      <w:r w:rsidR="00D772A7">
        <w:rPr>
          <w:rFonts w:ascii="Book Antiqua" w:eastAsia="Book Antiqua" w:hAnsi="Book Antiqua" w:cs="Book Antiqua"/>
          <w:color w:val="000000"/>
        </w:rPr>
        <w:t xml:space="preserve"> 2021; </w:t>
      </w:r>
      <w:r w:rsidR="00F11951">
        <w:rPr>
          <w:rFonts w:ascii="Book Antiqua" w:hAnsi="Book Antiqua" w:cs="Book Antiqua" w:hint="eastAsia"/>
          <w:color w:val="000000"/>
        </w:rPr>
        <w:t>9</w:t>
      </w:r>
      <w:r w:rsidR="00F11951" w:rsidRPr="008963A2">
        <w:rPr>
          <w:rFonts w:ascii="Book Antiqua" w:eastAsia="Book Antiqua" w:hAnsi="Book Antiqua" w:cs="Book Antiqua"/>
          <w:color w:val="000000"/>
        </w:rPr>
        <w:t>(</w:t>
      </w:r>
      <w:r w:rsidR="00F11951">
        <w:rPr>
          <w:rFonts w:ascii="Book Antiqua" w:hAnsi="Book Antiqua" w:cs="Book Antiqua" w:hint="eastAsia"/>
          <w:color w:val="000000"/>
        </w:rPr>
        <w:t>1</w:t>
      </w:r>
      <w:r w:rsidR="00F11951">
        <w:rPr>
          <w:rFonts w:ascii="Book Antiqua" w:hAnsi="Book Antiqua" w:cs="Book Antiqua" w:hint="eastAsia"/>
          <w:color w:val="000000"/>
          <w:lang w:eastAsia="zh-CN"/>
        </w:rPr>
        <w:t>8</w:t>
      </w:r>
      <w:r w:rsidR="00F11951" w:rsidRPr="008963A2">
        <w:rPr>
          <w:rFonts w:ascii="Book Antiqua" w:eastAsia="Book Antiqua" w:hAnsi="Book Antiqua" w:cs="Book Antiqua"/>
          <w:color w:val="000000"/>
        </w:rPr>
        <w:t xml:space="preserve">): </w:t>
      </w:r>
      <w:r w:rsidR="006F2F81" w:rsidRPr="006F2F81">
        <w:rPr>
          <w:rFonts w:ascii="Book Antiqua" w:eastAsia="Book Antiqua" w:hAnsi="Book Antiqua" w:cs="Book Antiqua"/>
          <w:color w:val="000000"/>
        </w:rPr>
        <w:t>4690-4699</w:t>
      </w:r>
      <w:r w:rsidR="00F11951" w:rsidRPr="008963A2">
        <w:rPr>
          <w:rFonts w:ascii="Book Antiqua" w:eastAsia="Book Antiqua" w:hAnsi="Book Antiqua" w:cs="Book Antiqua"/>
          <w:color w:val="000000"/>
        </w:rPr>
        <w:t xml:space="preserve">  </w:t>
      </w:r>
    </w:p>
    <w:p w14:paraId="6D81320A" w14:textId="77777777" w:rsidR="00B85663" w:rsidRDefault="00F11951">
      <w:pPr>
        <w:spacing w:line="360" w:lineRule="auto"/>
        <w:jc w:val="both"/>
        <w:rPr>
          <w:rFonts w:ascii="Book Antiqua" w:hAnsi="Book Antiqua" w:cs="Book Antiqua" w:hint="eastAsia"/>
          <w:color w:val="000000"/>
          <w:lang w:eastAsia="zh-CN"/>
        </w:rPr>
      </w:pPr>
      <w:r w:rsidRPr="00B85663">
        <w:rPr>
          <w:rFonts w:ascii="Book Antiqua" w:eastAsia="Book Antiqua" w:hAnsi="Book Antiqua" w:cs="Book Antiqua"/>
          <w:b/>
          <w:color w:val="000000"/>
        </w:rPr>
        <w:t xml:space="preserve">URL: </w:t>
      </w:r>
      <w:r w:rsidRPr="008963A2">
        <w:rPr>
          <w:rFonts w:ascii="Book Antiqua" w:eastAsia="Book Antiqua" w:hAnsi="Book Antiqua" w:cs="Book Antiqua"/>
          <w:color w:val="000000"/>
        </w:rPr>
        <w:t>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8</w:t>
      </w:r>
      <w:r w:rsidRPr="008963A2">
        <w:rPr>
          <w:rFonts w:ascii="Book Antiqua" w:eastAsia="Book Antiqua" w:hAnsi="Book Antiqua" w:cs="Book Antiqua"/>
          <w:color w:val="000000"/>
        </w:rPr>
        <w:t>/</w:t>
      </w:r>
      <w:r w:rsidR="00B85663" w:rsidRPr="006F2F81">
        <w:rPr>
          <w:rFonts w:ascii="Book Antiqua" w:eastAsia="Book Antiqua" w:hAnsi="Book Antiqua" w:cs="Book Antiqua"/>
          <w:color w:val="000000"/>
        </w:rPr>
        <w:t>4690</w:t>
      </w:r>
      <w:r w:rsidRPr="008963A2">
        <w:rPr>
          <w:rFonts w:ascii="Book Antiqua" w:eastAsia="Book Antiqua" w:hAnsi="Book Antiqua" w:cs="Book Antiqua"/>
          <w:color w:val="000000"/>
        </w:rPr>
        <w:t xml:space="preserve">.htm  </w:t>
      </w:r>
    </w:p>
    <w:p w14:paraId="06B28B1A" w14:textId="1069898C" w:rsidR="00A77B3E" w:rsidRDefault="00F11951">
      <w:pPr>
        <w:spacing w:line="360" w:lineRule="auto"/>
        <w:jc w:val="both"/>
      </w:pPr>
      <w:r w:rsidRPr="00B85663">
        <w:rPr>
          <w:rFonts w:ascii="Book Antiqua" w:eastAsia="Book Antiqua" w:hAnsi="Book Antiqua" w:cs="Book Antiqua"/>
          <w:b/>
          <w:color w:val="000000"/>
        </w:rPr>
        <w:t>DOI:</w:t>
      </w:r>
      <w:r w:rsidRPr="008963A2">
        <w:rPr>
          <w:rFonts w:ascii="Book Antiqua" w:eastAsia="Book Antiqua" w:hAnsi="Book Antiqua" w:cs="Book Antiqua"/>
          <w:color w:val="000000"/>
        </w:rPr>
        <w:t xml:space="preserve">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8</w:t>
      </w:r>
      <w:r w:rsidRPr="008963A2">
        <w:rPr>
          <w:rFonts w:ascii="Book Antiqua" w:eastAsia="Book Antiqua" w:hAnsi="Book Antiqua" w:cs="Book Antiqua"/>
          <w:color w:val="000000"/>
        </w:rPr>
        <w:t>.</w:t>
      </w:r>
      <w:r w:rsidR="00B85663" w:rsidRPr="006F2F81">
        <w:rPr>
          <w:rFonts w:ascii="Book Antiqua" w:eastAsia="Book Antiqua" w:hAnsi="Book Antiqua" w:cs="Book Antiqua"/>
          <w:color w:val="000000"/>
        </w:rPr>
        <w:t>4690</w:t>
      </w:r>
    </w:p>
    <w:p w14:paraId="0A8F148E" w14:textId="77777777" w:rsidR="00A77B3E" w:rsidRDefault="00A77B3E">
      <w:pPr>
        <w:spacing w:line="360" w:lineRule="auto"/>
        <w:jc w:val="both"/>
      </w:pPr>
    </w:p>
    <w:p w14:paraId="2E14303A" w14:textId="3632BB5F" w:rsidR="00A77B3E" w:rsidRDefault="00D772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clinical trial compared the efficacy and safety of Qingzhong and Viread, two commercialized </w:t>
      </w:r>
      <w:r w:rsidR="005E4F2B">
        <w:rPr>
          <w:rFonts w:ascii="Book Antiqua" w:eastAsia="Book Antiqua" w:hAnsi="Book Antiqua" w:cs="Book Antiqua"/>
          <w:color w:val="000000"/>
        </w:rPr>
        <w:t xml:space="preserve">tenofovir disoproxil fumarate </w:t>
      </w:r>
      <w:r>
        <w:rPr>
          <w:rFonts w:ascii="Book Antiqua" w:eastAsia="Book Antiqua" w:hAnsi="Book Antiqua" w:cs="Book Antiqua"/>
          <w:color w:val="000000"/>
        </w:rPr>
        <w:t xml:space="preserve">drugs, in the treatment of Chinese </w:t>
      </w:r>
      <w:r w:rsidR="005E4F2B">
        <w:rPr>
          <w:rFonts w:ascii="Book Antiqua" w:eastAsia="Book Antiqua" w:hAnsi="Book Antiqua" w:cs="Book Antiqua"/>
          <w:color w:val="000000"/>
        </w:rPr>
        <w:t>chronic hepatitis B (CHB)</w:t>
      </w:r>
      <w:r>
        <w:rPr>
          <w:rFonts w:ascii="Book Antiqua" w:eastAsia="Book Antiqua" w:hAnsi="Book Antiqua" w:cs="Book Antiqua"/>
          <w:color w:val="000000"/>
        </w:rPr>
        <w:t xml:space="preserve"> patients during a 96-wk period. The decrease in mean </w:t>
      </w:r>
      <w:r w:rsidR="005E4F2B">
        <w:rPr>
          <w:rFonts w:ascii="Book Antiqua" w:eastAsia="Book Antiqua" w:hAnsi="Book Antiqua" w:cs="Book Antiqua"/>
          <w:color w:val="000000"/>
        </w:rPr>
        <w:t>hepatitis B virus</w:t>
      </w:r>
      <w:r>
        <w:rPr>
          <w:rFonts w:ascii="Book Antiqua" w:eastAsia="Book Antiqua" w:hAnsi="Book Antiqua" w:cs="Book Antiqua"/>
          <w:color w:val="000000"/>
        </w:rPr>
        <w:t xml:space="preserve"> DNA level relative to the baseline value, the rates of </w:t>
      </w:r>
      <w:r w:rsidR="005E4F2B" w:rsidRPr="00C46357">
        <w:rPr>
          <w:rFonts w:ascii="Book Antiqua" w:hAnsi="Book Antiqua"/>
        </w:rPr>
        <w:t>hepatitis B e antigen</w:t>
      </w:r>
      <w:r w:rsidR="005E4F2B">
        <w:rPr>
          <w:rFonts w:ascii="Book Antiqua" w:eastAsia="Book Antiqua" w:hAnsi="Book Antiqua" w:cs="Book Antiqua"/>
          <w:color w:val="000000"/>
        </w:rPr>
        <w:t xml:space="preserve"> (HBeAg)</w:t>
      </w:r>
      <w:r>
        <w:rPr>
          <w:rFonts w:ascii="Book Antiqua" w:eastAsia="Book Antiqua" w:hAnsi="Book Antiqua" w:cs="Book Antiqua"/>
          <w:color w:val="000000"/>
        </w:rPr>
        <w:t xml:space="preserve"> loss and HBeAg seroconversion, and the incidence of adverse events were all comparable between patients treated with the two drugs. Our results indicate that both Qingzhong and Viread </w:t>
      </w:r>
      <w:r w:rsidR="00B86CA2">
        <w:rPr>
          <w:rFonts w:ascii="Book Antiqua" w:eastAsia="Book Antiqua" w:hAnsi="Book Antiqua" w:cs="Book Antiqua"/>
          <w:color w:val="000000"/>
        </w:rPr>
        <w:t xml:space="preserve">are </w:t>
      </w:r>
      <w:r>
        <w:rPr>
          <w:rFonts w:ascii="Book Antiqua" w:eastAsia="Book Antiqua" w:hAnsi="Book Antiqua" w:cs="Book Antiqua"/>
          <w:color w:val="000000"/>
        </w:rPr>
        <w:t>effective and safe in the treatment of Chinese CHB patients.</w:t>
      </w:r>
    </w:p>
    <w:p w14:paraId="08C2FA17" w14:textId="571904A9" w:rsidR="00A77B3E" w:rsidRDefault="005E4F2B">
      <w:pPr>
        <w:spacing w:line="360" w:lineRule="auto"/>
        <w:jc w:val="both"/>
      </w:pPr>
      <w:r>
        <w:br w:type="page"/>
      </w:r>
      <w:r w:rsidR="00D772A7">
        <w:rPr>
          <w:rFonts w:ascii="Book Antiqua" w:eastAsia="Book Antiqua" w:hAnsi="Book Antiqua" w:cs="Book Antiqua"/>
          <w:b/>
          <w:caps/>
          <w:color w:val="000000"/>
          <w:u w:val="single"/>
        </w:rPr>
        <w:t>INTRODUCTION</w:t>
      </w:r>
    </w:p>
    <w:p w14:paraId="3B00EEC4" w14:textId="0D2DE249" w:rsidR="00A77B3E" w:rsidRDefault="00D772A7">
      <w:pPr>
        <w:spacing w:line="360" w:lineRule="auto"/>
        <w:jc w:val="both"/>
      </w:pPr>
      <w:r>
        <w:rPr>
          <w:rFonts w:ascii="Book Antiqua" w:eastAsia="Book Antiqua" w:hAnsi="Book Antiqua" w:cs="Book Antiqua"/>
          <w:color w:val="000000"/>
        </w:rPr>
        <w:t>Hepatitis B virus (HBV) infection poses a serious threat to public health globally. Currently, there are 240000000 people infected by HBV around the</w:t>
      </w:r>
      <w:r w:rsidR="00E610B3">
        <w:rPr>
          <w:rFonts w:ascii="Book Antiqua" w:eastAsia="Book Antiqua" w:hAnsi="Book Antiqua" w:cs="Book Antiqua"/>
          <w:color w:val="000000"/>
        </w:rPr>
        <w:t xml:space="preserve"> world</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and approximately 650000 people die from liver diseases induced by HBV infection</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Specifically, the proportions of liver cirrhosis and hepatocellular carcinoma (HCC) caused by HBV infection are 30% and 45%, respectively</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world, and 60% and 80%, respectively</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in China. Various types of drugs have been developed to suppress the replication of HBV DNA. Among them, nucleoside/nucleotide analogues (NAs) have been reported to be able to prevent liver decompensation and HCC</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D4A7B3" w14:textId="7FFB1D14" w:rsidR="00A77B3E" w:rsidRDefault="00D772A7" w:rsidP="005E4F2B">
      <w:pPr>
        <w:spacing w:line="360" w:lineRule="auto"/>
        <w:ind w:firstLineChars="100" w:firstLine="240"/>
        <w:jc w:val="both"/>
      </w:pPr>
      <w:r>
        <w:rPr>
          <w:rFonts w:ascii="Book Antiqua" w:eastAsia="Book Antiqua" w:hAnsi="Book Antiqua" w:cs="Book Antiqua"/>
          <w:color w:val="000000"/>
        </w:rPr>
        <w:t>Tenofovir disoproxil fumarate (TDF) is a prodrug of tenofovir. As an oral antiviral drug, TDF has been proposed for the first-line treatment of chronic hepatitis B (CHB)</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7-10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Before this study, Viread, which was commercialized by GlaxoSmithKline, Shanghai, China, was the only National Medical Products Administration-approved TDF drug in the treatment of Chinese CHB patients. The safety and efficacy of Viread at a dose of 300 mg </w:t>
      </w:r>
      <w:r w:rsidR="00ED275C">
        <w:rPr>
          <w:rFonts w:ascii="Book Antiqua" w:eastAsia="Book Antiqua" w:hAnsi="Book Antiqua" w:cs="Book Antiqua"/>
          <w:color w:val="000000"/>
        </w:rPr>
        <w:t>once daily (</w:t>
      </w:r>
      <w:r>
        <w:rPr>
          <w:rFonts w:ascii="Book Antiqua" w:eastAsia="Book Antiqua" w:hAnsi="Book Antiqua" w:cs="Book Antiqua"/>
          <w:color w:val="000000"/>
        </w:rPr>
        <w:t>q</w:t>
      </w:r>
      <w:r w:rsidR="00ED275C">
        <w:rPr>
          <w:rFonts w:ascii="Book Antiqua" w:eastAsia="Book Antiqua" w:hAnsi="Book Antiqua" w:cs="Book Antiqua"/>
          <w:color w:val="000000"/>
        </w:rPr>
        <w:t>.</w:t>
      </w:r>
      <w:r>
        <w:rPr>
          <w:rFonts w:ascii="Book Antiqua" w:eastAsia="Book Antiqua" w:hAnsi="Book Antiqua" w:cs="Book Antiqua"/>
          <w:color w:val="000000"/>
        </w:rPr>
        <w:t>d.</w:t>
      </w:r>
      <w:r w:rsidR="00ED275C">
        <w:rPr>
          <w:rFonts w:ascii="Book Antiqua" w:eastAsia="Book Antiqua" w:hAnsi="Book Antiqua" w:cs="Book Antiqua"/>
          <w:color w:val="000000"/>
        </w:rPr>
        <w:t>)</w:t>
      </w:r>
      <w:r>
        <w:rPr>
          <w:rFonts w:ascii="Book Antiqua" w:eastAsia="Book Antiqua" w:hAnsi="Book Antiqua" w:cs="Book Antiqua"/>
          <w:color w:val="000000"/>
        </w:rPr>
        <w:t xml:space="preserve"> have been confirmed in previous trials</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11-15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cost of long-term treatment with Viread is high. As a generic TDF drug commercialized by Chia Tai Tianqing Pharmaceutical Group Co. Ltd, Qingzhong was demonstrated to have comparable efficacy and safety with Viread in the treatment of naive Chinese CHB patients during a 48-week trial, thus providing a less expensive option for treating CHB</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long-run performance of Qingzhong in the treatment of CHB remains unevaluated. Herein, the virological, serological, and biochemical effects of Qingzhong in the treatment of naive Chinese CHB patients were evaluated in a 96-wk-long clinical trial.</w:t>
      </w:r>
    </w:p>
    <w:p w14:paraId="52325757" w14:textId="77777777" w:rsidR="00A77B3E" w:rsidRDefault="00A77B3E">
      <w:pPr>
        <w:spacing w:line="360" w:lineRule="auto"/>
        <w:jc w:val="both"/>
      </w:pPr>
    </w:p>
    <w:p w14:paraId="704D9239" w14:textId="77777777" w:rsidR="00A77B3E" w:rsidRDefault="00D772A7">
      <w:pPr>
        <w:spacing w:line="360" w:lineRule="auto"/>
        <w:jc w:val="both"/>
      </w:pPr>
      <w:r>
        <w:rPr>
          <w:rFonts w:ascii="Book Antiqua" w:eastAsia="Book Antiqua" w:hAnsi="Book Antiqua" w:cs="Book Antiqua"/>
          <w:b/>
          <w:caps/>
          <w:color w:val="000000"/>
          <w:u w:val="single"/>
        </w:rPr>
        <w:t>MATERIALS AND METHODS</w:t>
      </w:r>
    </w:p>
    <w:p w14:paraId="6AEF8AF1" w14:textId="21D845F9" w:rsidR="00A77B3E" w:rsidRPr="005E4F2B" w:rsidRDefault="00D772A7">
      <w:pPr>
        <w:spacing w:line="360" w:lineRule="auto"/>
        <w:jc w:val="both"/>
        <w:rPr>
          <w:i/>
          <w:iCs/>
        </w:rPr>
      </w:pPr>
      <w:r w:rsidRPr="005E4F2B">
        <w:rPr>
          <w:rFonts w:ascii="Book Antiqua" w:eastAsia="Book Antiqua" w:hAnsi="Book Antiqua" w:cs="Book Antiqua"/>
          <w:b/>
          <w:bCs/>
          <w:i/>
          <w:iCs/>
          <w:color w:val="000000"/>
        </w:rPr>
        <w:t>Study design</w:t>
      </w:r>
    </w:p>
    <w:p w14:paraId="0928392D" w14:textId="0A06DFFA"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trial includes two stages, and the study design was reported previously</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poor response (which was defined as the HBV DNA level being reduced by less than 1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 relative to the baseline value after 24 wk of treatment), viral breakthrough (which was defined as the HBV DNA level increasing by more than 1 </w:t>
      </w:r>
      <w:r w:rsidR="005E4F2B">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 relative to the lowest value during the trial), or genotypic resistance and clinical resistance [which was defined as viral breakthrough on the basis of genotype resistance, regardless of the alanine aminotransferase (ALT) level] were withdrawn from the trial.</w:t>
      </w:r>
    </w:p>
    <w:p w14:paraId="44CB2488" w14:textId="77777777" w:rsidR="005E4F2B" w:rsidRDefault="005E4F2B">
      <w:pPr>
        <w:spacing w:line="360" w:lineRule="auto"/>
        <w:jc w:val="both"/>
      </w:pPr>
    </w:p>
    <w:p w14:paraId="672634D6" w14:textId="77777777" w:rsidR="00A77B3E" w:rsidRPr="005E4F2B" w:rsidRDefault="00D772A7">
      <w:pPr>
        <w:spacing w:line="360" w:lineRule="auto"/>
        <w:jc w:val="both"/>
        <w:rPr>
          <w:i/>
          <w:iCs/>
        </w:rPr>
      </w:pPr>
      <w:r w:rsidRPr="005E4F2B">
        <w:rPr>
          <w:rFonts w:ascii="Book Antiqua" w:eastAsia="Book Antiqua" w:hAnsi="Book Antiqua" w:cs="Book Antiqua"/>
          <w:b/>
          <w:bCs/>
          <w:i/>
          <w:iCs/>
          <w:color w:val="000000"/>
        </w:rPr>
        <w:t>Participants</w:t>
      </w:r>
    </w:p>
    <w:p w14:paraId="3FC5DD22" w14:textId="6A315227"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CHB patients from 14</w:t>
      </w:r>
      <w:r w:rsidR="00ED275C">
        <w:rPr>
          <w:rFonts w:ascii="Book Antiqua" w:eastAsia="Book Antiqua" w:hAnsi="Book Antiqua" w:cs="Book Antiqua"/>
          <w:color w:val="000000"/>
        </w:rPr>
        <w:t xml:space="preserve"> centers </w:t>
      </w:r>
      <w:r>
        <w:rPr>
          <w:rFonts w:ascii="Book Antiqua" w:eastAsia="Book Antiqua" w:hAnsi="Book Antiqua" w:cs="Book Antiqua"/>
          <w:color w:val="000000"/>
        </w:rPr>
        <w:t>in the cities of Beijing, Zhengzhou, Nanjing, Chongqing, Chengdu, Shanghai, and Guangzhou were included in this trial and were followed</w:t>
      </w:r>
      <w:r w:rsidR="00ED275C">
        <w:rPr>
          <w:rFonts w:ascii="Book Antiqua" w:eastAsia="Book Antiqua" w:hAnsi="Book Antiqua" w:cs="Book Antiqua"/>
          <w:color w:val="000000"/>
        </w:rPr>
        <w:t xml:space="preserve"> </w:t>
      </w:r>
      <w:r>
        <w:rPr>
          <w:rFonts w:ascii="Book Antiqua" w:eastAsia="Book Antiqua" w:hAnsi="Book Antiqua" w:cs="Book Antiqua"/>
          <w:color w:val="000000"/>
        </w:rPr>
        <w:t xml:space="preserve">for more than </w:t>
      </w:r>
      <w:r w:rsidR="00F35C39">
        <w:rPr>
          <w:rFonts w:ascii="Book Antiqua" w:eastAsia="Book Antiqua" w:hAnsi="Book Antiqua" w:cs="Book Antiqua"/>
          <w:color w:val="000000"/>
        </w:rPr>
        <w:t>5</w:t>
      </w:r>
      <w:r>
        <w:rPr>
          <w:rFonts w:ascii="Book Antiqua" w:eastAsia="Book Antiqua" w:hAnsi="Book Antiqua" w:cs="Book Antiqua"/>
          <w:color w:val="000000"/>
        </w:rPr>
        <w:t xml:space="preserve"> years from September 2014 to October 2019.The key inclusion and exclusion criteria have been elaborated in a previous report</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A42050" w14:textId="77777777" w:rsidR="005E4F2B" w:rsidRDefault="005E4F2B">
      <w:pPr>
        <w:spacing w:line="360" w:lineRule="auto"/>
        <w:jc w:val="both"/>
      </w:pPr>
    </w:p>
    <w:p w14:paraId="24C14562" w14:textId="77777777" w:rsidR="00A77B3E" w:rsidRPr="005E4F2B" w:rsidRDefault="00D772A7">
      <w:pPr>
        <w:spacing w:line="360" w:lineRule="auto"/>
        <w:jc w:val="both"/>
        <w:rPr>
          <w:i/>
          <w:iCs/>
        </w:rPr>
      </w:pPr>
      <w:r w:rsidRPr="005E4F2B">
        <w:rPr>
          <w:rFonts w:ascii="Book Antiqua" w:eastAsia="Book Antiqua" w:hAnsi="Book Antiqua" w:cs="Book Antiqua"/>
          <w:b/>
          <w:bCs/>
          <w:i/>
          <w:iCs/>
          <w:color w:val="000000"/>
        </w:rPr>
        <w:t>Endpoints for efficacy evaluation</w:t>
      </w:r>
    </w:p>
    <w:p w14:paraId="258F86E3" w14:textId="0129A226" w:rsidR="00A77B3E" w:rsidRDefault="00D772A7" w:rsidP="00DD05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the primary endpoint was the decrease in HBV DNA level relative to the baseline value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t>
      </w:r>
      <w:r w:rsidR="00D63ED0" w:rsidRPr="00D63ED0">
        <w:rPr>
          <w:rFonts w:ascii="Book Antiqua" w:eastAsia="Book Antiqua" w:hAnsi="Book Antiqua" w:cs="Book Antiqua"/>
          <w:color w:val="000000"/>
        </w:rPr>
        <w:t>Secondary endpoints included the</w:t>
      </w:r>
      <w:r w:rsidR="00D63ED0">
        <w:rPr>
          <w:rFonts w:ascii="Book Antiqua" w:hAnsi="Book Antiqua" w:cs="Book Antiqua" w:hint="eastAsia"/>
          <w:color w:val="000000"/>
          <w:lang w:eastAsia="zh-CN"/>
        </w:rPr>
        <w:t xml:space="preserve"> </w:t>
      </w:r>
      <w:r w:rsidR="00D63ED0" w:rsidRPr="00D63ED0">
        <w:rPr>
          <w:rFonts w:ascii="Book Antiqua" w:eastAsia="Book Antiqua" w:hAnsi="Book Antiqua" w:cs="Book Antiqua"/>
          <w:color w:val="000000"/>
        </w:rPr>
        <w:t>proportion of patients with undetectable HBV DNA (&lt;</w:t>
      </w:r>
      <w:r w:rsidR="00C473E5">
        <w:rPr>
          <w:rFonts w:ascii="Book Antiqua" w:eastAsia="Book Antiqua" w:hAnsi="Book Antiqua" w:cs="Book Antiqua"/>
          <w:color w:val="000000"/>
        </w:rPr>
        <w:t xml:space="preserve"> </w:t>
      </w:r>
      <w:r w:rsidR="00D63ED0" w:rsidRPr="00D63ED0">
        <w:rPr>
          <w:rFonts w:ascii="Book Antiqua" w:eastAsia="Book Antiqua" w:hAnsi="Book Antiqua" w:cs="Book Antiqua"/>
          <w:color w:val="000000"/>
        </w:rPr>
        <w:t>20</w:t>
      </w:r>
      <w:r w:rsidR="00C473E5">
        <w:rPr>
          <w:rFonts w:ascii="Book Antiqua" w:eastAsia="Book Antiqua" w:hAnsi="Book Antiqua" w:cs="Book Antiqua"/>
          <w:color w:val="000000"/>
        </w:rPr>
        <w:t xml:space="preserve"> </w:t>
      </w:r>
      <w:r w:rsidR="00D63ED0" w:rsidRPr="00D63ED0">
        <w:rPr>
          <w:rFonts w:ascii="Book Antiqua" w:eastAsia="Book Antiqua" w:hAnsi="Book Antiqua" w:cs="Book Antiqua"/>
          <w:color w:val="000000"/>
        </w:rPr>
        <w:t>IU/mL)</w:t>
      </w:r>
      <w:r w:rsidR="00D63ED0">
        <w:rPr>
          <w:rFonts w:ascii="Book Antiqua" w:eastAsia="Book Antiqua" w:hAnsi="Book Antiqua" w:cs="Book Antiqua"/>
          <w:color w:val="000000"/>
        </w:rPr>
        <w:t>,</w:t>
      </w:r>
      <w:r w:rsidR="00D63ED0" w:rsidRPr="00D63ED0">
        <w:t xml:space="preserve"> </w:t>
      </w:r>
      <w:r w:rsidR="00D63ED0" w:rsidRPr="00D63ED0">
        <w:rPr>
          <w:rFonts w:ascii="Book Antiqua" w:eastAsia="Book Antiqua" w:hAnsi="Book Antiqua" w:cs="Book Antiqua"/>
          <w:color w:val="000000"/>
        </w:rPr>
        <w:t xml:space="preserve">the normalization of serum ALT, </w:t>
      </w:r>
      <w:r w:rsidR="00C473E5">
        <w:rPr>
          <w:rFonts w:ascii="Book Antiqua" w:eastAsia="Book Antiqua" w:hAnsi="Book Antiqua" w:cs="Book Antiqua"/>
          <w:color w:val="000000"/>
        </w:rPr>
        <w:t>h</w:t>
      </w:r>
      <w:r w:rsidR="00C473E5" w:rsidRPr="00C473E5">
        <w:rPr>
          <w:rFonts w:ascii="Book Antiqua" w:eastAsia="Book Antiqua" w:hAnsi="Book Antiqua" w:cs="Book Antiqua"/>
          <w:color w:val="000000"/>
        </w:rPr>
        <w:t>epatitis B surface antigen (HBsAg)</w:t>
      </w:r>
      <w:r w:rsidR="00D63ED0" w:rsidRPr="00D63ED0">
        <w:rPr>
          <w:rFonts w:ascii="Book Antiqua" w:eastAsia="Book Antiqua" w:hAnsi="Book Antiqua" w:cs="Book Antiqua"/>
          <w:color w:val="000000"/>
        </w:rPr>
        <w:t>/</w:t>
      </w:r>
      <w:r w:rsidR="00C473E5" w:rsidRPr="00C46357">
        <w:rPr>
          <w:rFonts w:ascii="Book Antiqua" w:hAnsi="Book Antiqua"/>
        </w:rPr>
        <w:t>hepatitis B e antigen</w:t>
      </w:r>
      <w:r w:rsidR="00C473E5">
        <w:rPr>
          <w:rFonts w:ascii="Book Antiqua" w:eastAsia="Book Antiqua" w:hAnsi="Book Antiqua" w:cs="Book Antiqua"/>
          <w:color w:val="000000"/>
        </w:rPr>
        <w:t xml:space="preserve"> (HBeAg)</w:t>
      </w:r>
      <w:r w:rsidR="00D63ED0" w:rsidRPr="00D63ED0">
        <w:rPr>
          <w:rFonts w:ascii="Book Antiqua" w:eastAsia="Book Antiqua" w:hAnsi="Book Antiqua" w:cs="Book Antiqua"/>
          <w:color w:val="000000"/>
        </w:rPr>
        <w:t xml:space="preserve"> loss or</w:t>
      </w:r>
      <w:r w:rsidR="00D63ED0">
        <w:rPr>
          <w:rFonts w:ascii="Book Antiqua" w:hAnsi="Book Antiqua" w:cs="Book Antiqua" w:hint="eastAsia"/>
          <w:color w:val="000000"/>
          <w:lang w:eastAsia="zh-CN"/>
        </w:rPr>
        <w:t xml:space="preserve"> </w:t>
      </w:r>
      <w:r w:rsidR="00D63ED0" w:rsidRPr="00D63ED0">
        <w:rPr>
          <w:rFonts w:ascii="Book Antiqua" w:eastAsia="Book Antiqua" w:hAnsi="Book Antiqua" w:cs="Book Antiqua"/>
          <w:color w:val="000000"/>
        </w:rPr>
        <w:t>seroconversion</w:t>
      </w:r>
      <w:r w:rsidR="00C473E5">
        <w:rPr>
          <w:rFonts w:ascii="Book Antiqua" w:eastAsia="Book Antiqua" w:hAnsi="Book Antiqua" w:cs="Book Antiqua"/>
          <w:color w:val="000000"/>
        </w:rPr>
        <w:t xml:space="preserve">, </w:t>
      </w:r>
      <w:r w:rsidR="00D63ED0" w:rsidRPr="00D63ED0">
        <w:rPr>
          <w:rFonts w:ascii="Book Antiqua" w:eastAsia="Book Antiqua" w:hAnsi="Book Antiqua" w:cs="Book Antiqua"/>
          <w:color w:val="000000"/>
        </w:rPr>
        <w:t>and virological breakthrough</w:t>
      </w:r>
      <w:r w:rsidR="005D5034">
        <w:rPr>
          <w:rFonts w:ascii="Book Antiqua" w:eastAsia="Book Antiqua" w:hAnsi="Book Antiqua" w:cs="Book Antiqua"/>
          <w:color w:val="000000"/>
        </w:rPr>
        <w:t>.</w:t>
      </w:r>
      <w:r w:rsidR="00ED275C">
        <w:rPr>
          <w:rFonts w:ascii="Book Antiqua" w:eastAsia="Book Antiqua" w:hAnsi="Book Antiqua" w:cs="Book Antiqua"/>
          <w:color w:val="000000"/>
        </w:rPr>
        <w:t xml:space="preserve"> </w:t>
      </w:r>
      <w:r w:rsidR="005D5034">
        <w:rPr>
          <w:rFonts w:ascii="Book Antiqua" w:eastAsia="Book Antiqua" w:hAnsi="Book Antiqua" w:cs="Book Antiqua"/>
          <w:color w:val="000000"/>
        </w:rPr>
        <w:t>T</w:t>
      </w:r>
      <w:r w:rsidR="00D63ED0">
        <w:rPr>
          <w:rFonts w:ascii="Book Antiqua" w:eastAsia="Book Antiqua" w:hAnsi="Book Antiqua" w:cs="Book Antiqua"/>
          <w:color w:val="000000"/>
        </w:rPr>
        <w:t xml:space="preserve">hese </w:t>
      </w:r>
      <w:r>
        <w:rPr>
          <w:rFonts w:ascii="Book Antiqua" w:eastAsia="Book Antiqua" w:hAnsi="Book Antiqua" w:cs="Book Antiqua"/>
          <w:color w:val="000000"/>
        </w:rPr>
        <w:t>were elaborated in the previous report</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2E2CDE" w14:textId="77777777" w:rsidR="005E4F2B" w:rsidRDefault="005E4F2B">
      <w:pPr>
        <w:spacing w:line="360" w:lineRule="auto"/>
        <w:jc w:val="both"/>
      </w:pPr>
    </w:p>
    <w:p w14:paraId="0E36747B" w14:textId="77777777" w:rsidR="00A77B3E" w:rsidRPr="005E4F2B" w:rsidRDefault="00D772A7">
      <w:pPr>
        <w:spacing w:line="360" w:lineRule="auto"/>
        <w:jc w:val="both"/>
        <w:rPr>
          <w:i/>
          <w:iCs/>
        </w:rPr>
      </w:pPr>
      <w:r w:rsidRPr="005E4F2B">
        <w:rPr>
          <w:rFonts w:ascii="Book Antiqua" w:eastAsia="Book Antiqua" w:hAnsi="Book Antiqua" w:cs="Book Antiqua"/>
          <w:b/>
          <w:bCs/>
          <w:i/>
          <w:iCs/>
          <w:color w:val="000000"/>
        </w:rPr>
        <w:t>Safety analysis</w:t>
      </w:r>
    </w:p>
    <w:p w14:paraId="5A1F4722" w14:textId="45BCC074"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Safety analysis was performed in all the 338 participants who were treated with at least one dose of the TDF drugs during this clinical trial. All types of adverse event</w:t>
      </w:r>
      <w:r w:rsidR="00ED275C">
        <w:rPr>
          <w:rFonts w:ascii="Book Antiqua" w:eastAsia="Book Antiqua" w:hAnsi="Book Antiqua" w:cs="Book Antiqua"/>
          <w:color w:val="000000"/>
        </w:rPr>
        <w:t>s</w:t>
      </w:r>
      <w:r>
        <w:rPr>
          <w:rFonts w:ascii="Book Antiqua" w:eastAsia="Book Antiqua" w:hAnsi="Book Antiqua" w:cs="Book Antiqua"/>
          <w:color w:val="000000"/>
        </w:rPr>
        <w:t xml:space="preserve"> (AE</w:t>
      </w:r>
      <w:r w:rsidR="00ED275C">
        <w:rPr>
          <w:rFonts w:ascii="Book Antiqua" w:eastAsia="Book Antiqua" w:hAnsi="Book Antiqua" w:cs="Book Antiqua"/>
          <w:color w:val="000000"/>
        </w:rPr>
        <w:t>s</w:t>
      </w:r>
      <w:r>
        <w:rPr>
          <w:rFonts w:ascii="Book Antiqua" w:eastAsia="Book Antiqua" w:hAnsi="Book Antiqua" w:cs="Book Antiqua"/>
          <w:color w:val="000000"/>
        </w:rPr>
        <w:t xml:space="preserve">), including serious </w:t>
      </w:r>
      <w:r w:rsidR="005E4F2B">
        <w:rPr>
          <w:rFonts w:ascii="Book Antiqua" w:eastAsia="Book Antiqua" w:hAnsi="Book Antiqua" w:cs="Book Antiqua"/>
          <w:color w:val="000000"/>
        </w:rPr>
        <w:t>AE</w:t>
      </w:r>
      <w:r>
        <w:rPr>
          <w:rFonts w:ascii="Book Antiqua" w:eastAsia="Book Antiqua" w:hAnsi="Book Antiqua" w:cs="Book Antiqua"/>
          <w:color w:val="000000"/>
        </w:rPr>
        <w:t>s (SAEs), were monitored. The definition</w:t>
      </w:r>
      <w:r w:rsidR="000B3ABA">
        <w:rPr>
          <w:rFonts w:ascii="Book Antiqua" w:eastAsia="Book Antiqua" w:hAnsi="Book Antiqua" w:cs="Book Antiqua"/>
          <w:color w:val="000000"/>
        </w:rPr>
        <w:t>s</w:t>
      </w:r>
      <w:r>
        <w:rPr>
          <w:rFonts w:ascii="Book Antiqua" w:eastAsia="Book Antiqua" w:hAnsi="Book Antiqua" w:cs="Book Antiqua"/>
          <w:color w:val="000000"/>
        </w:rPr>
        <w:t xml:space="preserve"> of SAE</w:t>
      </w:r>
      <w:r w:rsidR="00ED275C">
        <w:rPr>
          <w:rFonts w:ascii="Book Antiqua" w:eastAsia="Book Antiqua" w:hAnsi="Book Antiqua" w:cs="Book Antiqua"/>
          <w:color w:val="000000"/>
        </w:rPr>
        <w:t>s</w:t>
      </w:r>
      <w:r>
        <w:rPr>
          <w:rFonts w:ascii="Book Antiqua" w:eastAsia="Book Antiqua" w:hAnsi="Book Antiqua" w:cs="Book Antiqua"/>
          <w:color w:val="000000"/>
        </w:rPr>
        <w:t xml:space="preserve"> ha</w:t>
      </w:r>
      <w:r w:rsidR="000B3ABA">
        <w:rPr>
          <w:rFonts w:ascii="Book Antiqua" w:eastAsia="Book Antiqua" w:hAnsi="Book Antiqua" w:cs="Book Antiqua"/>
          <w:color w:val="000000"/>
        </w:rPr>
        <w:t>ve</w:t>
      </w:r>
      <w:r>
        <w:rPr>
          <w:rFonts w:ascii="Book Antiqua" w:eastAsia="Book Antiqua" w:hAnsi="Book Antiqua" w:cs="Book Antiqua"/>
          <w:color w:val="000000"/>
        </w:rPr>
        <w:t xml:space="preserve"> been elaborated previously</w:t>
      </w:r>
      <w:r>
        <w:rPr>
          <w:rFonts w:ascii="Book Antiqua" w:eastAsia="Book Antiqua" w:hAnsi="Book Antiqua" w:cs="Book Antiqua"/>
          <w:color w:val="000000"/>
          <w:szCs w:val="30"/>
          <w:vertAlign w:val="superscript"/>
        </w:rPr>
        <w:t>[</w:t>
      </w:r>
      <w:r w:rsidR="005E4F2B">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estimated glomerular filtration rate (eGFR) obtained based on the CKD-EPI CRE </w:t>
      </w:r>
      <w:r w:rsidR="00A429B8">
        <w:rPr>
          <w:rFonts w:ascii="Book Antiqua" w:eastAsia="Book Antiqua" w:hAnsi="Book Antiqua" w:cs="Book Antiqua"/>
          <w:color w:val="000000"/>
        </w:rPr>
        <w:t>(</w:t>
      </w:r>
      <w:r w:rsidR="00A429B8" w:rsidRPr="00A429B8">
        <w:rPr>
          <w:rFonts w:ascii="Book Antiqua" w:eastAsia="Book Antiqua" w:hAnsi="Book Antiqua" w:cs="Book Antiqua"/>
          <w:color w:val="000000"/>
        </w:rPr>
        <w:t>Chronic Kidney Disease Epidemiological Collaboration creatinine equation</w:t>
      </w:r>
      <w:r w:rsidR="00A429B8">
        <w:rPr>
          <w:rFonts w:ascii="Book Antiqua" w:eastAsia="Book Antiqua" w:hAnsi="Book Antiqua" w:cs="Book Antiqua"/>
          <w:color w:val="000000"/>
        </w:rPr>
        <w:t>)</w:t>
      </w:r>
      <w:r w:rsidR="00A429B8" w:rsidRPr="00A429B8">
        <w:rPr>
          <w:rFonts w:ascii="Book Antiqua" w:eastAsia="Book Antiqua" w:hAnsi="Book Antiqua" w:cs="Book Antiqua"/>
          <w:color w:val="000000"/>
        </w:rPr>
        <w:t xml:space="preserve"> </w:t>
      </w:r>
      <w:r>
        <w:rPr>
          <w:rFonts w:ascii="Book Antiqua" w:eastAsia="Book Antiqua" w:hAnsi="Book Antiqua" w:cs="Book Antiqua"/>
          <w:color w:val="000000"/>
        </w:rPr>
        <w:t>formula and the level of urine neutrophil gelatinase-associated lipocalin (NGAL) were used to indicate kidney function change.</w:t>
      </w:r>
    </w:p>
    <w:p w14:paraId="13A6C338" w14:textId="77777777" w:rsidR="00A429B8" w:rsidRDefault="00A429B8">
      <w:pPr>
        <w:spacing w:line="360" w:lineRule="auto"/>
        <w:jc w:val="both"/>
      </w:pPr>
    </w:p>
    <w:p w14:paraId="7CF8C2E2" w14:textId="77777777" w:rsidR="00A77B3E" w:rsidRPr="00A429B8" w:rsidRDefault="00D772A7">
      <w:pPr>
        <w:spacing w:line="360" w:lineRule="auto"/>
        <w:jc w:val="both"/>
        <w:rPr>
          <w:i/>
          <w:iCs/>
        </w:rPr>
      </w:pPr>
      <w:r w:rsidRPr="00A429B8">
        <w:rPr>
          <w:rFonts w:ascii="Book Antiqua" w:eastAsia="Book Antiqua" w:hAnsi="Book Antiqua" w:cs="Book Antiqua"/>
          <w:b/>
          <w:bCs/>
          <w:i/>
          <w:iCs/>
          <w:color w:val="000000"/>
        </w:rPr>
        <w:t>Laboratory tests</w:t>
      </w:r>
    </w:p>
    <w:p w14:paraId="6E5948A4" w14:textId="4A37EC88" w:rsidR="00A77B3E" w:rsidRDefault="002C63B0">
      <w:pPr>
        <w:spacing w:line="360" w:lineRule="auto"/>
        <w:jc w:val="both"/>
        <w:rPr>
          <w:rFonts w:ascii="Book Antiqua" w:eastAsia="Book Antiqua" w:hAnsi="Book Antiqua" w:cs="Book Antiqua"/>
          <w:color w:val="000000"/>
        </w:rPr>
      </w:pPr>
      <w:r w:rsidRPr="002C63B0">
        <w:rPr>
          <w:rFonts w:ascii="Book Antiqua" w:eastAsia="Book Antiqua" w:hAnsi="Book Antiqua" w:cs="Book Antiqua"/>
          <w:color w:val="000000"/>
        </w:rPr>
        <w:t xml:space="preserve">Virological and serological parameters were </w:t>
      </w:r>
      <w:r w:rsidR="00ED275C">
        <w:rPr>
          <w:rFonts w:ascii="Book Antiqua" w:eastAsia="Book Antiqua" w:hAnsi="Book Antiqua" w:cs="Book Antiqua"/>
          <w:color w:val="000000"/>
        </w:rPr>
        <w:t>assessed</w:t>
      </w:r>
      <w:r w:rsidR="00ED275C" w:rsidRPr="002C63B0">
        <w:rPr>
          <w:rFonts w:ascii="Book Antiqua" w:eastAsia="Book Antiqua" w:hAnsi="Book Antiqua" w:cs="Book Antiqua"/>
          <w:color w:val="000000"/>
        </w:rPr>
        <w:t xml:space="preserve"> </w:t>
      </w:r>
      <w:r w:rsidRPr="002C63B0">
        <w:rPr>
          <w:rFonts w:ascii="Book Antiqua" w:eastAsia="Book Antiqua" w:hAnsi="Book Antiqua" w:cs="Book Antiqua"/>
          <w:color w:val="000000"/>
        </w:rPr>
        <w:t>centrally</w:t>
      </w:r>
      <w:r>
        <w:rPr>
          <w:rFonts w:ascii="Book Antiqua" w:hAnsi="Book Antiqua" w:cs="Book Antiqua" w:hint="eastAsia"/>
          <w:color w:val="000000"/>
          <w:lang w:eastAsia="zh-CN"/>
        </w:rPr>
        <w:t xml:space="preserve"> </w:t>
      </w:r>
      <w:r w:rsidRPr="002C63B0">
        <w:rPr>
          <w:rFonts w:ascii="Book Antiqua" w:eastAsia="Book Antiqua" w:hAnsi="Book Antiqua" w:cs="Book Antiqua"/>
          <w:color w:val="000000"/>
        </w:rPr>
        <w:t>by Department of Infectious</w:t>
      </w:r>
      <w:r>
        <w:rPr>
          <w:rFonts w:ascii="Book Antiqua" w:hAnsi="Book Antiqua" w:cs="Book Antiqua" w:hint="eastAsia"/>
          <w:color w:val="000000"/>
          <w:lang w:eastAsia="zh-CN"/>
        </w:rPr>
        <w:t xml:space="preserve"> </w:t>
      </w:r>
      <w:r w:rsidRPr="002C63B0">
        <w:rPr>
          <w:rFonts w:ascii="Book Antiqua" w:eastAsia="Book Antiqua" w:hAnsi="Book Antiqua" w:cs="Book Antiqua"/>
          <w:color w:val="000000"/>
        </w:rPr>
        <w:t>Diseases, Peking University First Hospital. HBV DNA was assayed using the second-generation</w:t>
      </w:r>
      <w:r>
        <w:rPr>
          <w:rFonts w:ascii="Book Antiqua" w:hAnsi="Book Antiqua" w:cs="Book Antiqua" w:hint="eastAsia"/>
          <w:color w:val="000000"/>
          <w:lang w:eastAsia="zh-CN"/>
        </w:rPr>
        <w:t xml:space="preserve"> </w:t>
      </w:r>
      <w:r w:rsidR="00C473E5" w:rsidRPr="00C473E5">
        <w:rPr>
          <w:rFonts w:ascii="Book Antiqua" w:eastAsia="Book Antiqua" w:hAnsi="Book Antiqua" w:cs="Book Antiqua"/>
          <w:color w:val="000000"/>
        </w:rPr>
        <w:t>polymerase chain reaction</w:t>
      </w:r>
      <w:r w:rsidRPr="002C63B0">
        <w:rPr>
          <w:rFonts w:ascii="Book Antiqua" w:eastAsia="Book Antiqua" w:hAnsi="Book Antiqua" w:cs="Book Antiqua"/>
          <w:color w:val="000000"/>
        </w:rPr>
        <w:t xml:space="preserve"> quantitative assay</w:t>
      </w:r>
      <w:r w:rsidR="00352838">
        <w:rPr>
          <w:rFonts w:ascii="Book Antiqua" w:eastAsia="Book Antiqua" w:hAnsi="Book Antiqua" w:cs="Book Antiqua"/>
          <w:color w:val="000000"/>
        </w:rPr>
        <w:t>,</w:t>
      </w:r>
      <w:r w:rsidR="006F1BF0">
        <w:rPr>
          <w:rFonts w:ascii="Book Antiqua" w:eastAsia="Book Antiqua" w:hAnsi="Book Antiqua" w:cs="Book Antiqua"/>
          <w:color w:val="000000"/>
        </w:rPr>
        <w:t xml:space="preserve"> </w:t>
      </w:r>
      <w:r w:rsidR="00ED275C">
        <w:rPr>
          <w:rFonts w:ascii="Book Antiqua" w:eastAsia="Book Antiqua" w:hAnsi="Book Antiqua" w:cs="Book Antiqua"/>
          <w:color w:val="000000"/>
        </w:rPr>
        <w:t xml:space="preserve">and </w:t>
      </w:r>
      <w:r w:rsidRPr="002C63B0">
        <w:rPr>
          <w:rFonts w:ascii="Book Antiqua" w:eastAsia="Book Antiqua" w:hAnsi="Book Antiqua" w:cs="Book Antiqua"/>
          <w:color w:val="000000"/>
        </w:rPr>
        <w:t xml:space="preserve">HBeAg and </w:t>
      </w:r>
      <w:r w:rsidR="00C473E5">
        <w:rPr>
          <w:rFonts w:ascii="Book Antiqua" w:hAnsi="Book Antiqua"/>
        </w:rPr>
        <w:t>h</w:t>
      </w:r>
      <w:r w:rsidR="00C473E5" w:rsidRPr="00C46357">
        <w:rPr>
          <w:rFonts w:ascii="Book Antiqua" w:hAnsi="Book Antiqua"/>
        </w:rPr>
        <w:t>epatitis B e</w:t>
      </w:r>
      <w:r w:rsidR="00C473E5" w:rsidRPr="00D772A7">
        <w:rPr>
          <w:rFonts w:ascii="Book Antiqua" w:hAnsi="Book Antiqua"/>
        </w:rPr>
        <w:t xml:space="preserve"> </w:t>
      </w:r>
      <w:r w:rsidR="00C473E5">
        <w:rPr>
          <w:rFonts w:ascii="Book Antiqua" w:hAnsi="Book Antiqua"/>
        </w:rPr>
        <w:t>antibody</w:t>
      </w:r>
      <w:r w:rsidR="006E476D" w:rsidRPr="006E476D">
        <w:rPr>
          <w:rFonts w:ascii="Book Antiqua" w:eastAsia="Book Antiqua" w:hAnsi="Book Antiqua" w:cs="Book Antiqua"/>
          <w:color w:val="000000"/>
        </w:rPr>
        <w:t xml:space="preserve"> </w:t>
      </w:r>
      <w:r w:rsidR="006E476D" w:rsidRPr="002C63B0">
        <w:rPr>
          <w:rFonts w:ascii="Book Antiqua" w:eastAsia="Book Antiqua" w:hAnsi="Book Antiqua" w:cs="Book Antiqua"/>
          <w:color w:val="000000"/>
        </w:rPr>
        <w:t>w</w:t>
      </w:r>
      <w:r w:rsidR="006E476D">
        <w:rPr>
          <w:rFonts w:ascii="Book Antiqua" w:eastAsia="Book Antiqua" w:hAnsi="Book Antiqua" w:cs="Book Antiqua"/>
          <w:color w:val="000000"/>
        </w:rPr>
        <w:t>ere</w:t>
      </w:r>
      <w:r w:rsidR="006E476D" w:rsidRPr="002C63B0">
        <w:rPr>
          <w:rFonts w:ascii="Book Antiqua" w:eastAsia="Book Antiqua" w:hAnsi="Book Antiqua" w:cs="Book Antiqua"/>
          <w:color w:val="000000"/>
        </w:rPr>
        <w:t xml:space="preserve"> assayed</w:t>
      </w:r>
      <w:r w:rsidR="006E476D">
        <w:rPr>
          <w:rFonts w:ascii="Book Antiqua" w:eastAsia="Book Antiqua" w:hAnsi="Book Antiqua" w:cs="Book Antiqua"/>
          <w:color w:val="000000"/>
        </w:rPr>
        <w:t xml:space="preserve"> </w:t>
      </w:r>
      <w:r w:rsidRPr="002C63B0">
        <w:rPr>
          <w:rFonts w:ascii="Book Antiqua" w:eastAsia="Book Antiqua" w:hAnsi="Book Antiqua" w:cs="Book Antiqua"/>
          <w:color w:val="000000"/>
        </w:rPr>
        <w:t>by the</w:t>
      </w:r>
      <w:r w:rsidR="00F22D48">
        <w:rPr>
          <w:rFonts w:ascii="Book Antiqua" w:eastAsia="Book Antiqua" w:hAnsi="Book Antiqua" w:cs="Book Antiqua"/>
          <w:color w:val="000000"/>
        </w:rPr>
        <w:t xml:space="preserve"> </w:t>
      </w:r>
      <w:r w:rsidRPr="002C63B0">
        <w:rPr>
          <w:rFonts w:ascii="Book Antiqua" w:eastAsia="Book Antiqua" w:hAnsi="Book Antiqua" w:cs="Book Antiqua"/>
          <w:color w:val="000000"/>
        </w:rPr>
        <w:t>corresponding Abbott AxSYM microparticle enzyme</w:t>
      </w:r>
      <w:r>
        <w:rPr>
          <w:rFonts w:ascii="Book Antiqua" w:hAnsi="Book Antiqua" w:cs="Book Antiqua" w:hint="eastAsia"/>
          <w:color w:val="000000"/>
          <w:lang w:eastAsia="zh-CN"/>
        </w:rPr>
        <w:t xml:space="preserve"> </w:t>
      </w:r>
      <w:r w:rsidRPr="002C63B0">
        <w:rPr>
          <w:rFonts w:ascii="Book Antiqua" w:eastAsia="Book Antiqua" w:hAnsi="Book Antiqua" w:cs="Book Antiqua"/>
          <w:color w:val="000000"/>
        </w:rPr>
        <w:t>immunoassays.</w:t>
      </w:r>
      <w:r w:rsidR="00656E56">
        <w:rPr>
          <w:rFonts w:ascii="Book Antiqua" w:eastAsia="Book Antiqua" w:hAnsi="Book Antiqua" w:cs="Book Antiqua"/>
          <w:color w:val="000000"/>
        </w:rPr>
        <w:t xml:space="preserve"> </w:t>
      </w:r>
      <w:r w:rsidR="006E476D" w:rsidRPr="006E476D">
        <w:rPr>
          <w:rFonts w:ascii="Book Antiqua" w:eastAsia="Book Antiqua" w:hAnsi="Book Antiqua" w:cs="Book Antiqua"/>
          <w:color w:val="000000"/>
        </w:rPr>
        <w:t xml:space="preserve">The biochemical tests </w:t>
      </w:r>
      <w:r w:rsidR="006E476D" w:rsidRPr="002C63B0">
        <w:rPr>
          <w:rFonts w:ascii="Book Antiqua" w:eastAsia="Book Antiqua" w:hAnsi="Book Antiqua" w:cs="Book Antiqua"/>
          <w:color w:val="000000"/>
        </w:rPr>
        <w:t>were</w:t>
      </w:r>
      <w:r w:rsidR="006E476D" w:rsidRPr="006E476D">
        <w:rPr>
          <w:rFonts w:ascii="Book Antiqua" w:eastAsia="Book Antiqua" w:hAnsi="Book Antiqua" w:cs="Book Antiqua"/>
          <w:color w:val="000000"/>
        </w:rPr>
        <w:t xml:space="preserve"> performed by the local laboratory.</w:t>
      </w:r>
      <w:r w:rsidR="00C473E5">
        <w:rPr>
          <w:rFonts w:ascii="Book Antiqua" w:eastAsia="Book Antiqua" w:hAnsi="Book Antiqua" w:cs="Book Antiqua"/>
          <w:color w:val="000000"/>
        </w:rPr>
        <w:t xml:space="preserve"> </w:t>
      </w:r>
      <w:r>
        <w:rPr>
          <w:rFonts w:ascii="Book Antiqua" w:eastAsia="Book Antiqua" w:hAnsi="Book Antiqua" w:cs="Book Antiqua"/>
          <w:color w:val="000000"/>
        </w:rPr>
        <w:t xml:space="preserve">These </w:t>
      </w:r>
      <w:r w:rsidR="00D772A7">
        <w:rPr>
          <w:rFonts w:ascii="Book Antiqua" w:eastAsia="Book Antiqua" w:hAnsi="Book Antiqua" w:cs="Book Antiqua"/>
          <w:color w:val="000000"/>
        </w:rPr>
        <w:t>have been described in detail previously</w:t>
      </w:r>
      <w:r w:rsidR="00D772A7">
        <w:rPr>
          <w:rFonts w:ascii="Book Antiqua" w:eastAsia="Book Antiqua" w:hAnsi="Book Antiqua" w:cs="Book Antiqua"/>
          <w:color w:val="000000"/>
          <w:szCs w:val="30"/>
          <w:vertAlign w:val="superscript"/>
        </w:rPr>
        <w:t>[</w:t>
      </w:r>
      <w:r w:rsidR="00A429B8">
        <w:rPr>
          <w:rFonts w:ascii="Book Antiqua" w:eastAsia="Book Antiqua" w:hAnsi="Book Antiqua" w:cs="Book Antiqua"/>
          <w:color w:val="000000"/>
          <w:szCs w:val="30"/>
          <w:vertAlign w:val="superscript"/>
        </w:rPr>
        <w:t>16</w:t>
      </w:r>
      <w:r w:rsidR="00D772A7">
        <w:rPr>
          <w:rFonts w:ascii="Book Antiqua" w:eastAsia="Book Antiqua" w:hAnsi="Book Antiqua" w:cs="Book Antiqua"/>
          <w:color w:val="000000"/>
          <w:vertAlign w:val="superscript"/>
        </w:rPr>
        <w:t>]</w:t>
      </w:r>
      <w:r w:rsidR="00D772A7">
        <w:rPr>
          <w:rFonts w:ascii="Book Antiqua" w:eastAsia="Book Antiqua" w:hAnsi="Book Antiqua" w:cs="Book Antiqua"/>
          <w:color w:val="000000"/>
        </w:rPr>
        <w:t>.</w:t>
      </w:r>
    </w:p>
    <w:p w14:paraId="35E7D39D" w14:textId="77777777" w:rsidR="00C473E5" w:rsidRDefault="00C473E5">
      <w:pPr>
        <w:spacing w:line="360" w:lineRule="auto"/>
        <w:jc w:val="both"/>
      </w:pPr>
    </w:p>
    <w:p w14:paraId="7244B52F" w14:textId="77777777" w:rsidR="00A77B3E" w:rsidRPr="00A429B8" w:rsidRDefault="00D772A7">
      <w:pPr>
        <w:spacing w:line="360" w:lineRule="auto"/>
        <w:jc w:val="both"/>
        <w:rPr>
          <w:i/>
          <w:iCs/>
        </w:rPr>
      </w:pPr>
      <w:bookmarkStart w:id="2" w:name="_Hlk69142415"/>
      <w:r w:rsidRPr="00A429B8">
        <w:rPr>
          <w:rFonts w:ascii="Book Antiqua" w:eastAsia="Book Antiqua" w:hAnsi="Book Antiqua" w:cs="Book Antiqua"/>
          <w:b/>
          <w:bCs/>
          <w:i/>
          <w:iCs/>
          <w:color w:val="000000"/>
        </w:rPr>
        <w:t>Statistical analysis</w:t>
      </w:r>
    </w:p>
    <w:bookmarkEnd w:id="2"/>
    <w:p w14:paraId="50E7C4C8" w14:textId="138C5E04" w:rsidR="00A77B3E" w:rsidRDefault="00C768FA">
      <w:pPr>
        <w:spacing w:line="360" w:lineRule="auto"/>
        <w:jc w:val="both"/>
      </w:pPr>
      <w:r w:rsidRPr="00C768FA">
        <w:rPr>
          <w:rFonts w:ascii="Book Antiqua" w:eastAsia="Book Antiqua" w:hAnsi="Book Antiqua" w:cs="Book Antiqua"/>
          <w:color w:val="000000"/>
        </w:rPr>
        <w:t xml:space="preserve">Continuous variables </w:t>
      </w:r>
      <w:r w:rsidR="00ED275C">
        <w:rPr>
          <w:rFonts w:ascii="Book Antiqua" w:eastAsia="Book Antiqua" w:hAnsi="Book Antiqua" w:cs="Book Antiqua"/>
          <w:color w:val="000000"/>
        </w:rPr>
        <w:t>are</w:t>
      </w:r>
      <w:r w:rsidR="00ED275C" w:rsidRPr="00C768FA">
        <w:rPr>
          <w:rFonts w:ascii="Book Antiqua" w:eastAsia="Book Antiqua" w:hAnsi="Book Antiqua" w:cs="Book Antiqua"/>
          <w:color w:val="000000"/>
        </w:rPr>
        <w:t xml:space="preserve"> </w:t>
      </w:r>
      <w:r w:rsidRPr="00C768FA">
        <w:rPr>
          <w:rFonts w:ascii="Book Antiqua" w:eastAsia="Book Antiqua" w:hAnsi="Book Antiqua" w:cs="Book Antiqua"/>
          <w:color w:val="000000"/>
        </w:rPr>
        <w:t xml:space="preserve">expressed as </w:t>
      </w:r>
      <w:r w:rsidR="00ED275C">
        <w:rPr>
          <w:rFonts w:ascii="Book Antiqua" w:eastAsia="Book Antiqua" w:hAnsi="Book Antiqua" w:cs="Book Antiqua"/>
          <w:color w:val="000000"/>
        </w:rPr>
        <w:t xml:space="preserve">the </w:t>
      </w:r>
      <w:r w:rsidRPr="00C768FA">
        <w:rPr>
          <w:rFonts w:ascii="Book Antiqua" w:eastAsia="Book Antiqua" w:hAnsi="Book Antiqua" w:cs="Book Antiqua"/>
          <w:color w:val="000000"/>
        </w:rPr>
        <w:t>mean with standard</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deviation or median with interquartile ranges.</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 xml:space="preserve">Categorical variables </w:t>
      </w:r>
      <w:r w:rsidR="0024451D">
        <w:rPr>
          <w:rFonts w:ascii="Book Antiqua" w:eastAsia="Book Antiqua" w:hAnsi="Book Antiqua" w:cs="Book Antiqua"/>
          <w:color w:val="000000"/>
        </w:rPr>
        <w:t>are</w:t>
      </w:r>
      <w:r w:rsidR="0024451D" w:rsidRPr="00C768FA">
        <w:rPr>
          <w:rFonts w:ascii="Book Antiqua" w:eastAsia="Book Antiqua" w:hAnsi="Book Antiqua" w:cs="Book Antiqua"/>
          <w:color w:val="000000"/>
        </w:rPr>
        <w:t xml:space="preserve"> </w:t>
      </w:r>
      <w:r w:rsidRPr="00C768FA">
        <w:rPr>
          <w:rFonts w:ascii="Book Antiqua" w:eastAsia="Book Antiqua" w:hAnsi="Book Antiqua" w:cs="Book Antiqua"/>
          <w:color w:val="000000"/>
        </w:rPr>
        <w:t xml:space="preserve">expressed as counts </w:t>
      </w:r>
      <w:r w:rsidR="001863B2">
        <w:rPr>
          <w:rFonts w:ascii="Book Antiqua" w:eastAsia="Book Antiqua" w:hAnsi="Book Antiqua" w:cs="Book Antiqua"/>
          <w:color w:val="000000"/>
        </w:rPr>
        <w:t>plus</w:t>
      </w:r>
      <w:r w:rsidR="00C473E5">
        <w:rPr>
          <w:rFonts w:ascii="Book Antiqua" w:eastAsia="Book Antiqua" w:hAnsi="Book Antiqua" w:cs="Book Antiqua"/>
          <w:color w:val="000000"/>
        </w:rPr>
        <w:t xml:space="preserve"> </w:t>
      </w:r>
      <w:r w:rsidRPr="00C768FA">
        <w:rPr>
          <w:rFonts w:ascii="Book Antiqua" w:eastAsia="Book Antiqua" w:hAnsi="Book Antiqua" w:cs="Book Antiqua"/>
          <w:color w:val="000000"/>
        </w:rPr>
        <w:t xml:space="preserve">percentages. </w:t>
      </w:r>
      <w:r w:rsidR="00784E65">
        <w:rPr>
          <w:rFonts w:ascii="Book Antiqua" w:eastAsia="Book Antiqua" w:hAnsi="Book Antiqua" w:cs="Book Antiqua"/>
          <w:color w:val="000000"/>
        </w:rPr>
        <w:t>C</w:t>
      </w:r>
      <w:r w:rsidRPr="00C768FA">
        <w:rPr>
          <w:rFonts w:ascii="Book Antiqua" w:eastAsia="Book Antiqua" w:hAnsi="Book Antiqua" w:cs="Book Antiqua"/>
          <w:color w:val="000000"/>
        </w:rPr>
        <w:t>ontinuous variables</w:t>
      </w:r>
      <w:r w:rsidR="00784E65" w:rsidRPr="00784E65">
        <w:rPr>
          <w:rFonts w:ascii="Book Antiqua" w:eastAsia="Book Antiqua" w:hAnsi="Book Antiqua" w:cs="Book Antiqua"/>
          <w:color w:val="000000"/>
        </w:rPr>
        <w:t xml:space="preserve"> </w:t>
      </w:r>
      <w:r w:rsidR="00784E65">
        <w:rPr>
          <w:rFonts w:ascii="Book Antiqua" w:eastAsia="Book Antiqua" w:hAnsi="Book Antiqua" w:cs="Book Antiqua"/>
          <w:color w:val="000000"/>
        </w:rPr>
        <w:t>were</w:t>
      </w:r>
      <w:r w:rsidR="00784E65" w:rsidRPr="00C768FA">
        <w:rPr>
          <w:rFonts w:ascii="Book Antiqua" w:eastAsia="Book Antiqua" w:hAnsi="Book Antiqua" w:cs="Book Antiqua"/>
          <w:color w:val="000000"/>
        </w:rPr>
        <w:t xml:space="preserve"> compare</w:t>
      </w:r>
      <w:r w:rsidR="00784E65">
        <w:rPr>
          <w:rFonts w:ascii="Book Antiqua" w:eastAsia="Book Antiqua" w:hAnsi="Book Antiqua" w:cs="Book Antiqua"/>
          <w:color w:val="000000"/>
        </w:rPr>
        <w:t>d by</w:t>
      </w:r>
      <w:r w:rsidRPr="00C768FA">
        <w:rPr>
          <w:rFonts w:ascii="Book Antiqua" w:eastAsia="Book Antiqua" w:hAnsi="Book Antiqua" w:cs="Book Antiqua"/>
          <w:color w:val="000000"/>
        </w:rPr>
        <w:t xml:space="preserve"> </w:t>
      </w:r>
      <w:r w:rsidRPr="00C473E5">
        <w:rPr>
          <w:rFonts w:ascii="Book Antiqua" w:eastAsia="Book Antiqua" w:hAnsi="Book Antiqua" w:cs="Book Antiqua"/>
          <w:i/>
          <w:iCs/>
          <w:color w:val="000000"/>
        </w:rPr>
        <w:t>t</w:t>
      </w:r>
      <w:r w:rsidRPr="00C768FA">
        <w:rPr>
          <w:rFonts w:ascii="Book Antiqua" w:eastAsia="Book Antiqua" w:hAnsi="Book Antiqua" w:cs="Book Antiqua"/>
          <w:color w:val="000000"/>
        </w:rPr>
        <w:t xml:space="preserve"> tests</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 xml:space="preserve">or Wilcoxon rank sum test. </w:t>
      </w:r>
      <w:r w:rsidR="004F57FA">
        <w:rPr>
          <w:rFonts w:ascii="Book Antiqua" w:eastAsia="Book Antiqua" w:hAnsi="Book Antiqua" w:cs="Book Antiqua"/>
          <w:color w:val="000000"/>
        </w:rPr>
        <w:t>C</w:t>
      </w:r>
      <w:r w:rsidRPr="00C768FA">
        <w:rPr>
          <w:rFonts w:ascii="Book Antiqua" w:eastAsia="Book Antiqua" w:hAnsi="Book Antiqua" w:cs="Book Antiqua"/>
          <w:color w:val="000000"/>
        </w:rPr>
        <w:t xml:space="preserve">ategorical data between the </w:t>
      </w:r>
      <w:r w:rsidR="004F57FA">
        <w:rPr>
          <w:rFonts w:ascii="Book Antiqua" w:eastAsia="Book Antiqua" w:hAnsi="Book Antiqua" w:cs="Book Antiqua"/>
          <w:color w:val="000000"/>
        </w:rPr>
        <w:t>two</w:t>
      </w:r>
      <w:r w:rsidRPr="00C768FA">
        <w:rPr>
          <w:rFonts w:ascii="Book Antiqua" w:eastAsia="Book Antiqua" w:hAnsi="Book Antiqua" w:cs="Book Antiqua"/>
          <w:color w:val="000000"/>
        </w:rPr>
        <w:t xml:space="preserve"> groups </w:t>
      </w:r>
      <w:r w:rsidR="0024451D" w:rsidRPr="00C768FA">
        <w:rPr>
          <w:rFonts w:ascii="Book Antiqua" w:eastAsia="Book Antiqua" w:hAnsi="Book Antiqua" w:cs="Book Antiqua"/>
          <w:color w:val="000000"/>
        </w:rPr>
        <w:t>w</w:t>
      </w:r>
      <w:r w:rsidR="0024451D">
        <w:rPr>
          <w:rFonts w:ascii="Book Antiqua" w:eastAsia="Book Antiqua" w:hAnsi="Book Antiqua" w:cs="Book Antiqua"/>
          <w:color w:val="000000"/>
        </w:rPr>
        <w:t>ere</w:t>
      </w:r>
      <w:r w:rsidR="0024451D" w:rsidRPr="004F57FA">
        <w:rPr>
          <w:rFonts w:ascii="Book Antiqua" w:eastAsia="Book Antiqua" w:hAnsi="Book Antiqua" w:cs="Book Antiqua"/>
          <w:color w:val="000000"/>
        </w:rPr>
        <w:t xml:space="preserve"> </w:t>
      </w:r>
      <w:r w:rsidR="004F57FA" w:rsidRPr="00C768FA">
        <w:rPr>
          <w:rFonts w:ascii="Book Antiqua" w:eastAsia="Book Antiqua" w:hAnsi="Book Antiqua" w:cs="Book Antiqua"/>
          <w:color w:val="000000"/>
        </w:rPr>
        <w:t>compare</w:t>
      </w:r>
      <w:r w:rsidR="004F57FA">
        <w:rPr>
          <w:rFonts w:ascii="Book Antiqua" w:eastAsia="Book Antiqua" w:hAnsi="Book Antiqua" w:cs="Book Antiqua"/>
          <w:color w:val="000000"/>
        </w:rPr>
        <w:t>d by</w:t>
      </w:r>
      <w:r w:rsidRPr="00C768FA">
        <w:rPr>
          <w:rFonts w:ascii="Book Antiqua" w:eastAsia="Book Antiqua" w:hAnsi="Book Antiqua" w:cs="Book Antiqua"/>
          <w:color w:val="000000"/>
        </w:rPr>
        <w:t xml:space="preserve"> the</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 xml:space="preserve">Chi-square test or Fisher exact test. A </w:t>
      </w:r>
      <w:r w:rsidR="00E51A25">
        <w:rPr>
          <w:rFonts w:ascii="Book Antiqua" w:eastAsia="Book Antiqua" w:hAnsi="Book Antiqua" w:cs="Book Antiqua"/>
          <w:color w:val="000000"/>
        </w:rPr>
        <w:t>two</w:t>
      </w:r>
      <w:r w:rsidRPr="00C768FA">
        <w:rPr>
          <w:rFonts w:ascii="Book Antiqua" w:eastAsia="Book Antiqua" w:hAnsi="Book Antiqua" w:cs="Book Antiqua"/>
          <w:color w:val="000000"/>
        </w:rPr>
        <w:t xml:space="preserve">-tailed </w:t>
      </w:r>
      <w:r w:rsidRPr="00C473E5">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value &lt;</w:t>
      </w:r>
      <w:r w:rsidR="00C473E5">
        <w:rPr>
          <w:rFonts w:ascii="Book Antiqua" w:eastAsia="Book Antiqua" w:hAnsi="Book Antiqua" w:cs="Book Antiqua"/>
          <w:color w:val="000000"/>
        </w:rPr>
        <w:t xml:space="preserve"> </w:t>
      </w:r>
      <w:r w:rsidR="00BD578C">
        <w:rPr>
          <w:rFonts w:ascii="Book Antiqua" w:eastAsia="Book Antiqua" w:hAnsi="Book Antiqua" w:cs="Book Antiqua"/>
          <w:color w:val="000000"/>
        </w:rPr>
        <w:t>0</w:t>
      </w:r>
      <w:r w:rsidRPr="00C768FA">
        <w:rPr>
          <w:rFonts w:ascii="Book Antiqua" w:eastAsia="Book Antiqua" w:hAnsi="Book Antiqua" w:cs="Book Antiqua"/>
          <w:color w:val="000000"/>
        </w:rPr>
        <w:t>.05 was considered statistically significant. These</w:t>
      </w:r>
      <w:r>
        <w:rPr>
          <w:rFonts w:ascii="Book Antiqua" w:hAnsi="Book Antiqua" w:cs="Book Antiqua" w:hint="eastAsia"/>
          <w:color w:val="000000"/>
          <w:lang w:eastAsia="zh-CN"/>
        </w:rPr>
        <w:t xml:space="preserve"> </w:t>
      </w:r>
      <w:r w:rsidRPr="00C768FA">
        <w:rPr>
          <w:rFonts w:ascii="Book Antiqua" w:eastAsia="Book Antiqua" w:hAnsi="Book Antiqua" w:cs="Book Antiqua"/>
          <w:color w:val="000000"/>
        </w:rPr>
        <w:t>statistical analyses were performed using SAS 9.4 (SAS Institute Inc, Cary, NC</w:t>
      </w:r>
      <w:r w:rsidR="00C473E5">
        <w:rPr>
          <w:rFonts w:ascii="Book Antiqua" w:eastAsia="Book Antiqua" w:hAnsi="Book Antiqua" w:cs="Book Antiqua"/>
          <w:color w:val="000000"/>
        </w:rPr>
        <w:t>, United States</w:t>
      </w:r>
      <w:r w:rsidRPr="00C768FA">
        <w:rPr>
          <w:rFonts w:ascii="Book Antiqua" w:eastAsia="Book Antiqua" w:hAnsi="Book Antiqua" w:cs="Book Antiqua"/>
          <w:color w:val="000000"/>
        </w:rPr>
        <w:t>).</w:t>
      </w:r>
      <w:r w:rsidR="00C473E5">
        <w:rPr>
          <w:rFonts w:ascii="Book Antiqua" w:eastAsia="Book Antiqua" w:hAnsi="Book Antiqua" w:cs="Book Antiqua"/>
          <w:color w:val="000000"/>
        </w:rPr>
        <w:t xml:space="preserve"> </w:t>
      </w:r>
      <w:r w:rsidR="00D772A7">
        <w:rPr>
          <w:rFonts w:ascii="Book Antiqua" w:eastAsia="Book Antiqua" w:hAnsi="Book Antiqua" w:cs="Book Antiqua"/>
          <w:color w:val="000000"/>
        </w:rPr>
        <w:t>The statistical methods were the same as those described in the previous report</w:t>
      </w:r>
      <w:r w:rsidR="00D772A7">
        <w:rPr>
          <w:rFonts w:ascii="Book Antiqua" w:eastAsia="Book Antiqua" w:hAnsi="Book Antiqua" w:cs="Book Antiqua"/>
          <w:color w:val="000000"/>
          <w:szCs w:val="30"/>
          <w:vertAlign w:val="superscript"/>
        </w:rPr>
        <w:t>[</w:t>
      </w:r>
      <w:r w:rsidR="00A429B8">
        <w:rPr>
          <w:rFonts w:ascii="Book Antiqua" w:eastAsia="Book Antiqua" w:hAnsi="Book Antiqua" w:cs="Book Antiqua"/>
          <w:color w:val="000000"/>
          <w:szCs w:val="30"/>
          <w:vertAlign w:val="superscript"/>
        </w:rPr>
        <w:t>16</w:t>
      </w:r>
      <w:r w:rsidR="00D772A7">
        <w:rPr>
          <w:rFonts w:ascii="Book Antiqua" w:eastAsia="Book Antiqua" w:hAnsi="Book Antiqua" w:cs="Book Antiqua"/>
          <w:color w:val="000000"/>
          <w:vertAlign w:val="superscript"/>
        </w:rPr>
        <w:t>]</w:t>
      </w:r>
      <w:r w:rsidR="00D772A7">
        <w:rPr>
          <w:rFonts w:ascii="Book Antiqua" w:eastAsia="Book Antiqua" w:hAnsi="Book Antiqua" w:cs="Book Antiqua"/>
          <w:color w:val="000000"/>
        </w:rPr>
        <w:t>.</w:t>
      </w:r>
    </w:p>
    <w:p w14:paraId="66751E78" w14:textId="77777777" w:rsidR="00A77B3E" w:rsidRDefault="00A77B3E">
      <w:pPr>
        <w:spacing w:line="360" w:lineRule="auto"/>
        <w:jc w:val="both"/>
      </w:pPr>
    </w:p>
    <w:p w14:paraId="361EDE6D" w14:textId="77777777" w:rsidR="00A77B3E" w:rsidRDefault="00D772A7">
      <w:pPr>
        <w:spacing w:line="360" w:lineRule="auto"/>
        <w:jc w:val="both"/>
      </w:pPr>
      <w:r>
        <w:rPr>
          <w:rFonts w:ascii="Book Antiqua" w:eastAsia="Book Antiqua" w:hAnsi="Book Antiqua" w:cs="Book Antiqua"/>
          <w:b/>
          <w:caps/>
          <w:color w:val="000000"/>
          <w:u w:val="single"/>
        </w:rPr>
        <w:t>RESULTS</w:t>
      </w:r>
    </w:p>
    <w:p w14:paraId="5947C69A" w14:textId="7547C95A" w:rsidR="00A77B3E" w:rsidRPr="00593DEF" w:rsidRDefault="00D772A7">
      <w:pPr>
        <w:spacing w:line="360" w:lineRule="auto"/>
        <w:jc w:val="both"/>
        <w:rPr>
          <w:i/>
          <w:iCs/>
        </w:rPr>
      </w:pPr>
      <w:r w:rsidRPr="00593DEF">
        <w:rPr>
          <w:rFonts w:ascii="Book Antiqua" w:eastAsia="Book Antiqua" w:hAnsi="Book Antiqua" w:cs="Book Antiqua"/>
          <w:b/>
          <w:bCs/>
          <w:i/>
          <w:iCs/>
          <w:color w:val="000000"/>
        </w:rPr>
        <w:t>Baseline characteristics</w:t>
      </w:r>
    </w:p>
    <w:p w14:paraId="319AD4F8" w14:textId="77AE78E2"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Among the 401 patients screened, 341 were included in this trial, and the participants were randomly assigned into </w:t>
      </w:r>
      <w:r w:rsidR="0024451D">
        <w:rPr>
          <w:rFonts w:ascii="Book Antiqua" w:eastAsia="Book Antiqua" w:hAnsi="Book Antiqua" w:cs="Book Antiqua"/>
          <w:color w:val="000000"/>
        </w:rPr>
        <w:t xml:space="preserve">either </w:t>
      </w:r>
      <w:r>
        <w:rPr>
          <w:rFonts w:ascii="Book Antiqua" w:eastAsia="Book Antiqua" w:hAnsi="Book Antiqua" w:cs="Book Antiqua"/>
          <w:color w:val="000000"/>
        </w:rPr>
        <w:t xml:space="preserve">Group A </w:t>
      </w:r>
      <w:r w:rsidR="0024451D">
        <w:rPr>
          <w:rFonts w:ascii="Book Antiqua" w:eastAsia="Book Antiqua" w:hAnsi="Book Antiqua" w:cs="Book Antiqua"/>
          <w:color w:val="000000"/>
        </w:rPr>
        <w:t>(</w:t>
      </w:r>
      <w:r>
        <w:rPr>
          <w:rFonts w:ascii="Book Antiqua" w:eastAsia="Book Antiqua" w:hAnsi="Book Antiqua" w:cs="Book Antiqua"/>
          <w:color w:val="000000"/>
        </w:rPr>
        <w:t>171 CHB patients</w:t>
      </w:r>
      <w:r w:rsidR="0024451D">
        <w:rPr>
          <w:rFonts w:ascii="Book Antiqua" w:eastAsia="Book Antiqua" w:hAnsi="Book Antiqua" w:cs="Book Antiqua"/>
          <w:color w:val="000000"/>
        </w:rPr>
        <w:t>)</w:t>
      </w:r>
      <w:r>
        <w:rPr>
          <w:rFonts w:ascii="Book Antiqua" w:eastAsia="Book Antiqua" w:hAnsi="Book Antiqua" w:cs="Book Antiqua"/>
          <w:color w:val="000000"/>
        </w:rPr>
        <w:t xml:space="preserve"> </w:t>
      </w:r>
      <w:r w:rsidR="0024451D">
        <w:rPr>
          <w:rFonts w:ascii="Book Antiqua" w:eastAsia="Book Antiqua" w:hAnsi="Book Antiqua" w:cs="Book Antiqua"/>
          <w:color w:val="000000"/>
        </w:rPr>
        <w:t>or</w:t>
      </w:r>
      <w:r>
        <w:rPr>
          <w:rFonts w:ascii="Book Antiqua" w:eastAsia="Book Antiqua" w:hAnsi="Book Antiqua" w:cs="Book Antiqua"/>
          <w:color w:val="000000"/>
        </w:rPr>
        <w:t xml:space="preserve"> Group B </w:t>
      </w:r>
      <w:r w:rsidR="0024451D">
        <w:rPr>
          <w:rFonts w:ascii="Book Antiqua" w:eastAsia="Book Antiqua" w:hAnsi="Book Antiqua" w:cs="Book Antiqua"/>
          <w:color w:val="000000"/>
        </w:rPr>
        <w:t>(</w:t>
      </w:r>
      <w:r>
        <w:rPr>
          <w:rFonts w:ascii="Book Antiqua" w:eastAsia="Book Antiqua" w:hAnsi="Book Antiqua" w:cs="Book Antiqua"/>
          <w:color w:val="000000"/>
        </w:rPr>
        <w:t>170 CHB patients</w:t>
      </w:r>
      <w:r w:rsidR="0024451D">
        <w:rPr>
          <w:rFonts w:ascii="Book Antiqua" w:eastAsia="Book Antiqua" w:hAnsi="Book Antiqua" w:cs="Book Antiqua"/>
          <w:color w:val="000000"/>
        </w:rPr>
        <w:t>)</w:t>
      </w:r>
      <w:r>
        <w:rPr>
          <w:rFonts w:ascii="Book Antiqua" w:eastAsia="Book Antiqua" w:hAnsi="Book Antiqua" w:cs="Book Antiqua"/>
          <w:color w:val="000000"/>
        </w:rPr>
        <w:t>. Among the participants, 338 were blindly treated with at least one dose of the two TDF drugs. After excluding 11 participants</w:t>
      </w:r>
      <w:r>
        <w:rPr>
          <w:rFonts w:ascii="Book Antiqua" w:eastAsia="Book Antiqua" w:hAnsi="Book Antiqua" w:cs="Book Antiqua"/>
          <w:color w:val="000000"/>
          <w:szCs w:val="30"/>
          <w:vertAlign w:val="superscript"/>
        </w:rPr>
        <w:t>[</w:t>
      </w:r>
      <w:r w:rsidR="00593DEF">
        <w:rPr>
          <w:rFonts w:ascii="Book Antiqua" w:eastAsia="Book Antiqua" w:hAnsi="Book Antiqua" w:cs="Book Antiqua"/>
          <w:color w:val="000000"/>
          <w:szCs w:val="3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final full analysis set contained a total of 330 participants [161 in group A (HBeAg-positive: 114 </w:t>
      </w:r>
      <w:r w:rsidRPr="00593DEF">
        <w:rPr>
          <w:rFonts w:ascii="Book Antiqua" w:eastAsia="Book Antiqua" w:hAnsi="Book Antiqua" w:cs="Book Antiqua"/>
          <w:i/>
          <w:iCs/>
          <w:color w:val="000000"/>
        </w:rPr>
        <w:t>vs</w:t>
      </w:r>
      <w:r w:rsidR="00593DEF">
        <w:rPr>
          <w:rFonts w:ascii="Book Antiqua" w:eastAsia="Book Antiqua" w:hAnsi="Book Antiqua" w:cs="Book Antiqua"/>
          <w:color w:val="000000"/>
        </w:rPr>
        <w:t xml:space="preserve"> </w:t>
      </w:r>
      <w:r>
        <w:rPr>
          <w:rFonts w:ascii="Book Antiqua" w:eastAsia="Book Antiqua" w:hAnsi="Book Antiqua" w:cs="Book Antiqua"/>
          <w:color w:val="000000"/>
        </w:rPr>
        <w:t xml:space="preserve">HBeAg-negative: 47) and 169 in group B (HBeAg-positive: 118 </w:t>
      </w:r>
      <w:r w:rsidRPr="00593DEF">
        <w:rPr>
          <w:rFonts w:ascii="Book Antiqua" w:eastAsia="Book Antiqua" w:hAnsi="Book Antiqua" w:cs="Book Antiqua"/>
          <w:i/>
          <w:iCs/>
          <w:color w:val="000000"/>
        </w:rPr>
        <w:t>vs</w:t>
      </w:r>
      <w:r w:rsidR="00593DEF">
        <w:rPr>
          <w:rFonts w:ascii="Book Antiqua" w:eastAsia="Book Antiqua" w:hAnsi="Book Antiqua" w:cs="Book Antiqua"/>
          <w:color w:val="000000"/>
        </w:rPr>
        <w:t xml:space="preserve"> </w:t>
      </w:r>
      <w:r>
        <w:rPr>
          <w:rFonts w:ascii="Book Antiqua" w:eastAsia="Book Antiqua" w:hAnsi="Book Antiqua" w:cs="Book Antiqua"/>
          <w:color w:val="000000"/>
        </w:rPr>
        <w:t>HBeAg-negative: 51)]. As shown in Table 1, the participants in the two groups showed comparable baseline characteristics.</w:t>
      </w:r>
    </w:p>
    <w:p w14:paraId="4A64BB6B" w14:textId="77777777" w:rsidR="00593DEF" w:rsidRDefault="00593DEF">
      <w:pPr>
        <w:spacing w:line="360" w:lineRule="auto"/>
        <w:jc w:val="both"/>
      </w:pPr>
    </w:p>
    <w:p w14:paraId="1BE8EB76" w14:textId="77777777" w:rsidR="00A77B3E" w:rsidRPr="00593DEF" w:rsidRDefault="00D772A7">
      <w:pPr>
        <w:spacing w:line="360" w:lineRule="auto"/>
        <w:jc w:val="both"/>
        <w:rPr>
          <w:i/>
          <w:iCs/>
        </w:rPr>
      </w:pPr>
      <w:r w:rsidRPr="00593DEF">
        <w:rPr>
          <w:rFonts w:ascii="Book Antiqua" w:eastAsia="Book Antiqua" w:hAnsi="Book Antiqua" w:cs="Book Antiqua"/>
          <w:b/>
          <w:bCs/>
          <w:i/>
          <w:iCs/>
          <w:color w:val="000000"/>
        </w:rPr>
        <w:t>Endpoint outcomes</w:t>
      </w:r>
    </w:p>
    <w:p w14:paraId="30730C13" w14:textId="57BCD2F0" w:rsidR="00A77B3E" w:rsidRDefault="00D772A7">
      <w:pPr>
        <w:spacing w:line="360" w:lineRule="auto"/>
        <w:jc w:val="both"/>
      </w:pPr>
      <w:r>
        <w:rPr>
          <w:rFonts w:ascii="Book Antiqua" w:eastAsia="Book Antiqua" w:hAnsi="Book Antiqua" w:cs="Book Antiqua"/>
          <w:b/>
          <w:bCs/>
          <w:color w:val="000000"/>
        </w:rPr>
        <w:t>Virological and serological outcomes</w:t>
      </w:r>
      <w:r w:rsidR="00593DE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Both TDF drugs exhibited suppressive effects on HBV DNA level early during the trial, and the effects were maintained or enhanced throughout the 96-wk trial period (Table 2). For participants with HBeAg-positive CHB, the mean values of decrease in HBV DNA level relative to the baseline values were 5.77 and 5.73 </w:t>
      </w:r>
      <w:r w:rsidR="00593DEF">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 xml:space="preserve"> IU/mL in Groups A and B, respectively,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 xml:space="preserve">0.05). While for HBeAg-negative participants, the values were 4.46 and 4.70 </w:t>
      </w:r>
      <w:r w:rsidR="00593DEF">
        <w:rPr>
          <w:rFonts w:ascii="Book Antiqua" w:eastAsia="Book Antiqua" w:hAnsi="Book Antiqua" w:cs="Book Antiqua"/>
          <w:color w:val="000000"/>
        </w:rPr>
        <w:t>l</w:t>
      </w:r>
      <w:r>
        <w:rPr>
          <w:rFonts w:ascii="Book Antiqua" w:eastAsia="Book Antiqua" w:hAnsi="Book Antiqua" w:cs="Book Antiqua"/>
          <w:color w:val="000000"/>
        </w:rPr>
        <w:t>og</w:t>
      </w:r>
      <w:r>
        <w:rPr>
          <w:rFonts w:ascii="Book Antiqua" w:eastAsia="Book Antiqua" w:hAnsi="Book Antiqua" w:cs="Book Antiqua"/>
          <w:color w:val="000000"/>
          <w:szCs w:val="30"/>
          <w:vertAlign w:val="subscript"/>
        </w:rPr>
        <w:t>10</w:t>
      </w:r>
      <w:r>
        <w:rPr>
          <w:rFonts w:ascii="Book Antiqua" w:eastAsia="Book Antiqua" w:hAnsi="Book Antiqua" w:cs="Book Antiqua"/>
          <w:color w:val="000000"/>
        </w:rPr>
        <w:t>IU/mL in Groups A and B, respectively,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(Table 3).</w:t>
      </w:r>
    </w:p>
    <w:p w14:paraId="48A30E37" w14:textId="7B6063DE" w:rsidR="00A77B3E" w:rsidRDefault="00D772A7" w:rsidP="00593DEF">
      <w:pPr>
        <w:spacing w:line="360" w:lineRule="auto"/>
        <w:ind w:firstLineChars="100" w:firstLine="240"/>
        <w:jc w:val="both"/>
      </w:pPr>
      <w:r>
        <w:rPr>
          <w:rFonts w:ascii="Book Antiqua" w:eastAsia="Book Antiqua" w:hAnsi="Book Antiqua" w:cs="Book Antiqua"/>
          <w:color w:val="000000"/>
        </w:rPr>
        <w:t>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71.05% and 77.97% of the HBeAg-positive participants in Groups A and B, respectively, exhibited undetectable HBV DNA levels (&lt;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20 IU/mL)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r w:rsidR="0024451D">
        <w:rPr>
          <w:rFonts w:ascii="Book Antiqua" w:eastAsia="Book Antiqua" w:hAnsi="Book Antiqua" w:cs="Book Antiqua"/>
          <w:color w:val="000000"/>
        </w:rPr>
        <w:t xml:space="preserve">), </w:t>
      </w:r>
      <w:r>
        <w:rPr>
          <w:rFonts w:ascii="Book Antiqua" w:eastAsia="Book Antiqua" w:hAnsi="Book Antiqua" w:cs="Book Antiqua"/>
          <w:color w:val="000000"/>
        </w:rPr>
        <w:t>while 87.23% and 94.12% of the HBeAg-negative participants in Groups A and B, respectively, exhibited undetectable HBV DNA levels (&lt;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20 IU/mL)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(Table 4).</w:t>
      </w:r>
    </w:p>
    <w:p w14:paraId="3265419A" w14:textId="3BE43FE6" w:rsidR="00A77B3E" w:rsidRDefault="00D772A7" w:rsidP="00593DE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31.00% and 27.27% of participants with HBeAg-positive CHB in Groups A and B, respectively, showed HBeAg loss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r w:rsidR="0024451D">
        <w:rPr>
          <w:rFonts w:ascii="Book Antiqua" w:eastAsia="Book Antiqua" w:hAnsi="Book Antiqua" w:cs="Book Antiqua"/>
          <w:color w:val="000000"/>
        </w:rPr>
        <w:t xml:space="preserve">), </w:t>
      </w:r>
      <w:r>
        <w:rPr>
          <w:rFonts w:ascii="Book Antiqua" w:eastAsia="Book Antiqua" w:hAnsi="Book Antiqua" w:cs="Book Antiqua"/>
          <w:color w:val="000000"/>
        </w:rPr>
        <w:t>while 20.22% and 15.79% of participants with HBeAg-positive CHB in Groups A and B, respectively, showed HBeAg seroconversion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 xml:space="preserve">0.05). However, only one </w:t>
      </w:r>
      <w:r w:rsidR="0024451D">
        <w:rPr>
          <w:rFonts w:ascii="Book Antiqua" w:eastAsia="Book Antiqua" w:hAnsi="Book Antiqua" w:cs="Book Antiqua"/>
          <w:color w:val="000000"/>
        </w:rPr>
        <w:t xml:space="preserve">patient </w:t>
      </w:r>
      <w:r>
        <w:rPr>
          <w:rFonts w:ascii="Book Antiqua" w:eastAsia="Book Antiqua" w:hAnsi="Book Antiqua" w:cs="Book Antiqua"/>
          <w:color w:val="000000"/>
        </w:rPr>
        <w:t>in group A experienced HBsAg loss at week 48, while none experienced HBsAg loss between weeks 48 and 96. None of the HBeAg-negative CHB participants exhibited HBsAg seroconversion during the entire trial period (Table 5).</w:t>
      </w:r>
    </w:p>
    <w:p w14:paraId="19EC1525" w14:textId="77777777" w:rsidR="00593DEF" w:rsidRDefault="00593DEF" w:rsidP="00593DEF">
      <w:pPr>
        <w:spacing w:line="360" w:lineRule="auto"/>
        <w:jc w:val="both"/>
      </w:pPr>
    </w:p>
    <w:p w14:paraId="1C64C3E5" w14:textId="08BAB302" w:rsidR="00A77B3E" w:rsidRDefault="00D772A7">
      <w:pPr>
        <w:spacing w:line="360" w:lineRule="auto"/>
        <w:jc w:val="both"/>
      </w:pPr>
      <w:r>
        <w:rPr>
          <w:rFonts w:ascii="Book Antiqua" w:eastAsia="Book Antiqua" w:hAnsi="Book Antiqua" w:cs="Book Antiqua"/>
          <w:b/>
          <w:bCs/>
          <w:color w:val="000000"/>
        </w:rPr>
        <w:t>Biochemical outcomes</w:t>
      </w:r>
      <w:r w:rsidR="00593DEF">
        <w:rPr>
          <w:rFonts w:ascii="Book Antiqua" w:eastAsia="Book Antiqua" w:hAnsi="Book Antiqua" w:cs="Book Antiqua"/>
          <w:b/>
          <w:bCs/>
          <w:color w:val="000000"/>
        </w:rPr>
        <w:t xml:space="preserve">: </w:t>
      </w:r>
      <w:r>
        <w:rPr>
          <w:rFonts w:ascii="Book Antiqua" w:eastAsia="Book Antiqua" w:hAnsi="Book Antiqua" w:cs="Book Antiqua"/>
          <w:color w:val="000000"/>
        </w:rPr>
        <w:t>One hundred and thirteen out of 141</w:t>
      </w:r>
      <w:r w:rsidR="0024451D">
        <w:rPr>
          <w:rFonts w:ascii="Book Antiqua" w:eastAsia="Book Antiqua" w:hAnsi="Book Antiqua" w:cs="Book Antiqua"/>
          <w:color w:val="000000"/>
        </w:rPr>
        <w:t xml:space="preserve"> </w:t>
      </w:r>
      <w:r>
        <w:rPr>
          <w:rFonts w:ascii="Book Antiqua" w:eastAsia="Book Antiqua" w:hAnsi="Book Antiqua" w:cs="Book Antiqua"/>
          <w:color w:val="000000"/>
        </w:rPr>
        <w:t>(80.14%)</w:t>
      </w:r>
      <w:r w:rsidR="0024451D" w:rsidRPr="0024451D">
        <w:rPr>
          <w:rFonts w:ascii="Book Antiqua" w:eastAsia="Book Antiqua" w:hAnsi="Book Antiqua" w:cs="Book Antiqua"/>
          <w:color w:val="000000"/>
        </w:rPr>
        <w:t xml:space="preserve"> </w:t>
      </w:r>
      <w:r w:rsidR="0024451D">
        <w:rPr>
          <w:rFonts w:ascii="Book Antiqua" w:eastAsia="Book Antiqua" w:hAnsi="Book Antiqua" w:cs="Book Antiqua"/>
          <w:color w:val="000000"/>
        </w:rPr>
        <w:t>participants</w:t>
      </w:r>
      <w:r>
        <w:rPr>
          <w:rFonts w:ascii="Book Antiqua" w:eastAsia="Book Antiqua" w:hAnsi="Book Antiqua" w:cs="Book Antiqua"/>
          <w:color w:val="000000"/>
        </w:rPr>
        <w:t xml:space="preserve"> in Group A and 137 out of one 162 </w:t>
      </w:r>
      <w:r w:rsidR="0024451D">
        <w:rPr>
          <w:rFonts w:ascii="Book Antiqua" w:eastAsia="Book Antiqua" w:hAnsi="Book Antiqua" w:cs="Book Antiqua"/>
          <w:color w:val="000000"/>
        </w:rPr>
        <w:t xml:space="preserve">(84.57%) </w:t>
      </w:r>
      <w:r>
        <w:rPr>
          <w:rFonts w:ascii="Book Antiqua" w:eastAsia="Book Antiqua" w:hAnsi="Book Antiqua" w:cs="Book Antiqua"/>
          <w:color w:val="000000"/>
        </w:rPr>
        <w:t>participants</w:t>
      </w:r>
      <w:r w:rsidR="0024451D">
        <w:rPr>
          <w:rFonts w:ascii="Book Antiqua" w:eastAsia="Book Antiqua" w:hAnsi="Book Antiqua" w:cs="Book Antiqua"/>
          <w:color w:val="000000"/>
        </w:rPr>
        <w:t xml:space="preserve"> </w:t>
      </w:r>
      <w:r>
        <w:rPr>
          <w:rFonts w:ascii="Book Antiqua" w:eastAsia="Book Antiqua" w:hAnsi="Book Antiqua" w:cs="Book Antiqua"/>
          <w:color w:val="000000"/>
        </w:rPr>
        <w:t>in group B achieved ALT normalization at week 96 (</w:t>
      </w:r>
      <w:r w:rsidRPr="00593DEF">
        <w:rPr>
          <w:rFonts w:ascii="Book Antiqua" w:eastAsia="Book Antiqua" w:hAnsi="Book Antiqua" w:cs="Book Antiqua"/>
          <w:i/>
          <w:iCs/>
          <w:color w:val="000000"/>
        </w:rPr>
        <w:t>P</w:t>
      </w:r>
      <w:r w:rsidR="00593DEF" w:rsidRP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(Table 6).</w:t>
      </w:r>
    </w:p>
    <w:p w14:paraId="60BBE64E" w14:textId="224949A0" w:rsidR="00A77B3E" w:rsidRDefault="00D772A7" w:rsidP="00593DE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week 96, the mean ALT levels for Groups A and B were 29.73 and 30.74 U/L, respectively, showing significant decreases from the baseline values (175.47 and 180.05 U/L in Groups A and B, respectively).</w:t>
      </w:r>
    </w:p>
    <w:p w14:paraId="709A36F2" w14:textId="77777777" w:rsidR="00593DEF" w:rsidRDefault="00593DEF" w:rsidP="00593DEF">
      <w:pPr>
        <w:spacing w:line="360" w:lineRule="auto"/>
        <w:jc w:val="both"/>
      </w:pPr>
    </w:p>
    <w:p w14:paraId="237F2E6E" w14:textId="673AC81D" w:rsidR="00A77B3E" w:rsidRPr="00593DEF" w:rsidRDefault="00D772A7">
      <w:pPr>
        <w:spacing w:line="360" w:lineRule="auto"/>
        <w:jc w:val="both"/>
        <w:rPr>
          <w:i/>
          <w:iCs/>
        </w:rPr>
      </w:pPr>
      <w:r w:rsidRPr="00593DEF">
        <w:rPr>
          <w:rFonts w:ascii="Book Antiqua" w:eastAsia="Book Antiqua" w:hAnsi="Book Antiqua" w:cs="Book Antiqua"/>
          <w:b/>
          <w:bCs/>
          <w:i/>
          <w:iCs/>
          <w:color w:val="000000"/>
        </w:rPr>
        <w:t>Viral breakthrough</w:t>
      </w:r>
    </w:p>
    <w:p w14:paraId="6125019C" w14:textId="1B379FCE" w:rsidR="00A77B3E"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the first 48 wk of the trial, viral breakthrough was observed in one participant of each group</w:t>
      </w:r>
      <w:r>
        <w:rPr>
          <w:rFonts w:ascii="Book Antiqua" w:eastAsia="Book Antiqua" w:hAnsi="Book Antiqua" w:cs="Book Antiqua"/>
          <w:color w:val="000000"/>
          <w:szCs w:val="30"/>
          <w:vertAlign w:val="superscript"/>
        </w:rPr>
        <w:t>[</w:t>
      </w:r>
      <w:r w:rsidR="00593DEF">
        <w:rPr>
          <w:rFonts w:ascii="Book Antiqua" w:eastAsia="Book Antiqua" w:hAnsi="Book Antiqua" w:cs="Book Antiqua"/>
          <w:color w:val="000000"/>
          <w:szCs w:val="30"/>
          <w:vertAlign w:val="superscript"/>
        </w:rPr>
        <w:t>16</w:t>
      </w:r>
      <w:r w:rsidR="0024451D">
        <w:rPr>
          <w:rFonts w:ascii="Book Antiqua" w:eastAsia="Book Antiqua" w:hAnsi="Book Antiqua" w:cs="Book Antiqua"/>
          <w:color w:val="000000"/>
          <w:vertAlign w:val="superscript"/>
        </w:rPr>
        <w:t>]</w:t>
      </w:r>
      <w:r w:rsidR="0024451D">
        <w:rPr>
          <w:rFonts w:ascii="Book Antiqua" w:eastAsia="Book Antiqua" w:hAnsi="Book Antiqua" w:cs="Book Antiqua"/>
          <w:color w:val="000000"/>
        </w:rPr>
        <w:t xml:space="preserve">, </w:t>
      </w:r>
      <w:r>
        <w:rPr>
          <w:rFonts w:ascii="Book Antiqua" w:eastAsia="Book Antiqua" w:hAnsi="Book Antiqua" w:cs="Book Antiqua"/>
          <w:color w:val="000000"/>
        </w:rPr>
        <w:t>while no participant developed viral breakthrough between weeks 48 and 96.</w:t>
      </w:r>
    </w:p>
    <w:p w14:paraId="1C4C978D" w14:textId="77777777" w:rsidR="00593DEF" w:rsidRDefault="00593DEF">
      <w:pPr>
        <w:spacing w:line="360" w:lineRule="auto"/>
        <w:jc w:val="both"/>
      </w:pPr>
    </w:p>
    <w:p w14:paraId="63BB9ABB" w14:textId="415ECD72" w:rsidR="00A77B3E" w:rsidRPr="00593DEF" w:rsidRDefault="00D772A7">
      <w:pPr>
        <w:spacing w:line="360" w:lineRule="auto"/>
        <w:jc w:val="both"/>
        <w:rPr>
          <w:i/>
          <w:iCs/>
        </w:rPr>
      </w:pPr>
      <w:r w:rsidRPr="00593DEF">
        <w:rPr>
          <w:rFonts w:ascii="Book Antiqua" w:eastAsia="Book Antiqua" w:hAnsi="Book Antiqua" w:cs="Book Antiqua"/>
          <w:b/>
          <w:bCs/>
          <w:i/>
          <w:iCs/>
          <w:color w:val="000000"/>
        </w:rPr>
        <w:t>Safety analysis</w:t>
      </w:r>
    </w:p>
    <w:p w14:paraId="428B0307" w14:textId="3FFA6A4B" w:rsidR="00A77B3E" w:rsidRDefault="00D772A7" w:rsidP="000B3ABA">
      <w:pPr>
        <w:spacing w:line="360" w:lineRule="auto"/>
        <w:jc w:val="both"/>
      </w:pPr>
      <w:r>
        <w:rPr>
          <w:rFonts w:ascii="Book Antiqua" w:eastAsia="Book Antiqua" w:hAnsi="Book Antiqua" w:cs="Book Antiqua"/>
          <w:color w:val="000000"/>
        </w:rPr>
        <w:t>Safety analysis was performed in 338 participants.</w:t>
      </w:r>
      <w:r w:rsidR="0024451D">
        <w:rPr>
          <w:rFonts w:ascii="Book Antiqua" w:eastAsia="Book Antiqua" w:hAnsi="Book Antiqua" w:cs="Book Antiqua"/>
          <w:color w:val="000000"/>
        </w:rPr>
        <w:t xml:space="preserve"> </w:t>
      </w:r>
      <w:r>
        <w:rPr>
          <w:rFonts w:ascii="Book Antiqua" w:eastAsia="Book Antiqua" w:hAnsi="Book Antiqua" w:cs="Book Antiqua"/>
          <w:color w:val="000000"/>
        </w:rPr>
        <w:t>Among the participants in Groups A and B, 62.72% and 61.54%, respectively, experienced AEs during the trial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Therefore, the incidence of AEs was comparable between the two groups.</w:t>
      </w:r>
    </w:p>
    <w:p w14:paraId="6A0001E0" w14:textId="77777777" w:rsidR="00A77B3E" w:rsidRDefault="00D772A7" w:rsidP="00593DEF">
      <w:pPr>
        <w:spacing w:line="360" w:lineRule="auto"/>
        <w:ind w:firstLineChars="100" w:firstLine="240"/>
        <w:jc w:val="both"/>
      </w:pPr>
      <w:r>
        <w:rPr>
          <w:rFonts w:ascii="Book Antiqua" w:eastAsia="Book Antiqua" w:hAnsi="Book Antiqua" w:cs="Book Antiqua"/>
          <w:color w:val="000000"/>
        </w:rPr>
        <w:t>Among the participants in Groups A and B, 42 and 39, respectively, experienced mild to moderate adverse reactions (ARs). Among these participants, one in group A and two in group B developed hypophosphatemia without pathological fracture. Other ARs observed were abnormal hepatic enzyme levels, fluctuations in complete blood count, and elevations in serum creatinine level. All the ARs were observed during the first 48 wk and no new ARs appeared from week 48 to week 96. Between weeks 48 and 96, however, eight SAEs occurred. Four of the eight SAEs were observed in Group A, including active hepatitis, pregnancy, partner pregnancy, and liver cancer. Among the four SAEs observed in Group A, the active hepatitis SAE resulted in the patient’s withdrawal from the trial but was judged as possibly not being caused by the use of TDF drugs. The two pregnancy SAEs were obviously not caused by the use of TDF drugs. The SAE of liver cancer also resulted in the patient’s withdrawal, but was not induced by the use of TDF drugs. The other four SAEs occurred in group B, including active hepatitis, pregnancy, frozen shoulder, and adenomyosis. The active hepatitis SAE resulted in the patient’s withdrawal and was judged as possibly being induced by the use of TDF drugs. The other three SAEs were not caused by the use of TDF drugs. No discontinuations due to ARs or AEs happened, and no deaths occurred.</w:t>
      </w:r>
    </w:p>
    <w:p w14:paraId="1D54E284" w14:textId="551F1EF0" w:rsidR="00A77B3E" w:rsidRDefault="00D772A7" w:rsidP="00593DEF">
      <w:pPr>
        <w:spacing w:line="360" w:lineRule="auto"/>
        <w:ind w:firstLineChars="100" w:firstLine="240"/>
        <w:jc w:val="both"/>
      </w:pPr>
      <w:r>
        <w:rPr>
          <w:rFonts w:ascii="Book Antiqua" w:eastAsia="Book Antiqua" w:hAnsi="Book Antiqua" w:cs="Book Antiqua"/>
          <w:color w:val="000000"/>
        </w:rPr>
        <w:t xml:space="preserve">In total, 233 participants (109 in Group A and 124 in Group B) </w:t>
      </w:r>
      <w:r w:rsidR="0024451D">
        <w:rPr>
          <w:rFonts w:ascii="Book Antiqua" w:eastAsia="Book Antiqua" w:hAnsi="Book Antiqua" w:cs="Book Antiqua"/>
          <w:color w:val="000000"/>
        </w:rPr>
        <w:t xml:space="preserve">had </w:t>
      </w:r>
      <w:r>
        <w:rPr>
          <w:rFonts w:ascii="Book Antiqua" w:eastAsia="Book Antiqua" w:hAnsi="Book Antiqua" w:cs="Book Antiqua"/>
          <w:color w:val="000000"/>
        </w:rPr>
        <w:t>available eGFR data (Table 7) and urine NGAL level</w:t>
      </w:r>
      <w:r w:rsidR="0024451D">
        <w:rPr>
          <w:rFonts w:ascii="Book Antiqua" w:eastAsia="Book Antiqua" w:hAnsi="Book Antiqua" w:cs="Book Antiqua"/>
          <w:color w:val="000000"/>
        </w:rPr>
        <w:t>s</w:t>
      </w:r>
      <w:r>
        <w:rPr>
          <w:rFonts w:ascii="Book Antiqua" w:eastAsia="Book Antiqua" w:hAnsi="Book Antiqua" w:cs="Book Antiqua"/>
          <w:color w:val="000000"/>
        </w:rPr>
        <w:t xml:space="preserve"> (Table 8). The eGFRs of the two groups were not significantly different at each evaluation point during the trial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 However, when compared with the values at baseline, both the value of eGFR and the level of urine NGAL were significantly lower in all the participants at week 96 (</w:t>
      </w:r>
      <w:r w:rsidRPr="00593DEF">
        <w:rPr>
          <w:rFonts w:ascii="Book Antiqua" w:eastAsia="Book Antiqua" w:hAnsi="Book Antiqua" w:cs="Book Antiqua"/>
          <w:i/>
          <w:iCs/>
          <w:color w:val="000000"/>
        </w:rPr>
        <w:t>P</w:t>
      </w:r>
      <w:r w:rsidR="0024451D">
        <w:rPr>
          <w:rFonts w:ascii="Book Antiqua" w:eastAsia="Book Antiqua" w:hAnsi="Book Antiqua" w:cs="Book Antiqua"/>
          <w:color w:val="000000"/>
        </w:rPr>
        <w:t xml:space="preserve"> </w:t>
      </w:r>
      <w:r>
        <w:rPr>
          <w:rFonts w:ascii="Book Antiqua" w:eastAsia="Book Antiqua" w:hAnsi="Book Antiqua" w:cs="Book Antiqua"/>
          <w:color w:val="000000"/>
        </w:rPr>
        <w:t>&lt;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5C82AA42" w14:textId="77777777" w:rsidR="00A77B3E" w:rsidRDefault="00A77B3E">
      <w:pPr>
        <w:spacing w:line="360" w:lineRule="auto"/>
        <w:jc w:val="both"/>
      </w:pPr>
    </w:p>
    <w:p w14:paraId="1BCA8AAF" w14:textId="77777777" w:rsidR="00A77B3E" w:rsidRDefault="00D772A7">
      <w:pPr>
        <w:spacing w:line="360" w:lineRule="auto"/>
        <w:jc w:val="both"/>
      </w:pPr>
      <w:r>
        <w:rPr>
          <w:rFonts w:ascii="Book Antiqua" w:eastAsia="Book Antiqua" w:hAnsi="Book Antiqua" w:cs="Book Antiqua"/>
          <w:b/>
          <w:caps/>
          <w:color w:val="000000"/>
          <w:u w:val="single"/>
        </w:rPr>
        <w:t>DISCUSSION</w:t>
      </w:r>
    </w:p>
    <w:p w14:paraId="443713D8" w14:textId="6AFCDDDE" w:rsidR="00A77B3E" w:rsidRDefault="00D772A7">
      <w:pPr>
        <w:spacing w:line="360" w:lineRule="auto"/>
        <w:jc w:val="both"/>
      </w:pPr>
      <w:r>
        <w:rPr>
          <w:rFonts w:ascii="Book Antiqua" w:eastAsia="Book Antiqua" w:hAnsi="Book Antiqua" w:cs="Book Antiqua"/>
          <w:color w:val="000000"/>
        </w:rPr>
        <w:t>As one of the antiviral agents used for the first-line treatment of CHB, TDF has many advantages, such as better curative effect and</w:t>
      </w:r>
      <w:r w:rsidR="00585459">
        <w:rPr>
          <w:rFonts w:ascii="Book Antiqua" w:eastAsia="Book Antiqua" w:hAnsi="Book Antiqua" w:cs="Book Antiqua"/>
          <w:color w:val="000000"/>
        </w:rPr>
        <w:t xml:space="preserve"> </w:t>
      </w:r>
      <w:r>
        <w:rPr>
          <w:rFonts w:ascii="Book Antiqua" w:eastAsia="Book Antiqua" w:hAnsi="Book Antiqua" w:cs="Book Antiqua"/>
          <w:color w:val="000000"/>
        </w:rPr>
        <w:t>lower resistance rate. A large number of studies have confirmed that TDF can significantly suppress HBV DNA replication, even in patients resistant to other NAs. Before Qingzhong was approved, the only choice for the treatment of CHB patients in China was Viread, but the cost of long-term treatment with Viread is high; therefore, a more affordable TDF drug with comparable performance may provide a better choice for CHB patients in China. Qingzhong is such a TDF drug. Therefore, in this 96-wk-long clinical trial, we comparatively evaluated the efficacy and safety of Qingzhong and Viread in Chinese CHB patients and did not observe any significant differences between the two drugs (</w:t>
      </w:r>
      <w:r w:rsidRPr="00593DEF">
        <w:rPr>
          <w:rFonts w:ascii="Book Antiqua" w:eastAsia="Book Antiqua" w:hAnsi="Book Antiqua" w:cs="Book Antiqua"/>
          <w:i/>
          <w:iCs/>
          <w:color w:val="000000"/>
        </w:rPr>
        <w:t>P</w:t>
      </w:r>
      <w:r w:rsidR="00593DEF">
        <w:rPr>
          <w:rFonts w:ascii="Book Antiqua" w:eastAsia="Book Antiqua" w:hAnsi="Book Antiqua" w:cs="Book Antiqua"/>
          <w:color w:val="000000"/>
        </w:rPr>
        <w:t xml:space="preserve"> </w:t>
      </w:r>
      <w:r>
        <w:rPr>
          <w:rFonts w:ascii="Book Antiqua" w:eastAsia="Book Antiqua" w:hAnsi="Book Antiqua" w:cs="Book Antiqua"/>
          <w:color w:val="000000"/>
        </w:rPr>
        <w:t>&gt;</w:t>
      </w:r>
      <w:r w:rsidR="00593DEF">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0012F1F" w14:textId="6DF17B49" w:rsidR="00A77B3E" w:rsidRDefault="00D772A7" w:rsidP="00593DEF">
      <w:pPr>
        <w:spacing w:line="360" w:lineRule="auto"/>
        <w:ind w:firstLineChars="100" w:firstLine="240"/>
        <w:jc w:val="both"/>
      </w:pPr>
      <w:r>
        <w:rPr>
          <w:rFonts w:ascii="Book Antiqua" w:eastAsia="Book Antiqua" w:hAnsi="Book Antiqua" w:cs="Book Antiqua"/>
          <w:color w:val="000000"/>
        </w:rPr>
        <w:t>Specifically, both HBeAg (+) and HBeAg (-) participants exhibited similar degrees of decrease in HBV DNA level after being treated with the two TDF drugs for 96 wk. At week 48, viral breakthrough was observed in one participant from each group, but no participant experienced viral breakthrough between weeks 48 and 96. The two patients who experienced viral breakthrough were treated with entecavir at the dose of 0.5 mg q</w:t>
      </w:r>
      <w:r w:rsidR="00585459">
        <w:rPr>
          <w:rFonts w:ascii="Book Antiqua" w:eastAsia="Book Antiqua" w:hAnsi="Book Antiqua" w:cs="Book Antiqua"/>
          <w:color w:val="000000"/>
        </w:rPr>
        <w:t>.</w:t>
      </w:r>
      <w:r>
        <w:rPr>
          <w:rFonts w:ascii="Book Antiqua" w:eastAsia="Book Antiqua" w:hAnsi="Book Antiqua" w:cs="Book Antiqua"/>
          <w:color w:val="000000"/>
        </w:rPr>
        <w:t>d. and were withdrawn from the study.</w:t>
      </w:r>
      <w:r>
        <w:rPr>
          <w:rFonts w:ascii="Book Antiqua" w:eastAsia="Book Antiqua" w:hAnsi="Book Antiqua" w:cs="Book Antiqua"/>
          <w:color w:val="000000"/>
          <w:shd w:val="clear" w:color="auto" w:fill="FFFFFF"/>
        </w:rPr>
        <w:t xml:space="preserve"> These results suggest that </w:t>
      </w:r>
      <w:r>
        <w:rPr>
          <w:rFonts w:ascii="Book Antiqua" w:eastAsia="Book Antiqua" w:hAnsi="Book Antiqua" w:cs="Book Antiqua"/>
          <w:color w:val="000000"/>
        </w:rPr>
        <w:t>continuous suppression of HBV DNA replication is beneficial to slow down the disease progression of CHB, as revealed by our COBAS TaqMan HBV assay, which has a lower limit of detection as low as 20 IU/mL. In addition, we observed comparable HBeAg loss and HBeAg seroconversion rates between Groups A and B. In summary, in terms of efficacy, our results demonstrated</w:t>
      </w:r>
      <w:r>
        <w:rPr>
          <w:rFonts w:ascii="Book Antiqua" w:eastAsia="Book Antiqua" w:hAnsi="Book Antiqua" w:cs="Book Antiqua"/>
          <w:color w:val="000000"/>
          <w:szCs w:val="21"/>
        </w:rPr>
        <w:t xml:space="preserve"> </w:t>
      </w:r>
      <w:r>
        <w:rPr>
          <w:rFonts w:ascii="Book Antiqua" w:eastAsia="Book Antiqua" w:hAnsi="Book Antiqua" w:cs="Book Antiqua"/>
          <w:color w:val="000000"/>
        </w:rPr>
        <w:t>noninferiority between Qingzhong and Viread.</w:t>
      </w:r>
    </w:p>
    <w:p w14:paraId="18797016" w14:textId="77777777" w:rsidR="00A77B3E" w:rsidRDefault="00D772A7" w:rsidP="00593DEF">
      <w:pPr>
        <w:spacing w:line="360" w:lineRule="auto"/>
        <w:ind w:firstLineChars="100" w:firstLine="240"/>
        <w:jc w:val="both"/>
      </w:pPr>
      <w:r>
        <w:rPr>
          <w:rFonts w:ascii="Book Antiqua" w:eastAsia="Book Antiqua" w:hAnsi="Book Antiqua" w:cs="Book Antiqua"/>
          <w:color w:val="000000"/>
        </w:rPr>
        <w:t>Although NAs can delay the progression of CHB to a certain extent, patients with CHB may eventually develop HCC. In our clinical trial, Participant 315 was found to have developed liver cancer at week 96 and was excluded from the study. Although the HCC of the participant was determined to be unrelated with the use of TDF drugs, it reminded us to closely monitor liver cancer development in CHB patients, even in antiviral treatment responders. In addition, kidney function changes should also be monitored during the long-term treatment with TDF drugs.</w:t>
      </w:r>
    </w:p>
    <w:p w14:paraId="05CDBBD6" w14:textId="5938ADC7" w:rsidR="00A77B3E" w:rsidRDefault="00D772A7" w:rsidP="00593DEF">
      <w:pPr>
        <w:spacing w:line="360" w:lineRule="auto"/>
        <w:ind w:firstLineChars="100" w:firstLine="240"/>
        <w:jc w:val="both"/>
      </w:pPr>
      <w:r>
        <w:rPr>
          <w:rFonts w:ascii="Book Antiqua" w:eastAsia="Book Antiqua" w:hAnsi="Book Antiqua" w:cs="Book Antiqua"/>
          <w:color w:val="000000"/>
        </w:rPr>
        <w:t xml:space="preserve">Our clinical trial has some limitations. First, the trial only lasted 96 wk. Therefore, we could not obtain longer-term data. As a result, we cannot guarantee the longer-term safety of the drugs based on the observed incidence of AEs. Fortunately, after this study, the patients could participate in an additional 3-year-long open-label trial with Qingzhong. Second, only one patient developed HCC during our 96-wk-long trial. Therefore, more data will be needed to establish the relationship between long-term treatment of CHB with NAs and the incidence of HCC. To address this issue, the authors are carrying out a study on the relationships among </w:t>
      </w:r>
      <w:r w:rsidR="00593DEF" w:rsidRPr="00593DEF">
        <w:rPr>
          <w:rFonts w:ascii="Book Antiqua" w:eastAsia="Book Antiqua" w:hAnsi="Book Antiqua" w:cs="Book Antiqua"/>
          <w:color w:val="000000"/>
        </w:rPr>
        <w:t>entecavir</w:t>
      </w:r>
      <w:r>
        <w:rPr>
          <w:rFonts w:ascii="Book Antiqua" w:eastAsia="Book Antiqua" w:hAnsi="Book Antiqua" w:cs="Book Antiqua"/>
          <w:color w:val="000000"/>
        </w:rPr>
        <w:t>, TDF/</w:t>
      </w:r>
      <w:r w:rsidR="00593DEF" w:rsidRPr="00593DEF">
        <w:rPr>
          <w:rFonts w:ascii="Book Antiqua" w:eastAsia="Book Antiqua" w:hAnsi="Book Antiqua" w:cs="Book Antiqua"/>
          <w:color w:val="000000"/>
        </w:rPr>
        <w:t>tenofovir alafenamide</w:t>
      </w:r>
      <w:r w:rsidR="002B1CED">
        <w:rPr>
          <w:rFonts w:ascii="Book Antiqua" w:eastAsia="Book Antiqua" w:hAnsi="Book Antiqua" w:cs="Book Antiqua"/>
          <w:color w:val="000000"/>
        </w:rPr>
        <w:t>,</w:t>
      </w:r>
      <w:r>
        <w:rPr>
          <w:rFonts w:ascii="Book Antiqua" w:eastAsia="Book Antiqua" w:hAnsi="Book Antiqua" w:cs="Book Antiqua"/>
          <w:color w:val="000000"/>
        </w:rPr>
        <w:t xml:space="preserve"> and HCC incidence in CHB patients.</w:t>
      </w:r>
    </w:p>
    <w:p w14:paraId="40ABAAED" w14:textId="77777777" w:rsidR="00A77B3E" w:rsidRDefault="00A77B3E">
      <w:pPr>
        <w:spacing w:line="360" w:lineRule="auto"/>
        <w:jc w:val="both"/>
      </w:pPr>
    </w:p>
    <w:p w14:paraId="14C92A0E" w14:textId="77777777" w:rsidR="00A77B3E" w:rsidRDefault="00D772A7">
      <w:pPr>
        <w:spacing w:line="360" w:lineRule="auto"/>
        <w:jc w:val="both"/>
      </w:pPr>
      <w:r>
        <w:rPr>
          <w:rFonts w:ascii="Book Antiqua" w:eastAsia="Book Antiqua" w:hAnsi="Book Antiqua" w:cs="Book Antiqua"/>
          <w:b/>
          <w:caps/>
          <w:color w:val="000000"/>
          <w:u w:val="single"/>
        </w:rPr>
        <w:t>CONCLUSION</w:t>
      </w:r>
    </w:p>
    <w:p w14:paraId="045F1A68" w14:textId="4CF234CC" w:rsidR="00A77B3E" w:rsidRDefault="00D772A7">
      <w:pPr>
        <w:spacing w:line="360" w:lineRule="auto"/>
        <w:jc w:val="both"/>
      </w:pPr>
      <w:r>
        <w:rPr>
          <w:rFonts w:ascii="Book Antiqua" w:eastAsia="Book Antiqua" w:hAnsi="Book Antiqua" w:cs="Book Antiqua"/>
          <w:color w:val="000000"/>
        </w:rPr>
        <w:t>This 96-wk-long phase III trial demonstrated noninferiority between Qingzhong and Viread in terms of effectiveness and safety in the treatment of Chinese patients with HBeAg (+) and HBeAg (-) CHB. Hence, Qingzhong may become a more affordable choice for long-term treatment of Chinese CHB patients with TDF drugs in the future.</w:t>
      </w:r>
    </w:p>
    <w:p w14:paraId="4F84A78D" w14:textId="77777777" w:rsidR="00A77B3E" w:rsidRDefault="00A77B3E">
      <w:pPr>
        <w:spacing w:line="360" w:lineRule="auto"/>
        <w:jc w:val="both"/>
      </w:pPr>
    </w:p>
    <w:p w14:paraId="2F1CA6AA" w14:textId="77777777" w:rsidR="00A77B3E" w:rsidRDefault="00D772A7">
      <w:pPr>
        <w:spacing w:line="360" w:lineRule="auto"/>
        <w:jc w:val="both"/>
      </w:pPr>
      <w:r>
        <w:rPr>
          <w:rFonts w:ascii="Book Antiqua" w:eastAsia="Book Antiqua" w:hAnsi="Book Antiqua" w:cs="Book Antiqua"/>
          <w:b/>
          <w:caps/>
          <w:color w:val="000000"/>
          <w:u w:val="single"/>
        </w:rPr>
        <w:t>ARTICLE HIGHLIGHTS</w:t>
      </w:r>
    </w:p>
    <w:p w14:paraId="79328472" w14:textId="77777777" w:rsidR="00A77B3E" w:rsidRDefault="00D772A7">
      <w:pPr>
        <w:spacing w:line="360" w:lineRule="auto"/>
        <w:jc w:val="both"/>
      </w:pPr>
      <w:r>
        <w:rPr>
          <w:rFonts w:ascii="Book Antiqua" w:eastAsia="Book Antiqua" w:hAnsi="Book Antiqua" w:cs="Book Antiqua"/>
          <w:b/>
          <w:i/>
          <w:color w:val="000000"/>
        </w:rPr>
        <w:t>Research background</w:t>
      </w:r>
    </w:p>
    <w:p w14:paraId="22100E90" w14:textId="6E6F87FA" w:rsidR="00A77B3E" w:rsidRDefault="00F35C39">
      <w:pPr>
        <w:spacing w:line="360" w:lineRule="auto"/>
        <w:jc w:val="both"/>
      </w:pPr>
      <w:r>
        <w:rPr>
          <w:rFonts w:ascii="Book Antiqua" w:eastAsia="Book Antiqua" w:hAnsi="Book Antiqua" w:cs="Book Antiqua"/>
          <w:color w:val="000000"/>
        </w:rPr>
        <w:t>Tenofovir disoproxil fumarate (TDF)</w:t>
      </w:r>
      <w:r w:rsidR="00D772A7">
        <w:rPr>
          <w:rFonts w:ascii="Book Antiqua" w:eastAsia="Book Antiqua" w:hAnsi="Book Antiqua" w:cs="Book Antiqua"/>
          <w:color w:val="000000"/>
        </w:rPr>
        <w:t xml:space="preserve"> is a prodrug of a nucleotide analogue. As an antiviral drug, TDF has been proposed in the first-line treatment of </w:t>
      </w:r>
      <w:r>
        <w:rPr>
          <w:rFonts w:ascii="Book Antiqua" w:eastAsia="Book Antiqua" w:hAnsi="Book Antiqua" w:cs="Book Antiqua"/>
          <w:color w:val="000000"/>
        </w:rPr>
        <w:t>chronic hepatitis B (CHB)</w:t>
      </w:r>
      <w:r w:rsidR="00D772A7">
        <w:rPr>
          <w:rFonts w:ascii="Book Antiqua" w:eastAsia="Book Antiqua" w:hAnsi="Book Antiqua" w:cs="Book Antiqua"/>
          <w:color w:val="000000"/>
        </w:rPr>
        <w:t xml:space="preserve">. The </w:t>
      </w:r>
      <w:r w:rsidR="005E4F2B">
        <w:rPr>
          <w:rFonts w:ascii="Book Antiqua" w:eastAsia="Book Antiqua" w:hAnsi="Book Antiqua" w:cs="Book Antiqua"/>
          <w:color w:val="000000"/>
        </w:rPr>
        <w:t>National Medical Products Administration</w:t>
      </w:r>
      <w:r w:rsidR="00D772A7">
        <w:rPr>
          <w:rFonts w:ascii="Book Antiqua" w:eastAsia="Book Antiqua" w:hAnsi="Book Antiqua" w:cs="Book Antiqua"/>
          <w:color w:val="000000"/>
        </w:rPr>
        <w:t xml:space="preserve"> has approved two brand names of TDF, namely</w:t>
      </w:r>
      <w:r w:rsidR="002B1CED">
        <w:rPr>
          <w:rFonts w:ascii="Book Antiqua" w:eastAsia="Book Antiqua" w:hAnsi="Book Antiqua" w:cs="Book Antiqua"/>
          <w:color w:val="000000"/>
        </w:rPr>
        <w:t>,</w:t>
      </w:r>
      <w:r w:rsidR="00D772A7">
        <w:rPr>
          <w:rFonts w:ascii="Book Antiqua" w:eastAsia="Book Antiqua" w:hAnsi="Book Antiqua" w:cs="Book Antiqua"/>
          <w:color w:val="000000"/>
        </w:rPr>
        <w:t xml:space="preserve"> Qingzhong, which was commercialized by Jiangsu Chia-tai Tianqing Pharmaceutical Co Ltd., and Viread, which was commercialized by GlaxoSmithKline.</w:t>
      </w:r>
    </w:p>
    <w:p w14:paraId="5D0B7B9C" w14:textId="77777777" w:rsidR="00A77B3E" w:rsidRDefault="00A77B3E">
      <w:pPr>
        <w:spacing w:line="360" w:lineRule="auto"/>
        <w:jc w:val="both"/>
      </w:pPr>
    </w:p>
    <w:p w14:paraId="1C91EC96" w14:textId="77777777" w:rsidR="00A77B3E" w:rsidRDefault="00D772A7">
      <w:pPr>
        <w:spacing w:line="360" w:lineRule="auto"/>
        <w:jc w:val="both"/>
      </w:pPr>
      <w:r>
        <w:rPr>
          <w:rFonts w:ascii="Book Antiqua" w:eastAsia="Book Antiqua" w:hAnsi="Book Antiqua" w:cs="Book Antiqua"/>
          <w:b/>
          <w:i/>
          <w:color w:val="000000"/>
        </w:rPr>
        <w:t>Research motivation</w:t>
      </w:r>
    </w:p>
    <w:p w14:paraId="252DF2F6" w14:textId="14D18248" w:rsidR="00A77B3E" w:rsidRDefault="00D772A7">
      <w:pPr>
        <w:spacing w:line="360" w:lineRule="auto"/>
        <w:jc w:val="both"/>
      </w:pPr>
      <w:r>
        <w:rPr>
          <w:rFonts w:ascii="Book Antiqua" w:eastAsia="Book Antiqua" w:hAnsi="Book Antiqua" w:cs="Book Antiqua"/>
          <w:color w:val="000000"/>
        </w:rPr>
        <w:t>The safety and efficacy of Viread have been confirmed in previous trials. However, the cost of long-term treatment with Viread is high. As a generic TDF drug, Qingzhong exhibited comparable efficacy and safety with Viread in the treatment of naive Chinese CHB patients during a 48-wk trial, thus providing a less expensive option for treating CHB. However, the long-run performance of Qingzhong in the treatment of CHB remains unevaluated.</w:t>
      </w:r>
    </w:p>
    <w:p w14:paraId="6ECE913E" w14:textId="77777777" w:rsidR="00A77B3E" w:rsidRDefault="00A77B3E">
      <w:pPr>
        <w:spacing w:line="360" w:lineRule="auto"/>
        <w:jc w:val="both"/>
      </w:pPr>
    </w:p>
    <w:p w14:paraId="05A6FB7A" w14:textId="77777777" w:rsidR="00A77B3E" w:rsidRDefault="00D772A7">
      <w:pPr>
        <w:spacing w:line="360" w:lineRule="auto"/>
        <w:jc w:val="both"/>
      </w:pPr>
      <w:r>
        <w:rPr>
          <w:rFonts w:ascii="Book Antiqua" w:eastAsia="Book Antiqua" w:hAnsi="Book Antiqua" w:cs="Book Antiqua"/>
          <w:b/>
          <w:i/>
          <w:color w:val="000000"/>
        </w:rPr>
        <w:t>Research objectives</w:t>
      </w:r>
    </w:p>
    <w:p w14:paraId="720A25D9" w14:textId="77B63ABC" w:rsidR="00A77B3E" w:rsidRDefault="00D772A7">
      <w:pPr>
        <w:spacing w:line="360" w:lineRule="auto"/>
        <w:jc w:val="both"/>
      </w:pPr>
      <w:r>
        <w:rPr>
          <w:rFonts w:ascii="Book Antiqua" w:eastAsia="Book Antiqua" w:hAnsi="Book Antiqua" w:cs="Book Antiqua"/>
          <w:color w:val="000000"/>
        </w:rPr>
        <w:t>To investigate the</w:t>
      </w:r>
      <w:r w:rsidR="002B1CED">
        <w:rPr>
          <w:rFonts w:ascii="Book Antiqua" w:eastAsia="Book Antiqua" w:hAnsi="Book Antiqua" w:cs="Book Antiqua"/>
          <w:color w:val="000000"/>
        </w:rPr>
        <w:t xml:space="preserve"> </w:t>
      </w:r>
      <w:r>
        <w:rPr>
          <w:rFonts w:ascii="Book Antiqua" w:eastAsia="Book Antiqua" w:hAnsi="Book Antiqua" w:cs="Book Antiqua"/>
          <w:color w:val="000000"/>
        </w:rPr>
        <w:t xml:space="preserve">efficacy and safety </w:t>
      </w:r>
      <w:r w:rsidR="002B1CED">
        <w:rPr>
          <w:rFonts w:ascii="Book Antiqua" w:eastAsia="Book Antiqua" w:hAnsi="Book Antiqua" w:cs="Book Antiqua"/>
          <w:color w:val="000000"/>
        </w:rPr>
        <w:t xml:space="preserve">of the two TDF agents </w:t>
      </w:r>
      <w:r>
        <w:rPr>
          <w:rFonts w:ascii="Book Antiqua" w:eastAsia="Book Antiqua" w:hAnsi="Book Antiqua" w:cs="Book Antiqua"/>
          <w:color w:val="000000"/>
        </w:rPr>
        <w:t>in the treatment of Chinese CHB patients.</w:t>
      </w:r>
    </w:p>
    <w:p w14:paraId="0A5AEE52" w14:textId="77777777" w:rsidR="00A77B3E" w:rsidRDefault="00A77B3E">
      <w:pPr>
        <w:spacing w:line="360" w:lineRule="auto"/>
        <w:jc w:val="both"/>
      </w:pPr>
    </w:p>
    <w:p w14:paraId="5D757643" w14:textId="77777777" w:rsidR="00A77B3E" w:rsidRDefault="00D772A7">
      <w:pPr>
        <w:spacing w:line="360" w:lineRule="auto"/>
        <w:jc w:val="both"/>
      </w:pPr>
      <w:r>
        <w:rPr>
          <w:rFonts w:ascii="Book Antiqua" w:eastAsia="Book Antiqua" w:hAnsi="Book Antiqua" w:cs="Book Antiqua"/>
          <w:b/>
          <w:i/>
          <w:color w:val="000000"/>
        </w:rPr>
        <w:t>Research methods</w:t>
      </w:r>
    </w:p>
    <w:p w14:paraId="7E46C433" w14:textId="47C36735" w:rsidR="00A77B3E" w:rsidRDefault="00D772A7">
      <w:pPr>
        <w:spacing w:line="360" w:lineRule="auto"/>
        <w:jc w:val="both"/>
      </w:pPr>
      <w:r>
        <w:rPr>
          <w:rFonts w:ascii="Book Antiqua" w:eastAsia="Book Antiqua" w:hAnsi="Book Antiqua" w:cs="Book Antiqua"/>
          <w:color w:val="000000"/>
        </w:rPr>
        <w:t xml:space="preserve">This is a </w:t>
      </w:r>
      <w:r w:rsidR="00F35C39">
        <w:rPr>
          <w:rFonts w:ascii="Book Antiqua" w:eastAsia="Book Antiqua" w:hAnsi="Book Antiqua" w:cs="Book Antiqua"/>
          <w:color w:val="000000"/>
        </w:rPr>
        <w:t>5</w:t>
      </w:r>
      <w:r>
        <w:rPr>
          <w:rFonts w:ascii="Book Antiqua" w:eastAsia="Book Antiqua" w:hAnsi="Book Antiqua" w:cs="Book Antiqua"/>
          <w:color w:val="000000"/>
        </w:rPr>
        <w:t xml:space="preserve">-year-long, multicenter, double-blinded, double-dummy, randomized-controlled, non-inferiority phase III trial, in which 330 Chinese CHB patients were finally included. The decrease in plasma level of </w:t>
      </w:r>
      <w:r w:rsidR="00F35C39" w:rsidRPr="00C46357">
        <w:rPr>
          <w:rFonts w:ascii="Book Antiqua" w:hAnsi="Book Antiqua"/>
        </w:rPr>
        <w:t>hepatitis B virus</w:t>
      </w:r>
      <w:r w:rsidR="00F35C39">
        <w:rPr>
          <w:rFonts w:ascii="Book Antiqua" w:eastAsia="Book Antiqua" w:hAnsi="Book Antiqua" w:cs="Book Antiqua"/>
          <w:color w:val="000000"/>
        </w:rPr>
        <w:t xml:space="preserve"> (HBV)</w:t>
      </w:r>
      <w:r>
        <w:rPr>
          <w:rFonts w:ascii="Book Antiqua" w:eastAsia="Book Antiqua" w:hAnsi="Book Antiqua" w:cs="Book Antiqua"/>
          <w:color w:val="000000"/>
        </w:rPr>
        <w:t xml:space="preserve"> DNA was continuously monitored. In addition, viral suppression, </w:t>
      </w:r>
      <w:r w:rsidR="00F35C39">
        <w:rPr>
          <w:rFonts w:ascii="Book Antiqua" w:eastAsia="Book Antiqua" w:hAnsi="Book Antiqua" w:cs="Book Antiqua"/>
          <w:color w:val="000000"/>
        </w:rPr>
        <w:t>alanine aminotransferase (ALT)</w:t>
      </w:r>
      <w:r>
        <w:rPr>
          <w:rFonts w:ascii="Book Antiqua" w:eastAsia="Book Antiqua" w:hAnsi="Book Antiqua" w:cs="Book Antiqua"/>
          <w:color w:val="000000"/>
        </w:rPr>
        <w:t xml:space="preserve"> levels, </w:t>
      </w:r>
      <w:r w:rsidR="00F35C39" w:rsidRPr="00C46357">
        <w:rPr>
          <w:rFonts w:ascii="Book Antiqua" w:hAnsi="Book Antiqua"/>
        </w:rPr>
        <w:t>hepatitis B e antigen</w:t>
      </w:r>
      <w:r w:rsidR="00F35C39">
        <w:rPr>
          <w:rFonts w:ascii="Book Antiqua" w:eastAsia="Book Antiqua" w:hAnsi="Book Antiqua" w:cs="Book Antiqua"/>
          <w:color w:val="000000"/>
        </w:rPr>
        <w:t xml:space="preserve"> (HBeAg)</w:t>
      </w:r>
      <w:r>
        <w:rPr>
          <w:rFonts w:ascii="Book Antiqua" w:eastAsia="Book Antiqua" w:hAnsi="Book Antiqua" w:cs="Book Antiqua"/>
          <w:color w:val="000000"/>
        </w:rPr>
        <w:t xml:space="preserve"> loss rates, and HBeAg seroconversion rates were also determined.</w:t>
      </w:r>
    </w:p>
    <w:p w14:paraId="7BE1CCE3" w14:textId="77777777" w:rsidR="00A77B3E" w:rsidRDefault="00A77B3E">
      <w:pPr>
        <w:spacing w:line="360" w:lineRule="auto"/>
        <w:jc w:val="both"/>
      </w:pPr>
    </w:p>
    <w:p w14:paraId="207E241E" w14:textId="77777777" w:rsidR="00A77B3E" w:rsidRDefault="00D772A7">
      <w:pPr>
        <w:spacing w:line="360" w:lineRule="auto"/>
        <w:jc w:val="both"/>
      </w:pPr>
      <w:r>
        <w:rPr>
          <w:rFonts w:ascii="Book Antiqua" w:eastAsia="Book Antiqua" w:hAnsi="Book Antiqua" w:cs="Book Antiqua"/>
          <w:b/>
          <w:i/>
          <w:color w:val="000000"/>
        </w:rPr>
        <w:t>Research results</w:t>
      </w:r>
    </w:p>
    <w:p w14:paraId="79174A28" w14:textId="29AE494A" w:rsidR="00A77B3E" w:rsidRDefault="00D772A7">
      <w:pPr>
        <w:spacing w:line="360" w:lineRule="auto"/>
        <w:jc w:val="both"/>
      </w:pPr>
      <w:r>
        <w:rPr>
          <w:rFonts w:ascii="Book Antiqua" w:eastAsia="Book Antiqua" w:hAnsi="Book Antiqua" w:cs="Book Antiqua"/>
          <w:color w:val="000000"/>
        </w:rPr>
        <w:t>Among the 330 CHB patients involved in this trial, there were 232 HBeAg(+) CHB participants. For these participants, the decrease in mean HBV DNA level relative to the baseline value was comparable between Groups A and B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 In addition, similar percentages of participants in the two groups exhibited undetectable levels of HBV DNA, HBeAg loss, and HBeAg seroconversion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w:t>
      </w:r>
      <w:r w:rsidR="00F35C39">
        <w:rPr>
          <w:rFonts w:ascii="Book Antiqua" w:eastAsia="Book Antiqua" w:hAnsi="Book Antiqua" w:cs="Book Antiqua"/>
          <w:color w:val="000000"/>
        </w:rPr>
        <w:t xml:space="preserve"> </w:t>
      </w:r>
      <w:r>
        <w:rPr>
          <w:rFonts w:ascii="Book Antiqua" w:eastAsia="Book Antiqua" w:hAnsi="Book Antiqua" w:cs="Book Antiqua"/>
          <w:color w:val="000000"/>
        </w:rPr>
        <w:t>Similar results were observed for the remaining 98 HBeAg(-) CHB participants: Similar degrees of reduction in mean HBV DNA level relative to the baseline and similar percentages of participants who had undetectable levels of HBV DNA were observed between the two groups at the 96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week.</w:t>
      </w:r>
      <w:r w:rsidR="00F35C39">
        <w:rPr>
          <w:rFonts w:ascii="Book Antiqua" w:eastAsia="Book Antiqua" w:hAnsi="Book Antiqua" w:cs="Book Antiqua"/>
          <w:color w:val="000000"/>
        </w:rPr>
        <w:t xml:space="preserve"> </w:t>
      </w:r>
      <w:r>
        <w:rPr>
          <w:rFonts w:ascii="Book Antiqua" w:eastAsia="Book Antiqua" w:hAnsi="Book Antiqua" w:cs="Book Antiqua"/>
          <w:color w:val="000000"/>
        </w:rPr>
        <w:t xml:space="preserve">Finally, the two groups of participants [participants with both HBeAg(+) and HBeAg(-) CHB] presented with similar rates of ALT normalization and similar incidences of </w:t>
      </w:r>
      <w:r w:rsidR="00F35C39">
        <w:rPr>
          <w:rFonts w:ascii="Book Antiqua" w:eastAsia="Book Antiqua" w:hAnsi="Book Antiqua" w:cs="Book Antiqua"/>
          <w:color w:val="000000"/>
        </w:rPr>
        <w:t>adverse events</w:t>
      </w:r>
      <w:r>
        <w:rPr>
          <w:rFonts w:ascii="Book Antiqua" w:eastAsia="Book Antiqua" w:hAnsi="Book Antiqua" w:cs="Book Antiqua"/>
          <w:color w:val="000000"/>
        </w:rPr>
        <w:t>.</w:t>
      </w:r>
    </w:p>
    <w:p w14:paraId="0D84CA8F" w14:textId="77777777" w:rsidR="00A77B3E" w:rsidRDefault="00A77B3E">
      <w:pPr>
        <w:spacing w:line="360" w:lineRule="auto"/>
        <w:jc w:val="both"/>
      </w:pPr>
    </w:p>
    <w:p w14:paraId="3A5B8453" w14:textId="77777777" w:rsidR="00A77B3E" w:rsidRDefault="00D772A7">
      <w:pPr>
        <w:spacing w:line="360" w:lineRule="auto"/>
        <w:jc w:val="both"/>
      </w:pPr>
      <w:r>
        <w:rPr>
          <w:rFonts w:ascii="Book Antiqua" w:eastAsia="Book Antiqua" w:hAnsi="Book Antiqua" w:cs="Book Antiqua"/>
          <w:b/>
          <w:i/>
          <w:color w:val="000000"/>
        </w:rPr>
        <w:t>Research conclusions</w:t>
      </w:r>
    </w:p>
    <w:p w14:paraId="63F03CB7" w14:textId="510C70A5" w:rsidR="00A77B3E" w:rsidRDefault="00D772A7">
      <w:pPr>
        <w:spacing w:line="360" w:lineRule="auto"/>
        <w:jc w:val="both"/>
      </w:pPr>
      <w:r>
        <w:rPr>
          <w:rFonts w:ascii="Book Antiqua" w:eastAsia="Book Antiqua" w:hAnsi="Book Antiqua" w:cs="Book Antiqua"/>
          <w:color w:val="000000"/>
        </w:rPr>
        <w:t>This 96-wk-long phase III trial demonstrated the effectiveness and safety of utilizing Qingzhong in the treatment of Chinese patients with HBeAg (+) and HBeAg (-) CHB—the TDF drug showed comparable efficacy and safety with Viread. Hence, with its lower cost, Qingzhong may become a better choice for Chinese CHB patients who need long-term treatment with TDF drugs in the future.</w:t>
      </w:r>
    </w:p>
    <w:p w14:paraId="12562D26" w14:textId="77777777" w:rsidR="00A77B3E" w:rsidRDefault="00A77B3E">
      <w:pPr>
        <w:spacing w:line="360" w:lineRule="auto"/>
        <w:jc w:val="both"/>
      </w:pPr>
    </w:p>
    <w:p w14:paraId="0F0EB72A" w14:textId="77777777" w:rsidR="00A77B3E" w:rsidRDefault="00D772A7">
      <w:pPr>
        <w:spacing w:line="360" w:lineRule="auto"/>
        <w:jc w:val="both"/>
      </w:pPr>
      <w:r>
        <w:rPr>
          <w:rFonts w:ascii="Book Antiqua" w:eastAsia="Book Antiqua" w:hAnsi="Book Antiqua" w:cs="Book Antiqua"/>
          <w:b/>
          <w:i/>
          <w:color w:val="000000"/>
        </w:rPr>
        <w:t>Research perspectives</w:t>
      </w:r>
    </w:p>
    <w:p w14:paraId="42958E1D" w14:textId="24F84672" w:rsidR="00A77B3E" w:rsidRDefault="00D772A7">
      <w:pPr>
        <w:spacing w:line="360" w:lineRule="auto"/>
        <w:jc w:val="both"/>
      </w:pPr>
      <w:r>
        <w:rPr>
          <w:rFonts w:ascii="Book Antiqua" w:eastAsia="Book Antiqua" w:hAnsi="Book Antiqua" w:cs="Book Antiqua"/>
          <w:color w:val="000000"/>
        </w:rPr>
        <w:t xml:space="preserve">Since this study only </w:t>
      </w:r>
      <w:r w:rsidR="002B1CED">
        <w:rPr>
          <w:rFonts w:ascii="Book Antiqua" w:eastAsia="Book Antiqua" w:hAnsi="Book Antiqua" w:cs="Book Antiqua"/>
          <w:color w:val="000000"/>
        </w:rPr>
        <w:t xml:space="preserve">elaborated </w:t>
      </w:r>
      <w:r>
        <w:rPr>
          <w:rFonts w:ascii="Book Antiqua" w:eastAsia="Book Antiqua" w:hAnsi="Book Antiqua" w:cs="Book Antiqua"/>
          <w:color w:val="000000"/>
        </w:rPr>
        <w:t>the performance of Qingzhong during a 96-wk period, the longer-term safety and efficacy of the TDF drug remain unsure. Therefore, the longer-term performance of Qingzhong in the treatment of CHB patients warrants further attention.</w:t>
      </w:r>
    </w:p>
    <w:p w14:paraId="7E79CFCA" w14:textId="77777777" w:rsidR="00A77B3E" w:rsidRDefault="00A77B3E">
      <w:pPr>
        <w:spacing w:line="360" w:lineRule="auto"/>
        <w:jc w:val="both"/>
      </w:pPr>
    </w:p>
    <w:p w14:paraId="22256FBF" w14:textId="77777777" w:rsidR="00A77B3E" w:rsidRDefault="00D772A7">
      <w:pPr>
        <w:spacing w:line="360" w:lineRule="auto"/>
        <w:jc w:val="both"/>
      </w:pPr>
      <w:r>
        <w:rPr>
          <w:rFonts w:ascii="Book Antiqua" w:eastAsia="Book Antiqua" w:hAnsi="Book Antiqua" w:cs="Book Antiqua"/>
          <w:b/>
          <w:caps/>
          <w:color w:val="000000"/>
          <w:u w:val="single"/>
        </w:rPr>
        <w:t>ACKNOWLEDGEMENTS</w:t>
      </w:r>
    </w:p>
    <w:p w14:paraId="113CB381" w14:textId="0CF6D9F9" w:rsidR="00A77B3E" w:rsidRDefault="00D772A7">
      <w:pPr>
        <w:spacing w:line="360" w:lineRule="auto"/>
        <w:jc w:val="both"/>
      </w:pPr>
      <w:r>
        <w:rPr>
          <w:rFonts w:ascii="Book Antiqua" w:eastAsia="Book Antiqua" w:hAnsi="Book Antiqua" w:cs="Book Antiqua"/>
          <w:color w:val="000000"/>
        </w:rPr>
        <w:t xml:space="preserve">The authors thank Dr. Yu </w:t>
      </w:r>
      <w:r w:rsidR="00F35C39">
        <w:rPr>
          <w:rFonts w:ascii="Book Antiqua" w:eastAsia="Book Antiqua" w:hAnsi="Book Antiqua" w:cs="Book Antiqua"/>
          <w:color w:val="000000"/>
        </w:rPr>
        <w:t xml:space="preserve">M </w:t>
      </w:r>
      <w:r>
        <w:rPr>
          <w:rFonts w:ascii="Book Antiqua" w:eastAsia="Book Antiqua" w:hAnsi="Book Antiqua" w:cs="Book Antiqua"/>
          <w:color w:val="000000"/>
        </w:rPr>
        <w:t xml:space="preserve">and Miss Liu </w:t>
      </w:r>
      <w:r w:rsidR="00F35C39">
        <w:rPr>
          <w:rFonts w:ascii="Book Antiqua" w:eastAsia="Book Antiqua" w:hAnsi="Book Antiqua" w:cs="Book Antiqua"/>
          <w:color w:val="000000"/>
        </w:rPr>
        <w:t xml:space="preserve">D </w:t>
      </w:r>
      <w:r>
        <w:rPr>
          <w:rFonts w:ascii="Book Antiqua" w:eastAsia="Book Antiqua" w:hAnsi="Book Antiqua" w:cs="Book Antiqua"/>
          <w:color w:val="000000"/>
        </w:rPr>
        <w:t xml:space="preserve">for their assistance in testing </w:t>
      </w:r>
      <w:r w:rsidR="00F35C39" w:rsidRPr="00C46357">
        <w:rPr>
          <w:rFonts w:ascii="Book Antiqua" w:hAnsi="Book Antiqua"/>
        </w:rPr>
        <w:t>hepatitis B virus</w:t>
      </w:r>
      <w:r>
        <w:rPr>
          <w:rFonts w:ascii="Book Antiqua" w:eastAsia="Book Antiqua" w:hAnsi="Book Antiqua" w:cs="Book Antiqua"/>
          <w:color w:val="000000"/>
        </w:rPr>
        <w:t xml:space="preserve"> markers.</w:t>
      </w:r>
    </w:p>
    <w:p w14:paraId="60BF096B" w14:textId="77777777" w:rsidR="00A77B3E" w:rsidRDefault="00A77B3E">
      <w:pPr>
        <w:spacing w:line="360" w:lineRule="auto"/>
        <w:jc w:val="both"/>
      </w:pPr>
    </w:p>
    <w:p w14:paraId="1BD9387F" w14:textId="77777777" w:rsidR="00A77B3E" w:rsidRDefault="00D772A7">
      <w:pPr>
        <w:spacing w:line="360" w:lineRule="auto"/>
        <w:jc w:val="both"/>
      </w:pPr>
      <w:r>
        <w:rPr>
          <w:rFonts w:ascii="Book Antiqua" w:eastAsia="Book Antiqua" w:hAnsi="Book Antiqua" w:cs="Book Antiqua"/>
          <w:b/>
          <w:color w:val="000000"/>
        </w:rPr>
        <w:t>REFERENCES</w:t>
      </w:r>
    </w:p>
    <w:p w14:paraId="775925D1" w14:textId="77777777" w:rsidR="00A77B3E" w:rsidRDefault="00D772A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Schweitzer A</w:t>
      </w:r>
      <w:r>
        <w:rPr>
          <w:rFonts w:ascii="Book Antiqua" w:eastAsia="Book Antiqua" w:hAnsi="Book Antiqua" w:cs="Book Antiqua"/>
          <w:color w:val="000000"/>
        </w:rPr>
        <w:t xml:space="preserve">, Horn J, Mikolajczyk RT, Krause G, Ott JJ. Estimations of worldwide prevalence of chronic hepatitis B virus infection: a systematic review of data published between 1965 and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1546-1555 [PMID: 26231459 DOI: 10.1016/S0140-6736(15)61412-X]</w:t>
      </w:r>
    </w:p>
    <w:p w14:paraId="320CC048" w14:textId="77777777" w:rsidR="00A77B3E" w:rsidRDefault="00D772A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Tsai NC</w:t>
      </w:r>
      <w:r>
        <w:rPr>
          <w:rFonts w:ascii="Book Antiqua" w:eastAsia="Book Antiqua" w:hAnsi="Book Antiqua" w:cs="Book Antiqua"/>
          <w:color w:val="000000"/>
        </w:rPr>
        <w:t xml:space="preserve">, Marcellin P, Buti M, Washington MK, Lee SS, Chan S, Trinh H, Flaherty JF, Kitrinos KM, Dinh P, Charuworn P, Subramanian GM, Gane E. Viral suppression and cirrhosis regression with tenofovir disoproxil fumarate in Asians with chronic hepatitis B.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260-268 [PMID: 25179493 DOI: 10.1007/s10620-014-3336-7]</w:t>
      </w:r>
    </w:p>
    <w:p w14:paraId="2E395FA7" w14:textId="77777777" w:rsidR="00A77B3E" w:rsidRDefault="00D772A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Liaw YF</w:t>
      </w:r>
      <w:r>
        <w:rPr>
          <w:rFonts w:ascii="Book Antiqua" w:eastAsia="Book Antiqua" w:hAnsi="Book Antiqua" w:cs="Book Antiqua"/>
          <w:color w:val="000000"/>
        </w:rPr>
        <w:t xml:space="preserve">. HBeAg seroconversion as an important end point in the treatment of chronic hepatitis B.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425-433 [PMID: 19669245 DOI: 10.1007/s12072-009-9140-3]</w:t>
      </w:r>
    </w:p>
    <w:p w14:paraId="6A1746CF" w14:textId="77777777" w:rsidR="00A77B3E" w:rsidRDefault="00D772A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FS</w:t>
      </w:r>
      <w:r>
        <w:rPr>
          <w:rFonts w:ascii="Book Antiqua" w:eastAsia="Book Antiqua" w:hAnsi="Book Antiqua" w:cs="Book Antiqua"/>
          <w:color w:val="000000"/>
        </w:rPr>
        <w:t xml:space="preserve">, Fan JG, Zhang Z, Gao B, Wang HY. The global burden of liver disease: the major impact of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2099-2108 [PMID: 25164003 DOI: 10.1002/hep.27406]</w:t>
      </w:r>
    </w:p>
    <w:p w14:paraId="1A04556F" w14:textId="77777777" w:rsidR="00A77B3E" w:rsidRDefault="00D772A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Sundaram V</w:t>
      </w:r>
      <w:r>
        <w:rPr>
          <w:rFonts w:ascii="Book Antiqua" w:eastAsia="Book Antiqua" w:hAnsi="Book Antiqua" w:cs="Book Antiqua"/>
          <w:color w:val="000000"/>
        </w:rPr>
        <w:t xml:space="preserve">, Kowdley K. Management of chronic hepatitis B infection.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351</w:t>
      </w:r>
      <w:r>
        <w:rPr>
          <w:rFonts w:ascii="Book Antiqua" w:eastAsia="Book Antiqua" w:hAnsi="Book Antiqua" w:cs="Book Antiqua"/>
          <w:color w:val="000000"/>
        </w:rPr>
        <w:t>: h4263 [PMID: 26491030 DOI: 10.1136/bmj.h4263]</w:t>
      </w:r>
    </w:p>
    <w:p w14:paraId="334E3BD2" w14:textId="77777777" w:rsidR="00A77B3E" w:rsidRDefault="00D772A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Yu SJ</w:t>
      </w:r>
      <w:r>
        <w:rPr>
          <w:rFonts w:ascii="Book Antiqua" w:eastAsia="Book Antiqua" w:hAnsi="Book Antiqua" w:cs="Book Antiqua"/>
          <w:color w:val="000000"/>
        </w:rPr>
        <w:t xml:space="preserve">, Kim YJ. Hepatitis B viral load affects prognosis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12039-12044 [PMID: 25232241 DOI: 10.3748/wjg.v20.i34.12039]</w:t>
      </w:r>
    </w:p>
    <w:p w14:paraId="5B59BF7A" w14:textId="7514DC9A" w:rsidR="00A77B3E" w:rsidRDefault="00D772A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1D13A382" w14:textId="77777777" w:rsidR="00A77B3E" w:rsidRDefault="00D772A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Bzowej NH, Chang KM, Hwang JP, Jonas MM, Murad MH; American Association for the Study of Liver Diseases. AASLD guidelines for treatment of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261-283 [PMID: 26566064 DOI: 10.1002/hep.28156]</w:t>
      </w:r>
    </w:p>
    <w:p w14:paraId="15747331" w14:textId="77777777" w:rsidR="00A77B3E" w:rsidRDefault="00D772A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2F73E4C9" w14:textId="78DC5BFA" w:rsidR="00A77B3E" w:rsidRDefault="00D772A7">
      <w:pPr>
        <w:spacing w:line="360" w:lineRule="auto"/>
        <w:jc w:val="both"/>
      </w:pPr>
      <w:r>
        <w:rPr>
          <w:rFonts w:ascii="Book Antiqua" w:eastAsia="Book Antiqua" w:hAnsi="Book Antiqua" w:cs="Book Antiqua"/>
          <w:color w:val="000000"/>
        </w:rPr>
        <w:t>10</w:t>
      </w:r>
      <w:r w:rsidR="00E47D5B">
        <w:rPr>
          <w:rFonts w:ascii="Book Antiqua" w:hAnsi="Book Antiqua" w:cs="Book Antiqua" w:hint="eastAsia"/>
          <w:color w:val="000000"/>
          <w:lang w:eastAsia="zh-CN"/>
        </w:rPr>
        <w:t xml:space="preserve"> </w:t>
      </w:r>
      <w:r>
        <w:rPr>
          <w:rFonts w:ascii="Book Antiqua" w:eastAsia="Book Antiqua" w:hAnsi="Book Antiqua" w:cs="Book Antiqua"/>
          <w:b/>
          <w:bCs/>
          <w:color w:val="000000"/>
        </w:rPr>
        <w:t>Chinese Society of Infectious Diseases</w:t>
      </w:r>
      <w:r w:rsidR="00052823" w:rsidRPr="000E5711">
        <w:rPr>
          <w:rFonts w:ascii="Book Antiqua" w:hAnsi="Book Antiqua" w:cs="Book Antiqua" w:hint="eastAsia"/>
          <w:bCs/>
          <w:color w:val="000000"/>
          <w:lang w:eastAsia="zh-CN"/>
        </w:rPr>
        <w:t>,</w:t>
      </w:r>
      <w:r w:rsidRPr="00052823">
        <w:rPr>
          <w:rFonts w:ascii="Book Antiqua" w:eastAsia="Book Antiqua" w:hAnsi="Book Antiqua" w:cs="Book Antiqua"/>
          <w:bCs/>
          <w:color w:val="000000"/>
        </w:rPr>
        <w:t xml:space="preserve"> Chinese Medical Association</w:t>
      </w:r>
      <w:r w:rsidR="00052823">
        <w:rPr>
          <w:rFonts w:ascii="Book Antiqua" w:hAnsi="Book Antiqua" w:cs="Book Antiqua" w:hint="eastAsia"/>
          <w:color w:val="000000"/>
          <w:lang w:eastAsia="zh-CN"/>
        </w:rPr>
        <w:t>,</w:t>
      </w:r>
      <w:r>
        <w:rPr>
          <w:rFonts w:ascii="Book Antiqua" w:eastAsia="Book Antiqua" w:hAnsi="Book Antiqua" w:cs="Book Antiqua"/>
          <w:color w:val="000000"/>
        </w:rPr>
        <w:t xml:space="preserve"> Chinese Society of Hepatology, Chinese Medical Association. [The guidelines of prevention and treatment for chronic hepatitis B (2019 version)]. </w:t>
      </w:r>
      <w:r>
        <w:rPr>
          <w:rFonts w:ascii="Book Antiqua" w:eastAsia="Book Antiqua" w:hAnsi="Book Antiqua" w:cs="Book Antiqua"/>
          <w:i/>
          <w:iCs/>
          <w:color w:val="000000"/>
        </w:rPr>
        <w:t>Zhonghua Gan</w:t>
      </w:r>
      <w:r w:rsidR="00F35C39">
        <w:rPr>
          <w:rFonts w:ascii="Book Antiqua" w:eastAsia="Book Antiqua" w:hAnsi="Book Antiqua" w:cs="Book Antiqua"/>
          <w:i/>
          <w:iCs/>
          <w:color w:val="000000"/>
        </w:rPr>
        <w:t>z</w:t>
      </w:r>
      <w:r>
        <w:rPr>
          <w:rFonts w:ascii="Book Antiqua" w:eastAsia="Book Antiqua" w:hAnsi="Book Antiqua" w:cs="Book Antiqua"/>
          <w:i/>
          <w:iCs/>
          <w:color w:val="000000"/>
        </w:rPr>
        <w:t>ang Bing Za</w:t>
      </w:r>
      <w:r w:rsidR="00F35C39">
        <w:rPr>
          <w:rFonts w:ascii="Book Antiqua" w:eastAsia="Book Antiqua" w:hAnsi="Book Antiqua" w:cs="Book Antiqua"/>
          <w:i/>
          <w:iCs/>
          <w:color w:val="000000"/>
        </w:rPr>
        <w:t>z</w:t>
      </w:r>
      <w:r>
        <w:rPr>
          <w:rFonts w:ascii="Book Antiqua" w:eastAsia="Book Antiqua" w:hAnsi="Book Antiqua" w:cs="Book Antiqua"/>
          <w:i/>
          <w:iCs/>
          <w:color w:val="000000"/>
        </w:rPr>
        <w:t>hi</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938-961 [PMID: 31941257 DOI: 10.3760/cma.j.issn.1007-3418.2019.12.007]</w:t>
      </w:r>
    </w:p>
    <w:p w14:paraId="0C1CBF86" w14:textId="77777777" w:rsidR="00A77B3E" w:rsidRDefault="00D772A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Heathcote EJ, Buti M, Gane E, de Man RA, Krastev Z, Germanidis G, Lee SS, Flisiak R, Kaita K, Manns M, Kotzev I, Tchernev K, Buggisch P, Weilert F, Kurdas OO, Shiffman ML, Trinh H, Washington MK, Sorbel J, Anderson J, Snow-Lampart A, Mondou E, Quinn J, Rousseau F. Tenofovir disoproxil fumarate </w:t>
      </w:r>
      <w:r>
        <w:rPr>
          <w:rFonts w:ascii="Book Antiqua" w:eastAsia="Book Antiqua" w:hAnsi="Book Antiqua" w:cs="Book Antiqua"/>
          <w:i/>
          <w:iCs/>
          <w:color w:val="000000"/>
        </w:rPr>
        <w:t>vs</w:t>
      </w:r>
      <w:r>
        <w:rPr>
          <w:rFonts w:ascii="Book Antiqua" w:eastAsia="Book Antiqua" w:hAnsi="Book Antiqua" w:cs="Book Antiqua"/>
          <w:color w:val="000000"/>
        </w:rPr>
        <w:t xml:space="preserve"> adefovir dipivoxil for chronic hepatitis B.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2442-2455 [PMID: 19052126 DOI: 10.1056/NEJMoa0802878]</w:t>
      </w:r>
    </w:p>
    <w:p w14:paraId="45EC3C9D" w14:textId="77777777" w:rsidR="00A77B3E" w:rsidRDefault="00D772A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Heathcote EJ</w:t>
      </w:r>
      <w:r>
        <w:rPr>
          <w:rFonts w:ascii="Book Antiqua" w:eastAsia="Book Antiqua" w:hAnsi="Book Antiqua" w:cs="Book Antiqua"/>
          <w:color w:val="000000"/>
        </w:rPr>
        <w:t xml:space="preserve">, Marcellin P, Buti M, Gane E, De Man RA, Krastev Z, Germanidis G, Lee SS, Flisiak R, Kaita K, Manns M, Kotzev I, Tchernev K, Buggisch P, Weilert F, Kurdas OO, Shiffman ML, Trinh H, Gurel S, Snow-Lampart A, Borroto-Esoda K, Mondou E, Anderson J, Sorbel J, Rousseau F. Three-year efficacy and safety of tenofovir disoproxil fumarate treatment for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132-143 [PMID: 20955704 DOI: 10.1053/j.gastro.2010.10.011]</w:t>
      </w:r>
    </w:p>
    <w:p w14:paraId="12DE3113" w14:textId="77777777" w:rsidR="00A77B3E" w:rsidRDefault="00D772A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Pan CQ</w:t>
      </w:r>
      <w:r>
        <w:rPr>
          <w:rFonts w:ascii="Book Antiqua" w:eastAsia="Book Antiqua" w:hAnsi="Book Antiqua" w:cs="Book Antiqua"/>
          <w:color w:val="000000"/>
        </w:rPr>
        <w:t xml:space="preserve">, Trinh H, Yao A, Bae H, Lou L, Chan S; Study 123 Group. Efficacy and safety of tenofovir disoproxil fumarate in Asian-Americans with chronic hepatitis B in community settings.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e89789 [PMID: 24594870 DOI: 10.1371/journal.pone.0089789]</w:t>
      </w:r>
    </w:p>
    <w:p w14:paraId="710D57CD" w14:textId="77777777" w:rsidR="00A77B3E" w:rsidRDefault="00D772A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Buti M</w:t>
      </w:r>
      <w:r>
        <w:rPr>
          <w:rFonts w:ascii="Book Antiqua" w:eastAsia="Book Antiqua" w:hAnsi="Book Antiqua" w:cs="Book Antiqua"/>
          <w:color w:val="000000"/>
        </w:rPr>
        <w:t xml:space="preserve">, Tsai N, Petersen J, Flisiak R, Gurel S, Krastev Z, Aguilar Schall R, Flaherty JF, Martins EB, Charuworn P, Kitrinos KM, Subramanian GM, Gane E, Marcellin P. Seven-year efficacy and safety of treatment with tenofovir disoproxil fumarate for chronic hepatitis B virus infection.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1457-1464 [PMID: 25532501 DOI: 10.1007/s10620-014-3486-7]</w:t>
      </w:r>
    </w:p>
    <w:p w14:paraId="27EE52A1" w14:textId="77777777" w:rsidR="00A77B3E" w:rsidRDefault="00D772A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Zoulim F, Hézode C, Causse X, Roche B, Truchi R, Pauwels A, Ouzan D, Dumortier J, Pageaux GP, Bourlière M, Riachi G, Zarski JP, Cadranel JF, Tilliet V, Stern C, Pétour P, Libert O, Consoli SM, Larrey D. Effectiveness and Safety of Tenofovir Disoproxil Fumarate in Chronic Hepatitis B: A 3-Year, Prospective, Real-World Study in France.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3072-3083 [PMID: 26821154 DOI: 10.1007/s10620-015-4027-8]</w:t>
      </w:r>
    </w:p>
    <w:p w14:paraId="7CE4A767" w14:textId="77777777" w:rsidR="00A77B3E" w:rsidRDefault="00D772A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Liang RY</w:t>
      </w:r>
      <w:r>
        <w:rPr>
          <w:rFonts w:ascii="Book Antiqua" w:eastAsia="Book Antiqua" w:hAnsi="Book Antiqua" w:cs="Book Antiqua"/>
          <w:color w:val="000000"/>
        </w:rPr>
        <w:t xml:space="preserve">, Xu JH, Si CW, Wang S, Shang J, Yu ZJ, Mao Q, Xie Q, Zhao W, Li J, Gao ZL, Wu SM, Tang H, Cheng J, Chen XY, Zhang WH, Wang H, Xu ZN, Wang L, Dai J, Yu YY. A randomized, double-blind, double-dummy, controlled, multicenter study of Qingzhong (tenofovir disoproxil fumarate) </w:t>
      </w:r>
      <w:r>
        <w:rPr>
          <w:rFonts w:ascii="Book Antiqua" w:eastAsia="Book Antiqua" w:hAnsi="Book Antiqua" w:cs="Book Antiqua"/>
          <w:i/>
          <w:iCs/>
          <w:color w:val="000000"/>
        </w:rPr>
        <w:t>vs</w:t>
      </w:r>
      <w:r>
        <w:rPr>
          <w:rFonts w:ascii="Book Antiqua" w:eastAsia="Book Antiqua" w:hAnsi="Book Antiqua" w:cs="Book Antiqua"/>
          <w:color w:val="000000"/>
        </w:rPr>
        <w:t xml:space="preserve"> Viread for the treatment of chronic hepatitis B: First-stage results at week 48.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e16778 [PMID: 31415381 DOI: 10.1097/MD.0000000000016778]</w:t>
      </w:r>
    </w:p>
    <w:p w14:paraId="6AF70E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E50D08" w14:textId="77777777" w:rsidR="00A77B3E" w:rsidRDefault="00D772A7">
      <w:pPr>
        <w:spacing w:line="360" w:lineRule="auto"/>
        <w:jc w:val="both"/>
      </w:pPr>
      <w:r>
        <w:rPr>
          <w:rFonts w:ascii="Book Antiqua" w:eastAsia="Book Antiqua" w:hAnsi="Book Antiqua" w:cs="Book Antiqua"/>
          <w:b/>
          <w:color w:val="000000"/>
        </w:rPr>
        <w:t>Footnotes</w:t>
      </w:r>
    </w:p>
    <w:p w14:paraId="4831C30C" w14:textId="487E1626" w:rsidR="00A77B3E" w:rsidRDefault="00D772A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Ethics Committees of the 14 study sites, including Peking University First Hospital, China, and all procedures performed in this study were in accordance with the ethical standards of the institutional research committee and with the 1964 Helsinki Declaration and its later amendments (</w:t>
      </w:r>
      <w:r w:rsidR="00F35C39">
        <w:rPr>
          <w:rFonts w:ascii="Book Antiqua" w:eastAsia="Book Antiqua" w:hAnsi="Book Antiqua" w:cs="Book Antiqua"/>
          <w:color w:val="000000"/>
        </w:rPr>
        <w:t>a</w:t>
      </w:r>
      <w:r>
        <w:rPr>
          <w:rFonts w:ascii="Book Antiqua" w:eastAsia="Book Antiqua" w:hAnsi="Book Antiqua" w:cs="Book Antiqua"/>
          <w:color w:val="000000"/>
        </w:rPr>
        <w:t>pproval No. 2013L01048).</w:t>
      </w:r>
    </w:p>
    <w:p w14:paraId="381486B7" w14:textId="77777777" w:rsidR="00A77B3E" w:rsidRDefault="00A77B3E">
      <w:pPr>
        <w:spacing w:line="360" w:lineRule="auto"/>
        <w:jc w:val="both"/>
      </w:pPr>
    </w:p>
    <w:p w14:paraId="0680EEC7" w14:textId="268AD3D9" w:rsidR="00A77B3E" w:rsidRDefault="00D772A7">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w:t>
      </w:r>
      <w:r w:rsidR="00F35C39">
        <w:rPr>
          <w:rFonts w:ascii="Book Antiqua" w:eastAsia="Book Antiqua" w:hAnsi="Book Antiqua" w:cs="Book Antiqua"/>
          <w:color w:val="000000"/>
        </w:rPr>
        <w:t xml:space="preserve"> </w:t>
      </w:r>
      <w:r>
        <w:rPr>
          <w:rFonts w:ascii="Book Antiqua" w:eastAsia="Book Antiqua" w:hAnsi="Book Antiqua" w:cs="Book Antiqua"/>
          <w:color w:val="000000"/>
        </w:rPr>
        <w:t>ClinicalTrials.gov. The registration identification number is</w:t>
      </w:r>
      <w:r w:rsidR="00F35C39">
        <w:rPr>
          <w:rFonts w:ascii="Book Antiqua" w:eastAsia="Book Antiqua" w:hAnsi="Book Antiqua" w:cs="Book Antiqua"/>
          <w:color w:val="000000"/>
        </w:rPr>
        <w:t xml:space="preserve"> </w:t>
      </w:r>
      <w:r>
        <w:rPr>
          <w:rFonts w:ascii="Book Antiqua" w:eastAsia="Book Antiqua" w:hAnsi="Book Antiqua" w:cs="Book Antiqua"/>
          <w:color w:val="000000"/>
        </w:rPr>
        <w:t>NCT02287857.</w:t>
      </w:r>
    </w:p>
    <w:p w14:paraId="1B550909" w14:textId="77777777" w:rsidR="00A77B3E" w:rsidRDefault="00A77B3E">
      <w:pPr>
        <w:spacing w:line="360" w:lineRule="auto"/>
        <w:jc w:val="both"/>
      </w:pPr>
    </w:p>
    <w:p w14:paraId="28484F59" w14:textId="77777777" w:rsidR="00A77B3E" w:rsidRDefault="00D772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918E232" w14:textId="77777777" w:rsidR="00A77B3E" w:rsidRDefault="00A77B3E">
      <w:pPr>
        <w:spacing w:line="360" w:lineRule="auto"/>
        <w:jc w:val="both"/>
      </w:pPr>
    </w:p>
    <w:p w14:paraId="4AAA8256" w14:textId="39937AF7" w:rsidR="00A77B3E" w:rsidRDefault="00D772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Nothing to declare.</w:t>
      </w:r>
    </w:p>
    <w:p w14:paraId="0A5705EC" w14:textId="77777777" w:rsidR="00A77B3E" w:rsidRDefault="00A77B3E">
      <w:pPr>
        <w:spacing w:line="360" w:lineRule="auto"/>
        <w:jc w:val="both"/>
      </w:pPr>
    </w:p>
    <w:p w14:paraId="478AD8B2" w14:textId="7F694004" w:rsidR="00A77B3E" w:rsidRDefault="00D772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sets are available from the corresponding author (</w:t>
      </w:r>
      <w:r w:rsidRPr="00026D6E">
        <w:rPr>
          <w:rFonts w:ascii="Book Antiqua" w:eastAsia="Book Antiqua" w:hAnsi="Book Antiqua" w:cs="Book Antiqua"/>
          <w:color w:val="000000"/>
          <w:u w:color="0000EE"/>
        </w:rPr>
        <w:t>yyy@bjmu.edu.cn</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presented data are anonymized, and the risk of identification is low. No additional data are available.</w:t>
      </w:r>
    </w:p>
    <w:p w14:paraId="34A7F3B7" w14:textId="77777777" w:rsidR="00A77B3E" w:rsidRDefault="00A77B3E">
      <w:pPr>
        <w:spacing w:line="360" w:lineRule="auto"/>
        <w:jc w:val="both"/>
      </w:pPr>
    </w:p>
    <w:p w14:paraId="2A3D7F29" w14:textId="77777777" w:rsidR="00A77B3E" w:rsidRDefault="00D772A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14440CE8" w14:textId="77777777" w:rsidR="00A77B3E" w:rsidRDefault="00A77B3E">
      <w:pPr>
        <w:spacing w:line="360" w:lineRule="auto"/>
        <w:jc w:val="both"/>
      </w:pPr>
    </w:p>
    <w:p w14:paraId="11AFDEED" w14:textId="77777777" w:rsidR="00A77B3E" w:rsidRDefault="00D772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07D7E2" w14:textId="77777777" w:rsidR="00A77B3E" w:rsidRDefault="00A77B3E">
      <w:pPr>
        <w:spacing w:line="360" w:lineRule="auto"/>
        <w:jc w:val="both"/>
      </w:pPr>
    </w:p>
    <w:p w14:paraId="7EF1ABE6" w14:textId="2451F75B" w:rsidR="00A77B3E" w:rsidRDefault="00D772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26D6E">
        <w:rPr>
          <w:rFonts w:ascii="Book Antiqua" w:eastAsia="Book Antiqua" w:hAnsi="Book Antiqua" w:cs="Book Antiqua"/>
          <w:color w:val="000000"/>
        </w:rPr>
        <w:t>ma</w:t>
      </w:r>
      <w:r>
        <w:rPr>
          <w:rFonts w:ascii="Book Antiqua" w:eastAsia="Book Antiqua" w:hAnsi="Book Antiqua" w:cs="Book Antiqua"/>
          <w:color w:val="000000"/>
        </w:rPr>
        <w:t>nuscript</w:t>
      </w:r>
    </w:p>
    <w:p w14:paraId="185C9C9B" w14:textId="77777777" w:rsidR="00A77B3E" w:rsidRDefault="00A77B3E">
      <w:pPr>
        <w:spacing w:line="360" w:lineRule="auto"/>
        <w:jc w:val="both"/>
      </w:pPr>
    </w:p>
    <w:p w14:paraId="33F09823" w14:textId="77777777" w:rsidR="00A77B3E" w:rsidRDefault="00D772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2020</w:t>
      </w:r>
    </w:p>
    <w:p w14:paraId="3009488A" w14:textId="77777777" w:rsidR="00A77B3E" w:rsidRDefault="00D772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6F309718" w14:textId="221DE054" w:rsidR="00A77B3E" w:rsidRDefault="00D772A7">
      <w:pPr>
        <w:spacing w:line="360" w:lineRule="auto"/>
        <w:jc w:val="both"/>
      </w:pPr>
      <w:r>
        <w:rPr>
          <w:rFonts w:ascii="Book Antiqua" w:eastAsia="Book Antiqua" w:hAnsi="Book Antiqua" w:cs="Book Antiqua"/>
          <w:b/>
          <w:color w:val="000000"/>
        </w:rPr>
        <w:t xml:space="preserve">Article in press: </w:t>
      </w:r>
      <w:r w:rsidR="00F11951" w:rsidRPr="005D01E7">
        <w:rPr>
          <w:rFonts w:ascii="Book Antiqua" w:eastAsia="Book Antiqua" w:hAnsi="Book Antiqua" w:cs="Book Antiqua"/>
          <w:color w:val="000000"/>
        </w:rPr>
        <w:t>April 21, 2021</w:t>
      </w:r>
    </w:p>
    <w:p w14:paraId="36216011" w14:textId="77777777" w:rsidR="00A77B3E" w:rsidRDefault="00A77B3E">
      <w:pPr>
        <w:spacing w:line="360" w:lineRule="auto"/>
        <w:jc w:val="both"/>
      </w:pPr>
    </w:p>
    <w:p w14:paraId="396F38D4" w14:textId="692EA58A" w:rsidR="00A77B3E" w:rsidRDefault="00D772A7">
      <w:pPr>
        <w:spacing w:line="360" w:lineRule="auto"/>
        <w:jc w:val="both"/>
      </w:pPr>
      <w:r>
        <w:rPr>
          <w:rFonts w:ascii="Book Antiqua" w:eastAsia="Book Antiqua" w:hAnsi="Book Antiqua" w:cs="Book Antiqua"/>
          <w:b/>
          <w:color w:val="000000"/>
        </w:rPr>
        <w:t xml:space="preserve">Specialty type: </w:t>
      </w:r>
      <w:r w:rsidR="00026D6E" w:rsidRPr="00E700C2">
        <w:rPr>
          <w:rFonts w:ascii="Book Antiqua" w:eastAsia="微软雅黑" w:hAnsi="Book Antiqua" w:cs="宋体"/>
        </w:rPr>
        <w:t>Medicine, research and experimental</w:t>
      </w:r>
    </w:p>
    <w:p w14:paraId="7AE3EFE2" w14:textId="77777777" w:rsidR="00A77B3E" w:rsidRDefault="00D772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76AD43" w14:textId="77777777" w:rsidR="00A77B3E" w:rsidRDefault="00D772A7">
      <w:pPr>
        <w:spacing w:line="360" w:lineRule="auto"/>
        <w:jc w:val="both"/>
      </w:pPr>
      <w:r>
        <w:rPr>
          <w:rFonts w:ascii="Book Antiqua" w:eastAsia="Book Antiqua" w:hAnsi="Book Antiqua" w:cs="Book Antiqua"/>
          <w:b/>
          <w:color w:val="000000"/>
        </w:rPr>
        <w:t>Peer-review report’s scientific quality classification</w:t>
      </w:r>
    </w:p>
    <w:p w14:paraId="04E19612" w14:textId="77777777" w:rsidR="00A77B3E" w:rsidRDefault="00D772A7">
      <w:pPr>
        <w:spacing w:line="360" w:lineRule="auto"/>
        <w:jc w:val="both"/>
      </w:pPr>
      <w:r>
        <w:rPr>
          <w:rFonts w:ascii="Book Antiqua" w:eastAsia="Book Antiqua" w:hAnsi="Book Antiqua" w:cs="Book Antiqua"/>
          <w:color w:val="000000"/>
        </w:rPr>
        <w:t>Grade A (Excellent): 0</w:t>
      </w:r>
    </w:p>
    <w:p w14:paraId="5D46E2E4" w14:textId="77777777" w:rsidR="00A77B3E" w:rsidRDefault="00D772A7">
      <w:pPr>
        <w:spacing w:line="360" w:lineRule="auto"/>
        <w:jc w:val="both"/>
      </w:pPr>
      <w:r>
        <w:rPr>
          <w:rFonts w:ascii="Book Antiqua" w:eastAsia="Book Antiqua" w:hAnsi="Book Antiqua" w:cs="Book Antiqua"/>
          <w:color w:val="000000"/>
        </w:rPr>
        <w:t>Grade B (Very good): 0</w:t>
      </w:r>
    </w:p>
    <w:p w14:paraId="037B2112" w14:textId="77777777" w:rsidR="00A77B3E" w:rsidRDefault="00D772A7">
      <w:pPr>
        <w:spacing w:line="360" w:lineRule="auto"/>
        <w:jc w:val="both"/>
      </w:pPr>
      <w:r>
        <w:rPr>
          <w:rFonts w:ascii="Book Antiqua" w:eastAsia="Book Antiqua" w:hAnsi="Book Antiqua" w:cs="Book Antiqua"/>
          <w:color w:val="000000"/>
        </w:rPr>
        <w:t>Grade C (Good): C</w:t>
      </w:r>
    </w:p>
    <w:p w14:paraId="25B053A8" w14:textId="77777777" w:rsidR="00A77B3E" w:rsidRDefault="00D772A7">
      <w:pPr>
        <w:spacing w:line="360" w:lineRule="auto"/>
        <w:jc w:val="both"/>
      </w:pPr>
      <w:r>
        <w:rPr>
          <w:rFonts w:ascii="Book Antiqua" w:eastAsia="Book Antiqua" w:hAnsi="Book Antiqua" w:cs="Book Antiqua"/>
          <w:color w:val="000000"/>
        </w:rPr>
        <w:t>Grade D (Fair): 0</w:t>
      </w:r>
    </w:p>
    <w:p w14:paraId="78861CA2" w14:textId="77777777" w:rsidR="00A77B3E" w:rsidRDefault="00D772A7">
      <w:pPr>
        <w:spacing w:line="360" w:lineRule="auto"/>
        <w:jc w:val="both"/>
      </w:pPr>
      <w:r>
        <w:rPr>
          <w:rFonts w:ascii="Book Antiqua" w:eastAsia="Book Antiqua" w:hAnsi="Book Antiqua" w:cs="Book Antiqua"/>
          <w:color w:val="000000"/>
        </w:rPr>
        <w:t>Grade E (Poor): 0</w:t>
      </w:r>
    </w:p>
    <w:p w14:paraId="4C05736E" w14:textId="77777777" w:rsidR="00A77B3E" w:rsidRDefault="00A77B3E">
      <w:pPr>
        <w:spacing w:line="360" w:lineRule="auto"/>
        <w:jc w:val="both"/>
      </w:pPr>
    </w:p>
    <w:p w14:paraId="082A111D" w14:textId="2A2C308B" w:rsidR="00F35C39" w:rsidRPr="000A4B6F" w:rsidRDefault="00D772A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Kim IH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B1CED" w:rsidRPr="000B3ABA">
        <w:rPr>
          <w:rFonts w:ascii="Book Antiqua" w:eastAsia="Book Antiqua" w:hAnsi="Book Antiqua" w:cs="Book Antiqua"/>
          <w:color w:val="000000"/>
        </w:rPr>
        <w:t>Wang TQ</w:t>
      </w:r>
      <w:r w:rsidR="002B1CE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Pr="000A4B6F">
        <w:rPr>
          <w:rFonts w:ascii="Book Antiqua" w:eastAsia="Book Antiqua" w:hAnsi="Book Antiqua" w:cs="Book Antiqua"/>
          <w:color w:val="000000"/>
        </w:rPr>
        <w:t xml:space="preserve"> </w:t>
      </w:r>
      <w:r w:rsidR="000A4B6F" w:rsidRPr="000A4B6F">
        <w:rPr>
          <w:rFonts w:ascii="Book Antiqua" w:hAnsi="Book Antiqua" w:cs="Book Antiqua" w:hint="eastAsia"/>
          <w:color w:val="000000"/>
          <w:lang w:eastAsia="zh-CN"/>
        </w:rPr>
        <w:t>Wang LL</w:t>
      </w:r>
    </w:p>
    <w:p w14:paraId="5C2734AD" w14:textId="08FDA28C" w:rsidR="00A77B3E" w:rsidRDefault="00F35C3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F35C39">
        <w:rPr>
          <w:rFonts w:ascii="Book Antiqua" w:eastAsia="Book Antiqua" w:hAnsi="Book Antiqua" w:cs="Book Antiqua"/>
          <w:b/>
          <w:color w:val="000000"/>
        </w:rPr>
        <w:t>Table 1 Baseline demographic and clinical characteristics of the nucleoside-naive chronic hepatitis B Chinese patients</w:t>
      </w:r>
    </w:p>
    <w:tbl>
      <w:tblPr>
        <w:tblW w:w="0" w:type="auto"/>
        <w:shd w:val="clear" w:color="auto" w:fill="FFFFFF"/>
        <w:tblLook w:val="0600" w:firstRow="0" w:lastRow="0" w:firstColumn="0" w:lastColumn="0" w:noHBand="1" w:noVBand="1"/>
      </w:tblPr>
      <w:tblGrid>
        <w:gridCol w:w="4430"/>
        <w:gridCol w:w="2069"/>
        <w:gridCol w:w="2052"/>
        <w:gridCol w:w="1025"/>
      </w:tblGrid>
      <w:tr w:rsidR="00F35C39" w:rsidRPr="00F35C39" w14:paraId="7434AB14" w14:textId="77777777" w:rsidTr="003E68D5">
        <w:tc>
          <w:tcPr>
            <w:tcW w:w="0" w:type="auto"/>
            <w:tcBorders>
              <w:top w:val="single" w:sz="4" w:space="0" w:color="auto"/>
              <w:bottom w:val="single" w:sz="4" w:space="0" w:color="auto"/>
            </w:tcBorders>
            <w:shd w:val="clear" w:color="auto" w:fill="FFFFFF"/>
          </w:tcPr>
          <w:p w14:paraId="2FC934DE" w14:textId="6D8CD7A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rPr>
              <w:t>Demographic and clinical characteristics</w:t>
            </w:r>
          </w:p>
        </w:tc>
        <w:tc>
          <w:tcPr>
            <w:tcW w:w="0" w:type="auto"/>
            <w:tcBorders>
              <w:top w:val="single" w:sz="4" w:space="0" w:color="auto"/>
              <w:bottom w:val="single" w:sz="4" w:space="0" w:color="auto"/>
            </w:tcBorders>
            <w:shd w:val="clear" w:color="auto" w:fill="FFFFFF"/>
          </w:tcPr>
          <w:p w14:paraId="54FDE317" w14:textId="7777777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rPr>
              <w:t>Group A (</w:t>
            </w:r>
            <w:r w:rsidRPr="00F35C39">
              <w:rPr>
                <w:rFonts w:ascii="Book Antiqua" w:hAnsi="Book Antiqua" w:cs="AdvOT7fe89a09"/>
                <w:b/>
                <w:i/>
                <w:iCs/>
              </w:rPr>
              <w:t>n</w:t>
            </w:r>
            <w:r w:rsidRPr="00F35C39">
              <w:rPr>
                <w:rFonts w:ascii="Book Antiqua" w:hAnsi="Book Antiqua" w:cs="AdvOT7fe89a09"/>
                <w:b/>
              </w:rPr>
              <w:t xml:space="preserve"> = 161)</w:t>
            </w:r>
          </w:p>
        </w:tc>
        <w:tc>
          <w:tcPr>
            <w:tcW w:w="0" w:type="auto"/>
            <w:tcBorders>
              <w:top w:val="single" w:sz="4" w:space="0" w:color="auto"/>
              <w:bottom w:val="single" w:sz="4" w:space="0" w:color="auto"/>
            </w:tcBorders>
            <w:shd w:val="clear" w:color="auto" w:fill="FFFFFF"/>
          </w:tcPr>
          <w:p w14:paraId="2AFDDD45" w14:textId="7777777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rPr>
              <w:t>Group B (</w:t>
            </w:r>
            <w:r w:rsidRPr="00F35C39">
              <w:rPr>
                <w:rFonts w:ascii="Book Antiqua" w:hAnsi="Book Antiqua" w:cs="AdvOT7fe89a09"/>
                <w:b/>
                <w:i/>
                <w:iCs/>
              </w:rPr>
              <w:t>n</w:t>
            </w:r>
            <w:r w:rsidRPr="00F35C39">
              <w:rPr>
                <w:rFonts w:ascii="Book Antiqua" w:hAnsi="Book Antiqua" w:cs="AdvOT7fe89a09"/>
                <w:b/>
              </w:rPr>
              <w:t xml:space="preserve"> = 169)</w:t>
            </w:r>
          </w:p>
        </w:tc>
        <w:tc>
          <w:tcPr>
            <w:tcW w:w="0" w:type="auto"/>
            <w:tcBorders>
              <w:top w:val="single" w:sz="4" w:space="0" w:color="auto"/>
              <w:bottom w:val="single" w:sz="4" w:space="0" w:color="auto"/>
            </w:tcBorders>
            <w:shd w:val="clear" w:color="auto" w:fill="FFFFFF"/>
          </w:tcPr>
          <w:p w14:paraId="681E79D4" w14:textId="77777777" w:rsidR="00F35C39" w:rsidRPr="00F35C39" w:rsidRDefault="00F35C39" w:rsidP="00F35C39">
            <w:pPr>
              <w:spacing w:line="360" w:lineRule="auto"/>
              <w:jc w:val="both"/>
              <w:rPr>
                <w:rFonts w:ascii="Book Antiqua" w:hAnsi="Book Antiqua" w:cs="AdvOT7fe89a09"/>
                <w:b/>
              </w:rPr>
            </w:pPr>
            <w:r w:rsidRPr="00F35C39">
              <w:rPr>
                <w:rFonts w:ascii="Book Antiqua" w:hAnsi="Book Antiqua" w:cs="AdvOT7fe89a09"/>
                <w:b/>
                <w:i/>
              </w:rPr>
              <w:t>P</w:t>
            </w:r>
            <w:r w:rsidRPr="00F35C39">
              <w:rPr>
                <w:rFonts w:ascii="Book Antiqua" w:hAnsi="Book Antiqua" w:cs="AdvOT7fe89a09"/>
                <w:b/>
              </w:rPr>
              <w:t xml:space="preserve"> value</w:t>
            </w:r>
          </w:p>
        </w:tc>
      </w:tr>
      <w:tr w:rsidR="00F35C39" w:rsidRPr="00F35C39" w14:paraId="544CAFBF" w14:textId="77777777" w:rsidTr="003E68D5">
        <w:tc>
          <w:tcPr>
            <w:tcW w:w="0" w:type="auto"/>
            <w:tcBorders>
              <w:top w:val="single" w:sz="4" w:space="0" w:color="auto"/>
            </w:tcBorders>
            <w:shd w:val="clear" w:color="auto" w:fill="FFFFFF"/>
          </w:tcPr>
          <w:p w14:paraId="23942224" w14:textId="7E1000B4"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Age, y</w:t>
            </w:r>
            <w:r>
              <w:rPr>
                <w:rFonts w:ascii="Book Antiqua" w:hAnsi="Book Antiqua" w:cs="AdvOT7fe89a09"/>
              </w:rPr>
              <w:t>r</w:t>
            </w:r>
          </w:p>
        </w:tc>
        <w:tc>
          <w:tcPr>
            <w:tcW w:w="0" w:type="auto"/>
            <w:tcBorders>
              <w:top w:val="single" w:sz="4" w:space="0" w:color="auto"/>
            </w:tcBorders>
            <w:shd w:val="clear" w:color="auto" w:fill="FFFFFF"/>
          </w:tcPr>
          <w:p w14:paraId="04EE8CEF" w14:textId="46F7F446" w:rsidR="00F35C39" w:rsidRPr="00F35C39" w:rsidRDefault="00F35C39" w:rsidP="00D772A7">
            <w:pPr>
              <w:spacing w:line="360" w:lineRule="auto"/>
              <w:jc w:val="both"/>
              <w:rPr>
                <w:rFonts w:ascii="Book Antiqua" w:hAnsi="Book Antiqua" w:cs="AdvOT7fe89a09"/>
              </w:rPr>
            </w:pPr>
          </w:p>
        </w:tc>
        <w:tc>
          <w:tcPr>
            <w:tcW w:w="0" w:type="auto"/>
            <w:tcBorders>
              <w:top w:val="single" w:sz="4" w:space="0" w:color="auto"/>
            </w:tcBorders>
            <w:shd w:val="clear" w:color="auto" w:fill="FFFFFF"/>
          </w:tcPr>
          <w:p w14:paraId="4EA155BC" w14:textId="3162F713" w:rsidR="00F35C39" w:rsidRPr="00F35C39" w:rsidRDefault="00F35C39" w:rsidP="00D772A7">
            <w:pPr>
              <w:spacing w:line="360" w:lineRule="auto"/>
              <w:jc w:val="both"/>
              <w:rPr>
                <w:rFonts w:ascii="Book Antiqua" w:hAnsi="Book Antiqua" w:cs="AdvOT7fe89a09"/>
              </w:rPr>
            </w:pPr>
          </w:p>
        </w:tc>
        <w:tc>
          <w:tcPr>
            <w:tcW w:w="0" w:type="auto"/>
            <w:tcBorders>
              <w:top w:val="single" w:sz="4" w:space="0" w:color="auto"/>
            </w:tcBorders>
            <w:shd w:val="clear" w:color="auto" w:fill="FFFFFF"/>
          </w:tcPr>
          <w:p w14:paraId="1E62EDE2" w14:textId="3CAD5EFB" w:rsidR="00F35C39" w:rsidRPr="00F35C39" w:rsidRDefault="00F35C39" w:rsidP="00D772A7">
            <w:pPr>
              <w:spacing w:line="360" w:lineRule="auto"/>
              <w:jc w:val="both"/>
              <w:rPr>
                <w:rFonts w:ascii="Book Antiqua" w:hAnsi="Book Antiqua" w:cs="AdvOT7fe89a09"/>
              </w:rPr>
            </w:pPr>
          </w:p>
        </w:tc>
      </w:tr>
      <w:tr w:rsidR="00F35C39" w:rsidRPr="00F35C39" w14:paraId="3DC2A407" w14:textId="77777777" w:rsidTr="003E68D5">
        <w:tc>
          <w:tcPr>
            <w:tcW w:w="0" w:type="auto"/>
            <w:shd w:val="clear" w:color="auto" w:fill="FFFFFF"/>
          </w:tcPr>
          <w:p w14:paraId="1CFF1884" w14:textId="0C8AA50A" w:rsidR="00F35C39" w:rsidRPr="00F35C39" w:rsidRDefault="003E68D5" w:rsidP="00D772A7">
            <w:pPr>
              <w:spacing w:line="360" w:lineRule="auto"/>
              <w:ind w:firstLineChars="100" w:firstLine="240"/>
              <w:jc w:val="both"/>
              <w:rPr>
                <w:rFonts w:ascii="Book Antiqua" w:hAnsi="Book Antiqua" w:cs="AdvOT7fe89a09"/>
              </w:rPr>
            </w:pPr>
            <w:r>
              <w:rPr>
                <w:rFonts w:ascii="Book Antiqua" w:hAnsi="Book Antiqua" w:cs="AdvOT7fe89a09" w:hint="eastAsia"/>
                <w:lang w:eastAsia="zh-CN"/>
              </w:rPr>
              <w:t>m</w:t>
            </w:r>
            <w:r w:rsidR="00F35C39" w:rsidRPr="00F35C39">
              <w:rPr>
                <w:rFonts w:ascii="Book Antiqua" w:hAnsi="Book Antiqua" w:cs="AdvOT7fe89a09"/>
              </w:rPr>
              <w:t>ean</w:t>
            </w:r>
            <w:r w:rsidR="00F35C39">
              <w:rPr>
                <w:rFonts w:ascii="Book Antiqua" w:hAnsi="Book Antiqua" w:cs="AdvOT7fe89a09"/>
              </w:rPr>
              <w:t xml:space="preserve"> </w:t>
            </w:r>
            <w:r w:rsidR="00F35C39" w:rsidRPr="00F35C39">
              <w:rPr>
                <w:rFonts w:ascii="Book Antiqua" w:hAnsi="Book Antiqua" w:cs="AdvOT7fe89a09"/>
              </w:rPr>
              <w:t>±</w:t>
            </w:r>
            <w:r w:rsidR="00F35C39">
              <w:rPr>
                <w:rFonts w:ascii="Book Antiqua" w:hAnsi="Book Antiqua" w:cs="AdvOT7fe89a09"/>
              </w:rPr>
              <w:t xml:space="preserve"> </w:t>
            </w:r>
            <w:r w:rsidR="00F35C39" w:rsidRPr="00F35C39">
              <w:rPr>
                <w:rFonts w:ascii="Book Antiqua" w:hAnsi="Book Antiqua" w:cs="AdvOT7fe89a09"/>
              </w:rPr>
              <w:t xml:space="preserve">SD </w:t>
            </w:r>
          </w:p>
        </w:tc>
        <w:tc>
          <w:tcPr>
            <w:tcW w:w="0" w:type="auto"/>
            <w:shd w:val="clear" w:color="auto" w:fill="FFFFFF"/>
          </w:tcPr>
          <w:p w14:paraId="015C4989" w14:textId="576D14B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35.16</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9.34</w:t>
            </w:r>
          </w:p>
        </w:tc>
        <w:tc>
          <w:tcPr>
            <w:tcW w:w="0" w:type="auto"/>
            <w:shd w:val="clear" w:color="auto" w:fill="FFFFFF"/>
          </w:tcPr>
          <w:p w14:paraId="4C7DCE7B" w14:textId="22DF509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34.91</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9.79</w:t>
            </w:r>
          </w:p>
        </w:tc>
        <w:tc>
          <w:tcPr>
            <w:tcW w:w="0" w:type="auto"/>
            <w:shd w:val="clear" w:color="auto" w:fill="FFFFFF"/>
          </w:tcPr>
          <w:p w14:paraId="116729FE"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0.8082</w:t>
            </w:r>
          </w:p>
        </w:tc>
      </w:tr>
      <w:tr w:rsidR="00F35C39" w:rsidRPr="00F35C39" w14:paraId="7C618B6D" w14:textId="77777777" w:rsidTr="003E68D5">
        <w:tc>
          <w:tcPr>
            <w:tcW w:w="0" w:type="auto"/>
            <w:shd w:val="clear" w:color="auto" w:fill="FFFFFF"/>
          </w:tcPr>
          <w:p w14:paraId="6F1B8791" w14:textId="36AB4160"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Range</w:t>
            </w:r>
          </w:p>
        </w:tc>
        <w:tc>
          <w:tcPr>
            <w:tcW w:w="0" w:type="auto"/>
            <w:shd w:val="clear" w:color="auto" w:fill="FFFFFF"/>
          </w:tcPr>
          <w:p w14:paraId="0E2CBC84" w14:textId="3768754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19.00</w:t>
            </w:r>
            <w:r>
              <w:rPr>
                <w:rFonts w:ascii="Book Antiqua" w:hAnsi="Book Antiqua" w:cs="AdvOT7fe89a09"/>
              </w:rPr>
              <w:t>-</w:t>
            </w:r>
            <w:r w:rsidRPr="00F35C39">
              <w:rPr>
                <w:rFonts w:ascii="Book Antiqua" w:hAnsi="Book Antiqua" w:cs="AdvOT7fe89a09"/>
              </w:rPr>
              <w:t>62.00</w:t>
            </w:r>
          </w:p>
        </w:tc>
        <w:tc>
          <w:tcPr>
            <w:tcW w:w="0" w:type="auto"/>
            <w:shd w:val="clear" w:color="auto" w:fill="FFFFFF"/>
          </w:tcPr>
          <w:p w14:paraId="6548CAB9" w14:textId="2E5554C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19.00</w:t>
            </w:r>
            <w:r>
              <w:rPr>
                <w:rFonts w:ascii="Book Antiqua" w:hAnsi="Book Antiqua" w:cs="AdvOT7fe89a09"/>
              </w:rPr>
              <w:t>-</w:t>
            </w:r>
            <w:r w:rsidRPr="00F35C39">
              <w:rPr>
                <w:rFonts w:ascii="Book Antiqua" w:hAnsi="Book Antiqua" w:cs="AdvOT7fe89a09"/>
              </w:rPr>
              <w:t>64.00</w:t>
            </w:r>
          </w:p>
        </w:tc>
        <w:tc>
          <w:tcPr>
            <w:tcW w:w="0" w:type="auto"/>
            <w:shd w:val="clear" w:color="auto" w:fill="FFFFFF"/>
          </w:tcPr>
          <w:p w14:paraId="349612F2" w14:textId="3D681543" w:rsidR="00F35C39" w:rsidRPr="00F35C39" w:rsidRDefault="00F35C39" w:rsidP="00D772A7">
            <w:pPr>
              <w:spacing w:line="360" w:lineRule="auto"/>
              <w:jc w:val="both"/>
              <w:rPr>
                <w:rFonts w:ascii="Book Antiqua" w:hAnsi="Book Antiqua" w:cs="AdvOT7fe89a09"/>
              </w:rPr>
            </w:pPr>
          </w:p>
        </w:tc>
      </w:tr>
      <w:tr w:rsidR="00F35C39" w:rsidRPr="00F35C39" w14:paraId="5A25340C" w14:textId="77777777" w:rsidTr="003E68D5">
        <w:tc>
          <w:tcPr>
            <w:tcW w:w="0" w:type="auto"/>
            <w:shd w:val="clear" w:color="auto" w:fill="FFFFFF"/>
          </w:tcPr>
          <w:p w14:paraId="452ED9AC" w14:textId="4D342C9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 xml:space="preserve">Male, </w:t>
            </w:r>
            <w:r w:rsidRPr="00F35C39">
              <w:rPr>
                <w:rFonts w:ascii="Book Antiqua" w:hAnsi="Book Antiqua" w:cs="AdvOT7fe89a09"/>
                <w:i/>
                <w:iCs/>
              </w:rPr>
              <w:t>n</w:t>
            </w:r>
            <w:r w:rsidRPr="00F35C39">
              <w:rPr>
                <w:rFonts w:ascii="Book Antiqua" w:hAnsi="Book Antiqua" w:cs="AdvOT7fe89a09"/>
              </w:rPr>
              <w:t xml:space="preserve"> (%)</w:t>
            </w:r>
          </w:p>
        </w:tc>
        <w:tc>
          <w:tcPr>
            <w:tcW w:w="0" w:type="auto"/>
            <w:shd w:val="clear" w:color="auto" w:fill="FFFFFF"/>
          </w:tcPr>
          <w:p w14:paraId="316165BD" w14:textId="659E889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116</w:t>
            </w:r>
            <w:r>
              <w:rPr>
                <w:rFonts w:ascii="Book Antiqua" w:hAnsi="Book Antiqua" w:cs="AdvOT7fe89a09"/>
              </w:rPr>
              <w:t xml:space="preserve"> </w:t>
            </w:r>
            <w:r w:rsidRPr="00F35C39">
              <w:rPr>
                <w:rFonts w:ascii="Book Antiqua" w:hAnsi="Book Antiqua" w:cs="AdvOT7fe89a09"/>
              </w:rPr>
              <w:t>(72.05)</w:t>
            </w:r>
          </w:p>
        </w:tc>
        <w:tc>
          <w:tcPr>
            <w:tcW w:w="0" w:type="auto"/>
            <w:shd w:val="clear" w:color="auto" w:fill="FFFFFF"/>
          </w:tcPr>
          <w:p w14:paraId="0088DDBA" w14:textId="0DEA375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134</w:t>
            </w:r>
            <w:r>
              <w:rPr>
                <w:rFonts w:ascii="Book Antiqua" w:hAnsi="Book Antiqua" w:cs="AdvOT7fe89a09"/>
              </w:rPr>
              <w:t xml:space="preserve"> </w:t>
            </w:r>
            <w:r w:rsidRPr="00F35C39">
              <w:rPr>
                <w:rFonts w:ascii="Book Antiqua" w:hAnsi="Book Antiqua" w:cs="AdvOT7fe89a09"/>
              </w:rPr>
              <w:t>(79.29)</w:t>
            </w:r>
          </w:p>
        </w:tc>
        <w:tc>
          <w:tcPr>
            <w:tcW w:w="0" w:type="auto"/>
            <w:shd w:val="clear" w:color="auto" w:fill="FFFFFF"/>
          </w:tcPr>
          <w:p w14:paraId="1DAEE8C9"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0.1248</w:t>
            </w:r>
          </w:p>
        </w:tc>
      </w:tr>
      <w:tr w:rsidR="00F35C39" w:rsidRPr="00F35C39" w14:paraId="7DCB2AEA" w14:textId="77777777" w:rsidTr="003E68D5">
        <w:tc>
          <w:tcPr>
            <w:tcW w:w="0" w:type="auto"/>
            <w:shd w:val="clear" w:color="auto" w:fill="FFFFFF"/>
          </w:tcPr>
          <w:p w14:paraId="604A8B35"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HBV DNA, log10 IU/mL</w:t>
            </w:r>
          </w:p>
        </w:tc>
        <w:tc>
          <w:tcPr>
            <w:tcW w:w="0" w:type="auto"/>
            <w:shd w:val="clear" w:color="auto" w:fill="FFFFFF"/>
          </w:tcPr>
          <w:p w14:paraId="26CB667E" w14:textId="26AEBADE"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6.86</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1.13</w:t>
            </w:r>
          </w:p>
        </w:tc>
        <w:tc>
          <w:tcPr>
            <w:tcW w:w="0" w:type="auto"/>
            <w:shd w:val="clear" w:color="auto" w:fill="FFFFFF"/>
          </w:tcPr>
          <w:p w14:paraId="6427BB60" w14:textId="225FF8B0"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6.91</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1.05</w:t>
            </w:r>
          </w:p>
        </w:tc>
        <w:tc>
          <w:tcPr>
            <w:tcW w:w="0" w:type="auto"/>
            <w:shd w:val="clear" w:color="auto" w:fill="FFFFFF"/>
          </w:tcPr>
          <w:p w14:paraId="634C3647"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0. 6761</w:t>
            </w:r>
          </w:p>
        </w:tc>
      </w:tr>
      <w:tr w:rsidR="00F35C39" w:rsidRPr="00F35C39" w14:paraId="0B27DD58" w14:textId="77777777" w:rsidTr="003E68D5">
        <w:tc>
          <w:tcPr>
            <w:tcW w:w="0" w:type="auto"/>
            <w:shd w:val="clear" w:color="auto" w:fill="FFFFFF"/>
          </w:tcPr>
          <w:p w14:paraId="763A4D23" w14:textId="4DD034C8"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HBeAg</w:t>
            </w:r>
            <w:r>
              <w:rPr>
                <w:rFonts w:ascii="Book Antiqua" w:hAnsi="Book Antiqua" w:cs="AdvOT7fe89a09"/>
              </w:rPr>
              <w:t xml:space="preserve"> </w:t>
            </w:r>
            <w:r w:rsidR="00D772A7" w:rsidRPr="00F35C39">
              <w:rPr>
                <w:rFonts w:ascii="Book Antiqua" w:hAnsi="Book Antiqua" w:cs="AdvOT7fe89a09"/>
              </w:rPr>
              <w:t>positive</w:t>
            </w:r>
          </w:p>
        </w:tc>
        <w:tc>
          <w:tcPr>
            <w:tcW w:w="0" w:type="auto"/>
            <w:shd w:val="clear" w:color="auto" w:fill="FFFFFF"/>
          </w:tcPr>
          <w:p w14:paraId="35AE3AEA" w14:textId="1843A88C"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7816FEF1" w14:textId="76A5CACA"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253F5EE2" w14:textId="51618F9B" w:rsidR="00F35C39" w:rsidRPr="00F35C39" w:rsidRDefault="00F35C39" w:rsidP="00D772A7">
            <w:pPr>
              <w:spacing w:line="360" w:lineRule="auto"/>
              <w:jc w:val="both"/>
              <w:rPr>
                <w:rFonts w:ascii="Book Antiqua" w:hAnsi="Book Antiqua" w:cs="AdvOT7fe89a09"/>
              </w:rPr>
            </w:pPr>
          </w:p>
        </w:tc>
      </w:tr>
      <w:tr w:rsidR="00F35C39" w:rsidRPr="00F35C39" w14:paraId="3FDD51DE" w14:textId="77777777" w:rsidTr="003E68D5">
        <w:tc>
          <w:tcPr>
            <w:tcW w:w="0" w:type="auto"/>
            <w:shd w:val="clear" w:color="auto" w:fill="FFFFFF"/>
          </w:tcPr>
          <w:p w14:paraId="13633943" w14:textId="64417E48" w:rsidR="00F35C39" w:rsidRPr="00F35C39" w:rsidRDefault="003E68D5" w:rsidP="00D772A7">
            <w:pPr>
              <w:spacing w:line="360" w:lineRule="auto"/>
              <w:ind w:firstLineChars="200" w:firstLine="480"/>
              <w:jc w:val="both"/>
              <w:rPr>
                <w:rFonts w:ascii="Book Antiqua" w:hAnsi="Book Antiqua" w:cs="AdvOT7fe89a09"/>
              </w:rPr>
            </w:pPr>
            <w:r>
              <w:rPr>
                <w:rFonts w:ascii="Book Antiqua" w:hAnsi="Book Antiqua" w:cs="AdvOT7fe89a09" w:hint="eastAsia"/>
                <w:lang w:eastAsia="zh-CN"/>
              </w:rPr>
              <w:t>m</w:t>
            </w:r>
            <w:r w:rsidR="00F35C39" w:rsidRPr="00F35C39">
              <w:rPr>
                <w:rFonts w:ascii="Book Antiqua" w:hAnsi="Book Antiqua" w:cs="AdvOT7fe89a09"/>
              </w:rPr>
              <w:t>ean</w:t>
            </w:r>
            <w:r w:rsidR="00F35C39">
              <w:rPr>
                <w:rFonts w:ascii="Book Antiqua" w:hAnsi="Book Antiqua" w:cs="AdvOT7fe89a09"/>
              </w:rPr>
              <w:t xml:space="preserve"> </w:t>
            </w:r>
            <w:r w:rsidR="00F35C39" w:rsidRPr="00F35C39">
              <w:rPr>
                <w:rFonts w:ascii="Book Antiqua" w:hAnsi="Book Antiqua" w:cs="AdvOT7fe89a09"/>
              </w:rPr>
              <w:t>±</w:t>
            </w:r>
            <w:r w:rsidR="00F35C39">
              <w:rPr>
                <w:rFonts w:ascii="Book Antiqua" w:hAnsi="Book Antiqua" w:cs="AdvOT7fe89a09"/>
              </w:rPr>
              <w:t xml:space="preserve"> </w:t>
            </w:r>
            <w:r w:rsidR="00F35C39" w:rsidRPr="00F35C39">
              <w:rPr>
                <w:rFonts w:ascii="Book Antiqua" w:hAnsi="Book Antiqua" w:cs="AdvOT7fe89a09"/>
              </w:rPr>
              <w:t>SD</w:t>
            </w:r>
          </w:p>
        </w:tc>
        <w:tc>
          <w:tcPr>
            <w:tcW w:w="0" w:type="auto"/>
            <w:shd w:val="clear" w:color="auto" w:fill="FFFFFF"/>
          </w:tcPr>
          <w:p w14:paraId="60986CF8" w14:textId="22F79FA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7.27</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0.81</w:t>
            </w:r>
          </w:p>
        </w:tc>
        <w:tc>
          <w:tcPr>
            <w:tcW w:w="0" w:type="auto"/>
            <w:shd w:val="clear" w:color="auto" w:fill="FFFFFF"/>
          </w:tcPr>
          <w:p w14:paraId="529957AF" w14:textId="73B6AE34"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7.29</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0.71</w:t>
            </w:r>
          </w:p>
        </w:tc>
        <w:tc>
          <w:tcPr>
            <w:tcW w:w="0" w:type="auto"/>
            <w:shd w:val="clear" w:color="auto" w:fill="FFFFFF"/>
          </w:tcPr>
          <w:p w14:paraId="5FC5BC80"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0.8126</w:t>
            </w:r>
          </w:p>
        </w:tc>
      </w:tr>
      <w:tr w:rsidR="00F35C39" w:rsidRPr="00F35C39" w14:paraId="1C264DA3" w14:textId="77777777" w:rsidTr="003E68D5">
        <w:tc>
          <w:tcPr>
            <w:tcW w:w="0" w:type="auto"/>
            <w:shd w:val="clear" w:color="auto" w:fill="FFFFFF"/>
          </w:tcPr>
          <w:p w14:paraId="289A838C" w14:textId="0DD33854"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Range</w:t>
            </w:r>
          </w:p>
        </w:tc>
        <w:tc>
          <w:tcPr>
            <w:tcW w:w="0" w:type="auto"/>
            <w:shd w:val="clear" w:color="auto" w:fill="FFFFFF"/>
          </w:tcPr>
          <w:p w14:paraId="4AB559CA" w14:textId="0E8E768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5.00</w:t>
            </w:r>
            <w:r>
              <w:rPr>
                <w:rFonts w:ascii="Book Antiqua" w:hAnsi="Book Antiqua" w:cs="AdvOT7fe89a09"/>
              </w:rPr>
              <w:t>-</w:t>
            </w:r>
            <w:r w:rsidRPr="00F35C39">
              <w:rPr>
                <w:rFonts w:ascii="Book Antiqua" w:hAnsi="Book Antiqua" w:cs="AdvOT7fe89a09"/>
              </w:rPr>
              <w:t>8.66</w:t>
            </w:r>
          </w:p>
        </w:tc>
        <w:tc>
          <w:tcPr>
            <w:tcW w:w="0" w:type="auto"/>
            <w:shd w:val="clear" w:color="auto" w:fill="FFFFFF"/>
          </w:tcPr>
          <w:p w14:paraId="2A42829C" w14:textId="16F2612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5.02</w:t>
            </w:r>
            <w:r>
              <w:rPr>
                <w:rFonts w:ascii="Book Antiqua" w:hAnsi="Book Antiqua" w:cs="AdvOT7fe89a09"/>
              </w:rPr>
              <w:t>-</w:t>
            </w:r>
            <w:r w:rsidRPr="00F35C39">
              <w:rPr>
                <w:rFonts w:ascii="Book Antiqua" w:hAnsi="Book Antiqua" w:cs="AdvOT7fe89a09"/>
              </w:rPr>
              <w:t>8.47</w:t>
            </w:r>
          </w:p>
        </w:tc>
        <w:tc>
          <w:tcPr>
            <w:tcW w:w="0" w:type="auto"/>
            <w:shd w:val="clear" w:color="auto" w:fill="FFFFFF"/>
          </w:tcPr>
          <w:p w14:paraId="5499678C" w14:textId="6B85F12D" w:rsidR="00F35C39" w:rsidRPr="00F35C39" w:rsidRDefault="00F35C39" w:rsidP="00D772A7">
            <w:pPr>
              <w:spacing w:line="360" w:lineRule="auto"/>
              <w:jc w:val="both"/>
              <w:rPr>
                <w:rFonts w:ascii="Book Antiqua" w:hAnsi="Book Antiqua" w:cs="AdvOT7fe89a09"/>
              </w:rPr>
            </w:pPr>
          </w:p>
        </w:tc>
      </w:tr>
      <w:tr w:rsidR="00F35C39" w:rsidRPr="00F35C39" w14:paraId="5C82FE51" w14:textId="77777777" w:rsidTr="003E68D5">
        <w:tc>
          <w:tcPr>
            <w:tcW w:w="0" w:type="auto"/>
            <w:shd w:val="clear" w:color="auto" w:fill="FFFFFF"/>
          </w:tcPr>
          <w:p w14:paraId="047D2FA6" w14:textId="54079096"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HBeAg</w:t>
            </w:r>
            <w:r>
              <w:rPr>
                <w:rFonts w:ascii="Book Antiqua" w:hAnsi="Book Antiqua" w:cs="AdvOT7fe89a09"/>
              </w:rPr>
              <w:t xml:space="preserve"> </w:t>
            </w:r>
            <w:r w:rsidR="00D772A7" w:rsidRPr="00F35C39">
              <w:rPr>
                <w:rFonts w:ascii="Book Antiqua" w:hAnsi="Book Antiqua" w:cs="AdvOT7fe89a09"/>
              </w:rPr>
              <w:t>negative</w:t>
            </w:r>
          </w:p>
        </w:tc>
        <w:tc>
          <w:tcPr>
            <w:tcW w:w="0" w:type="auto"/>
            <w:shd w:val="clear" w:color="auto" w:fill="FFFFFF"/>
          </w:tcPr>
          <w:p w14:paraId="5199A714" w14:textId="08D26C65"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0EAB97D0" w14:textId="7DE9AE58"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67EBCF77" w14:textId="0C824DA7" w:rsidR="00F35C39" w:rsidRPr="00F35C39" w:rsidRDefault="00F35C39" w:rsidP="00D772A7">
            <w:pPr>
              <w:spacing w:line="360" w:lineRule="auto"/>
              <w:jc w:val="both"/>
              <w:rPr>
                <w:rFonts w:ascii="Book Antiqua" w:hAnsi="Book Antiqua" w:cs="AdvOT7fe89a09"/>
              </w:rPr>
            </w:pPr>
          </w:p>
        </w:tc>
      </w:tr>
      <w:tr w:rsidR="00F35C39" w:rsidRPr="00F35C39" w14:paraId="7960FF65" w14:textId="77777777" w:rsidTr="003E68D5">
        <w:tc>
          <w:tcPr>
            <w:tcW w:w="0" w:type="auto"/>
            <w:shd w:val="clear" w:color="auto" w:fill="FFFFFF"/>
          </w:tcPr>
          <w:p w14:paraId="28634D75" w14:textId="0DF64D8E" w:rsidR="00F35C39" w:rsidRPr="00F35C39" w:rsidRDefault="003E68D5" w:rsidP="00D772A7">
            <w:pPr>
              <w:spacing w:line="360" w:lineRule="auto"/>
              <w:ind w:firstLineChars="200" w:firstLine="480"/>
              <w:jc w:val="both"/>
              <w:rPr>
                <w:rFonts w:ascii="Book Antiqua" w:hAnsi="Book Antiqua" w:cs="AdvOT7fe89a09"/>
              </w:rPr>
            </w:pPr>
            <w:r>
              <w:rPr>
                <w:rFonts w:ascii="Book Antiqua" w:hAnsi="Book Antiqua" w:cs="AdvOT7fe89a09" w:hint="eastAsia"/>
                <w:lang w:eastAsia="zh-CN"/>
              </w:rPr>
              <w:t>m</w:t>
            </w:r>
            <w:r w:rsidR="00F35C39" w:rsidRPr="00F35C39">
              <w:rPr>
                <w:rFonts w:ascii="Book Antiqua" w:hAnsi="Book Antiqua" w:cs="AdvOT7fe89a09"/>
              </w:rPr>
              <w:t>ean</w:t>
            </w:r>
            <w:r w:rsidR="00F35C39">
              <w:rPr>
                <w:rFonts w:ascii="Book Antiqua" w:hAnsi="Book Antiqua" w:cs="AdvOT7fe89a09"/>
              </w:rPr>
              <w:t xml:space="preserve"> </w:t>
            </w:r>
            <w:r w:rsidR="00F35C39" w:rsidRPr="00F35C39">
              <w:rPr>
                <w:rFonts w:ascii="Book Antiqua" w:hAnsi="Book Antiqua" w:cs="AdvOT7fe89a09"/>
              </w:rPr>
              <w:t>±</w:t>
            </w:r>
            <w:r w:rsidR="00F35C39">
              <w:rPr>
                <w:rFonts w:ascii="Book Antiqua" w:hAnsi="Book Antiqua" w:cs="AdvOT7fe89a09"/>
              </w:rPr>
              <w:t xml:space="preserve"> </w:t>
            </w:r>
            <w:r w:rsidR="00F35C39" w:rsidRPr="00F35C39">
              <w:rPr>
                <w:rFonts w:ascii="Book Antiqua" w:hAnsi="Book Antiqua" w:cs="AdvOT7fe89a09"/>
              </w:rPr>
              <w:t>SD</w:t>
            </w:r>
          </w:p>
        </w:tc>
        <w:tc>
          <w:tcPr>
            <w:tcW w:w="0" w:type="auto"/>
            <w:shd w:val="clear" w:color="auto" w:fill="FFFFFF"/>
          </w:tcPr>
          <w:p w14:paraId="049F47CA" w14:textId="7023561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5.87</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1.20</w:t>
            </w:r>
          </w:p>
        </w:tc>
        <w:tc>
          <w:tcPr>
            <w:tcW w:w="0" w:type="auto"/>
            <w:shd w:val="clear" w:color="auto" w:fill="FFFFFF"/>
          </w:tcPr>
          <w:p w14:paraId="6D91D264" w14:textId="5CBCD88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6.03</w:t>
            </w:r>
            <w:r>
              <w:rPr>
                <w:rFonts w:ascii="Book Antiqua" w:hAnsi="Book Antiqua" w:cs="AdvOT7fe89a09"/>
              </w:rPr>
              <w:t xml:space="preserve"> </w:t>
            </w:r>
            <w:r w:rsidRPr="00F35C39">
              <w:rPr>
                <w:rFonts w:ascii="Book Antiqua" w:hAnsi="Book Antiqua" w:cs="AdvOT7fe89a09"/>
              </w:rPr>
              <w:t>±</w:t>
            </w:r>
            <w:r>
              <w:rPr>
                <w:rFonts w:ascii="Book Antiqua" w:hAnsi="Book Antiqua" w:cs="AdvOT7fe89a09"/>
              </w:rPr>
              <w:t xml:space="preserve"> </w:t>
            </w:r>
            <w:r w:rsidRPr="00F35C39">
              <w:rPr>
                <w:rFonts w:ascii="Book Antiqua" w:hAnsi="Book Antiqua" w:cs="AdvOT7fe89a09"/>
              </w:rPr>
              <w:t>1.17</w:t>
            </w:r>
          </w:p>
        </w:tc>
        <w:tc>
          <w:tcPr>
            <w:tcW w:w="0" w:type="auto"/>
            <w:shd w:val="clear" w:color="auto" w:fill="FFFFFF"/>
          </w:tcPr>
          <w:p w14:paraId="0E414782"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0.5144</w:t>
            </w:r>
          </w:p>
        </w:tc>
      </w:tr>
      <w:tr w:rsidR="00F35C39" w:rsidRPr="00F35C39" w14:paraId="64CFCDF0" w14:textId="77777777" w:rsidTr="003E68D5">
        <w:tc>
          <w:tcPr>
            <w:tcW w:w="0" w:type="auto"/>
            <w:shd w:val="clear" w:color="auto" w:fill="FFFFFF"/>
          </w:tcPr>
          <w:p w14:paraId="1932B63D" w14:textId="06778664"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Range</w:t>
            </w:r>
          </w:p>
        </w:tc>
        <w:tc>
          <w:tcPr>
            <w:tcW w:w="0" w:type="auto"/>
            <w:shd w:val="clear" w:color="auto" w:fill="FFFFFF"/>
          </w:tcPr>
          <w:p w14:paraId="4985EF0B" w14:textId="2373E0B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3.42</w:t>
            </w:r>
            <w:r>
              <w:rPr>
                <w:rFonts w:ascii="Book Antiqua" w:hAnsi="Book Antiqua" w:cs="AdvOT7fe89a09"/>
              </w:rPr>
              <w:t>-</w:t>
            </w:r>
            <w:r w:rsidRPr="00F35C39">
              <w:rPr>
                <w:rFonts w:ascii="Book Antiqua" w:hAnsi="Book Antiqua" w:cs="AdvOT7fe89a09"/>
              </w:rPr>
              <w:t>8.01</w:t>
            </w:r>
          </w:p>
        </w:tc>
        <w:tc>
          <w:tcPr>
            <w:tcW w:w="0" w:type="auto"/>
            <w:shd w:val="clear" w:color="auto" w:fill="FFFFFF"/>
          </w:tcPr>
          <w:p w14:paraId="32304B45" w14:textId="070BFF1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3.33</w:t>
            </w:r>
            <w:r>
              <w:rPr>
                <w:rFonts w:ascii="Book Antiqua" w:hAnsi="Book Antiqua" w:cs="AdvOT7fe89a09"/>
              </w:rPr>
              <w:t>-</w:t>
            </w:r>
            <w:r w:rsidRPr="00F35C39">
              <w:rPr>
                <w:rFonts w:ascii="Book Antiqua" w:hAnsi="Book Antiqua" w:cs="AdvOT7fe89a09"/>
              </w:rPr>
              <w:t>8.16</w:t>
            </w:r>
          </w:p>
        </w:tc>
        <w:tc>
          <w:tcPr>
            <w:tcW w:w="0" w:type="auto"/>
            <w:shd w:val="clear" w:color="auto" w:fill="FFFFFF"/>
          </w:tcPr>
          <w:p w14:paraId="01C45A7B" w14:textId="53CBB232" w:rsidR="00F35C39" w:rsidRPr="00F35C39" w:rsidRDefault="00F35C39" w:rsidP="00D772A7">
            <w:pPr>
              <w:spacing w:line="360" w:lineRule="auto"/>
              <w:jc w:val="both"/>
              <w:rPr>
                <w:rFonts w:ascii="Book Antiqua" w:hAnsi="Book Antiqua" w:cs="AdvOT7fe89a09"/>
              </w:rPr>
            </w:pPr>
          </w:p>
        </w:tc>
      </w:tr>
      <w:tr w:rsidR="00F35C39" w:rsidRPr="00F35C39" w14:paraId="69CBF7F9" w14:textId="77777777" w:rsidTr="003E68D5">
        <w:tc>
          <w:tcPr>
            <w:tcW w:w="0" w:type="auto"/>
            <w:shd w:val="clear" w:color="auto" w:fill="FFFFFF"/>
          </w:tcPr>
          <w:p w14:paraId="131C654E"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 xml:space="preserve">HBeAg status, </w:t>
            </w:r>
            <w:r w:rsidRPr="00F35C39">
              <w:rPr>
                <w:rFonts w:ascii="Book Antiqua" w:hAnsi="Book Antiqua" w:cs="AdvOT7fe89a09"/>
                <w:i/>
                <w:iCs/>
              </w:rPr>
              <w:t>n</w:t>
            </w:r>
            <w:r w:rsidRPr="00F35C39">
              <w:rPr>
                <w:rFonts w:ascii="Book Antiqua" w:hAnsi="Book Antiqua" w:cs="AdvOT7fe89a09"/>
              </w:rPr>
              <w:t xml:space="preserve"> (%)</w:t>
            </w:r>
          </w:p>
        </w:tc>
        <w:tc>
          <w:tcPr>
            <w:tcW w:w="0" w:type="auto"/>
            <w:shd w:val="clear" w:color="auto" w:fill="FFFFFF"/>
          </w:tcPr>
          <w:p w14:paraId="43672825" w14:textId="1FF190FF"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677BDFDE" w14:textId="734101DE"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16482BFB" w14:textId="48800B5E" w:rsidR="00F35C39" w:rsidRPr="00F35C39" w:rsidRDefault="00F35C39" w:rsidP="00D772A7">
            <w:pPr>
              <w:spacing w:line="360" w:lineRule="auto"/>
              <w:jc w:val="both"/>
              <w:rPr>
                <w:rFonts w:ascii="Book Antiqua" w:hAnsi="Book Antiqua" w:cs="AdvOT7fe89a09"/>
              </w:rPr>
            </w:pPr>
          </w:p>
        </w:tc>
      </w:tr>
      <w:tr w:rsidR="00F35C39" w:rsidRPr="00F35C39" w14:paraId="455DF314" w14:textId="77777777" w:rsidTr="003E68D5">
        <w:tc>
          <w:tcPr>
            <w:tcW w:w="0" w:type="auto"/>
            <w:shd w:val="clear" w:color="auto" w:fill="FFFFFF"/>
          </w:tcPr>
          <w:p w14:paraId="50F509B6" w14:textId="1154371E"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HBeAg negative</w:t>
            </w:r>
          </w:p>
        </w:tc>
        <w:tc>
          <w:tcPr>
            <w:tcW w:w="0" w:type="auto"/>
            <w:shd w:val="clear" w:color="auto" w:fill="FFFFFF"/>
          </w:tcPr>
          <w:p w14:paraId="6382676D" w14:textId="46797D2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114</w:t>
            </w:r>
            <w:r>
              <w:rPr>
                <w:rFonts w:ascii="Book Antiqua" w:hAnsi="Book Antiqua" w:cs="AdvOT7fe89a09"/>
              </w:rPr>
              <w:t xml:space="preserve"> </w:t>
            </w:r>
            <w:r w:rsidRPr="00F35C39">
              <w:rPr>
                <w:rFonts w:ascii="Book Antiqua" w:hAnsi="Book Antiqua" w:cs="AdvOT7fe89a09"/>
              </w:rPr>
              <w:t>(70.81)</w:t>
            </w:r>
          </w:p>
        </w:tc>
        <w:tc>
          <w:tcPr>
            <w:tcW w:w="0" w:type="auto"/>
            <w:shd w:val="clear" w:color="auto" w:fill="FFFFFF"/>
          </w:tcPr>
          <w:p w14:paraId="1CC6B869" w14:textId="7F3B010D"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118</w:t>
            </w:r>
            <w:r>
              <w:rPr>
                <w:rFonts w:ascii="Book Antiqua" w:hAnsi="Book Antiqua" w:cs="AdvOT7fe89a09"/>
              </w:rPr>
              <w:t xml:space="preserve"> </w:t>
            </w:r>
            <w:r w:rsidRPr="00F35C39">
              <w:rPr>
                <w:rFonts w:ascii="Book Antiqua" w:hAnsi="Book Antiqua" w:cs="AdvOT7fe89a09"/>
              </w:rPr>
              <w:t>(69.82)</w:t>
            </w:r>
          </w:p>
        </w:tc>
        <w:tc>
          <w:tcPr>
            <w:tcW w:w="0" w:type="auto"/>
            <w:shd w:val="clear" w:color="auto" w:fill="FFFFFF"/>
          </w:tcPr>
          <w:p w14:paraId="0E9D58A2"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0.8448</w:t>
            </w:r>
          </w:p>
        </w:tc>
      </w:tr>
      <w:tr w:rsidR="00F35C39" w:rsidRPr="00F35C39" w14:paraId="706199D5" w14:textId="77777777" w:rsidTr="003E68D5">
        <w:tc>
          <w:tcPr>
            <w:tcW w:w="0" w:type="auto"/>
            <w:shd w:val="clear" w:color="auto" w:fill="FFFFFF"/>
          </w:tcPr>
          <w:p w14:paraId="404310E5" w14:textId="428D2545"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HBeAg positive</w:t>
            </w:r>
          </w:p>
        </w:tc>
        <w:tc>
          <w:tcPr>
            <w:tcW w:w="0" w:type="auto"/>
            <w:shd w:val="clear" w:color="auto" w:fill="FFFFFF"/>
          </w:tcPr>
          <w:p w14:paraId="67EBF7BB" w14:textId="3DC30F9E"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47</w:t>
            </w:r>
            <w:r>
              <w:rPr>
                <w:rFonts w:ascii="Book Antiqua" w:hAnsi="Book Antiqua" w:cs="AdvOT7fe89a09"/>
              </w:rPr>
              <w:t xml:space="preserve"> </w:t>
            </w:r>
            <w:r w:rsidRPr="00F35C39">
              <w:rPr>
                <w:rFonts w:ascii="Book Antiqua" w:hAnsi="Book Antiqua" w:cs="AdvOT7fe89a09"/>
              </w:rPr>
              <w:t>(29.19)</w:t>
            </w:r>
          </w:p>
        </w:tc>
        <w:tc>
          <w:tcPr>
            <w:tcW w:w="0" w:type="auto"/>
            <w:shd w:val="clear" w:color="auto" w:fill="FFFFFF"/>
          </w:tcPr>
          <w:p w14:paraId="628BB944" w14:textId="15A45C1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51</w:t>
            </w:r>
            <w:r>
              <w:rPr>
                <w:rFonts w:ascii="Book Antiqua" w:hAnsi="Book Antiqua" w:cs="AdvOT7fe89a09"/>
              </w:rPr>
              <w:t xml:space="preserve"> </w:t>
            </w:r>
            <w:r w:rsidRPr="00F35C39">
              <w:rPr>
                <w:rFonts w:ascii="Book Antiqua" w:hAnsi="Book Antiqua" w:cs="AdvOT7fe89a09"/>
              </w:rPr>
              <w:t>(30.18)</w:t>
            </w:r>
          </w:p>
        </w:tc>
        <w:tc>
          <w:tcPr>
            <w:tcW w:w="0" w:type="auto"/>
            <w:shd w:val="clear" w:color="auto" w:fill="FFFFFF"/>
          </w:tcPr>
          <w:p w14:paraId="254F5AF8" w14:textId="5D6CB3E4" w:rsidR="00F35C39" w:rsidRPr="00F35C39" w:rsidRDefault="00F35C39" w:rsidP="00D772A7">
            <w:pPr>
              <w:spacing w:line="360" w:lineRule="auto"/>
              <w:jc w:val="both"/>
              <w:rPr>
                <w:rFonts w:ascii="Book Antiqua" w:hAnsi="Book Antiqua" w:cs="AdvOT7fe89a09"/>
              </w:rPr>
            </w:pPr>
          </w:p>
        </w:tc>
      </w:tr>
      <w:tr w:rsidR="00F35C39" w:rsidRPr="00F35C39" w14:paraId="64A59F71" w14:textId="77777777" w:rsidTr="003E68D5">
        <w:tc>
          <w:tcPr>
            <w:tcW w:w="0" w:type="auto"/>
            <w:shd w:val="clear" w:color="auto" w:fill="FFFFFF"/>
          </w:tcPr>
          <w:p w14:paraId="6B5773FE" w14:textId="21BC1DF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Baseline HBsAg, log10 IU/mL</w:t>
            </w:r>
          </w:p>
        </w:tc>
        <w:tc>
          <w:tcPr>
            <w:tcW w:w="0" w:type="auto"/>
            <w:shd w:val="clear" w:color="auto" w:fill="FFFFFF"/>
          </w:tcPr>
          <w:p w14:paraId="1509BB9B" w14:textId="68992DA0"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161</w:t>
            </w:r>
            <w:r>
              <w:rPr>
                <w:rFonts w:ascii="Book Antiqua" w:hAnsi="Book Antiqua" w:cs="AdvOT7fe89a09"/>
              </w:rPr>
              <w:t xml:space="preserve"> </w:t>
            </w:r>
            <w:r w:rsidRPr="00F35C39">
              <w:rPr>
                <w:rFonts w:ascii="Book Antiqua" w:hAnsi="Book Antiqua" w:cs="AdvOT7fe89a09"/>
              </w:rPr>
              <w:t>(100)</w:t>
            </w:r>
          </w:p>
        </w:tc>
        <w:tc>
          <w:tcPr>
            <w:tcW w:w="0" w:type="auto"/>
            <w:shd w:val="clear" w:color="auto" w:fill="FFFFFF"/>
          </w:tcPr>
          <w:p w14:paraId="316EE52D" w14:textId="57784251"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169</w:t>
            </w:r>
            <w:r>
              <w:rPr>
                <w:rFonts w:ascii="Book Antiqua" w:hAnsi="Book Antiqua" w:cs="AdvOT7fe89a09"/>
              </w:rPr>
              <w:t xml:space="preserve"> </w:t>
            </w:r>
            <w:r w:rsidRPr="00F35C39">
              <w:rPr>
                <w:rFonts w:ascii="Book Antiqua" w:hAnsi="Book Antiqua" w:cs="AdvOT7fe89a09"/>
              </w:rPr>
              <w:t>(100)</w:t>
            </w:r>
          </w:p>
        </w:tc>
        <w:tc>
          <w:tcPr>
            <w:tcW w:w="0" w:type="auto"/>
            <w:shd w:val="clear" w:color="auto" w:fill="FFFFFF"/>
          </w:tcPr>
          <w:p w14:paraId="065ACE36"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0.4979</w:t>
            </w:r>
          </w:p>
        </w:tc>
      </w:tr>
      <w:tr w:rsidR="00F35C39" w:rsidRPr="00F35C39" w14:paraId="0A85F849" w14:textId="77777777" w:rsidTr="003E68D5">
        <w:tc>
          <w:tcPr>
            <w:tcW w:w="0" w:type="auto"/>
            <w:shd w:val="clear" w:color="auto" w:fill="FFFFFF"/>
          </w:tcPr>
          <w:p w14:paraId="40E2AA3C"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 xml:space="preserve">HBeAb status, </w:t>
            </w:r>
            <w:r w:rsidRPr="00F35C39">
              <w:rPr>
                <w:rFonts w:ascii="Book Antiqua" w:hAnsi="Book Antiqua" w:cs="AdvOT7fe89a09"/>
                <w:i/>
                <w:iCs/>
              </w:rPr>
              <w:t>n</w:t>
            </w:r>
            <w:r w:rsidRPr="00F35C39">
              <w:rPr>
                <w:rFonts w:ascii="Book Antiqua" w:hAnsi="Book Antiqua" w:cs="AdvOT7fe89a09"/>
              </w:rPr>
              <w:t xml:space="preserve"> (%)</w:t>
            </w:r>
          </w:p>
        </w:tc>
        <w:tc>
          <w:tcPr>
            <w:tcW w:w="0" w:type="auto"/>
            <w:shd w:val="clear" w:color="auto" w:fill="FFFFFF"/>
          </w:tcPr>
          <w:p w14:paraId="52A9A71F" w14:textId="48D6842A"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517D3C9B" w14:textId="3B950C8C"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4C8AF92C" w14:textId="600F18A5" w:rsidR="00F35C39" w:rsidRPr="00F35C39" w:rsidRDefault="00F35C39" w:rsidP="00D772A7">
            <w:pPr>
              <w:spacing w:line="360" w:lineRule="auto"/>
              <w:jc w:val="both"/>
              <w:rPr>
                <w:rFonts w:ascii="Book Antiqua" w:hAnsi="Book Antiqua" w:cs="AdvOT7fe89a09"/>
              </w:rPr>
            </w:pPr>
          </w:p>
        </w:tc>
      </w:tr>
      <w:tr w:rsidR="00F35C39" w:rsidRPr="00F35C39" w14:paraId="4C527F8B" w14:textId="77777777" w:rsidTr="003E68D5">
        <w:tc>
          <w:tcPr>
            <w:tcW w:w="0" w:type="auto"/>
            <w:shd w:val="clear" w:color="auto" w:fill="FFFFFF"/>
          </w:tcPr>
          <w:p w14:paraId="5092C031" w14:textId="11850864"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HBeAg positive</w:t>
            </w:r>
          </w:p>
        </w:tc>
        <w:tc>
          <w:tcPr>
            <w:tcW w:w="0" w:type="auto"/>
            <w:shd w:val="clear" w:color="auto" w:fill="FFFFFF"/>
          </w:tcPr>
          <w:p w14:paraId="28E3F011" w14:textId="795D7601"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4B7D94F7" w14:textId="06F82985"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2BC8AAF0" w14:textId="3E315E37" w:rsidR="00F35C39" w:rsidRPr="00F35C39" w:rsidRDefault="00F35C39" w:rsidP="00D772A7">
            <w:pPr>
              <w:spacing w:line="360" w:lineRule="auto"/>
              <w:jc w:val="both"/>
              <w:rPr>
                <w:rFonts w:ascii="Book Antiqua" w:hAnsi="Book Antiqua" w:cs="AdvOT7fe89a09"/>
              </w:rPr>
            </w:pPr>
          </w:p>
        </w:tc>
      </w:tr>
      <w:tr w:rsidR="00F35C39" w:rsidRPr="00F35C39" w14:paraId="57AD42E2" w14:textId="77777777" w:rsidTr="003E68D5">
        <w:tc>
          <w:tcPr>
            <w:tcW w:w="0" w:type="auto"/>
            <w:shd w:val="clear" w:color="auto" w:fill="FFFFFF"/>
          </w:tcPr>
          <w:p w14:paraId="13F3E6D8" w14:textId="312A8D13"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HBeAb negative</w:t>
            </w:r>
          </w:p>
        </w:tc>
        <w:tc>
          <w:tcPr>
            <w:tcW w:w="0" w:type="auto"/>
            <w:shd w:val="clear" w:color="auto" w:fill="FFFFFF"/>
          </w:tcPr>
          <w:p w14:paraId="0EEB9CCD" w14:textId="2788EC7D"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12</w:t>
            </w:r>
            <w:r w:rsidR="00D772A7">
              <w:rPr>
                <w:rFonts w:ascii="Book Antiqua" w:hAnsi="Book Antiqua" w:cs="AdvOT7fe89a09"/>
              </w:rPr>
              <w:t xml:space="preserve"> </w:t>
            </w:r>
            <w:r w:rsidRPr="00F35C39">
              <w:rPr>
                <w:rFonts w:ascii="Book Antiqua" w:hAnsi="Book Antiqua" w:cs="AdvOT7fe89a09"/>
              </w:rPr>
              <w:t>(10.53)</w:t>
            </w:r>
          </w:p>
        </w:tc>
        <w:tc>
          <w:tcPr>
            <w:tcW w:w="0" w:type="auto"/>
            <w:shd w:val="clear" w:color="auto" w:fill="FFFFFF"/>
          </w:tcPr>
          <w:p w14:paraId="7FEB1E04" w14:textId="561827B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16</w:t>
            </w:r>
            <w:r w:rsidR="00D772A7">
              <w:rPr>
                <w:rFonts w:ascii="Book Antiqua" w:hAnsi="Book Antiqua" w:cs="AdvOT7fe89a09"/>
              </w:rPr>
              <w:t xml:space="preserve"> </w:t>
            </w:r>
            <w:r w:rsidRPr="00F35C39">
              <w:rPr>
                <w:rFonts w:ascii="Book Antiqua" w:hAnsi="Book Antiqua" w:cs="AdvOT7fe89a09"/>
              </w:rPr>
              <w:t>(13.56)</w:t>
            </w:r>
          </w:p>
        </w:tc>
        <w:tc>
          <w:tcPr>
            <w:tcW w:w="0" w:type="auto"/>
            <w:shd w:val="clear" w:color="auto" w:fill="FFFFFF"/>
          </w:tcPr>
          <w:p w14:paraId="79EB6C78"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0.4776</w:t>
            </w:r>
          </w:p>
        </w:tc>
      </w:tr>
      <w:tr w:rsidR="00F35C39" w:rsidRPr="00F35C39" w14:paraId="581CD241" w14:textId="77777777" w:rsidTr="003E68D5">
        <w:tc>
          <w:tcPr>
            <w:tcW w:w="0" w:type="auto"/>
            <w:shd w:val="clear" w:color="auto" w:fill="FFFFFF"/>
          </w:tcPr>
          <w:p w14:paraId="2CEBCBB8" w14:textId="72CE5D36"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HBeAb positive</w:t>
            </w:r>
          </w:p>
        </w:tc>
        <w:tc>
          <w:tcPr>
            <w:tcW w:w="0" w:type="auto"/>
            <w:shd w:val="clear" w:color="auto" w:fill="FFFFFF"/>
          </w:tcPr>
          <w:p w14:paraId="6CF30FBB" w14:textId="4AE5346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102</w:t>
            </w:r>
            <w:r w:rsidR="00D772A7">
              <w:rPr>
                <w:rFonts w:ascii="Book Antiqua" w:hAnsi="Book Antiqua" w:cs="AdvOT7fe89a09"/>
              </w:rPr>
              <w:t xml:space="preserve"> </w:t>
            </w:r>
            <w:r w:rsidRPr="00F35C39">
              <w:rPr>
                <w:rFonts w:ascii="Book Antiqua" w:hAnsi="Book Antiqua" w:cs="AdvOT7fe89a09"/>
              </w:rPr>
              <w:t>(89.47)</w:t>
            </w:r>
          </w:p>
        </w:tc>
        <w:tc>
          <w:tcPr>
            <w:tcW w:w="0" w:type="auto"/>
            <w:shd w:val="clear" w:color="auto" w:fill="FFFFFF"/>
          </w:tcPr>
          <w:p w14:paraId="43AF7A7C" w14:textId="77B8583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102</w:t>
            </w:r>
            <w:r w:rsidR="00D772A7">
              <w:rPr>
                <w:rFonts w:ascii="Book Antiqua" w:hAnsi="Book Antiqua" w:cs="AdvOT7fe89a09"/>
              </w:rPr>
              <w:t xml:space="preserve"> </w:t>
            </w:r>
            <w:r w:rsidRPr="00F35C39">
              <w:rPr>
                <w:rFonts w:ascii="Book Antiqua" w:hAnsi="Book Antiqua" w:cs="AdvOT7fe89a09"/>
              </w:rPr>
              <w:t>(86.44)</w:t>
            </w:r>
          </w:p>
        </w:tc>
        <w:tc>
          <w:tcPr>
            <w:tcW w:w="0" w:type="auto"/>
            <w:shd w:val="clear" w:color="auto" w:fill="FFFFFF"/>
          </w:tcPr>
          <w:p w14:paraId="3DFAC322" w14:textId="761D33C8" w:rsidR="00F35C39" w:rsidRPr="00F35C39" w:rsidRDefault="00F35C39" w:rsidP="00D772A7">
            <w:pPr>
              <w:spacing w:line="360" w:lineRule="auto"/>
              <w:jc w:val="both"/>
              <w:rPr>
                <w:rFonts w:ascii="Book Antiqua" w:hAnsi="Book Antiqua" w:cs="AdvOT7fe89a09"/>
              </w:rPr>
            </w:pPr>
          </w:p>
        </w:tc>
      </w:tr>
      <w:tr w:rsidR="00F35C39" w:rsidRPr="00F35C39" w14:paraId="7C68B2EA" w14:textId="77777777" w:rsidTr="003E68D5">
        <w:tc>
          <w:tcPr>
            <w:tcW w:w="0" w:type="auto"/>
            <w:shd w:val="clear" w:color="auto" w:fill="FFFFFF"/>
          </w:tcPr>
          <w:p w14:paraId="64BAFED3" w14:textId="128033D9"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HBeAg negative</w:t>
            </w:r>
          </w:p>
        </w:tc>
        <w:tc>
          <w:tcPr>
            <w:tcW w:w="0" w:type="auto"/>
            <w:shd w:val="clear" w:color="auto" w:fill="FFFFFF"/>
          </w:tcPr>
          <w:p w14:paraId="74CEBE1D" w14:textId="589045CA"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3A605A18" w14:textId="330B6E39"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1D6D126D" w14:textId="59587EF5" w:rsidR="00F35C39" w:rsidRPr="00F35C39" w:rsidRDefault="00F35C39" w:rsidP="00D772A7">
            <w:pPr>
              <w:spacing w:line="360" w:lineRule="auto"/>
              <w:jc w:val="both"/>
              <w:rPr>
                <w:rFonts w:ascii="Book Antiqua" w:hAnsi="Book Antiqua" w:cs="AdvOT7fe89a09"/>
              </w:rPr>
            </w:pPr>
          </w:p>
        </w:tc>
      </w:tr>
      <w:tr w:rsidR="00F35C39" w:rsidRPr="00F35C39" w14:paraId="55297509" w14:textId="77777777" w:rsidTr="003E68D5">
        <w:tc>
          <w:tcPr>
            <w:tcW w:w="0" w:type="auto"/>
            <w:shd w:val="clear" w:color="auto" w:fill="FFFFFF"/>
          </w:tcPr>
          <w:p w14:paraId="57A4BA9C" w14:textId="591D00C8"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HBeAb negative</w:t>
            </w:r>
          </w:p>
        </w:tc>
        <w:tc>
          <w:tcPr>
            <w:tcW w:w="0" w:type="auto"/>
            <w:shd w:val="clear" w:color="auto" w:fill="FFFFFF"/>
          </w:tcPr>
          <w:p w14:paraId="6597D966" w14:textId="31D2425B"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46</w:t>
            </w:r>
            <w:r w:rsidR="00D772A7">
              <w:rPr>
                <w:rFonts w:ascii="Book Antiqua" w:hAnsi="Book Antiqua" w:cs="AdvOT7fe89a09"/>
              </w:rPr>
              <w:t xml:space="preserve"> </w:t>
            </w:r>
            <w:r w:rsidRPr="00F35C39">
              <w:rPr>
                <w:rFonts w:ascii="Book Antiqua" w:hAnsi="Book Antiqua" w:cs="AdvOT7fe89a09"/>
              </w:rPr>
              <w:t>(97.87)</w:t>
            </w:r>
          </w:p>
        </w:tc>
        <w:tc>
          <w:tcPr>
            <w:tcW w:w="0" w:type="auto"/>
            <w:shd w:val="clear" w:color="auto" w:fill="FFFFFF"/>
          </w:tcPr>
          <w:p w14:paraId="0D7BF905" w14:textId="778D982A"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51</w:t>
            </w:r>
            <w:r w:rsidR="00D772A7">
              <w:rPr>
                <w:rFonts w:ascii="Book Antiqua" w:hAnsi="Book Antiqua" w:cs="AdvOT7fe89a09"/>
              </w:rPr>
              <w:t xml:space="preserve"> </w:t>
            </w:r>
            <w:r w:rsidRPr="00F35C39">
              <w:rPr>
                <w:rFonts w:ascii="Book Antiqua" w:hAnsi="Book Antiqua" w:cs="AdvOT7fe89a09"/>
              </w:rPr>
              <w:t>(100.00)</w:t>
            </w:r>
          </w:p>
        </w:tc>
        <w:tc>
          <w:tcPr>
            <w:tcW w:w="0" w:type="auto"/>
            <w:shd w:val="clear" w:color="auto" w:fill="FFFFFF"/>
          </w:tcPr>
          <w:p w14:paraId="680CFBEC"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0.2236</w:t>
            </w:r>
          </w:p>
        </w:tc>
      </w:tr>
      <w:tr w:rsidR="00F35C39" w:rsidRPr="00F35C39" w14:paraId="3C06500A" w14:textId="77777777" w:rsidTr="003E68D5">
        <w:tc>
          <w:tcPr>
            <w:tcW w:w="0" w:type="auto"/>
            <w:shd w:val="clear" w:color="auto" w:fill="FFFFFF"/>
          </w:tcPr>
          <w:p w14:paraId="327BAE1E" w14:textId="18CF3B7F" w:rsidR="00F35C39" w:rsidRPr="00F35C39" w:rsidRDefault="00F35C39" w:rsidP="00D772A7">
            <w:pPr>
              <w:spacing w:line="360" w:lineRule="auto"/>
              <w:ind w:firstLineChars="200" w:firstLine="480"/>
              <w:jc w:val="both"/>
              <w:rPr>
                <w:rFonts w:ascii="Book Antiqua" w:hAnsi="Book Antiqua" w:cs="AdvOT7fe89a09"/>
              </w:rPr>
            </w:pPr>
            <w:r w:rsidRPr="00F35C39">
              <w:rPr>
                <w:rFonts w:ascii="Book Antiqua" w:hAnsi="Book Antiqua" w:cs="AdvOT7fe89a09"/>
              </w:rPr>
              <w:t>HBeAb positive</w:t>
            </w:r>
          </w:p>
        </w:tc>
        <w:tc>
          <w:tcPr>
            <w:tcW w:w="0" w:type="auto"/>
            <w:shd w:val="clear" w:color="auto" w:fill="FFFFFF"/>
          </w:tcPr>
          <w:p w14:paraId="4DD37230" w14:textId="6A486D14"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w:t>
            </w:r>
            <w:r w:rsidR="00D772A7">
              <w:rPr>
                <w:rFonts w:ascii="Book Antiqua" w:hAnsi="Book Antiqua" w:cs="AdvOT7fe89a09"/>
              </w:rPr>
              <w:t xml:space="preserve"> </w:t>
            </w:r>
            <w:r w:rsidRPr="00F35C39">
              <w:rPr>
                <w:rFonts w:ascii="Book Antiqua" w:hAnsi="Book Antiqua" w:cs="AdvOT7fe89a09"/>
              </w:rPr>
              <w:t>(2.13)</w:t>
            </w:r>
          </w:p>
        </w:tc>
        <w:tc>
          <w:tcPr>
            <w:tcW w:w="0" w:type="auto"/>
            <w:shd w:val="clear" w:color="auto" w:fill="FFFFFF"/>
          </w:tcPr>
          <w:p w14:paraId="43D08B9B" w14:textId="0E1385C9"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w:t>
            </w:r>
            <w:r w:rsidR="00D772A7">
              <w:rPr>
                <w:rFonts w:ascii="Book Antiqua" w:hAnsi="Book Antiqua" w:cs="AdvOT7fe89a09"/>
              </w:rPr>
              <w:t xml:space="preserve"> </w:t>
            </w:r>
            <w:r w:rsidRPr="00F35C39">
              <w:rPr>
                <w:rFonts w:ascii="Book Antiqua" w:hAnsi="Book Antiqua" w:cs="AdvOT7fe89a09"/>
              </w:rPr>
              <w:t>(0.00)</w:t>
            </w:r>
          </w:p>
        </w:tc>
        <w:tc>
          <w:tcPr>
            <w:tcW w:w="0" w:type="auto"/>
            <w:shd w:val="clear" w:color="auto" w:fill="FFFFFF"/>
          </w:tcPr>
          <w:p w14:paraId="32888FED" w14:textId="1E0033AF" w:rsidR="00F35C39" w:rsidRPr="00F35C39" w:rsidRDefault="00F35C39" w:rsidP="00D772A7">
            <w:pPr>
              <w:spacing w:line="360" w:lineRule="auto"/>
              <w:jc w:val="both"/>
              <w:rPr>
                <w:rFonts w:ascii="Book Antiqua" w:hAnsi="Book Antiqua" w:cs="AdvOT7fe89a09"/>
              </w:rPr>
            </w:pPr>
          </w:p>
        </w:tc>
      </w:tr>
      <w:tr w:rsidR="00F35C39" w:rsidRPr="00F35C39" w14:paraId="20FA0051" w14:textId="77777777" w:rsidTr="003E68D5">
        <w:tc>
          <w:tcPr>
            <w:tcW w:w="0" w:type="auto"/>
            <w:shd w:val="clear" w:color="auto" w:fill="FFFFFF"/>
          </w:tcPr>
          <w:p w14:paraId="59395A69" w14:textId="020A5298" w:rsidR="00F35C39" w:rsidRPr="00F35C39" w:rsidRDefault="002B1CED">
            <w:pPr>
              <w:spacing w:line="360" w:lineRule="auto"/>
              <w:jc w:val="both"/>
              <w:rPr>
                <w:rFonts w:ascii="Book Antiqua" w:hAnsi="Book Antiqua" w:cs="AdvOT7fe89a09"/>
              </w:rPr>
            </w:pPr>
            <w:r>
              <w:rPr>
                <w:rFonts w:ascii="Book Antiqua" w:hAnsi="Book Antiqua" w:cs="AdvOT7fe89a09"/>
              </w:rPr>
              <w:t>Duration of</w:t>
            </w:r>
            <w:r w:rsidRPr="00F35C39">
              <w:rPr>
                <w:rFonts w:ascii="Book Antiqua" w:hAnsi="Book Antiqua" w:cs="AdvOT7fe89a09"/>
              </w:rPr>
              <w:t xml:space="preserve"> positiv</w:t>
            </w:r>
            <w:r>
              <w:rPr>
                <w:rFonts w:ascii="Book Antiqua" w:hAnsi="Book Antiqua" w:cs="AdvOT7fe89a09"/>
              </w:rPr>
              <w:t>ity</w:t>
            </w:r>
            <w:r w:rsidRPr="00F35C39">
              <w:rPr>
                <w:rFonts w:ascii="Book Antiqua" w:hAnsi="Book Antiqua" w:cs="AdvOT7fe89a09"/>
              </w:rPr>
              <w:t xml:space="preserve"> </w:t>
            </w:r>
            <w:r w:rsidR="00F35C39" w:rsidRPr="00F35C39">
              <w:rPr>
                <w:rFonts w:ascii="Book Antiqua" w:hAnsi="Book Antiqua" w:cs="AdvOT7fe89a09"/>
              </w:rPr>
              <w:t>for HBV</w:t>
            </w:r>
            <w:r>
              <w:rPr>
                <w:rFonts w:ascii="Book Antiqua" w:hAnsi="Book Antiqua" w:cs="AdvOT7fe89a09"/>
              </w:rPr>
              <w:t>, yr</w:t>
            </w:r>
          </w:p>
        </w:tc>
        <w:tc>
          <w:tcPr>
            <w:tcW w:w="0" w:type="auto"/>
            <w:shd w:val="clear" w:color="auto" w:fill="FFFFFF"/>
          </w:tcPr>
          <w:p w14:paraId="084E52A1" w14:textId="05F9D0E2"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3FC48DDB" w14:textId="004F86FA" w:rsidR="00F35C39" w:rsidRPr="00F35C39" w:rsidRDefault="00F35C39" w:rsidP="00D772A7">
            <w:pPr>
              <w:spacing w:line="360" w:lineRule="auto"/>
              <w:jc w:val="both"/>
              <w:rPr>
                <w:rFonts w:ascii="Book Antiqua" w:hAnsi="Book Antiqua" w:cs="AdvOT7fe89a09"/>
              </w:rPr>
            </w:pPr>
          </w:p>
        </w:tc>
        <w:tc>
          <w:tcPr>
            <w:tcW w:w="0" w:type="auto"/>
            <w:shd w:val="clear" w:color="auto" w:fill="FFFFFF"/>
          </w:tcPr>
          <w:p w14:paraId="7282DA34" w14:textId="08CB74E1" w:rsidR="00F35C39" w:rsidRPr="00F35C39" w:rsidRDefault="00F35C39" w:rsidP="00D772A7">
            <w:pPr>
              <w:spacing w:line="360" w:lineRule="auto"/>
              <w:jc w:val="both"/>
              <w:rPr>
                <w:rFonts w:ascii="Book Antiqua" w:hAnsi="Book Antiqua" w:cs="AdvOT7fe89a09"/>
              </w:rPr>
            </w:pPr>
          </w:p>
        </w:tc>
      </w:tr>
      <w:tr w:rsidR="00F35C39" w:rsidRPr="00F35C39" w14:paraId="4F67CFF0" w14:textId="77777777" w:rsidTr="003E68D5">
        <w:tc>
          <w:tcPr>
            <w:tcW w:w="0" w:type="auto"/>
            <w:shd w:val="clear" w:color="auto" w:fill="FFFFFF"/>
          </w:tcPr>
          <w:p w14:paraId="31EAEDFB" w14:textId="58980D71" w:rsidR="00F35C39" w:rsidRPr="00F35C39" w:rsidRDefault="003E68D5" w:rsidP="00D772A7">
            <w:pPr>
              <w:spacing w:line="360" w:lineRule="auto"/>
              <w:ind w:firstLineChars="100" w:firstLine="240"/>
              <w:jc w:val="both"/>
              <w:rPr>
                <w:rFonts w:ascii="Book Antiqua" w:hAnsi="Book Antiqua" w:cs="AdvOT7fe89a09"/>
              </w:rPr>
            </w:pPr>
            <w:r>
              <w:rPr>
                <w:rFonts w:ascii="Book Antiqua" w:hAnsi="Book Antiqua" w:cs="AdvOT7fe89a09" w:hint="eastAsia"/>
                <w:lang w:eastAsia="zh-CN"/>
              </w:rPr>
              <w:t>m</w:t>
            </w:r>
            <w:r w:rsidR="00F35C39" w:rsidRPr="00F35C39">
              <w:rPr>
                <w:rFonts w:ascii="Book Antiqua" w:hAnsi="Book Antiqua" w:cs="AdvOT7fe89a09"/>
              </w:rPr>
              <w:t>ean</w:t>
            </w:r>
            <w:r w:rsidR="00D772A7">
              <w:rPr>
                <w:rFonts w:ascii="Book Antiqua" w:hAnsi="Book Antiqua" w:cs="AdvOT7fe89a09"/>
              </w:rPr>
              <w:t xml:space="preserve"> </w:t>
            </w:r>
            <w:r w:rsidR="00F35C39" w:rsidRPr="00F35C39">
              <w:rPr>
                <w:rFonts w:ascii="Book Antiqua" w:hAnsi="Book Antiqua" w:cs="AdvOT7fe89a09"/>
              </w:rPr>
              <w:t>±</w:t>
            </w:r>
            <w:r w:rsidR="00D772A7">
              <w:rPr>
                <w:rFonts w:ascii="Book Antiqua" w:hAnsi="Book Antiqua" w:cs="AdvOT7fe89a09"/>
              </w:rPr>
              <w:t xml:space="preserve"> </w:t>
            </w:r>
            <w:r w:rsidR="00F35C39" w:rsidRPr="00F35C39">
              <w:rPr>
                <w:rFonts w:ascii="Book Antiqua" w:hAnsi="Book Antiqua" w:cs="AdvOT7fe89a09"/>
              </w:rPr>
              <w:t>SD</w:t>
            </w:r>
          </w:p>
        </w:tc>
        <w:tc>
          <w:tcPr>
            <w:tcW w:w="0" w:type="auto"/>
            <w:shd w:val="clear" w:color="auto" w:fill="FFFFFF"/>
          </w:tcPr>
          <w:p w14:paraId="1CB885C3" w14:textId="241D0148"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10.39</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8.03</w:t>
            </w:r>
          </w:p>
        </w:tc>
        <w:tc>
          <w:tcPr>
            <w:tcW w:w="0" w:type="auto"/>
            <w:shd w:val="clear" w:color="auto" w:fill="FFFFFF"/>
          </w:tcPr>
          <w:p w14:paraId="6DF03991" w14:textId="757BAAF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9.76</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7.22</w:t>
            </w:r>
          </w:p>
        </w:tc>
        <w:tc>
          <w:tcPr>
            <w:tcW w:w="0" w:type="auto"/>
            <w:shd w:val="clear" w:color="auto" w:fill="FFFFFF"/>
          </w:tcPr>
          <w:p w14:paraId="33DD6491"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0.4575</w:t>
            </w:r>
          </w:p>
        </w:tc>
      </w:tr>
      <w:tr w:rsidR="00F35C39" w:rsidRPr="00F35C39" w14:paraId="7A016DE4" w14:textId="77777777" w:rsidTr="003E68D5">
        <w:tc>
          <w:tcPr>
            <w:tcW w:w="0" w:type="auto"/>
            <w:shd w:val="clear" w:color="auto" w:fill="FFFFFF"/>
          </w:tcPr>
          <w:p w14:paraId="5CA10C0B" w14:textId="245ABD65" w:rsidR="00F35C39" w:rsidRPr="00F35C39" w:rsidRDefault="00F35C39" w:rsidP="00D772A7">
            <w:pPr>
              <w:spacing w:line="360" w:lineRule="auto"/>
              <w:ind w:firstLineChars="100" w:firstLine="240"/>
              <w:jc w:val="both"/>
              <w:rPr>
                <w:rFonts w:ascii="Book Antiqua" w:hAnsi="Book Antiqua" w:cs="AdvOT7fe89a09"/>
              </w:rPr>
            </w:pPr>
            <w:r w:rsidRPr="00F35C39">
              <w:rPr>
                <w:rFonts w:ascii="Book Antiqua" w:hAnsi="Book Antiqua" w:cs="AdvOT7fe89a09"/>
              </w:rPr>
              <w:t>Range</w:t>
            </w:r>
          </w:p>
        </w:tc>
        <w:tc>
          <w:tcPr>
            <w:tcW w:w="0" w:type="auto"/>
            <w:shd w:val="clear" w:color="auto" w:fill="FFFFFF"/>
          </w:tcPr>
          <w:p w14:paraId="2957E461" w14:textId="4C6EE5B9"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0.00</w:t>
            </w:r>
            <w:r w:rsidR="00D772A7">
              <w:rPr>
                <w:rFonts w:ascii="Book Antiqua" w:hAnsi="Book Antiqua" w:cs="AdvOT7fe89a09"/>
              </w:rPr>
              <w:t>-</w:t>
            </w:r>
            <w:r w:rsidRPr="00F35C39">
              <w:rPr>
                <w:rFonts w:ascii="Book Antiqua" w:hAnsi="Book Antiqua" w:cs="AdvOT7fe89a09"/>
              </w:rPr>
              <w:t>40.00</w:t>
            </w:r>
          </w:p>
        </w:tc>
        <w:tc>
          <w:tcPr>
            <w:tcW w:w="0" w:type="auto"/>
            <w:shd w:val="clear" w:color="auto" w:fill="FFFFFF"/>
          </w:tcPr>
          <w:p w14:paraId="2BE123AC" w14:textId="3E92519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0.50</w:t>
            </w:r>
            <w:r w:rsidR="00D772A7">
              <w:rPr>
                <w:rFonts w:ascii="Book Antiqua" w:hAnsi="Book Antiqua" w:cs="AdvOT7fe89a09"/>
              </w:rPr>
              <w:t>-</w:t>
            </w:r>
            <w:r w:rsidRPr="00F35C39">
              <w:rPr>
                <w:rFonts w:ascii="Book Antiqua" w:hAnsi="Book Antiqua" w:cs="AdvOT7fe89a09"/>
              </w:rPr>
              <w:t>34.00</w:t>
            </w:r>
          </w:p>
        </w:tc>
        <w:tc>
          <w:tcPr>
            <w:tcW w:w="0" w:type="auto"/>
            <w:shd w:val="clear" w:color="auto" w:fill="FFFFFF"/>
          </w:tcPr>
          <w:p w14:paraId="77224D6E" w14:textId="0E5028DB" w:rsidR="00F35C39" w:rsidRPr="00F35C39" w:rsidRDefault="00F35C39" w:rsidP="00D772A7">
            <w:pPr>
              <w:spacing w:line="360" w:lineRule="auto"/>
              <w:jc w:val="both"/>
              <w:rPr>
                <w:rFonts w:ascii="Book Antiqua" w:hAnsi="Book Antiqua" w:cs="AdvOT7fe89a09"/>
              </w:rPr>
            </w:pPr>
          </w:p>
        </w:tc>
      </w:tr>
      <w:tr w:rsidR="00F35C39" w:rsidRPr="00F35C39" w14:paraId="511AE9E8" w14:textId="77777777" w:rsidTr="003E68D5">
        <w:tc>
          <w:tcPr>
            <w:tcW w:w="0" w:type="auto"/>
            <w:tcBorders>
              <w:bottom w:val="single" w:sz="4" w:space="0" w:color="auto"/>
            </w:tcBorders>
            <w:shd w:val="clear" w:color="auto" w:fill="FFFFFF"/>
          </w:tcPr>
          <w:p w14:paraId="23E1CAA0" w14:textId="75748236"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Baseline ALT, U/L, mean</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SD</w:t>
            </w:r>
          </w:p>
        </w:tc>
        <w:tc>
          <w:tcPr>
            <w:tcW w:w="0" w:type="auto"/>
            <w:tcBorders>
              <w:bottom w:val="single" w:sz="4" w:space="0" w:color="auto"/>
            </w:tcBorders>
            <w:shd w:val="clear" w:color="auto" w:fill="FFFFFF"/>
          </w:tcPr>
          <w:p w14:paraId="28272D46" w14:textId="6A9B5442"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175.47</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92.17</w:t>
            </w:r>
          </w:p>
        </w:tc>
        <w:tc>
          <w:tcPr>
            <w:tcW w:w="0" w:type="auto"/>
            <w:tcBorders>
              <w:bottom w:val="single" w:sz="4" w:space="0" w:color="auto"/>
            </w:tcBorders>
            <w:shd w:val="clear" w:color="auto" w:fill="FFFFFF"/>
          </w:tcPr>
          <w:p w14:paraId="0200A569" w14:textId="7FA75A1C"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180.05</w:t>
            </w:r>
            <w:r w:rsidR="00D772A7">
              <w:rPr>
                <w:rFonts w:ascii="Book Antiqua" w:hAnsi="Book Antiqua" w:cs="AdvOT7fe89a09"/>
              </w:rPr>
              <w:t xml:space="preserve"> </w:t>
            </w:r>
            <w:r w:rsidRPr="00F35C39">
              <w:rPr>
                <w:rFonts w:ascii="Book Antiqua" w:hAnsi="Book Antiqua" w:cs="AdvOT7fe89a09"/>
              </w:rPr>
              <w:t>±</w:t>
            </w:r>
            <w:r w:rsidR="00D772A7">
              <w:rPr>
                <w:rFonts w:ascii="Book Antiqua" w:hAnsi="Book Antiqua" w:cs="AdvOT7fe89a09"/>
              </w:rPr>
              <w:t xml:space="preserve"> </w:t>
            </w:r>
            <w:r w:rsidRPr="00F35C39">
              <w:rPr>
                <w:rFonts w:ascii="Book Antiqua" w:hAnsi="Book Antiqua" w:cs="AdvOT7fe89a09"/>
              </w:rPr>
              <w:t>96.05</w:t>
            </w:r>
          </w:p>
        </w:tc>
        <w:tc>
          <w:tcPr>
            <w:tcW w:w="0" w:type="auto"/>
            <w:tcBorders>
              <w:bottom w:val="single" w:sz="4" w:space="0" w:color="auto"/>
            </w:tcBorders>
            <w:shd w:val="clear" w:color="auto" w:fill="FFFFFF"/>
          </w:tcPr>
          <w:p w14:paraId="6DD64B7D" w14:textId="77777777" w:rsidR="00F35C39" w:rsidRPr="00F35C39" w:rsidRDefault="00F35C39" w:rsidP="00D772A7">
            <w:pPr>
              <w:spacing w:line="360" w:lineRule="auto"/>
              <w:jc w:val="both"/>
              <w:rPr>
                <w:rFonts w:ascii="Book Antiqua" w:hAnsi="Book Antiqua" w:cs="AdvOT7fe89a09"/>
              </w:rPr>
            </w:pPr>
            <w:r w:rsidRPr="00F35C39">
              <w:rPr>
                <w:rFonts w:ascii="Book Antiqua" w:hAnsi="Book Antiqua" w:cs="AdvOT7fe89a09"/>
              </w:rPr>
              <w:t>0.6592</w:t>
            </w:r>
          </w:p>
        </w:tc>
      </w:tr>
    </w:tbl>
    <w:p w14:paraId="05517DD9" w14:textId="0FADBE49" w:rsidR="00D772A7" w:rsidRPr="00C473E5" w:rsidRDefault="00D772A7">
      <w:pPr>
        <w:spacing w:line="360" w:lineRule="auto"/>
        <w:jc w:val="both"/>
        <w:rPr>
          <w:rFonts w:ascii="Book Antiqua" w:hAnsi="Book Antiqua"/>
        </w:rPr>
      </w:pPr>
      <w:r w:rsidRPr="00D772A7">
        <w:rPr>
          <w:rFonts w:ascii="Book Antiqua" w:hAnsi="Book Antiqua"/>
        </w:rPr>
        <w:t>HBV</w:t>
      </w:r>
      <w:r>
        <w:rPr>
          <w:rFonts w:ascii="Book Antiqua" w:hAnsi="Book Antiqua"/>
        </w:rPr>
        <w:t>:</w:t>
      </w:r>
      <w:r w:rsidRPr="00D772A7">
        <w:rPr>
          <w:rFonts w:ascii="Book Antiqua" w:hAnsi="Book Antiqua"/>
        </w:rPr>
        <w:t xml:space="preserve"> </w:t>
      </w:r>
      <w:r>
        <w:rPr>
          <w:rFonts w:ascii="Book Antiqua" w:hAnsi="Book Antiqua"/>
        </w:rPr>
        <w:t>H</w:t>
      </w:r>
      <w:r w:rsidRPr="00D772A7">
        <w:rPr>
          <w:rFonts w:ascii="Book Antiqua" w:hAnsi="Book Antiqua"/>
        </w:rPr>
        <w:t xml:space="preserve">epatitis B virus; </w:t>
      </w:r>
      <w:r>
        <w:rPr>
          <w:rFonts w:ascii="Book Antiqua" w:eastAsia="Book Antiqua" w:hAnsi="Book Antiqua" w:cs="Book Antiqua"/>
          <w:color w:val="000000"/>
        </w:rPr>
        <w:t>HBeAg:</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xml:space="preserve">; </w:t>
      </w:r>
      <w:r w:rsidRPr="00F35C39">
        <w:rPr>
          <w:rFonts w:ascii="Book Antiqua" w:hAnsi="Book Antiqua" w:cs="AdvOT7fe89a09"/>
        </w:rPr>
        <w:t>HBeAb</w:t>
      </w:r>
      <w:r>
        <w:rPr>
          <w:rFonts w:ascii="Book Antiqua" w:hAnsi="Book Antiqua" w:cs="AdvOT7fe89a09"/>
        </w:rPr>
        <w:t>:</w:t>
      </w:r>
      <w:r w:rsidRPr="00D772A7">
        <w:rPr>
          <w:rFonts w:ascii="Book Antiqua" w:hAnsi="Book Antiqua"/>
        </w:rPr>
        <w:t xml:space="preserve"> </w:t>
      </w:r>
      <w:r>
        <w:rPr>
          <w:rFonts w:ascii="Book Antiqua" w:hAnsi="Book Antiqua"/>
        </w:rPr>
        <w:t>H</w:t>
      </w:r>
      <w:r w:rsidRPr="00C46357">
        <w:rPr>
          <w:rFonts w:ascii="Book Antiqua" w:hAnsi="Book Antiqua"/>
        </w:rPr>
        <w:t>epatitis B e</w:t>
      </w:r>
      <w:r w:rsidRPr="00D772A7">
        <w:rPr>
          <w:rFonts w:ascii="Book Antiqua" w:hAnsi="Book Antiqua"/>
        </w:rPr>
        <w:t xml:space="preserve"> </w:t>
      </w:r>
      <w:r>
        <w:rPr>
          <w:rFonts w:ascii="Book Antiqua" w:hAnsi="Book Antiqua"/>
        </w:rPr>
        <w:t xml:space="preserve">antibody; </w:t>
      </w:r>
      <w:r w:rsidRPr="00D772A7">
        <w:rPr>
          <w:rFonts w:ascii="Book Antiqua" w:hAnsi="Book Antiqua"/>
        </w:rPr>
        <w:t>ALT</w:t>
      </w:r>
      <w:r>
        <w:rPr>
          <w:rFonts w:ascii="Book Antiqua" w:hAnsi="Book Antiqua"/>
        </w:rPr>
        <w:t>:</w:t>
      </w:r>
      <w:r w:rsidRPr="00D772A7">
        <w:rPr>
          <w:rFonts w:ascii="Book Antiqua" w:hAnsi="Book Antiqua"/>
        </w:rPr>
        <w:t xml:space="preserve"> </w:t>
      </w:r>
      <w:r>
        <w:rPr>
          <w:rFonts w:ascii="Book Antiqua" w:hAnsi="Book Antiqua"/>
        </w:rPr>
        <w:t>A</w:t>
      </w:r>
      <w:r w:rsidRPr="00D772A7">
        <w:rPr>
          <w:rFonts w:ascii="Book Antiqua" w:hAnsi="Book Antiqua"/>
        </w:rPr>
        <w:t>lanine transaminase</w:t>
      </w:r>
      <w:r w:rsidR="00C473E5">
        <w:rPr>
          <w:rFonts w:ascii="Book Antiqua" w:hAnsi="Book Antiqua"/>
        </w:rPr>
        <w:t xml:space="preserve">; </w:t>
      </w:r>
      <w:r w:rsidR="00C473E5" w:rsidRPr="00C473E5">
        <w:rPr>
          <w:rFonts w:ascii="Book Antiqua" w:hAnsi="Book Antiqua"/>
        </w:rPr>
        <w:t>HBsAg</w:t>
      </w:r>
      <w:r w:rsidR="00C473E5">
        <w:rPr>
          <w:rFonts w:ascii="Book Antiqua" w:hAnsi="Book Antiqua"/>
        </w:rPr>
        <w:t>:</w:t>
      </w:r>
      <w:r w:rsidR="00C473E5" w:rsidRPr="00C473E5">
        <w:rPr>
          <w:rFonts w:ascii="Book Antiqua" w:hAnsi="Book Antiqua"/>
        </w:rPr>
        <w:t xml:space="preserve"> Hepatitis</w:t>
      </w:r>
      <w:r w:rsidR="00C473E5">
        <w:rPr>
          <w:rFonts w:ascii="Book Antiqua" w:hAnsi="Book Antiqua"/>
        </w:rPr>
        <w:t xml:space="preserve"> </w:t>
      </w:r>
      <w:r w:rsidR="00C473E5" w:rsidRPr="00C473E5">
        <w:rPr>
          <w:rFonts w:ascii="Book Antiqua" w:hAnsi="Book Antiqua"/>
        </w:rPr>
        <w:t>B</w:t>
      </w:r>
      <w:r w:rsidR="00C473E5">
        <w:rPr>
          <w:rFonts w:ascii="Book Antiqua" w:hAnsi="Book Antiqua"/>
        </w:rPr>
        <w:t xml:space="preserve"> </w:t>
      </w:r>
      <w:r w:rsidR="00C473E5" w:rsidRPr="00C473E5">
        <w:rPr>
          <w:rFonts w:ascii="Book Antiqua" w:hAnsi="Book Antiqua"/>
        </w:rPr>
        <w:t>surface</w:t>
      </w:r>
      <w:r w:rsidR="00C473E5">
        <w:rPr>
          <w:rFonts w:ascii="Book Antiqua" w:hAnsi="Book Antiqua"/>
        </w:rPr>
        <w:t xml:space="preserve"> </w:t>
      </w:r>
      <w:r w:rsidR="00C473E5" w:rsidRPr="00C473E5">
        <w:rPr>
          <w:rFonts w:ascii="Book Antiqua" w:hAnsi="Book Antiqua"/>
        </w:rPr>
        <w:t>antigen</w:t>
      </w:r>
      <w:r w:rsidR="00C473E5">
        <w:rPr>
          <w:rFonts w:ascii="Book Antiqua" w:hAnsi="Book Antiqua"/>
        </w:rPr>
        <w:t>.</w:t>
      </w:r>
    </w:p>
    <w:p w14:paraId="1FCBB465" w14:textId="610F3CD3" w:rsidR="00F35C39" w:rsidRDefault="00D772A7">
      <w:pPr>
        <w:spacing w:line="360" w:lineRule="auto"/>
        <w:jc w:val="both"/>
        <w:rPr>
          <w:rFonts w:ascii="Book Antiqua" w:hAnsi="Book Antiqua"/>
          <w:b/>
          <w:bCs/>
        </w:rPr>
      </w:pPr>
      <w:r>
        <w:rPr>
          <w:rFonts w:ascii="Book Antiqua" w:hAnsi="Book Antiqua"/>
        </w:rPr>
        <w:br w:type="page"/>
      </w:r>
      <w:r w:rsidRPr="00D772A7">
        <w:rPr>
          <w:rFonts w:ascii="Book Antiqua" w:hAnsi="Book Antiqua"/>
          <w:b/>
          <w:bCs/>
        </w:rPr>
        <w:t xml:space="preserve">Table 2 </w:t>
      </w:r>
      <w:r w:rsidR="002B1CED">
        <w:rPr>
          <w:rFonts w:ascii="Book Antiqua" w:hAnsi="Book Antiqua"/>
          <w:b/>
          <w:bCs/>
        </w:rPr>
        <w:t>H</w:t>
      </w:r>
      <w:r w:rsidRPr="00D772A7">
        <w:rPr>
          <w:rFonts w:ascii="Book Antiqua" w:hAnsi="Book Antiqua"/>
          <w:b/>
          <w:bCs/>
        </w:rPr>
        <w:t>epatitis B virus DNA</w:t>
      </w:r>
      <w:r w:rsidR="002B1CED">
        <w:rPr>
          <w:rFonts w:ascii="Book Antiqua" w:hAnsi="Book Antiqua"/>
          <w:b/>
          <w:bCs/>
        </w:rPr>
        <w:t xml:space="preserve"> levels</w:t>
      </w:r>
      <w:r w:rsidRPr="00D772A7">
        <w:rPr>
          <w:rFonts w:ascii="Book Antiqua" w:hAnsi="Book Antiqua"/>
          <w:b/>
          <w:bCs/>
        </w:rPr>
        <w:t xml:space="preserve"> in trial participants in the two groups (log10 IU/mL)</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6"/>
        <w:gridCol w:w="506"/>
        <w:gridCol w:w="1881"/>
        <w:gridCol w:w="1881"/>
        <w:gridCol w:w="410"/>
        <w:gridCol w:w="1881"/>
        <w:gridCol w:w="1881"/>
      </w:tblGrid>
      <w:tr w:rsidR="00D772A7" w:rsidRPr="00D772A7" w14:paraId="2504E9C9" w14:textId="77777777" w:rsidTr="003E68D5">
        <w:tc>
          <w:tcPr>
            <w:tcW w:w="0" w:type="auto"/>
            <w:tcBorders>
              <w:top w:val="single" w:sz="4" w:space="0" w:color="auto"/>
              <w:bottom w:val="single" w:sz="4" w:space="0" w:color="auto"/>
            </w:tcBorders>
            <w:noWrap/>
            <w:hideMark/>
          </w:tcPr>
          <w:p w14:paraId="1EAFD054" w14:textId="77777777" w:rsidR="00D772A7" w:rsidRPr="00D772A7" w:rsidRDefault="00D772A7" w:rsidP="00D772A7">
            <w:pPr>
              <w:tabs>
                <w:tab w:val="left" w:pos="1140"/>
              </w:tabs>
              <w:spacing w:line="360" w:lineRule="auto"/>
              <w:jc w:val="both"/>
              <w:rPr>
                <w:rFonts w:ascii="Book Antiqua" w:hAnsi="Book Antiqua" w:cs="Times New Roman"/>
                <w:kern w:val="0"/>
              </w:rPr>
            </w:pPr>
            <w:r w:rsidRPr="00D772A7">
              <w:rPr>
                <w:rFonts w:ascii="Book Antiqua" w:hAnsi="Book Antiqua" w:cs="Times New Roman"/>
                <w:kern w:val="0"/>
              </w:rPr>
              <w:tab/>
            </w:r>
          </w:p>
        </w:tc>
        <w:tc>
          <w:tcPr>
            <w:tcW w:w="0" w:type="auto"/>
            <w:gridSpan w:val="3"/>
            <w:tcBorders>
              <w:top w:val="single" w:sz="4" w:space="0" w:color="auto"/>
              <w:bottom w:val="single" w:sz="4" w:space="0" w:color="auto"/>
            </w:tcBorders>
            <w:noWrap/>
            <w:hideMark/>
          </w:tcPr>
          <w:p w14:paraId="59D7EE39" w14:textId="77777777" w:rsidR="00D772A7" w:rsidRPr="00D772A7" w:rsidRDefault="00D772A7" w:rsidP="00D772A7">
            <w:pPr>
              <w:spacing w:line="360" w:lineRule="auto"/>
              <w:jc w:val="both"/>
              <w:rPr>
                <w:rFonts w:ascii="Book Antiqua" w:hAnsi="Book Antiqua" w:cs="Times New Roman"/>
                <w:b/>
                <w:kern w:val="0"/>
              </w:rPr>
            </w:pPr>
            <w:r w:rsidRPr="00D772A7">
              <w:rPr>
                <w:rFonts w:ascii="Book Antiqua" w:hAnsi="Book Antiqua" w:cs="Times New Roman"/>
                <w:b/>
                <w:kern w:val="0"/>
              </w:rPr>
              <w:t>HBeAg-positive CHB</w:t>
            </w:r>
          </w:p>
        </w:tc>
        <w:tc>
          <w:tcPr>
            <w:tcW w:w="0" w:type="auto"/>
            <w:gridSpan w:val="3"/>
            <w:tcBorders>
              <w:top w:val="single" w:sz="4" w:space="0" w:color="auto"/>
              <w:bottom w:val="single" w:sz="4" w:space="0" w:color="auto"/>
            </w:tcBorders>
            <w:noWrap/>
            <w:hideMark/>
          </w:tcPr>
          <w:p w14:paraId="4BDAD407" w14:textId="77777777" w:rsidR="00D772A7" w:rsidRPr="00D772A7" w:rsidRDefault="00D772A7" w:rsidP="00D772A7">
            <w:pPr>
              <w:spacing w:line="360" w:lineRule="auto"/>
              <w:jc w:val="both"/>
              <w:rPr>
                <w:rFonts w:ascii="Book Antiqua" w:hAnsi="Book Antiqua" w:cs="Times New Roman"/>
                <w:b/>
                <w:kern w:val="0"/>
              </w:rPr>
            </w:pPr>
            <w:r w:rsidRPr="00D772A7">
              <w:rPr>
                <w:rFonts w:ascii="Book Antiqua" w:hAnsi="Book Antiqua" w:cs="Times New Roman"/>
                <w:b/>
                <w:kern w:val="0"/>
              </w:rPr>
              <w:t>HBeAg-negative CHB</w:t>
            </w:r>
          </w:p>
        </w:tc>
      </w:tr>
      <w:tr w:rsidR="00D772A7" w:rsidRPr="00D772A7" w14:paraId="730FADAC" w14:textId="77777777" w:rsidTr="003E68D5">
        <w:tc>
          <w:tcPr>
            <w:tcW w:w="0" w:type="auto"/>
            <w:tcBorders>
              <w:top w:val="single" w:sz="4" w:space="0" w:color="auto"/>
              <w:bottom w:val="single" w:sz="4" w:space="0" w:color="auto"/>
            </w:tcBorders>
            <w:noWrap/>
            <w:hideMark/>
          </w:tcPr>
          <w:p w14:paraId="4889844F" w14:textId="77777777"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Group</w:t>
            </w:r>
          </w:p>
        </w:tc>
        <w:tc>
          <w:tcPr>
            <w:tcW w:w="0" w:type="auto"/>
            <w:tcBorders>
              <w:top w:val="single" w:sz="4" w:space="0" w:color="auto"/>
              <w:bottom w:val="single" w:sz="4" w:space="0" w:color="auto"/>
            </w:tcBorders>
            <w:noWrap/>
            <w:hideMark/>
          </w:tcPr>
          <w:p w14:paraId="5EA59EB1" w14:textId="7383E7BB" w:rsidR="00D772A7" w:rsidRPr="00D772A7" w:rsidRDefault="00D772A7" w:rsidP="00D772A7">
            <w:pPr>
              <w:spacing w:line="360" w:lineRule="auto"/>
              <w:jc w:val="both"/>
              <w:rPr>
                <w:rFonts w:ascii="Book Antiqua" w:hAnsi="Book Antiqua" w:cs="Times New Roman"/>
                <w:b/>
                <w:bCs/>
                <w:i/>
                <w:iCs/>
                <w:kern w:val="0"/>
              </w:rPr>
            </w:pPr>
            <w:r w:rsidRPr="00D772A7">
              <w:rPr>
                <w:rFonts w:ascii="Book Antiqua" w:hAnsi="Book Antiqua" w:cs="Times New Roman"/>
                <w:b/>
                <w:bCs/>
                <w:i/>
                <w:iCs/>
                <w:kern w:val="0"/>
              </w:rPr>
              <w:t>n</w:t>
            </w:r>
          </w:p>
        </w:tc>
        <w:tc>
          <w:tcPr>
            <w:tcW w:w="0" w:type="auto"/>
            <w:tcBorders>
              <w:top w:val="single" w:sz="4" w:space="0" w:color="auto"/>
              <w:bottom w:val="single" w:sz="4" w:space="0" w:color="auto"/>
            </w:tcBorders>
            <w:noWrap/>
            <w:hideMark/>
          </w:tcPr>
          <w:p w14:paraId="12C5DDE5" w14:textId="5E97BD58"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72 wk (mean ± SD)</w:t>
            </w:r>
          </w:p>
        </w:tc>
        <w:tc>
          <w:tcPr>
            <w:tcW w:w="0" w:type="auto"/>
            <w:tcBorders>
              <w:top w:val="single" w:sz="4" w:space="0" w:color="auto"/>
              <w:bottom w:val="single" w:sz="4" w:space="0" w:color="auto"/>
            </w:tcBorders>
            <w:noWrap/>
            <w:hideMark/>
          </w:tcPr>
          <w:p w14:paraId="4BDE5BC1" w14:textId="28EA8DB9"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96 wk (mean ± SD)</w:t>
            </w:r>
          </w:p>
        </w:tc>
        <w:tc>
          <w:tcPr>
            <w:tcW w:w="0" w:type="auto"/>
            <w:tcBorders>
              <w:top w:val="single" w:sz="4" w:space="0" w:color="auto"/>
              <w:bottom w:val="single" w:sz="4" w:space="0" w:color="auto"/>
            </w:tcBorders>
            <w:noWrap/>
            <w:hideMark/>
          </w:tcPr>
          <w:p w14:paraId="2C72D27B" w14:textId="77777777" w:rsidR="00D772A7" w:rsidRPr="00D772A7" w:rsidRDefault="00D772A7" w:rsidP="00D772A7">
            <w:pPr>
              <w:spacing w:line="360" w:lineRule="auto"/>
              <w:jc w:val="both"/>
              <w:rPr>
                <w:rFonts w:ascii="Book Antiqua" w:hAnsi="Book Antiqua" w:cs="Times New Roman"/>
                <w:b/>
                <w:bCs/>
                <w:i/>
                <w:iCs/>
                <w:kern w:val="0"/>
              </w:rPr>
            </w:pPr>
            <w:r w:rsidRPr="00D772A7">
              <w:rPr>
                <w:rFonts w:ascii="Book Antiqua" w:hAnsi="Book Antiqua" w:cs="Times New Roman"/>
                <w:b/>
                <w:bCs/>
                <w:i/>
                <w:iCs/>
                <w:kern w:val="0"/>
              </w:rPr>
              <w:t>n</w:t>
            </w:r>
          </w:p>
        </w:tc>
        <w:tc>
          <w:tcPr>
            <w:tcW w:w="0" w:type="auto"/>
            <w:tcBorders>
              <w:top w:val="single" w:sz="4" w:space="0" w:color="auto"/>
              <w:bottom w:val="single" w:sz="4" w:space="0" w:color="auto"/>
            </w:tcBorders>
            <w:noWrap/>
            <w:hideMark/>
          </w:tcPr>
          <w:p w14:paraId="4C018A94" w14:textId="7A7B7788"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72 wk (mean ± SD)</w:t>
            </w:r>
          </w:p>
        </w:tc>
        <w:tc>
          <w:tcPr>
            <w:tcW w:w="0" w:type="auto"/>
            <w:tcBorders>
              <w:top w:val="single" w:sz="4" w:space="0" w:color="auto"/>
              <w:bottom w:val="single" w:sz="4" w:space="0" w:color="auto"/>
            </w:tcBorders>
            <w:noWrap/>
            <w:hideMark/>
          </w:tcPr>
          <w:p w14:paraId="722E3E0F" w14:textId="6DA58C32" w:rsidR="00D772A7" w:rsidRPr="00D772A7" w:rsidRDefault="00D772A7" w:rsidP="00D772A7">
            <w:pPr>
              <w:spacing w:line="360" w:lineRule="auto"/>
              <w:jc w:val="both"/>
              <w:rPr>
                <w:rFonts w:ascii="Book Antiqua" w:hAnsi="Book Antiqua" w:cs="Times New Roman"/>
                <w:b/>
                <w:bCs/>
                <w:kern w:val="0"/>
              </w:rPr>
            </w:pPr>
            <w:r w:rsidRPr="00D772A7">
              <w:rPr>
                <w:rFonts w:ascii="Book Antiqua" w:hAnsi="Book Antiqua" w:cs="Times New Roman"/>
                <w:b/>
                <w:bCs/>
                <w:kern w:val="0"/>
              </w:rPr>
              <w:t>96 wk (mean ± SD)</w:t>
            </w:r>
          </w:p>
        </w:tc>
      </w:tr>
      <w:tr w:rsidR="00D772A7" w:rsidRPr="00D772A7" w14:paraId="5F1B7880" w14:textId="77777777" w:rsidTr="003E68D5">
        <w:tc>
          <w:tcPr>
            <w:tcW w:w="0" w:type="auto"/>
            <w:tcBorders>
              <w:top w:val="single" w:sz="4" w:space="0" w:color="auto"/>
            </w:tcBorders>
            <w:hideMark/>
          </w:tcPr>
          <w:p w14:paraId="3B8692CD"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A</w:t>
            </w:r>
          </w:p>
        </w:tc>
        <w:tc>
          <w:tcPr>
            <w:tcW w:w="0" w:type="auto"/>
            <w:tcBorders>
              <w:top w:val="single" w:sz="4" w:space="0" w:color="auto"/>
            </w:tcBorders>
            <w:hideMark/>
          </w:tcPr>
          <w:p w14:paraId="34BA8AEE"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114</w:t>
            </w:r>
          </w:p>
        </w:tc>
        <w:tc>
          <w:tcPr>
            <w:tcW w:w="0" w:type="auto"/>
            <w:tcBorders>
              <w:top w:val="single" w:sz="4" w:space="0" w:color="auto"/>
            </w:tcBorders>
            <w:noWrap/>
            <w:hideMark/>
          </w:tcPr>
          <w:p w14:paraId="737098BC" w14:textId="460D23E4"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1.55</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0.73</w:t>
            </w:r>
          </w:p>
        </w:tc>
        <w:tc>
          <w:tcPr>
            <w:tcW w:w="0" w:type="auto"/>
            <w:tcBorders>
              <w:top w:val="single" w:sz="4" w:space="0" w:color="auto"/>
            </w:tcBorders>
            <w:noWrap/>
            <w:hideMark/>
          </w:tcPr>
          <w:p w14:paraId="41A0610D" w14:textId="3E16EF50"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1.50</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0.70</w:t>
            </w:r>
          </w:p>
        </w:tc>
        <w:tc>
          <w:tcPr>
            <w:tcW w:w="0" w:type="auto"/>
            <w:tcBorders>
              <w:top w:val="single" w:sz="4" w:space="0" w:color="auto"/>
            </w:tcBorders>
            <w:noWrap/>
            <w:hideMark/>
          </w:tcPr>
          <w:p w14:paraId="40B81A32"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47</w:t>
            </w:r>
          </w:p>
        </w:tc>
        <w:tc>
          <w:tcPr>
            <w:tcW w:w="0" w:type="auto"/>
            <w:tcBorders>
              <w:top w:val="single" w:sz="4" w:space="0" w:color="auto"/>
            </w:tcBorders>
            <w:noWrap/>
            <w:hideMark/>
          </w:tcPr>
          <w:p w14:paraId="71D1CE45" w14:textId="6A72837D"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1.38</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0.30</w:t>
            </w:r>
          </w:p>
        </w:tc>
        <w:tc>
          <w:tcPr>
            <w:tcW w:w="0" w:type="auto"/>
            <w:tcBorders>
              <w:top w:val="single" w:sz="4" w:space="0" w:color="auto"/>
            </w:tcBorders>
            <w:noWrap/>
            <w:hideMark/>
          </w:tcPr>
          <w:p w14:paraId="18E332AB" w14:textId="5461FEF8"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1.41</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0.36</w:t>
            </w:r>
          </w:p>
        </w:tc>
      </w:tr>
      <w:tr w:rsidR="00D772A7" w:rsidRPr="00D772A7" w14:paraId="2C1E1F99" w14:textId="77777777" w:rsidTr="003E68D5">
        <w:tc>
          <w:tcPr>
            <w:tcW w:w="0" w:type="auto"/>
            <w:hideMark/>
          </w:tcPr>
          <w:p w14:paraId="3BEAB10C"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B</w:t>
            </w:r>
          </w:p>
        </w:tc>
        <w:tc>
          <w:tcPr>
            <w:tcW w:w="0" w:type="auto"/>
            <w:hideMark/>
          </w:tcPr>
          <w:p w14:paraId="3596FE70"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118</w:t>
            </w:r>
          </w:p>
        </w:tc>
        <w:tc>
          <w:tcPr>
            <w:tcW w:w="0" w:type="auto"/>
            <w:noWrap/>
            <w:hideMark/>
          </w:tcPr>
          <w:p w14:paraId="7CABE9CC" w14:textId="59E2E6E8"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1.54</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0.61</w:t>
            </w:r>
          </w:p>
        </w:tc>
        <w:tc>
          <w:tcPr>
            <w:tcW w:w="0" w:type="auto"/>
            <w:noWrap/>
            <w:hideMark/>
          </w:tcPr>
          <w:p w14:paraId="6A353284" w14:textId="2256D5A0"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1.56</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0.84</w:t>
            </w:r>
          </w:p>
        </w:tc>
        <w:tc>
          <w:tcPr>
            <w:tcW w:w="0" w:type="auto"/>
            <w:noWrap/>
            <w:hideMark/>
          </w:tcPr>
          <w:p w14:paraId="15DFD217"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51</w:t>
            </w:r>
          </w:p>
        </w:tc>
        <w:tc>
          <w:tcPr>
            <w:tcW w:w="0" w:type="auto"/>
            <w:noWrap/>
            <w:hideMark/>
          </w:tcPr>
          <w:p w14:paraId="468B718E" w14:textId="0369CC9D"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1.36</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0.25</w:t>
            </w:r>
          </w:p>
        </w:tc>
        <w:tc>
          <w:tcPr>
            <w:tcW w:w="0" w:type="auto"/>
            <w:noWrap/>
            <w:hideMark/>
          </w:tcPr>
          <w:p w14:paraId="6E902D13" w14:textId="066C0EAB"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1.32</w:t>
            </w:r>
            <w:r>
              <w:rPr>
                <w:rFonts w:ascii="Book Antiqua" w:hAnsi="Book Antiqua" w:cs="Times New Roman"/>
                <w:kern w:val="0"/>
              </w:rPr>
              <w:t xml:space="preserve"> </w:t>
            </w:r>
            <w:r w:rsidRPr="00D772A7">
              <w:rPr>
                <w:rFonts w:ascii="Book Antiqua" w:hAnsi="Book Antiqua" w:cs="Times New Roman"/>
                <w:kern w:val="0"/>
              </w:rPr>
              <w:t>±</w:t>
            </w:r>
            <w:r>
              <w:rPr>
                <w:rFonts w:ascii="Book Antiqua" w:hAnsi="Book Antiqua" w:cs="Times New Roman"/>
                <w:kern w:val="0"/>
              </w:rPr>
              <w:t xml:space="preserve"> </w:t>
            </w:r>
            <w:r w:rsidRPr="00D772A7">
              <w:rPr>
                <w:rFonts w:ascii="Book Antiqua" w:hAnsi="Book Antiqua" w:cs="Times New Roman"/>
                <w:kern w:val="0"/>
              </w:rPr>
              <w:t>0.10</w:t>
            </w:r>
          </w:p>
        </w:tc>
      </w:tr>
      <w:tr w:rsidR="00D772A7" w:rsidRPr="00D772A7" w14:paraId="56161715" w14:textId="77777777" w:rsidTr="003E68D5">
        <w:tc>
          <w:tcPr>
            <w:tcW w:w="0" w:type="auto"/>
            <w:tcBorders>
              <w:bottom w:val="single" w:sz="4" w:space="0" w:color="auto"/>
            </w:tcBorders>
            <w:noWrap/>
            <w:hideMark/>
          </w:tcPr>
          <w:p w14:paraId="1AAF076D"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AdvOT7fe89a09"/>
                <w:i/>
                <w:kern w:val="0"/>
              </w:rPr>
              <w:t xml:space="preserve">P </w:t>
            </w:r>
            <w:r w:rsidRPr="00D772A7">
              <w:rPr>
                <w:rFonts w:ascii="Book Antiqua" w:hAnsi="Book Antiqua" w:cs="AdvOT7fe89a09"/>
                <w:kern w:val="0"/>
              </w:rPr>
              <w:t>value</w:t>
            </w:r>
          </w:p>
        </w:tc>
        <w:tc>
          <w:tcPr>
            <w:tcW w:w="0" w:type="auto"/>
            <w:tcBorders>
              <w:bottom w:val="single" w:sz="4" w:space="0" w:color="auto"/>
            </w:tcBorders>
            <w:noWrap/>
            <w:hideMark/>
          </w:tcPr>
          <w:p w14:paraId="47BCA814" w14:textId="77777777" w:rsidR="00D772A7" w:rsidRPr="00D772A7" w:rsidRDefault="00D772A7" w:rsidP="00D772A7">
            <w:pPr>
              <w:spacing w:line="360" w:lineRule="auto"/>
              <w:jc w:val="both"/>
              <w:rPr>
                <w:rFonts w:ascii="Book Antiqua" w:hAnsi="Book Antiqua" w:cs="Times New Roman"/>
                <w:kern w:val="0"/>
              </w:rPr>
            </w:pPr>
          </w:p>
        </w:tc>
        <w:tc>
          <w:tcPr>
            <w:tcW w:w="0" w:type="auto"/>
            <w:tcBorders>
              <w:bottom w:val="single" w:sz="4" w:space="0" w:color="auto"/>
            </w:tcBorders>
            <w:noWrap/>
            <w:hideMark/>
          </w:tcPr>
          <w:p w14:paraId="2B88EC0C"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0.8570</w:t>
            </w:r>
          </w:p>
        </w:tc>
        <w:tc>
          <w:tcPr>
            <w:tcW w:w="0" w:type="auto"/>
            <w:tcBorders>
              <w:bottom w:val="single" w:sz="4" w:space="0" w:color="auto"/>
            </w:tcBorders>
            <w:noWrap/>
            <w:hideMark/>
          </w:tcPr>
          <w:p w14:paraId="3ED44799"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0.5579</w:t>
            </w:r>
          </w:p>
        </w:tc>
        <w:tc>
          <w:tcPr>
            <w:tcW w:w="0" w:type="auto"/>
            <w:tcBorders>
              <w:bottom w:val="single" w:sz="4" w:space="0" w:color="auto"/>
            </w:tcBorders>
            <w:noWrap/>
            <w:hideMark/>
          </w:tcPr>
          <w:p w14:paraId="70CB9E1B" w14:textId="77777777" w:rsidR="00D772A7" w:rsidRPr="00D772A7" w:rsidRDefault="00D772A7" w:rsidP="00D772A7">
            <w:pPr>
              <w:spacing w:line="360" w:lineRule="auto"/>
              <w:jc w:val="both"/>
              <w:rPr>
                <w:rFonts w:ascii="Book Antiqua" w:hAnsi="Book Antiqua" w:cs="Times New Roman"/>
                <w:kern w:val="0"/>
              </w:rPr>
            </w:pPr>
          </w:p>
        </w:tc>
        <w:tc>
          <w:tcPr>
            <w:tcW w:w="0" w:type="auto"/>
            <w:tcBorders>
              <w:bottom w:val="single" w:sz="4" w:space="0" w:color="auto"/>
            </w:tcBorders>
            <w:noWrap/>
            <w:hideMark/>
          </w:tcPr>
          <w:p w14:paraId="4E7D76BB"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0.7215</w:t>
            </w:r>
          </w:p>
        </w:tc>
        <w:tc>
          <w:tcPr>
            <w:tcW w:w="0" w:type="auto"/>
            <w:tcBorders>
              <w:bottom w:val="single" w:sz="4" w:space="0" w:color="auto"/>
            </w:tcBorders>
            <w:noWrap/>
            <w:hideMark/>
          </w:tcPr>
          <w:p w14:paraId="3E40C6C4" w14:textId="77777777" w:rsidR="00D772A7" w:rsidRPr="00D772A7" w:rsidRDefault="00D772A7" w:rsidP="00D772A7">
            <w:pPr>
              <w:spacing w:line="360" w:lineRule="auto"/>
              <w:jc w:val="both"/>
              <w:rPr>
                <w:rFonts w:ascii="Book Antiqua" w:hAnsi="Book Antiqua" w:cs="Times New Roman"/>
                <w:kern w:val="0"/>
              </w:rPr>
            </w:pPr>
            <w:r w:rsidRPr="00D772A7">
              <w:rPr>
                <w:rFonts w:ascii="Book Antiqua" w:hAnsi="Book Antiqua" w:cs="Times New Roman"/>
                <w:kern w:val="0"/>
              </w:rPr>
              <w:t>0.1177</w:t>
            </w:r>
          </w:p>
        </w:tc>
      </w:tr>
    </w:tbl>
    <w:p w14:paraId="73BD3F50" w14:textId="0742C261" w:rsidR="00D772A7" w:rsidRDefault="00D772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HBeAg:</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CHB: Chronic hepatitis B.</w:t>
      </w:r>
    </w:p>
    <w:p w14:paraId="26D2FD0E" w14:textId="209D5FEB" w:rsidR="00D772A7" w:rsidRDefault="00D772A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772A7">
        <w:rPr>
          <w:rFonts w:ascii="Book Antiqua" w:eastAsia="Book Antiqua" w:hAnsi="Book Antiqua" w:cs="Book Antiqua"/>
          <w:b/>
          <w:bCs/>
          <w:color w:val="000000"/>
        </w:rPr>
        <w:t>Table 3 Reductions in</w:t>
      </w:r>
      <w:r w:rsidR="002B1CED">
        <w:rPr>
          <w:rFonts w:ascii="Book Antiqua" w:eastAsia="Book Antiqua" w:hAnsi="Book Antiqua" w:cs="Book Antiqua"/>
          <w:b/>
          <w:bCs/>
          <w:color w:val="000000"/>
        </w:rPr>
        <w:t xml:space="preserve"> </w:t>
      </w:r>
      <w:r w:rsidRPr="00D772A7">
        <w:rPr>
          <w:rFonts w:ascii="Book Antiqua" w:hAnsi="Book Antiqua"/>
          <w:b/>
          <w:bCs/>
        </w:rPr>
        <w:t>hepatitis B virus</w:t>
      </w:r>
      <w:r w:rsidRPr="00D772A7">
        <w:rPr>
          <w:rFonts w:ascii="Book Antiqua" w:eastAsia="Book Antiqua" w:hAnsi="Book Antiqua" w:cs="Book Antiqua"/>
          <w:b/>
          <w:bCs/>
          <w:color w:val="000000"/>
        </w:rPr>
        <w:t xml:space="preserve"> DNA </w:t>
      </w:r>
      <w:r w:rsidR="002B1CED" w:rsidRPr="00D772A7">
        <w:rPr>
          <w:rFonts w:ascii="Book Antiqua" w:eastAsia="Book Antiqua" w:hAnsi="Book Antiqua" w:cs="Book Antiqua"/>
          <w:b/>
          <w:bCs/>
          <w:color w:val="000000"/>
        </w:rPr>
        <w:t xml:space="preserve">level </w:t>
      </w:r>
      <w:r w:rsidRPr="00D772A7">
        <w:rPr>
          <w:rFonts w:ascii="Book Antiqua" w:eastAsia="Book Antiqua" w:hAnsi="Book Antiqua" w:cs="Book Antiqua"/>
          <w:b/>
          <w:bCs/>
          <w:color w:val="000000"/>
        </w:rPr>
        <w:t>in trial part</w:t>
      </w:r>
      <w:r w:rsidR="003432C0">
        <w:rPr>
          <w:rFonts w:ascii="Book Antiqua" w:eastAsia="Book Antiqua" w:hAnsi="Book Antiqua" w:cs="Book Antiqua"/>
          <w:b/>
          <w:bCs/>
          <w:color w:val="000000"/>
        </w:rPr>
        <w:t>icipants in the two groups (log</w:t>
      </w:r>
      <w:r w:rsidRPr="00D772A7">
        <w:rPr>
          <w:rFonts w:ascii="Book Antiqua" w:eastAsia="Book Antiqua" w:hAnsi="Book Antiqua" w:cs="Book Antiqua"/>
          <w:b/>
          <w:bCs/>
          <w:color w:val="000000"/>
        </w:rPr>
        <w:t>10 IU/mL)</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23"/>
        <w:gridCol w:w="519"/>
        <w:gridCol w:w="1954"/>
        <w:gridCol w:w="1954"/>
        <w:gridCol w:w="418"/>
        <w:gridCol w:w="1954"/>
        <w:gridCol w:w="1954"/>
      </w:tblGrid>
      <w:tr w:rsidR="00711DAC" w:rsidRPr="00D772A7" w14:paraId="62937A49" w14:textId="77777777" w:rsidTr="003E68D5">
        <w:trPr>
          <w:trHeight w:val="482"/>
        </w:trPr>
        <w:tc>
          <w:tcPr>
            <w:tcW w:w="0" w:type="auto"/>
            <w:tcBorders>
              <w:top w:val="single" w:sz="4" w:space="0" w:color="auto"/>
              <w:bottom w:val="single" w:sz="4" w:space="0" w:color="auto"/>
            </w:tcBorders>
            <w:noWrap/>
          </w:tcPr>
          <w:p w14:paraId="77227A72" w14:textId="77777777" w:rsidR="00711DAC" w:rsidRPr="00D772A7" w:rsidRDefault="00711DAC" w:rsidP="00D772A7">
            <w:pPr>
              <w:spacing w:line="360" w:lineRule="auto"/>
              <w:rPr>
                <w:rFonts w:ascii="Book Antiqua" w:hAnsi="Book Antiqua"/>
              </w:rPr>
            </w:pPr>
          </w:p>
        </w:tc>
        <w:tc>
          <w:tcPr>
            <w:tcW w:w="0" w:type="auto"/>
            <w:gridSpan w:val="3"/>
            <w:tcBorders>
              <w:top w:val="single" w:sz="4" w:space="0" w:color="auto"/>
              <w:bottom w:val="single" w:sz="4" w:space="0" w:color="auto"/>
            </w:tcBorders>
            <w:noWrap/>
          </w:tcPr>
          <w:p w14:paraId="606F8C14" w14:textId="4200EEC9" w:rsidR="00711DAC" w:rsidRPr="00D772A7" w:rsidRDefault="00711DAC" w:rsidP="00D772A7">
            <w:pPr>
              <w:spacing w:line="360" w:lineRule="auto"/>
              <w:rPr>
                <w:rFonts w:ascii="Book Antiqua" w:hAnsi="Book Antiqua"/>
              </w:rPr>
            </w:pPr>
            <w:r w:rsidRPr="00D772A7">
              <w:rPr>
                <w:rFonts w:ascii="Book Antiqua" w:hAnsi="Book Antiqua" w:cs="Times New Roman"/>
                <w:b/>
                <w:kern w:val="0"/>
              </w:rPr>
              <w:t>HBeAg-positive CHB</w:t>
            </w:r>
          </w:p>
        </w:tc>
        <w:tc>
          <w:tcPr>
            <w:tcW w:w="0" w:type="auto"/>
            <w:gridSpan w:val="3"/>
            <w:tcBorders>
              <w:top w:val="single" w:sz="4" w:space="0" w:color="auto"/>
              <w:bottom w:val="single" w:sz="4" w:space="0" w:color="auto"/>
            </w:tcBorders>
            <w:noWrap/>
          </w:tcPr>
          <w:p w14:paraId="2E67E39B" w14:textId="66E06927" w:rsidR="00711DAC" w:rsidRPr="00D772A7" w:rsidRDefault="00711DAC" w:rsidP="00D772A7">
            <w:pPr>
              <w:spacing w:line="360" w:lineRule="auto"/>
              <w:rPr>
                <w:rFonts w:ascii="Book Antiqua" w:hAnsi="Book Antiqua"/>
              </w:rPr>
            </w:pPr>
            <w:r w:rsidRPr="00D772A7">
              <w:rPr>
                <w:rFonts w:ascii="Book Antiqua" w:hAnsi="Book Antiqua" w:cs="Times New Roman"/>
                <w:b/>
                <w:kern w:val="0"/>
              </w:rPr>
              <w:t>HBeAg-negative CHB</w:t>
            </w:r>
          </w:p>
        </w:tc>
      </w:tr>
      <w:tr w:rsidR="00D772A7" w:rsidRPr="00D772A7" w14:paraId="72E04FC3" w14:textId="77777777" w:rsidTr="003E68D5">
        <w:trPr>
          <w:trHeight w:val="482"/>
        </w:trPr>
        <w:tc>
          <w:tcPr>
            <w:tcW w:w="0" w:type="auto"/>
            <w:tcBorders>
              <w:top w:val="single" w:sz="4" w:space="0" w:color="auto"/>
              <w:bottom w:val="single" w:sz="4" w:space="0" w:color="auto"/>
            </w:tcBorders>
            <w:noWrap/>
            <w:hideMark/>
          </w:tcPr>
          <w:p w14:paraId="0D0AE71A" w14:textId="77777777"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Group</w:t>
            </w:r>
          </w:p>
        </w:tc>
        <w:tc>
          <w:tcPr>
            <w:tcW w:w="0" w:type="auto"/>
            <w:tcBorders>
              <w:top w:val="single" w:sz="4" w:space="0" w:color="auto"/>
              <w:bottom w:val="single" w:sz="4" w:space="0" w:color="auto"/>
            </w:tcBorders>
            <w:noWrap/>
            <w:hideMark/>
          </w:tcPr>
          <w:p w14:paraId="76507F6C" w14:textId="77777777" w:rsidR="00D772A7" w:rsidRPr="00711DAC" w:rsidRDefault="00D772A7"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0" w:type="auto"/>
            <w:tcBorders>
              <w:top w:val="single" w:sz="4" w:space="0" w:color="auto"/>
              <w:bottom w:val="single" w:sz="4" w:space="0" w:color="auto"/>
            </w:tcBorders>
            <w:noWrap/>
            <w:hideMark/>
          </w:tcPr>
          <w:p w14:paraId="09354E2B" w14:textId="35150200"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72 wk (</w:t>
            </w:r>
            <w:r w:rsidR="00711DAC" w:rsidRPr="00711DAC">
              <w:rPr>
                <w:rFonts w:ascii="Book Antiqua" w:hAnsi="Book Antiqua" w:cs="Times New Roman"/>
                <w:b/>
                <w:bCs/>
                <w:kern w:val="0"/>
              </w:rPr>
              <w:t xml:space="preserve">mean </w:t>
            </w:r>
            <w:r w:rsidRPr="00711DAC">
              <w:rPr>
                <w:rFonts w:ascii="Book Antiqua" w:hAnsi="Book Antiqua" w:cs="Times New Roman"/>
                <w:b/>
                <w:bCs/>
                <w:kern w:val="0"/>
              </w:rPr>
              <w:t>±</w:t>
            </w:r>
            <w:r w:rsidR="00711DAC" w:rsidRPr="00711DAC">
              <w:rPr>
                <w:rFonts w:ascii="Book Antiqua" w:hAnsi="Book Antiqua" w:cs="Times New Roman"/>
                <w:b/>
                <w:bCs/>
                <w:kern w:val="0"/>
              </w:rPr>
              <w:t xml:space="preserve"> </w:t>
            </w:r>
            <w:r w:rsidRPr="00711DAC">
              <w:rPr>
                <w:rFonts w:ascii="Book Antiqua" w:hAnsi="Book Antiqua" w:cs="Times New Roman"/>
                <w:b/>
                <w:bCs/>
                <w:kern w:val="0"/>
              </w:rPr>
              <w:t>SD)</w:t>
            </w:r>
          </w:p>
        </w:tc>
        <w:tc>
          <w:tcPr>
            <w:tcW w:w="0" w:type="auto"/>
            <w:tcBorders>
              <w:top w:val="single" w:sz="4" w:space="0" w:color="auto"/>
              <w:bottom w:val="single" w:sz="4" w:space="0" w:color="auto"/>
            </w:tcBorders>
            <w:noWrap/>
            <w:hideMark/>
          </w:tcPr>
          <w:p w14:paraId="5D048BE1" w14:textId="4E06E352"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96 wk (</w:t>
            </w:r>
            <w:r w:rsidR="00711DAC" w:rsidRPr="00711DAC">
              <w:rPr>
                <w:rFonts w:ascii="Book Antiqua" w:hAnsi="Book Antiqua" w:cs="Times New Roman"/>
                <w:b/>
                <w:bCs/>
                <w:kern w:val="0"/>
              </w:rPr>
              <w:t xml:space="preserve">mean ± </w:t>
            </w:r>
            <w:r w:rsidRPr="00711DAC">
              <w:rPr>
                <w:rFonts w:ascii="Book Antiqua" w:hAnsi="Book Antiqua" w:cs="Times New Roman"/>
                <w:b/>
                <w:bCs/>
                <w:kern w:val="0"/>
              </w:rPr>
              <w:t>SD)</w:t>
            </w:r>
          </w:p>
        </w:tc>
        <w:tc>
          <w:tcPr>
            <w:tcW w:w="0" w:type="auto"/>
            <w:tcBorders>
              <w:top w:val="single" w:sz="4" w:space="0" w:color="auto"/>
              <w:bottom w:val="single" w:sz="4" w:space="0" w:color="auto"/>
            </w:tcBorders>
            <w:noWrap/>
            <w:hideMark/>
          </w:tcPr>
          <w:p w14:paraId="127722CA" w14:textId="77777777" w:rsidR="00D772A7" w:rsidRPr="00711DAC" w:rsidRDefault="00D772A7"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0" w:type="auto"/>
            <w:tcBorders>
              <w:top w:val="single" w:sz="4" w:space="0" w:color="auto"/>
              <w:bottom w:val="single" w:sz="4" w:space="0" w:color="auto"/>
            </w:tcBorders>
            <w:noWrap/>
            <w:hideMark/>
          </w:tcPr>
          <w:p w14:paraId="7F7E5002" w14:textId="66A9ACE8"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72 wk (</w:t>
            </w:r>
            <w:r w:rsidR="00711DAC" w:rsidRPr="00711DAC">
              <w:rPr>
                <w:rFonts w:ascii="Book Antiqua" w:hAnsi="Book Antiqua" w:cs="Times New Roman"/>
                <w:b/>
                <w:bCs/>
                <w:kern w:val="0"/>
              </w:rPr>
              <w:t xml:space="preserve">mean ± </w:t>
            </w:r>
            <w:r w:rsidRPr="00711DAC">
              <w:rPr>
                <w:rFonts w:ascii="Book Antiqua" w:hAnsi="Book Antiqua" w:cs="Times New Roman"/>
                <w:b/>
                <w:bCs/>
                <w:kern w:val="0"/>
              </w:rPr>
              <w:t xml:space="preserve">SD) </w:t>
            </w:r>
          </w:p>
        </w:tc>
        <w:tc>
          <w:tcPr>
            <w:tcW w:w="0" w:type="auto"/>
            <w:tcBorders>
              <w:top w:val="single" w:sz="4" w:space="0" w:color="auto"/>
              <w:bottom w:val="single" w:sz="4" w:space="0" w:color="auto"/>
            </w:tcBorders>
            <w:noWrap/>
            <w:hideMark/>
          </w:tcPr>
          <w:p w14:paraId="2BD05882" w14:textId="13E36B2A" w:rsidR="00D772A7" w:rsidRPr="00711DAC" w:rsidRDefault="00D772A7"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96 wk (</w:t>
            </w:r>
            <w:r w:rsidR="00711DAC" w:rsidRPr="00711DAC">
              <w:rPr>
                <w:rFonts w:ascii="Book Antiqua" w:hAnsi="Book Antiqua" w:cs="Times New Roman"/>
                <w:b/>
                <w:bCs/>
                <w:kern w:val="0"/>
              </w:rPr>
              <w:t xml:space="preserve">mean ± </w:t>
            </w:r>
            <w:r w:rsidRPr="00711DAC">
              <w:rPr>
                <w:rFonts w:ascii="Book Antiqua" w:hAnsi="Book Antiqua" w:cs="Times New Roman"/>
                <w:b/>
                <w:bCs/>
                <w:kern w:val="0"/>
              </w:rPr>
              <w:t>SD)</w:t>
            </w:r>
          </w:p>
        </w:tc>
      </w:tr>
      <w:tr w:rsidR="00D772A7" w:rsidRPr="00D772A7" w14:paraId="388613E3" w14:textId="77777777" w:rsidTr="003E68D5">
        <w:trPr>
          <w:trHeight w:val="336"/>
        </w:trPr>
        <w:tc>
          <w:tcPr>
            <w:tcW w:w="0" w:type="auto"/>
            <w:tcBorders>
              <w:top w:val="single" w:sz="4" w:space="0" w:color="auto"/>
            </w:tcBorders>
            <w:hideMark/>
          </w:tcPr>
          <w:p w14:paraId="2260D232"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A</w:t>
            </w:r>
          </w:p>
        </w:tc>
        <w:tc>
          <w:tcPr>
            <w:tcW w:w="0" w:type="auto"/>
            <w:tcBorders>
              <w:top w:val="single" w:sz="4" w:space="0" w:color="auto"/>
            </w:tcBorders>
            <w:hideMark/>
          </w:tcPr>
          <w:p w14:paraId="776C806F"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114</w:t>
            </w:r>
          </w:p>
        </w:tc>
        <w:tc>
          <w:tcPr>
            <w:tcW w:w="0" w:type="auto"/>
            <w:tcBorders>
              <w:top w:val="single" w:sz="4" w:space="0" w:color="auto"/>
            </w:tcBorders>
            <w:noWrap/>
            <w:hideMark/>
          </w:tcPr>
          <w:p w14:paraId="18880BFA" w14:textId="0F210CF5"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5.72</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1.01</w:t>
            </w:r>
          </w:p>
        </w:tc>
        <w:tc>
          <w:tcPr>
            <w:tcW w:w="0" w:type="auto"/>
            <w:tcBorders>
              <w:top w:val="single" w:sz="4" w:space="0" w:color="auto"/>
            </w:tcBorders>
            <w:noWrap/>
            <w:hideMark/>
          </w:tcPr>
          <w:p w14:paraId="36402DCB" w14:textId="4DECD4C6"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5.77</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0.99</w:t>
            </w:r>
          </w:p>
        </w:tc>
        <w:tc>
          <w:tcPr>
            <w:tcW w:w="0" w:type="auto"/>
            <w:tcBorders>
              <w:top w:val="single" w:sz="4" w:space="0" w:color="auto"/>
            </w:tcBorders>
            <w:noWrap/>
            <w:hideMark/>
          </w:tcPr>
          <w:p w14:paraId="57299285"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47</w:t>
            </w:r>
          </w:p>
        </w:tc>
        <w:tc>
          <w:tcPr>
            <w:tcW w:w="0" w:type="auto"/>
            <w:tcBorders>
              <w:top w:val="single" w:sz="4" w:space="0" w:color="auto"/>
            </w:tcBorders>
            <w:noWrap/>
            <w:hideMark/>
          </w:tcPr>
          <w:p w14:paraId="70E6E6FC" w14:textId="30C1D716"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4.49</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1.19</w:t>
            </w:r>
          </w:p>
        </w:tc>
        <w:tc>
          <w:tcPr>
            <w:tcW w:w="0" w:type="auto"/>
            <w:tcBorders>
              <w:top w:val="single" w:sz="4" w:space="0" w:color="auto"/>
            </w:tcBorders>
            <w:noWrap/>
            <w:hideMark/>
          </w:tcPr>
          <w:p w14:paraId="65383640" w14:textId="3B872628"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4.46</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1.19</w:t>
            </w:r>
          </w:p>
        </w:tc>
      </w:tr>
      <w:tr w:rsidR="00D772A7" w:rsidRPr="00D772A7" w14:paraId="12DAF0BC" w14:textId="77777777" w:rsidTr="003E68D5">
        <w:trPr>
          <w:trHeight w:val="336"/>
        </w:trPr>
        <w:tc>
          <w:tcPr>
            <w:tcW w:w="0" w:type="auto"/>
            <w:hideMark/>
          </w:tcPr>
          <w:p w14:paraId="0AB5AEC1"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B</w:t>
            </w:r>
          </w:p>
        </w:tc>
        <w:tc>
          <w:tcPr>
            <w:tcW w:w="0" w:type="auto"/>
            <w:hideMark/>
          </w:tcPr>
          <w:p w14:paraId="76FDD9EF"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118</w:t>
            </w:r>
          </w:p>
        </w:tc>
        <w:tc>
          <w:tcPr>
            <w:tcW w:w="0" w:type="auto"/>
            <w:noWrap/>
            <w:hideMark/>
          </w:tcPr>
          <w:p w14:paraId="039E8C08" w14:textId="0EED53B8"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5.75</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0.84</w:t>
            </w:r>
          </w:p>
        </w:tc>
        <w:tc>
          <w:tcPr>
            <w:tcW w:w="0" w:type="auto"/>
            <w:noWrap/>
            <w:hideMark/>
          </w:tcPr>
          <w:p w14:paraId="746EB917" w14:textId="7F9CDC08"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5.73</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1.01</w:t>
            </w:r>
          </w:p>
        </w:tc>
        <w:tc>
          <w:tcPr>
            <w:tcW w:w="0" w:type="auto"/>
            <w:noWrap/>
            <w:hideMark/>
          </w:tcPr>
          <w:p w14:paraId="56BF8B4F" w14:textId="77777777"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51</w:t>
            </w:r>
          </w:p>
        </w:tc>
        <w:tc>
          <w:tcPr>
            <w:tcW w:w="0" w:type="auto"/>
            <w:noWrap/>
            <w:hideMark/>
          </w:tcPr>
          <w:p w14:paraId="0D503B88" w14:textId="234113DF"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4.67</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1.22</w:t>
            </w:r>
          </w:p>
        </w:tc>
        <w:tc>
          <w:tcPr>
            <w:tcW w:w="0" w:type="auto"/>
            <w:noWrap/>
            <w:hideMark/>
          </w:tcPr>
          <w:p w14:paraId="5A087E1C" w14:textId="1BD7F48E" w:rsidR="00D772A7" w:rsidRPr="00D772A7" w:rsidRDefault="00D772A7" w:rsidP="00711DAC">
            <w:pPr>
              <w:spacing w:line="360" w:lineRule="auto"/>
              <w:jc w:val="both"/>
              <w:rPr>
                <w:rFonts w:ascii="Book Antiqua" w:hAnsi="Book Antiqua" w:cs="Times New Roman"/>
                <w:kern w:val="0"/>
              </w:rPr>
            </w:pPr>
            <w:r w:rsidRPr="00D772A7">
              <w:rPr>
                <w:rFonts w:ascii="Book Antiqua" w:hAnsi="Book Antiqua" w:cs="Times New Roman"/>
                <w:kern w:val="0"/>
              </w:rPr>
              <w:t>4.70</w:t>
            </w:r>
            <w:r w:rsidR="00711DAC">
              <w:rPr>
                <w:rFonts w:ascii="Book Antiqua" w:hAnsi="Book Antiqua" w:cs="Times New Roman"/>
                <w:kern w:val="0"/>
              </w:rPr>
              <w:t xml:space="preserve"> </w:t>
            </w:r>
            <w:r w:rsidRPr="00D772A7">
              <w:rPr>
                <w:rFonts w:ascii="Book Antiqua" w:hAnsi="Book Antiqua" w:cs="Times New Roman"/>
                <w:kern w:val="0"/>
              </w:rPr>
              <w:t>±</w:t>
            </w:r>
            <w:r w:rsidR="00711DAC">
              <w:rPr>
                <w:rFonts w:ascii="Book Antiqua" w:hAnsi="Book Antiqua" w:cs="Times New Roman"/>
                <w:kern w:val="0"/>
              </w:rPr>
              <w:t xml:space="preserve"> </w:t>
            </w:r>
            <w:r w:rsidRPr="00D772A7">
              <w:rPr>
                <w:rFonts w:ascii="Book Antiqua" w:hAnsi="Book Antiqua" w:cs="Times New Roman"/>
                <w:kern w:val="0"/>
              </w:rPr>
              <w:t>1.18</w:t>
            </w:r>
          </w:p>
        </w:tc>
      </w:tr>
      <w:tr w:rsidR="00711DAC" w:rsidRPr="00D772A7" w14:paraId="1D943B6D" w14:textId="77777777" w:rsidTr="003E68D5">
        <w:trPr>
          <w:trHeight w:val="336"/>
        </w:trPr>
        <w:tc>
          <w:tcPr>
            <w:tcW w:w="0" w:type="auto"/>
            <w:tcBorders>
              <w:bottom w:val="single" w:sz="4" w:space="0" w:color="auto"/>
            </w:tcBorders>
          </w:tcPr>
          <w:p w14:paraId="6A17742B" w14:textId="3E196B0C" w:rsidR="00711DAC" w:rsidRPr="00D772A7" w:rsidRDefault="00711DAC" w:rsidP="00711DAC">
            <w:pPr>
              <w:spacing w:line="360" w:lineRule="auto"/>
              <w:jc w:val="both"/>
              <w:rPr>
                <w:rFonts w:ascii="Book Antiqua" w:hAnsi="Book Antiqua"/>
              </w:rPr>
            </w:pPr>
            <w:r w:rsidRPr="00D772A7">
              <w:rPr>
                <w:rFonts w:ascii="Book Antiqua" w:hAnsi="Book Antiqua" w:cs="AdvOT7fe89a09"/>
                <w:i/>
                <w:kern w:val="0"/>
              </w:rPr>
              <w:t xml:space="preserve">P </w:t>
            </w:r>
            <w:r w:rsidRPr="00D772A7">
              <w:rPr>
                <w:rFonts w:ascii="Book Antiqua" w:hAnsi="Book Antiqua" w:cs="AdvOT7fe89a09"/>
                <w:kern w:val="0"/>
              </w:rPr>
              <w:t>value</w:t>
            </w:r>
          </w:p>
        </w:tc>
        <w:tc>
          <w:tcPr>
            <w:tcW w:w="0" w:type="auto"/>
            <w:tcBorders>
              <w:bottom w:val="single" w:sz="4" w:space="0" w:color="auto"/>
            </w:tcBorders>
          </w:tcPr>
          <w:p w14:paraId="20D08711" w14:textId="77777777" w:rsidR="00711DAC" w:rsidRPr="00D772A7" w:rsidRDefault="00711DAC" w:rsidP="00711DAC">
            <w:pPr>
              <w:spacing w:line="360" w:lineRule="auto"/>
              <w:jc w:val="both"/>
              <w:rPr>
                <w:rFonts w:ascii="Book Antiqua" w:hAnsi="Book Antiqua"/>
              </w:rPr>
            </w:pPr>
          </w:p>
        </w:tc>
        <w:tc>
          <w:tcPr>
            <w:tcW w:w="0" w:type="auto"/>
            <w:tcBorders>
              <w:bottom w:val="single" w:sz="4" w:space="0" w:color="auto"/>
            </w:tcBorders>
            <w:noWrap/>
          </w:tcPr>
          <w:p w14:paraId="7ADA4ACC" w14:textId="68D4888D"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0.8514</w:t>
            </w:r>
          </w:p>
        </w:tc>
        <w:tc>
          <w:tcPr>
            <w:tcW w:w="0" w:type="auto"/>
            <w:tcBorders>
              <w:bottom w:val="single" w:sz="4" w:space="0" w:color="auto"/>
            </w:tcBorders>
            <w:noWrap/>
          </w:tcPr>
          <w:p w14:paraId="23747A15" w14:textId="3C8788D3"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0.6843</w:t>
            </w:r>
          </w:p>
        </w:tc>
        <w:tc>
          <w:tcPr>
            <w:tcW w:w="0" w:type="auto"/>
            <w:tcBorders>
              <w:bottom w:val="single" w:sz="4" w:space="0" w:color="auto"/>
            </w:tcBorders>
            <w:noWrap/>
          </w:tcPr>
          <w:p w14:paraId="467C48C7" w14:textId="77777777" w:rsidR="00711DAC" w:rsidRPr="00D772A7" w:rsidRDefault="00711DAC" w:rsidP="00711DAC">
            <w:pPr>
              <w:spacing w:line="360" w:lineRule="auto"/>
              <w:jc w:val="both"/>
              <w:rPr>
                <w:rFonts w:ascii="Book Antiqua" w:hAnsi="Book Antiqua"/>
              </w:rPr>
            </w:pPr>
          </w:p>
        </w:tc>
        <w:tc>
          <w:tcPr>
            <w:tcW w:w="0" w:type="auto"/>
            <w:tcBorders>
              <w:bottom w:val="single" w:sz="4" w:space="0" w:color="auto"/>
            </w:tcBorders>
            <w:noWrap/>
          </w:tcPr>
          <w:p w14:paraId="2900C945" w14:textId="5C0E6393"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0.5528</w:t>
            </w:r>
          </w:p>
        </w:tc>
        <w:tc>
          <w:tcPr>
            <w:tcW w:w="0" w:type="auto"/>
            <w:tcBorders>
              <w:bottom w:val="single" w:sz="4" w:space="0" w:color="auto"/>
            </w:tcBorders>
            <w:noWrap/>
          </w:tcPr>
          <w:p w14:paraId="1E3620C7" w14:textId="2F0EE62E" w:rsidR="00711DAC" w:rsidRPr="00D772A7" w:rsidRDefault="00711DAC" w:rsidP="00711DAC">
            <w:pPr>
              <w:spacing w:line="360" w:lineRule="auto"/>
              <w:jc w:val="both"/>
              <w:rPr>
                <w:rFonts w:ascii="Book Antiqua" w:hAnsi="Book Antiqua"/>
              </w:rPr>
            </w:pPr>
            <w:r w:rsidRPr="00D772A7">
              <w:rPr>
                <w:rFonts w:ascii="Book Antiqua" w:hAnsi="Book Antiqua" w:cs="Times New Roman"/>
                <w:kern w:val="0"/>
              </w:rPr>
              <w:t>0.3644</w:t>
            </w:r>
          </w:p>
        </w:tc>
      </w:tr>
    </w:tbl>
    <w:p w14:paraId="6181A03C" w14:textId="70804F1C" w:rsidR="00711DAC" w:rsidRDefault="00711D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HBeAg:</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CHB: Chronic hepatitis B.</w:t>
      </w:r>
    </w:p>
    <w:p w14:paraId="3C53A8D2" w14:textId="50758F1D" w:rsidR="00D772A7" w:rsidRDefault="00711DA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11DAC">
        <w:rPr>
          <w:rFonts w:ascii="Book Antiqua" w:eastAsia="Book Antiqua" w:hAnsi="Book Antiqua" w:cs="Book Antiqua"/>
          <w:b/>
          <w:bCs/>
          <w:color w:val="000000"/>
        </w:rPr>
        <w:t xml:space="preserve">Table 4 </w:t>
      </w:r>
      <w:r w:rsidR="002B1CED">
        <w:rPr>
          <w:rFonts w:ascii="Book Antiqua" w:eastAsia="Book Antiqua" w:hAnsi="Book Antiqua" w:cs="Book Antiqua"/>
          <w:b/>
          <w:bCs/>
          <w:color w:val="000000"/>
        </w:rPr>
        <w:t>P</w:t>
      </w:r>
      <w:r w:rsidRPr="00711DAC">
        <w:rPr>
          <w:rFonts w:ascii="Book Antiqua" w:eastAsia="Book Antiqua" w:hAnsi="Book Antiqua" w:cs="Book Antiqua"/>
          <w:b/>
          <w:bCs/>
          <w:color w:val="000000"/>
        </w:rPr>
        <w:t xml:space="preserve">roportions of participants with undetectable levels of </w:t>
      </w:r>
      <w:r w:rsidRPr="00711DAC">
        <w:rPr>
          <w:rFonts w:ascii="Book Antiqua" w:hAnsi="Book Antiqua"/>
          <w:b/>
          <w:bCs/>
        </w:rPr>
        <w:t>hepatitis B virus</w:t>
      </w:r>
      <w:r w:rsidRPr="00711DAC">
        <w:rPr>
          <w:rFonts w:ascii="Book Antiqua" w:eastAsia="Book Antiqua" w:hAnsi="Book Antiqua" w:cs="Book Antiqua"/>
          <w:b/>
          <w:bCs/>
          <w:color w:val="000000"/>
        </w:rPr>
        <w:t xml:space="preserve"> DNA (&lt; 20 IU/mL) in the two groups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8"/>
        <w:gridCol w:w="576"/>
        <w:gridCol w:w="1216"/>
        <w:gridCol w:w="1216"/>
        <w:gridCol w:w="456"/>
        <w:gridCol w:w="1216"/>
        <w:gridCol w:w="1216"/>
      </w:tblGrid>
      <w:tr w:rsidR="00711DAC" w:rsidRPr="00711DAC" w14:paraId="220B0638" w14:textId="77777777" w:rsidTr="003E68D5">
        <w:trPr>
          <w:trHeight w:val="313"/>
        </w:trPr>
        <w:tc>
          <w:tcPr>
            <w:tcW w:w="0" w:type="auto"/>
            <w:tcBorders>
              <w:top w:val="single" w:sz="4" w:space="0" w:color="auto"/>
              <w:bottom w:val="single" w:sz="4" w:space="0" w:color="auto"/>
            </w:tcBorders>
            <w:noWrap/>
          </w:tcPr>
          <w:p w14:paraId="4C731EFB" w14:textId="77777777" w:rsidR="00711DAC" w:rsidRPr="00711DAC" w:rsidRDefault="00711DAC" w:rsidP="00711DAC">
            <w:pPr>
              <w:spacing w:line="360" w:lineRule="auto"/>
              <w:jc w:val="both"/>
              <w:rPr>
                <w:rFonts w:ascii="Book Antiqua" w:hAnsi="Book Antiqua"/>
              </w:rPr>
            </w:pPr>
          </w:p>
        </w:tc>
        <w:tc>
          <w:tcPr>
            <w:tcW w:w="0" w:type="auto"/>
            <w:gridSpan w:val="3"/>
            <w:tcBorders>
              <w:top w:val="single" w:sz="4" w:space="0" w:color="auto"/>
              <w:bottom w:val="single" w:sz="4" w:space="0" w:color="auto"/>
            </w:tcBorders>
            <w:noWrap/>
          </w:tcPr>
          <w:p w14:paraId="3CCEE544" w14:textId="2E4B4C22" w:rsidR="00711DAC" w:rsidRPr="00711DAC" w:rsidRDefault="00711DAC" w:rsidP="00711DAC">
            <w:pPr>
              <w:spacing w:line="360" w:lineRule="auto"/>
              <w:jc w:val="both"/>
              <w:rPr>
                <w:rFonts w:ascii="Book Antiqua" w:hAnsi="Book Antiqua"/>
              </w:rPr>
            </w:pPr>
            <w:r w:rsidRPr="00711DAC">
              <w:rPr>
                <w:rFonts w:ascii="Book Antiqua" w:hAnsi="Book Antiqua" w:cs="Times New Roman"/>
                <w:b/>
                <w:kern w:val="0"/>
              </w:rPr>
              <w:t>HBeAg-positive CHB</w:t>
            </w:r>
          </w:p>
        </w:tc>
        <w:tc>
          <w:tcPr>
            <w:tcW w:w="0" w:type="auto"/>
            <w:gridSpan w:val="3"/>
            <w:tcBorders>
              <w:top w:val="single" w:sz="4" w:space="0" w:color="auto"/>
              <w:bottom w:val="single" w:sz="4" w:space="0" w:color="auto"/>
            </w:tcBorders>
            <w:noWrap/>
          </w:tcPr>
          <w:p w14:paraId="30BB71D7" w14:textId="19B488A6" w:rsidR="00711DAC" w:rsidRPr="00711DAC" w:rsidRDefault="00711DAC" w:rsidP="00711DAC">
            <w:pPr>
              <w:spacing w:line="360" w:lineRule="auto"/>
              <w:jc w:val="both"/>
              <w:rPr>
                <w:rFonts w:ascii="Book Antiqua" w:hAnsi="Book Antiqua"/>
              </w:rPr>
            </w:pPr>
            <w:r w:rsidRPr="00711DAC">
              <w:rPr>
                <w:rFonts w:ascii="Book Antiqua" w:hAnsi="Book Antiqua" w:cs="Times New Roman"/>
                <w:b/>
                <w:kern w:val="0"/>
              </w:rPr>
              <w:t>HBeAg-negative CHB</w:t>
            </w:r>
          </w:p>
        </w:tc>
      </w:tr>
      <w:tr w:rsidR="00711DAC" w:rsidRPr="00711DAC" w14:paraId="11970ACD" w14:textId="77777777" w:rsidTr="003E68D5">
        <w:trPr>
          <w:trHeight w:val="313"/>
        </w:trPr>
        <w:tc>
          <w:tcPr>
            <w:tcW w:w="0" w:type="auto"/>
            <w:tcBorders>
              <w:top w:val="single" w:sz="4" w:space="0" w:color="auto"/>
              <w:bottom w:val="single" w:sz="4" w:space="0" w:color="auto"/>
            </w:tcBorders>
            <w:noWrap/>
            <w:hideMark/>
          </w:tcPr>
          <w:p w14:paraId="04331EFF" w14:textId="77777777"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Group</w:t>
            </w:r>
          </w:p>
        </w:tc>
        <w:tc>
          <w:tcPr>
            <w:tcW w:w="0" w:type="auto"/>
            <w:tcBorders>
              <w:top w:val="single" w:sz="4" w:space="0" w:color="auto"/>
              <w:bottom w:val="single" w:sz="4" w:space="0" w:color="auto"/>
            </w:tcBorders>
            <w:noWrap/>
            <w:hideMark/>
          </w:tcPr>
          <w:p w14:paraId="3838C074" w14:textId="77777777" w:rsidR="00711DAC" w:rsidRPr="00711DAC" w:rsidRDefault="00711DAC"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0" w:type="auto"/>
            <w:tcBorders>
              <w:top w:val="single" w:sz="4" w:space="0" w:color="auto"/>
              <w:bottom w:val="single" w:sz="4" w:space="0" w:color="auto"/>
            </w:tcBorders>
            <w:noWrap/>
            <w:hideMark/>
          </w:tcPr>
          <w:p w14:paraId="743BF53C" w14:textId="0C1B77F2"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72 wk</w:t>
            </w:r>
          </w:p>
        </w:tc>
        <w:tc>
          <w:tcPr>
            <w:tcW w:w="0" w:type="auto"/>
            <w:tcBorders>
              <w:top w:val="single" w:sz="4" w:space="0" w:color="auto"/>
              <w:bottom w:val="single" w:sz="4" w:space="0" w:color="auto"/>
            </w:tcBorders>
            <w:noWrap/>
            <w:hideMark/>
          </w:tcPr>
          <w:p w14:paraId="3B3BE97F" w14:textId="476B0C8E"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96 wk</w:t>
            </w:r>
          </w:p>
        </w:tc>
        <w:tc>
          <w:tcPr>
            <w:tcW w:w="0" w:type="auto"/>
            <w:tcBorders>
              <w:top w:val="single" w:sz="4" w:space="0" w:color="auto"/>
              <w:bottom w:val="single" w:sz="4" w:space="0" w:color="auto"/>
            </w:tcBorders>
            <w:noWrap/>
            <w:hideMark/>
          </w:tcPr>
          <w:p w14:paraId="047979CB" w14:textId="77777777" w:rsidR="00711DAC" w:rsidRPr="00711DAC" w:rsidRDefault="00711DAC" w:rsidP="00711DAC">
            <w:pPr>
              <w:spacing w:line="360" w:lineRule="auto"/>
              <w:jc w:val="both"/>
              <w:rPr>
                <w:rFonts w:ascii="Book Antiqua" w:hAnsi="Book Antiqua" w:cs="Times New Roman"/>
                <w:b/>
                <w:bCs/>
                <w:i/>
                <w:iCs/>
                <w:kern w:val="0"/>
              </w:rPr>
            </w:pPr>
            <w:r w:rsidRPr="00711DAC">
              <w:rPr>
                <w:rFonts w:ascii="Book Antiqua" w:hAnsi="Book Antiqua" w:cs="Times New Roman"/>
                <w:b/>
                <w:bCs/>
                <w:i/>
                <w:iCs/>
                <w:kern w:val="0"/>
              </w:rPr>
              <w:t>n</w:t>
            </w:r>
          </w:p>
        </w:tc>
        <w:tc>
          <w:tcPr>
            <w:tcW w:w="0" w:type="auto"/>
            <w:tcBorders>
              <w:top w:val="single" w:sz="4" w:space="0" w:color="auto"/>
              <w:bottom w:val="single" w:sz="4" w:space="0" w:color="auto"/>
            </w:tcBorders>
            <w:noWrap/>
            <w:hideMark/>
          </w:tcPr>
          <w:p w14:paraId="43420D41" w14:textId="70CD7C87"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72 wk</w:t>
            </w:r>
          </w:p>
        </w:tc>
        <w:tc>
          <w:tcPr>
            <w:tcW w:w="0" w:type="auto"/>
            <w:tcBorders>
              <w:top w:val="single" w:sz="4" w:space="0" w:color="auto"/>
              <w:bottom w:val="single" w:sz="4" w:space="0" w:color="auto"/>
            </w:tcBorders>
            <w:noWrap/>
            <w:hideMark/>
          </w:tcPr>
          <w:p w14:paraId="58034C68" w14:textId="162F28D4" w:rsidR="00711DAC" w:rsidRPr="00711DAC" w:rsidRDefault="00711DAC" w:rsidP="00711DAC">
            <w:pPr>
              <w:spacing w:line="360" w:lineRule="auto"/>
              <w:jc w:val="both"/>
              <w:rPr>
                <w:rFonts w:ascii="Book Antiqua" w:hAnsi="Book Antiqua" w:cs="Times New Roman"/>
                <w:b/>
                <w:bCs/>
                <w:kern w:val="0"/>
              </w:rPr>
            </w:pPr>
            <w:r w:rsidRPr="00711DAC">
              <w:rPr>
                <w:rFonts w:ascii="Book Antiqua" w:hAnsi="Book Antiqua" w:cs="Times New Roman"/>
                <w:b/>
                <w:bCs/>
                <w:kern w:val="0"/>
              </w:rPr>
              <w:t>96 wk</w:t>
            </w:r>
          </w:p>
        </w:tc>
      </w:tr>
      <w:tr w:rsidR="00711DAC" w:rsidRPr="00711DAC" w14:paraId="2F205BA5" w14:textId="77777777" w:rsidTr="003E68D5">
        <w:trPr>
          <w:trHeight w:val="311"/>
        </w:trPr>
        <w:tc>
          <w:tcPr>
            <w:tcW w:w="0" w:type="auto"/>
            <w:tcBorders>
              <w:top w:val="single" w:sz="4" w:space="0" w:color="auto"/>
            </w:tcBorders>
            <w:hideMark/>
          </w:tcPr>
          <w:p w14:paraId="6A8605DB"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A</w:t>
            </w:r>
          </w:p>
        </w:tc>
        <w:tc>
          <w:tcPr>
            <w:tcW w:w="0" w:type="auto"/>
            <w:tcBorders>
              <w:top w:val="single" w:sz="4" w:space="0" w:color="auto"/>
            </w:tcBorders>
            <w:hideMark/>
          </w:tcPr>
          <w:p w14:paraId="329B82EB"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114</w:t>
            </w:r>
          </w:p>
        </w:tc>
        <w:tc>
          <w:tcPr>
            <w:tcW w:w="0" w:type="auto"/>
            <w:tcBorders>
              <w:top w:val="single" w:sz="4" w:space="0" w:color="auto"/>
            </w:tcBorders>
            <w:noWrap/>
            <w:hideMark/>
          </w:tcPr>
          <w:p w14:paraId="12FA3B7A" w14:textId="14D540DB"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74</w:t>
            </w:r>
            <w:r>
              <w:rPr>
                <w:rFonts w:ascii="Book Antiqua" w:hAnsi="Book Antiqua" w:cs="Times New Roman"/>
                <w:kern w:val="0"/>
              </w:rPr>
              <w:t xml:space="preserve"> </w:t>
            </w:r>
            <w:r w:rsidRPr="00711DAC">
              <w:rPr>
                <w:rFonts w:ascii="Book Antiqua" w:hAnsi="Book Antiqua" w:cs="Times New Roman"/>
                <w:kern w:val="0"/>
              </w:rPr>
              <w:t>(64.91)</w:t>
            </w:r>
          </w:p>
        </w:tc>
        <w:tc>
          <w:tcPr>
            <w:tcW w:w="0" w:type="auto"/>
            <w:tcBorders>
              <w:top w:val="single" w:sz="4" w:space="0" w:color="auto"/>
            </w:tcBorders>
            <w:noWrap/>
            <w:hideMark/>
          </w:tcPr>
          <w:p w14:paraId="24C88373" w14:textId="471EC64A"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81</w:t>
            </w:r>
            <w:r>
              <w:rPr>
                <w:rFonts w:ascii="Book Antiqua" w:hAnsi="Book Antiqua" w:cs="Times New Roman"/>
                <w:kern w:val="0"/>
              </w:rPr>
              <w:t xml:space="preserve"> </w:t>
            </w:r>
            <w:r w:rsidRPr="00711DAC">
              <w:rPr>
                <w:rFonts w:ascii="Book Antiqua" w:hAnsi="Book Antiqua" w:cs="Times New Roman"/>
                <w:kern w:val="0"/>
              </w:rPr>
              <w:t>(71.05)</w:t>
            </w:r>
          </w:p>
        </w:tc>
        <w:tc>
          <w:tcPr>
            <w:tcW w:w="0" w:type="auto"/>
            <w:tcBorders>
              <w:top w:val="single" w:sz="4" w:space="0" w:color="auto"/>
            </w:tcBorders>
            <w:noWrap/>
            <w:hideMark/>
          </w:tcPr>
          <w:p w14:paraId="3B679B3C"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47</w:t>
            </w:r>
          </w:p>
        </w:tc>
        <w:tc>
          <w:tcPr>
            <w:tcW w:w="0" w:type="auto"/>
            <w:tcBorders>
              <w:top w:val="single" w:sz="4" w:space="0" w:color="auto"/>
            </w:tcBorders>
            <w:noWrap/>
            <w:hideMark/>
          </w:tcPr>
          <w:p w14:paraId="10BB1914" w14:textId="2A3E0224"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40</w:t>
            </w:r>
            <w:r>
              <w:rPr>
                <w:rFonts w:ascii="Book Antiqua" w:hAnsi="Book Antiqua" w:cs="Times New Roman"/>
                <w:kern w:val="0"/>
              </w:rPr>
              <w:t xml:space="preserve"> </w:t>
            </w:r>
            <w:r w:rsidRPr="00711DAC">
              <w:rPr>
                <w:rFonts w:ascii="Book Antiqua" w:hAnsi="Book Antiqua" w:cs="Times New Roman"/>
                <w:kern w:val="0"/>
              </w:rPr>
              <w:t>(85.11)</w:t>
            </w:r>
          </w:p>
        </w:tc>
        <w:tc>
          <w:tcPr>
            <w:tcW w:w="0" w:type="auto"/>
            <w:tcBorders>
              <w:top w:val="single" w:sz="4" w:space="0" w:color="auto"/>
            </w:tcBorders>
            <w:noWrap/>
            <w:hideMark/>
          </w:tcPr>
          <w:p w14:paraId="74BDC44B" w14:textId="14EF0F6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41</w:t>
            </w:r>
            <w:r>
              <w:rPr>
                <w:rFonts w:ascii="Book Antiqua" w:hAnsi="Book Antiqua" w:cs="Times New Roman"/>
                <w:kern w:val="0"/>
              </w:rPr>
              <w:t xml:space="preserve"> </w:t>
            </w:r>
            <w:r w:rsidRPr="00711DAC">
              <w:rPr>
                <w:rFonts w:ascii="Book Antiqua" w:hAnsi="Book Antiqua" w:cs="Times New Roman"/>
                <w:kern w:val="0"/>
              </w:rPr>
              <w:t>(87.23)</w:t>
            </w:r>
          </w:p>
        </w:tc>
      </w:tr>
      <w:tr w:rsidR="00711DAC" w:rsidRPr="00711DAC" w14:paraId="1D8CEE95" w14:textId="77777777" w:rsidTr="003E68D5">
        <w:trPr>
          <w:trHeight w:val="311"/>
        </w:trPr>
        <w:tc>
          <w:tcPr>
            <w:tcW w:w="0" w:type="auto"/>
            <w:hideMark/>
          </w:tcPr>
          <w:p w14:paraId="0768A016"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B</w:t>
            </w:r>
          </w:p>
        </w:tc>
        <w:tc>
          <w:tcPr>
            <w:tcW w:w="0" w:type="auto"/>
            <w:hideMark/>
          </w:tcPr>
          <w:p w14:paraId="53D228FC"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118</w:t>
            </w:r>
          </w:p>
        </w:tc>
        <w:tc>
          <w:tcPr>
            <w:tcW w:w="0" w:type="auto"/>
            <w:noWrap/>
            <w:hideMark/>
          </w:tcPr>
          <w:p w14:paraId="407B1FD7" w14:textId="5425BF0A"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81</w:t>
            </w:r>
            <w:r>
              <w:rPr>
                <w:rFonts w:ascii="Book Antiqua" w:hAnsi="Book Antiqua" w:cs="Times New Roman"/>
                <w:kern w:val="0"/>
              </w:rPr>
              <w:t xml:space="preserve"> </w:t>
            </w:r>
            <w:r w:rsidRPr="00711DAC">
              <w:rPr>
                <w:rFonts w:ascii="Book Antiqua" w:hAnsi="Book Antiqua" w:cs="Times New Roman"/>
                <w:kern w:val="0"/>
              </w:rPr>
              <w:t>(68.64)</w:t>
            </w:r>
          </w:p>
        </w:tc>
        <w:tc>
          <w:tcPr>
            <w:tcW w:w="0" w:type="auto"/>
            <w:noWrap/>
            <w:hideMark/>
          </w:tcPr>
          <w:p w14:paraId="4E816235" w14:textId="02A9CEB1"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92</w:t>
            </w:r>
            <w:r>
              <w:rPr>
                <w:rFonts w:ascii="Book Antiqua" w:hAnsi="Book Antiqua" w:cs="Times New Roman"/>
                <w:kern w:val="0"/>
              </w:rPr>
              <w:t xml:space="preserve"> </w:t>
            </w:r>
            <w:r w:rsidRPr="00711DAC">
              <w:rPr>
                <w:rFonts w:ascii="Book Antiqua" w:hAnsi="Book Antiqua" w:cs="Times New Roman"/>
                <w:kern w:val="0"/>
              </w:rPr>
              <w:t>(77.97)</w:t>
            </w:r>
          </w:p>
        </w:tc>
        <w:tc>
          <w:tcPr>
            <w:tcW w:w="0" w:type="auto"/>
            <w:noWrap/>
            <w:hideMark/>
          </w:tcPr>
          <w:p w14:paraId="54A162B2" w14:textId="77777777"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51</w:t>
            </w:r>
          </w:p>
        </w:tc>
        <w:tc>
          <w:tcPr>
            <w:tcW w:w="0" w:type="auto"/>
            <w:noWrap/>
            <w:hideMark/>
          </w:tcPr>
          <w:p w14:paraId="4E541F87" w14:textId="27E4F09A"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48</w:t>
            </w:r>
            <w:r>
              <w:rPr>
                <w:rFonts w:ascii="Book Antiqua" w:hAnsi="Book Antiqua" w:cs="Times New Roman"/>
                <w:kern w:val="0"/>
              </w:rPr>
              <w:t xml:space="preserve"> </w:t>
            </w:r>
            <w:r w:rsidRPr="00711DAC">
              <w:rPr>
                <w:rFonts w:ascii="Book Antiqua" w:hAnsi="Book Antiqua" w:cs="Times New Roman"/>
                <w:kern w:val="0"/>
              </w:rPr>
              <w:t>(94.12)</w:t>
            </w:r>
          </w:p>
        </w:tc>
        <w:tc>
          <w:tcPr>
            <w:tcW w:w="0" w:type="auto"/>
            <w:noWrap/>
            <w:hideMark/>
          </w:tcPr>
          <w:p w14:paraId="0C4A6838" w14:textId="322E9286" w:rsidR="00711DAC" w:rsidRPr="00711DAC" w:rsidRDefault="00711DAC" w:rsidP="00711DAC">
            <w:pPr>
              <w:spacing w:line="360" w:lineRule="auto"/>
              <w:jc w:val="both"/>
              <w:rPr>
                <w:rFonts w:ascii="Book Antiqua" w:hAnsi="Book Antiqua" w:cs="Times New Roman"/>
                <w:kern w:val="0"/>
              </w:rPr>
            </w:pPr>
            <w:r w:rsidRPr="00711DAC">
              <w:rPr>
                <w:rFonts w:ascii="Book Antiqua" w:hAnsi="Book Antiqua" w:cs="Times New Roman"/>
                <w:kern w:val="0"/>
              </w:rPr>
              <w:t>48</w:t>
            </w:r>
            <w:r>
              <w:rPr>
                <w:rFonts w:ascii="Book Antiqua" w:hAnsi="Book Antiqua" w:cs="Times New Roman"/>
                <w:kern w:val="0"/>
              </w:rPr>
              <w:t xml:space="preserve"> </w:t>
            </w:r>
            <w:r w:rsidRPr="00711DAC">
              <w:rPr>
                <w:rFonts w:ascii="Book Antiqua" w:hAnsi="Book Antiqua" w:cs="Times New Roman"/>
                <w:kern w:val="0"/>
              </w:rPr>
              <w:t>(94.12)</w:t>
            </w:r>
          </w:p>
        </w:tc>
      </w:tr>
      <w:tr w:rsidR="00711DAC" w:rsidRPr="00711DAC" w14:paraId="503F8032" w14:textId="77777777" w:rsidTr="003E68D5">
        <w:trPr>
          <w:trHeight w:val="311"/>
        </w:trPr>
        <w:tc>
          <w:tcPr>
            <w:tcW w:w="0" w:type="auto"/>
            <w:tcBorders>
              <w:bottom w:val="single" w:sz="4" w:space="0" w:color="auto"/>
            </w:tcBorders>
          </w:tcPr>
          <w:p w14:paraId="74452235" w14:textId="22FECA07" w:rsidR="00711DAC" w:rsidRPr="00711DAC" w:rsidRDefault="00711DAC" w:rsidP="00711DAC">
            <w:pPr>
              <w:spacing w:line="360" w:lineRule="auto"/>
              <w:jc w:val="both"/>
              <w:rPr>
                <w:rFonts w:ascii="Book Antiqua" w:hAnsi="Book Antiqua"/>
              </w:rPr>
            </w:pPr>
            <w:r w:rsidRPr="00711DAC">
              <w:rPr>
                <w:rFonts w:ascii="Book Antiqua" w:hAnsi="Book Antiqua" w:cs="AdvOT7fe89a09"/>
                <w:i/>
                <w:kern w:val="0"/>
              </w:rPr>
              <w:t xml:space="preserve">P </w:t>
            </w:r>
            <w:r w:rsidRPr="00711DAC">
              <w:rPr>
                <w:rFonts w:ascii="Book Antiqua" w:hAnsi="Book Antiqua" w:cs="AdvOT7fe89a09"/>
                <w:kern w:val="0"/>
              </w:rPr>
              <w:t>value</w:t>
            </w:r>
          </w:p>
        </w:tc>
        <w:tc>
          <w:tcPr>
            <w:tcW w:w="0" w:type="auto"/>
            <w:tcBorders>
              <w:bottom w:val="single" w:sz="4" w:space="0" w:color="auto"/>
            </w:tcBorders>
          </w:tcPr>
          <w:p w14:paraId="1B3E2F96" w14:textId="77777777" w:rsidR="00711DAC" w:rsidRPr="00711DAC" w:rsidRDefault="00711DAC" w:rsidP="00711DAC">
            <w:pPr>
              <w:spacing w:line="360" w:lineRule="auto"/>
              <w:jc w:val="both"/>
              <w:rPr>
                <w:rFonts w:ascii="Book Antiqua" w:hAnsi="Book Antiqua"/>
              </w:rPr>
            </w:pPr>
          </w:p>
        </w:tc>
        <w:tc>
          <w:tcPr>
            <w:tcW w:w="0" w:type="auto"/>
            <w:tcBorders>
              <w:bottom w:val="single" w:sz="4" w:space="0" w:color="auto"/>
            </w:tcBorders>
            <w:noWrap/>
          </w:tcPr>
          <w:p w14:paraId="3BB4495C" w14:textId="1959DF3A"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0.5788</w:t>
            </w:r>
          </w:p>
        </w:tc>
        <w:tc>
          <w:tcPr>
            <w:tcW w:w="0" w:type="auto"/>
            <w:tcBorders>
              <w:bottom w:val="single" w:sz="4" w:space="0" w:color="auto"/>
            </w:tcBorders>
            <w:noWrap/>
          </w:tcPr>
          <w:p w14:paraId="0E6F2D49" w14:textId="27D562D4"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0.2326</w:t>
            </w:r>
          </w:p>
        </w:tc>
        <w:tc>
          <w:tcPr>
            <w:tcW w:w="0" w:type="auto"/>
            <w:tcBorders>
              <w:bottom w:val="single" w:sz="4" w:space="0" w:color="auto"/>
            </w:tcBorders>
            <w:noWrap/>
          </w:tcPr>
          <w:p w14:paraId="5A28FB58" w14:textId="77777777" w:rsidR="00711DAC" w:rsidRPr="00711DAC" w:rsidRDefault="00711DAC" w:rsidP="00711DAC">
            <w:pPr>
              <w:spacing w:line="360" w:lineRule="auto"/>
              <w:jc w:val="both"/>
              <w:rPr>
                <w:rFonts w:ascii="Book Antiqua" w:hAnsi="Book Antiqua"/>
              </w:rPr>
            </w:pPr>
          </w:p>
        </w:tc>
        <w:tc>
          <w:tcPr>
            <w:tcW w:w="0" w:type="auto"/>
            <w:tcBorders>
              <w:bottom w:val="single" w:sz="4" w:space="0" w:color="auto"/>
            </w:tcBorders>
            <w:noWrap/>
          </w:tcPr>
          <w:p w14:paraId="713F5727" w14:textId="4BB9B215"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0.1877</w:t>
            </w:r>
          </w:p>
        </w:tc>
        <w:tc>
          <w:tcPr>
            <w:tcW w:w="0" w:type="auto"/>
            <w:tcBorders>
              <w:bottom w:val="single" w:sz="4" w:space="0" w:color="auto"/>
            </w:tcBorders>
            <w:noWrap/>
          </w:tcPr>
          <w:p w14:paraId="25FF5A7F" w14:textId="2DF1BFF3" w:rsidR="00711DAC" w:rsidRPr="00711DAC" w:rsidRDefault="00711DAC" w:rsidP="00711DAC">
            <w:pPr>
              <w:spacing w:line="360" w:lineRule="auto"/>
              <w:jc w:val="both"/>
              <w:rPr>
                <w:rFonts w:ascii="Book Antiqua" w:hAnsi="Book Antiqua"/>
              </w:rPr>
            </w:pPr>
            <w:r w:rsidRPr="00711DAC">
              <w:rPr>
                <w:rFonts w:ascii="Book Antiqua" w:hAnsi="Book Antiqua" w:cs="Times New Roman"/>
                <w:kern w:val="0"/>
              </w:rPr>
              <w:t>0.3046</w:t>
            </w:r>
          </w:p>
        </w:tc>
      </w:tr>
    </w:tbl>
    <w:p w14:paraId="3AA08DCC" w14:textId="1308CFD9" w:rsidR="00711DAC" w:rsidRDefault="00711DAC">
      <w:pPr>
        <w:spacing w:line="360" w:lineRule="auto"/>
        <w:jc w:val="both"/>
        <w:rPr>
          <w:rFonts w:ascii="Book Antiqua" w:eastAsia="Book Antiqua" w:hAnsi="Book Antiqua" w:cs="Book Antiqua"/>
          <w:color w:val="000000"/>
        </w:rPr>
      </w:pPr>
      <w:r w:rsidRPr="00C46357">
        <w:rPr>
          <w:rFonts w:ascii="Book Antiqua" w:hAnsi="Book Antiqua"/>
        </w:rPr>
        <w:t xml:space="preserve">Values are presented as </w:t>
      </w:r>
      <w:r w:rsidRPr="00711DAC">
        <w:rPr>
          <w:rFonts w:ascii="Book Antiqua" w:hAnsi="Book Antiqua"/>
          <w:i/>
          <w:iCs/>
        </w:rPr>
        <w:t>n</w:t>
      </w:r>
      <w:r w:rsidRPr="00C46357">
        <w:rPr>
          <w:rFonts w:ascii="Book Antiqua" w:hAnsi="Book Antiqua"/>
        </w:rPr>
        <w:t xml:space="preserve"> (%).</w:t>
      </w:r>
      <w:r>
        <w:rPr>
          <w:rFonts w:ascii="Book Antiqua" w:hAnsi="Book Antiqua"/>
        </w:rPr>
        <w:t xml:space="preserve"> </w:t>
      </w:r>
      <w:r>
        <w:rPr>
          <w:rFonts w:ascii="Book Antiqua" w:eastAsia="Book Antiqua" w:hAnsi="Book Antiqua" w:cs="Book Antiqua"/>
          <w:color w:val="000000"/>
        </w:rPr>
        <w:t>HBeAg:</w:t>
      </w:r>
      <w:r>
        <w:rPr>
          <w:rFonts w:ascii="Book Antiqua" w:hAnsi="Book Antiqua"/>
        </w:rPr>
        <w:t xml:space="preserve"> H</w:t>
      </w:r>
      <w:r w:rsidRPr="00C46357">
        <w:rPr>
          <w:rFonts w:ascii="Book Antiqua" w:hAnsi="Book Antiqua"/>
        </w:rPr>
        <w:t>epatitis B e antigen</w:t>
      </w:r>
      <w:r>
        <w:rPr>
          <w:rFonts w:ascii="Book Antiqua" w:eastAsia="Book Antiqua" w:hAnsi="Book Antiqua" w:cs="Book Antiqua"/>
          <w:color w:val="000000"/>
        </w:rPr>
        <w:t>; CHB: Chronic hepatitis B.</w:t>
      </w:r>
    </w:p>
    <w:p w14:paraId="44FF5912" w14:textId="49003615" w:rsidR="00711DAC" w:rsidRDefault="00711DA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11DAC">
        <w:rPr>
          <w:rFonts w:ascii="Book Antiqua" w:eastAsia="Book Antiqua" w:hAnsi="Book Antiqua" w:cs="Book Antiqua"/>
          <w:b/>
          <w:bCs/>
          <w:color w:val="000000"/>
        </w:rPr>
        <w:t xml:space="preserve">Table 5 </w:t>
      </w:r>
      <w:r w:rsidR="002B1CED">
        <w:rPr>
          <w:rFonts w:ascii="Book Antiqua" w:eastAsia="Book Antiqua" w:hAnsi="Book Antiqua" w:cs="Book Antiqua"/>
          <w:b/>
          <w:bCs/>
          <w:color w:val="000000"/>
        </w:rPr>
        <w:t>R</w:t>
      </w:r>
      <w:r w:rsidRPr="00711DAC">
        <w:rPr>
          <w:rFonts w:ascii="Book Antiqua" w:eastAsia="Book Antiqua" w:hAnsi="Book Antiqua" w:cs="Book Antiqua"/>
          <w:b/>
          <w:bCs/>
          <w:color w:val="000000"/>
        </w:rPr>
        <w:t xml:space="preserve">ates of </w:t>
      </w:r>
      <w:r w:rsidRPr="00711DAC">
        <w:rPr>
          <w:rFonts w:ascii="Book Antiqua" w:hAnsi="Book Antiqua"/>
          <w:b/>
          <w:bCs/>
        </w:rPr>
        <w:t>hepatitis B e antigen</w:t>
      </w:r>
      <w:r w:rsidRPr="00711DAC">
        <w:rPr>
          <w:rFonts w:ascii="Book Antiqua" w:eastAsia="Book Antiqua" w:hAnsi="Book Antiqua" w:cs="Book Antiqua"/>
          <w:b/>
          <w:bCs/>
          <w:color w:val="000000"/>
        </w:rPr>
        <w:t xml:space="preserve"> loss and </w:t>
      </w:r>
      <w:r w:rsidRPr="00711DAC">
        <w:rPr>
          <w:rFonts w:ascii="Book Antiqua" w:hAnsi="Book Antiqua"/>
          <w:b/>
          <w:bCs/>
        </w:rPr>
        <w:t>hepatitis B e antigen</w:t>
      </w:r>
      <w:r w:rsidRPr="00711DAC">
        <w:rPr>
          <w:rFonts w:ascii="Book Antiqua" w:eastAsia="Book Antiqua" w:hAnsi="Book Antiqua" w:cs="Book Antiqua"/>
          <w:b/>
          <w:bCs/>
          <w:color w:val="000000"/>
        </w:rPr>
        <w:t xml:space="preserve"> seroconversion in participants with </w:t>
      </w:r>
      <w:r w:rsidRPr="00711DAC">
        <w:rPr>
          <w:rFonts w:ascii="Book Antiqua" w:hAnsi="Book Antiqua"/>
          <w:b/>
          <w:bCs/>
        </w:rPr>
        <w:t>hepatitis B e antigen</w:t>
      </w:r>
      <w:r w:rsidRPr="00711DAC">
        <w:rPr>
          <w:rFonts w:ascii="Book Antiqua" w:eastAsia="Book Antiqua" w:hAnsi="Book Antiqua" w:cs="Book Antiqua"/>
          <w:b/>
          <w:bCs/>
          <w:color w:val="000000"/>
        </w:rPr>
        <w:t>-positive chronic hepatitis B at week 96</w:t>
      </w:r>
    </w:p>
    <w:tbl>
      <w:tblPr>
        <w:tblW w:w="0" w:type="auto"/>
        <w:tblLook w:val="0600" w:firstRow="0" w:lastRow="0" w:firstColumn="0" w:lastColumn="0" w:noHBand="1" w:noVBand="1"/>
      </w:tblPr>
      <w:tblGrid>
        <w:gridCol w:w="2339"/>
        <w:gridCol w:w="840"/>
        <w:gridCol w:w="2528"/>
        <w:gridCol w:w="1800"/>
        <w:gridCol w:w="1141"/>
        <w:gridCol w:w="928"/>
      </w:tblGrid>
      <w:tr w:rsidR="00711DAC" w:rsidRPr="00711DAC" w14:paraId="09E04845" w14:textId="77777777" w:rsidTr="003E68D5">
        <w:trPr>
          <w:trHeight w:val="176"/>
        </w:trPr>
        <w:tc>
          <w:tcPr>
            <w:tcW w:w="0" w:type="auto"/>
            <w:tcBorders>
              <w:top w:val="single" w:sz="4" w:space="0" w:color="auto"/>
              <w:bottom w:val="single" w:sz="4" w:space="0" w:color="auto"/>
            </w:tcBorders>
            <w:shd w:val="clear" w:color="auto" w:fill="auto"/>
            <w:noWrap/>
            <w:hideMark/>
          </w:tcPr>
          <w:p w14:paraId="1FC9DA0E" w14:textId="77777777" w:rsidR="00711DAC" w:rsidRPr="00711DAC" w:rsidRDefault="00711DAC" w:rsidP="00711DAC">
            <w:pPr>
              <w:spacing w:line="360" w:lineRule="auto"/>
              <w:jc w:val="both"/>
              <w:rPr>
                <w:rFonts w:ascii="宋体" w:eastAsia="宋体" w:hAnsi="宋体" w:cs="宋体"/>
              </w:rPr>
            </w:pPr>
          </w:p>
        </w:tc>
        <w:tc>
          <w:tcPr>
            <w:tcW w:w="0" w:type="auto"/>
            <w:tcBorders>
              <w:top w:val="single" w:sz="4" w:space="0" w:color="auto"/>
              <w:bottom w:val="single" w:sz="4" w:space="0" w:color="auto"/>
            </w:tcBorders>
            <w:shd w:val="clear" w:color="auto" w:fill="auto"/>
            <w:noWrap/>
            <w:hideMark/>
          </w:tcPr>
          <w:p w14:paraId="1DBF10EC" w14:textId="77777777"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Group</w:t>
            </w:r>
          </w:p>
        </w:tc>
        <w:tc>
          <w:tcPr>
            <w:tcW w:w="0" w:type="auto"/>
            <w:tcBorders>
              <w:top w:val="single" w:sz="4" w:space="0" w:color="auto"/>
              <w:bottom w:val="single" w:sz="4" w:space="0" w:color="auto"/>
            </w:tcBorders>
            <w:shd w:val="clear" w:color="auto" w:fill="auto"/>
            <w:noWrap/>
            <w:hideMark/>
          </w:tcPr>
          <w:p w14:paraId="45F8EC4D" w14:textId="77777777"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observations</w:t>
            </w:r>
          </w:p>
        </w:tc>
        <w:tc>
          <w:tcPr>
            <w:tcW w:w="0" w:type="auto"/>
            <w:tcBorders>
              <w:top w:val="single" w:sz="4" w:space="0" w:color="auto"/>
              <w:bottom w:val="single" w:sz="4" w:space="0" w:color="auto"/>
            </w:tcBorders>
            <w:shd w:val="clear" w:color="auto" w:fill="auto"/>
            <w:noWrap/>
            <w:hideMark/>
          </w:tcPr>
          <w:p w14:paraId="798E1325" w14:textId="5F7C9F92"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cases</w:t>
            </w:r>
          </w:p>
        </w:tc>
        <w:tc>
          <w:tcPr>
            <w:tcW w:w="0" w:type="auto"/>
            <w:tcBorders>
              <w:top w:val="single" w:sz="4" w:space="0" w:color="auto"/>
              <w:bottom w:val="single" w:sz="4" w:space="0" w:color="auto"/>
            </w:tcBorders>
            <w:shd w:val="clear" w:color="auto" w:fill="auto"/>
            <w:noWrap/>
            <w:hideMark/>
          </w:tcPr>
          <w:p w14:paraId="5A817617" w14:textId="77777777" w:rsidR="00711DAC" w:rsidRPr="00711DAC" w:rsidRDefault="00711DAC" w:rsidP="00711DAC">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Incidence</w:t>
            </w:r>
          </w:p>
        </w:tc>
        <w:tc>
          <w:tcPr>
            <w:tcW w:w="0" w:type="auto"/>
            <w:tcBorders>
              <w:top w:val="single" w:sz="4" w:space="0" w:color="auto"/>
              <w:bottom w:val="single" w:sz="4" w:space="0" w:color="auto"/>
            </w:tcBorders>
            <w:shd w:val="clear" w:color="auto" w:fill="auto"/>
            <w:noWrap/>
            <w:hideMark/>
          </w:tcPr>
          <w:p w14:paraId="339C2FBE" w14:textId="77777777" w:rsidR="00711DAC" w:rsidRPr="00711DAC" w:rsidRDefault="00711DAC" w:rsidP="00711DAC">
            <w:pPr>
              <w:spacing w:line="360" w:lineRule="auto"/>
              <w:jc w:val="both"/>
              <w:rPr>
                <w:rFonts w:ascii="Book Antiqua" w:eastAsia="宋体" w:hAnsi="Book Antiqua" w:cs="宋体"/>
                <w:b/>
                <w:i/>
                <w:iCs/>
                <w:color w:val="000000"/>
              </w:rPr>
            </w:pPr>
            <w:r w:rsidRPr="00711DAC">
              <w:rPr>
                <w:rFonts w:ascii="Book Antiqua" w:eastAsia="宋体" w:hAnsi="Book Antiqua" w:cs="宋体"/>
                <w:b/>
                <w:i/>
                <w:iCs/>
                <w:color w:val="000000"/>
              </w:rPr>
              <w:t xml:space="preserve">P </w:t>
            </w:r>
            <w:r w:rsidRPr="00711DAC">
              <w:rPr>
                <w:rFonts w:ascii="Book Antiqua" w:eastAsia="宋体" w:hAnsi="Book Antiqua" w:cs="宋体"/>
                <w:b/>
                <w:color w:val="000000"/>
              </w:rPr>
              <w:t>value</w:t>
            </w:r>
          </w:p>
        </w:tc>
      </w:tr>
      <w:tr w:rsidR="00711DAC" w:rsidRPr="00711DAC" w14:paraId="7BA5E9D9" w14:textId="77777777" w:rsidTr="003E68D5">
        <w:trPr>
          <w:trHeight w:val="171"/>
        </w:trPr>
        <w:tc>
          <w:tcPr>
            <w:tcW w:w="0" w:type="auto"/>
            <w:vMerge w:val="restart"/>
            <w:tcBorders>
              <w:top w:val="single" w:sz="4" w:space="0" w:color="auto"/>
            </w:tcBorders>
            <w:shd w:val="clear" w:color="auto" w:fill="auto"/>
            <w:hideMark/>
          </w:tcPr>
          <w:p w14:paraId="7C41340A" w14:textId="298F135A"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HBeAg</w:t>
            </w:r>
            <w:r>
              <w:rPr>
                <w:rFonts w:ascii="Book Antiqua" w:eastAsia="宋体" w:hAnsi="Book Antiqua" w:cs="宋体"/>
                <w:color w:val="000000"/>
              </w:rPr>
              <w:t xml:space="preserve"> l</w:t>
            </w:r>
            <w:r w:rsidRPr="00711DAC">
              <w:rPr>
                <w:rFonts w:ascii="Book Antiqua" w:eastAsia="宋体" w:hAnsi="Book Antiqua" w:cs="宋体"/>
                <w:color w:val="000000"/>
              </w:rPr>
              <w:t>oss</w:t>
            </w:r>
          </w:p>
        </w:tc>
        <w:tc>
          <w:tcPr>
            <w:tcW w:w="0" w:type="auto"/>
            <w:tcBorders>
              <w:top w:val="single" w:sz="4" w:space="0" w:color="auto"/>
            </w:tcBorders>
            <w:shd w:val="clear" w:color="auto" w:fill="auto"/>
            <w:noWrap/>
            <w:hideMark/>
          </w:tcPr>
          <w:p w14:paraId="6C764D94"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0" w:type="auto"/>
            <w:tcBorders>
              <w:top w:val="single" w:sz="4" w:space="0" w:color="auto"/>
            </w:tcBorders>
            <w:shd w:val="clear" w:color="auto" w:fill="auto"/>
            <w:noWrap/>
            <w:hideMark/>
          </w:tcPr>
          <w:p w14:paraId="118B20FA"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100</w:t>
            </w:r>
          </w:p>
        </w:tc>
        <w:tc>
          <w:tcPr>
            <w:tcW w:w="0" w:type="auto"/>
            <w:tcBorders>
              <w:top w:val="single" w:sz="4" w:space="0" w:color="auto"/>
            </w:tcBorders>
            <w:shd w:val="clear" w:color="auto" w:fill="auto"/>
            <w:noWrap/>
            <w:hideMark/>
          </w:tcPr>
          <w:p w14:paraId="217CD430"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31</w:t>
            </w:r>
          </w:p>
        </w:tc>
        <w:tc>
          <w:tcPr>
            <w:tcW w:w="0" w:type="auto"/>
            <w:tcBorders>
              <w:top w:val="single" w:sz="4" w:space="0" w:color="auto"/>
            </w:tcBorders>
            <w:shd w:val="clear" w:color="auto" w:fill="auto"/>
            <w:noWrap/>
            <w:hideMark/>
          </w:tcPr>
          <w:p w14:paraId="4CE50636"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31.00</w:t>
            </w:r>
          </w:p>
        </w:tc>
        <w:tc>
          <w:tcPr>
            <w:tcW w:w="0" w:type="auto"/>
            <w:tcBorders>
              <w:top w:val="single" w:sz="4" w:space="0" w:color="auto"/>
            </w:tcBorders>
            <w:shd w:val="clear" w:color="auto" w:fill="auto"/>
            <w:noWrap/>
            <w:hideMark/>
          </w:tcPr>
          <w:p w14:paraId="092C181E"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0.6482</w:t>
            </w:r>
          </w:p>
        </w:tc>
      </w:tr>
      <w:tr w:rsidR="00711DAC" w:rsidRPr="00711DAC" w14:paraId="6B1EF99D" w14:textId="77777777" w:rsidTr="003E68D5">
        <w:trPr>
          <w:trHeight w:val="171"/>
        </w:trPr>
        <w:tc>
          <w:tcPr>
            <w:tcW w:w="0" w:type="auto"/>
            <w:vMerge/>
            <w:shd w:val="clear" w:color="auto" w:fill="auto"/>
            <w:hideMark/>
          </w:tcPr>
          <w:p w14:paraId="27091774" w14:textId="04571A01" w:rsidR="00711DAC" w:rsidRPr="00711DAC" w:rsidRDefault="00711DAC" w:rsidP="00711DAC">
            <w:pPr>
              <w:spacing w:line="360" w:lineRule="auto"/>
              <w:jc w:val="both"/>
              <w:rPr>
                <w:rFonts w:ascii="Book Antiqua" w:eastAsia="宋体" w:hAnsi="Book Antiqua" w:cs="宋体"/>
                <w:color w:val="000000"/>
              </w:rPr>
            </w:pPr>
          </w:p>
        </w:tc>
        <w:tc>
          <w:tcPr>
            <w:tcW w:w="0" w:type="auto"/>
            <w:shd w:val="clear" w:color="auto" w:fill="auto"/>
            <w:noWrap/>
            <w:hideMark/>
          </w:tcPr>
          <w:p w14:paraId="22D58D17"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0" w:type="auto"/>
            <w:shd w:val="clear" w:color="auto" w:fill="auto"/>
            <w:noWrap/>
            <w:hideMark/>
          </w:tcPr>
          <w:p w14:paraId="75927DEC"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110</w:t>
            </w:r>
          </w:p>
        </w:tc>
        <w:tc>
          <w:tcPr>
            <w:tcW w:w="0" w:type="auto"/>
            <w:shd w:val="clear" w:color="auto" w:fill="auto"/>
            <w:noWrap/>
            <w:hideMark/>
          </w:tcPr>
          <w:p w14:paraId="0FF5CD62"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30</w:t>
            </w:r>
          </w:p>
        </w:tc>
        <w:tc>
          <w:tcPr>
            <w:tcW w:w="0" w:type="auto"/>
            <w:shd w:val="clear" w:color="auto" w:fill="auto"/>
            <w:noWrap/>
            <w:hideMark/>
          </w:tcPr>
          <w:p w14:paraId="63D4EBCF"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27.27</w:t>
            </w:r>
          </w:p>
        </w:tc>
        <w:tc>
          <w:tcPr>
            <w:tcW w:w="0" w:type="auto"/>
            <w:shd w:val="clear" w:color="auto" w:fill="auto"/>
            <w:noWrap/>
            <w:hideMark/>
          </w:tcPr>
          <w:p w14:paraId="7A6761C7" w14:textId="77777777" w:rsidR="00711DAC" w:rsidRPr="00711DAC" w:rsidRDefault="00711DAC" w:rsidP="00711DAC">
            <w:pPr>
              <w:spacing w:line="360" w:lineRule="auto"/>
              <w:jc w:val="both"/>
              <w:rPr>
                <w:rFonts w:ascii="Book Antiqua" w:eastAsia="宋体" w:hAnsi="Book Antiqua" w:cs="宋体"/>
                <w:color w:val="000000"/>
              </w:rPr>
            </w:pPr>
          </w:p>
        </w:tc>
      </w:tr>
      <w:tr w:rsidR="00711DAC" w:rsidRPr="00711DAC" w14:paraId="755E6956" w14:textId="77777777" w:rsidTr="003E68D5">
        <w:trPr>
          <w:trHeight w:val="171"/>
        </w:trPr>
        <w:tc>
          <w:tcPr>
            <w:tcW w:w="0" w:type="auto"/>
            <w:vMerge w:val="restart"/>
            <w:shd w:val="clear" w:color="auto" w:fill="auto"/>
            <w:noWrap/>
            <w:hideMark/>
          </w:tcPr>
          <w:p w14:paraId="1E5AF2A6" w14:textId="3D727455"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HBeAg</w:t>
            </w:r>
            <w:r>
              <w:rPr>
                <w:rFonts w:ascii="Book Antiqua" w:eastAsia="宋体" w:hAnsi="Book Antiqua" w:cs="宋体"/>
                <w:color w:val="000000"/>
              </w:rPr>
              <w:t xml:space="preserve"> s</w:t>
            </w:r>
            <w:r w:rsidRPr="00711DAC">
              <w:rPr>
                <w:rFonts w:ascii="Book Antiqua" w:eastAsia="宋体" w:hAnsi="Book Antiqua" w:cs="宋体"/>
                <w:color w:val="000000"/>
              </w:rPr>
              <w:t>eroconversion</w:t>
            </w:r>
          </w:p>
        </w:tc>
        <w:tc>
          <w:tcPr>
            <w:tcW w:w="0" w:type="auto"/>
            <w:shd w:val="clear" w:color="auto" w:fill="auto"/>
            <w:noWrap/>
            <w:hideMark/>
          </w:tcPr>
          <w:p w14:paraId="221B9276"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0" w:type="auto"/>
            <w:shd w:val="clear" w:color="auto" w:fill="auto"/>
            <w:noWrap/>
            <w:hideMark/>
          </w:tcPr>
          <w:p w14:paraId="16CE8FA3"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89</w:t>
            </w:r>
          </w:p>
        </w:tc>
        <w:tc>
          <w:tcPr>
            <w:tcW w:w="0" w:type="auto"/>
            <w:shd w:val="clear" w:color="auto" w:fill="auto"/>
            <w:noWrap/>
            <w:hideMark/>
          </w:tcPr>
          <w:p w14:paraId="0D6920BB"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18</w:t>
            </w:r>
          </w:p>
        </w:tc>
        <w:tc>
          <w:tcPr>
            <w:tcW w:w="0" w:type="auto"/>
            <w:shd w:val="clear" w:color="auto" w:fill="auto"/>
            <w:noWrap/>
            <w:hideMark/>
          </w:tcPr>
          <w:p w14:paraId="15196879"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20.22</w:t>
            </w:r>
          </w:p>
        </w:tc>
        <w:tc>
          <w:tcPr>
            <w:tcW w:w="0" w:type="auto"/>
            <w:shd w:val="clear" w:color="auto" w:fill="auto"/>
            <w:noWrap/>
            <w:hideMark/>
          </w:tcPr>
          <w:p w14:paraId="0AC9A8D3"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0.4491</w:t>
            </w:r>
          </w:p>
        </w:tc>
      </w:tr>
      <w:tr w:rsidR="00711DAC" w:rsidRPr="00711DAC" w14:paraId="3FD22369" w14:textId="77777777" w:rsidTr="003E68D5">
        <w:trPr>
          <w:trHeight w:val="171"/>
        </w:trPr>
        <w:tc>
          <w:tcPr>
            <w:tcW w:w="0" w:type="auto"/>
            <w:vMerge/>
            <w:tcBorders>
              <w:bottom w:val="single" w:sz="4" w:space="0" w:color="auto"/>
            </w:tcBorders>
            <w:shd w:val="clear" w:color="auto" w:fill="auto"/>
            <w:noWrap/>
            <w:hideMark/>
          </w:tcPr>
          <w:p w14:paraId="41FBFB68" w14:textId="4D5688EB" w:rsidR="00711DAC" w:rsidRPr="00711DAC" w:rsidRDefault="00711DAC" w:rsidP="00711DAC">
            <w:pPr>
              <w:spacing w:line="360" w:lineRule="auto"/>
              <w:jc w:val="both"/>
              <w:rPr>
                <w:rFonts w:ascii="Book Antiqua" w:eastAsia="宋体" w:hAnsi="Book Antiqua" w:cs="宋体"/>
                <w:color w:val="000000"/>
              </w:rPr>
            </w:pPr>
          </w:p>
        </w:tc>
        <w:tc>
          <w:tcPr>
            <w:tcW w:w="0" w:type="auto"/>
            <w:tcBorders>
              <w:bottom w:val="single" w:sz="4" w:space="0" w:color="auto"/>
            </w:tcBorders>
            <w:shd w:val="clear" w:color="auto" w:fill="auto"/>
            <w:noWrap/>
            <w:hideMark/>
          </w:tcPr>
          <w:p w14:paraId="7AE8A5A9"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0" w:type="auto"/>
            <w:tcBorders>
              <w:bottom w:val="single" w:sz="4" w:space="0" w:color="auto"/>
            </w:tcBorders>
            <w:shd w:val="clear" w:color="auto" w:fill="auto"/>
            <w:noWrap/>
            <w:hideMark/>
          </w:tcPr>
          <w:p w14:paraId="4A283F47"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95</w:t>
            </w:r>
          </w:p>
        </w:tc>
        <w:tc>
          <w:tcPr>
            <w:tcW w:w="0" w:type="auto"/>
            <w:tcBorders>
              <w:bottom w:val="single" w:sz="4" w:space="0" w:color="auto"/>
            </w:tcBorders>
            <w:shd w:val="clear" w:color="auto" w:fill="auto"/>
            <w:noWrap/>
            <w:hideMark/>
          </w:tcPr>
          <w:p w14:paraId="05105C71"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15</w:t>
            </w:r>
          </w:p>
        </w:tc>
        <w:tc>
          <w:tcPr>
            <w:tcW w:w="0" w:type="auto"/>
            <w:tcBorders>
              <w:bottom w:val="single" w:sz="4" w:space="0" w:color="auto"/>
            </w:tcBorders>
            <w:shd w:val="clear" w:color="auto" w:fill="auto"/>
            <w:noWrap/>
            <w:hideMark/>
          </w:tcPr>
          <w:p w14:paraId="5FB6FFC4" w14:textId="77777777" w:rsidR="00711DAC" w:rsidRPr="00711DAC" w:rsidRDefault="00711DAC" w:rsidP="00711DAC">
            <w:pPr>
              <w:spacing w:line="360" w:lineRule="auto"/>
              <w:jc w:val="both"/>
              <w:rPr>
                <w:rFonts w:ascii="Book Antiqua" w:eastAsia="宋体" w:hAnsi="Book Antiqua" w:cs="宋体"/>
                <w:color w:val="000000"/>
              </w:rPr>
            </w:pPr>
            <w:r w:rsidRPr="00711DAC">
              <w:rPr>
                <w:rFonts w:ascii="Book Antiqua" w:eastAsia="宋体" w:hAnsi="Book Antiqua" w:cs="宋体"/>
                <w:color w:val="000000"/>
              </w:rPr>
              <w:t>15.79</w:t>
            </w:r>
          </w:p>
        </w:tc>
        <w:tc>
          <w:tcPr>
            <w:tcW w:w="0" w:type="auto"/>
            <w:tcBorders>
              <w:bottom w:val="single" w:sz="4" w:space="0" w:color="auto"/>
            </w:tcBorders>
            <w:shd w:val="clear" w:color="auto" w:fill="auto"/>
            <w:noWrap/>
            <w:hideMark/>
          </w:tcPr>
          <w:p w14:paraId="0A7EDC32" w14:textId="77777777" w:rsidR="00711DAC" w:rsidRPr="00711DAC" w:rsidRDefault="00711DAC" w:rsidP="00711DAC">
            <w:pPr>
              <w:spacing w:line="360" w:lineRule="auto"/>
              <w:jc w:val="both"/>
              <w:rPr>
                <w:rFonts w:ascii="Book Antiqua" w:eastAsia="宋体" w:hAnsi="Book Antiqua" w:cs="宋体"/>
                <w:color w:val="000000"/>
              </w:rPr>
            </w:pPr>
          </w:p>
        </w:tc>
      </w:tr>
    </w:tbl>
    <w:p w14:paraId="5E8FE3A7" w14:textId="69D6C08B" w:rsidR="00711DAC" w:rsidRDefault="00711DAC">
      <w:pPr>
        <w:spacing w:line="360" w:lineRule="auto"/>
        <w:jc w:val="both"/>
        <w:rPr>
          <w:rFonts w:ascii="Book Antiqua" w:hAnsi="Book Antiqua"/>
        </w:rPr>
      </w:pPr>
      <w:r>
        <w:rPr>
          <w:rFonts w:ascii="Book Antiqua" w:eastAsia="Book Antiqua" w:hAnsi="Book Antiqua" w:cs="Book Antiqua"/>
          <w:color w:val="000000"/>
        </w:rPr>
        <w:t>HBeAg:</w:t>
      </w:r>
      <w:r>
        <w:rPr>
          <w:rFonts w:ascii="Book Antiqua" w:hAnsi="Book Antiqua"/>
        </w:rPr>
        <w:t xml:space="preserve"> H</w:t>
      </w:r>
      <w:r w:rsidRPr="00C46357">
        <w:rPr>
          <w:rFonts w:ascii="Book Antiqua" w:hAnsi="Book Antiqua"/>
        </w:rPr>
        <w:t>epatitis B e antigen</w:t>
      </w:r>
      <w:r>
        <w:rPr>
          <w:rFonts w:ascii="Book Antiqua" w:hAnsi="Book Antiqua"/>
        </w:rPr>
        <w:t>.</w:t>
      </w:r>
    </w:p>
    <w:p w14:paraId="6860EFA7" w14:textId="2827A8B5" w:rsidR="00711DAC" w:rsidRDefault="00711DAC">
      <w:pPr>
        <w:spacing w:line="360" w:lineRule="auto"/>
        <w:jc w:val="both"/>
        <w:rPr>
          <w:rFonts w:ascii="Book Antiqua" w:hAnsi="Book Antiqua"/>
          <w:b/>
          <w:bCs/>
        </w:rPr>
      </w:pPr>
      <w:r>
        <w:rPr>
          <w:rFonts w:ascii="Book Antiqua" w:hAnsi="Book Antiqua"/>
        </w:rPr>
        <w:br w:type="page"/>
      </w:r>
      <w:r w:rsidRPr="00711DAC">
        <w:rPr>
          <w:rFonts w:ascii="Book Antiqua" w:hAnsi="Book Antiqua"/>
          <w:b/>
          <w:bCs/>
        </w:rPr>
        <w:t xml:space="preserve">Table 6 </w:t>
      </w:r>
      <w:r w:rsidR="002B1CED">
        <w:rPr>
          <w:rFonts w:ascii="Book Antiqua" w:hAnsi="Book Antiqua"/>
          <w:b/>
          <w:bCs/>
        </w:rPr>
        <w:t>N</w:t>
      </w:r>
      <w:r w:rsidRPr="00711DAC">
        <w:rPr>
          <w:rFonts w:ascii="Book Antiqua" w:hAnsi="Book Antiqua"/>
          <w:b/>
          <w:bCs/>
        </w:rPr>
        <w:t xml:space="preserve">umber of participants who exhibited </w:t>
      </w:r>
      <w:r w:rsidRPr="00711DAC">
        <w:rPr>
          <w:rFonts w:ascii="Book Antiqua" w:eastAsia="Book Antiqua" w:hAnsi="Book Antiqua" w:cs="Book Antiqua"/>
          <w:b/>
          <w:bCs/>
          <w:color w:val="000000"/>
        </w:rPr>
        <w:t>alanine aminotransferase</w:t>
      </w:r>
      <w:r w:rsidRPr="00711DAC">
        <w:rPr>
          <w:rFonts w:ascii="Book Antiqua" w:hAnsi="Book Antiqua"/>
          <w:b/>
          <w:bCs/>
        </w:rPr>
        <w:t xml:space="preserve"> normalization in the two groups</w:t>
      </w:r>
    </w:p>
    <w:tbl>
      <w:tblPr>
        <w:tblW w:w="0" w:type="auto"/>
        <w:tblLook w:val="0600" w:firstRow="0" w:lastRow="0" w:firstColumn="0" w:lastColumn="0" w:noHBand="1" w:noVBand="1"/>
      </w:tblPr>
      <w:tblGrid>
        <w:gridCol w:w="850"/>
        <w:gridCol w:w="936"/>
        <w:gridCol w:w="2883"/>
        <w:gridCol w:w="2043"/>
        <w:gridCol w:w="1037"/>
      </w:tblGrid>
      <w:tr w:rsidR="00711DAC" w:rsidRPr="00711DAC" w14:paraId="54112ED1" w14:textId="77777777" w:rsidTr="003E68D5">
        <w:trPr>
          <w:trHeight w:val="332"/>
        </w:trPr>
        <w:tc>
          <w:tcPr>
            <w:tcW w:w="0" w:type="auto"/>
            <w:tcBorders>
              <w:top w:val="single" w:sz="4" w:space="0" w:color="auto"/>
              <w:bottom w:val="single" w:sz="4" w:space="0" w:color="auto"/>
            </w:tcBorders>
            <w:shd w:val="clear" w:color="auto" w:fill="auto"/>
            <w:noWrap/>
            <w:hideMark/>
          </w:tcPr>
          <w:p w14:paraId="2B934B4D" w14:textId="77777777" w:rsidR="00711DAC" w:rsidRPr="00711DAC" w:rsidRDefault="00711DAC" w:rsidP="004B3435">
            <w:pPr>
              <w:spacing w:line="360" w:lineRule="auto"/>
              <w:jc w:val="both"/>
              <w:rPr>
                <w:rFonts w:ascii="Book Antiqua" w:eastAsia="宋体" w:hAnsi="Book Antiqua" w:cs="宋体"/>
              </w:rPr>
            </w:pPr>
          </w:p>
        </w:tc>
        <w:tc>
          <w:tcPr>
            <w:tcW w:w="0" w:type="auto"/>
            <w:tcBorders>
              <w:top w:val="single" w:sz="4" w:space="0" w:color="auto"/>
              <w:bottom w:val="single" w:sz="4" w:space="0" w:color="auto"/>
            </w:tcBorders>
            <w:shd w:val="clear" w:color="auto" w:fill="auto"/>
            <w:noWrap/>
            <w:hideMark/>
          </w:tcPr>
          <w:p w14:paraId="4CBC940D" w14:textId="77777777" w:rsidR="00711DAC" w:rsidRPr="00711DAC" w:rsidRDefault="00711DAC" w:rsidP="004B3435">
            <w:pPr>
              <w:spacing w:line="360" w:lineRule="auto"/>
              <w:jc w:val="both"/>
              <w:rPr>
                <w:rFonts w:ascii="Book Antiqua" w:eastAsia="Times New Roman" w:hAnsi="Book Antiqua"/>
                <w:b/>
              </w:rPr>
            </w:pPr>
            <w:r w:rsidRPr="00711DAC">
              <w:rPr>
                <w:rFonts w:ascii="Book Antiqua" w:eastAsia="宋体" w:hAnsi="Book Antiqua" w:cs="宋体"/>
                <w:b/>
                <w:color w:val="000000"/>
              </w:rPr>
              <w:t>Group</w:t>
            </w:r>
          </w:p>
        </w:tc>
        <w:tc>
          <w:tcPr>
            <w:tcW w:w="0" w:type="auto"/>
            <w:tcBorders>
              <w:top w:val="single" w:sz="4" w:space="0" w:color="auto"/>
              <w:bottom w:val="single" w:sz="4" w:space="0" w:color="auto"/>
            </w:tcBorders>
            <w:shd w:val="clear" w:color="auto" w:fill="auto"/>
            <w:noWrap/>
            <w:hideMark/>
          </w:tcPr>
          <w:p w14:paraId="798890B5" w14:textId="77777777" w:rsidR="00711DAC" w:rsidRPr="00711DAC" w:rsidRDefault="00711DAC" w:rsidP="004B3435">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observations</w:t>
            </w:r>
          </w:p>
        </w:tc>
        <w:tc>
          <w:tcPr>
            <w:tcW w:w="0" w:type="auto"/>
            <w:tcBorders>
              <w:top w:val="single" w:sz="4" w:space="0" w:color="auto"/>
              <w:bottom w:val="single" w:sz="4" w:space="0" w:color="auto"/>
            </w:tcBorders>
            <w:shd w:val="clear" w:color="auto" w:fill="auto"/>
            <w:noWrap/>
            <w:hideMark/>
          </w:tcPr>
          <w:p w14:paraId="072475BB" w14:textId="77777777" w:rsidR="00711DAC" w:rsidRPr="00711DAC" w:rsidRDefault="00711DAC" w:rsidP="004B3435">
            <w:pPr>
              <w:spacing w:line="360" w:lineRule="auto"/>
              <w:jc w:val="both"/>
              <w:rPr>
                <w:rFonts w:ascii="Book Antiqua" w:eastAsia="宋体" w:hAnsi="Book Antiqua" w:cs="宋体"/>
                <w:b/>
                <w:color w:val="000000"/>
              </w:rPr>
            </w:pPr>
            <w:r w:rsidRPr="00711DAC">
              <w:rPr>
                <w:rFonts w:ascii="Book Antiqua" w:eastAsia="宋体" w:hAnsi="Book Antiqua" w:cs="宋体"/>
                <w:b/>
                <w:color w:val="000000"/>
              </w:rPr>
              <w:t>Number of cases</w:t>
            </w:r>
          </w:p>
        </w:tc>
        <w:tc>
          <w:tcPr>
            <w:tcW w:w="0" w:type="auto"/>
            <w:tcBorders>
              <w:top w:val="single" w:sz="4" w:space="0" w:color="auto"/>
              <w:bottom w:val="single" w:sz="4" w:space="0" w:color="auto"/>
            </w:tcBorders>
            <w:shd w:val="clear" w:color="auto" w:fill="auto"/>
            <w:noWrap/>
            <w:hideMark/>
          </w:tcPr>
          <w:p w14:paraId="1CC531B8" w14:textId="77777777" w:rsidR="00711DAC" w:rsidRPr="00711DAC" w:rsidRDefault="00711DAC" w:rsidP="004B3435">
            <w:pPr>
              <w:spacing w:line="360" w:lineRule="auto"/>
              <w:jc w:val="both"/>
              <w:rPr>
                <w:rFonts w:ascii="Book Antiqua" w:eastAsia="宋体" w:hAnsi="Book Antiqua" w:cs="宋体"/>
                <w:b/>
                <w:i/>
                <w:iCs/>
                <w:color w:val="000000"/>
              </w:rPr>
            </w:pPr>
            <w:r w:rsidRPr="00F60DD6">
              <w:rPr>
                <w:rFonts w:ascii="Book Antiqua" w:eastAsia="宋体" w:hAnsi="Book Antiqua" w:cs="宋体"/>
                <w:b/>
                <w:i/>
                <w:color w:val="000000"/>
              </w:rPr>
              <w:t>P</w:t>
            </w:r>
            <w:r w:rsidRPr="00711DAC">
              <w:rPr>
                <w:rFonts w:ascii="Book Antiqua" w:eastAsia="宋体" w:hAnsi="Book Antiqua" w:cs="宋体"/>
                <w:b/>
                <w:color w:val="000000"/>
              </w:rPr>
              <w:t xml:space="preserve"> value</w:t>
            </w:r>
          </w:p>
        </w:tc>
      </w:tr>
      <w:tr w:rsidR="00711DAC" w:rsidRPr="00711DAC" w14:paraId="158A03F1" w14:textId="77777777" w:rsidTr="003E68D5">
        <w:trPr>
          <w:trHeight w:val="310"/>
        </w:trPr>
        <w:tc>
          <w:tcPr>
            <w:tcW w:w="0" w:type="auto"/>
            <w:tcBorders>
              <w:top w:val="single" w:sz="4" w:space="0" w:color="auto"/>
            </w:tcBorders>
            <w:shd w:val="clear" w:color="auto" w:fill="auto"/>
            <w:noWrap/>
            <w:hideMark/>
          </w:tcPr>
          <w:p w14:paraId="323DF300" w14:textId="56E9860A"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72</w:t>
            </w:r>
            <w:r w:rsidR="00A8002B">
              <w:rPr>
                <w:rFonts w:ascii="Book Antiqua" w:eastAsia="宋体" w:hAnsi="Book Antiqua" w:cs="宋体"/>
                <w:color w:val="000000"/>
              </w:rPr>
              <w:t xml:space="preserve"> </w:t>
            </w:r>
            <w:r w:rsidRPr="00711DAC">
              <w:rPr>
                <w:rFonts w:ascii="Book Antiqua" w:eastAsia="宋体" w:hAnsi="Book Antiqua" w:cs="宋体"/>
                <w:color w:val="000000"/>
              </w:rPr>
              <w:t xml:space="preserve">wk </w:t>
            </w:r>
          </w:p>
        </w:tc>
        <w:tc>
          <w:tcPr>
            <w:tcW w:w="0" w:type="auto"/>
            <w:tcBorders>
              <w:top w:val="single" w:sz="4" w:space="0" w:color="auto"/>
            </w:tcBorders>
            <w:shd w:val="clear" w:color="auto" w:fill="auto"/>
            <w:noWrap/>
            <w:hideMark/>
          </w:tcPr>
          <w:p w14:paraId="0DA01022" w14:textId="30E41E98"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0" w:type="auto"/>
            <w:tcBorders>
              <w:top w:val="single" w:sz="4" w:space="0" w:color="auto"/>
            </w:tcBorders>
            <w:shd w:val="clear" w:color="auto" w:fill="auto"/>
            <w:noWrap/>
            <w:hideMark/>
          </w:tcPr>
          <w:p w14:paraId="5097A69E"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145</w:t>
            </w:r>
          </w:p>
        </w:tc>
        <w:tc>
          <w:tcPr>
            <w:tcW w:w="0" w:type="auto"/>
            <w:tcBorders>
              <w:top w:val="single" w:sz="4" w:space="0" w:color="auto"/>
            </w:tcBorders>
            <w:shd w:val="clear" w:color="auto" w:fill="auto"/>
            <w:noWrap/>
            <w:hideMark/>
          </w:tcPr>
          <w:p w14:paraId="64DFD310"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120</w:t>
            </w:r>
          </w:p>
        </w:tc>
        <w:tc>
          <w:tcPr>
            <w:tcW w:w="0" w:type="auto"/>
            <w:tcBorders>
              <w:top w:val="single" w:sz="4" w:space="0" w:color="auto"/>
            </w:tcBorders>
            <w:shd w:val="clear" w:color="auto" w:fill="auto"/>
            <w:noWrap/>
            <w:hideMark/>
          </w:tcPr>
          <w:p w14:paraId="79B0FA94"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1.0000</w:t>
            </w:r>
          </w:p>
        </w:tc>
      </w:tr>
      <w:tr w:rsidR="00711DAC" w:rsidRPr="00711DAC" w14:paraId="0402F00F" w14:textId="77777777" w:rsidTr="003E68D5">
        <w:trPr>
          <w:trHeight w:val="310"/>
        </w:trPr>
        <w:tc>
          <w:tcPr>
            <w:tcW w:w="0" w:type="auto"/>
            <w:shd w:val="clear" w:color="auto" w:fill="auto"/>
            <w:noWrap/>
            <w:hideMark/>
          </w:tcPr>
          <w:p w14:paraId="6AC5F7E9" w14:textId="77777777" w:rsidR="00711DAC" w:rsidRPr="00711DAC" w:rsidRDefault="00711DAC" w:rsidP="004B3435">
            <w:pPr>
              <w:spacing w:line="360" w:lineRule="auto"/>
              <w:jc w:val="both"/>
              <w:rPr>
                <w:rFonts w:ascii="Book Antiqua" w:eastAsia="宋体" w:hAnsi="Book Antiqua" w:cs="宋体"/>
                <w:color w:val="000000"/>
              </w:rPr>
            </w:pPr>
          </w:p>
        </w:tc>
        <w:tc>
          <w:tcPr>
            <w:tcW w:w="0" w:type="auto"/>
            <w:shd w:val="clear" w:color="auto" w:fill="auto"/>
            <w:noWrap/>
            <w:hideMark/>
          </w:tcPr>
          <w:p w14:paraId="47C48ACC" w14:textId="70281C1E"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0" w:type="auto"/>
            <w:shd w:val="clear" w:color="auto" w:fill="auto"/>
            <w:noWrap/>
            <w:hideMark/>
          </w:tcPr>
          <w:p w14:paraId="5A0D9657"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162</w:t>
            </w:r>
          </w:p>
        </w:tc>
        <w:tc>
          <w:tcPr>
            <w:tcW w:w="0" w:type="auto"/>
            <w:shd w:val="clear" w:color="auto" w:fill="auto"/>
            <w:noWrap/>
            <w:hideMark/>
          </w:tcPr>
          <w:p w14:paraId="564D6677"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133</w:t>
            </w:r>
          </w:p>
        </w:tc>
        <w:tc>
          <w:tcPr>
            <w:tcW w:w="0" w:type="auto"/>
            <w:shd w:val="clear" w:color="auto" w:fill="auto"/>
            <w:noWrap/>
            <w:hideMark/>
          </w:tcPr>
          <w:p w14:paraId="7260BB6B" w14:textId="77777777" w:rsidR="00711DAC" w:rsidRPr="00711DAC" w:rsidRDefault="00711DAC" w:rsidP="004B3435">
            <w:pPr>
              <w:spacing w:line="360" w:lineRule="auto"/>
              <w:jc w:val="both"/>
              <w:rPr>
                <w:rFonts w:ascii="Book Antiqua" w:eastAsia="宋体" w:hAnsi="Book Antiqua" w:cs="宋体"/>
                <w:color w:val="000000"/>
              </w:rPr>
            </w:pPr>
          </w:p>
        </w:tc>
      </w:tr>
      <w:tr w:rsidR="00711DAC" w:rsidRPr="00711DAC" w14:paraId="147801FC" w14:textId="77777777" w:rsidTr="003E68D5">
        <w:trPr>
          <w:trHeight w:val="310"/>
        </w:trPr>
        <w:tc>
          <w:tcPr>
            <w:tcW w:w="0" w:type="auto"/>
            <w:shd w:val="clear" w:color="auto" w:fill="auto"/>
            <w:hideMark/>
          </w:tcPr>
          <w:p w14:paraId="7FC03069" w14:textId="57C81B2D"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96</w:t>
            </w:r>
            <w:r w:rsidR="00A8002B">
              <w:rPr>
                <w:rFonts w:ascii="Book Antiqua" w:eastAsia="宋体" w:hAnsi="Book Antiqua" w:cs="宋体"/>
                <w:color w:val="000000"/>
              </w:rPr>
              <w:t xml:space="preserve"> </w:t>
            </w:r>
            <w:r w:rsidRPr="00711DAC">
              <w:rPr>
                <w:rFonts w:ascii="Book Antiqua" w:eastAsia="宋体" w:hAnsi="Book Antiqua" w:cs="宋体"/>
                <w:color w:val="000000"/>
              </w:rPr>
              <w:t>wk</w:t>
            </w:r>
          </w:p>
        </w:tc>
        <w:tc>
          <w:tcPr>
            <w:tcW w:w="0" w:type="auto"/>
            <w:shd w:val="clear" w:color="auto" w:fill="auto"/>
            <w:noWrap/>
            <w:hideMark/>
          </w:tcPr>
          <w:p w14:paraId="0B0E187F" w14:textId="4DCBAAA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A</w:t>
            </w:r>
          </w:p>
        </w:tc>
        <w:tc>
          <w:tcPr>
            <w:tcW w:w="0" w:type="auto"/>
            <w:shd w:val="clear" w:color="auto" w:fill="auto"/>
            <w:noWrap/>
            <w:hideMark/>
          </w:tcPr>
          <w:p w14:paraId="36CE666D"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141</w:t>
            </w:r>
          </w:p>
        </w:tc>
        <w:tc>
          <w:tcPr>
            <w:tcW w:w="0" w:type="auto"/>
            <w:shd w:val="clear" w:color="auto" w:fill="auto"/>
            <w:noWrap/>
            <w:hideMark/>
          </w:tcPr>
          <w:p w14:paraId="273C3678"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113</w:t>
            </w:r>
          </w:p>
        </w:tc>
        <w:tc>
          <w:tcPr>
            <w:tcW w:w="0" w:type="auto"/>
            <w:shd w:val="clear" w:color="auto" w:fill="auto"/>
            <w:noWrap/>
            <w:hideMark/>
          </w:tcPr>
          <w:p w14:paraId="4C026F63"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0.3637</w:t>
            </w:r>
          </w:p>
        </w:tc>
      </w:tr>
      <w:tr w:rsidR="00711DAC" w:rsidRPr="00711DAC" w14:paraId="00F46CAB" w14:textId="77777777" w:rsidTr="003E68D5">
        <w:trPr>
          <w:trHeight w:val="310"/>
        </w:trPr>
        <w:tc>
          <w:tcPr>
            <w:tcW w:w="0" w:type="auto"/>
            <w:tcBorders>
              <w:bottom w:val="single" w:sz="4" w:space="0" w:color="auto"/>
            </w:tcBorders>
            <w:shd w:val="clear" w:color="auto" w:fill="auto"/>
            <w:noWrap/>
            <w:hideMark/>
          </w:tcPr>
          <w:p w14:paraId="5AF0CBEE" w14:textId="77777777" w:rsidR="00711DAC" w:rsidRPr="00711DAC" w:rsidRDefault="00711DAC" w:rsidP="004B3435">
            <w:pPr>
              <w:spacing w:line="360" w:lineRule="auto"/>
              <w:jc w:val="both"/>
              <w:rPr>
                <w:rFonts w:ascii="Book Antiqua" w:eastAsia="宋体" w:hAnsi="Book Antiqua" w:cs="宋体"/>
                <w:color w:val="000000"/>
              </w:rPr>
            </w:pPr>
          </w:p>
        </w:tc>
        <w:tc>
          <w:tcPr>
            <w:tcW w:w="0" w:type="auto"/>
            <w:tcBorders>
              <w:bottom w:val="single" w:sz="4" w:space="0" w:color="auto"/>
            </w:tcBorders>
            <w:shd w:val="clear" w:color="auto" w:fill="auto"/>
            <w:noWrap/>
            <w:hideMark/>
          </w:tcPr>
          <w:p w14:paraId="62CC49D1" w14:textId="5CD27AD0"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B</w:t>
            </w:r>
          </w:p>
        </w:tc>
        <w:tc>
          <w:tcPr>
            <w:tcW w:w="0" w:type="auto"/>
            <w:tcBorders>
              <w:bottom w:val="single" w:sz="4" w:space="0" w:color="auto"/>
            </w:tcBorders>
            <w:shd w:val="clear" w:color="auto" w:fill="auto"/>
            <w:noWrap/>
            <w:hideMark/>
          </w:tcPr>
          <w:p w14:paraId="5238C764"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162</w:t>
            </w:r>
          </w:p>
        </w:tc>
        <w:tc>
          <w:tcPr>
            <w:tcW w:w="0" w:type="auto"/>
            <w:tcBorders>
              <w:bottom w:val="single" w:sz="4" w:space="0" w:color="auto"/>
            </w:tcBorders>
            <w:shd w:val="clear" w:color="auto" w:fill="auto"/>
            <w:noWrap/>
            <w:hideMark/>
          </w:tcPr>
          <w:p w14:paraId="674639D1" w14:textId="77777777" w:rsidR="00711DAC" w:rsidRPr="00711DAC" w:rsidRDefault="00711DAC" w:rsidP="004B3435">
            <w:pPr>
              <w:spacing w:line="360" w:lineRule="auto"/>
              <w:jc w:val="both"/>
              <w:rPr>
                <w:rFonts w:ascii="Book Antiqua" w:eastAsia="宋体" w:hAnsi="Book Antiqua" w:cs="宋体"/>
                <w:color w:val="000000"/>
              </w:rPr>
            </w:pPr>
            <w:r w:rsidRPr="00711DAC">
              <w:rPr>
                <w:rFonts w:ascii="Book Antiqua" w:eastAsia="宋体" w:hAnsi="Book Antiqua" w:cs="宋体"/>
                <w:color w:val="000000"/>
              </w:rPr>
              <w:t>137</w:t>
            </w:r>
          </w:p>
        </w:tc>
        <w:tc>
          <w:tcPr>
            <w:tcW w:w="0" w:type="auto"/>
            <w:tcBorders>
              <w:bottom w:val="single" w:sz="4" w:space="0" w:color="auto"/>
            </w:tcBorders>
            <w:shd w:val="clear" w:color="auto" w:fill="auto"/>
            <w:noWrap/>
            <w:hideMark/>
          </w:tcPr>
          <w:p w14:paraId="0C24F5C0" w14:textId="77777777" w:rsidR="00711DAC" w:rsidRPr="00711DAC" w:rsidRDefault="00711DAC" w:rsidP="004B3435">
            <w:pPr>
              <w:spacing w:line="360" w:lineRule="auto"/>
              <w:jc w:val="both"/>
              <w:rPr>
                <w:rFonts w:ascii="Book Antiqua" w:eastAsia="宋体" w:hAnsi="Book Antiqua" w:cs="宋体"/>
                <w:color w:val="000000"/>
              </w:rPr>
            </w:pPr>
          </w:p>
        </w:tc>
      </w:tr>
    </w:tbl>
    <w:p w14:paraId="0C7F934E" w14:textId="3A4D3D59" w:rsidR="004B3435" w:rsidRDefault="004B3435">
      <w:pPr>
        <w:spacing w:line="360" w:lineRule="auto"/>
        <w:jc w:val="both"/>
        <w:rPr>
          <w:rFonts w:ascii="Book Antiqua" w:eastAsia="Book Antiqua" w:hAnsi="Book Antiqua" w:cs="Book Antiqua"/>
          <w:b/>
          <w:bCs/>
          <w:color w:val="000000"/>
        </w:rPr>
      </w:pPr>
    </w:p>
    <w:p w14:paraId="4AC67397" w14:textId="30DE1CD2" w:rsidR="00711DAC" w:rsidRDefault="004B343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4B3435">
        <w:rPr>
          <w:rFonts w:ascii="Book Antiqua" w:eastAsia="Book Antiqua" w:hAnsi="Book Antiqua" w:cs="Book Antiqua"/>
          <w:b/>
          <w:bCs/>
          <w:color w:val="000000"/>
        </w:rPr>
        <w:t>Table 7 Estimated glomerular filtration rate values in participants in the two groups</w:t>
      </w:r>
    </w:p>
    <w:tbl>
      <w:tblPr>
        <w:tblW w:w="0" w:type="auto"/>
        <w:tblLook w:val="0600" w:firstRow="0" w:lastRow="0" w:firstColumn="0" w:lastColumn="0" w:noHBand="1" w:noVBand="1"/>
      </w:tblPr>
      <w:tblGrid>
        <w:gridCol w:w="1094"/>
        <w:gridCol w:w="936"/>
        <w:gridCol w:w="2503"/>
        <w:gridCol w:w="1037"/>
      </w:tblGrid>
      <w:tr w:rsidR="004B3435" w:rsidRPr="004B3435" w14:paraId="27BD6974" w14:textId="77777777" w:rsidTr="003E68D5">
        <w:tc>
          <w:tcPr>
            <w:tcW w:w="0" w:type="auto"/>
            <w:tcBorders>
              <w:top w:val="single" w:sz="4" w:space="0" w:color="auto"/>
              <w:bottom w:val="single" w:sz="4" w:space="0" w:color="auto"/>
            </w:tcBorders>
            <w:shd w:val="clear" w:color="auto" w:fill="auto"/>
            <w:noWrap/>
            <w:hideMark/>
          </w:tcPr>
          <w:p w14:paraId="11CCA9A7" w14:textId="77777777" w:rsidR="004B3435" w:rsidRPr="004B3435" w:rsidRDefault="004B3435" w:rsidP="004B3435">
            <w:pPr>
              <w:spacing w:line="360" w:lineRule="auto"/>
              <w:jc w:val="both"/>
              <w:rPr>
                <w:rFonts w:ascii="宋体" w:eastAsia="宋体" w:hAnsi="宋体" w:cs="宋体"/>
                <w:b/>
                <w:bCs/>
              </w:rPr>
            </w:pPr>
          </w:p>
        </w:tc>
        <w:tc>
          <w:tcPr>
            <w:tcW w:w="0" w:type="auto"/>
            <w:tcBorders>
              <w:top w:val="single" w:sz="4" w:space="0" w:color="auto"/>
              <w:bottom w:val="single" w:sz="4" w:space="0" w:color="auto"/>
            </w:tcBorders>
            <w:shd w:val="clear" w:color="auto" w:fill="auto"/>
            <w:noWrap/>
            <w:hideMark/>
          </w:tcPr>
          <w:p w14:paraId="73953014" w14:textId="77777777" w:rsidR="004B3435" w:rsidRPr="004B3435" w:rsidRDefault="004B3435" w:rsidP="004B3435">
            <w:pPr>
              <w:spacing w:line="360" w:lineRule="auto"/>
              <w:jc w:val="both"/>
              <w:rPr>
                <w:rFonts w:ascii="Book Antiqua" w:eastAsia="宋体" w:hAnsi="Book Antiqua" w:cs="宋体"/>
                <w:b/>
                <w:bCs/>
                <w:color w:val="000000"/>
              </w:rPr>
            </w:pPr>
            <w:r w:rsidRPr="004B3435">
              <w:rPr>
                <w:rFonts w:ascii="Book Antiqua" w:eastAsia="宋体" w:hAnsi="Book Antiqua" w:cs="宋体"/>
                <w:b/>
                <w:bCs/>
                <w:color w:val="000000"/>
              </w:rPr>
              <w:t>Group</w:t>
            </w:r>
          </w:p>
        </w:tc>
        <w:tc>
          <w:tcPr>
            <w:tcW w:w="0" w:type="auto"/>
            <w:tcBorders>
              <w:top w:val="single" w:sz="4" w:space="0" w:color="auto"/>
              <w:bottom w:val="single" w:sz="4" w:space="0" w:color="auto"/>
            </w:tcBorders>
            <w:shd w:val="clear" w:color="auto" w:fill="auto"/>
            <w:noWrap/>
            <w:hideMark/>
          </w:tcPr>
          <w:p w14:paraId="3D6259E4" w14:textId="48809D33" w:rsidR="004B3435" w:rsidRPr="004B3435" w:rsidRDefault="004B3435" w:rsidP="004B3435">
            <w:pPr>
              <w:spacing w:line="360" w:lineRule="auto"/>
              <w:jc w:val="both"/>
              <w:rPr>
                <w:rFonts w:ascii="Book Antiqua" w:eastAsia="宋体" w:hAnsi="Book Antiqua" w:cs="宋体"/>
                <w:b/>
                <w:bCs/>
                <w:color w:val="000000"/>
              </w:rPr>
            </w:pPr>
            <w:r w:rsidRPr="004B3435">
              <w:rPr>
                <w:rFonts w:ascii="Book Antiqua" w:eastAsia="宋体" w:hAnsi="Book Antiqua" w:cs="宋体"/>
                <w:b/>
                <w:bCs/>
                <w:color w:val="000000"/>
              </w:rPr>
              <w:t>The median of eGFR</w:t>
            </w:r>
          </w:p>
        </w:tc>
        <w:tc>
          <w:tcPr>
            <w:tcW w:w="0" w:type="auto"/>
            <w:tcBorders>
              <w:top w:val="single" w:sz="4" w:space="0" w:color="auto"/>
              <w:bottom w:val="single" w:sz="4" w:space="0" w:color="auto"/>
            </w:tcBorders>
            <w:shd w:val="clear" w:color="auto" w:fill="auto"/>
            <w:noWrap/>
            <w:hideMark/>
          </w:tcPr>
          <w:p w14:paraId="011F4597" w14:textId="77777777" w:rsidR="004B3435" w:rsidRPr="004B3435" w:rsidRDefault="004B3435" w:rsidP="004B3435">
            <w:pPr>
              <w:spacing w:line="360" w:lineRule="auto"/>
              <w:jc w:val="both"/>
              <w:rPr>
                <w:rFonts w:ascii="Book Antiqua" w:eastAsia="宋体" w:hAnsi="Book Antiqua" w:cs="宋体"/>
                <w:b/>
                <w:bCs/>
                <w:color w:val="000000"/>
              </w:rPr>
            </w:pPr>
            <w:r w:rsidRPr="004B3435">
              <w:rPr>
                <w:rFonts w:ascii="Book Antiqua" w:eastAsia="宋体" w:hAnsi="Book Antiqua" w:cs="宋体"/>
                <w:b/>
                <w:bCs/>
                <w:i/>
                <w:iCs/>
                <w:color w:val="000000"/>
              </w:rPr>
              <w:t>P</w:t>
            </w:r>
            <w:r w:rsidRPr="004B3435">
              <w:rPr>
                <w:rFonts w:ascii="Book Antiqua" w:eastAsia="宋体" w:hAnsi="Book Antiqua" w:cs="宋体"/>
                <w:b/>
                <w:bCs/>
                <w:color w:val="000000"/>
              </w:rPr>
              <w:t xml:space="preserve"> value</w:t>
            </w:r>
          </w:p>
        </w:tc>
      </w:tr>
      <w:tr w:rsidR="004B3435" w:rsidRPr="004B3435" w14:paraId="7B1F179B" w14:textId="77777777" w:rsidTr="003E68D5">
        <w:tc>
          <w:tcPr>
            <w:tcW w:w="0" w:type="auto"/>
            <w:tcBorders>
              <w:top w:val="single" w:sz="4" w:space="0" w:color="auto"/>
            </w:tcBorders>
            <w:shd w:val="clear" w:color="auto" w:fill="auto"/>
            <w:noWrap/>
            <w:hideMark/>
          </w:tcPr>
          <w:p w14:paraId="28835871" w14:textId="777777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Baseline</w:t>
            </w:r>
          </w:p>
        </w:tc>
        <w:tc>
          <w:tcPr>
            <w:tcW w:w="0" w:type="auto"/>
            <w:tcBorders>
              <w:top w:val="single" w:sz="4" w:space="0" w:color="auto"/>
            </w:tcBorders>
            <w:shd w:val="clear" w:color="auto" w:fill="auto"/>
            <w:noWrap/>
            <w:hideMark/>
          </w:tcPr>
          <w:p w14:paraId="51E4A919" w14:textId="11A94561"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A</w:t>
            </w:r>
          </w:p>
        </w:tc>
        <w:tc>
          <w:tcPr>
            <w:tcW w:w="0" w:type="auto"/>
            <w:tcBorders>
              <w:top w:val="single" w:sz="4" w:space="0" w:color="auto"/>
            </w:tcBorders>
            <w:shd w:val="clear" w:color="auto" w:fill="auto"/>
            <w:noWrap/>
            <w:hideMark/>
          </w:tcPr>
          <w:p w14:paraId="4C38158F" w14:textId="784FD9EE"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113.25</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19.11</w:t>
            </w:r>
          </w:p>
        </w:tc>
        <w:tc>
          <w:tcPr>
            <w:tcW w:w="0" w:type="auto"/>
            <w:tcBorders>
              <w:top w:val="single" w:sz="4" w:space="0" w:color="auto"/>
            </w:tcBorders>
            <w:shd w:val="clear" w:color="auto" w:fill="auto"/>
            <w:noWrap/>
            <w:hideMark/>
          </w:tcPr>
          <w:p w14:paraId="1E9FFFA5" w14:textId="77777777" w:rsidR="004B3435" w:rsidRPr="004B3435" w:rsidRDefault="004B3435" w:rsidP="004B3435">
            <w:pPr>
              <w:spacing w:line="360" w:lineRule="auto"/>
              <w:jc w:val="both"/>
              <w:rPr>
                <w:rFonts w:ascii="Book Antiqua" w:eastAsia="等线" w:hAnsi="Book Antiqua" w:cs="宋体"/>
                <w:color w:val="000000"/>
              </w:rPr>
            </w:pPr>
            <w:r w:rsidRPr="004B3435">
              <w:rPr>
                <w:rFonts w:ascii="Book Antiqua" w:eastAsia="宋体" w:hAnsi="Book Antiqua" w:cs="宋体"/>
                <w:color w:val="000000"/>
              </w:rPr>
              <w:t>0.651</w:t>
            </w:r>
          </w:p>
        </w:tc>
      </w:tr>
      <w:tr w:rsidR="004B3435" w:rsidRPr="004B3435" w14:paraId="480C3A21" w14:textId="77777777" w:rsidTr="003E68D5">
        <w:tc>
          <w:tcPr>
            <w:tcW w:w="0" w:type="auto"/>
            <w:shd w:val="clear" w:color="auto" w:fill="auto"/>
            <w:hideMark/>
          </w:tcPr>
          <w:p w14:paraId="72D99E20" w14:textId="77777777" w:rsidR="004B3435" w:rsidRPr="004B3435" w:rsidRDefault="004B3435" w:rsidP="004B3435">
            <w:pPr>
              <w:spacing w:line="360" w:lineRule="auto"/>
              <w:jc w:val="both"/>
              <w:rPr>
                <w:rFonts w:ascii="Book Antiqua" w:eastAsia="宋体" w:hAnsi="Book Antiqua" w:cs="宋体"/>
                <w:color w:val="000000"/>
              </w:rPr>
            </w:pPr>
          </w:p>
        </w:tc>
        <w:tc>
          <w:tcPr>
            <w:tcW w:w="0" w:type="auto"/>
            <w:shd w:val="clear" w:color="auto" w:fill="auto"/>
            <w:noWrap/>
            <w:hideMark/>
          </w:tcPr>
          <w:p w14:paraId="2194258B" w14:textId="50880EBF"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w:t>
            </w:r>
          </w:p>
        </w:tc>
        <w:tc>
          <w:tcPr>
            <w:tcW w:w="0" w:type="auto"/>
            <w:gridSpan w:val="2"/>
            <w:shd w:val="clear" w:color="auto" w:fill="auto"/>
            <w:noWrap/>
            <w:hideMark/>
          </w:tcPr>
          <w:p w14:paraId="4B70F8F9" w14:textId="05021993"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115.54</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18.68</w:t>
            </w:r>
          </w:p>
        </w:tc>
      </w:tr>
      <w:tr w:rsidR="004B3435" w:rsidRPr="004B3435" w14:paraId="1985886F" w14:textId="77777777" w:rsidTr="003E68D5">
        <w:tc>
          <w:tcPr>
            <w:tcW w:w="0" w:type="auto"/>
            <w:shd w:val="clear" w:color="auto" w:fill="auto"/>
            <w:noWrap/>
            <w:hideMark/>
          </w:tcPr>
          <w:p w14:paraId="181EDD61" w14:textId="777777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48 wk</w:t>
            </w:r>
          </w:p>
        </w:tc>
        <w:tc>
          <w:tcPr>
            <w:tcW w:w="0" w:type="auto"/>
            <w:shd w:val="clear" w:color="auto" w:fill="auto"/>
            <w:noWrap/>
            <w:hideMark/>
          </w:tcPr>
          <w:p w14:paraId="731FA076" w14:textId="0EAA8F74"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A</w:t>
            </w:r>
          </w:p>
        </w:tc>
        <w:tc>
          <w:tcPr>
            <w:tcW w:w="0" w:type="auto"/>
            <w:shd w:val="clear" w:color="auto" w:fill="auto"/>
            <w:noWrap/>
            <w:hideMark/>
          </w:tcPr>
          <w:p w14:paraId="1F5BC0FC" w14:textId="4348BC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111.87</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19.22</w:t>
            </w:r>
          </w:p>
        </w:tc>
        <w:tc>
          <w:tcPr>
            <w:tcW w:w="0" w:type="auto"/>
            <w:shd w:val="clear" w:color="auto" w:fill="auto"/>
            <w:noWrap/>
            <w:hideMark/>
          </w:tcPr>
          <w:p w14:paraId="1E074F9A" w14:textId="77777777" w:rsidR="004B3435" w:rsidRPr="004B3435" w:rsidRDefault="004B3435" w:rsidP="004B3435">
            <w:pPr>
              <w:spacing w:line="360" w:lineRule="auto"/>
              <w:jc w:val="both"/>
              <w:rPr>
                <w:rFonts w:ascii="Book Antiqua" w:eastAsia="等线" w:hAnsi="Book Antiqua" w:cs="宋体"/>
                <w:color w:val="000000"/>
              </w:rPr>
            </w:pPr>
            <w:r w:rsidRPr="004B3435">
              <w:rPr>
                <w:rFonts w:ascii="Book Antiqua" w:eastAsia="宋体" w:hAnsi="Book Antiqua" w:cs="宋体"/>
                <w:color w:val="000000"/>
              </w:rPr>
              <w:t>0.808</w:t>
            </w:r>
          </w:p>
        </w:tc>
      </w:tr>
      <w:tr w:rsidR="004B3435" w:rsidRPr="004B3435" w14:paraId="258C06F3" w14:textId="77777777" w:rsidTr="003E68D5">
        <w:tc>
          <w:tcPr>
            <w:tcW w:w="0" w:type="auto"/>
            <w:shd w:val="clear" w:color="auto" w:fill="auto"/>
            <w:noWrap/>
            <w:hideMark/>
          </w:tcPr>
          <w:p w14:paraId="32CFDAB9" w14:textId="77777777" w:rsidR="004B3435" w:rsidRPr="004B3435" w:rsidRDefault="004B3435" w:rsidP="004B3435">
            <w:pPr>
              <w:spacing w:line="360" w:lineRule="auto"/>
              <w:jc w:val="both"/>
              <w:rPr>
                <w:rFonts w:ascii="Book Antiqua" w:eastAsia="宋体" w:hAnsi="Book Antiqua" w:cs="宋体"/>
                <w:color w:val="000000"/>
              </w:rPr>
            </w:pPr>
          </w:p>
        </w:tc>
        <w:tc>
          <w:tcPr>
            <w:tcW w:w="0" w:type="auto"/>
            <w:shd w:val="clear" w:color="auto" w:fill="auto"/>
            <w:noWrap/>
            <w:hideMark/>
          </w:tcPr>
          <w:p w14:paraId="6B06C139" w14:textId="0E96111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w:t>
            </w:r>
          </w:p>
        </w:tc>
        <w:tc>
          <w:tcPr>
            <w:tcW w:w="0" w:type="auto"/>
            <w:gridSpan w:val="2"/>
            <w:shd w:val="clear" w:color="auto" w:fill="auto"/>
            <w:noWrap/>
            <w:hideMark/>
          </w:tcPr>
          <w:p w14:paraId="7D2F95A0" w14:textId="50B47514"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115.35</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15.54</w:t>
            </w:r>
          </w:p>
        </w:tc>
      </w:tr>
      <w:tr w:rsidR="004B3435" w:rsidRPr="004B3435" w14:paraId="0534B297" w14:textId="77777777" w:rsidTr="003E68D5">
        <w:tc>
          <w:tcPr>
            <w:tcW w:w="0" w:type="auto"/>
            <w:shd w:val="clear" w:color="auto" w:fill="auto"/>
            <w:noWrap/>
            <w:hideMark/>
          </w:tcPr>
          <w:p w14:paraId="07F35A71" w14:textId="7777777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96 wk</w:t>
            </w:r>
          </w:p>
        </w:tc>
        <w:tc>
          <w:tcPr>
            <w:tcW w:w="0" w:type="auto"/>
            <w:shd w:val="clear" w:color="auto" w:fill="auto"/>
            <w:noWrap/>
            <w:hideMark/>
          </w:tcPr>
          <w:p w14:paraId="1DE16371" w14:textId="2E1A4858"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A</w:t>
            </w:r>
          </w:p>
        </w:tc>
        <w:tc>
          <w:tcPr>
            <w:tcW w:w="0" w:type="auto"/>
            <w:shd w:val="clear" w:color="auto" w:fill="auto"/>
            <w:noWrap/>
            <w:hideMark/>
          </w:tcPr>
          <w:p w14:paraId="6AB096FA" w14:textId="3CDB8B5F"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110.00</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17.90</w:t>
            </w:r>
          </w:p>
        </w:tc>
        <w:tc>
          <w:tcPr>
            <w:tcW w:w="0" w:type="auto"/>
            <w:shd w:val="clear" w:color="auto" w:fill="auto"/>
            <w:noWrap/>
            <w:hideMark/>
          </w:tcPr>
          <w:p w14:paraId="139CE61D" w14:textId="77777777" w:rsidR="004B3435" w:rsidRPr="004B3435" w:rsidRDefault="004B3435" w:rsidP="004B3435">
            <w:pPr>
              <w:spacing w:line="360" w:lineRule="auto"/>
              <w:jc w:val="both"/>
              <w:rPr>
                <w:rFonts w:ascii="Book Antiqua" w:eastAsia="等线" w:hAnsi="Book Antiqua" w:cs="宋体"/>
                <w:color w:val="000000"/>
              </w:rPr>
            </w:pPr>
            <w:r w:rsidRPr="004B3435">
              <w:rPr>
                <w:rFonts w:ascii="Book Antiqua" w:eastAsia="宋体" w:hAnsi="Book Antiqua" w:cs="宋体"/>
                <w:color w:val="000000"/>
              </w:rPr>
              <w:t>0.164</w:t>
            </w:r>
          </w:p>
        </w:tc>
      </w:tr>
      <w:tr w:rsidR="004B3435" w:rsidRPr="004B3435" w14:paraId="1231312F" w14:textId="77777777" w:rsidTr="003E68D5">
        <w:tc>
          <w:tcPr>
            <w:tcW w:w="0" w:type="auto"/>
            <w:tcBorders>
              <w:bottom w:val="single" w:sz="4" w:space="0" w:color="auto"/>
            </w:tcBorders>
            <w:shd w:val="clear" w:color="auto" w:fill="auto"/>
            <w:noWrap/>
            <w:hideMark/>
          </w:tcPr>
          <w:p w14:paraId="51B40C58" w14:textId="77777777" w:rsidR="004B3435" w:rsidRPr="004B3435" w:rsidRDefault="004B3435" w:rsidP="004B3435">
            <w:pPr>
              <w:spacing w:line="360" w:lineRule="auto"/>
              <w:jc w:val="both"/>
              <w:rPr>
                <w:rFonts w:ascii="Book Antiqua" w:eastAsia="宋体" w:hAnsi="Book Antiqua" w:cs="宋体"/>
                <w:color w:val="000000"/>
              </w:rPr>
            </w:pPr>
          </w:p>
        </w:tc>
        <w:tc>
          <w:tcPr>
            <w:tcW w:w="0" w:type="auto"/>
            <w:tcBorders>
              <w:bottom w:val="single" w:sz="4" w:space="0" w:color="auto"/>
            </w:tcBorders>
            <w:shd w:val="clear" w:color="auto" w:fill="auto"/>
            <w:noWrap/>
            <w:hideMark/>
          </w:tcPr>
          <w:p w14:paraId="034A5C5F" w14:textId="1F0FEE6C"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B</w:t>
            </w:r>
          </w:p>
        </w:tc>
        <w:tc>
          <w:tcPr>
            <w:tcW w:w="0" w:type="auto"/>
            <w:gridSpan w:val="2"/>
            <w:tcBorders>
              <w:bottom w:val="single" w:sz="4" w:space="0" w:color="auto"/>
            </w:tcBorders>
            <w:shd w:val="clear" w:color="auto" w:fill="auto"/>
            <w:noWrap/>
            <w:hideMark/>
          </w:tcPr>
          <w:p w14:paraId="56C6582A" w14:textId="531DB6F7" w:rsidR="004B3435" w:rsidRPr="004B3435" w:rsidRDefault="004B3435" w:rsidP="004B3435">
            <w:pPr>
              <w:spacing w:line="360" w:lineRule="auto"/>
              <w:jc w:val="both"/>
              <w:rPr>
                <w:rFonts w:ascii="Book Antiqua" w:eastAsia="宋体" w:hAnsi="Book Antiqua" w:cs="宋体"/>
                <w:color w:val="000000"/>
              </w:rPr>
            </w:pPr>
            <w:r w:rsidRPr="004B3435">
              <w:rPr>
                <w:rFonts w:ascii="Book Antiqua" w:eastAsia="宋体" w:hAnsi="Book Antiqua" w:cs="宋体"/>
                <w:color w:val="000000"/>
              </w:rPr>
              <w:t>110.49</w:t>
            </w:r>
            <w:r>
              <w:rPr>
                <w:rFonts w:ascii="Book Antiqua" w:eastAsia="宋体" w:hAnsi="Book Antiqua" w:cs="宋体"/>
                <w:color w:val="000000"/>
              </w:rPr>
              <w:t xml:space="preserve"> </w:t>
            </w:r>
            <w:r w:rsidRPr="004B3435">
              <w:rPr>
                <w:rFonts w:ascii="Book Antiqua" w:eastAsia="宋体" w:hAnsi="Book Antiqua" w:cs="宋体"/>
                <w:color w:val="000000"/>
              </w:rPr>
              <w:t>±</w:t>
            </w:r>
            <w:r>
              <w:rPr>
                <w:rFonts w:ascii="Book Antiqua" w:eastAsia="宋体" w:hAnsi="Book Antiqua" w:cs="宋体"/>
                <w:color w:val="000000"/>
              </w:rPr>
              <w:t xml:space="preserve"> </w:t>
            </w:r>
            <w:r w:rsidRPr="004B3435">
              <w:rPr>
                <w:rFonts w:ascii="Book Antiqua" w:eastAsia="宋体" w:hAnsi="Book Antiqua" w:cs="宋体"/>
                <w:color w:val="000000"/>
              </w:rPr>
              <w:t>16.92</w:t>
            </w:r>
            <w:r>
              <w:rPr>
                <w:rFonts w:ascii="Book Antiqua" w:eastAsia="宋体" w:hAnsi="Book Antiqua" w:cs="宋体"/>
                <w:color w:val="000000"/>
                <w:vertAlign w:val="superscript"/>
              </w:rPr>
              <w:t>1</w:t>
            </w:r>
          </w:p>
        </w:tc>
      </w:tr>
    </w:tbl>
    <w:p w14:paraId="54046793" w14:textId="55238022" w:rsidR="00C269A2" w:rsidRDefault="004B3435">
      <w:pPr>
        <w:spacing w:line="360" w:lineRule="auto"/>
        <w:jc w:val="both"/>
        <w:rPr>
          <w:rFonts w:ascii="Book Antiqua" w:eastAsia="Book Antiqua" w:hAnsi="Book Antiqua" w:cs="Book Antiqua"/>
          <w:color w:val="000000"/>
        </w:rPr>
      </w:pPr>
      <w:r w:rsidRPr="004B3435">
        <w:rPr>
          <w:rFonts w:ascii="Book Antiqua" w:eastAsia="Book Antiqua" w:hAnsi="Book Antiqua" w:cs="Book Antiqua"/>
          <w:color w:val="000000"/>
          <w:vertAlign w:val="superscript"/>
        </w:rPr>
        <w:t>1</w:t>
      </w:r>
      <w:r w:rsidRPr="004B3435">
        <w:rPr>
          <w:rFonts w:ascii="Book Antiqua" w:eastAsia="Book Antiqua" w:hAnsi="Book Antiqua" w:cs="Book Antiqua"/>
          <w:color w:val="000000"/>
        </w:rPr>
        <w:t xml:space="preserve">In group B, there </w:t>
      </w:r>
      <w:r w:rsidR="002B1CED" w:rsidRPr="004B3435">
        <w:rPr>
          <w:rFonts w:ascii="Book Antiqua" w:eastAsia="Book Antiqua" w:hAnsi="Book Antiqua" w:cs="Book Antiqua"/>
          <w:color w:val="000000"/>
        </w:rPr>
        <w:t>w</w:t>
      </w:r>
      <w:r w:rsidR="002B1CED">
        <w:rPr>
          <w:rFonts w:ascii="Book Antiqua" w:eastAsia="Book Antiqua" w:hAnsi="Book Antiqua" w:cs="Book Antiqua"/>
          <w:color w:val="000000"/>
        </w:rPr>
        <w:t>as a</w:t>
      </w:r>
      <w:r w:rsidR="002B1CED" w:rsidRPr="004B3435">
        <w:rPr>
          <w:rFonts w:ascii="Book Antiqua" w:eastAsia="Book Antiqua" w:hAnsi="Book Antiqua" w:cs="Book Antiqua"/>
          <w:color w:val="000000"/>
        </w:rPr>
        <w:t xml:space="preserve"> </w:t>
      </w:r>
      <w:r w:rsidRPr="004B3435">
        <w:rPr>
          <w:rFonts w:ascii="Book Antiqua" w:eastAsia="Book Antiqua" w:hAnsi="Book Antiqua" w:cs="Book Antiqua"/>
          <w:color w:val="000000"/>
        </w:rPr>
        <w:t xml:space="preserve">significant difference in </w:t>
      </w:r>
      <w:r>
        <w:rPr>
          <w:rFonts w:ascii="Book Antiqua" w:eastAsia="Book Antiqua" w:hAnsi="Book Antiqua" w:cs="Book Antiqua"/>
          <w:color w:val="000000"/>
        </w:rPr>
        <w:t>e</w:t>
      </w:r>
      <w:r w:rsidRPr="004B3435">
        <w:rPr>
          <w:rFonts w:ascii="Book Antiqua" w:eastAsia="Book Antiqua" w:hAnsi="Book Antiqua" w:cs="Book Antiqua"/>
          <w:color w:val="000000"/>
        </w:rPr>
        <w:t>stimated glomerular filtration rate between the baseline</w:t>
      </w:r>
      <w:r w:rsidR="004E1D96">
        <w:rPr>
          <w:rFonts w:ascii="Book Antiqua" w:eastAsia="Book Antiqua" w:hAnsi="Book Antiqua" w:cs="Book Antiqua"/>
          <w:color w:val="000000"/>
        </w:rPr>
        <w:t xml:space="preserve"> value and the value at 96 wk</w:t>
      </w:r>
      <w:r w:rsidR="002B1CED">
        <w:rPr>
          <w:rFonts w:ascii="Book Antiqua" w:eastAsia="Book Antiqua" w:hAnsi="Book Antiqua" w:cs="Book Antiqua"/>
          <w:color w:val="000000"/>
        </w:rPr>
        <w:t xml:space="preserve"> </w:t>
      </w:r>
      <w:r w:rsidRPr="004B3435">
        <w:rPr>
          <w:rFonts w:ascii="Book Antiqua" w:eastAsia="Book Antiqua" w:hAnsi="Book Antiqua" w:cs="Book Antiqua"/>
          <w:color w:val="000000"/>
        </w:rPr>
        <w:t>(</w:t>
      </w:r>
      <w:r w:rsidRPr="004B3435">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4B3435">
        <w:rPr>
          <w:rFonts w:ascii="Book Antiqua" w:eastAsia="Book Antiqua" w:hAnsi="Book Antiqua" w:cs="Book Antiqua"/>
          <w:color w:val="000000"/>
        </w:rPr>
        <w:t>&lt;</w:t>
      </w:r>
      <w:r>
        <w:rPr>
          <w:rFonts w:ascii="Book Antiqua" w:eastAsia="Book Antiqua" w:hAnsi="Book Antiqua" w:cs="Book Antiqua"/>
          <w:color w:val="000000"/>
        </w:rPr>
        <w:t xml:space="preserve"> </w:t>
      </w:r>
      <w:r w:rsidRPr="004B3435">
        <w:rPr>
          <w:rFonts w:ascii="Book Antiqua" w:eastAsia="Book Antiqua" w:hAnsi="Book Antiqua" w:cs="Book Antiqua"/>
          <w:color w:val="000000"/>
        </w:rPr>
        <w:t>0.05).</w:t>
      </w:r>
      <w:r>
        <w:rPr>
          <w:rFonts w:ascii="Book Antiqua" w:eastAsia="Book Antiqua" w:hAnsi="Book Antiqua" w:cs="Book Antiqua"/>
          <w:color w:val="000000"/>
        </w:rPr>
        <w:t xml:space="preserve"> </w:t>
      </w:r>
      <w:r w:rsidRPr="004B3435">
        <w:rPr>
          <w:rFonts w:ascii="Book Antiqua" w:eastAsia="Book Antiqua" w:hAnsi="Book Antiqua" w:cs="Book Antiqua"/>
          <w:color w:val="000000"/>
        </w:rPr>
        <w:t>eGFR</w:t>
      </w:r>
      <w:r>
        <w:rPr>
          <w:rFonts w:ascii="Book Antiqua" w:eastAsia="Book Antiqua" w:hAnsi="Book Antiqua" w:cs="Book Antiqua"/>
          <w:color w:val="000000"/>
        </w:rPr>
        <w:t>:</w:t>
      </w:r>
      <w:r w:rsidRPr="004B3435">
        <w:rPr>
          <w:rFonts w:ascii="Book Antiqua" w:eastAsia="Book Antiqua" w:hAnsi="Book Antiqua" w:cs="Book Antiqua"/>
          <w:color w:val="000000"/>
        </w:rPr>
        <w:t xml:space="preserve"> </w:t>
      </w:r>
      <w:r>
        <w:rPr>
          <w:rFonts w:ascii="Book Antiqua" w:eastAsia="Book Antiqua" w:hAnsi="Book Antiqua" w:cs="Book Antiqua"/>
          <w:color w:val="000000"/>
        </w:rPr>
        <w:t>E</w:t>
      </w:r>
      <w:r w:rsidRPr="004B3435">
        <w:rPr>
          <w:rFonts w:ascii="Book Antiqua" w:eastAsia="Book Antiqua" w:hAnsi="Book Antiqua" w:cs="Book Antiqua"/>
          <w:color w:val="000000"/>
        </w:rPr>
        <w:t>stimated glomerular filtration rate</w:t>
      </w:r>
      <w:r>
        <w:rPr>
          <w:rFonts w:ascii="Book Antiqua" w:eastAsia="Book Antiqua" w:hAnsi="Book Antiqua" w:cs="Book Antiqua"/>
          <w:color w:val="000000"/>
        </w:rPr>
        <w:t>.</w:t>
      </w:r>
    </w:p>
    <w:p w14:paraId="3691DC7A" w14:textId="407EDC0E" w:rsidR="004B3435" w:rsidRDefault="00C269A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269A2">
        <w:rPr>
          <w:rFonts w:ascii="Book Antiqua" w:eastAsia="Book Antiqua" w:hAnsi="Book Antiqua" w:cs="Book Antiqua"/>
          <w:b/>
          <w:bCs/>
          <w:color w:val="000000"/>
        </w:rPr>
        <w:t xml:space="preserve">Table 8 Urine </w:t>
      </w:r>
      <w:bookmarkStart w:id="3" w:name="_Hlk69145380"/>
      <w:r w:rsidRPr="00C269A2">
        <w:rPr>
          <w:rFonts w:ascii="Book Antiqua" w:eastAsia="Book Antiqua" w:hAnsi="Book Antiqua" w:cs="Book Antiqua"/>
          <w:b/>
          <w:bCs/>
          <w:color w:val="000000"/>
        </w:rPr>
        <w:t>neutrophil gelatinase-associated lipocalin</w:t>
      </w:r>
      <w:bookmarkEnd w:id="3"/>
      <w:r w:rsidRPr="00C269A2">
        <w:rPr>
          <w:rFonts w:ascii="Book Antiqua" w:eastAsia="Book Antiqua" w:hAnsi="Book Antiqua" w:cs="Book Antiqua"/>
          <w:b/>
          <w:bCs/>
          <w:color w:val="000000"/>
        </w:rPr>
        <w:t xml:space="preserve"> levels in trial participants at baseline and at week 96</w:t>
      </w:r>
    </w:p>
    <w:tbl>
      <w:tblPr>
        <w:tblW w:w="0" w:type="auto"/>
        <w:tblLook w:val="0600" w:firstRow="0" w:lastRow="0" w:firstColumn="0" w:lastColumn="0" w:noHBand="1" w:noVBand="1"/>
      </w:tblPr>
      <w:tblGrid>
        <w:gridCol w:w="1094"/>
        <w:gridCol w:w="1636"/>
        <w:gridCol w:w="636"/>
        <w:gridCol w:w="1037"/>
      </w:tblGrid>
      <w:tr w:rsidR="00C269A2" w:rsidRPr="00C269A2" w14:paraId="7B19E723" w14:textId="77777777" w:rsidTr="003E68D5">
        <w:trPr>
          <w:trHeight w:val="446"/>
        </w:trPr>
        <w:tc>
          <w:tcPr>
            <w:tcW w:w="0" w:type="auto"/>
            <w:tcBorders>
              <w:top w:val="single" w:sz="4" w:space="0" w:color="auto"/>
              <w:bottom w:val="single" w:sz="4" w:space="0" w:color="auto"/>
            </w:tcBorders>
            <w:shd w:val="clear" w:color="auto" w:fill="auto"/>
            <w:noWrap/>
            <w:hideMark/>
          </w:tcPr>
          <w:p w14:paraId="3ECC2AA0" w14:textId="77777777" w:rsidR="00C269A2" w:rsidRPr="00C269A2" w:rsidRDefault="00C269A2" w:rsidP="00C269A2">
            <w:pPr>
              <w:spacing w:line="360" w:lineRule="auto"/>
              <w:jc w:val="both"/>
              <w:rPr>
                <w:rFonts w:ascii="宋体" w:eastAsia="宋体" w:hAnsi="宋体" w:cs="宋体"/>
              </w:rPr>
            </w:pPr>
          </w:p>
        </w:tc>
        <w:tc>
          <w:tcPr>
            <w:tcW w:w="0" w:type="auto"/>
            <w:tcBorders>
              <w:top w:val="single" w:sz="4" w:space="0" w:color="auto"/>
              <w:bottom w:val="single" w:sz="4" w:space="0" w:color="auto"/>
            </w:tcBorders>
            <w:shd w:val="clear" w:color="auto" w:fill="auto"/>
            <w:noWrap/>
            <w:hideMark/>
          </w:tcPr>
          <w:p w14:paraId="398C23E7" w14:textId="1BEE46BA" w:rsidR="00C269A2" w:rsidRPr="00C269A2" w:rsidRDefault="00C269A2" w:rsidP="00C269A2">
            <w:pPr>
              <w:spacing w:line="360" w:lineRule="auto"/>
              <w:jc w:val="both"/>
              <w:rPr>
                <w:rFonts w:ascii="Book Antiqua" w:eastAsia="等线" w:hAnsi="Book Antiqua" w:cs="宋体"/>
                <w:b/>
                <w:bCs/>
                <w:color w:val="000000"/>
              </w:rPr>
            </w:pPr>
            <w:r w:rsidRPr="00C269A2">
              <w:rPr>
                <w:rFonts w:ascii="Book Antiqua" w:eastAsia="等线" w:hAnsi="Book Antiqua" w:cs="宋体"/>
                <w:b/>
                <w:bCs/>
                <w:color w:val="000000"/>
              </w:rPr>
              <w:t>Urine NGAL</w:t>
            </w:r>
          </w:p>
        </w:tc>
        <w:tc>
          <w:tcPr>
            <w:tcW w:w="0" w:type="auto"/>
            <w:tcBorders>
              <w:top w:val="single" w:sz="4" w:space="0" w:color="auto"/>
              <w:bottom w:val="single" w:sz="4" w:space="0" w:color="auto"/>
            </w:tcBorders>
            <w:shd w:val="clear" w:color="auto" w:fill="auto"/>
            <w:noWrap/>
            <w:hideMark/>
          </w:tcPr>
          <w:p w14:paraId="504A1E59" w14:textId="77777777" w:rsidR="00C269A2" w:rsidRPr="00C269A2" w:rsidRDefault="00C269A2" w:rsidP="00C269A2">
            <w:pPr>
              <w:spacing w:line="360" w:lineRule="auto"/>
              <w:jc w:val="both"/>
              <w:rPr>
                <w:rFonts w:ascii="Book Antiqua" w:eastAsia="等线" w:hAnsi="Book Antiqua" w:cs="宋体"/>
                <w:b/>
                <w:bCs/>
                <w:i/>
                <w:iCs/>
                <w:color w:val="000000"/>
              </w:rPr>
            </w:pPr>
            <w:r w:rsidRPr="00C269A2">
              <w:rPr>
                <w:rFonts w:ascii="Book Antiqua" w:eastAsia="等线" w:hAnsi="Book Antiqua" w:cs="宋体"/>
                <w:b/>
                <w:bCs/>
                <w:i/>
                <w:iCs/>
                <w:color w:val="000000"/>
              </w:rPr>
              <w:t>Z</w:t>
            </w:r>
          </w:p>
        </w:tc>
        <w:tc>
          <w:tcPr>
            <w:tcW w:w="0" w:type="auto"/>
            <w:tcBorders>
              <w:top w:val="single" w:sz="4" w:space="0" w:color="auto"/>
              <w:bottom w:val="single" w:sz="4" w:space="0" w:color="auto"/>
            </w:tcBorders>
            <w:shd w:val="clear" w:color="auto" w:fill="auto"/>
            <w:noWrap/>
            <w:hideMark/>
          </w:tcPr>
          <w:p w14:paraId="467B1678" w14:textId="77777777" w:rsidR="00C269A2" w:rsidRPr="00C269A2" w:rsidRDefault="00C269A2" w:rsidP="00C269A2">
            <w:pPr>
              <w:spacing w:line="360" w:lineRule="auto"/>
              <w:jc w:val="both"/>
              <w:rPr>
                <w:rFonts w:ascii="Book Antiqua" w:eastAsia="等线" w:hAnsi="Book Antiqua" w:cs="宋体"/>
                <w:b/>
                <w:bCs/>
                <w:i/>
                <w:iCs/>
                <w:color w:val="000000"/>
              </w:rPr>
            </w:pPr>
            <w:r w:rsidRPr="00C269A2">
              <w:rPr>
                <w:rFonts w:ascii="Book Antiqua" w:eastAsia="等线" w:hAnsi="Book Antiqua" w:cs="宋体"/>
                <w:b/>
                <w:bCs/>
                <w:i/>
                <w:iCs/>
                <w:color w:val="000000"/>
              </w:rPr>
              <w:t xml:space="preserve">P </w:t>
            </w:r>
            <w:r w:rsidRPr="00C269A2">
              <w:rPr>
                <w:rFonts w:ascii="Book Antiqua" w:eastAsia="等线" w:hAnsi="Book Antiqua" w:cs="宋体"/>
                <w:b/>
                <w:bCs/>
                <w:color w:val="000000"/>
              </w:rPr>
              <w:t>value</w:t>
            </w:r>
          </w:p>
        </w:tc>
      </w:tr>
      <w:tr w:rsidR="00C269A2" w:rsidRPr="00C269A2" w14:paraId="1457435E" w14:textId="77777777" w:rsidTr="003E68D5">
        <w:trPr>
          <w:trHeight w:val="459"/>
        </w:trPr>
        <w:tc>
          <w:tcPr>
            <w:tcW w:w="0" w:type="auto"/>
            <w:tcBorders>
              <w:top w:val="single" w:sz="4" w:space="0" w:color="auto"/>
            </w:tcBorders>
            <w:shd w:val="clear" w:color="auto" w:fill="auto"/>
            <w:noWrap/>
            <w:hideMark/>
          </w:tcPr>
          <w:p w14:paraId="2BC518FC" w14:textId="77777777"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Baseline</w:t>
            </w:r>
          </w:p>
        </w:tc>
        <w:tc>
          <w:tcPr>
            <w:tcW w:w="0" w:type="auto"/>
            <w:tcBorders>
              <w:top w:val="single" w:sz="4" w:space="0" w:color="auto"/>
            </w:tcBorders>
            <w:shd w:val="clear" w:color="auto" w:fill="auto"/>
            <w:noWrap/>
            <w:hideMark/>
          </w:tcPr>
          <w:p w14:paraId="435C4B58" w14:textId="591A4AFA"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1.69</w:t>
            </w:r>
            <w:r>
              <w:rPr>
                <w:rFonts w:ascii="Book Antiqua" w:eastAsia="等线" w:hAnsi="Book Antiqua" w:cs="宋体"/>
                <w:color w:val="000000"/>
              </w:rPr>
              <w:t xml:space="preserve"> </w:t>
            </w:r>
            <w:r w:rsidRPr="00C269A2">
              <w:rPr>
                <w:rFonts w:ascii="Book Antiqua" w:eastAsia="等线" w:hAnsi="Book Antiqua" w:cs="宋体"/>
                <w:color w:val="000000"/>
              </w:rPr>
              <w:t>±</w:t>
            </w:r>
            <w:r>
              <w:rPr>
                <w:rFonts w:ascii="Book Antiqua" w:eastAsia="等线" w:hAnsi="Book Antiqua" w:cs="宋体"/>
                <w:color w:val="000000"/>
              </w:rPr>
              <w:t xml:space="preserve"> </w:t>
            </w:r>
            <w:r w:rsidRPr="00C269A2">
              <w:rPr>
                <w:rFonts w:ascii="Book Antiqua" w:eastAsia="等线" w:hAnsi="Book Antiqua" w:cs="宋体"/>
                <w:color w:val="000000"/>
              </w:rPr>
              <w:t>2.38</w:t>
            </w:r>
          </w:p>
        </w:tc>
        <w:tc>
          <w:tcPr>
            <w:tcW w:w="0" w:type="auto"/>
            <w:tcBorders>
              <w:top w:val="single" w:sz="4" w:space="0" w:color="auto"/>
            </w:tcBorders>
            <w:shd w:val="clear" w:color="auto" w:fill="auto"/>
            <w:noWrap/>
            <w:hideMark/>
          </w:tcPr>
          <w:p w14:paraId="46C359F7" w14:textId="77777777"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3.79</w:t>
            </w:r>
          </w:p>
        </w:tc>
        <w:tc>
          <w:tcPr>
            <w:tcW w:w="0" w:type="auto"/>
            <w:tcBorders>
              <w:top w:val="single" w:sz="4" w:space="0" w:color="auto"/>
            </w:tcBorders>
            <w:shd w:val="clear" w:color="auto" w:fill="auto"/>
            <w:noWrap/>
            <w:hideMark/>
          </w:tcPr>
          <w:p w14:paraId="4F5F4141" w14:textId="1C924CAD"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&lt;</w:t>
            </w:r>
            <w:r>
              <w:rPr>
                <w:rFonts w:ascii="Book Antiqua" w:eastAsia="等线" w:hAnsi="Book Antiqua" w:cs="宋体"/>
                <w:color w:val="000000"/>
              </w:rPr>
              <w:t xml:space="preserve"> </w:t>
            </w:r>
            <w:r w:rsidRPr="00C269A2">
              <w:rPr>
                <w:rFonts w:ascii="Book Antiqua" w:eastAsia="等线" w:hAnsi="Book Antiqua" w:cs="宋体"/>
                <w:color w:val="000000"/>
              </w:rPr>
              <w:t>0.01</w:t>
            </w:r>
          </w:p>
        </w:tc>
      </w:tr>
      <w:tr w:rsidR="00C269A2" w:rsidRPr="00C269A2" w14:paraId="1EF2B6C8" w14:textId="77777777" w:rsidTr="003E68D5">
        <w:trPr>
          <w:trHeight w:val="459"/>
        </w:trPr>
        <w:tc>
          <w:tcPr>
            <w:tcW w:w="0" w:type="auto"/>
            <w:tcBorders>
              <w:bottom w:val="single" w:sz="4" w:space="0" w:color="auto"/>
            </w:tcBorders>
            <w:shd w:val="clear" w:color="auto" w:fill="auto"/>
            <w:noWrap/>
            <w:hideMark/>
          </w:tcPr>
          <w:p w14:paraId="72C01E13" w14:textId="77777777"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96 wk</w:t>
            </w:r>
          </w:p>
        </w:tc>
        <w:tc>
          <w:tcPr>
            <w:tcW w:w="0" w:type="auto"/>
            <w:tcBorders>
              <w:bottom w:val="single" w:sz="4" w:space="0" w:color="auto"/>
            </w:tcBorders>
            <w:shd w:val="clear" w:color="auto" w:fill="auto"/>
            <w:noWrap/>
            <w:hideMark/>
          </w:tcPr>
          <w:p w14:paraId="4F4EB031" w14:textId="0C2B25B0" w:rsidR="00C269A2" w:rsidRPr="00C269A2" w:rsidRDefault="00C269A2" w:rsidP="00C269A2">
            <w:pPr>
              <w:spacing w:line="360" w:lineRule="auto"/>
              <w:rPr>
                <w:rFonts w:ascii="Book Antiqua" w:eastAsia="等线" w:hAnsi="Book Antiqua" w:cs="宋体"/>
                <w:color w:val="000000"/>
              </w:rPr>
            </w:pPr>
            <w:r w:rsidRPr="00C269A2">
              <w:rPr>
                <w:rFonts w:ascii="Book Antiqua" w:eastAsia="等线" w:hAnsi="Book Antiqua" w:cs="宋体"/>
                <w:color w:val="000000"/>
              </w:rPr>
              <w:t>3.73</w:t>
            </w:r>
            <w:r>
              <w:rPr>
                <w:rFonts w:ascii="Book Antiqua" w:eastAsia="等线" w:hAnsi="Book Antiqua" w:cs="宋体"/>
                <w:color w:val="000000"/>
              </w:rPr>
              <w:t xml:space="preserve"> </w:t>
            </w:r>
            <w:r w:rsidRPr="00C269A2">
              <w:rPr>
                <w:rFonts w:ascii="Book Antiqua" w:eastAsia="等线" w:hAnsi="Book Antiqua" w:cs="宋体"/>
                <w:color w:val="000000"/>
              </w:rPr>
              <w:t>±</w:t>
            </w:r>
            <w:r>
              <w:rPr>
                <w:rFonts w:ascii="Book Antiqua" w:eastAsia="等线" w:hAnsi="Book Antiqua" w:cs="宋体"/>
                <w:color w:val="000000"/>
              </w:rPr>
              <w:t xml:space="preserve"> </w:t>
            </w:r>
            <w:r w:rsidRPr="00C269A2">
              <w:rPr>
                <w:rFonts w:ascii="Book Antiqua" w:eastAsia="等线" w:hAnsi="Book Antiqua" w:cs="宋体"/>
                <w:color w:val="000000"/>
              </w:rPr>
              <w:t>11.48</w:t>
            </w:r>
          </w:p>
        </w:tc>
        <w:tc>
          <w:tcPr>
            <w:tcW w:w="0" w:type="auto"/>
            <w:tcBorders>
              <w:bottom w:val="single" w:sz="4" w:space="0" w:color="auto"/>
            </w:tcBorders>
            <w:shd w:val="clear" w:color="auto" w:fill="auto"/>
            <w:noWrap/>
            <w:hideMark/>
          </w:tcPr>
          <w:p w14:paraId="18CA3A38" w14:textId="77777777" w:rsidR="00C269A2" w:rsidRPr="00C269A2" w:rsidRDefault="00C269A2" w:rsidP="00C269A2">
            <w:pPr>
              <w:spacing w:line="360" w:lineRule="auto"/>
              <w:rPr>
                <w:rFonts w:ascii="Book Antiqua" w:eastAsia="等线" w:hAnsi="Book Antiqua" w:cs="宋体"/>
                <w:color w:val="000000"/>
              </w:rPr>
            </w:pPr>
          </w:p>
        </w:tc>
        <w:tc>
          <w:tcPr>
            <w:tcW w:w="0" w:type="auto"/>
            <w:tcBorders>
              <w:bottom w:val="single" w:sz="4" w:space="0" w:color="auto"/>
            </w:tcBorders>
            <w:shd w:val="clear" w:color="auto" w:fill="auto"/>
            <w:noWrap/>
            <w:hideMark/>
          </w:tcPr>
          <w:p w14:paraId="212837D5" w14:textId="77777777" w:rsidR="00C269A2" w:rsidRPr="00C269A2" w:rsidRDefault="00C269A2" w:rsidP="00C269A2">
            <w:pPr>
              <w:spacing w:line="360" w:lineRule="auto"/>
              <w:rPr>
                <w:rFonts w:eastAsia="Times New Roman"/>
              </w:rPr>
            </w:pPr>
          </w:p>
        </w:tc>
      </w:tr>
    </w:tbl>
    <w:p w14:paraId="56A7C9B2" w14:textId="56B2AB76" w:rsidR="00A427C6" w:rsidRDefault="00C269A2">
      <w:pPr>
        <w:spacing w:line="360" w:lineRule="auto"/>
        <w:jc w:val="both"/>
        <w:rPr>
          <w:rFonts w:ascii="Book Antiqua" w:hAnsi="Book Antiqua" w:cs="Book Antiqua"/>
          <w:color w:val="000000"/>
          <w:lang w:eastAsia="zh-CN"/>
        </w:rPr>
      </w:pPr>
      <w:r w:rsidRPr="00C269A2">
        <w:rPr>
          <w:rFonts w:ascii="Book Antiqua" w:hAnsi="Book Antiqua" w:cs="Book Antiqua" w:hint="eastAsia"/>
          <w:color w:val="000000"/>
          <w:lang w:eastAsia="zh-CN"/>
        </w:rPr>
        <w:t>N</w:t>
      </w:r>
      <w:r w:rsidRPr="00C269A2">
        <w:rPr>
          <w:rFonts w:ascii="Book Antiqua" w:hAnsi="Book Antiqua" w:cs="Book Antiqua"/>
          <w:color w:val="000000"/>
          <w:lang w:eastAsia="zh-CN"/>
        </w:rPr>
        <w:t>GAL</w:t>
      </w:r>
      <w:r>
        <w:rPr>
          <w:rFonts w:ascii="Book Antiqua" w:hAnsi="Book Antiqua" w:cs="Book Antiqua"/>
          <w:color w:val="000000"/>
          <w:lang w:eastAsia="zh-CN"/>
        </w:rPr>
        <w:t>: N</w:t>
      </w:r>
      <w:r w:rsidRPr="00C269A2">
        <w:rPr>
          <w:rFonts w:ascii="Book Antiqua" w:hAnsi="Book Antiqua" w:cs="Book Antiqua"/>
          <w:color w:val="000000"/>
          <w:lang w:eastAsia="zh-CN"/>
        </w:rPr>
        <w:t>eutrophil gelatinase-associated lipocalin</w:t>
      </w:r>
      <w:r>
        <w:rPr>
          <w:rFonts w:ascii="Book Antiqua" w:hAnsi="Book Antiqua" w:cs="Book Antiqua"/>
          <w:color w:val="000000"/>
          <w:lang w:eastAsia="zh-CN"/>
        </w:rPr>
        <w:t>.</w:t>
      </w:r>
    </w:p>
    <w:p w14:paraId="1F68BDAA" w14:textId="77777777" w:rsidR="00A427C6" w:rsidRDefault="00A427C6">
      <w:pPr>
        <w:rPr>
          <w:rFonts w:ascii="Book Antiqua" w:hAnsi="Book Antiqua" w:cs="Book Antiqua"/>
          <w:color w:val="000000"/>
          <w:lang w:eastAsia="zh-CN"/>
        </w:rPr>
      </w:pPr>
      <w:r>
        <w:rPr>
          <w:rFonts w:ascii="Book Antiqua" w:hAnsi="Book Antiqua" w:cs="Book Antiqua"/>
          <w:color w:val="000000"/>
          <w:lang w:eastAsia="zh-CN"/>
        </w:rPr>
        <w:br w:type="page"/>
      </w:r>
    </w:p>
    <w:p w14:paraId="5185DB9F" w14:textId="77777777" w:rsidR="00A427C6" w:rsidRDefault="00A427C6" w:rsidP="00A427C6">
      <w:pPr>
        <w:jc w:val="center"/>
        <w:rPr>
          <w:rFonts w:ascii="Book Antiqua" w:hAnsi="Book Antiqua"/>
          <w:lang w:eastAsia="zh-CN"/>
        </w:rPr>
      </w:pPr>
      <w:bookmarkStart w:id="4" w:name="OLE_LINK1"/>
      <w:bookmarkStart w:id="5" w:name="OLE_LINK2"/>
    </w:p>
    <w:p w14:paraId="1747412D" w14:textId="77777777" w:rsidR="00A427C6" w:rsidRDefault="00A427C6" w:rsidP="00A427C6">
      <w:pPr>
        <w:jc w:val="center"/>
        <w:rPr>
          <w:rFonts w:ascii="Book Antiqua" w:hAnsi="Book Antiqua"/>
          <w:lang w:eastAsia="zh-CN"/>
        </w:rPr>
      </w:pPr>
    </w:p>
    <w:p w14:paraId="239C09BB" w14:textId="77777777" w:rsidR="00A427C6" w:rsidRDefault="00A427C6" w:rsidP="00A427C6">
      <w:pPr>
        <w:jc w:val="center"/>
        <w:rPr>
          <w:rFonts w:ascii="Book Antiqua" w:hAnsi="Book Antiqua"/>
          <w:lang w:eastAsia="zh-CN"/>
        </w:rPr>
      </w:pPr>
    </w:p>
    <w:p w14:paraId="342E0F1F" w14:textId="77777777" w:rsidR="00A427C6" w:rsidRDefault="00A427C6" w:rsidP="00A427C6">
      <w:pPr>
        <w:jc w:val="center"/>
        <w:rPr>
          <w:rFonts w:ascii="Book Antiqua" w:hAnsi="Book Antiqua"/>
          <w:lang w:eastAsia="zh-CN"/>
        </w:rPr>
      </w:pPr>
    </w:p>
    <w:p w14:paraId="6606D6FA" w14:textId="77777777" w:rsidR="00A427C6" w:rsidRDefault="00A427C6" w:rsidP="00A427C6">
      <w:pPr>
        <w:jc w:val="center"/>
        <w:rPr>
          <w:rFonts w:ascii="Book Antiqua" w:hAnsi="Book Antiqua"/>
          <w:lang w:eastAsia="zh-CN"/>
        </w:rPr>
      </w:pPr>
    </w:p>
    <w:p w14:paraId="2F720FEF" w14:textId="77777777" w:rsidR="00A427C6" w:rsidRDefault="00A427C6" w:rsidP="00A427C6">
      <w:pPr>
        <w:jc w:val="center"/>
        <w:rPr>
          <w:rFonts w:ascii="Book Antiqua" w:hAnsi="Book Antiqua"/>
          <w:lang w:eastAsia="zh-CN"/>
        </w:rPr>
      </w:pPr>
      <w:r>
        <w:rPr>
          <w:rFonts w:ascii="Book Antiqua" w:hAnsi="Book Antiqua"/>
          <w:noProof/>
          <w:lang w:eastAsia="zh-CN"/>
        </w:rPr>
        <w:drawing>
          <wp:inline distT="0" distB="0" distL="0" distR="0" wp14:anchorId="5E2153CA" wp14:editId="3F9863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DA18DE" w14:textId="77777777" w:rsidR="00A427C6" w:rsidRDefault="00A427C6" w:rsidP="00A427C6">
      <w:pPr>
        <w:jc w:val="center"/>
        <w:rPr>
          <w:rFonts w:ascii="Book Antiqua" w:hAnsi="Book Antiqua"/>
          <w:lang w:eastAsia="zh-CN"/>
        </w:rPr>
      </w:pPr>
    </w:p>
    <w:p w14:paraId="5AF8DCB5" w14:textId="77777777" w:rsidR="00A427C6" w:rsidRPr="00763D22" w:rsidRDefault="00A427C6" w:rsidP="00A427C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37E05A" w14:textId="77777777" w:rsidR="00A427C6" w:rsidRPr="00763D22" w:rsidRDefault="00A427C6" w:rsidP="00A427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A692F2" w14:textId="77777777" w:rsidR="00A427C6" w:rsidRPr="00763D22" w:rsidRDefault="00A427C6" w:rsidP="00A427C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6014DF" w14:textId="77777777" w:rsidR="00A427C6" w:rsidRPr="00763D22" w:rsidRDefault="00A427C6" w:rsidP="00A427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0D895F" w14:textId="77777777" w:rsidR="00A427C6" w:rsidRPr="00763D22" w:rsidRDefault="00A427C6" w:rsidP="00A427C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25C03F6" w14:textId="77777777" w:rsidR="00A427C6" w:rsidRPr="00763D22" w:rsidRDefault="00A427C6" w:rsidP="00A427C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10D759" w14:textId="77777777" w:rsidR="00A427C6" w:rsidRDefault="00A427C6" w:rsidP="00A427C6">
      <w:pPr>
        <w:jc w:val="center"/>
        <w:rPr>
          <w:rFonts w:ascii="Book Antiqua" w:hAnsi="Book Antiqua"/>
          <w:lang w:eastAsia="zh-CN"/>
        </w:rPr>
      </w:pPr>
    </w:p>
    <w:p w14:paraId="34224926" w14:textId="77777777" w:rsidR="00A427C6" w:rsidRDefault="00A427C6" w:rsidP="00A427C6">
      <w:pPr>
        <w:jc w:val="center"/>
        <w:rPr>
          <w:rFonts w:ascii="Book Antiqua" w:hAnsi="Book Antiqua"/>
          <w:lang w:eastAsia="zh-CN"/>
        </w:rPr>
      </w:pPr>
    </w:p>
    <w:p w14:paraId="225D0C26" w14:textId="77777777" w:rsidR="00A427C6" w:rsidRDefault="00A427C6" w:rsidP="00A427C6">
      <w:pPr>
        <w:jc w:val="center"/>
        <w:rPr>
          <w:rFonts w:ascii="Book Antiqua" w:hAnsi="Book Antiqua"/>
          <w:lang w:eastAsia="zh-CN"/>
        </w:rPr>
      </w:pPr>
    </w:p>
    <w:p w14:paraId="66A7E35F" w14:textId="77777777" w:rsidR="00A427C6" w:rsidRDefault="00A427C6" w:rsidP="00A427C6">
      <w:pPr>
        <w:jc w:val="center"/>
        <w:rPr>
          <w:rFonts w:ascii="Book Antiqua" w:hAnsi="Book Antiqua"/>
          <w:lang w:eastAsia="zh-CN"/>
        </w:rPr>
      </w:pPr>
      <w:r>
        <w:rPr>
          <w:rFonts w:ascii="Book Antiqua" w:hAnsi="Book Antiqua"/>
          <w:noProof/>
          <w:lang w:eastAsia="zh-CN"/>
        </w:rPr>
        <w:drawing>
          <wp:inline distT="0" distB="0" distL="0" distR="0" wp14:anchorId="5437576C" wp14:editId="6A21BD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CA9DFC" w14:textId="77777777" w:rsidR="00A427C6" w:rsidRDefault="00A427C6" w:rsidP="00A427C6">
      <w:pPr>
        <w:jc w:val="center"/>
        <w:rPr>
          <w:rFonts w:ascii="Book Antiqua" w:hAnsi="Book Antiqua"/>
          <w:lang w:eastAsia="zh-CN"/>
        </w:rPr>
      </w:pPr>
    </w:p>
    <w:p w14:paraId="651BAAA8" w14:textId="77777777" w:rsidR="00A427C6" w:rsidRDefault="00A427C6" w:rsidP="00A427C6">
      <w:pPr>
        <w:jc w:val="center"/>
        <w:rPr>
          <w:rFonts w:ascii="Book Antiqua" w:hAnsi="Book Antiqua"/>
          <w:lang w:eastAsia="zh-CN"/>
        </w:rPr>
      </w:pPr>
    </w:p>
    <w:p w14:paraId="716ECE43" w14:textId="77777777" w:rsidR="00A427C6" w:rsidRDefault="00A427C6" w:rsidP="00A427C6">
      <w:pPr>
        <w:jc w:val="center"/>
        <w:rPr>
          <w:rFonts w:ascii="Book Antiqua" w:hAnsi="Book Antiqua"/>
          <w:lang w:eastAsia="zh-CN"/>
        </w:rPr>
      </w:pPr>
    </w:p>
    <w:p w14:paraId="42EBDB5F" w14:textId="77777777" w:rsidR="00A427C6" w:rsidRDefault="00A427C6" w:rsidP="00A427C6">
      <w:pPr>
        <w:jc w:val="center"/>
        <w:rPr>
          <w:rFonts w:ascii="Book Antiqua" w:hAnsi="Book Antiqua"/>
          <w:lang w:eastAsia="zh-CN"/>
        </w:rPr>
      </w:pPr>
    </w:p>
    <w:p w14:paraId="6D4BAF17" w14:textId="77777777" w:rsidR="00A427C6" w:rsidRDefault="00A427C6" w:rsidP="00A427C6">
      <w:pPr>
        <w:jc w:val="center"/>
        <w:rPr>
          <w:rFonts w:ascii="Book Antiqua" w:hAnsi="Book Antiqua"/>
          <w:lang w:eastAsia="zh-CN"/>
        </w:rPr>
      </w:pPr>
    </w:p>
    <w:p w14:paraId="0B88EE8F" w14:textId="77777777" w:rsidR="00A427C6" w:rsidRDefault="00A427C6" w:rsidP="00A427C6">
      <w:pPr>
        <w:jc w:val="center"/>
        <w:rPr>
          <w:rFonts w:ascii="Book Antiqua" w:hAnsi="Book Antiqua"/>
          <w:lang w:eastAsia="zh-CN"/>
        </w:rPr>
      </w:pPr>
    </w:p>
    <w:p w14:paraId="1F349854" w14:textId="77777777" w:rsidR="00A427C6" w:rsidRDefault="00A427C6" w:rsidP="00A427C6">
      <w:pPr>
        <w:jc w:val="center"/>
        <w:rPr>
          <w:rFonts w:ascii="Book Antiqua" w:hAnsi="Book Antiqua"/>
          <w:lang w:eastAsia="zh-CN"/>
        </w:rPr>
      </w:pPr>
    </w:p>
    <w:p w14:paraId="3FC480B8" w14:textId="77777777" w:rsidR="00A427C6" w:rsidRDefault="00A427C6" w:rsidP="00A427C6">
      <w:pPr>
        <w:jc w:val="center"/>
        <w:rPr>
          <w:rFonts w:ascii="Book Antiqua" w:hAnsi="Book Antiqua"/>
          <w:lang w:eastAsia="zh-CN"/>
        </w:rPr>
      </w:pPr>
    </w:p>
    <w:p w14:paraId="708AE124" w14:textId="77777777" w:rsidR="00A427C6" w:rsidRDefault="00A427C6" w:rsidP="00A427C6">
      <w:pPr>
        <w:jc w:val="center"/>
        <w:rPr>
          <w:rFonts w:ascii="Book Antiqua" w:hAnsi="Book Antiqua"/>
          <w:lang w:eastAsia="zh-CN"/>
        </w:rPr>
      </w:pPr>
    </w:p>
    <w:p w14:paraId="1AEC1B2A" w14:textId="77777777" w:rsidR="00A427C6" w:rsidRPr="00763D22" w:rsidRDefault="00A427C6" w:rsidP="00A427C6">
      <w:pPr>
        <w:jc w:val="right"/>
        <w:rPr>
          <w:rFonts w:ascii="Book Antiqua" w:hAnsi="Book Antiqua"/>
          <w:color w:val="000000" w:themeColor="text1"/>
          <w:lang w:eastAsia="zh-CN"/>
        </w:rPr>
      </w:pPr>
    </w:p>
    <w:p w14:paraId="6EDAE21D" w14:textId="77777777" w:rsidR="00A427C6" w:rsidRPr="00763D22" w:rsidRDefault="00A427C6" w:rsidP="00A427C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3D433770" w14:textId="77777777" w:rsidR="00711DAC" w:rsidRPr="004B3435" w:rsidRDefault="00711DAC">
      <w:pPr>
        <w:spacing w:line="360" w:lineRule="auto"/>
        <w:jc w:val="both"/>
        <w:rPr>
          <w:rFonts w:ascii="Book Antiqua" w:eastAsia="Book Antiqua" w:hAnsi="Book Antiqua" w:cs="Book Antiqua"/>
          <w:color w:val="000000"/>
        </w:rPr>
      </w:pPr>
      <w:bookmarkStart w:id="6" w:name="_GoBack"/>
      <w:bookmarkEnd w:id="6"/>
    </w:p>
    <w:sectPr w:rsidR="00711DAC" w:rsidRPr="004B3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EC30B" w14:textId="77777777" w:rsidR="00B937D9" w:rsidRDefault="00B937D9" w:rsidP="00C25123">
      <w:r>
        <w:separator/>
      </w:r>
    </w:p>
  </w:endnote>
  <w:endnote w:type="continuationSeparator" w:id="0">
    <w:p w14:paraId="770081CD" w14:textId="77777777" w:rsidR="00B937D9" w:rsidRDefault="00B937D9" w:rsidP="00C2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Bold">
    <w:altName w:val="微软雅黑"/>
    <w:panose1 w:val="00000000000000000000"/>
    <w:charset w:val="00"/>
    <w:family w:val="swiss"/>
    <w:notTrueType/>
    <w:pitch w:val="default"/>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AdvOT7fe89a09">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6509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FA63CE" w14:textId="237203C2" w:rsidR="00ED275C" w:rsidRPr="00C25123" w:rsidRDefault="00ED275C" w:rsidP="00C25123">
            <w:pPr>
              <w:pStyle w:val="a8"/>
              <w:jc w:val="right"/>
              <w:rPr>
                <w:rFonts w:ascii="Book Antiqua" w:hAnsi="Book Antiqua"/>
                <w:sz w:val="24"/>
                <w:szCs w:val="24"/>
              </w:rPr>
            </w:pPr>
            <w:r w:rsidRPr="00C25123">
              <w:rPr>
                <w:rFonts w:ascii="Book Antiqua" w:hAnsi="Book Antiqua"/>
                <w:sz w:val="24"/>
                <w:szCs w:val="24"/>
                <w:lang w:val="zh-CN" w:eastAsia="zh-CN"/>
              </w:rPr>
              <w:t xml:space="preserve"> </w:t>
            </w:r>
            <w:r w:rsidRPr="00C25123">
              <w:rPr>
                <w:rFonts w:ascii="Book Antiqua" w:hAnsi="Book Antiqua"/>
                <w:sz w:val="24"/>
                <w:szCs w:val="24"/>
              </w:rPr>
              <w:fldChar w:fldCharType="begin"/>
            </w:r>
            <w:r w:rsidRPr="00C25123">
              <w:rPr>
                <w:rFonts w:ascii="Book Antiqua" w:hAnsi="Book Antiqua"/>
                <w:sz w:val="24"/>
                <w:szCs w:val="24"/>
              </w:rPr>
              <w:instrText>PAGE</w:instrText>
            </w:r>
            <w:r w:rsidRPr="00C25123">
              <w:rPr>
                <w:rFonts w:ascii="Book Antiqua" w:hAnsi="Book Antiqua"/>
                <w:sz w:val="24"/>
                <w:szCs w:val="24"/>
              </w:rPr>
              <w:fldChar w:fldCharType="separate"/>
            </w:r>
            <w:r w:rsidR="00B937D9">
              <w:rPr>
                <w:rFonts w:ascii="Book Antiqua" w:hAnsi="Book Antiqua"/>
                <w:noProof/>
                <w:sz w:val="24"/>
                <w:szCs w:val="24"/>
              </w:rPr>
              <w:t>1</w:t>
            </w:r>
            <w:r w:rsidRPr="00C25123">
              <w:rPr>
                <w:rFonts w:ascii="Book Antiqua" w:hAnsi="Book Antiqua"/>
                <w:sz w:val="24"/>
                <w:szCs w:val="24"/>
              </w:rPr>
              <w:fldChar w:fldCharType="end"/>
            </w:r>
            <w:r w:rsidRPr="00C25123">
              <w:rPr>
                <w:rFonts w:ascii="Book Antiqua" w:hAnsi="Book Antiqua"/>
                <w:sz w:val="24"/>
                <w:szCs w:val="24"/>
                <w:lang w:val="zh-CN" w:eastAsia="zh-CN"/>
              </w:rPr>
              <w:t xml:space="preserve"> / </w:t>
            </w:r>
            <w:r w:rsidRPr="00C25123">
              <w:rPr>
                <w:rFonts w:ascii="Book Antiqua" w:hAnsi="Book Antiqua"/>
                <w:sz w:val="24"/>
                <w:szCs w:val="24"/>
              </w:rPr>
              <w:fldChar w:fldCharType="begin"/>
            </w:r>
            <w:r w:rsidRPr="00C25123">
              <w:rPr>
                <w:rFonts w:ascii="Book Antiqua" w:hAnsi="Book Antiqua"/>
                <w:sz w:val="24"/>
                <w:szCs w:val="24"/>
              </w:rPr>
              <w:instrText>NUMPAGES</w:instrText>
            </w:r>
            <w:r w:rsidRPr="00C25123">
              <w:rPr>
                <w:rFonts w:ascii="Book Antiqua" w:hAnsi="Book Antiqua"/>
                <w:sz w:val="24"/>
                <w:szCs w:val="24"/>
              </w:rPr>
              <w:fldChar w:fldCharType="separate"/>
            </w:r>
            <w:r w:rsidR="00B937D9">
              <w:rPr>
                <w:rFonts w:ascii="Book Antiqua" w:hAnsi="Book Antiqua"/>
                <w:noProof/>
                <w:sz w:val="24"/>
                <w:szCs w:val="24"/>
              </w:rPr>
              <w:t>1</w:t>
            </w:r>
            <w:r w:rsidRPr="00C25123">
              <w:rPr>
                <w:rFonts w:ascii="Book Antiqua" w:hAnsi="Book Antiqua"/>
                <w:sz w:val="24"/>
                <w:szCs w:val="24"/>
              </w:rPr>
              <w:fldChar w:fldCharType="end"/>
            </w:r>
          </w:p>
        </w:sdtContent>
      </w:sdt>
    </w:sdtContent>
  </w:sdt>
  <w:p w14:paraId="50F51978" w14:textId="77777777" w:rsidR="00ED275C" w:rsidRPr="00C25123" w:rsidRDefault="00ED275C" w:rsidP="00C25123">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629D2" w14:textId="77777777" w:rsidR="00B937D9" w:rsidRDefault="00B937D9" w:rsidP="00C25123">
      <w:r>
        <w:separator/>
      </w:r>
    </w:p>
  </w:footnote>
  <w:footnote w:type="continuationSeparator" w:id="0">
    <w:p w14:paraId="6FF34B97" w14:textId="77777777" w:rsidR="00B937D9" w:rsidRDefault="00B937D9" w:rsidP="00C2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D6E"/>
    <w:rsid w:val="00052823"/>
    <w:rsid w:val="00072481"/>
    <w:rsid w:val="000A4B6F"/>
    <w:rsid w:val="000B3ABA"/>
    <w:rsid w:val="000E0ED6"/>
    <w:rsid w:val="000E5711"/>
    <w:rsid w:val="00125FAE"/>
    <w:rsid w:val="0016622F"/>
    <w:rsid w:val="0017493E"/>
    <w:rsid w:val="001863B2"/>
    <w:rsid w:val="001A3771"/>
    <w:rsid w:val="001B21ED"/>
    <w:rsid w:val="001F261C"/>
    <w:rsid w:val="001F75DF"/>
    <w:rsid w:val="0024451D"/>
    <w:rsid w:val="002A04D8"/>
    <w:rsid w:val="002B1CED"/>
    <w:rsid w:val="002C63B0"/>
    <w:rsid w:val="003432C0"/>
    <w:rsid w:val="00352838"/>
    <w:rsid w:val="003C03CE"/>
    <w:rsid w:val="003C37D5"/>
    <w:rsid w:val="003E68D5"/>
    <w:rsid w:val="004B3435"/>
    <w:rsid w:val="004C1C4C"/>
    <w:rsid w:val="004C70AA"/>
    <w:rsid w:val="004E1D96"/>
    <w:rsid w:val="004F4C65"/>
    <w:rsid w:val="004F57FA"/>
    <w:rsid w:val="00585459"/>
    <w:rsid w:val="00593DEF"/>
    <w:rsid w:val="005D01E7"/>
    <w:rsid w:val="005D5034"/>
    <w:rsid w:val="005E4F2B"/>
    <w:rsid w:val="00645A58"/>
    <w:rsid w:val="00656E56"/>
    <w:rsid w:val="00691611"/>
    <w:rsid w:val="006A5717"/>
    <w:rsid w:val="006E476D"/>
    <w:rsid w:val="006F1BF0"/>
    <w:rsid w:val="006F2F81"/>
    <w:rsid w:val="00711DAC"/>
    <w:rsid w:val="00784E65"/>
    <w:rsid w:val="008552C1"/>
    <w:rsid w:val="008D1141"/>
    <w:rsid w:val="008E4B77"/>
    <w:rsid w:val="009742A1"/>
    <w:rsid w:val="009973CB"/>
    <w:rsid w:val="009B7210"/>
    <w:rsid w:val="00A427C6"/>
    <w:rsid w:val="00A429B8"/>
    <w:rsid w:val="00A66760"/>
    <w:rsid w:val="00A77B3E"/>
    <w:rsid w:val="00A8002B"/>
    <w:rsid w:val="00B320BF"/>
    <w:rsid w:val="00B85663"/>
    <w:rsid w:val="00B86CA2"/>
    <w:rsid w:val="00B937D9"/>
    <w:rsid w:val="00BD578C"/>
    <w:rsid w:val="00BF231B"/>
    <w:rsid w:val="00C25123"/>
    <w:rsid w:val="00C269A2"/>
    <w:rsid w:val="00C303EC"/>
    <w:rsid w:val="00C406BC"/>
    <w:rsid w:val="00C43F6F"/>
    <w:rsid w:val="00C473E5"/>
    <w:rsid w:val="00C768FA"/>
    <w:rsid w:val="00CA2A55"/>
    <w:rsid w:val="00CB5D95"/>
    <w:rsid w:val="00CF319D"/>
    <w:rsid w:val="00D02702"/>
    <w:rsid w:val="00D30C96"/>
    <w:rsid w:val="00D63ED0"/>
    <w:rsid w:val="00D772A7"/>
    <w:rsid w:val="00DA7A17"/>
    <w:rsid w:val="00DD05A7"/>
    <w:rsid w:val="00E15B7E"/>
    <w:rsid w:val="00E47D5B"/>
    <w:rsid w:val="00E51A25"/>
    <w:rsid w:val="00E610B3"/>
    <w:rsid w:val="00E82728"/>
    <w:rsid w:val="00ED275C"/>
    <w:rsid w:val="00F0617E"/>
    <w:rsid w:val="00F11951"/>
    <w:rsid w:val="00F1723B"/>
    <w:rsid w:val="00F22D48"/>
    <w:rsid w:val="00F35C39"/>
    <w:rsid w:val="00F60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2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26D6E"/>
    <w:rPr>
      <w:sz w:val="21"/>
      <w:szCs w:val="21"/>
    </w:rPr>
  </w:style>
  <w:style w:type="paragraph" w:styleId="a4">
    <w:name w:val="annotation text"/>
    <w:basedOn w:val="a"/>
    <w:link w:val="Char"/>
    <w:semiHidden/>
    <w:unhideWhenUsed/>
    <w:rsid w:val="00026D6E"/>
  </w:style>
  <w:style w:type="character" w:customStyle="1" w:styleId="Char">
    <w:name w:val="批注文字 Char"/>
    <w:basedOn w:val="a0"/>
    <w:link w:val="a4"/>
    <w:semiHidden/>
    <w:rsid w:val="00026D6E"/>
    <w:rPr>
      <w:sz w:val="24"/>
      <w:szCs w:val="24"/>
    </w:rPr>
  </w:style>
  <w:style w:type="paragraph" w:styleId="a5">
    <w:name w:val="annotation subject"/>
    <w:basedOn w:val="a4"/>
    <w:next w:val="a4"/>
    <w:link w:val="Char0"/>
    <w:semiHidden/>
    <w:unhideWhenUsed/>
    <w:rsid w:val="00026D6E"/>
    <w:rPr>
      <w:b/>
      <w:bCs/>
    </w:rPr>
  </w:style>
  <w:style w:type="character" w:customStyle="1" w:styleId="Char0">
    <w:name w:val="批注主题 Char"/>
    <w:basedOn w:val="Char"/>
    <w:link w:val="a5"/>
    <w:semiHidden/>
    <w:rsid w:val="00026D6E"/>
    <w:rPr>
      <w:b/>
      <w:bCs/>
      <w:sz w:val="24"/>
      <w:szCs w:val="24"/>
    </w:rPr>
  </w:style>
  <w:style w:type="table" w:styleId="a6">
    <w:name w:val="Table Grid"/>
    <w:basedOn w:val="a1"/>
    <w:uiPriority w:val="39"/>
    <w:rsid w:val="00D772A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C251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25123"/>
    <w:rPr>
      <w:sz w:val="18"/>
      <w:szCs w:val="18"/>
    </w:rPr>
  </w:style>
  <w:style w:type="paragraph" w:styleId="a8">
    <w:name w:val="footer"/>
    <w:basedOn w:val="a"/>
    <w:link w:val="Char2"/>
    <w:uiPriority w:val="99"/>
    <w:unhideWhenUsed/>
    <w:rsid w:val="00C25123"/>
    <w:pPr>
      <w:tabs>
        <w:tab w:val="center" w:pos="4153"/>
        <w:tab w:val="right" w:pos="8306"/>
      </w:tabs>
      <w:snapToGrid w:val="0"/>
    </w:pPr>
    <w:rPr>
      <w:sz w:val="18"/>
      <w:szCs w:val="18"/>
    </w:rPr>
  </w:style>
  <w:style w:type="character" w:customStyle="1" w:styleId="Char2">
    <w:name w:val="页脚 Char"/>
    <w:basedOn w:val="a0"/>
    <w:link w:val="a8"/>
    <w:uiPriority w:val="99"/>
    <w:rsid w:val="00C25123"/>
    <w:rPr>
      <w:sz w:val="18"/>
      <w:szCs w:val="18"/>
    </w:rPr>
  </w:style>
  <w:style w:type="paragraph" w:styleId="a9">
    <w:name w:val="Balloon Text"/>
    <w:basedOn w:val="a"/>
    <w:link w:val="Char3"/>
    <w:semiHidden/>
    <w:unhideWhenUsed/>
    <w:rsid w:val="000B3ABA"/>
    <w:rPr>
      <w:sz w:val="18"/>
      <w:szCs w:val="18"/>
    </w:rPr>
  </w:style>
  <w:style w:type="character" w:customStyle="1" w:styleId="Char3">
    <w:name w:val="批注框文本 Char"/>
    <w:basedOn w:val="a0"/>
    <w:link w:val="a9"/>
    <w:semiHidden/>
    <w:rsid w:val="000B3A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26D6E"/>
    <w:rPr>
      <w:sz w:val="21"/>
      <w:szCs w:val="21"/>
    </w:rPr>
  </w:style>
  <w:style w:type="paragraph" w:styleId="a4">
    <w:name w:val="annotation text"/>
    <w:basedOn w:val="a"/>
    <w:link w:val="Char"/>
    <w:semiHidden/>
    <w:unhideWhenUsed/>
    <w:rsid w:val="00026D6E"/>
  </w:style>
  <w:style w:type="character" w:customStyle="1" w:styleId="Char">
    <w:name w:val="批注文字 Char"/>
    <w:basedOn w:val="a0"/>
    <w:link w:val="a4"/>
    <w:semiHidden/>
    <w:rsid w:val="00026D6E"/>
    <w:rPr>
      <w:sz w:val="24"/>
      <w:szCs w:val="24"/>
    </w:rPr>
  </w:style>
  <w:style w:type="paragraph" w:styleId="a5">
    <w:name w:val="annotation subject"/>
    <w:basedOn w:val="a4"/>
    <w:next w:val="a4"/>
    <w:link w:val="Char0"/>
    <w:semiHidden/>
    <w:unhideWhenUsed/>
    <w:rsid w:val="00026D6E"/>
    <w:rPr>
      <w:b/>
      <w:bCs/>
    </w:rPr>
  </w:style>
  <w:style w:type="character" w:customStyle="1" w:styleId="Char0">
    <w:name w:val="批注主题 Char"/>
    <w:basedOn w:val="Char"/>
    <w:link w:val="a5"/>
    <w:semiHidden/>
    <w:rsid w:val="00026D6E"/>
    <w:rPr>
      <w:b/>
      <w:bCs/>
      <w:sz w:val="24"/>
      <w:szCs w:val="24"/>
    </w:rPr>
  </w:style>
  <w:style w:type="table" w:styleId="a6">
    <w:name w:val="Table Grid"/>
    <w:basedOn w:val="a1"/>
    <w:uiPriority w:val="39"/>
    <w:rsid w:val="00D772A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C251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C25123"/>
    <w:rPr>
      <w:sz w:val="18"/>
      <w:szCs w:val="18"/>
    </w:rPr>
  </w:style>
  <w:style w:type="paragraph" w:styleId="a8">
    <w:name w:val="footer"/>
    <w:basedOn w:val="a"/>
    <w:link w:val="Char2"/>
    <w:uiPriority w:val="99"/>
    <w:unhideWhenUsed/>
    <w:rsid w:val="00C25123"/>
    <w:pPr>
      <w:tabs>
        <w:tab w:val="center" w:pos="4153"/>
        <w:tab w:val="right" w:pos="8306"/>
      </w:tabs>
      <w:snapToGrid w:val="0"/>
    </w:pPr>
    <w:rPr>
      <w:sz w:val="18"/>
      <w:szCs w:val="18"/>
    </w:rPr>
  </w:style>
  <w:style w:type="character" w:customStyle="1" w:styleId="Char2">
    <w:name w:val="页脚 Char"/>
    <w:basedOn w:val="a0"/>
    <w:link w:val="a8"/>
    <w:uiPriority w:val="99"/>
    <w:rsid w:val="00C25123"/>
    <w:rPr>
      <w:sz w:val="18"/>
      <w:szCs w:val="18"/>
    </w:rPr>
  </w:style>
  <w:style w:type="paragraph" w:styleId="a9">
    <w:name w:val="Balloon Text"/>
    <w:basedOn w:val="a"/>
    <w:link w:val="Char3"/>
    <w:semiHidden/>
    <w:unhideWhenUsed/>
    <w:rsid w:val="000B3ABA"/>
    <w:rPr>
      <w:sz w:val="18"/>
      <w:szCs w:val="18"/>
    </w:rPr>
  </w:style>
  <w:style w:type="character" w:customStyle="1" w:styleId="Char3">
    <w:name w:val="批注框文本 Char"/>
    <w:basedOn w:val="a0"/>
    <w:link w:val="a9"/>
    <w:semiHidden/>
    <w:rsid w:val="000B3A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15</cp:revision>
  <dcterms:created xsi:type="dcterms:W3CDTF">2021-05-03T13:52:00Z</dcterms:created>
  <dcterms:modified xsi:type="dcterms:W3CDTF">2021-06-08T09:20:00Z</dcterms:modified>
</cp:coreProperties>
</file>