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D47F9"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255EF9DF"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61709</w:t>
      </w:r>
    </w:p>
    <w:p w14:paraId="47A4A565"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269F52D" w14:textId="77777777" w:rsidR="003649F1" w:rsidRDefault="003649F1">
      <w:pPr>
        <w:adjustRightInd w:val="0"/>
        <w:snapToGrid w:val="0"/>
        <w:spacing w:line="360" w:lineRule="auto"/>
        <w:jc w:val="both"/>
        <w:rPr>
          <w:rFonts w:ascii="Book Antiqua" w:hAnsi="Book Antiqua"/>
        </w:rPr>
      </w:pPr>
    </w:p>
    <w:p w14:paraId="05EF7EE4"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i/>
          <w:color w:val="000000"/>
        </w:rPr>
        <w:t>Basic Study</w:t>
      </w:r>
    </w:p>
    <w:p w14:paraId="4FE3A581" w14:textId="77777777" w:rsidR="003649F1" w:rsidRDefault="003F5E16">
      <w:pPr>
        <w:adjustRightInd w:val="0"/>
        <w:snapToGrid w:val="0"/>
        <w:spacing w:line="360" w:lineRule="auto"/>
        <w:jc w:val="both"/>
        <w:rPr>
          <w:rFonts w:ascii="Book Antiqua" w:hAnsi="Book Antiqua"/>
        </w:rPr>
      </w:pPr>
      <w:proofErr w:type="spellStart"/>
      <w:r>
        <w:rPr>
          <w:rFonts w:ascii="Book Antiqua" w:eastAsia="Book Antiqua" w:hAnsi="Book Antiqua" w:cs="Book Antiqua"/>
          <w:b/>
          <w:color w:val="000000"/>
        </w:rPr>
        <w:t>Decabromodiphenyl</w:t>
      </w:r>
      <w:proofErr w:type="spellEnd"/>
      <w:r>
        <w:rPr>
          <w:rFonts w:ascii="Book Antiqua" w:eastAsia="Book Antiqua" w:hAnsi="Book Antiqua" w:cs="Book Antiqua"/>
          <w:b/>
          <w:color w:val="000000"/>
        </w:rPr>
        <w:t xml:space="preserve"> ether causes insulin resistance and glucose and lipid metabolism disorders in mice</w:t>
      </w:r>
    </w:p>
    <w:p w14:paraId="6B5113F0" w14:textId="77777777" w:rsidR="003649F1" w:rsidRDefault="003649F1">
      <w:pPr>
        <w:adjustRightInd w:val="0"/>
        <w:snapToGrid w:val="0"/>
        <w:spacing w:line="360" w:lineRule="auto"/>
        <w:jc w:val="both"/>
        <w:rPr>
          <w:rFonts w:ascii="Book Antiqua" w:hAnsi="Book Antiqua"/>
        </w:rPr>
      </w:pPr>
    </w:p>
    <w:p w14:paraId="2076C25E" w14:textId="77777777" w:rsidR="003649F1" w:rsidRDefault="003F5E16">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Alimu</w:t>
      </w:r>
      <w:proofErr w:type="spellEnd"/>
      <w:r>
        <w:rPr>
          <w:rFonts w:ascii="Book Antiqua" w:eastAsia="Book Antiqua" w:hAnsi="Book Antiqua" w:cs="Book Antiqua"/>
          <w:color w:val="000000"/>
        </w:rPr>
        <w:t xml:space="preserve"> A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0" w:name="OLE_LINK8"/>
      <w:bookmarkStart w:id="1" w:name="OLE_LINK5"/>
      <w:r>
        <w:rPr>
          <w:rFonts w:ascii="Book Antiqua" w:eastAsia="Book Antiqua" w:hAnsi="Book Antiqua" w:cs="Book Antiqua"/>
          <w:color w:val="000000"/>
        </w:rPr>
        <w:t>BDE-209 causes insulin resistance and glucose and lipid metabolism</w:t>
      </w:r>
    </w:p>
    <w:bookmarkEnd w:id="0"/>
    <w:bookmarkEnd w:id="1"/>
    <w:p w14:paraId="070B6472" w14:textId="77777777" w:rsidR="003649F1" w:rsidRDefault="003649F1">
      <w:pPr>
        <w:adjustRightInd w:val="0"/>
        <w:snapToGrid w:val="0"/>
        <w:spacing w:line="360" w:lineRule="auto"/>
        <w:jc w:val="both"/>
        <w:rPr>
          <w:rFonts w:ascii="Book Antiqua" w:hAnsi="Book Antiqua"/>
        </w:rPr>
      </w:pPr>
    </w:p>
    <w:p w14:paraId="5B192A27" w14:textId="77777777" w:rsidR="003649F1" w:rsidRDefault="003F5E16">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Ayigul</w:t>
      </w:r>
      <w:r>
        <w:rPr>
          <w:rFonts w:ascii="Book Antiqua" w:eastAsia="宋体" w:hAnsi="Book Antiqua" w:cs="Book Antiqua"/>
          <w:color w:val="000000"/>
          <w:lang w:eastAsia="zh-CN"/>
        </w:rPr>
        <w: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Alimu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Haiqiemuhan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Abudureman</w:t>
      </w:r>
      <w:proofErr w:type="spellEnd"/>
      <w:r>
        <w:rPr>
          <w:rFonts w:ascii="Book Antiqua" w:eastAsia="Book Antiqua" w:hAnsi="Book Antiqua" w:cs="Book Antiqua"/>
          <w:color w:val="000000"/>
        </w:rPr>
        <w:t>, Yong-</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Wang, Mei-Yan Li, Jia-Sui Wang, </w:t>
      </w:r>
      <w:proofErr w:type="spellStart"/>
      <w:r>
        <w:rPr>
          <w:rFonts w:ascii="Book Antiqua" w:eastAsia="Book Antiqua" w:hAnsi="Book Antiqua" w:cs="Book Antiqua"/>
          <w:color w:val="000000"/>
        </w:rPr>
        <w:t>Zao</w:t>
      </w:r>
      <w:proofErr w:type="spellEnd"/>
      <w:r>
        <w:rPr>
          <w:rFonts w:ascii="Book Antiqua" w:eastAsia="Book Antiqua" w:hAnsi="Book Antiqua" w:cs="Book Antiqua"/>
          <w:color w:val="000000"/>
        </w:rPr>
        <w:t>-Ling Liu</w:t>
      </w:r>
    </w:p>
    <w:p w14:paraId="6F72F19B" w14:textId="77777777" w:rsidR="003649F1" w:rsidRDefault="003649F1">
      <w:pPr>
        <w:adjustRightInd w:val="0"/>
        <w:snapToGrid w:val="0"/>
        <w:spacing w:line="360" w:lineRule="auto"/>
        <w:jc w:val="both"/>
        <w:rPr>
          <w:rFonts w:ascii="Book Antiqua" w:hAnsi="Book Antiqua"/>
        </w:rPr>
      </w:pPr>
    </w:p>
    <w:p w14:paraId="27ABC68A" w14:textId="77777777" w:rsidR="003649F1" w:rsidRDefault="003F5E16">
      <w:pPr>
        <w:adjustRightInd w:val="0"/>
        <w:snapToGrid w:val="0"/>
        <w:spacing w:line="360" w:lineRule="auto"/>
        <w:jc w:val="both"/>
        <w:rPr>
          <w:rFonts w:ascii="Book Antiqua" w:hAnsi="Book Antiqua"/>
        </w:rPr>
      </w:pPr>
      <w:proofErr w:type="spellStart"/>
      <w:r>
        <w:rPr>
          <w:rFonts w:ascii="Book Antiqua" w:eastAsia="Book Antiqua" w:hAnsi="Book Antiqua" w:cs="Book Antiqua"/>
          <w:b/>
          <w:bCs/>
          <w:color w:val="000000"/>
        </w:rPr>
        <w:t>Ayigul</w:t>
      </w:r>
      <w:r>
        <w:rPr>
          <w:rFonts w:ascii="Book Antiqua" w:eastAsia="宋体" w:hAnsi="Book Antiqua" w:cs="Book Antiqua"/>
          <w:b/>
          <w:bCs/>
          <w:color w:val="000000"/>
          <w:lang w:eastAsia="zh-CN"/>
        </w:rPr>
        <w: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Alimu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Haiqiemuhan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Abudureman</w:t>
      </w:r>
      <w:proofErr w:type="spellEnd"/>
      <w:r>
        <w:rPr>
          <w:rFonts w:ascii="Book Antiqua" w:eastAsia="Book Antiqua" w:hAnsi="Book Antiqua" w:cs="Book Antiqua"/>
          <w:b/>
          <w:bCs/>
          <w:color w:val="000000"/>
        </w:rPr>
        <w:t xml:space="preserve">, Mei-Yan Li, Jia-Sui Wang, </w:t>
      </w:r>
      <w:proofErr w:type="spellStart"/>
      <w:r>
        <w:rPr>
          <w:rFonts w:ascii="Book Antiqua" w:eastAsia="Book Antiqua" w:hAnsi="Book Antiqua" w:cs="Book Antiqua"/>
          <w:b/>
          <w:bCs/>
          <w:color w:val="000000"/>
        </w:rPr>
        <w:t>Zao</w:t>
      </w:r>
      <w:proofErr w:type="spellEnd"/>
      <w:r>
        <w:rPr>
          <w:rFonts w:ascii="Book Antiqua" w:eastAsia="Book Antiqua" w:hAnsi="Book Antiqua" w:cs="Book Antiqua"/>
          <w:b/>
          <w:bCs/>
          <w:color w:val="000000"/>
        </w:rPr>
        <w:t xml:space="preserve">-Ling Liu, </w:t>
      </w:r>
      <w:r>
        <w:rPr>
          <w:rFonts w:ascii="Book Antiqua" w:eastAsia="Book Antiqua" w:hAnsi="Book Antiqua" w:cs="Book Antiqua"/>
          <w:color w:val="000000"/>
        </w:rPr>
        <w:t>Department of Epidemiology and Health Statistics, School of Public Health, Xinjiang Medical University, Urumqi 0991, Xinjiang Uygur Autonomous Region, China</w:t>
      </w:r>
    </w:p>
    <w:p w14:paraId="03EC6019" w14:textId="77777777" w:rsidR="003649F1" w:rsidRDefault="003649F1">
      <w:pPr>
        <w:adjustRightInd w:val="0"/>
        <w:snapToGrid w:val="0"/>
        <w:spacing w:line="360" w:lineRule="auto"/>
        <w:jc w:val="both"/>
        <w:rPr>
          <w:rFonts w:ascii="Book Antiqua" w:hAnsi="Book Antiqua"/>
        </w:rPr>
      </w:pPr>
    </w:p>
    <w:p w14:paraId="1E2F48E5"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Wang, </w:t>
      </w:r>
      <w:r>
        <w:rPr>
          <w:rFonts w:ascii="Book Antiqua" w:eastAsia="Book Antiqua" w:hAnsi="Book Antiqua" w:cs="Book Antiqua"/>
          <w:color w:val="000000"/>
        </w:rPr>
        <w:t xml:space="preserve">Department of Public Health, Xinjiang Second Medical College, </w:t>
      </w:r>
      <w:proofErr w:type="spellStart"/>
      <w:r>
        <w:rPr>
          <w:rFonts w:ascii="Book Antiqua" w:eastAsia="Book Antiqua" w:hAnsi="Book Antiqua" w:cs="Book Antiqua"/>
          <w:color w:val="000000"/>
        </w:rPr>
        <w:t>Cremayi</w:t>
      </w:r>
      <w:proofErr w:type="spellEnd"/>
      <w:r>
        <w:rPr>
          <w:rFonts w:ascii="Book Antiqua" w:eastAsia="Book Antiqua" w:hAnsi="Book Antiqua" w:cs="Book Antiqua"/>
          <w:color w:val="000000"/>
        </w:rPr>
        <w:t xml:space="preserve"> 834000, </w:t>
      </w:r>
      <w:bookmarkStart w:id="2" w:name="OLE_LINK9"/>
      <w:r>
        <w:rPr>
          <w:rFonts w:ascii="Book Antiqua" w:eastAsia="Book Antiqua" w:hAnsi="Book Antiqua" w:cs="Book Antiqua"/>
          <w:color w:val="000000"/>
        </w:rPr>
        <w:t>Xinjiang Uygur Autonomous Region</w:t>
      </w:r>
      <w:bookmarkEnd w:id="2"/>
      <w:r>
        <w:rPr>
          <w:rFonts w:ascii="Book Antiqua" w:eastAsia="Book Antiqua" w:hAnsi="Book Antiqua" w:cs="Book Antiqua"/>
          <w:color w:val="000000"/>
        </w:rPr>
        <w:t>, China</w:t>
      </w:r>
    </w:p>
    <w:p w14:paraId="170C3A4F" w14:textId="77777777" w:rsidR="003649F1" w:rsidRDefault="003649F1">
      <w:pPr>
        <w:adjustRightInd w:val="0"/>
        <w:snapToGrid w:val="0"/>
        <w:spacing w:line="360" w:lineRule="auto"/>
        <w:jc w:val="both"/>
        <w:rPr>
          <w:rFonts w:ascii="Book Antiqua" w:hAnsi="Book Antiqua"/>
        </w:rPr>
      </w:pPr>
    </w:p>
    <w:p w14:paraId="4B25964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Style w:val="15"/>
          <w:rFonts w:ascii="Book Antiqua" w:eastAsia="Book Antiqua" w:hAnsi="Book Antiqua" w:cs="Book Antiqua"/>
          <w:color w:val="000000"/>
          <w:shd w:val="clear" w:color="auto" w:fill="FFFFFF"/>
        </w:rPr>
        <w:t>Liu ZL participated in research design;</w:t>
      </w:r>
      <w:r>
        <w:rPr>
          <w:rFonts w:ascii="Book Antiqua" w:hAnsi="Book Antiqua"/>
          <w:lang w:eastAsia="zh-CN"/>
        </w:rPr>
        <w:t xml:space="preserve"> </w:t>
      </w:r>
      <w:proofErr w:type="spellStart"/>
      <w:r>
        <w:rPr>
          <w:rFonts w:ascii="Book Antiqua" w:eastAsia="Book Antiqua" w:hAnsi="Book Antiqua" w:cs="Book Antiqua"/>
          <w:color w:val="000000"/>
        </w:rPr>
        <w:t>Alimu</w:t>
      </w:r>
      <w:proofErr w:type="spellEnd"/>
      <w:r>
        <w:rPr>
          <w:rStyle w:val="15"/>
          <w:rFonts w:ascii="Book Antiqua" w:eastAsia="Book Antiqua" w:hAnsi="Book Antiqua" w:cs="Book Antiqua"/>
          <w:color w:val="000000"/>
          <w:shd w:val="clear" w:color="auto" w:fill="FFFFFF"/>
        </w:rPr>
        <w:t xml:space="preserve"> A, </w:t>
      </w:r>
      <w:proofErr w:type="spellStart"/>
      <w:r>
        <w:rPr>
          <w:rStyle w:val="15"/>
          <w:rFonts w:ascii="Book Antiqua" w:eastAsia="宋体" w:hAnsi="Book Antiqua" w:cs="Book Antiqua"/>
          <w:color w:val="000000"/>
          <w:shd w:val="clear" w:color="auto" w:fill="FFFFFF"/>
          <w:lang w:eastAsia="zh-CN"/>
        </w:rPr>
        <w:t>Abudureman</w:t>
      </w:r>
      <w:proofErr w:type="spellEnd"/>
      <w:r>
        <w:rPr>
          <w:rStyle w:val="15"/>
          <w:rFonts w:ascii="Book Antiqua" w:eastAsia="宋体" w:hAnsi="Book Antiqua" w:cs="Book Antiqua"/>
          <w:color w:val="000000"/>
          <w:shd w:val="clear" w:color="auto" w:fill="FFFFFF"/>
          <w:lang w:eastAsia="zh-CN"/>
        </w:rPr>
        <w:t xml:space="preserve"> H</w:t>
      </w:r>
      <w:r>
        <w:rPr>
          <w:rFonts w:ascii="Book Antiqua" w:eastAsia="Book Antiqua" w:hAnsi="Book Antiqua" w:cs="Book Antiqua"/>
          <w:color w:val="000000"/>
        </w:rPr>
        <w:t>, Wang ZW,</w:t>
      </w:r>
      <w:r>
        <w:rPr>
          <w:rStyle w:val="15"/>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Li</w:t>
      </w:r>
      <w:r>
        <w:rPr>
          <w:rStyle w:val="15"/>
          <w:rFonts w:ascii="Book Antiqua" w:eastAsia="Book Antiqua" w:hAnsi="Book Antiqua" w:cs="Book Antiqua"/>
          <w:color w:val="000000"/>
          <w:shd w:val="clear" w:color="auto" w:fill="FFFFFF"/>
        </w:rPr>
        <w:t xml:space="preserve"> MY,</w:t>
      </w:r>
      <w:r>
        <w:rPr>
          <w:rFonts w:ascii="Book Antiqua" w:eastAsia="Book Antiqua" w:hAnsi="Book Antiqua" w:cs="Book Antiqua"/>
          <w:color w:val="000000"/>
        </w:rPr>
        <w:t xml:space="preserve"> and Wang JS</w:t>
      </w:r>
      <w:r>
        <w:rPr>
          <w:rStyle w:val="15"/>
          <w:rFonts w:ascii="Book Antiqua" w:eastAsia="Book Antiqua" w:hAnsi="Book Antiqua" w:cs="Book Antiqua"/>
          <w:color w:val="000000"/>
          <w:shd w:val="clear" w:color="auto" w:fill="FFFFFF"/>
        </w:rPr>
        <w:t xml:space="preserve"> conducted the experiments;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Alimu</w:t>
      </w:r>
      <w:proofErr w:type="spellEnd"/>
      <w:r>
        <w:rPr>
          <w:rFonts w:ascii="Book Antiqua" w:eastAsia="Book Antiqua" w:hAnsi="Book Antiqua" w:cs="Book Antiqua"/>
          <w:color w:val="000000"/>
        </w:rPr>
        <w:t xml:space="preserve"> A and</w:t>
      </w:r>
      <w:r>
        <w:rPr>
          <w:rStyle w:val="15"/>
          <w:rFonts w:ascii="Book Antiqua" w:eastAsia="Book Antiqua" w:hAnsi="Book Antiqua" w:cs="Book Antiqua"/>
          <w:color w:val="000000"/>
          <w:shd w:val="clear" w:color="auto" w:fill="FFFFFF"/>
        </w:rPr>
        <w:t xml:space="preserve"> Liu ZL</w:t>
      </w:r>
      <w:r>
        <w:rPr>
          <w:rFonts w:ascii="Book Antiqua" w:hAnsi="Book Antiqua"/>
          <w:lang w:eastAsia="zh-CN"/>
        </w:rPr>
        <w:t xml:space="preserve"> </w:t>
      </w:r>
      <w:r>
        <w:rPr>
          <w:rStyle w:val="15"/>
          <w:rFonts w:ascii="Book Antiqua" w:eastAsia="Book Antiqua" w:hAnsi="Book Antiqua" w:cs="Book Antiqua"/>
          <w:color w:val="000000"/>
          <w:shd w:val="clear" w:color="auto" w:fill="FFFFFF"/>
        </w:rPr>
        <w:t>performed data analysis;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Alimu</w:t>
      </w:r>
      <w:proofErr w:type="spellEnd"/>
      <w:r>
        <w:rPr>
          <w:rFonts w:ascii="Book Antiqua" w:eastAsia="Book Antiqua" w:hAnsi="Book Antiqua" w:cs="Book Antiqua"/>
          <w:color w:val="000000"/>
        </w:rPr>
        <w:t xml:space="preserve"> A and</w:t>
      </w:r>
      <w:r>
        <w:rPr>
          <w:rStyle w:val="15"/>
          <w:rFonts w:ascii="Book Antiqua" w:eastAsia="Book Antiqua" w:hAnsi="Book Antiqua" w:cs="Book Antiqua"/>
          <w:color w:val="000000"/>
          <w:shd w:val="clear" w:color="auto" w:fill="FFFFFF"/>
        </w:rPr>
        <w:t xml:space="preserve"> Liu ZL</w:t>
      </w:r>
      <w:r>
        <w:rPr>
          <w:rFonts w:ascii="Book Antiqua" w:hAnsi="Book Antiqua"/>
          <w:lang w:eastAsia="zh-CN"/>
        </w:rPr>
        <w:t xml:space="preserve"> </w:t>
      </w:r>
      <w:r>
        <w:rPr>
          <w:rStyle w:val="15"/>
          <w:rFonts w:ascii="Book Antiqua" w:eastAsia="Book Antiqua" w:hAnsi="Book Antiqua" w:cs="Book Antiqua"/>
          <w:color w:val="000000"/>
          <w:shd w:val="clear" w:color="auto" w:fill="FFFFFF"/>
        </w:rPr>
        <w:t>wrote or edited the manuscript.</w:t>
      </w:r>
    </w:p>
    <w:p w14:paraId="7C02263C" w14:textId="77777777" w:rsidR="003649F1" w:rsidRDefault="003649F1">
      <w:pPr>
        <w:adjustRightInd w:val="0"/>
        <w:snapToGrid w:val="0"/>
        <w:spacing w:line="360" w:lineRule="auto"/>
        <w:jc w:val="both"/>
        <w:rPr>
          <w:rFonts w:ascii="Book Antiqua" w:hAnsi="Book Antiqua"/>
        </w:rPr>
      </w:pPr>
    </w:p>
    <w:p w14:paraId="7981B7D7"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National Natural Science Foundation of China, No. 81760596; and Natural Science Foundation of Xinjiang Uygur Autonomous Region, No. 2019D01C209.</w:t>
      </w:r>
    </w:p>
    <w:p w14:paraId="0076B09D" w14:textId="77777777" w:rsidR="003649F1" w:rsidRDefault="003649F1">
      <w:pPr>
        <w:adjustRightInd w:val="0"/>
        <w:snapToGrid w:val="0"/>
        <w:spacing w:line="360" w:lineRule="auto"/>
        <w:jc w:val="both"/>
        <w:rPr>
          <w:rFonts w:ascii="Book Antiqua" w:hAnsi="Book Antiqua"/>
        </w:rPr>
      </w:pPr>
    </w:p>
    <w:p w14:paraId="6462341A"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Zao</w:t>
      </w:r>
      <w:proofErr w:type="spellEnd"/>
      <w:r>
        <w:rPr>
          <w:rFonts w:ascii="Book Antiqua" w:eastAsia="Book Antiqua" w:hAnsi="Book Antiqua" w:cs="Book Antiqua"/>
          <w:b/>
          <w:bCs/>
          <w:color w:val="000000"/>
        </w:rPr>
        <w:t xml:space="preserve">-Ling Liu, PhD, Professor, </w:t>
      </w:r>
      <w:r>
        <w:rPr>
          <w:rFonts w:ascii="Book Antiqua" w:eastAsia="Book Antiqua" w:hAnsi="Book Antiqua" w:cs="Book Antiqua"/>
          <w:color w:val="000000"/>
        </w:rPr>
        <w:t xml:space="preserve">Department of Epidemiology and Health Statistics, School of Public Health, Xinjiang Medical University, No. 393 Xinyi Road, </w:t>
      </w:r>
      <w:proofErr w:type="spellStart"/>
      <w:r>
        <w:rPr>
          <w:rFonts w:ascii="Book Antiqua" w:eastAsia="Book Antiqua" w:hAnsi="Book Antiqua" w:cs="Book Antiqua"/>
          <w:color w:val="000000"/>
        </w:rPr>
        <w:t>Xinshi</w:t>
      </w:r>
      <w:proofErr w:type="spellEnd"/>
      <w:r>
        <w:rPr>
          <w:rFonts w:ascii="Book Antiqua" w:eastAsia="Book Antiqua" w:hAnsi="Book Antiqua" w:cs="Book Antiqua"/>
          <w:color w:val="000000"/>
        </w:rPr>
        <w:t xml:space="preserve"> District, Urumqi 0991, Xinjiang Uygur Autonomous Region, China. 136497460@qq.com</w:t>
      </w:r>
    </w:p>
    <w:p w14:paraId="2675A4B6" w14:textId="77777777" w:rsidR="003649F1" w:rsidRDefault="003649F1">
      <w:pPr>
        <w:adjustRightInd w:val="0"/>
        <w:snapToGrid w:val="0"/>
        <w:spacing w:line="360" w:lineRule="auto"/>
        <w:jc w:val="both"/>
        <w:rPr>
          <w:rFonts w:ascii="Book Antiqua" w:hAnsi="Book Antiqua"/>
          <w:u w:val="single"/>
        </w:rPr>
      </w:pPr>
    </w:p>
    <w:p w14:paraId="0A3CA234"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18, 2020</w:t>
      </w:r>
    </w:p>
    <w:p w14:paraId="53274E53"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15, 2021</w:t>
      </w:r>
    </w:p>
    <w:p w14:paraId="25F4B127"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June 25, 2021</w:t>
      </w:r>
    </w:p>
    <w:p w14:paraId="373CE755" w14:textId="77777777" w:rsidR="003649F1" w:rsidRPr="00DB1309" w:rsidRDefault="003F5E16">
      <w:pPr>
        <w:adjustRightInd w:val="0"/>
        <w:snapToGrid w:val="0"/>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r w:rsidR="00DB1309" w:rsidRPr="00DB1309">
        <w:rPr>
          <w:rFonts w:ascii="Book Antiqua" w:hAnsi="Book Antiqua" w:cs="Book Antiqua" w:hint="eastAsia"/>
          <w:bCs/>
          <w:color w:val="000000"/>
          <w:lang w:eastAsia="zh-CN"/>
        </w:rPr>
        <w:t>August 15, 2021</w:t>
      </w:r>
    </w:p>
    <w:p w14:paraId="36836A44" w14:textId="77777777" w:rsidR="003649F1" w:rsidRDefault="003649F1">
      <w:pPr>
        <w:adjustRightInd w:val="0"/>
        <w:snapToGrid w:val="0"/>
        <w:spacing w:line="360" w:lineRule="auto"/>
        <w:jc w:val="both"/>
        <w:rPr>
          <w:rFonts w:ascii="Book Antiqua" w:hAnsi="Book Antiqua"/>
        </w:rPr>
        <w:sectPr w:rsidR="003649F1">
          <w:footerReference w:type="default" r:id="rId7"/>
          <w:type w:val="continuous"/>
          <w:pgSz w:w="12240" w:h="15840"/>
          <w:pgMar w:top="1440" w:right="1800" w:bottom="1440" w:left="1800" w:header="720" w:footer="720" w:gutter="0"/>
          <w:cols w:space="720"/>
          <w:docGrid w:linePitch="360"/>
        </w:sectPr>
      </w:pPr>
    </w:p>
    <w:p w14:paraId="6A9089FE" w14:textId="77777777" w:rsidR="003649F1" w:rsidRDefault="003F5E1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460AC69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67074BB"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433AEB6C" w14:textId="77777777" w:rsidR="003649F1" w:rsidRDefault="003F5E16">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Decabromodiphenyl</w:t>
      </w:r>
      <w:proofErr w:type="spellEnd"/>
      <w:r>
        <w:rPr>
          <w:rFonts w:ascii="Book Antiqua" w:eastAsia="Book Antiqua" w:hAnsi="Book Antiqua" w:cs="Book Antiqua"/>
          <w:color w:val="000000"/>
        </w:rPr>
        <w:t xml:space="preserve"> ether (BDE-209) is the most commonly used brominated flame retardant. Recently, BDE-209 has been suspected of being an environmental risk factor for metabolic diseases such as obesity, insulin resistance (IR), type 2 diabetes mellitus, and hypertension.</w:t>
      </w:r>
    </w:p>
    <w:p w14:paraId="46665EA2" w14:textId="77777777" w:rsidR="003649F1" w:rsidRDefault="003649F1">
      <w:pPr>
        <w:adjustRightInd w:val="0"/>
        <w:snapToGrid w:val="0"/>
        <w:spacing w:line="360" w:lineRule="auto"/>
        <w:jc w:val="both"/>
        <w:rPr>
          <w:rFonts w:ascii="Book Antiqua" w:hAnsi="Book Antiqua"/>
        </w:rPr>
      </w:pPr>
    </w:p>
    <w:p w14:paraId="604942DE"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14:paraId="75972C9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To investigate the effects of BDE-209 on IR and glucose and lipid metabolism in C57BL/6 mice.</w:t>
      </w:r>
    </w:p>
    <w:p w14:paraId="4395A26C" w14:textId="77777777" w:rsidR="003649F1" w:rsidRDefault="003649F1">
      <w:pPr>
        <w:adjustRightInd w:val="0"/>
        <w:snapToGrid w:val="0"/>
        <w:spacing w:line="360" w:lineRule="auto"/>
        <w:jc w:val="both"/>
        <w:rPr>
          <w:rFonts w:ascii="Book Antiqua" w:hAnsi="Book Antiqua"/>
        </w:rPr>
      </w:pPr>
    </w:p>
    <w:p w14:paraId="5E84EADD"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14:paraId="2C331420"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Adult male C57BL/6 mice were randomly divided into high, medium-high, medium, medium-low, and low dose BDE-209 groups, and a control group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6 per group), which received 1000, 800, 600, 450, 300, and 0 mg/kg BDE-209, respectively. After BDE-209 exposure for 60 d, the mice were fasted overnight, and then sacrificed to obtain tissues. An automatic biochemical analyzer was used to detect serum triglyceride (TG), total cholesterol (TC), low-density lipoprotein cholesterol (LDL-C), and </w:t>
      </w:r>
      <w:proofErr w:type="gramStart"/>
      <w:r>
        <w:rPr>
          <w:rFonts w:ascii="Book Antiqua" w:eastAsia="Book Antiqua" w:hAnsi="Book Antiqua" w:cs="Book Antiqua"/>
          <w:color w:val="000000"/>
        </w:rPr>
        <w:t>high density</w:t>
      </w:r>
      <w:proofErr w:type="gramEnd"/>
      <w:r>
        <w:rPr>
          <w:rFonts w:ascii="Book Antiqua" w:eastAsia="Book Antiqua" w:hAnsi="Book Antiqua" w:cs="Book Antiqua"/>
          <w:color w:val="000000"/>
        </w:rPr>
        <w:t xml:space="preserve"> lipoprotein cholesterol (HDL-C); enzyme-linked immunosorbent assay kits were used to detect fasting serum insulin (FINS), leptin (LEP), and adiponectin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levels; a blood glucose meter was used to detect fasting blood glucose (FBG). Morphological changes of the liver were observed by hematoxylin and eosin staining. Real-time quantitative polymerase chain reaction and Western blot were used to determine the messenger ribonucleic acid (mRNA) and protein levels, respectively, of LEP,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and peroxisome proliferators activated receptor-γ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in mouse liver and adipose tissues.</w:t>
      </w:r>
    </w:p>
    <w:p w14:paraId="3E97E26C" w14:textId="77777777" w:rsidR="003649F1" w:rsidRDefault="003649F1">
      <w:pPr>
        <w:adjustRightInd w:val="0"/>
        <w:snapToGrid w:val="0"/>
        <w:spacing w:line="360" w:lineRule="auto"/>
        <w:jc w:val="both"/>
        <w:rPr>
          <w:rFonts w:ascii="Book Antiqua" w:hAnsi="Book Antiqua"/>
        </w:rPr>
      </w:pPr>
    </w:p>
    <w:p w14:paraId="63D6180F"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14:paraId="2765D496"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There was a statistically significant difference in the weight of mice in each group after 45 and 60 d of exposure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After 60 d of exposure, the weight of liver and adipose tissues in the exposure groups were greater than that of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liver tissue structure was disordered and the liver tissues were accompanied by local inflammatory cell infiltration in the high, </w:t>
      </w:r>
      <w:r>
        <w:rPr>
          <w:rFonts w:ascii="Book Antiqua" w:eastAsia="宋体" w:hAnsi="Book Antiqua" w:cs="Book Antiqua"/>
          <w:color w:val="000000"/>
          <w:lang w:eastAsia="zh-CN"/>
        </w:rPr>
        <w:t>medium-</w:t>
      </w:r>
      <w:r>
        <w:rPr>
          <w:rFonts w:ascii="Book Antiqua" w:eastAsia="Book Antiqua" w:hAnsi="Book Antiqua" w:cs="Book Antiqua"/>
          <w:color w:val="000000"/>
        </w:rPr>
        <w:t xml:space="preserve">high, and medium dose BDE-209 groups. The levels of FINS, insulin sensitivity index,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and HDL-C were decreased in the BDE-209 group compared with the control group, as were the mRNA and protein levels of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in liver and adipose tissues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Serum level of FBG and LEP were higher in the BDE-209 group than in controls. TC, TG, and LDL-C levels as well as the mRNA and protein expression of LEP and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in liver and adipose tissues were higher than those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Homeostatic assessment model of IR was higher in the medium</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medium-low dose BDE-209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
    <w:p w14:paraId="08994FDE" w14:textId="77777777" w:rsidR="003649F1" w:rsidRDefault="003649F1">
      <w:pPr>
        <w:adjustRightInd w:val="0"/>
        <w:snapToGrid w:val="0"/>
        <w:spacing w:line="360" w:lineRule="auto"/>
        <w:jc w:val="both"/>
        <w:rPr>
          <w:rFonts w:ascii="Book Antiqua" w:hAnsi="Book Antiqua"/>
        </w:rPr>
      </w:pPr>
    </w:p>
    <w:p w14:paraId="7C99B529"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2FC7EAF8"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BDE-209 increases the body weight, fat and liver tissue weight, TC, TG, and LDL-C, reduces HDL-C, and causes IR in mice, which may be related to activating the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receptor.</w:t>
      </w:r>
    </w:p>
    <w:p w14:paraId="238DF65A" w14:textId="77777777" w:rsidR="003649F1" w:rsidRDefault="003649F1">
      <w:pPr>
        <w:adjustRightInd w:val="0"/>
        <w:snapToGrid w:val="0"/>
        <w:spacing w:line="360" w:lineRule="auto"/>
        <w:jc w:val="both"/>
        <w:rPr>
          <w:rFonts w:ascii="Book Antiqua" w:hAnsi="Book Antiqua"/>
        </w:rPr>
      </w:pPr>
    </w:p>
    <w:p w14:paraId="18308E66"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Decabromodiphenyl</w:t>
      </w:r>
      <w:proofErr w:type="spellEnd"/>
      <w:r>
        <w:rPr>
          <w:rFonts w:ascii="Book Antiqua" w:eastAsia="Book Antiqua" w:hAnsi="Book Antiqua" w:cs="Book Antiqua"/>
          <w:color w:val="000000"/>
        </w:rPr>
        <w:t xml:space="preserve"> ether; Adipokine; Glucose and lipid metabolism; Protein expression; mRNA expression; Insulin resistance</w:t>
      </w:r>
    </w:p>
    <w:p w14:paraId="0A17954C" w14:textId="77777777" w:rsidR="00A547DB" w:rsidRDefault="00A547DB" w:rsidP="00A547DB">
      <w:pPr>
        <w:rPr>
          <w:rFonts w:asciiTheme="minorEastAsia" w:hAnsiTheme="minorEastAsia"/>
          <w:b/>
          <w:lang w:eastAsia="zh-CN"/>
        </w:rPr>
      </w:pPr>
      <w:bookmarkStart w:id="3" w:name="_Hlk79137660"/>
    </w:p>
    <w:p w14:paraId="45C73371" w14:textId="77777777" w:rsidR="00A547DB" w:rsidRDefault="00A547DB" w:rsidP="00A547DB">
      <w:pPr>
        <w:spacing w:line="360" w:lineRule="auto"/>
        <w:rPr>
          <w:rFonts w:ascii="Book Antiqua" w:eastAsia="Book Antiqua" w:hAnsi="Book Antiqua" w:cs="Book Antiqua" w:hint="eastAsia"/>
          <w:color w:val="000000"/>
        </w:rPr>
      </w:pPr>
      <w:bookmarkStart w:id="4" w:name="_Hlk79137654"/>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bookmarkEnd w:id="3"/>
      <w:bookmarkEnd w:id="4"/>
    </w:p>
    <w:p w14:paraId="19D39F45" w14:textId="77777777" w:rsidR="003649F1" w:rsidRDefault="003649F1">
      <w:pPr>
        <w:adjustRightInd w:val="0"/>
        <w:snapToGrid w:val="0"/>
        <w:spacing w:line="360" w:lineRule="auto"/>
        <w:jc w:val="both"/>
        <w:rPr>
          <w:rFonts w:ascii="Book Antiqua" w:hAnsi="Book Antiqua"/>
        </w:rPr>
      </w:pPr>
    </w:p>
    <w:p w14:paraId="3B8143F5" w14:textId="17185DAA" w:rsidR="00F742BD" w:rsidRDefault="00F76E4C" w:rsidP="0048363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Citation: </w:t>
      </w:r>
      <w:proofErr w:type="spellStart"/>
      <w:r w:rsidR="003F5E16">
        <w:rPr>
          <w:rFonts w:ascii="Book Antiqua" w:eastAsia="Book Antiqua" w:hAnsi="Book Antiqua" w:cs="Book Antiqua"/>
          <w:color w:val="000000"/>
        </w:rPr>
        <w:t>Alimu</w:t>
      </w:r>
      <w:proofErr w:type="spellEnd"/>
      <w:r w:rsidR="003F5E16">
        <w:rPr>
          <w:rFonts w:ascii="Book Antiqua" w:eastAsia="Book Antiqua" w:hAnsi="Book Antiqua" w:cs="Book Antiqua"/>
          <w:color w:val="000000"/>
        </w:rPr>
        <w:t xml:space="preserve"> A, </w:t>
      </w:r>
      <w:proofErr w:type="spellStart"/>
      <w:r w:rsidR="003F5E16">
        <w:rPr>
          <w:rFonts w:ascii="Book Antiqua" w:eastAsia="Book Antiqua" w:hAnsi="Book Antiqua" w:cs="Book Antiqua"/>
          <w:color w:val="000000"/>
        </w:rPr>
        <w:t>Abudureman</w:t>
      </w:r>
      <w:proofErr w:type="spellEnd"/>
      <w:r w:rsidR="003F5E16">
        <w:rPr>
          <w:rFonts w:ascii="Book Antiqua" w:eastAsia="Book Antiqua" w:hAnsi="Book Antiqua" w:cs="Book Antiqua"/>
          <w:color w:val="000000"/>
        </w:rPr>
        <w:t xml:space="preserve"> H, Wang YZ, Li MY, Wang JS, Liu ZL. </w:t>
      </w:r>
      <w:proofErr w:type="spellStart"/>
      <w:r w:rsidR="003F5E16">
        <w:rPr>
          <w:rFonts w:ascii="Book Antiqua" w:eastAsia="Book Antiqua" w:hAnsi="Book Antiqua" w:cs="Book Antiqua"/>
          <w:color w:val="000000"/>
        </w:rPr>
        <w:t>Decabromodiphenyl</w:t>
      </w:r>
      <w:proofErr w:type="spellEnd"/>
      <w:r w:rsidR="003F5E16">
        <w:rPr>
          <w:rFonts w:ascii="Book Antiqua" w:eastAsia="Book Antiqua" w:hAnsi="Book Antiqua" w:cs="Book Antiqua"/>
          <w:color w:val="000000"/>
        </w:rPr>
        <w:t xml:space="preserve"> ether causes insulin resistance and glucose and lipid metabolism disorders in mice. </w:t>
      </w:r>
      <w:r w:rsidR="003F5E16">
        <w:rPr>
          <w:rFonts w:ascii="Book Antiqua" w:eastAsia="Book Antiqua" w:hAnsi="Book Antiqua" w:cs="Book Antiqua"/>
          <w:i/>
          <w:iCs/>
          <w:color w:val="000000"/>
        </w:rPr>
        <w:t>World J Diabetes</w:t>
      </w:r>
      <w:r w:rsidR="003F5E16">
        <w:rPr>
          <w:rFonts w:ascii="Book Antiqua" w:eastAsia="Book Antiqua" w:hAnsi="Book Antiqua" w:cs="Book Antiqua"/>
          <w:color w:val="000000"/>
        </w:rPr>
        <w:t xml:space="preserve"> 2021; </w:t>
      </w:r>
      <w:r w:rsidR="0048363D">
        <w:rPr>
          <w:rFonts w:ascii="Book Antiqua" w:eastAsia="Book Antiqua" w:hAnsi="Book Antiqua" w:cs="Book Antiqua"/>
          <w:color w:val="000000"/>
        </w:rPr>
        <w:t>12(</w:t>
      </w:r>
      <w:r w:rsidR="0048363D">
        <w:rPr>
          <w:rFonts w:ascii="Book Antiqua" w:hAnsi="Book Antiqua" w:cs="Book Antiqua" w:hint="eastAsia"/>
          <w:color w:val="000000"/>
          <w:lang w:eastAsia="zh-CN"/>
        </w:rPr>
        <w:t>8</w:t>
      </w:r>
      <w:r w:rsidR="0048363D">
        <w:rPr>
          <w:rFonts w:ascii="Book Antiqua" w:eastAsia="Book Antiqua" w:hAnsi="Book Antiqua" w:cs="Book Antiqua"/>
          <w:color w:val="000000"/>
        </w:rPr>
        <w:t xml:space="preserve">): </w:t>
      </w:r>
      <w:r w:rsidR="00A82AB3">
        <w:rPr>
          <w:rFonts w:ascii="Book Antiqua" w:hAnsi="Book Antiqua"/>
          <w:bCs/>
          <w:color w:val="000000"/>
        </w:rPr>
        <w:t>1267-1281</w:t>
      </w:r>
      <w:r w:rsidR="0048363D">
        <w:rPr>
          <w:rFonts w:ascii="Book Antiqua" w:eastAsia="Book Antiqua" w:hAnsi="Book Antiqua" w:cs="Book Antiqua"/>
          <w:color w:val="000000"/>
        </w:rPr>
        <w:t xml:space="preserve"> </w:t>
      </w:r>
    </w:p>
    <w:p w14:paraId="27042847" w14:textId="77777777" w:rsidR="00F742BD" w:rsidRDefault="0048363D" w:rsidP="0048363D">
      <w:pPr>
        <w:adjustRightInd w:val="0"/>
        <w:snapToGrid w:val="0"/>
        <w:spacing w:line="360" w:lineRule="auto"/>
        <w:jc w:val="both"/>
        <w:rPr>
          <w:rFonts w:ascii="Book Antiqua" w:eastAsia="Book Antiqua" w:hAnsi="Book Antiqua" w:cs="Book Antiqua"/>
          <w:color w:val="000000"/>
        </w:rPr>
      </w:pPr>
      <w:r w:rsidRPr="00F76E4C">
        <w:rPr>
          <w:rFonts w:ascii="Book Antiqua" w:eastAsia="Book Antiqua" w:hAnsi="Book Antiqua" w:cs="Book Antiqua"/>
          <w:b/>
          <w:bCs/>
          <w:color w:val="000000"/>
        </w:rPr>
        <w:lastRenderedPageBreak/>
        <w:t>URL:</w:t>
      </w:r>
      <w:r>
        <w:rPr>
          <w:rFonts w:ascii="Book Antiqua" w:eastAsia="Book Antiqua" w:hAnsi="Book Antiqua" w:cs="Book Antiqua"/>
          <w:color w:val="000000"/>
        </w:rPr>
        <w:t xml:space="preserve"> https://www.wjgnet.com/1948-9358/full/v12/i</w:t>
      </w:r>
      <w:r>
        <w:rPr>
          <w:rFonts w:ascii="Book Antiqua" w:hAnsi="Book Antiqua" w:cs="Book Antiqua" w:hint="eastAsia"/>
          <w:color w:val="000000"/>
          <w:lang w:eastAsia="zh-CN"/>
        </w:rPr>
        <w:t>8</w:t>
      </w:r>
      <w:r>
        <w:rPr>
          <w:rFonts w:ascii="Book Antiqua" w:eastAsia="Book Antiqua" w:hAnsi="Book Antiqua" w:cs="Book Antiqua"/>
          <w:color w:val="000000"/>
        </w:rPr>
        <w:t>/</w:t>
      </w:r>
      <w:r w:rsidR="00A82AB3">
        <w:rPr>
          <w:rFonts w:ascii="Book Antiqua" w:hAnsi="Book Antiqua"/>
          <w:bCs/>
          <w:color w:val="000000"/>
        </w:rPr>
        <w:t>1267</w:t>
      </w:r>
      <w:r>
        <w:rPr>
          <w:rFonts w:ascii="Book Antiqua" w:eastAsia="Book Antiqua" w:hAnsi="Book Antiqua" w:cs="Book Antiqua"/>
          <w:color w:val="000000"/>
        </w:rPr>
        <w:t xml:space="preserve">.htm </w:t>
      </w:r>
    </w:p>
    <w:p w14:paraId="6691E717" w14:textId="08866603" w:rsidR="0048363D" w:rsidRPr="00B2588F" w:rsidRDefault="0048363D" w:rsidP="0048363D">
      <w:pPr>
        <w:adjustRightInd w:val="0"/>
        <w:snapToGrid w:val="0"/>
        <w:spacing w:line="360" w:lineRule="auto"/>
        <w:jc w:val="both"/>
        <w:rPr>
          <w:rFonts w:ascii="Book Antiqua" w:hAnsi="Book Antiqua"/>
        </w:rPr>
      </w:pPr>
      <w:r w:rsidRPr="00F76E4C">
        <w:rPr>
          <w:rFonts w:ascii="Book Antiqua" w:eastAsia="Book Antiqua" w:hAnsi="Book Antiqua" w:cs="Book Antiqua"/>
          <w:b/>
          <w:bCs/>
          <w:color w:val="000000"/>
        </w:rPr>
        <w:t>DOI:</w:t>
      </w:r>
      <w:r>
        <w:rPr>
          <w:rFonts w:ascii="Book Antiqua" w:eastAsia="Book Antiqua" w:hAnsi="Book Antiqua" w:cs="Book Antiqua"/>
          <w:color w:val="000000"/>
        </w:rPr>
        <w:t xml:space="preserve"> https://dx.doi.org/10.4239/wjd.v12.i</w:t>
      </w:r>
      <w:r>
        <w:rPr>
          <w:rFonts w:ascii="Book Antiqua" w:hAnsi="Book Antiqua" w:cs="Book Antiqua" w:hint="eastAsia"/>
          <w:color w:val="000000"/>
          <w:lang w:eastAsia="zh-CN"/>
        </w:rPr>
        <w:t>8</w:t>
      </w:r>
      <w:r>
        <w:rPr>
          <w:rFonts w:ascii="Book Antiqua" w:eastAsia="Book Antiqua" w:hAnsi="Book Antiqua" w:cs="Book Antiqua"/>
          <w:color w:val="000000"/>
        </w:rPr>
        <w:t>.</w:t>
      </w:r>
      <w:r w:rsidR="00A82AB3">
        <w:rPr>
          <w:rFonts w:ascii="Book Antiqua" w:hAnsi="Book Antiqua"/>
          <w:bCs/>
          <w:color w:val="000000"/>
        </w:rPr>
        <w:t>1267</w:t>
      </w:r>
    </w:p>
    <w:p w14:paraId="065B5312" w14:textId="77777777" w:rsidR="003649F1" w:rsidRDefault="003649F1">
      <w:pPr>
        <w:adjustRightInd w:val="0"/>
        <w:snapToGrid w:val="0"/>
        <w:spacing w:line="360" w:lineRule="auto"/>
        <w:jc w:val="both"/>
        <w:rPr>
          <w:rFonts w:ascii="Book Antiqua" w:hAnsi="Book Antiqua"/>
        </w:rPr>
      </w:pPr>
    </w:p>
    <w:p w14:paraId="788E9AB9" w14:textId="77777777" w:rsidR="003649F1" w:rsidRDefault="003649F1">
      <w:pPr>
        <w:adjustRightInd w:val="0"/>
        <w:snapToGrid w:val="0"/>
        <w:spacing w:line="360" w:lineRule="auto"/>
        <w:jc w:val="both"/>
        <w:rPr>
          <w:rFonts w:ascii="Book Antiqua" w:hAnsi="Book Antiqua"/>
        </w:rPr>
      </w:pPr>
    </w:p>
    <w:p w14:paraId="11D2AC76"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5" w:name="OLE_LINK6"/>
      <w:proofErr w:type="spellStart"/>
      <w:r>
        <w:rPr>
          <w:rFonts w:ascii="Book Antiqua" w:eastAsia="Book Antiqua" w:hAnsi="Book Antiqua" w:cs="Book Antiqua"/>
          <w:color w:val="000000"/>
        </w:rPr>
        <w:t>Decabromodiphenyl</w:t>
      </w:r>
      <w:proofErr w:type="spellEnd"/>
      <w:r>
        <w:rPr>
          <w:rFonts w:ascii="Book Antiqua" w:eastAsia="Book Antiqua" w:hAnsi="Book Antiqua" w:cs="Book Antiqua"/>
          <w:color w:val="000000"/>
        </w:rPr>
        <w:t xml:space="preserve"> ether (BDE-209) may be an environmental risk factor leading to obesity. There are limited literature reports on the correlation between BDE-209 and obesity. This type of research began with animal experiments, and the results showed that BDE-209 affects animal body weight, but the direction of the effect is not consistent. This study found that BDE-209 increased the body weight and body fat and liver tissue weight in mice, which may be related to the activation of peroxisome proliferators activated receptor-γ receptor and the abnormal differentiation of adipocytes. In obese patients, proinflammatory cytokines and interleukin-6 can cause insulin resistance through a variety of mechanisms.</w:t>
      </w:r>
    </w:p>
    <w:bookmarkEnd w:id="5"/>
    <w:p w14:paraId="5A2EEB14" w14:textId="77777777" w:rsidR="003649F1" w:rsidRDefault="003F5E16">
      <w:pPr>
        <w:adjustRightInd w:val="0"/>
        <w:snapToGrid w:val="0"/>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54FD51A7"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Glucose and lipid metabolism disorders are hallmark metabolic changes in obese people. Studies have shown that children with different degrees of obesity have different degrees of glucose and lipid metabolism disorders. In these cases, as the degree of obesity increases, glucose and lipid metabolism disorders become more </w:t>
      </w:r>
      <w:proofErr w:type="gramStart"/>
      <w:r>
        <w:rPr>
          <w:rFonts w:ascii="Book Antiqua" w:eastAsia="Book Antiqua" w:hAnsi="Book Antiqua" w:cs="Book Antiqua"/>
          <w:color w:val="000000"/>
        </w:rPr>
        <w:t>aggravated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Insulin resistance (IR) refers to a decrease in the body's sensitivity to insulin, a decrease in the ability of insulin to lower blood sugar, and an obstacle to the use of glucose by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Obesity and IR are the central link of metabolic syndrome. As the body's sensitivity to insulin is reduced, the ability of insulin to lower blood sugar is reduced, and tissues have impaired glucose </w:t>
      </w:r>
      <w:proofErr w:type="gramStart"/>
      <w:r>
        <w:rPr>
          <w:rFonts w:ascii="Book Antiqua" w:eastAsia="Book Antiqua" w:hAnsi="Book Antiqua" w:cs="Book Antiqua"/>
          <w:color w:val="000000"/>
        </w:rPr>
        <w:t>utilization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Type 2 diabetes mellitus (T2DM) usually results from IR and secretion imbalance. Studies have found that adipocytokines play an important role in the occurrence and development of T2DM by participating in glucose and lipid </w:t>
      </w:r>
      <w:proofErr w:type="gramStart"/>
      <w:r>
        <w:rPr>
          <w:rFonts w:ascii="Book Antiqua" w:eastAsia="Book Antiqua" w:hAnsi="Book Antiqua" w:cs="Book Antiqua"/>
          <w:color w:val="000000"/>
        </w:rPr>
        <w:t>metabolism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15326962" w14:textId="77777777" w:rsidR="003649F1" w:rsidRDefault="003F5E1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Adipocytokines are the biologically active substances produced by fat cells. Leptin (LEP) is an adipokine that can reduce appetite, increase energy expenditure, increase sympathetic nerve activity, promote glucose utilization, and improve insulin sensitivity under normal physiological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role of LEP as a biomarker of metabolic syndrome has been studied in different </w:t>
      </w:r>
      <w:proofErr w:type="gramStart"/>
      <w:r>
        <w:rPr>
          <w:rFonts w:ascii="Book Antiqua" w:eastAsia="Book Antiqua" w:hAnsi="Book Antiqua" w:cs="Book Antiqua"/>
          <w:color w:val="000000"/>
        </w:rPr>
        <w:t>populations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Elevated LEP levels are associated with metabolic syndrome because LEP is associated with obesity, IR, myocardial infarction, and congestive heart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Like LEP, adiponectin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is a fat-derived plasma protein with a </w:t>
      </w:r>
      <w:proofErr w:type="gramStart"/>
      <w:r>
        <w:rPr>
          <w:rFonts w:ascii="Book Antiqua" w:eastAsia="Book Antiqua" w:hAnsi="Book Antiqua" w:cs="Book Antiqua"/>
          <w:color w:val="000000"/>
        </w:rPr>
        <w:t>wide ranging</w:t>
      </w:r>
      <w:proofErr w:type="gramEnd"/>
      <w:r>
        <w:rPr>
          <w:rFonts w:ascii="Book Antiqua" w:eastAsia="Book Antiqua" w:hAnsi="Book Antiqua" w:cs="Book Antiqua"/>
          <w:color w:val="000000"/>
        </w:rPr>
        <w:t xml:space="preserve"> effects.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has many functions, including anti-atherosclerosis, insulin sensitization, enhanced lipid oxidation, and </w:t>
      </w:r>
      <w:proofErr w:type="gramStart"/>
      <w:r>
        <w:rPr>
          <w:rFonts w:ascii="Book Antiqua" w:eastAsia="Book Antiqua" w:hAnsi="Book Antiqua" w:cs="Book Antiqua"/>
          <w:color w:val="000000"/>
        </w:rPr>
        <w:t>vasodilation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Peroxisome proliferators activated receptor-γ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is the main regulator of adipocyte differentiation.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regulates fat formation, controls lipid metabolism, and can reduce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expression in fat cells in </w:t>
      </w:r>
      <w:proofErr w:type="gramStart"/>
      <w:r>
        <w:rPr>
          <w:rFonts w:ascii="Book Antiqua" w:eastAsia="Book Antiqua" w:hAnsi="Book Antiqua" w:cs="Book Antiqua"/>
          <w:color w:val="000000"/>
        </w:rPr>
        <w:t>obesity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w:t>
      </w:r>
    </w:p>
    <w:p w14:paraId="4A0195CA" w14:textId="77777777" w:rsidR="003649F1" w:rsidRDefault="003F5E16">
      <w:pPr>
        <w:adjustRightInd w:val="0"/>
        <w:snapToGrid w:val="0"/>
        <w:spacing w:line="360" w:lineRule="auto"/>
        <w:ind w:firstLineChars="100" w:firstLine="240"/>
        <w:jc w:val="both"/>
        <w:rPr>
          <w:rFonts w:ascii="Book Antiqua" w:hAnsi="Book Antiqua"/>
        </w:rPr>
      </w:pPr>
      <w:proofErr w:type="spellStart"/>
      <w:r>
        <w:rPr>
          <w:rFonts w:ascii="Book Antiqua" w:eastAsia="Book Antiqua" w:hAnsi="Book Antiqua" w:cs="Book Antiqua"/>
          <w:color w:val="000000"/>
        </w:rPr>
        <w:t>Decabromodiphenyl</w:t>
      </w:r>
      <w:proofErr w:type="spellEnd"/>
      <w:r>
        <w:rPr>
          <w:rFonts w:ascii="Book Antiqua" w:eastAsia="Book Antiqua" w:hAnsi="Book Antiqua" w:cs="Book Antiqua"/>
          <w:color w:val="000000"/>
        </w:rPr>
        <w:t xml:space="preserve"> ether (BDE-209) is the most commonly used brominated flame retardant. Recently, BDE-209 has been suspected of being an </w:t>
      </w:r>
      <w:r>
        <w:rPr>
          <w:rFonts w:ascii="Book Antiqua" w:eastAsia="Book Antiqua" w:hAnsi="Book Antiqua" w:cs="Book Antiqua"/>
          <w:color w:val="000000"/>
        </w:rPr>
        <w:lastRenderedPageBreak/>
        <w:t xml:space="preserve">environmental risk factor for metabolic diseases such as obesity, IR, T2DM, and </w:t>
      </w:r>
      <w:proofErr w:type="gramStart"/>
      <w:r>
        <w:rPr>
          <w:rFonts w:ascii="Book Antiqua" w:eastAsia="Book Antiqua" w:hAnsi="Book Antiqua" w:cs="Book Antiqua"/>
          <w:color w:val="000000"/>
        </w:rPr>
        <w:t>hypertension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Data suggest that it may play a key role in the occurrence, development, and treatment of these diseases. The underlying mechanism may be that BDE-209 inappropriately regulates the number and volume of adipocytes at the molecular level, leading to adipogenesis and lipid metabolism disorders. These changes further alter the function of metabolic disease related factors, leading to disease </w:t>
      </w:r>
      <w:proofErr w:type="gramStart"/>
      <w:r>
        <w:rPr>
          <w:rFonts w:ascii="Book Antiqua" w:eastAsia="Book Antiqua" w:hAnsi="Book Antiqua" w:cs="Book Antiqua"/>
          <w:color w:val="000000"/>
        </w:rPr>
        <w:t>occurrence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Therefore, this study used an animal model to explore the effects of BDE-209 on IR and glucose and lipid metabolism disorders in C57BL/6 mice, and to preliminarily explore the underlying mechanism.</w:t>
      </w:r>
    </w:p>
    <w:p w14:paraId="39DC4146" w14:textId="77777777" w:rsidR="003649F1" w:rsidRDefault="003649F1">
      <w:pPr>
        <w:adjustRightInd w:val="0"/>
        <w:snapToGrid w:val="0"/>
        <w:spacing w:line="360" w:lineRule="auto"/>
        <w:ind w:firstLine="420"/>
        <w:jc w:val="both"/>
        <w:rPr>
          <w:rFonts w:ascii="Book Antiqua" w:hAnsi="Book Antiqua"/>
        </w:rPr>
      </w:pPr>
    </w:p>
    <w:p w14:paraId="51C0DA9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E8DD918"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Ethical statements</w:t>
      </w:r>
    </w:p>
    <w:p w14:paraId="52CE678D"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Thirty-six healthy specified pathogen free C57BL/6 male mice (weight: 20 ± 2 g) were purchased from the Experimental Animal Center of Xinjiang Medical University [Experimental animal use license number: SYXX (new) 2020-0001]. Our animal research protocol was evaluated and approved by the Ethics Review Committee of the First Affiliated Hospital of Xinjiang Medical University (No. 20170214-107). </w:t>
      </w:r>
    </w:p>
    <w:p w14:paraId="5367738C"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42C8AE35"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Study design</w:t>
      </w:r>
    </w:p>
    <w:p w14:paraId="27CFF3C2"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Thirty-six healthy male C57BL/6 mice were bred adaptively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during which they had free access to food and water, at 23 ± 2°C, a relative humidity of 55% ± 5%, and an illumination time of 12 h/d. The mice were then randomly divided according to their weights into a control group (corn oil) and five BDE-209 dose groups: low, medium-low, medium, medium-high, and high, which were given 300, 450, 600, 800, and 1000 mg/kg BW daily. The mice were dosed at 0.1 mL/10 g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one day off for 60 d.</w:t>
      </w:r>
    </w:p>
    <w:p w14:paraId="6FC71E68" w14:textId="77777777" w:rsidR="003649F1" w:rsidRDefault="003649F1">
      <w:pPr>
        <w:adjustRightInd w:val="0"/>
        <w:snapToGrid w:val="0"/>
        <w:spacing w:line="360" w:lineRule="auto"/>
        <w:jc w:val="both"/>
        <w:rPr>
          <w:rFonts w:ascii="Book Antiqua" w:hAnsi="Book Antiqua"/>
        </w:rPr>
      </w:pPr>
    </w:p>
    <w:p w14:paraId="44E6802E"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Reagents</w:t>
      </w:r>
    </w:p>
    <w:p w14:paraId="59D03D0D"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The following reagents were used in this study: BDE-209 (98% purity; </w:t>
      </w:r>
      <w:proofErr w:type="spellStart"/>
      <w:r>
        <w:rPr>
          <w:rFonts w:ascii="Book Antiqua" w:eastAsia="Book Antiqua" w:hAnsi="Book Antiqua" w:cs="Book Antiqua"/>
          <w:color w:val="000000"/>
        </w:rPr>
        <w:t>Yuanye</w:t>
      </w:r>
      <w:proofErr w:type="spellEnd"/>
      <w:r>
        <w:rPr>
          <w:rFonts w:ascii="Book Antiqua" w:eastAsia="Book Antiqua" w:hAnsi="Book Antiqua" w:cs="Book Antiqua"/>
          <w:color w:val="000000"/>
        </w:rPr>
        <w:t xml:space="preserve"> Chemical Co., Ltd., Shanghai, China); blood glucose test paper (Bayer, Leverkusen, Germany); mouse fasting insulin (FINS), LEP, and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enzyme-linked immunosorbent assay (ELISA) kits (</w:t>
      </w:r>
      <w:proofErr w:type="spellStart"/>
      <w:r>
        <w:rPr>
          <w:rFonts w:ascii="Book Antiqua" w:eastAsia="Book Antiqua" w:hAnsi="Book Antiqua" w:cs="Book Antiqua"/>
          <w:color w:val="000000"/>
        </w:rPr>
        <w:t>Jianglai</w:t>
      </w:r>
      <w:proofErr w:type="spellEnd"/>
      <w:r>
        <w:rPr>
          <w:rFonts w:ascii="Book Antiqua" w:eastAsia="Book Antiqua" w:hAnsi="Book Antiqua" w:cs="Book Antiqua"/>
          <w:color w:val="000000"/>
        </w:rPr>
        <w:t xml:space="preserve"> Biotechnology Company, Shanghai, China); </w:t>
      </w:r>
      <w:proofErr w:type="spellStart"/>
      <w:r>
        <w:rPr>
          <w:rFonts w:ascii="Book Antiqua" w:eastAsia="Book Antiqua" w:hAnsi="Book Antiqua" w:cs="Book Antiqua"/>
          <w:color w:val="000000"/>
        </w:rPr>
        <w:t>RevertAid</w:t>
      </w:r>
      <w:proofErr w:type="spellEnd"/>
      <w:r>
        <w:rPr>
          <w:rFonts w:ascii="Book Antiqua" w:eastAsia="Book Antiqua" w:hAnsi="Book Antiqua" w:cs="Book Antiqua"/>
          <w:color w:val="000000"/>
        </w:rPr>
        <w:t xml:space="preserve"> First Strand complementary deoxyribonucleic acid Synthesis Kit (Thermo Fisher Scientific, Waltham, MA, United States); </w:t>
      </w:r>
      <w:proofErr w:type="spellStart"/>
      <w:r>
        <w:rPr>
          <w:rFonts w:ascii="Book Antiqua" w:eastAsia="Book Antiqua" w:hAnsi="Book Antiqua" w:cs="Book Antiqua"/>
          <w:color w:val="000000"/>
        </w:rPr>
        <w:t>QuantiNova</w:t>
      </w:r>
      <w:proofErr w:type="spellEnd"/>
      <w:r>
        <w:rPr>
          <w:rFonts w:ascii="Book Antiqua" w:eastAsia="Book Antiqua" w:hAnsi="Book Antiqua" w:cs="Book Antiqua"/>
          <w:color w:val="000000"/>
        </w:rPr>
        <w:t xml:space="preserve"> SYBR Green polymerase chain (PCR) reaction Kit (</w:t>
      </w:r>
      <w:proofErr w:type="spellStart"/>
      <w:r>
        <w:rPr>
          <w:rFonts w:ascii="Book Antiqua" w:eastAsia="Book Antiqua" w:hAnsi="Book Antiqua" w:cs="Book Antiqua"/>
          <w:color w:val="000000"/>
        </w:rPr>
        <w:t>Qijie</w:t>
      </w:r>
      <w:proofErr w:type="spellEnd"/>
      <w:r>
        <w:rPr>
          <w:rFonts w:ascii="Book Antiqua" w:eastAsia="Book Antiqua" w:hAnsi="Book Antiqua" w:cs="Book Antiqua"/>
          <w:color w:val="000000"/>
        </w:rPr>
        <w:t xml:space="preserve"> Enterprise Management Co., Ltd., Shanghai, China); LEP,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and β-actin primers (</w:t>
      </w:r>
      <w:proofErr w:type="spellStart"/>
      <w:r>
        <w:rPr>
          <w:rFonts w:ascii="Book Antiqua" w:eastAsia="Book Antiqua" w:hAnsi="Book Antiqua" w:cs="Book Antiqua"/>
          <w:color w:val="000000"/>
        </w:rPr>
        <w:t>Shenggong</w:t>
      </w:r>
      <w:proofErr w:type="spellEnd"/>
      <w:r>
        <w:rPr>
          <w:rFonts w:ascii="Book Antiqua" w:eastAsia="Book Antiqua" w:hAnsi="Book Antiqua" w:cs="Book Antiqua"/>
          <w:color w:val="000000"/>
        </w:rPr>
        <w:t xml:space="preserve"> Technology Company, Shanghai, China); sodium dodecyl sulfate polyacrylamide gel electrophoresis (SDS-PAGE) gel preparation kit, high efficiency radioimmunoprecipitation assay (RIPA) lysis solution, and protein quantification kit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Beijing, China); and rabbit anti-LEP, anti-</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and anti-</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polyclonal antibodies (Ab-cam, Cambridge, United Kingdom).</w:t>
      </w:r>
    </w:p>
    <w:p w14:paraId="24C2FB7C"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67367CC4"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Equipment</w:t>
      </w:r>
    </w:p>
    <w:p w14:paraId="305D584D"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The following equipment was used in this study: AB135-S standard analytical balance (Mettler-Toledo, Ltd., Columbus, OH, United States), ACCU-CHEK blood glucose meter (Roche, Basel, Switzerland), automatic biochemical analyzer (</w:t>
      </w:r>
      <w:proofErr w:type="spellStart"/>
      <w:r>
        <w:rPr>
          <w:rFonts w:ascii="Book Antiqua" w:eastAsia="Book Antiqua" w:hAnsi="Book Antiqua" w:cs="Book Antiqua"/>
          <w:color w:val="000000"/>
        </w:rPr>
        <w:t>Rebenrily</w:t>
      </w:r>
      <w:proofErr w:type="spellEnd"/>
      <w:r>
        <w:rPr>
          <w:rFonts w:ascii="Book Antiqua" w:eastAsia="Book Antiqua" w:hAnsi="Book Antiqua" w:cs="Book Antiqua"/>
          <w:color w:val="000000"/>
        </w:rPr>
        <w:t>), microplate reader (</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xml:space="preserve"> Laboratories, Hercules, CA, United States), real-time quantitative PCR (RT-qPCR) instrument (Thermo Fisher Scientific), Gel Doc XR gel imager (</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xml:space="preserve"> Laboratories), Nano Drop 1000 nucleic acid quantifier (Thermo Fisher Scientific), vortex mixer (</w:t>
      </w:r>
      <w:proofErr w:type="spellStart"/>
      <w:r>
        <w:rPr>
          <w:rFonts w:ascii="Book Antiqua" w:eastAsia="Book Antiqua" w:hAnsi="Book Antiqua" w:cs="Book Antiqua"/>
          <w:color w:val="000000"/>
        </w:rPr>
        <w:t>Qilin</w:t>
      </w:r>
      <w:proofErr w:type="spellEnd"/>
      <w:r>
        <w:rPr>
          <w:rFonts w:ascii="Book Antiqua" w:eastAsia="Book Antiqua" w:hAnsi="Book Antiqua" w:cs="Book Antiqua"/>
          <w:color w:val="000000"/>
        </w:rPr>
        <w:t xml:space="preserve"> Bell Company, Jiangsu, China), and a tissue slicer (Thermo Fisher Scientific).</w:t>
      </w:r>
    </w:p>
    <w:p w14:paraId="0811476F"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19EE2F6A"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Mouse serum and tissue preparation</w:t>
      </w:r>
    </w:p>
    <w:p w14:paraId="619DB0ED"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mouse eyeballs were taken off to collect blood in an EP tube. A cotton swab was used to gently wipe the blood on the wall of the EP tube (to avoid clotting of the closed blood and fall into the blood when rubbing). The EP tube was left at room temperature for 30 min and then centrifuged at 4 °C at 3000 rpm for 15 min </w:t>
      </w:r>
      <w:r>
        <w:rPr>
          <w:rFonts w:ascii="Book Antiqua" w:eastAsia="Book Antiqua" w:hAnsi="Book Antiqua" w:cs="Book Antiqua"/>
          <w:color w:val="000000"/>
        </w:rPr>
        <w:lastRenderedPageBreak/>
        <w:t xml:space="preserve">to separate the serum, which was subsequently stored at -80 °C until further analysis. The animals were dissected quickly in a sterile environment, and the </w:t>
      </w:r>
      <w:proofErr w:type="spellStart"/>
      <w:r>
        <w:rPr>
          <w:rFonts w:ascii="Book Antiqua" w:eastAsia="Book Antiqua" w:hAnsi="Book Antiqua" w:cs="Book Antiqua"/>
          <w:color w:val="000000"/>
        </w:rPr>
        <w:t>mesangium</w:t>
      </w:r>
      <w:proofErr w:type="spellEnd"/>
      <w:r>
        <w:rPr>
          <w:rFonts w:ascii="Book Antiqua" w:eastAsia="Book Antiqua" w:hAnsi="Book Antiqua" w:cs="Book Antiqua"/>
          <w:color w:val="000000"/>
        </w:rPr>
        <w:t xml:space="preserve"> was slowly peeled off with tissue scissors and tweezers. The mouse liver and adipose tissue were completely separated.</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C</w:t>
      </w:r>
      <w:r>
        <w:rPr>
          <w:rFonts w:ascii="Book Antiqua" w:eastAsia="Book Antiqua" w:hAnsi="Book Antiqua" w:cs="Book Antiqua" w:hint="eastAsia"/>
          <w:color w:val="000000"/>
        </w:rPr>
        <w:t xml:space="preserve">ryopreservation tubes were numbered, </w:t>
      </w:r>
      <w:r>
        <w:rPr>
          <w:rFonts w:ascii="Book Antiqua" w:eastAsia="宋体" w:hAnsi="Book Antiqua" w:cs="Book Antiqua" w:hint="eastAsia"/>
          <w:color w:val="000000"/>
          <w:lang w:eastAsia="zh-CN"/>
        </w:rPr>
        <w:t xml:space="preserve">and </w:t>
      </w:r>
      <w:r>
        <w:rPr>
          <w:rFonts w:ascii="Book Antiqua" w:eastAsia="Book Antiqua" w:hAnsi="Book Antiqua" w:cs="Book Antiqua" w:hint="eastAsia"/>
          <w:color w:val="000000"/>
        </w:rPr>
        <w:t xml:space="preserve">the tissues were </w:t>
      </w:r>
      <w:r>
        <w:rPr>
          <w:rFonts w:ascii="Book Antiqua" w:eastAsia="宋体" w:hAnsi="Book Antiqua" w:cs="Book Antiqua" w:hint="eastAsia"/>
          <w:color w:val="000000"/>
          <w:lang w:eastAsia="zh-CN"/>
        </w:rPr>
        <w:t>put</w:t>
      </w:r>
      <w:r>
        <w:rPr>
          <w:rFonts w:ascii="Book Antiqua" w:eastAsia="Book Antiqua" w:hAnsi="Book Antiqua" w:cs="Book Antiqua" w:hint="eastAsia"/>
          <w:color w:val="000000"/>
        </w:rPr>
        <w:t xml:space="preserve"> into corresponding cryopreservation tube</w:t>
      </w:r>
      <w:r>
        <w:rPr>
          <w:rFonts w:ascii="Book Antiqua" w:eastAsia="宋体" w:hAnsi="Book Antiqua" w:cs="Book Antiqua" w:hint="eastAsia"/>
          <w:color w:val="000000"/>
          <w:lang w:eastAsia="zh-CN"/>
        </w:rPr>
        <w:t>s</w:t>
      </w:r>
      <w:r>
        <w:rPr>
          <w:rFonts w:ascii="Book Antiqua" w:eastAsia="Book Antiqua" w:hAnsi="Book Antiqua" w:cs="Book Antiqua"/>
          <w:color w:val="000000"/>
        </w:rPr>
        <w:t>, and stored at -80 °C until further analysis.</w:t>
      </w:r>
    </w:p>
    <w:p w14:paraId="79994F82" w14:textId="77777777" w:rsidR="003649F1" w:rsidRDefault="003649F1">
      <w:pPr>
        <w:adjustRightInd w:val="0"/>
        <w:snapToGrid w:val="0"/>
        <w:spacing w:line="360" w:lineRule="auto"/>
        <w:jc w:val="both"/>
        <w:rPr>
          <w:rFonts w:ascii="Book Antiqua" w:hAnsi="Book Antiqua"/>
        </w:rPr>
      </w:pPr>
    </w:p>
    <w:p w14:paraId="098C1F26"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i/>
          <w:iCs/>
          <w:color w:val="000000"/>
        </w:rPr>
        <w:t> </w:t>
      </w:r>
      <w:r>
        <w:rPr>
          <w:rFonts w:ascii="Book Antiqua" w:eastAsia="Book Antiqua" w:hAnsi="Book Antiqua" w:cs="Book Antiqua"/>
          <w:b/>
          <w:bCs/>
          <w:i/>
          <w:iCs/>
          <w:color w:val="000000"/>
        </w:rPr>
        <w:t>Pathological analysis of liver tissue</w:t>
      </w:r>
    </w:p>
    <w:p w14:paraId="5F939E17"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color w:val="000000"/>
        </w:rPr>
        <w:t>A small piece of liver was fixed overnight in 4% formalin solution. After being taken out the next day, it was subjected to gradient dehydration and paraffin embedding to make a 3 um pathological section. After the section was stained, the liver tissue changes were observed under an optical microscope.</w:t>
      </w:r>
    </w:p>
    <w:p w14:paraId="3D24B56B"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44509446"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Detecting biochemical indicators in serum</w:t>
      </w:r>
    </w:p>
    <w:p w14:paraId="6255296E"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ELISA kits were used according to the manufacturer’s instructions to detect murine insulin, LEP, and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contents. An automatic biochemical analyzer was used to detect serum levels of TC, TG, low-density lipoprotein cholesterol (LDL-C), and high density lipoprotein cholesterol (HDL-C). Finally, we calculated the homeostatic assessment model of insulin resistance (HOMA-IR) and the insulin sensitivity index (ISI) as </w:t>
      </w:r>
      <w:proofErr w:type="gramStart"/>
      <w:r>
        <w:rPr>
          <w:rFonts w:ascii="Book Antiqua" w:eastAsia="Book Antiqua" w:hAnsi="Book Antiqua" w:cs="Book Antiqua"/>
          <w:color w:val="000000"/>
        </w:rPr>
        <w:t>follows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78233F4B" w14:textId="77777777" w:rsidR="003649F1" w:rsidRDefault="003F5E1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HOMA-IR = Fasting blood glucose (FBG) × FINS/22.5; ISI =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1/(FBG × FINS)].</w:t>
      </w:r>
    </w:p>
    <w:p w14:paraId="7B401462"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645AE26B" w14:textId="77777777" w:rsidR="003649F1" w:rsidRDefault="003F5E16">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Fluorescent RT-qPCR</w:t>
      </w:r>
    </w:p>
    <w:p w14:paraId="0DAD1597"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mRNA levels of </w:t>
      </w:r>
      <w:proofErr w:type="spellStart"/>
      <w:r>
        <w:rPr>
          <w:rFonts w:ascii="Book Antiqua" w:eastAsia="Book Antiqua" w:hAnsi="Book Antiqua" w:cs="Book Antiqua"/>
          <w:i/>
          <w:color w:val="000000"/>
        </w:rPr>
        <w:t>Adp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color w:val="000000"/>
        </w:rPr>
        <w:t>PPARγ</w:t>
      </w:r>
      <w:proofErr w:type="spellEnd"/>
      <w:r>
        <w:rPr>
          <w:rFonts w:ascii="Book Antiqua" w:eastAsia="Book Antiqua" w:hAnsi="Book Antiqua" w:cs="Book Antiqua"/>
          <w:color w:val="000000"/>
        </w:rPr>
        <w:t xml:space="preserve"> were measured by RT-qPCR. Briefly, the tissue was ground in liquid nitrogen, and then 20–50 mg of tissue was added to 1 mL of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for RNA extraction. Reverse transcription was performed immediately after RNA isolation using the following conditions: 42 °C for 60 min, 72 °C for 5 min, and then the reaction was terminated. PCR parameters were as </w:t>
      </w:r>
      <w:r>
        <w:rPr>
          <w:rFonts w:ascii="Book Antiqua" w:eastAsia="Book Antiqua" w:hAnsi="Book Antiqua" w:cs="Book Antiqua"/>
          <w:color w:val="000000"/>
        </w:rPr>
        <w:lastRenderedPageBreak/>
        <w:t xml:space="preserve">follows: 94 °C for 30 s, 94 °C for 5 s, and 60 °C for 20 s for 40 cycles. Primer 5 program was used to design primer sequences, all primers were synthesized by Shanghai Bioengineering Co., Ltd. (Shanghai, China) (Table 1). β-actin was used as the reference gene, and the </w:t>
      </w:r>
      <w:r>
        <w:rPr>
          <w:rFonts w:ascii="Book Antiqua" w:eastAsia="宋体" w:hAnsi="Book Antiqua"/>
          <w:color w:val="000000" w:themeColor="text1"/>
        </w:rPr>
        <w:t>2</w:t>
      </w:r>
      <w:r>
        <w:rPr>
          <w:rFonts w:ascii="Book Antiqua" w:eastAsia="宋体" w:hAnsi="Book Antiqua"/>
          <w:color w:val="000000" w:themeColor="text1"/>
          <w:vertAlign w:val="superscript"/>
          <w:lang w:eastAsia="zh-CN"/>
        </w:rPr>
        <w:t>(</w:t>
      </w:r>
      <w:r>
        <w:rPr>
          <w:rFonts w:ascii="Book Antiqua" w:eastAsia="宋体" w:hAnsi="Book Antiqua"/>
          <w:color w:val="000000" w:themeColor="text1"/>
          <w:vertAlign w:val="superscript"/>
        </w:rPr>
        <w:t>-</w:t>
      </w:r>
      <w:r>
        <w:rPr>
          <w:rFonts w:ascii="宋体" w:eastAsia="宋体" w:hAnsi="宋体" w:cs="宋体" w:hint="eastAsia"/>
          <w:color w:val="000000" w:themeColor="text1"/>
          <w:vertAlign w:val="superscript"/>
        </w:rPr>
        <w:t>△△</w:t>
      </w:r>
      <w:r>
        <w:rPr>
          <w:rFonts w:ascii="Book Antiqua" w:eastAsia="宋体" w:hAnsi="Book Antiqua"/>
          <w:color w:val="000000" w:themeColor="text1"/>
          <w:vertAlign w:val="superscript"/>
        </w:rPr>
        <w:t>CT</w:t>
      </w:r>
      <w:r>
        <w:rPr>
          <w:rFonts w:ascii="Book Antiqua" w:eastAsia="宋体" w:hAnsi="Book Antiqua"/>
          <w:color w:val="000000" w:themeColor="text1"/>
          <w:vertAlign w:val="superscript"/>
          <w:lang w:eastAsia="zh-CN"/>
        </w:rPr>
        <w:t xml:space="preserve">) </w:t>
      </w:r>
      <w:r>
        <w:rPr>
          <w:rFonts w:ascii="Book Antiqua" w:eastAsia="Book Antiqua" w:hAnsi="Book Antiqua" w:cs="Book Antiqua"/>
          <w:color w:val="000000"/>
        </w:rPr>
        <w:t>method was used to analyze the relative expression level of PCR-amplified products.</w:t>
      </w:r>
    </w:p>
    <w:p w14:paraId="4421F8DA"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6654A978"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Western blot analysis</w:t>
      </w:r>
    </w:p>
    <w:p w14:paraId="58F65E79"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RIPA lysis buffer containing protease inhibitors was added to 20–50 mg of mouse tissue, which was then ground in an ice bath until fully lysed. After homogenization, the mixture was centrifuged at 12000 rpm for 15 min at 4 °C. The supernatant was then isolated and quantified with the BCA protein quantification kit. Proteins were denatured at 100 °C for 10 min prior to performing SDS-PAGE. The proteins were then transferred to a membrane, which was blocked in skimmed milk, incubated with primary antibodies, washed, and incubated with secondary antibodies. The membrane was then treated with chemiluminescence reagents and exposed to film to reveal immunoreactive bands. Intensity values of target proteins were then normalized to the intensity value of the internal reference to analyze target protein expression.</w:t>
      </w:r>
    </w:p>
    <w:p w14:paraId="7E9327C9"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6E6A566F"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Statistical analysis</w:t>
      </w:r>
    </w:p>
    <w:p w14:paraId="0082C974"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Statistic Package for Social Science 21.0 software (International Business Machine Corp., Armonk, NY, United States) was used for statistical analyses. Quantitative data following a normal distribution are expressed as the mean ± SD. Data that had a homogeneity of variance were compared by analysis of variance between multiple groups, followed by pairwise comparisons. According to the least significant difference test,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Bar and line graphs were generated using GraphPad Prism 8.0 (GraphPad Software, Inc., San Diego, CA, United States).</w:t>
      </w:r>
    </w:p>
    <w:p w14:paraId="347714A0" w14:textId="77777777" w:rsidR="003649F1" w:rsidRDefault="003649F1">
      <w:pPr>
        <w:adjustRightInd w:val="0"/>
        <w:snapToGrid w:val="0"/>
        <w:spacing w:line="360" w:lineRule="auto"/>
        <w:jc w:val="both"/>
        <w:rPr>
          <w:rFonts w:ascii="Book Antiqua" w:hAnsi="Book Antiqua"/>
        </w:rPr>
      </w:pPr>
    </w:p>
    <w:p w14:paraId="575EFB6B"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71E00D2D"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BDE-209 treatment alters mouse body and tissue weights</w:t>
      </w:r>
    </w:p>
    <w:p w14:paraId="3B665CA7"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During the exposure period, the growth and development of mice in all groups were normal, and their weights increased. There were no significant differences in the body weight of mice in any group on days 15 or 30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However, the weights of mice in the BDE-209 high and medium-high groups were significantly increased on days 45 and 60 compared with those of the other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Except for the low dose group, the liver weights of mice in the exposure groups were significantly greater than that of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fat weights of mice in the high and medium-high groups were greater than those in the control and low dose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liver and fat weights of mice in the high and medium-high BDE-209 groups were greater than those in the medium dose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(Figures 1 and 2).</w:t>
      </w:r>
    </w:p>
    <w:p w14:paraId="60FD3C52"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6E0004D5"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 xml:space="preserve">Effect of BDE-209 on mouse liver tissue </w:t>
      </w:r>
    </w:p>
    <w:p w14:paraId="11C64090"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Macroscopic observation showed that the liver of the control group was bright red in color with a smooth surface, while the liver of the </w:t>
      </w:r>
      <w:r>
        <w:rPr>
          <w:rFonts w:ascii="Book Antiqua" w:eastAsia="宋体" w:hAnsi="Book Antiqua" w:cs="Book Antiqua" w:hint="eastAsia"/>
          <w:color w:val="000000"/>
          <w:lang w:eastAsia="zh-CN"/>
        </w:rPr>
        <w:t>treated</w:t>
      </w:r>
      <w:r>
        <w:rPr>
          <w:rFonts w:ascii="Book Antiqua" w:eastAsia="Book Antiqua" w:hAnsi="Book Antiqua" w:cs="Book Antiqua"/>
          <w:color w:val="000000"/>
        </w:rPr>
        <w:t xml:space="preserve"> group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was gray-red in color with a smooth surface. Observation under the microscope showed that the liver structure of the control group was clear, the liver sinusoids and hepatocyte cords were regular, the size of liver cells was normal, and there was no interstitial proliferation or inflammatory cell infiltration; the liver tissue structure of the </w:t>
      </w:r>
      <w:r>
        <w:rPr>
          <w:rFonts w:ascii="Book Antiqua" w:eastAsia="宋体" w:hAnsi="Book Antiqua" w:cs="Book Antiqua" w:hint="eastAsia"/>
          <w:color w:val="000000"/>
          <w:lang w:eastAsia="zh-CN"/>
        </w:rPr>
        <w:t xml:space="preserve">treated </w:t>
      </w:r>
      <w:r>
        <w:rPr>
          <w:rFonts w:ascii="Book Antiqua" w:eastAsia="Book Antiqua" w:hAnsi="Book Antiqua" w:cs="Book Antiqua"/>
          <w:color w:val="000000"/>
        </w:rPr>
        <w:t>group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was disordered, and the liver sinusoids and hepatocytes were irregular. And the liver tissues of the high, medium-high, and medium dose groups were accompanied by local inflammatory cell infiltration (Figure 3).</w:t>
      </w:r>
    </w:p>
    <w:p w14:paraId="7DA79E6A" w14:textId="77777777" w:rsidR="003649F1" w:rsidRDefault="003649F1">
      <w:pPr>
        <w:adjustRightInd w:val="0"/>
        <w:snapToGrid w:val="0"/>
        <w:spacing w:line="360" w:lineRule="auto"/>
        <w:jc w:val="both"/>
        <w:rPr>
          <w:rFonts w:ascii="Book Antiqua" w:eastAsia="Book Antiqua" w:hAnsi="Book Antiqua" w:cs="Book Antiqua"/>
          <w:color w:val="000000"/>
        </w:rPr>
      </w:pPr>
    </w:p>
    <w:p w14:paraId="22753B00"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Effects of BDE-209 on serum glucose metabolism indices and adipocytokine levels</w:t>
      </w:r>
    </w:p>
    <w:p w14:paraId="06653776"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We detected serum levels of factors related to glucose metabolism and adipocytokines. Serum levels of FINS, ISI, and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in the BDE-209 exposure groups were lower than those of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FBG and LEP levels were higher in the BDE-209 exposure groups than in controls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HOMA-IR was also higher in the medium and medium-low dose BDE-209 groups compared with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however, there was no statistical difference in HOMA-IR between the medium-high and high dose BDE-209groups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Levels of FINS, ISI, and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were lower in all other BDE-209 groups compared with the lowest dose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conversely, FBG and LEP levels were higher in all other BDE-209 groups compared with the low dose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2, Figure 4)</w:t>
      </w:r>
    </w:p>
    <w:p w14:paraId="740D4FC7"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3DBA820D"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Effect of BDE-209 on blood lipid levels</w:t>
      </w:r>
    </w:p>
    <w:p w14:paraId="371BF0D5"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Levels of blood lipids, TC, TG, and LDL were higher in all BDE-209 groups compared with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the high dose BDE-209 group had higher levels than the medium and medium-low dose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serum HDL-C contents of BDE-209 treated groups were lower than that of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3).</w:t>
      </w:r>
    </w:p>
    <w:p w14:paraId="45F2F97D" w14:textId="77777777" w:rsidR="003649F1" w:rsidRDefault="003649F1">
      <w:pPr>
        <w:adjustRightInd w:val="0"/>
        <w:snapToGrid w:val="0"/>
        <w:spacing w:line="360" w:lineRule="auto"/>
        <w:jc w:val="both"/>
        <w:rPr>
          <w:rFonts w:ascii="Book Antiqua" w:eastAsia="Book Antiqua" w:hAnsi="Book Antiqua" w:cs="Book Antiqua"/>
          <w:b/>
          <w:bCs/>
          <w:i/>
          <w:iCs/>
          <w:color w:val="000000"/>
        </w:rPr>
      </w:pPr>
    </w:p>
    <w:p w14:paraId="155A0FA6"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 xml:space="preserve">Effect of BDE-209 on LEP, </w:t>
      </w:r>
      <w:proofErr w:type="spellStart"/>
      <w:r>
        <w:rPr>
          <w:rFonts w:ascii="Book Antiqua" w:eastAsia="Book Antiqua" w:hAnsi="Book Antiqua" w:cs="Book Antiqua"/>
          <w:b/>
          <w:bCs/>
          <w:i/>
          <w:iCs/>
          <w:color w:val="000000"/>
        </w:rPr>
        <w:t>PPARγ</w:t>
      </w:r>
      <w:proofErr w:type="spellEnd"/>
      <w:r>
        <w:rPr>
          <w:rFonts w:ascii="Book Antiqua" w:eastAsia="Book Antiqua" w:hAnsi="Book Antiqua" w:cs="Book Antiqua"/>
          <w:b/>
          <w:bCs/>
          <w:i/>
          <w:iCs/>
          <w:color w:val="000000"/>
        </w:rPr>
        <w:t xml:space="preserve">, and </w:t>
      </w:r>
      <w:proofErr w:type="spellStart"/>
      <w:r>
        <w:rPr>
          <w:rFonts w:ascii="Book Antiqua" w:eastAsia="Book Antiqua" w:hAnsi="Book Antiqua" w:cs="Book Antiqua"/>
          <w:b/>
          <w:bCs/>
          <w:i/>
          <w:iCs/>
          <w:color w:val="000000"/>
        </w:rPr>
        <w:t>Adp</w:t>
      </w:r>
      <w:proofErr w:type="spellEnd"/>
      <w:r>
        <w:rPr>
          <w:rFonts w:ascii="Book Antiqua" w:eastAsia="Book Antiqua" w:hAnsi="Book Antiqua" w:cs="Book Antiqua"/>
          <w:b/>
          <w:bCs/>
          <w:i/>
          <w:iCs/>
          <w:color w:val="000000"/>
        </w:rPr>
        <w:t> mRNA expression in liver tissue</w:t>
      </w:r>
    </w:p>
    <w:p w14:paraId="3B17019C" w14:textId="77777777" w:rsidR="003649F1" w:rsidRDefault="003F5E16">
      <w:pPr>
        <w:adjustRightInd w:val="0"/>
        <w:snapToGrid w:val="0"/>
        <w:spacing w:line="360" w:lineRule="auto"/>
        <w:jc w:val="both"/>
        <w:rPr>
          <w:rFonts w:ascii="Book Antiqua" w:hAnsi="Book Antiqua"/>
        </w:rPr>
      </w:pPr>
      <w:proofErr w:type="spellStart"/>
      <w:r>
        <w:rPr>
          <w:rFonts w:ascii="Book Antiqua" w:eastAsia="Book Antiqua" w:hAnsi="Book Antiqua" w:cs="Book Antiqua"/>
          <w:i/>
          <w:color w:val="000000"/>
        </w:rPr>
        <w:t>Adp</w:t>
      </w:r>
      <w:proofErr w:type="spellEnd"/>
      <w:r>
        <w:rPr>
          <w:rFonts w:ascii="Book Antiqua" w:eastAsia="Book Antiqua" w:hAnsi="Book Antiqua" w:cs="Book Antiqua"/>
          <w:color w:val="000000"/>
        </w:rPr>
        <w:t> mRNA levels were higher in the BDE-209 groups than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w:t>
      </w:r>
      <w:proofErr w:type="spellStart"/>
      <w:r>
        <w:rPr>
          <w:rFonts w:ascii="Book Antiqua" w:eastAsia="Book Antiqua" w:hAnsi="Book Antiqua" w:cs="Book Antiqua"/>
          <w:i/>
          <w:color w:val="000000"/>
        </w:rPr>
        <w:t>Adp</w:t>
      </w:r>
      <w:proofErr w:type="spellEnd"/>
      <w:r>
        <w:rPr>
          <w:rFonts w:ascii="Book Antiqua" w:eastAsia="Book Antiqua" w:hAnsi="Book Antiqua" w:cs="Book Antiqua"/>
          <w:color w:val="000000"/>
        </w:rPr>
        <w:t> mRNA expression in the high and medium-high dose groups were lower than that of the low dose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color w:val="000000"/>
        </w:rPr>
        <w:t>LEP</w:t>
      </w:r>
      <w:r>
        <w:rPr>
          <w:rFonts w:ascii="Book Antiqua" w:eastAsia="Book Antiqua" w:hAnsi="Book Antiqua" w:cs="Book Antiqua"/>
          <w:color w:val="000000"/>
        </w:rPr>
        <w:t xml:space="preserve"> mRNA expression was increased in the high and medium-high dose groups compared with the medium, medium-low, low dose groups and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 was no significant difference in </w:t>
      </w:r>
      <w:r>
        <w:rPr>
          <w:rFonts w:ascii="Book Antiqua" w:eastAsia="Book Antiqua" w:hAnsi="Book Antiqua" w:cs="Book Antiqua"/>
          <w:i/>
          <w:color w:val="000000"/>
        </w:rPr>
        <w:t>LEP</w:t>
      </w:r>
      <w:r>
        <w:rPr>
          <w:rFonts w:ascii="Book Antiqua" w:eastAsia="Book Antiqua" w:hAnsi="Book Antiqua" w:cs="Book Antiqua"/>
          <w:color w:val="000000"/>
        </w:rPr>
        <w:t xml:space="preserve"> mRNA expression in the medium, medium-low, and low dose groups compared with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w:t>
      </w:r>
      <w:r>
        <w:rPr>
          <w:rFonts w:ascii="Book Antiqua" w:eastAsia="Book Antiqua" w:hAnsi="Book Antiqua" w:cs="Book Antiqua"/>
          <w:i/>
          <w:color w:val="000000"/>
        </w:rPr>
        <w:t>LEP</w:t>
      </w:r>
      <w:r>
        <w:rPr>
          <w:rFonts w:ascii="Book Antiqua" w:eastAsia="Book Antiqua" w:hAnsi="Book Antiqua" w:cs="Book Antiqua"/>
          <w:color w:val="000000"/>
        </w:rPr>
        <w:t xml:space="preserve"> mRNA expression was higher in the high, medium-high, and medium dose groups than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color w:val="000000"/>
        </w:rPr>
        <w:t>LEP</w:t>
      </w:r>
      <w:r>
        <w:rPr>
          <w:rFonts w:ascii="Book Antiqua" w:eastAsia="Book Antiqua" w:hAnsi="Book Antiqua" w:cs="Book Antiqua"/>
          <w:color w:val="000000"/>
        </w:rPr>
        <w:t xml:space="preserve"> mRNA expression was not </w:t>
      </w:r>
      <w:r>
        <w:rPr>
          <w:rFonts w:ascii="Book Antiqua" w:eastAsia="Book Antiqua" w:hAnsi="Book Antiqua" w:cs="Book Antiqua"/>
          <w:color w:val="000000"/>
        </w:rPr>
        <w:lastRenderedPageBreak/>
        <w:t>significantly different between the medium-low and low dose groups and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(Table 4).</w:t>
      </w:r>
    </w:p>
    <w:p w14:paraId="7CA5A140" w14:textId="77777777" w:rsidR="003649F1" w:rsidRDefault="003649F1">
      <w:pPr>
        <w:adjustRightInd w:val="0"/>
        <w:snapToGrid w:val="0"/>
        <w:spacing w:line="360" w:lineRule="auto"/>
        <w:jc w:val="both"/>
        <w:rPr>
          <w:rFonts w:ascii="Book Antiqua" w:eastAsia="Book Antiqua" w:hAnsi="Book Antiqua" w:cs="Book Antiqua"/>
          <w:b/>
          <w:bCs/>
          <w:i/>
          <w:iCs/>
          <w:color w:val="000000"/>
        </w:rPr>
      </w:pPr>
    </w:p>
    <w:p w14:paraId="7927FD72"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 xml:space="preserve">Effect of BDE-209 on LEP, </w:t>
      </w:r>
      <w:proofErr w:type="spellStart"/>
      <w:r>
        <w:rPr>
          <w:rFonts w:ascii="Book Antiqua" w:eastAsia="Book Antiqua" w:hAnsi="Book Antiqua" w:cs="Book Antiqua"/>
          <w:b/>
          <w:bCs/>
          <w:i/>
          <w:iCs/>
          <w:color w:val="000000"/>
        </w:rPr>
        <w:t>PPARγ</w:t>
      </w:r>
      <w:proofErr w:type="spellEnd"/>
      <w:r>
        <w:rPr>
          <w:rFonts w:ascii="Book Antiqua" w:eastAsia="Book Antiqua" w:hAnsi="Book Antiqua" w:cs="Book Antiqua"/>
          <w:b/>
          <w:bCs/>
          <w:i/>
          <w:iCs/>
          <w:color w:val="000000"/>
        </w:rPr>
        <w:t xml:space="preserve">, and </w:t>
      </w:r>
      <w:proofErr w:type="spellStart"/>
      <w:r>
        <w:rPr>
          <w:rFonts w:ascii="Book Antiqua" w:eastAsia="Book Antiqua" w:hAnsi="Book Antiqua" w:cs="Book Antiqua"/>
          <w:b/>
          <w:bCs/>
          <w:i/>
          <w:iCs/>
          <w:color w:val="000000"/>
        </w:rPr>
        <w:t>Adp</w:t>
      </w:r>
      <w:proofErr w:type="spellEnd"/>
      <w:r>
        <w:rPr>
          <w:rFonts w:ascii="Book Antiqua" w:eastAsia="Book Antiqua" w:hAnsi="Book Antiqua" w:cs="Book Antiqua"/>
          <w:b/>
          <w:bCs/>
          <w:i/>
          <w:iCs/>
          <w:color w:val="000000"/>
        </w:rPr>
        <w:t> mRNA expression in adipose tissue</w:t>
      </w:r>
    </w:p>
    <w:p w14:paraId="0E32FF85" w14:textId="77777777" w:rsidR="003649F1" w:rsidRDefault="003F5E16">
      <w:pPr>
        <w:adjustRightInd w:val="0"/>
        <w:snapToGrid w:val="0"/>
        <w:spacing w:line="360" w:lineRule="auto"/>
        <w:jc w:val="both"/>
        <w:rPr>
          <w:rFonts w:ascii="Book Antiqua" w:hAnsi="Book Antiqua"/>
        </w:rPr>
      </w:pPr>
      <w:proofErr w:type="spellStart"/>
      <w:r>
        <w:rPr>
          <w:rFonts w:ascii="Book Antiqua" w:eastAsia="Book Antiqua" w:hAnsi="Book Antiqua" w:cs="Book Antiqua"/>
          <w:i/>
          <w:color w:val="000000"/>
        </w:rPr>
        <w:t>Adp</w:t>
      </w:r>
      <w:proofErr w:type="spellEnd"/>
      <w:r>
        <w:rPr>
          <w:rFonts w:ascii="Book Antiqua" w:eastAsia="Book Antiqua" w:hAnsi="Book Antiqua" w:cs="Book Antiqua"/>
          <w:color w:val="000000"/>
        </w:rPr>
        <w:t xml:space="preserve"> mRNA levels were not significantly different in the high, medium-high, and medium dose groups compared with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w:t>
      </w:r>
      <w:proofErr w:type="spellStart"/>
      <w:r>
        <w:rPr>
          <w:rFonts w:ascii="Book Antiqua" w:eastAsia="Book Antiqua" w:hAnsi="Book Antiqua" w:cs="Book Antiqua"/>
          <w:i/>
          <w:color w:val="000000"/>
        </w:rPr>
        <w:t>Adp</w:t>
      </w:r>
      <w:proofErr w:type="spellEnd"/>
      <w:r>
        <w:rPr>
          <w:rFonts w:ascii="Book Antiqua" w:eastAsia="Book Antiqua" w:hAnsi="Book Antiqua" w:cs="Book Antiqua"/>
          <w:color w:val="000000"/>
        </w:rPr>
        <w:t> mRNA levels were increased in the medium-low and low dose groups compared with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w:t>
      </w:r>
      <w:proofErr w:type="spellStart"/>
      <w:r>
        <w:rPr>
          <w:rFonts w:ascii="Book Antiqua" w:eastAsia="Book Antiqua" w:hAnsi="Book Antiqua" w:cs="Book Antiqua"/>
          <w:i/>
          <w:color w:val="000000"/>
        </w:rPr>
        <w:t>Adp</w:t>
      </w:r>
      <w:proofErr w:type="spellEnd"/>
      <w:r>
        <w:rPr>
          <w:rFonts w:ascii="Book Antiqua" w:eastAsia="Book Antiqua" w:hAnsi="Book Antiqua" w:cs="Book Antiqua"/>
          <w:color w:val="000000"/>
        </w:rPr>
        <w:t xml:space="preserve"> mRNA levels were decreased in the high, medium-high, and medium dose groups compared with the low dose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color w:val="000000"/>
        </w:rPr>
        <w:t>LEP</w:t>
      </w:r>
      <w:r>
        <w:rPr>
          <w:rFonts w:ascii="Book Antiqua" w:eastAsia="Book Antiqua" w:hAnsi="Book Antiqua" w:cs="Book Antiqua"/>
          <w:color w:val="000000"/>
        </w:rPr>
        <w:t xml:space="preserve"> mRNA levels were higher in the high and medium-high dose groups than in the low dose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color w:val="000000"/>
        </w:rPr>
        <w:t>LEP</w:t>
      </w:r>
      <w:r>
        <w:rPr>
          <w:rFonts w:ascii="Book Antiqua" w:eastAsia="Book Antiqua" w:hAnsi="Book Antiqua" w:cs="Book Antiqua"/>
          <w:color w:val="000000"/>
        </w:rPr>
        <w:t xml:space="preserve"> mRNA expression was not significantly different in the medium, medium-low, and low dose groups compared with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high, medium-high, and medium dose groups showed higher </w:t>
      </w:r>
      <w:proofErr w:type="spellStart"/>
      <w:r>
        <w:rPr>
          <w:rFonts w:ascii="Book Antiqua" w:eastAsia="Book Antiqua" w:hAnsi="Book Antiqua" w:cs="Book Antiqua"/>
          <w:i/>
          <w:color w:val="000000"/>
        </w:rPr>
        <w:t>PPARγ</w:t>
      </w:r>
      <w:proofErr w:type="spellEnd"/>
      <w:r>
        <w:rPr>
          <w:rFonts w:ascii="Book Antiqua" w:eastAsia="Book Antiqua" w:hAnsi="Book Antiqua" w:cs="Book Antiqua"/>
          <w:color w:val="000000"/>
        </w:rPr>
        <w:t xml:space="preserve"> mRNA expression than the low dose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5).</w:t>
      </w:r>
    </w:p>
    <w:p w14:paraId="55814398" w14:textId="77777777" w:rsidR="003649F1" w:rsidRDefault="003649F1">
      <w:pPr>
        <w:adjustRightInd w:val="0"/>
        <w:snapToGrid w:val="0"/>
        <w:spacing w:line="360" w:lineRule="auto"/>
        <w:jc w:val="both"/>
        <w:rPr>
          <w:rFonts w:ascii="Book Antiqua" w:eastAsia="Book Antiqua" w:hAnsi="Book Antiqua" w:cs="Book Antiqua"/>
          <w:b/>
          <w:bCs/>
          <w:i/>
          <w:iCs/>
          <w:color w:val="000000"/>
        </w:rPr>
      </w:pPr>
    </w:p>
    <w:p w14:paraId="5B0AF37C"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Effect of BDE-209 on protein expression in liver tissues</w:t>
      </w:r>
    </w:p>
    <w:p w14:paraId="4E2BD102"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gray values of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protein in the high and medium-high groups were lower than those in the medium and low dose groups and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protein in the medium and medium-low groups were lower than those in the low dose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LEP protein were higher in the high and medium-high dose groups than in the medium and low dose groups and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LEP protein in the medium and medium-low dose groups were higher than those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the low dose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protein were higher in the high and medium-high groups than in the medium and low dose groups and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protein in the low and medium-low dose groups were higher than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(Figures 5-7).</w:t>
      </w:r>
    </w:p>
    <w:p w14:paraId="01FE2853" w14:textId="77777777" w:rsidR="003649F1" w:rsidRDefault="003649F1">
      <w:pPr>
        <w:adjustRightInd w:val="0"/>
        <w:snapToGrid w:val="0"/>
        <w:spacing w:line="360" w:lineRule="auto"/>
        <w:jc w:val="both"/>
        <w:rPr>
          <w:rFonts w:ascii="Book Antiqua" w:eastAsia="Book Antiqua" w:hAnsi="Book Antiqua" w:cs="Book Antiqua"/>
          <w:i/>
          <w:iCs/>
          <w:color w:val="000000"/>
        </w:rPr>
      </w:pPr>
    </w:p>
    <w:p w14:paraId="0E5DAF87" w14:textId="77777777" w:rsidR="003649F1" w:rsidRDefault="003F5E16">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Effect of BDE-209 on protein expression in adipose tissue</w:t>
      </w:r>
    </w:p>
    <w:p w14:paraId="3B238A70"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gray values of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protein were lower in the high and medium-high groups compared with the medium and low dose groups and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protein in the medium and medium-low dose groups were lower than those in the low dose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LEP protein were higher in the high and medium-high dose groups than in the medium and low dose groups and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LEP protein in the medium and medium-low dose groups were higher than those in the low dose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protein in </w:t>
      </w:r>
      <w:proofErr w:type="gramStart"/>
      <w:r>
        <w:rPr>
          <w:rFonts w:ascii="Book Antiqua" w:eastAsia="Book Antiqua" w:hAnsi="Book Antiqua" w:cs="Book Antiqua"/>
          <w:color w:val="000000"/>
        </w:rPr>
        <w:t>the  high</w:t>
      </w:r>
      <w:proofErr w:type="gramEnd"/>
      <w:r>
        <w:rPr>
          <w:rFonts w:ascii="Book Antiqua" w:eastAsia="Book Antiqua" w:hAnsi="Book Antiqua" w:cs="Book Antiqua"/>
          <w:color w:val="000000"/>
        </w:rPr>
        <w:t xml:space="preserve"> and medium-high dose groups were higher than those in the middle and low dose groups and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gray values of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protein were higher in the low and medium-low dose groups compared with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(Figures 8-10).</w:t>
      </w:r>
    </w:p>
    <w:p w14:paraId="5D82C49A" w14:textId="77777777" w:rsidR="003649F1" w:rsidRDefault="003649F1">
      <w:pPr>
        <w:adjustRightInd w:val="0"/>
        <w:snapToGrid w:val="0"/>
        <w:spacing w:line="360" w:lineRule="auto"/>
        <w:jc w:val="both"/>
        <w:rPr>
          <w:rFonts w:ascii="Book Antiqua" w:hAnsi="Book Antiqua"/>
        </w:rPr>
      </w:pPr>
    </w:p>
    <w:p w14:paraId="7CBD2095"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7E97EFC2"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results of this study showed that obesity indicators, including body weight and abdominal fat weight, were significantly higher in mice exposed to BDE-209 than in control mice. Mice exposed to high doses of BDE-209 for a long period of time had the highest concentrations of BDE-209 in fat and fat-soluble tissues. At the molecular level, BDE-209 swelled fat cells, which eventually led to increased volume of fat tissue. The liver is the main place for metabolism in heterologous organisms, and polybrominated diphenyl ether has been proven to be </w:t>
      </w:r>
      <w:proofErr w:type="spellStart"/>
      <w:r>
        <w:rPr>
          <w:rFonts w:ascii="Book Antiqua" w:eastAsia="Book Antiqua" w:hAnsi="Book Antiqua" w:cs="Book Antiqua"/>
          <w:color w:val="000000"/>
        </w:rPr>
        <w:t>biotransformed</w:t>
      </w:r>
      <w:proofErr w:type="spellEnd"/>
      <w:r>
        <w:rPr>
          <w:rFonts w:ascii="Book Antiqua" w:eastAsia="Book Antiqua" w:hAnsi="Book Antiqua" w:cs="Book Antiqua"/>
          <w:color w:val="000000"/>
        </w:rPr>
        <w:t xml:space="preserve"> into long-lasting biologically-active metabolites in animals. BDE-209 is decomposed into longer-lasting low molecular weight polybrominated diphenyl ethers </w:t>
      </w:r>
      <w:r>
        <w:rPr>
          <w:rFonts w:ascii="Book Antiqua" w:hAnsi="Book Antiqua" w:cs="Arial"/>
          <w:color w:val="2E3033"/>
          <w:shd w:val="clear" w:color="auto" w:fill="FFFFFF"/>
        </w:rPr>
        <w:t>(</w:t>
      </w:r>
      <w:r>
        <w:rPr>
          <w:rFonts w:ascii="Book Antiqua" w:eastAsia="Book Antiqua" w:hAnsi="Book Antiqua" w:cs="Book Antiqua"/>
          <w:color w:val="000000"/>
        </w:rPr>
        <w:t xml:space="preserve">PBDEs) through photolysis and microbial decomposition. These processes have a great impact on bioaccumulation and </w:t>
      </w:r>
      <w:proofErr w:type="gramStart"/>
      <w:r>
        <w:rPr>
          <w:rFonts w:ascii="Book Antiqua" w:eastAsia="Book Antiqua" w:hAnsi="Book Antiqua" w:cs="Book Antiqua"/>
          <w:color w:val="000000"/>
        </w:rPr>
        <w:t>toxicity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25D5DA97" w14:textId="77777777" w:rsidR="003649F1" w:rsidRDefault="003F5E1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This study shows that BDE-209 disrupts liver tissue structure, with irregular liver sinusoids and liver cells, accompanied by local inflammatory cell </w:t>
      </w:r>
      <w:r>
        <w:rPr>
          <w:rFonts w:ascii="Book Antiqua" w:eastAsia="Book Antiqua" w:hAnsi="Book Antiqua" w:cs="Book Antiqua"/>
          <w:color w:val="000000"/>
        </w:rPr>
        <w:lastRenderedPageBreak/>
        <w:t xml:space="preserve">infiltration. The liver is the main site for the metabolism of heterologous organisms, and PBDEs have been proven to be </w:t>
      </w:r>
      <w:proofErr w:type="spellStart"/>
      <w:r>
        <w:rPr>
          <w:rFonts w:ascii="Book Antiqua" w:eastAsia="Book Antiqua" w:hAnsi="Book Antiqua" w:cs="Book Antiqua"/>
          <w:color w:val="000000"/>
        </w:rPr>
        <w:t>biotransformed</w:t>
      </w:r>
      <w:proofErr w:type="spellEnd"/>
      <w:r>
        <w:rPr>
          <w:rFonts w:ascii="Book Antiqua" w:eastAsia="Book Antiqua" w:hAnsi="Book Antiqua" w:cs="Book Antiqua"/>
          <w:color w:val="000000"/>
        </w:rPr>
        <w:t xml:space="preserve"> into long-lasting biologically active metabolites in </w:t>
      </w:r>
      <w:proofErr w:type="gramStart"/>
      <w:r>
        <w:rPr>
          <w:rFonts w:ascii="Book Antiqua" w:eastAsia="Book Antiqua" w:hAnsi="Book Antiqua" w:cs="Book Antiqua"/>
          <w:color w:val="000000"/>
        </w:rPr>
        <w:t>animals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Studies have found that exposure to persistent organic pollutants can damage the function of mitochondria and reduce their oxidative phosphorylation, leading to endocrine disorders, increasing inflammatory factors interleukin-6 and 8, and resulting in chronic low-grade inflammation and IR. The liver is not only an important organ for fat synthesis, but also the main site for fatty acid beta oxidation. Increasing the level of lipid metabolism in the liver and improving the efficiency of lipid metabolism are of great significance for maintaining the normal lipid metabolism function of the liver and the body. Free fatty acids can act as ligands for the Toll-like receptor 4 complex</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and stimulate macrophages, leading to the infiltration of inflammatory cells in the liver tissue of the high-dose group.</w:t>
      </w:r>
    </w:p>
    <w:p w14:paraId="182FA91A" w14:textId="77777777" w:rsidR="003649F1" w:rsidRDefault="003F5E1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Serum levels of TG, TC, and LDL were higher in mice exposed to BDE-209 than in the control group, and HDL levels were lower than those in the untreated group, indicating that BDE-209 disrupted lipid metabolism, increased TG, TC, and LDL-C contents, and reduced HDL-C. LDL-C and HDL-C are important lipid components in the body. LDL-C promotes the transport and deposition of cholesterol from the liver to the periphery, while HDL-C promotes the transport of cholesterol from the periphery to the liver and makes clear cholesterol in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Because BDE-209 disturbs liver tissue structure during these metabolic processes, LDL-C and HDL-C cannot function normally, causing the serum LDL-C content to increase and HDL-C to decrease. Under the action of lipoprotein lipase, PPAR-γ adjusts the glucose content, altering the final synthesis of TG by regulating 3-phosphate </w:t>
      </w:r>
      <w:proofErr w:type="gramStart"/>
      <w:r>
        <w:rPr>
          <w:rFonts w:ascii="Book Antiqua" w:eastAsia="Book Antiqua" w:hAnsi="Book Antiqua" w:cs="Book Antiqua"/>
          <w:color w:val="000000"/>
        </w:rPr>
        <w:t>glycerol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Therefore, PPAR-γ plays an important role in the final synthesis of TG.</w:t>
      </w:r>
    </w:p>
    <w:p w14:paraId="7777008A" w14:textId="77777777" w:rsidR="003649F1" w:rsidRDefault="003F5E1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Several epidemiological investigations have shown that long-term exposure to low concentrations of persistent organic pollutants increases the risk of glucose metabolism and </w:t>
      </w:r>
      <w:proofErr w:type="gramStart"/>
      <w:r>
        <w:rPr>
          <w:rFonts w:ascii="Book Antiqua" w:eastAsia="Book Antiqua" w:hAnsi="Book Antiqua" w:cs="Book Antiqua"/>
          <w:color w:val="000000"/>
        </w:rPr>
        <w:t>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cause of IR is not limited to impaired insulin signaling, </w:t>
      </w:r>
      <w:r>
        <w:rPr>
          <w:rFonts w:ascii="Book Antiqua" w:eastAsia="Book Antiqua" w:hAnsi="Book Antiqua" w:cs="Book Antiqua"/>
          <w:color w:val="000000"/>
        </w:rPr>
        <w:lastRenderedPageBreak/>
        <w:t xml:space="preserve">but also involves genetic and environmental factors. After 60 d of BDE-209 treatment, the FBG of mice in the low dose group was higher than that of the control group; meanwhile, FINS and the ISI were lower than those in the control group, indicating that BDE-209 may give the mice glucose tolerance but impair insulin sensitivity, which further leads to IR and T2DM. This may be related to the biochemical characteristics of the persistent organic pollutant BDE-209, which may change the function of endocrine organs and destroy </w:t>
      </w:r>
      <w:proofErr w:type="spellStart"/>
      <w:r>
        <w:rPr>
          <w:rFonts w:ascii="Book Antiqua" w:eastAsia="Book Antiqua" w:hAnsi="Book Antiqua" w:cs="Book Antiqua"/>
          <w:color w:val="000000"/>
        </w:rPr>
        <w:t>insulinsecretion</w:t>
      </w:r>
      <w:proofErr w:type="spellEnd"/>
      <w:r>
        <w:rPr>
          <w:rFonts w:ascii="Book Antiqua" w:eastAsia="Book Antiqua" w:hAnsi="Book Antiqua" w:cs="Book Antiqua"/>
          <w:color w:val="000000"/>
        </w:rPr>
        <w:t>, thereby triggering diabetes or leading to IR.</w:t>
      </w:r>
    </w:p>
    <w:p w14:paraId="2B5CB3E2" w14:textId="77777777" w:rsidR="003649F1" w:rsidRDefault="003F5E1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previous animal model showed that exposure to persistent organic pollutants (including BDE-209) can impair mitochondrial function and increase adipocytokine levels, which may mediate inflammation and </w:t>
      </w:r>
      <w:proofErr w:type="gramStart"/>
      <w:r>
        <w:rPr>
          <w:rFonts w:ascii="Book Antiqua" w:eastAsia="Book Antiqua" w:hAnsi="Book Antiqua" w:cs="Book Antiqua"/>
          <w:color w:val="000000"/>
        </w:rPr>
        <w:t>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More recent studies have found that mitochondrial damage is closely related to IR. Mitochondrial damage leads to increased production of reactive oxygen species (ROS), causing mitochondrial fatty acid metabolism disorders. Furthermore, increased ROS and accumulated lipids activate part of the inflammatory pathway, thereby inhibiting the transmission of insulin </w:t>
      </w:r>
      <w:proofErr w:type="gramStart"/>
      <w:r>
        <w:rPr>
          <w:rFonts w:ascii="Book Antiqua" w:eastAsia="Book Antiqua" w:hAnsi="Book Antiqua" w:cs="Book Antiqua"/>
          <w:color w:val="000000"/>
        </w:rPr>
        <w:t>signals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is a key regulator of lipid absorption and synthesis. </w:t>
      </w:r>
      <w:proofErr w:type="spellStart"/>
      <w:r>
        <w:rPr>
          <w:rFonts w:ascii="Book Antiqua" w:eastAsia="Book Antiqua" w:hAnsi="Book Antiqua" w:cs="Book Antiqua"/>
          <w:i/>
          <w:color w:val="000000"/>
        </w:rPr>
        <w:t>PPARγ</w:t>
      </w:r>
      <w:proofErr w:type="spellEnd"/>
      <w:r>
        <w:rPr>
          <w:rFonts w:ascii="Book Antiqua" w:eastAsia="Book Antiqua" w:hAnsi="Book Antiqua" w:cs="Book Antiqua"/>
          <w:color w:val="000000"/>
        </w:rPr>
        <w:t xml:space="preserve"> mRNA expression was significantly increased in the liver of BDE-209 exposed mice, and this aggravated the increased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expression induced by BDE-209. The upregulation of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caused by BDE-209 exposure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is related to lipid accumulation and glucose metabolism dysfunction. Increased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expression can lead to glucose and lipid metabolism disorders to a certain extent, indicating that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may be a key molecule for glucose and lipid metabolism disorder that is involved in BDE-209 induced T2DM.</w:t>
      </w:r>
    </w:p>
    <w:p w14:paraId="1E6DA16C" w14:textId="77777777" w:rsidR="003649F1" w:rsidRDefault="003F5E1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BDE-209 also increased LEP and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levels in serum and the mRNA and protein levels in adipose tissue but reduced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content in serum and its mRNA and protein expression in adipose tissue. BDE-209 activates the mouse </w:t>
      </w:r>
      <w:proofErr w:type="spellStart"/>
      <w:r>
        <w:rPr>
          <w:rFonts w:ascii="Book Antiqua" w:eastAsia="Book Antiqua" w:hAnsi="Book Antiqua" w:cs="Book Antiqua"/>
          <w:i/>
          <w:color w:val="000000"/>
        </w:rPr>
        <w:t>Adp</w:t>
      </w:r>
      <w:proofErr w:type="spellEnd"/>
      <w:r>
        <w:rPr>
          <w:rFonts w:ascii="Book Antiqua" w:eastAsia="Book Antiqua" w:hAnsi="Book Antiqua" w:cs="Book Antiqua"/>
          <w:color w:val="000000"/>
        </w:rPr>
        <w:t xml:space="preserve"> promoter to stimulate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mRNA and protein expression in adipocytes; it also stimulates fatty acid oxidation by reducing the globular domain of </w:t>
      </w:r>
      <w:proofErr w:type="spellStart"/>
      <w:proofErr w:type="gramStart"/>
      <w:r>
        <w:rPr>
          <w:rFonts w:ascii="Book Antiqua" w:eastAsia="Book Antiqua" w:hAnsi="Book Antiqua" w:cs="Book Antiqua"/>
          <w:color w:val="000000"/>
        </w:rPr>
        <w:t>Adp</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resulting in abnormal differentiation of mouse adipocytes. Decreased levels of secreted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by cells ultimately leads to body fat or weight gain.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is a key regulator of adipogenesis that transcriptionally promotes adipocyte differentiation, increases the number of adipocytes, and increases the expression of related genes in adipose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is activated by the ligand BDE-209, it binds to the retinol X receptor to form a heterodimer, and then interacts with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on the specific DNA. The combination of response element leads to a decrease in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levels.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is an effective insulin sensitizer in the body. The decrease in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content leads to decreased insulin sensitivity. A previous study showed that increased serum LEP level were associated with an increase in metabolic syndrome components, and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levels decreased with increased expression of metabolic syndrome components</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p>
    <w:p w14:paraId="6ED6682D" w14:textId="77777777" w:rsidR="003649F1" w:rsidRDefault="003F5E16">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Through animal experiments and laboratory tests, this study explored the effects of BDE-209 on mouse body weight and organ weight, glucose and lipid metabolism disorders, and adipocytokines. Our data initially explained the relationship between BDE-209 and obesity, IR, and high TG. Ultimately, we will also be able to uncover the influence of these factors on other metabolic diseases, such as </w:t>
      </w:r>
      <w:proofErr w:type="spellStart"/>
      <w:r>
        <w:rPr>
          <w:rFonts w:ascii="Book Antiqua" w:eastAsia="Book Antiqua" w:hAnsi="Book Antiqua" w:cs="Book Antiqua"/>
          <w:color w:val="000000"/>
        </w:rPr>
        <w:t>esteremia</w:t>
      </w:r>
      <w:proofErr w:type="spellEnd"/>
      <w:r>
        <w:rPr>
          <w:rFonts w:ascii="Book Antiqua" w:eastAsia="Book Antiqua" w:hAnsi="Book Antiqua" w:cs="Book Antiqua"/>
          <w:color w:val="000000"/>
        </w:rPr>
        <w:t>, hypercholesterolemia, and high and low density lipoproteinemia.</w:t>
      </w:r>
    </w:p>
    <w:p w14:paraId="32676C2D" w14:textId="77777777" w:rsidR="003649F1" w:rsidRDefault="003649F1">
      <w:pPr>
        <w:adjustRightInd w:val="0"/>
        <w:snapToGrid w:val="0"/>
        <w:spacing w:line="360" w:lineRule="auto"/>
        <w:jc w:val="both"/>
        <w:rPr>
          <w:rFonts w:ascii="Book Antiqua" w:hAnsi="Book Antiqua"/>
        </w:rPr>
      </w:pPr>
    </w:p>
    <w:p w14:paraId="44ADCE7E"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5AD790F0"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Our study shows that BDE-209 increases mouse body weight, body fat, liver tissue weight, </w:t>
      </w:r>
      <w:proofErr w:type="spellStart"/>
      <w:r>
        <w:rPr>
          <w:rFonts w:ascii="Book Antiqua" w:eastAsia="Book Antiqua" w:hAnsi="Book Antiqua" w:cs="Book Antiqua"/>
          <w:color w:val="000000"/>
        </w:rPr>
        <w:t>triglyceridemia</w:t>
      </w:r>
      <w:proofErr w:type="spellEnd"/>
      <w:r>
        <w:rPr>
          <w:rFonts w:ascii="Book Antiqua" w:eastAsia="Book Antiqua" w:hAnsi="Book Antiqua" w:cs="Book Antiqua"/>
          <w:color w:val="000000"/>
        </w:rPr>
        <w:t xml:space="preserve">, TC, and LDL-C. BDE-209 also reduces HDL-C and causes IR in mice, which may be related to activating the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receptor.</w:t>
      </w:r>
    </w:p>
    <w:p w14:paraId="1AE026E0" w14:textId="77777777" w:rsidR="003649F1" w:rsidRDefault="003649F1">
      <w:pPr>
        <w:adjustRightInd w:val="0"/>
        <w:snapToGrid w:val="0"/>
        <w:spacing w:line="360" w:lineRule="auto"/>
        <w:jc w:val="both"/>
        <w:rPr>
          <w:rFonts w:ascii="Book Antiqua" w:hAnsi="Book Antiqua"/>
        </w:rPr>
      </w:pPr>
    </w:p>
    <w:p w14:paraId="2440112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8DDE9D7"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0460C88E" w14:textId="77777777" w:rsidR="003649F1" w:rsidRDefault="003F5E16">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Decabromodiphenyl</w:t>
      </w:r>
      <w:proofErr w:type="spellEnd"/>
      <w:r>
        <w:rPr>
          <w:rFonts w:ascii="Book Antiqua" w:eastAsia="Book Antiqua" w:hAnsi="Book Antiqua" w:cs="Book Antiqua"/>
          <w:color w:val="000000"/>
        </w:rPr>
        <w:t xml:space="preserve"> ether (BDE-209) is the most commonly used brominated flame retardant. Recently, BDE-209 has been suspected of being an </w:t>
      </w:r>
      <w:r>
        <w:rPr>
          <w:rFonts w:ascii="Book Antiqua" w:eastAsia="Book Antiqua" w:hAnsi="Book Antiqua" w:cs="Book Antiqua"/>
          <w:color w:val="000000"/>
        </w:rPr>
        <w:lastRenderedPageBreak/>
        <w:t>environmental risk factor for metabolic diseases such as obesity, insulin resistance (IR), type 2 diabetes mellitus, and hypertension. Data suggest that it may play a key role in the occurrence, development, and treatment of these diseases. The underlying mechanism may be that BDE-209 inappropriately regulates the number and volume of adipocytes at the molecular level, leading to adipogenesis and lipid metabolism disorders. These changes further alter the function of metabolic disease-related factors, leading to disease occurrence.</w:t>
      </w:r>
    </w:p>
    <w:p w14:paraId="0FFAB533" w14:textId="77777777" w:rsidR="003649F1" w:rsidRDefault="003649F1">
      <w:pPr>
        <w:adjustRightInd w:val="0"/>
        <w:snapToGrid w:val="0"/>
        <w:spacing w:line="360" w:lineRule="auto"/>
        <w:jc w:val="both"/>
        <w:rPr>
          <w:rFonts w:ascii="Book Antiqua" w:hAnsi="Book Antiqua"/>
        </w:rPr>
      </w:pPr>
    </w:p>
    <w:p w14:paraId="20060F3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23817DFB"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The research of BDE-209 on the body's adipocyte factor and insulin sensitivity is still not fully developed.</w:t>
      </w:r>
    </w:p>
    <w:p w14:paraId="39CABBFC" w14:textId="77777777" w:rsidR="003649F1" w:rsidRDefault="003649F1">
      <w:pPr>
        <w:adjustRightInd w:val="0"/>
        <w:snapToGrid w:val="0"/>
        <w:spacing w:line="360" w:lineRule="auto"/>
        <w:jc w:val="both"/>
        <w:rPr>
          <w:rFonts w:ascii="Book Antiqua" w:hAnsi="Book Antiqua"/>
        </w:rPr>
      </w:pPr>
    </w:p>
    <w:p w14:paraId="319A760F"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0DAFEA2E"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To investigate the effects of BDE-209 on IR and glucose and lipid metabolism in C57BL/6 mice.</w:t>
      </w:r>
    </w:p>
    <w:p w14:paraId="30B79A30" w14:textId="77777777" w:rsidR="003649F1" w:rsidRDefault="003649F1">
      <w:pPr>
        <w:adjustRightInd w:val="0"/>
        <w:snapToGrid w:val="0"/>
        <w:spacing w:line="360" w:lineRule="auto"/>
        <w:jc w:val="both"/>
        <w:rPr>
          <w:rFonts w:ascii="Book Antiqua" w:hAnsi="Book Antiqua"/>
        </w:rPr>
      </w:pPr>
    </w:p>
    <w:p w14:paraId="0EA2F51D"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1CA20C90"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Adult male C57BL/6 mice were randomly divided into high, medium-high, medium, medium-low, and low dose BDE-209 groups, as well as a control group.</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After BDE-209 exposure for 60 d, the mice were fasted overnight, and then sacrificed to obtain tissues and serum to detect serum triglyceride (TG), total cholesterol (TC), low-density lipoprotein cholesterol (LDL-C), and </w:t>
      </w:r>
      <w:proofErr w:type="gramStart"/>
      <w:r>
        <w:rPr>
          <w:rFonts w:ascii="Book Antiqua" w:eastAsia="Book Antiqua" w:hAnsi="Book Antiqua" w:cs="Book Antiqua"/>
          <w:color w:val="000000"/>
        </w:rPr>
        <w:t>high density</w:t>
      </w:r>
      <w:proofErr w:type="gramEnd"/>
      <w:r>
        <w:rPr>
          <w:rFonts w:ascii="Book Antiqua" w:eastAsia="Book Antiqua" w:hAnsi="Book Antiqua" w:cs="Book Antiqua"/>
          <w:color w:val="000000"/>
        </w:rPr>
        <w:t xml:space="preserve"> lipoprotein cholesterol (HDL-C) contents</w:t>
      </w:r>
      <w:r>
        <w:rPr>
          <w:rFonts w:ascii="Book Antiqua" w:hAnsi="Book Antiqua" w:cs="Book Antiqua"/>
          <w:color w:val="000000"/>
          <w:lang w:eastAsia="zh-CN"/>
        </w:rPr>
        <w:t xml:space="preserve">, </w:t>
      </w:r>
      <w:r>
        <w:rPr>
          <w:rFonts w:ascii="Book Antiqua" w:eastAsia="Book Antiqua" w:hAnsi="Book Antiqua" w:cs="Book Antiqua"/>
          <w:color w:val="000000"/>
        </w:rPr>
        <w:t>and fasting insulin (FINS), leptin (LEP), and adiponectin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levels.  Morphological changes of the liver were observed by hematoxylin and eosin staining. Real-time quantitative polymerase chain reaction and Western blot were used to determine the mRNA and protein levels of LEP,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and peroxisome proliferators activated receptor-γ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in mouse liver and adipose tissues.</w:t>
      </w:r>
    </w:p>
    <w:p w14:paraId="0FC8BE8A" w14:textId="77777777" w:rsidR="003649F1" w:rsidRDefault="003649F1">
      <w:pPr>
        <w:adjustRightInd w:val="0"/>
        <w:snapToGrid w:val="0"/>
        <w:spacing w:line="360" w:lineRule="auto"/>
        <w:jc w:val="both"/>
        <w:rPr>
          <w:rFonts w:ascii="Book Antiqua" w:hAnsi="Book Antiqua"/>
        </w:rPr>
      </w:pPr>
    </w:p>
    <w:p w14:paraId="23427FE3"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i/>
          <w:color w:val="000000"/>
        </w:rPr>
        <w:lastRenderedPageBreak/>
        <w:t>Research results</w:t>
      </w:r>
    </w:p>
    <w:p w14:paraId="4930F37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There was a statistically significant difference in the weight of mice in each group after 45 and 60 d of exposure. After 60 d of exposure, the weight of liver and adipose tissues in the exposure groups were greater than that in the control group. The liver tissue structure was disordered, and the liver tissues of the high, medium-high, and medium dose groups were accompanied by local inflammatory cell infiltration. Serum levels of FINS, insulin sensitivity index,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and HDL-C were decreased in the BDE-209 groups compared with the control group, as were the mRNA and protein levels of </w:t>
      </w:r>
      <w:proofErr w:type="spellStart"/>
      <w:r>
        <w:rPr>
          <w:rFonts w:ascii="Book Antiqua" w:eastAsia="Book Antiqua" w:hAnsi="Book Antiqua" w:cs="Book Antiqua"/>
          <w:color w:val="000000"/>
        </w:rPr>
        <w:t>Adp</w:t>
      </w:r>
      <w:proofErr w:type="spellEnd"/>
      <w:r>
        <w:rPr>
          <w:rFonts w:ascii="Book Antiqua" w:eastAsia="Book Antiqua" w:hAnsi="Book Antiqua" w:cs="Book Antiqua"/>
          <w:color w:val="000000"/>
        </w:rPr>
        <w:t xml:space="preserve"> in liver and adipose tissues. Serum level of fasting blood glucose and LEP were higher in the BDE-209 group than in controls. TC, TG, and LDL-C levels and the mRNA and protein expression of LEP and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in liver and adipose tissue were higher than those in the control group. Homeostatic assessment model of FINS resistance was higher in the BDE-209 medium</w:t>
      </w:r>
      <w:r>
        <w:rPr>
          <w:rFonts w:ascii="Book Antiqua" w:eastAsia="宋体" w:hAnsi="Book Antiqua" w:cs="Book Antiqua"/>
          <w:color w:val="000000"/>
          <w:lang w:eastAsia="zh-CN"/>
        </w:rPr>
        <w:t xml:space="preserve"> and</w:t>
      </w:r>
      <w:r>
        <w:rPr>
          <w:rFonts w:ascii="Book Antiqua" w:eastAsia="Book Antiqua" w:hAnsi="Book Antiqua" w:cs="Book Antiqua"/>
          <w:color w:val="000000"/>
        </w:rPr>
        <w:t xml:space="preserve"> medium-low dose groups.</w:t>
      </w:r>
    </w:p>
    <w:p w14:paraId="75F816EE" w14:textId="77777777" w:rsidR="003649F1" w:rsidRDefault="003649F1">
      <w:pPr>
        <w:adjustRightInd w:val="0"/>
        <w:snapToGrid w:val="0"/>
        <w:spacing w:line="360" w:lineRule="auto"/>
        <w:jc w:val="both"/>
        <w:rPr>
          <w:rFonts w:ascii="Book Antiqua" w:hAnsi="Book Antiqua"/>
        </w:rPr>
      </w:pPr>
    </w:p>
    <w:p w14:paraId="4994A358"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664B3C9C"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BDE-209 increases mouse body weight, body fat, liver tissue weight, TC, TG, and LDL-C. BDE-209 also reduces HDL-C and cause IR in mice, which may be related to activating the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receptor.</w:t>
      </w:r>
    </w:p>
    <w:p w14:paraId="6F611E1C" w14:textId="77777777" w:rsidR="003649F1" w:rsidRDefault="003649F1">
      <w:pPr>
        <w:adjustRightInd w:val="0"/>
        <w:snapToGrid w:val="0"/>
        <w:spacing w:line="360" w:lineRule="auto"/>
        <w:jc w:val="both"/>
        <w:rPr>
          <w:rFonts w:ascii="Book Antiqua" w:hAnsi="Book Antiqua"/>
        </w:rPr>
      </w:pPr>
    </w:p>
    <w:p w14:paraId="7BCD1885"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0632AC5E"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Further studies on mouse serum biochemical indicators, FINS content, and adipocytokines are needed to better explore the relationship between BDE-209 and insulin sensitivity and adipocytokines.</w:t>
      </w:r>
    </w:p>
    <w:p w14:paraId="610B43F9" w14:textId="77777777" w:rsidR="003649F1" w:rsidRDefault="003649F1">
      <w:pPr>
        <w:adjustRightInd w:val="0"/>
        <w:snapToGrid w:val="0"/>
        <w:spacing w:line="360" w:lineRule="auto"/>
        <w:jc w:val="both"/>
        <w:rPr>
          <w:rFonts w:ascii="Book Antiqua" w:hAnsi="Book Antiqua"/>
        </w:rPr>
      </w:pPr>
    </w:p>
    <w:p w14:paraId="083B9FA5"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72683DE7"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1 </w:t>
      </w:r>
      <w:proofErr w:type="spellStart"/>
      <w:r w:rsidRPr="00F359FE">
        <w:rPr>
          <w:rFonts w:ascii="Book Antiqua" w:eastAsia="Book Antiqua" w:hAnsi="Book Antiqua" w:cs="Book Antiqua"/>
          <w:b/>
          <w:bCs/>
          <w:color w:val="000000"/>
        </w:rPr>
        <w:t>Basios</w:t>
      </w:r>
      <w:proofErr w:type="spellEnd"/>
      <w:r w:rsidRPr="00F359FE">
        <w:rPr>
          <w:rFonts w:ascii="Book Antiqua" w:eastAsia="Book Antiqua" w:hAnsi="Book Antiqua" w:cs="Book Antiqua"/>
          <w:b/>
          <w:bCs/>
          <w:color w:val="000000"/>
        </w:rPr>
        <w:t xml:space="preserve"> N</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Lampropoulos</w:t>
      </w:r>
      <w:proofErr w:type="spellEnd"/>
      <w:r w:rsidRPr="00F359FE">
        <w:rPr>
          <w:rFonts w:ascii="Book Antiqua" w:eastAsia="Book Antiqua" w:hAnsi="Book Antiqua" w:cs="Book Antiqua"/>
          <w:color w:val="000000"/>
        </w:rPr>
        <w:t xml:space="preserve"> P, </w:t>
      </w:r>
      <w:proofErr w:type="spellStart"/>
      <w:r w:rsidRPr="00F359FE">
        <w:rPr>
          <w:rFonts w:ascii="Book Antiqua" w:eastAsia="Book Antiqua" w:hAnsi="Book Antiqua" w:cs="Book Antiqua"/>
          <w:color w:val="000000"/>
        </w:rPr>
        <w:t>Papalois</w:t>
      </w:r>
      <w:proofErr w:type="spellEnd"/>
      <w:r w:rsidRPr="00F359FE">
        <w:rPr>
          <w:rFonts w:ascii="Book Antiqua" w:eastAsia="Book Antiqua" w:hAnsi="Book Antiqua" w:cs="Book Antiqua"/>
          <w:color w:val="000000"/>
        </w:rPr>
        <w:t xml:space="preserve"> A, </w:t>
      </w:r>
      <w:proofErr w:type="spellStart"/>
      <w:r w:rsidRPr="00F359FE">
        <w:rPr>
          <w:rFonts w:ascii="Book Antiqua" w:eastAsia="Book Antiqua" w:hAnsi="Book Antiqua" w:cs="Book Antiqua"/>
          <w:color w:val="000000"/>
        </w:rPr>
        <w:t>Lambropoulou</w:t>
      </w:r>
      <w:proofErr w:type="spellEnd"/>
      <w:r w:rsidRPr="00F359FE">
        <w:rPr>
          <w:rFonts w:ascii="Book Antiqua" w:eastAsia="Book Antiqua" w:hAnsi="Book Antiqua" w:cs="Book Antiqua"/>
          <w:color w:val="000000"/>
        </w:rPr>
        <w:t xml:space="preserve"> M, </w:t>
      </w:r>
      <w:proofErr w:type="spellStart"/>
      <w:r w:rsidRPr="00F359FE">
        <w:rPr>
          <w:rFonts w:ascii="Book Antiqua" w:eastAsia="Book Antiqua" w:hAnsi="Book Antiqua" w:cs="Book Antiqua"/>
          <w:color w:val="000000"/>
        </w:rPr>
        <w:t>Pitiakoudis</w:t>
      </w:r>
      <w:proofErr w:type="spellEnd"/>
      <w:r w:rsidRPr="00F359FE">
        <w:rPr>
          <w:rFonts w:ascii="Book Antiqua" w:eastAsia="Book Antiqua" w:hAnsi="Book Antiqua" w:cs="Book Antiqua"/>
          <w:color w:val="000000"/>
        </w:rPr>
        <w:t xml:space="preserve"> MK, </w:t>
      </w:r>
      <w:proofErr w:type="spellStart"/>
      <w:r w:rsidRPr="00F359FE">
        <w:rPr>
          <w:rFonts w:ascii="Book Antiqua" w:eastAsia="Book Antiqua" w:hAnsi="Book Antiqua" w:cs="Book Antiqua"/>
          <w:color w:val="000000"/>
        </w:rPr>
        <w:t>Kotini</w:t>
      </w:r>
      <w:proofErr w:type="spellEnd"/>
      <w:r w:rsidRPr="00F359FE">
        <w:rPr>
          <w:rFonts w:ascii="Book Antiqua" w:eastAsia="Book Antiqua" w:hAnsi="Book Antiqua" w:cs="Book Antiqua"/>
          <w:color w:val="000000"/>
        </w:rPr>
        <w:t xml:space="preserve"> A, </w:t>
      </w:r>
      <w:proofErr w:type="spellStart"/>
      <w:r w:rsidRPr="00F359FE">
        <w:rPr>
          <w:rFonts w:ascii="Book Antiqua" w:eastAsia="Book Antiqua" w:hAnsi="Book Antiqua" w:cs="Book Antiqua"/>
          <w:color w:val="000000"/>
        </w:rPr>
        <w:t>Simopoulos</w:t>
      </w:r>
      <w:proofErr w:type="spellEnd"/>
      <w:r w:rsidRPr="00F359FE">
        <w:rPr>
          <w:rFonts w:ascii="Book Antiqua" w:eastAsia="Book Antiqua" w:hAnsi="Book Antiqua" w:cs="Book Antiqua"/>
          <w:color w:val="000000"/>
        </w:rPr>
        <w:t xml:space="preserve"> C, </w:t>
      </w:r>
      <w:proofErr w:type="spellStart"/>
      <w:r w:rsidRPr="00F359FE">
        <w:rPr>
          <w:rFonts w:ascii="Book Antiqua" w:eastAsia="Book Antiqua" w:hAnsi="Book Antiqua" w:cs="Book Antiqua"/>
          <w:color w:val="000000"/>
        </w:rPr>
        <w:t>Tsaroucha</w:t>
      </w:r>
      <w:proofErr w:type="spellEnd"/>
      <w:r w:rsidRPr="00F359FE">
        <w:rPr>
          <w:rFonts w:ascii="Book Antiqua" w:eastAsia="Book Antiqua" w:hAnsi="Book Antiqua" w:cs="Book Antiqua"/>
          <w:color w:val="000000"/>
        </w:rPr>
        <w:t xml:space="preserve"> AK. Apigenin Attenuates Inflammation in </w:t>
      </w:r>
      <w:r w:rsidRPr="00F359FE">
        <w:rPr>
          <w:rFonts w:ascii="Book Antiqua" w:eastAsia="Book Antiqua" w:hAnsi="Book Antiqua" w:cs="Book Antiqua"/>
          <w:color w:val="000000"/>
        </w:rPr>
        <w:lastRenderedPageBreak/>
        <w:t xml:space="preserve">Experimentally Induced Acute Pancreatitis-Associated Lung Injury. </w:t>
      </w:r>
      <w:r w:rsidRPr="00F359FE">
        <w:rPr>
          <w:rFonts w:ascii="Book Antiqua" w:eastAsia="Book Antiqua" w:hAnsi="Book Antiqua" w:cs="Book Antiqua"/>
          <w:i/>
          <w:iCs/>
          <w:color w:val="000000"/>
        </w:rPr>
        <w:t>J Invest Surg</w:t>
      </w:r>
      <w:r w:rsidRPr="00F359FE">
        <w:rPr>
          <w:rFonts w:ascii="Book Antiqua" w:eastAsia="Book Antiqua" w:hAnsi="Book Antiqua" w:cs="Book Antiqua"/>
          <w:color w:val="000000"/>
        </w:rPr>
        <w:t xml:space="preserve"> 2016; </w:t>
      </w:r>
      <w:r w:rsidRPr="00F359FE">
        <w:rPr>
          <w:rFonts w:ascii="Book Antiqua" w:eastAsia="Book Antiqua" w:hAnsi="Book Antiqua" w:cs="Book Antiqua"/>
          <w:b/>
          <w:bCs/>
          <w:color w:val="000000"/>
        </w:rPr>
        <w:t>29</w:t>
      </w:r>
      <w:r w:rsidRPr="00F359FE">
        <w:rPr>
          <w:rFonts w:ascii="Book Antiqua" w:eastAsia="Book Antiqua" w:hAnsi="Book Antiqua" w:cs="Book Antiqua"/>
          <w:color w:val="000000"/>
        </w:rPr>
        <w:t>: 121-127 [PMID: 26631908 DOI: 10.3109/08941939.2015.1088603]</w:t>
      </w:r>
    </w:p>
    <w:p w14:paraId="241BB344"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2 </w:t>
      </w:r>
      <w:r w:rsidRPr="00F359FE">
        <w:rPr>
          <w:rFonts w:ascii="Book Antiqua" w:eastAsia="Book Antiqua" w:hAnsi="Book Antiqua" w:cs="Book Antiqua"/>
          <w:b/>
          <w:bCs/>
          <w:color w:val="000000"/>
        </w:rPr>
        <w:t>de Dios O</w:t>
      </w:r>
      <w:r w:rsidRPr="00F359FE">
        <w:rPr>
          <w:rFonts w:ascii="Book Antiqua" w:eastAsia="Book Antiqua" w:hAnsi="Book Antiqua" w:cs="Book Antiqua"/>
          <w:color w:val="000000"/>
        </w:rPr>
        <w:t>, Vales-</w:t>
      </w:r>
      <w:proofErr w:type="spellStart"/>
      <w:r w:rsidRPr="00F359FE">
        <w:rPr>
          <w:rFonts w:ascii="Book Antiqua" w:eastAsia="Book Antiqua" w:hAnsi="Book Antiqua" w:cs="Book Antiqua"/>
          <w:color w:val="000000"/>
        </w:rPr>
        <w:t>Villamarín</w:t>
      </w:r>
      <w:proofErr w:type="spellEnd"/>
      <w:r w:rsidRPr="00F359FE">
        <w:rPr>
          <w:rFonts w:ascii="Book Antiqua" w:eastAsia="Book Antiqua" w:hAnsi="Book Antiqua" w:cs="Book Antiqua"/>
          <w:color w:val="000000"/>
        </w:rPr>
        <w:t xml:space="preserve"> C, Herrero L, Pérez-Segura P, Soriano-</w:t>
      </w:r>
      <w:proofErr w:type="spellStart"/>
      <w:r w:rsidRPr="00F359FE">
        <w:rPr>
          <w:rFonts w:ascii="Book Antiqua" w:eastAsia="Book Antiqua" w:hAnsi="Book Antiqua" w:cs="Book Antiqua"/>
          <w:color w:val="000000"/>
        </w:rPr>
        <w:t>Guillén</w:t>
      </w:r>
      <w:proofErr w:type="spellEnd"/>
      <w:r w:rsidRPr="00F359FE">
        <w:rPr>
          <w:rFonts w:ascii="Book Antiqua" w:eastAsia="Book Antiqua" w:hAnsi="Book Antiqua" w:cs="Book Antiqua"/>
          <w:color w:val="000000"/>
        </w:rPr>
        <w:t xml:space="preserve"> L, </w:t>
      </w:r>
      <w:proofErr w:type="spellStart"/>
      <w:r w:rsidRPr="00F359FE">
        <w:rPr>
          <w:rFonts w:ascii="Book Antiqua" w:eastAsia="Book Antiqua" w:hAnsi="Book Antiqua" w:cs="Book Antiqua"/>
          <w:color w:val="000000"/>
        </w:rPr>
        <w:t>Garcés</w:t>
      </w:r>
      <w:proofErr w:type="spellEnd"/>
      <w:r w:rsidRPr="00F359FE">
        <w:rPr>
          <w:rFonts w:ascii="Book Antiqua" w:eastAsia="Book Antiqua" w:hAnsi="Book Antiqua" w:cs="Book Antiqua"/>
          <w:color w:val="000000"/>
        </w:rPr>
        <w:t xml:space="preserve"> C. Analysis of leptin-adiponectin ratio and C-reactive protein as potential biomarkers of metabolic syndrome in adolescents. </w:t>
      </w:r>
      <w:r w:rsidRPr="00F359FE">
        <w:rPr>
          <w:rFonts w:ascii="Book Antiqua" w:eastAsia="Book Antiqua" w:hAnsi="Book Antiqua" w:cs="Book Antiqua"/>
          <w:i/>
          <w:iCs/>
          <w:color w:val="000000"/>
        </w:rPr>
        <w:t>Clin Chem Lab Med</w:t>
      </w:r>
      <w:r w:rsidRPr="00F359FE">
        <w:rPr>
          <w:rFonts w:ascii="Book Antiqua" w:eastAsia="Book Antiqua" w:hAnsi="Book Antiqua" w:cs="Book Antiqua"/>
          <w:color w:val="000000"/>
        </w:rPr>
        <w:t xml:space="preserve"> 2021 [PMID: 33915612 DOI: 10.1515/cclm-2021-0366]</w:t>
      </w:r>
    </w:p>
    <w:p w14:paraId="55B9045B"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3 </w:t>
      </w:r>
      <w:r w:rsidRPr="00F359FE">
        <w:rPr>
          <w:rFonts w:ascii="Book Antiqua" w:eastAsia="Book Antiqua" w:hAnsi="Book Antiqua" w:cs="Book Antiqua"/>
          <w:b/>
          <w:bCs/>
          <w:color w:val="000000"/>
        </w:rPr>
        <w:t>Dong M</w:t>
      </w:r>
      <w:r w:rsidRPr="00F359FE">
        <w:rPr>
          <w:rFonts w:ascii="Book Antiqua" w:eastAsia="Book Antiqua" w:hAnsi="Book Antiqua" w:cs="Book Antiqua"/>
          <w:color w:val="000000"/>
        </w:rPr>
        <w:t xml:space="preserve">, Ren J. What fans the fire: insights into mechanisms of leptin in metabolic syndrome-associated heart diseases. </w:t>
      </w:r>
      <w:proofErr w:type="spellStart"/>
      <w:r w:rsidRPr="00F359FE">
        <w:rPr>
          <w:rFonts w:ascii="Book Antiqua" w:eastAsia="Book Antiqua" w:hAnsi="Book Antiqua" w:cs="Book Antiqua"/>
          <w:i/>
          <w:iCs/>
          <w:color w:val="000000"/>
        </w:rPr>
        <w:t>Curr</w:t>
      </w:r>
      <w:proofErr w:type="spellEnd"/>
      <w:r w:rsidRPr="00F359FE">
        <w:rPr>
          <w:rFonts w:ascii="Book Antiqua" w:eastAsia="Book Antiqua" w:hAnsi="Book Antiqua" w:cs="Book Antiqua"/>
          <w:i/>
          <w:iCs/>
          <w:color w:val="000000"/>
        </w:rPr>
        <w:t xml:space="preserve"> Pharm Des</w:t>
      </w:r>
      <w:r w:rsidRPr="00F359FE">
        <w:rPr>
          <w:rFonts w:ascii="Book Antiqua" w:eastAsia="Book Antiqua" w:hAnsi="Book Antiqua" w:cs="Book Antiqua"/>
          <w:color w:val="000000"/>
        </w:rPr>
        <w:t xml:space="preserve"> 2014; </w:t>
      </w:r>
      <w:r w:rsidRPr="00F359FE">
        <w:rPr>
          <w:rFonts w:ascii="Book Antiqua" w:eastAsia="Book Antiqua" w:hAnsi="Book Antiqua" w:cs="Book Antiqua"/>
          <w:b/>
          <w:bCs/>
          <w:color w:val="000000"/>
        </w:rPr>
        <w:t>20</w:t>
      </w:r>
      <w:r w:rsidRPr="00F359FE">
        <w:rPr>
          <w:rFonts w:ascii="Book Antiqua" w:eastAsia="Book Antiqua" w:hAnsi="Book Antiqua" w:cs="Book Antiqua"/>
          <w:color w:val="000000"/>
        </w:rPr>
        <w:t>: 652-658 [PMID: 23688014 DOI: 10.2174/138161282004140213160930]</w:t>
      </w:r>
    </w:p>
    <w:p w14:paraId="35E8E9EE"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4 </w:t>
      </w:r>
      <w:proofErr w:type="spellStart"/>
      <w:r w:rsidRPr="00F359FE">
        <w:rPr>
          <w:rFonts w:ascii="Book Antiqua" w:eastAsia="Book Antiqua" w:hAnsi="Book Antiqua" w:cs="Book Antiqua"/>
          <w:b/>
          <w:bCs/>
          <w:color w:val="000000"/>
        </w:rPr>
        <w:t>Ghantous</w:t>
      </w:r>
      <w:proofErr w:type="spellEnd"/>
      <w:r w:rsidRPr="00F359FE">
        <w:rPr>
          <w:rFonts w:ascii="Book Antiqua" w:eastAsia="Book Antiqua" w:hAnsi="Book Antiqua" w:cs="Book Antiqua"/>
          <w:b/>
          <w:bCs/>
          <w:color w:val="000000"/>
        </w:rPr>
        <w:t xml:space="preserve"> CM</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Azrak</w:t>
      </w:r>
      <w:proofErr w:type="spellEnd"/>
      <w:r w:rsidRPr="00F359FE">
        <w:rPr>
          <w:rFonts w:ascii="Book Antiqua" w:eastAsia="Book Antiqua" w:hAnsi="Book Antiqua" w:cs="Book Antiqua"/>
          <w:color w:val="000000"/>
        </w:rPr>
        <w:t xml:space="preserve"> Z, </w:t>
      </w:r>
      <w:proofErr w:type="spellStart"/>
      <w:r w:rsidRPr="00F359FE">
        <w:rPr>
          <w:rFonts w:ascii="Book Antiqua" w:eastAsia="Book Antiqua" w:hAnsi="Book Antiqua" w:cs="Book Antiqua"/>
          <w:color w:val="000000"/>
        </w:rPr>
        <w:t>Hanache</w:t>
      </w:r>
      <w:proofErr w:type="spellEnd"/>
      <w:r w:rsidRPr="00F359FE">
        <w:rPr>
          <w:rFonts w:ascii="Book Antiqua" w:eastAsia="Book Antiqua" w:hAnsi="Book Antiqua" w:cs="Book Antiqua"/>
          <w:color w:val="000000"/>
        </w:rPr>
        <w:t xml:space="preserve"> S, Abou-</w:t>
      </w:r>
      <w:proofErr w:type="spellStart"/>
      <w:r w:rsidRPr="00F359FE">
        <w:rPr>
          <w:rFonts w:ascii="Book Antiqua" w:eastAsia="Book Antiqua" w:hAnsi="Book Antiqua" w:cs="Book Antiqua"/>
          <w:color w:val="000000"/>
        </w:rPr>
        <w:t>Kheir</w:t>
      </w:r>
      <w:proofErr w:type="spellEnd"/>
      <w:r w:rsidRPr="00F359FE">
        <w:rPr>
          <w:rFonts w:ascii="Book Antiqua" w:eastAsia="Book Antiqua" w:hAnsi="Book Antiqua" w:cs="Book Antiqua"/>
          <w:color w:val="000000"/>
        </w:rPr>
        <w:t xml:space="preserve"> W, </w:t>
      </w:r>
      <w:proofErr w:type="spellStart"/>
      <w:r w:rsidRPr="00F359FE">
        <w:rPr>
          <w:rFonts w:ascii="Book Antiqua" w:eastAsia="Book Antiqua" w:hAnsi="Book Antiqua" w:cs="Book Antiqua"/>
          <w:color w:val="000000"/>
        </w:rPr>
        <w:t>Zeidan</w:t>
      </w:r>
      <w:proofErr w:type="spellEnd"/>
      <w:r w:rsidRPr="00F359FE">
        <w:rPr>
          <w:rFonts w:ascii="Book Antiqua" w:eastAsia="Book Antiqua" w:hAnsi="Book Antiqua" w:cs="Book Antiqua"/>
          <w:color w:val="000000"/>
        </w:rPr>
        <w:t xml:space="preserve"> A. Differential Role of Leptin and Adiponectin in Cardiovascular System. </w:t>
      </w:r>
      <w:r w:rsidRPr="00F359FE">
        <w:rPr>
          <w:rFonts w:ascii="Book Antiqua" w:eastAsia="Book Antiqua" w:hAnsi="Book Antiqua" w:cs="Book Antiqua"/>
          <w:i/>
          <w:iCs/>
          <w:color w:val="000000"/>
        </w:rPr>
        <w:t>Int J Endocrinol</w:t>
      </w:r>
      <w:r w:rsidRPr="00F359FE">
        <w:rPr>
          <w:rFonts w:ascii="Book Antiqua" w:eastAsia="Book Antiqua" w:hAnsi="Book Antiqua" w:cs="Book Antiqua"/>
          <w:color w:val="000000"/>
        </w:rPr>
        <w:t xml:space="preserve"> 2015; </w:t>
      </w:r>
      <w:r w:rsidRPr="00F359FE">
        <w:rPr>
          <w:rFonts w:ascii="Book Antiqua" w:eastAsia="Book Antiqua" w:hAnsi="Book Antiqua" w:cs="Book Antiqua"/>
          <w:b/>
          <w:bCs/>
          <w:color w:val="000000"/>
        </w:rPr>
        <w:t>2015</w:t>
      </w:r>
      <w:r w:rsidRPr="00F359FE">
        <w:rPr>
          <w:rFonts w:ascii="Book Antiqua" w:eastAsia="Book Antiqua" w:hAnsi="Book Antiqua" w:cs="Book Antiqua"/>
          <w:color w:val="000000"/>
        </w:rPr>
        <w:t>: 534320 [PMID: 26064110 DOI: 10.1155/2015/534320]</w:t>
      </w:r>
    </w:p>
    <w:p w14:paraId="43632541"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5 </w:t>
      </w:r>
      <w:proofErr w:type="spellStart"/>
      <w:r w:rsidRPr="00F359FE">
        <w:rPr>
          <w:rFonts w:ascii="Book Antiqua" w:eastAsia="Book Antiqua" w:hAnsi="Book Antiqua" w:cs="Book Antiqua"/>
          <w:b/>
          <w:bCs/>
          <w:color w:val="000000"/>
        </w:rPr>
        <w:t>Srikanthan</w:t>
      </w:r>
      <w:proofErr w:type="spellEnd"/>
      <w:r w:rsidRPr="00F359FE">
        <w:rPr>
          <w:rFonts w:ascii="Book Antiqua" w:eastAsia="Book Antiqua" w:hAnsi="Book Antiqua" w:cs="Book Antiqua"/>
          <w:b/>
          <w:bCs/>
          <w:color w:val="000000"/>
        </w:rPr>
        <w:t xml:space="preserve"> K</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Feyh</w:t>
      </w:r>
      <w:proofErr w:type="spellEnd"/>
      <w:r w:rsidRPr="00F359FE">
        <w:rPr>
          <w:rFonts w:ascii="Book Antiqua" w:eastAsia="Book Antiqua" w:hAnsi="Book Antiqua" w:cs="Book Antiqua"/>
          <w:color w:val="000000"/>
        </w:rPr>
        <w:t xml:space="preserve"> A, </w:t>
      </w:r>
      <w:proofErr w:type="spellStart"/>
      <w:r w:rsidRPr="00F359FE">
        <w:rPr>
          <w:rFonts w:ascii="Book Antiqua" w:eastAsia="Book Antiqua" w:hAnsi="Book Antiqua" w:cs="Book Antiqua"/>
          <w:color w:val="000000"/>
        </w:rPr>
        <w:t>Visweshwar</w:t>
      </w:r>
      <w:proofErr w:type="spellEnd"/>
      <w:r w:rsidRPr="00F359FE">
        <w:rPr>
          <w:rFonts w:ascii="Book Antiqua" w:eastAsia="Book Antiqua" w:hAnsi="Book Antiqua" w:cs="Book Antiqua"/>
          <w:color w:val="000000"/>
        </w:rPr>
        <w:t xml:space="preserve"> H, Shapiro JI, Sodhi K. Systematic Review of Metabolic Syndrome Biomarkers: A Panel for Early Detection, Management, and Risk Stratification in the West Virginian Population. </w:t>
      </w:r>
      <w:r w:rsidRPr="00F359FE">
        <w:rPr>
          <w:rFonts w:ascii="Book Antiqua" w:eastAsia="Book Antiqua" w:hAnsi="Book Antiqua" w:cs="Book Antiqua"/>
          <w:i/>
          <w:iCs/>
          <w:color w:val="000000"/>
        </w:rPr>
        <w:t>Int J Med Sci</w:t>
      </w:r>
      <w:r w:rsidRPr="00F359FE">
        <w:rPr>
          <w:rFonts w:ascii="Book Antiqua" w:eastAsia="Book Antiqua" w:hAnsi="Book Antiqua" w:cs="Book Antiqua"/>
          <w:color w:val="000000"/>
        </w:rPr>
        <w:t xml:space="preserve"> 2016; </w:t>
      </w:r>
      <w:r w:rsidRPr="00F359FE">
        <w:rPr>
          <w:rFonts w:ascii="Book Antiqua" w:eastAsia="Book Antiqua" w:hAnsi="Book Antiqua" w:cs="Book Antiqua"/>
          <w:b/>
          <w:bCs/>
          <w:color w:val="000000"/>
        </w:rPr>
        <w:t>13</w:t>
      </w:r>
      <w:r w:rsidRPr="00F359FE">
        <w:rPr>
          <w:rFonts w:ascii="Book Antiqua" w:eastAsia="Book Antiqua" w:hAnsi="Book Antiqua" w:cs="Book Antiqua"/>
          <w:color w:val="000000"/>
        </w:rPr>
        <w:t>: 25-38 [PMID: 26816492 DOI: 10.7150/ijms.13800]</w:t>
      </w:r>
    </w:p>
    <w:p w14:paraId="4D9907A1"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6 </w:t>
      </w:r>
      <w:r w:rsidRPr="00F359FE">
        <w:rPr>
          <w:rFonts w:ascii="Book Antiqua" w:eastAsia="Book Antiqua" w:hAnsi="Book Antiqua" w:cs="Book Antiqua"/>
          <w:b/>
          <w:bCs/>
          <w:color w:val="000000"/>
        </w:rPr>
        <w:t>Archer AE</w:t>
      </w:r>
      <w:r w:rsidRPr="00F359FE">
        <w:rPr>
          <w:rFonts w:ascii="Book Antiqua" w:eastAsia="Book Antiqua" w:hAnsi="Book Antiqua" w:cs="Book Antiqua"/>
          <w:color w:val="000000"/>
        </w:rPr>
        <w:t xml:space="preserve">, Von Schulze AT, Geiger PC. </w:t>
      </w:r>
      <w:bookmarkStart w:id="6" w:name="OLE_LINK1"/>
      <w:r w:rsidRPr="00F359FE">
        <w:rPr>
          <w:rFonts w:ascii="Book Antiqua" w:eastAsia="Book Antiqua" w:hAnsi="Book Antiqua" w:cs="Book Antiqua"/>
          <w:color w:val="000000"/>
        </w:rPr>
        <w:t>Exercise, heat shock proteins and insulin resistance.</w:t>
      </w:r>
      <w:bookmarkEnd w:id="6"/>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i/>
          <w:iCs/>
          <w:color w:val="000000"/>
        </w:rPr>
        <w:t>Philos</w:t>
      </w:r>
      <w:proofErr w:type="spellEnd"/>
      <w:r w:rsidRPr="00F359FE">
        <w:rPr>
          <w:rFonts w:ascii="Book Antiqua" w:eastAsia="Book Antiqua" w:hAnsi="Book Antiqua" w:cs="Book Antiqua"/>
          <w:i/>
          <w:iCs/>
          <w:color w:val="000000"/>
        </w:rPr>
        <w:t xml:space="preserve"> Trans R Soc </w:t>
      </w:r>
      <w:proofErr w:type="spellStart"/>
      <w:r w:rsidRPr="00F359FE">
        <w:rPr>
          <w:rFonts w:ascii="Book Antiqua" w:eastAsia="Book Antiqua" w:hAnsi="Book Antiqua" w:cs="Book Antiqua"/>
          <w:i/>
          <w:iCs/>
          <w:color w:val="000000"/>
        </w:rPr>
        <w:t>Lond</w:t>
      </w:r>
      <w:proofErr w:type="spellEnd"/>
      <w:r w:rsidRPr="00F359FE">
        <w:rPr>
          <w:rFonts w:ascii="Book Antiqua" w:eastAsia="Book Antiqua" w:hAnsi="Book Antiqua" w:cs="Book Antiqua"/>
          <w:i/>
          <w:iCs/>
          <w:color w:val="000000"/>
        </w:rPr>
        <w:t xml:space="preserve"> B Biol Sci</w:t>
      </w:r>
      <w:r w:rsidRPr="00F359FE">
        <w:rPr>
          <w:rFonts w:ascii="Book Antiqua" w:eastAsia="Book Antiqua" w:hAnsi="Book Antiqua" w:cs="Book Antiqua"/>
          <w:color w:val="000000"/>
        </w:rPr>
        <w:t xml:space="preserve"> 2018; </w:t>
      </w:r>
      <w:r w:rsidRPr="00F359FE">
        <w:rPr>
          <w:rFonts w:ascii="Book Antiqua" w:eastAsia="Book Antiqua" w:hAnsi="Book Antiqua" w:cs="Book Antiqua"/>
          <w:b/>
          <w:bCs/>
          <w:color w:val="000000"/>
        </w:rPr>
        <w:t>373</w:t>
      </w:r>
      <w:r w:rsidRPr="00F359FE">
        <w:rPr>
          <w:rFonts w:ascii="Book Antiqua" w:eastAsia="Book Antiqua" w:hAnsi="Book Antiqua" w:cs="Book Antiqua"/>
          <w:color w:val="000000"/>
        </w:rPr>
        <w:t>: 20160529 [PMID: 29203714 DOI: 10.1098/rstb.2016.0529]</w:t>
      </w:r>
    </w:p>
    <w:p w14:paraId="02C67D3D"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7 </w:t>
      </w:r>
      <w:proofErr w:type="spellStart"/>
      <w:r w:rsidRPr="00F359FE">
        <w:rPr>
          <w:rFonts w:ascii="Book Antiqua" w:eastAsia="Book Antiqua" w:hAnsi="Book Antiqua" w:cs="Book Antiqua"/>
          <w:b/>
          <w:bCs/>
          <w:color w:val="000000"/>
        </w:rPr>
        <w:t>Potron</w:t>
      </w:r>
      <w:proofErr w:type="spellEnd"/>
      <w:r w:rsidRPr="00F359FE">
        <w:rPr>
          <w:rFonts w:ascii="Book Antiqua" w:eastAsia="Book Antiqua" w:hAnsi="Book Antiqua" w:cs="Book Antiqua"/>
          <w:b/>
          <w:bCs/>
          <w:color w:val="000000"/>
        </w:rPr>
        <w:t xml:space="preserve"> G</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Droulle-Bertignon</w:t>
      </w:r>
      <w:proofErr w:type="spellEnd"/>
      <w:r w:rsidRPr="00F359FE">
        <w:rPr>
          <w:rFonts w:ascii="Book Antiqua" w:eastAsia="Book Antiqua" w:hAnsi="Book Antiqua" w:cs="Book Antiqua"/>
          <w:color w:val="000000"/>
        </w:rPr>
        <w:t xml:space="preserve"> C, Ledoyen MP. [The effect of activator on the esterase activity of plasmin obtained by streptokinase]. </w:t>
      </w:r>
      <w:r w:rsidRPr="00F359FE">
        <w:rPr>
          <w:rFonts w:ascii="Book Antiqua" w:eastAsia="Book Antiqua" w:hAnsi="Book Antiqua" w:cs="Book Antiqua"/>
          <w:i/>
          <w:iCs/>
          <w:color w:val="000000"/>
        </w:rPr>
        <w:t>C R Seances Soc Biol Fil</w:t>
      </w:r>
      <w:r w:rsidRPr="00F359FE">
        <w:rPr>
          <w:rFonts w:ascii="Book Antiqua" w:eastAsia="Book Antiqua" w:hAnsi="Book Antiqua" w:cs="Book Antiqua"/>
          <w:color w:val="000000"/>
        </w:rPr>
        <w:t xml:space="preserve"> 1975; </w:t>
      </w:r>
      <w:r w:rsidRPr="00F359FE">
        <w:rPr>
          <w:rFonts w:ascii="Book Antiqua" w:eastAsia="Book Antiqua" w:hAnsi="Book Antiqua" w:cs="Book Antiqua"/>
          <w:b/>
          <w:bCs/>
          <w:color w:val="000000"/>
        </w:rPr>
        <w:t>169</w:t>
      </w:r>
      <w:r w:rsidRPr="00F359FE">
        <w:rPr>
          <w:rFonts w:ascii="Book Antiqua" w:eastAsia="Book Antiqua" w:hAnsi="Book Antiqua" w:cs="Book Antiqua"/>
          <w:color w:val="000000"/>
        </w:rPr>
        <w:t>: 1029-1033 [PMID: 2372]</w:t>
      </w:r>
    </w:p>
    <w:p w14:paraId="13BF4728"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8 </w:t>
      </w:r>
      <w:r w:rsidRPr="00F359FE">
        <w:rPr>
          <w:rFonts w:ascii="Book Antiqua" w:eastAsia="Book Antiqua" w:hAnsi="Book Antiqua" w:cs="Book Antiqua"/>
          <w:b/>
          <w:bCs/>
          <w:color w:val="000000"/>
        </w:rPr>
        <w:t>Ji X</w:t>
      </w:r>
      <w:r w:rsidRPr="00F359FE">
        <w:rPr>
          <w:rFonts w:ascii="Book Antiqua" w:eastAsia="Book Antiqua" w:hAnsi="Book Antiqua" w:cs="Book Antiqua"/>
          <w:color w:val="000000"/>
        </w:rPr>
        <w:t xml:space="preserve">, Ding J, </w:t>
      </w:r>
      <w:proofErr w:type="spellStart"/>
      <w:r w:rsidRPr="00F359FE">
        <w:rPr>
          <w:rFonts w:ascii="Book Antiqua" w:eastAsia="Book Antiqua" w:hAnsi="Book Antiqua" w:cs="Book Antiqua"/>
          <w:color w:val="000000"/>
        </w:rPr>
        <w:t>Xie</w:t>
      </w:r>
      <w:proofErr w:type="spellEnd"/>
      <w:r w:rsidRPr="00F359FE">
        <w:rPr>
          <w:rFonts w:ascii="Book Antiqua" w:eastAsia="Book Antiqua" w:hAnsi="Book Antiqua" w:cs="Book Antiqua"/>
          <w:color w:val="000000"/>
        </w:rPr>
        <w:t xml:space="preserve"> X, Cheng Y, Huang Y, Qin L, Han C. Pollution Status and Human Exposure of </w:t>
      </w:r>
      <w:proofErr w:type="spellStart"/>
      <w:r w:rsidRPr="00F359FE">
        <w:rPr>
          <w:rFonts w:ascii="Book Antiqua" w:eastAsia="Book Antiqua" w:hAnsi="Book Antiqua" w:cs="Book Antiqua"/>
          <w:color w:val="000000"/>
        </w:rPr>
        <w:t>Decabromodiphenyl</w:t>
      </w:r>
      <w:proofErr w:type="spellEnd"/>
      <w:r w:rsidRPr="00F359FE">
        <w:rPr>
          <w:rFonts w:ascii="Book Antiqua" w:eastAsia="Book Antiqua" w:hAnsi="Book Antiqua" w:cs="Book Antiqua"/>
          <w:color w:val="000000"/>
        </w:rPr>
        <w:t xml:space="preserve"> Ether (BDE-209) in China. </w:t>
      </w:r>
      <w:r w:rsidRPr="00F359FE">
        <w:rPr>
          <w:rFonts w:ascii="Book Antiqua" w:eastAsia="Book Antiqua" w:hAnsi="Book Antiqua" w:cs="Book Antiqua"/>
          <w:i/>
          <w:iCs/>
          <w:color w:val="000000"/>
        </w:rPr>
        <w:t>ACS Omega</w:t>
      </w:r>
      <w:r w:rsidRPr="00F359FE">
        <w:rPr>
          <w:rFonts w:ascii="Book Antiqua" w:eastAsia="Book Antiqua" w:hAnsi="Book Antiqua" w:cs="Book Antiqua"/>
          <w:color w:val="000000"/>
        </w:rPr>
        <w:t xml:space="preserve"> 2017; </w:t>
      </w:r>
      <w:r w:rsidRPr="00F359FE">
        <w:rPr>
          <w:rFonts w:ascii="Book Antiqua" w:eastAsia="Book Antiqua" w:hAnsi="Book Antiqua" w:cs="Book Antiqua"/>
          <w:b/>
          <w:bCs/>
          <w:color w:val="000000"/>
        </w:rPr>
        <w:t>2</w:t>
      </w:r>
      <w:r w:rsidRPr="00F359FE">
        <w:rPr>
          <w:rFonts w:ascii="Book Antiqua" w:eastAsia="Book Antiqua" w:hAnsi="Book Antiqua" w:cs="Book Antiqua"/>
          <w:color w:val="000000"/>
        </w:rPr>
        <w:t>: 3333-3348 [PMID: 30023692 DOI: 10.1021/acsomega.7b00559]</w:t>
      </w:r>
    </w:p>
    <w:p w14:paraId="2C1993A4"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9 </w:t>
      </w:r>
      <w:r w:rsidRPr="00F359FE">
        <w:rPr>
          <w:rFonts w:ascii="Book Antiqua" w:eastAsia="Book Antiqua" w:hAnsi="Book Antiqua" w:cs="Book Antiqua"/>
          <w:b/>
          <w:bCs/>
          <w:color w:val="000000"/>
        </w:rPr>
        <w:t>Yanagisawa R</w:t>
      </w:r>
      <w:r w:rsidRPr="00F359FE">
        <w:rPr>
          <w:rFonts w:ascii="Book Antiqua" w:eastAsia="Book Antiqua" w:hAnsi="Book Antiqua" w:cs="Book Antiqua"/>
          <w:color w:val="000000"/>
        </w:rPr>
        <w:t>, Koike E, Win-</w:t>
      </w:r>
      <w:proofErr w:type="spellStart"/>
      <w:r w:rsidRPr="00F359FE">
        <w:rPr>
          <w:rFonts w:ascii="Book Antiqua" w:eastAsia="Book Antiqua" w:hAnsi="Book Antiqua" w:cs="Book Antiqua"/>
          <w:color w:val="000000"/>
        </w:rPr>
        <w:t>Shwe</w:t>
      </w:r>
      <w:proofErr w:type="spellEnd"/>
      <w:r w:rsidRPr="00F359FE">
        <w:rPr>
          <w:rFonts w:ascii="Book Antiqua" w:eastAsia="Book Antiqua" w:hAnsi="Book Antiqua" w:cs="Book Antiqua"/>
          <w:color w:val="000000"/>
        </w:rPr>
        <w:t xml:space="preserve"> TT, Takano H. </w:t>
      </w:r>
      <w:proofErr w:type="spellStart"/>
      <w:r w:rsidRPr="00F359FE">
        <w:rPr>
          <w:rFonts w:ascii="Book Antiqua" w:eastAsia="Book Antiqua" w:hAnsi="Book Antiqua" w:cs="Book Antiqua"/>
          <w:color w:val="000000"/>
        </w:rPr>
        <w:t>Decabromodiphenyl</w:t>
      </w:r>
      <w:proofErr w:type="spellEnd"/>
      <w:r w:rsidRPr="00F359FE">
        <w:rPr>
          <w:rFonts w:ascii="Book Antiqua" w:eastAsia="Book Antiqua" w:hAnsi="Book Antiqua" w:cs="Book Antiqua"/>
          <w:color w:val="000000"/>
        </w:rPr>
        <w:t xml:space="preserve"> ether exacerbates hyperglycemia in diet-induced obese mice. </w:t>
      </w:r>
      <w:r w:rsidRPr="00F359FE">
        <w:rPr>
          <w:rFonts w:ascii="Book Antiqua" w:eastAsia="Book Antiqua" w:hAnsi="Book Antiqua" w:cs="Book Antiqua"/>
          <w:i/>
          <w:iCs/>
          <w:color w:val="000000"/>
        </w:rPr>
        <w:t>Toxicology</w:t>
      </w:r>
      <w:r w:rsidRPr="00F359FE">
        <w:rPr>
          <w:rFonts w:ascii="Book Antiqua" w:eastAsia="Book Antiqua" w:hAnsi="Book Antiqua" w:cs="Book Antiqua"/>
          <w:color w:val="000000"/>
        </w:rPr>
        <w:t xml:space="preserve"> 2019; </w:t>
      </w:r>
      <w:r w:rsidRPr="00F359FE">
        <w:rPr>
          <w:rFonts w:ascii="Book Antiqua" w:eastAsia="Book Antiqua" w:hAnsi="Book Antiqua" w:cs="Book Antiqua"/>
          <w:b/>
          <w:bCs/>
          <w:color w:val="000000"/>
        </w:rPr>
        <w:t>412</w:t>
      </w:r>
      <w:r w:rsidRPr="00F359FE">
        <w:rPr>
          <w:rFonts w:ascii="Book Antiqua" w:eastAsia="Book Antiqua" w:hAnsi="Book Antiqua" w:cs="Book Antiqua"/>
          <w:color w:val="000000"/>
        </w:rPr>
        <w:t>: 12-18 [PMID: 30468867 DOI: 10.1016/j.tox.2018.11.004]</w:t>
      </w:r>
    </w:p>
    <w:p w14:paraId="6C41B758"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lastRenderedPageBreak/>
        <w:t xml:space="preserve">10 </w:t>
      </w:r>
      <w:proofErr w:type="spellStart"/>
      <w:r w:rsidRPr="00F359FE">
        <w:rPr>
          <w:rFonts w:ascii="Book Antiqua" w:eastAsia="Book Antiqua" w:hAnsi="Book Antiqua" w:cs="Book Antiqua"/>
          <w:b/>
          <w:bCs/>
          <w:color w:val="000000"/>
        </w:rPr>
        <w:t>Zhi</w:t>
      </w:r>
      <w:proofErr w:type="spellEnd"/>
      <w:r w:rsidRPr="00F359FE">
        <w:rPr>
          <w:rFonts w:ascii="Book Antiqua" w:eastAsia="Book Antiqua" w:hAnsi="Book Antiqua" w:cs="Book Antiqua"/>
          <w:b/>
          <w:bCs/>
          <w:color w:val="000000"/>
        </w:rPr>
        <w:t xml:space="preserve"> H</w:t>
      </w:r>
      <w:r w:rsidRPr="00F359FE">
        <w:rPr>
          <w:rFonts w:ascii="Book Antiqua" w:eastAsia="Book Antiqua" w:hAnsi="Book Antiqua" w:cs="Book Antiqua"/>
          <w:color w:val="000000"/>
        </w:rPr>
        <w:t xml:space="preserve">, Wu JP, Lu LM, Li Y, Chen XY, Tao J, Mai BX. </w:t>
      </w:r>
      <w:proofErr w:type="spellStart"/>
      <w:r w:rsidRPr="00F359FE">
        <w:rPr>
          <w:rFonts w:ascii="Book Antiqua" w:eastAsia="Book Antiqua" w:hAnsi="Book Antiqua" w:cs="Book Antiqua"/>
          <w:color w:val="000000"/>
        </w:rPr>
        <w:t>Decabromodiphenyl</w:t>
      </w:r>
      <w:proofErr w:type="spellEnd"/>
      <w:r w:rsidRPr="00F359FE">
        <w:rPr>
          <w:rFonts w:ascii="Book Antiqua" w:eastAsia="Book Antiqua" w:hAnsi="Book Antiqua" w:cs="Book Antiqua"/>
          <w:color w:val="000000"/>
        </w:rPr>
        <w:t xml:space="preserve"> ether (BDE-209) enhances foam cell formation in human macrophages </w:t>
      </w:r>
      <w:r w:rsidRPr="00F359FE">
        <w:rPr>
          <w:rFonts w:ascii="Book Antiqua" w:eastAsia="Book Antiqua" w:hAnsi="Book Antiqua" w:cs="Book Antiqua"/>
          <w:i/>
          <w:iCs/>
          <w:color w:val="000000"/>
        </w:rPr>
        <w:t>via</w:t>
      </w:r>
      <w:r w:rsidRPr="00F359FE">
        <w:rPr>
          <w:rFonts w:ascii="Book Antiqua" w:eastAsia="Book Antiqua" w:hAnsi="Book Antiqua" w:cs="Book Antiqua"/>
          <w:color w:val="000000"/>
        </w:rPr>
        <w:t xml:space="preserve"> augmenting Toll-like receptor 4-dependent lipid uptake. </w:t>
      </w:r>
      <w:r w:rsidRPr="00F359FE">
        <w:rPr>
          <w:rFonts w:ascii="Book Antiqua" w:eastAsia="Book Antiqua" w:hAnsi="Book Antiqua" w:cs="Book Antiqua"/>
          <w:i/>
          <w:iCs/>
          <w:color w:val="000000"/>
        </w:rPr>
        <w:t xml:space="preserve">Food Chem </w:t>
      </w:r>
      <w:proofErr w:type="spellStart"/>
      <w:r w:rsidRPr="00F359FE">
        <w:rPr>
          <w:rFonts w:ascii="Book Antiqua" w:eastAsia="Book Antiqua" w:hAnsi="Book Antiqua" w:cs="Book Antiqua"/>
          <w:i/>
          <w:iCs/>
          <w:color w:val="000000"/>
        </w:rPr>
        <w:t>Toxicol</w:t>
      </w:r>
      <w:proofErr w:type="spellEnd"/>
      <w:r w:rsidRPr="00F359FE">
        <w:rPr>
          <w:rFonts w:ascii="Book Antiqua" w:eastAsia="Book Antiqua" w:hAnsi="Book Antiqua" w:cs="Book Antiqua"/>
          <w:color w:val="000000"/>
        </w:rPr>
        <w:t xml:space="preserve"> 2018; </w:t>
      </w:r>
      <w:r w:rsidRPr="00F359FE">
        <w:rPr>
          <w:rFonts w:ascii="Book Antiqua" w:eastAsia="Book Antiqua" w:hAnsi="Book Antiqua" w:cs="Book Antiqua"/>
          <w:b/>
          <w:bCs/>
          <w:color w:val="000000"/>
        </w:rPr>
        <w:t>121</w:t>
      </w:r>
      <w:r w:rsidRPr="00F359FE">
        <w:rPr>
          <w:rFonts w:ascii="Book Antiqua" w:eastAsia="Book Antiqua" w:hAnsi="Book Antiqua" w:cs="Book Antiqua"/>
          <w:color w:val="000000"/>
        </w:rPr>
        <w:t>: 367-373 [PMID: 30232031 DOI: 10.1016/j.fct.2018.09.024]</w:t>
      </w:r>
    </w:p>
    <w:p w14:paraId="302390B9"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11 </w:t>
      </w:r>
      <w:r w:rsidRPr="00F359FE">
        <w:rPr>
          <w:rFonts w:ascii="Book Antiqua" w:eastAsia="Book Antiqua" w:hAnsi="Book Antiqua" w:cs="Book Antiqua"/>
          <w:b/>
          <w:bCs/>
          <w:color w:val="000000"/>
        </w:rPr>
        <w:t>Fan X</w:t>
      </w:r>
      <w:r w:rsidRPr="00F359FE">
        <w:rPr>
          <w:rFonts w:ascii="Book Antiqua" w:eastAsia="Book Antiqua" w:hAnsi="Book Antiqua" w:cs="Book Antiqua"/>
          <w:color w:val="000000"/>
        </w:rPr>
        <w:t xml:space="preserve">, Zhang K, Wang X, Zhang X, Zeng L, Li N, Han Q, Liu Z. Sleep disorders are associated with acetaminophen-induced adverse reactions and liver injury. </w:t>
      </w:r>
      <w:r w:rsidRPr="00F359FE">
        <w:rPr>
          <w:rFonts w:ascii="Book Antiqua" w:eastAsia="Book Antiqua" w:hAnsi="Book Antiqua" w:cs="Book Antiqua"/>
          <w:i/>
          <w:iCs/>
          <w:color w:val="000000"/>
        </w:rPr>
        <w:t xml:space="preserve">Biomed </w:t>
      </w:r>
      <w:proofErr w:type="spellStart"/>
      <w:r w:rsidRPr="00F359FE">
        <w:rPr>
          <w:rFonts w:ascii="Book Antiqua" w:eastAsia="Book Antiqua" w:hAnsi="Book Antiqua" w:cs="Book Antiqua"/>
          <w:i/>
          <w:iCs/>
          <w:color w:val="000000"/>
        </w:rPr>
        <w:t>Pharmacother</w:t>
      </w:r>
      <w:proofErr w:type="spellEnd"/>
      <w:r w:rsidRPr="00F359FE">
        <w:rPr>
          <w:rFonts w:ascii="Book Antiqua" w:eastAsia="Book Antiqua" w:hAnsi="Book Antiqua" w:cs="Book Antiqua"/>
          <w:color w:val="000000"/>
        </w:rPr>
        <w:t xml:space="preserve"> 2021; </w:t>
      </w:r>
      <w:r w:rsidRPr="00F359FE">
        <w:rPr>
          <w:rFonts w:ascii="Book Antiqua" w:eastAsia="Book Antiqua" w:hAnsi="Book Antiqua" w:cs="Book Antiqua"/>
          <w:b/>
          <w:bCs/>
          <w:color w:val="000000"/>
        </w:rPr>
        <w:t>134</w:t>
      </w:r>
      <w:r w:rsidRPr="00F359FE">
        <w:rPr>
          <w:rFonts w:ascii="Book Antiqua" w:eastAsia="Book Antiqua" w:hAnsi="Book Antiqua" w:cs="Book Antiqua"/>
          <w:color w:val="000000"/>
        </w:rPr>
        <w:t>: 111150 [PMID: 33395599 DOI: 10.1016/j.biopha.2020.111150]</w:t>
      </w:r>
    </w:p>
    <w:p w14:paraId="5F73D675"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12 </w:t>
      </w:r>
      <w:r w:rsidRPr="00F359FE">
        <w:rPr>
          <w:rFonts w:ascii="Book Antiqua" w:eastAsia="Book Antiqua" w:hAnsi="Book Antiqua" w:cs="Book Antiqua"/>
          <w:b/>
          <w:bCs/>
          <w:color w:val="000000"/>
        </w:rPr>
        <w:t>Xu X</w:t>
      </w:r>
      <w:r w:rsidRPr="00F359FE">
        <w:rPr>
          <w:rFonts w:ascii="Book Antiqua" w:eastAsia="Book Antiqua" w:hAnsi="Book Antiqua" w:cs="Book Antiqua"/>
          <w:color w:val="000000"/>
        </w:rPr>
        <w:t xml:space="preserve">, Liu J, Zeng X, Lu F, Chen A, </w:t>
      </w:r>
      <w:proofErr w:type="spellStart"/>
      <w:r w:rsidRPr="00F359FE">
        <w:rPr>
          <w:rFonts w:ascii="Book Antiqua" w:eastAsia="Book Antiqua" w:hAnsi="Book Antiqua" w:cs="Book Antiqua"/>
          <w:color w:val="000000"/>
        </w:rPr>
        <w:t>Huo</w:t>
      </w:r>
      <w:proofErr w:type="spellEnd"/>
      <w:r w:rsidRPr="00F359FE">
        <w:rPr>
          <w:rFonts w:ascii="Book Antiqua" w:eastAsia="Book Antiqua" w:hAnsi="Book Antiqua" w:cs="Book Antiqua"/>
          <w:color w:val="000000"/>
        </w:rPr>
        <w:t xml:space="preserve"> X. Elevated serum polybrominated diphenyl ethers and alteration of thyroid hormones in children from Guiyu, China. </w:t>
      </w:r>
      <w:proofErr w:type="spellStart"/>
      <w:r w:rsidRPr="00F359FE">
        <w:rPr>
          <w:rFonts w:ascii="Book Antiqua" w:eastAsia="Book Antiqua" w:hAnsi="Book Antiqua" w:cs="Book Antiqua"/>
          <w:i/>
          <w:iCs/>
          <w:color w:val="000000"/>
        </w:rPr>
        <w:t>PLoS</w:t>
      </w:r>
      <w:proofErr w:type="spellEnd"/>
      <w:r w:rsidRPr="00F359FE">
        <w:rPr>
          <w:rFonts w:ascii="Book Antiqua" w:eastAsia="Book Antiqua" w:hAnsi="Book Antiqua" w:cs="Book Antiqua"/>
          <w:i/>
          <w:iCs/>
          <w:color w:val="000000"/>
        </w:rPr>
        <w:t xml:space="preserve"> One</w:t>
      </w:r>
      <w:r w:rsidRPr="00F359FE">
        <w:rPr>
          <w:rFonts w:ascii="Book Antiqua" w:eastAsia="Book Antiqua" w:hAnsi="Book Antiqua" w:cs="Book Antiqua"/>
          <w:color w:val="000000"/>
        </w:rPr>
        <w:t xml:space="preserve"> 2014; </w:t>
      </w:r>
      <w:r w:rsidRPr="00F359FE">
        <w:rPr>
          <w:rFonts w:ascii="Book Antiqua" w:eastAsia="Book Antiqua" w:hAnsi="Book Antiqua" w:cs="Book Antiqua"/>
          <w:b/>
          <w:bCs/>
          <w:color w:val="000000"/>
        </w:rPr>
        <w:t>9</w:t>
      </w:r>
      <w:r w:rsidRPr="00F359FE">
        <w:rPr>
          <w:rFonts w:ascii="Book Antiqua" w:eastAsia="Book Antiqua" w:hAnsi="Book Antiqua" w:cs="Book Antiqua"/>
          <w:color w:val="000000"/>
        </w:rPr>
        <w:t>: e113699 [PMID: 25415336 DOI: 10.1371/journal.pone.0113699]</w:t>
      </w:r>
    </w:p>
    <w:p w14:paraId="79F72AC1"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13 </w:t>
      </w:r>
      <w:r w:rsidRPr="00F359FE">
        <w:rPr>
          <w:rFonts w:ascii="Book Antiqua" w:eastAsia="Book Antiqua" w:hAnsi="Book Antiqua" w:cs="Book Antiqua"/>
          <w:b/>
          <w:bCs/>
          <w:color w:val="000000"/>
        </w:rPr>
        <w:t>Tang Q</w:t>
      </w:r>
      <w:r w:rsidRPr="00F359FE">
        <w:rPr>
          <w:rFonts w:ascii="Book Antiqua" w:eastAsia="Book Antiqua" w:hAnsi="Book Antiqua" w:cs="Book Antiqua"/>
          <w:color w:val="000000"/>
        </w:rPr>
        <w:t xml:space="preserve">, Li X, Song P, Xu L. Optimal cut-off values for the homeostasis model assessment of insulin resistance (HOMA-IR) and pre-diabetes screening: Developments in research and prospects for the future. </w:t>
      </w:r>
      <w:r w:rsidRPr="00F359FE">
        <w:rPr>
          <w:rFonts w:ascii="Book Antiqua" w:eastAsia="Book Antiqua" w:hAnsi="Book Antiqua" w:cs="Book Antiqua"/>
          <w:i/>
          <w:iCs/>
          <w:color w:val="000000"/>
        </w:rPr>
        <w:t xml:space="preserve">Drug </w:t>
      </w:r>
      <w:proofErr w:type="spellStart"/>
      <w:r w:rsidRPr="00F359FE">
        <w:rPr>
          <w:rFonts w:ascii="Book Antiqua" w:eastAsia="Book Antiqua" w:hAnsi="Book Antiqua" w:cs="Book Antiqua"/>
          <w:i/>
          <w:iCs/>
          <w:color w:val="000000"/>
        </w:rPr>
        <w:t>Discov</w:t>
      </w:r>
      <w:proofErr w:type="spellEnd"/>
      <w:r w:rsidRPr="00F359FE">
        <w:rPr>
          <w:rFonts w:ascii="Book Antiqua" w:eastAsia="Book Antiqua" w:hAnsi="Book Antiqua" w:cs="Book Antiqua"/>
          <w:i/>
          <w:iCs/>
          <w:color w:val="000000"/>
        </w:rPr>
        <w:t xml:space="preserve"> </w:t>
      </w:r>
      <w:proofErr w:type="spellStart"/>
      <w:r w:rsidRPr="00F359FE">
        <w:rPr>
          <w:rFonts w:ascii="Book Antiqua" w:eastAsia="Book Antiqua" w:hAnsi="Book Antiqua" w:cs="Book Antiqua"/>
          <w:i/>
          <w:iCs/>
          <w:color w:val="000000"/>
        </w:rPr>
        <w:t>Ther</w:t>
      </w:r>
      <w:proofErr w:type="spellEnd"/>
      <w:r w:rsidRPr="00F359FE">
        <w:rPr>
          <w:rFonts w:ascii="Book Antiqua" w:eastAsia="Book Antiqua" w:hAnsi="Book Antiqua" w:cs="Book Antiqua"/>
          <w:color w:val="000000"/>
        </w:rPr>
        <w:t xml:space="preserve"> 2015; </w:t>
      </w:r>
      <w:r w:rsidRPr="00F359FE">
        <w:rPr>
          <w:rFonts w:ascii="Book Antiqua" w:eastAsia="Book Antiqua" w:hAnsi="Book Antiqua" w:cs="Book Antiqua"/>
          <w:b/>
          <w:bCs/>
          <w:color w:val="000000"/>
        </w:rPr>
        <w:t>9</w:t>
      </w:r>
      <w:r w:rsidRPr="00F359FE">
        <w:rPr>
          <w:rFonts w:ascii="Book Antiqua" w:eastAsia="Book Antiqua" w:hAnsi="Book Antiqua" w:cs="Book Antiqua"/>
          <w:color w:val="000000"/>
        </w:rPr>
        <w:t>: 380-385 [PMID: 26781921 DOI: 10.5582/ddt.2015.01207]</w:t>
      </w:r>
    </w:p>
    <w:p w14:paraId="1A302FAB"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14 </w:t>
      </w:r>
      <w:r w:rsidRPr="00F359FE">
        <w:rPr>
          <w:rFonts w:ascii="Book Antiqua" w:eastAsia="Book Antiqua" w:hAnsi="Book Antiqua" w:cs="Book Antiqua"/>
          <w:b/>
          <w:bCs/>
          <w:color w:val="000000"/>
        </w:rPr>
        <w:t>Wu Z</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Xie</w:t>
      </w:r>
      <w:proofErr w:type="spellEnd"/>
      <w:r w:rsidRPr="00F359FE">
        <w:rPr>
          <w:rFonts w:ascii="Book Antiqua" w:eastAsia="Book Antiqua" w:hAnsi="Book Antiqua" w:cs="Book Antiqua"/>
          <w:color w:val="000000"/>
        </w:rPr>
        <w:t xml:space="preserve"> M, Li Y, Gao G, Bartlam M, Wang Y. Biodegradation of </w:t>
      </w:r>
      <w:proofErr w:type="spellStart"/>
      <w:r w:rsidRPr="00F359FE">
        <w:rPr>
          <w:rFonts w:ascii="Book Antiqua" w:eastAsia="Book Antiqua" w:hAnsi="Book Antiqua" w:cs="Book Antiqua"/>
          <w:color w:val="000000"/>
        </w:rPr>
        <w:t>decabromodiphenyl</w:t>
      </w:r>
      <w:proofErr w:type="spellEnd"/>
      <w:r w:rsidRPr="00F359FE">
        <w:rPr>
          <w:rFonts w:ascii="Book Antiqua" w:eastAsia="Book Antiqua" w:hAnsi="Book Antiqua" w:cs="Book Antiqua"/>
          <w:color w:val="000000"/>
        </w:rPr>
        <w:t xml:space="preserve"> ether (BDE 209) by a newly isolated bacterium from an e-waste recycling area. </w:t>
      </w:r>
      <w:r w:rsidRPr="00F359FE">
        <w:rPr>
          <w:rFonts w:ascii="Book Antiqua" w:eastAsia="Book Antiqua" w:hAnsi="Book Antiqua" w:cs="Book Antiqua"/>
          <w:i/>
          <w:iCs/>
          <w:color w:val="000000"/>
        </w:rPr>
        <w:t>AMB Express</w:t>
      </w:r>
      <w:r w:rsidRPr="00F359FE">
        <w:rPr>
          <w:rFonts w:ascii="Book Antiqua" w:eastAsia="Book Antiqua" w:hAnsi="Book Antiqua" w:cs="Book Antiqua"/>
          <w:color w:val="000000"/>
        </w:rPr>
        <w:t xml:space="preserve"> 2018; </w:t>
      </w:r>
      <w:r w:rsidRPr="00F359FE">
        <w:rPr>
          <w:rFonts w:ascii="Book Antiqua" w:eastAsia="Book Antiqua" w:hAnsi="Book Antiqua" w:cs="Book Antiqua"/>
          <w:b/>
          <w:bCs/>
          <w:color w:val="000000"/>
        </w:rPr>
        <w:t>8</w:t>
      </w:r>
      <w:r w:rsidRPr="00F359FE">
        <w:rPr>
          <w:rFonts w:ascii="Book Antiqua" w:eastAsia="Book Antiqua" w:hAnsi="Book Antiqua" w:cs="Book Antiqua"/>
          <w:color w:val="000000"/>
        </w:rPr>
        <w:t>: 27 [PMID: 29478232 DOI: 10.1186/s13568-018-0560-0]</w:t>
      </w:r>
    </w:p>
    <w:p w14:paraId="45A168D8"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15 </w:t>
      </w:r>
      <w:r w:rsidRPr="00F359FE">
        <w:rPr>
          <w:rFonts w:ascii="Book Antiqua" w:eastAsia="Book Antiqua" w:hAnsi="Book Antiqua" w:cs="Book Antiqua"/>
          <w:b/>
          <w:bCs/>
          <w:color w:val="000000"/>
        </w:rPr>
        <w:t>Sun Y</w:t>
      </w:r>
      <w:r w:rsidRPr="00F359FE">
        <w:rPr>
          <w:rFonts w:ascii="Book Antiqua" w:eastAsia="Book Antiqua" w:hAnsi="Book Antiqua" w:cs="Book Antiqua"/>
          <w:color w:val="000000"/>
        </w:rPr>
        <w:t xml:space="preserve">, Wang Y, Liang B, Chen T, Zheng D, Zhao X, Jing L, Zhou X, Sun Z, Shi Z. Hepatotoxicity of </w:t>
      </w:r>
      <w:proofErr w:type="spellStart"/>
      <w:r w:rsidRPr="00F359FE">
        <w:rPr>
          <w:rFonts w:ascii="Book Antiqua" w:eastAsia="Book Antiqua" w:hAnsi="Book Antiqua" w:cs="Book Antiqua"/>
          <w:color w:val="000000"/>
        </w:rPr>
        <w:t>decabromodiphenyl</w:t>
      </w:r>
      <w:proofErr w:type="spellEnd"/>
      <w:r w:rsidRPr="00F359FE">
        <w:rPr>
          <w:rFonts w:ascii="Book Antiqua" w:eastAsia="Book Antiqua" w:hAnsi="Book Antiqua" w:cs="Book Antiqua"/>
          <w:color w:val="000000"/>
        </w:rPr>
        <w:t xml:space="preserve"> ethane (DBDPE) and </w:t>
      </w:r>
      <w:proofErr w:type="spellStart"/>
      <w:r w:rsidRPr="00F359FE">
        <w:rPr>
          <w:rFonts w:ascii="Book Antiqua" w:eastAsia="Book Antiqua" w:hAnsi="Book Antiqua" w:cs="Book Antiqua"/>
          <w:color w:val="000000"/>
        </w:rPr>
        <w:t>decabromodiphenyl</w:t>
      </w:r>
      <w:proofErr w:type="spellEnd"/>
      <w:r w:rsidRPr="00F359FE">
        <w:rPr>
          <w:rFonts w:ascii="Book Antiqua" w:eastAsia="Book Antiqua" w:hAnsi="Book Antiqua" w:cs="Book Antiqua"/>
          <w:color w:val="000000"/>
        </w:rPr>
        <w:t xml:space="preserve"> ether (BDE-209) in 28-day exposed Sprague-Dawley rats. </w:t>
      </w:r>
      <w:r w:rsidRPr="00F359FE">
        <w:rPr>
          <w:rFonts w:ascii="Book Antiqua" w:eastAsia="Book Antiqua" w:hAnsi="Book Antiqua" w:cs="Book Antiqua"/>
          <w:i/>
          <w:iCs/>
          <w:color w:val="000000"/>
        </w:rPr>
        <w:t>Sci Total Environ</w:t>
      </w:r>
      <w:r w:rsidRPr="00F359FE">
        <w:rPr>
          <w:rFonts w:ascii="Book Antiqua" w:eastAsia="Book Antiqua" w:hAnsi="Book Antiqua" w:cs="Book Antiqua"/>
          <w:color w:val="000000"/>
        </w:rPr>
        <w:t xml:space="preserve"> 2020; </w:t>
      </w:r>
      <w:r w:rsidRPr="00F359FE">
        <w:rPr>
          <w:rFonts w:ascii="Book Antiqua" w:eastAsia="Book Antiqua" w:hAnsi="Book Antiqua" w:cs="Book Antiqua"/>
          <w:b/>
          <w:bCs/>
          <w:color w:val="000000"/>
        </w:rPr>
        <w:t>705</w:t>
      </w:r>
      <w:r w:rsidRPr="00F359FE">
        <w:rPr>
          <w:rFonts w:ascii="Book Antiqua" w:eastAsia="Book Antiqua" w:hAnsi="Book Antiqua" w:cs="Book Antiqua"/>
          <w:color w:val="000000"/>
        </w:rPr>
        <w:t>: 135783 [PMID: 31787299 DOI: 10.1016/j.scitotenv.2019.135783]</w:t>
      </w:r>
    </w:p>
    <w:p w14:paraId="5C40095F"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16 </w:t>
      </w:r>
      <w:r w:rsidRPr="00F359FE">
        <w:rPr>
          <w:rFonts w:ascii="Book Antiqua" w:eastAsia="Book Antiqua" w:hAnsi="Book Antiqua" w:cs="Book Antiqua"/>
          <w:b/>
          <w:bCs/>
          <w:color w:val="000000"/>
        </w:rPr>
        <w:t>Jung UJ</w:t>
      </w:r>
      <w:r w:rsidRPr="00F359FE">
        <w:rPr>
          <w:rFonts w:ascii="Book Antiqua" w:eastAsia="Book Antiqua" w:hAnsi="Book Antiqua" w:cs="Book Antiqua"/>
          <w:color w:val="000000"/>
        </w:rPr>
        <w:t xml:space="preserve">, Choi MS. Obesity and its metabolic complications: the role of adipokines and the relationship between obesity, inflammation, insulin resistance, dyslipidemia and nonalcoholic fatty liver disease. </w:t>
      </w:r>
      <w:r w:rsidRPr="00F359FE">
        <w:rPr>
          <w:rFonts w:ascii="Book Antiqua" w:eastAsia="Book Antiqua" w:hAnsi="Book Antiqua" w:cs="Book Antiqua"/>
          <w:i/>
          <w:iCs/>
          <w:color w:val="000000"/>
        </w:rPr>
        <w:t>Int J Mol Sci</w:t>
      </w:r>
      <w:r w:rsidRPr="00F359FE">
        <w:rPr>
          <w:rFonts w:ascii="Book Antiqua" w:eastAsia="Book Antiqua" w:hAnsi="Book Antiqua" w:cs="Book Antiqua"/>
          <w:color w:val="000000"/>
        </w:rPr>
        <w:t xml:space="preserve"> 2014; </w:t>
      </w:r>
      <w:r w:rsidRPr="00F359FE">
        <w:rPr>
          <w:rFonts w:ascii="Book Antiqua" w:eastAsia="Book Antiqua" w:hAnsi="Book Antiqua" w:cs="Book Antiqua"/>
          <w:b/>
          <w:bCs/>
          <w:color w:val="000000"/>
        </w:rPr>
        <w:t>15</w:t>
      </w:r>
      <w:r w:rsidRPr="00F359FE">
        <w:rPr>
          <w:rFonts w:ascii="Book Antiqua" w:eastAsia="Book Antiqua" w:hAnsi="Book Antiqua" w:cs="Book Antiqua"/>
          <w:color w:val="000000"/>
        </w:rPr>
        <w:t>: 6184-6223 [PMID: 24733068 DOI: 10.3390/ijms15046184]</w:t>
      </w:r>
    </w:p>
    <w:p w14:paraId="1FB478BA"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lastRenderedPageBreak/>
        <w:t xml:space="preserve">17 </w:t>
      </w:r>
      <w:r w:rsidRPr="00F359FE">
        <w:rPr>
          <w:rFonts w:ascii="Book Antiqua" w:eastAsia="Book Antiqua" w:hAnsi="Book Antiqua" w:cs="Book Antiqua"/>
          <w:b/>
          <w:bCs/>
          <w:color w:val="000000"/>
        </w:rPr>
        <w:t>Hand LE</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Usan</w:t>
      </w:r>
      <w:proofErr w:type="spellEnd"/>
      <w:r w:rsidRPr="00F359FE">
        <w:rPr>
          <w:rFonts w:ascii="Book Antiqua" w:eastAsia="Book Antiqua" w:hAnsi="Book Antiqua" w:cs="Book Antiqua"/>
          <w:color w:val="000000"/>
        </w:rPr>
        <w:t xml:space="preserve"> P, Cooper GJ, Xu LY, </w:t>
      </w:r>
      <w:proofErr w:type="spellStart"/>
      <w:r w:rsidRPr="00F359FE">
        <w:rPr>
          <w:rFonts w:ascii="Book Antiqua" w:eastAsia="Book Antiqua" w:hAnsi="Book Antiqua" w:cs="Book Antiqua"/>
          <w:color w:val="000000"/>
        </w:rPr>
        <w:t>Ammori</w:t>
      </w:r>
      <w:proofErr w:type="spellEnd"/>
      <w:r w:rsidRPr="00F359FE">
        <w:rPr>
          <w:rFonts w:ascii="Book Antiqua" w:eastAsia="Book Antiqua" w:hAnsi="Book Antiqua" w:cs="Book Antiqua"/>
          <w:color w:val="000000"/>
        </w:rPr>
        <w:t xml:space="preserve"> B, Cunningham PS, </w:t>
      </w:r>
      <w:proofErr w:type="spellStart"/>
      <w:r w:rsidRPr="00F359FE">
        <w:rPr>
          <w:rFonts w:ascii="Book Antiqua" w:eastAsia="Book Antiqua" w:hAnsi="Book Antiqua" w:cs="Book Antiqua"/>
          <w:color w:val="000000"/>
        </w:rPr>
        <w:t>Aghamohammadzadeh</w:t>
      </w:r>
      <w:proofErr w:type="spellEnd"/>
      <w:r w:rsidRPr="00F359FE">
        <w:rPr>
          <w:rFonts w:ascii="Book Antiqua" w:eastAsia="Book Antiqua" w:hAnsi="Book Antiqua" w:cs="Book Antiqua"/>
          <w:color w:val="000000"/>
        </w:rPr>
        <w:t xml:space="preserve"> R, </w:t>
      </w:r>
      <w:proofErr w:type="spellStart"/>
      <w:r w:rsidRPr="00F359FE">
        <w:rPr>
          <w:rFonts w:ascii="Book Antiqua" w:eastAsia="Book Antiqua" w:hAnsi="Book Antiqua" w:cs="Book Antiqua"/>
          <w:color w:val="000000"/>
        </w:rPr>
        <w:t>Soran</w:t>
      </w:r>
      <w:proofErr w:type="spellEnd"/>
      <w:r w:rsidRPr="00F359FE">
        <w:rPr>
          <w:rFonts w:ascii="Book Antiqua" w:eastAsia="Book Antiqua" w:hAnsi="Book Antiqua" w:cs="Book Antiqua"/>
          <w:color w:val="000000"/>
        </w:rPr>
        <w:t xml:space="preserve"> H, Greenstein A, Loudon AS, Bechtold DA, Ray DW. Adiponectin induces A20 expression in adipose tissue to confer metabolic benefit. </w:t>
      </w:r>
      <w:r w:rsidRPr="00F359FE">
        <w:rPr>
          <w:rFonts w:ascii="Book Antiqua" w:eastAsia="Book Antiqua" w:hAnsi="Book Antiqua" w:cs="Book Antiqua"/>
          <w:i/>
          <w:iCs/>
          <w:color w:val="000000"/>
        </w:rPr>
        <w:t>Diabetes</w:t>
      </w:r>
      <w:r w:rsidRPr="00F359FE">
        <w:rPr>
          <w:rFonts w:ascii="Book Antiqua" w:eastAsia="Book Antiqua" w:hAnsi="Book Antiqua" w:cs="Book Antiqua"/>
          <w:color w:val="000000"/>
        </w:rPr>
        <w:t xml:space="preserve"> 2015; </w:t>
      </w:r>
      <w:r w:rsidRPr="00F359FE">
        <w:rPr>
          <w:rFonts w:ascii="Book Antiqua" w:eastAsia="Book Antiqua" w:hAnsi="Book Antiqua" w:cs="Book Antiqua"/>
          <w:b/>
          <w:bCs/>
          <w:color w:val="000000"/>
        </w:rPr>
        <w:t>64</w:t>
      </w:r>
      <w:r w:rsidRPr="00F359FE">
        <w:rPr>
          <w:rFonts w:ascii="Book Antiqua" w:eastAsia="Book Antiqua" w:hAnsi="Book Antiqua" w:cs="Book Antiqua"/>
          <w:color w:val="000000"/>
        </w:rPr>
        <w:t>: 128-136 [PMID: 25190567 DOI: 10.2337/db13-1835]</w:t>
      </w:r>
    </w:p>
    <w:p w14:paraId="69882AAB"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18 </w:t>
      </w:r>
      <w:r w:rsidRPr="00F359FE">
        <w:rPr>
          <w:rFonts w:ascii="Book Antiqua" w:eastAsia="Book Antiqua" w:hAnsi="Book Antiqua" w:cs="Book Antiqua"/>
          <w:b/>
          <w:bCs/>
          <w:color w:val="000000"/>
        </w:rPr>
        <w:t>You M</w:t>
      </w:r>
      <w:r w:rsidRPr="00F359FE">
        <w:rPr>
          <w:rFonts w:ascii="Book Antiqua" w:eastAsia="Book Antiqua" w:hAnsi="Book Antiqua" w:cs="Book Antiqua"/>
          <w:color w:val="000000"/>
        </w:rPr>
        <w:t xml:space="preserve">, Yuan S, Shi J, Hou Y. </w:t>
      </w:r>
      <w:proofErr w:type="spellStart"/>
      <w:r w:rsidRPr="00F359FE">
        <w:rPr>
          <w:rFonts w:ascii="Book Antiqua" w:eastAsia="Book Antiqua" w:hAnsi="Book Antiqua" w:cs="Book Antiqua"/>
          <w:color w:val="000000"/>
        </w:rPr>
        <w:t>PPARδ</w:t>
      </w:r>
      <w:proofErr w:type="spellEnd"/>
      <w:r w:rsidRPr="00F359FE">
        <w:rPr>
          <w:rFonts w:ascii="Book Antiqua" w:eastAsia="Book Antiqua" w:hAnsi="Book Antiqua" w:cs="Book Antiqua"/>
          <w:color w:val="000000"/>
        </w:rPr>
        <w:t xml:space="preserve"> signaling regulates colorectal cancer. </w:t>
      </w:r>
      <w:proofErr w:type="spellStart"/>
      <w:r w:rsidRPr="00F359FE">
        <w:rPr>
          <w:rFonts w:ascii="Book Antiqua" w:eastAsia="Book Antiqua" w:hAnsi="Book Antiqua" w:cs="Book Antiqua"/>
          <w:i/>
          <w:iCs/>
          <w:color w:val="000000"/>
        </w:rPr>
        <w:t>Curr</w:t>
      </w:r>
      <w:proofErr w:type="spellEnd"/>
      <w:r w:rsidRPr="00F359FE">
        <w:rPr>
          <w:rFonts w:ascii="Book Antiqua" w:eastAsia="Book Antiqua" w:hAnsi="Book Antiqua" w:cs="Book Antiqua"/>
          <w:i/>
          <w:iCs/>
          <w:color w:val="000000"/>
        </w:rPr>
        <w:t xml:space="preserve"> Pharm Des</w:t>
      </w:r>
      <w:r w:rsidRPr="00F359FE">
        <w:rPr>
          <w:rFonts w:ascii="Book Antiqua" w:eastAsia="Book Antiqua" w:hAnsi="Book Antiqua" w:cs="Book Antiqua"/>
          <w:color w:val="000000"/>
        </w:rPr>
        <w:t xml:space="preserve"> 2015; </w:t>
      </w:r>
      <w:r w:rsidRPr="00F359FE">
        <w:rPr>
          <w:rFonts w:ascii="Book Antiqua" w:eastAsia="Book Antiqua" w:hAnsi="Book Antiqua" w:cs="Book Antiqua"/>
          <w:b/>
          <w:bCs/>
          <w:color w:val="000000"/>
        </w:rPr>
        <w:t>21</w:t>
      </w:r>
      <w:r w:rsidRPr="00F359FE">
        <w:rPr>
          <w:rFonts w:ascii="Book Antiqua" w:eastAsia="Book Antiqua" w:hAnsi="Book Antiqua" w:cs="Book Antiqua"/>
          <w:color w:val="000000"/>
        </w:rPr>
        <w:t>: 2956-2959 [PMID: 26004416 DOI: 10.2174/1381612821666150514104035]</w:t>
      </w:r>
    </w:p>
    <w:p w14:paraId="27D9DDAE"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19 </w:t>
      </w:r>
      <w:r w:rsidRPr="00F359FE">
        <w:rPr>
          <w:rFonts w:ascii="Book Antiqua" w:eastAsia="Book Antiqua" w:hAnsi="Book Antiqua" w:cs="Book Antiqua"/>
          <w:b/>
          <w:bCs/>
          <w:color w:val="000000"/>
        </w:rPr>
        <w:t>Yun JE</w:t>
      </w:r>
      <w:r w:rsidRPr="00F359FE">
        <w:rPr>
          <w:rFonts w:ascii="Book Antiqua" w:eastAsia="Book Antiqua" w:hAnsi="Book Antiqua" w:cs="Book Antiqua"/>
          <w:color w:val="000000"/>
        </w:rPr>
        <w:t xml:space="preserve">, Kimm H, Jo J, </w:t>
      </w:r>
      <w:proofErr w:type="spellStart"/>
      <w:r w:rsidRPr="00F359FE">
        <w:rPr>
          <w:rFonts w:ascii="Book Antiqua" w:eastAsia="Book Antiqua" w:hAnsi="Book Antiqua" w:cs="Book Antiqua"/>
          <w:color w:val="000000"/>
        </w:rPr>
        <w:t>Jee</w:t>
      </w:r>
      <w:proofErr w:type="spellEnd"/>
      <w:r w:rsidRPr="00F359FE">
        <w:rPr>
          <w:rFonts w:ascii="Book Antiqua" w:eastAsia="Book Antiqua" w:hAnsi="Book Antiqua" w:cs="Book Antiqua"/>
          <w:color w:val="000000"/>
        </w:rPr>
        <w:t xml:space="preserve"> SH. Serum leptin is associated with metabolic syndrome in obese and nonobese Korean populations. </w:t>
      </w:r>
      <w:r w:rsidRPr="00F359FE">
        <w:rPr>
          <w:rFonts w:ascii="Book Antiqua" w:eastAsia="Book Antiqua" w:hAnsi="Book Antiqua" w:cs="Book Antiqua"/>
          <w:i/>
          <w:iCs/>
          <w:color w:val="000000"/>
        </w:rPr>
        <w:t>Metabolism</w:t>
      </w:r>
      <w:r w:rsidRPr="00F359FE">
        <w:rPr>
          <w:rFonts w:ascii="Book Antiqua" w:eastAsia="Book Antiqua" w:hAnsi="Book Antiqua" w:cs="Book Antiqua"/>
          <w:color w:val="000000"/>
        </w:rPr>
        <w:t xml:space="preserve"> 2010; </w:t>
      </w:r>
      <w:r w:rsidRPr="00F359FE">
        <w:rPr>
          <w:rFonts w:ascii="Book Antiqua" w:eastAsia="Book Antiqua" w:hAnsi="Book Antiqua" w:cs="Book Antiqua"/>
          <w:b/>
          <w:bCs/>
          <w:color w:val="000000"/>
        </w:rPr>
        <w:t>59</w:t>
      </w:r>
      <w:r w:rsidRPr="00F359FE">
        <w:rPr>
          <w:rFonts w:ascii="Book Antiqua" w:eastAsia="Book Antiqua" w:hAnsi="Book Antiqua" w:cs="Book Antiqua"/>
          <w:color w:val="000000"/>
        </w:rPr>
        <w:t>: 424-429 [PMID: 19846168 DOI: 10.1016/j.metabol.2009.08.012]</w:t>
      </w:r>
    </w:p>
    <w:p w14:paraId="6C1A23D7"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20 </w:t>
      </w:r>
      <w:r w:rsidRPr="00F359FE">
        <w:rPr>
          <w:rFonts w:ascii="Book Antiqua" w:eastAsia="Book Antiqua" w:hAnsi="Book Antiqua" w:cs="Book Antiqua"/>
          <w:b/>
          <w:bCs/>
          <w:color w:val="000000"/>
        </w:rPr>
        <w:t>Littlejohn NK</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Seban</w:t>
      </w:r>
      <w:proofErr w:type="spellEnd"/>
      <w:r w:rsidRPr="00F359FE">
        <w:rPr>
          <w:rFonts w:ascii="Book Antiqua" w:eastAsia="Book Antiqua" w:hAnsi="Book Antiqua" w:cs="Book Antiqua"/>
          <w:color w:val="000000"/>
        </w:rPr>
        <w:t xml:space="preserve"> N, Liu CC, Srinivasan S. </w:t>
      </w:r>
      <w:bookmarkStart w:id="7" w:name="OLE_LINK2"/>
      <w:r w:rsidRPr="00F359FE">
        <w:rPr>
          <w:rFonts w:ascii="Book Antiqua" w:eastAsia="Book Antiqua" w:hAnsi="Book Antiqua" w:cs="Book Antiqua"/>
          <w:color w:val="000000"/>
        </w:rPr>
        <w:t>A feedback loop governs the relationship between lipid metabolism and longevity.</w:t>
      </w:r>
      <w:bookmarkEnd w:id="7"/>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i/>
          <w:iCs/>
          <w:color w:val="000000"/>
        </w:rPr>
        <w:t>Elife</w:t>
      </w:r>
      <w:proofErr w:type="spellEnd"/>
      <w:r w:rsidRPr="00F359FE">
        <w:rPr>
          <w:rFonts w:ascii="Book Antiqua" w:eastAsia="Book Antiqua" w:hAnsi="Book Antiqua" w:cs="Book Antiqua"/>
          <w:color w:val="000000"/>
        </w:rPr>
        <w:t xml:space="preserve"> 2020; </w:t>
      </w:r>
      <w:r w:rsidRPr="00F359FE">
        <w:rPr>
          <w:rFonts w:ascii="Book Antiqua" w:eastAsia="Book Antiqua" w:hAnsi="Book Antiqua" w:cs="Book Antiqua"/>
          <w:b/>
          <w:bCs/>
          <w:color w:val="000000"/>
        </w:rPr>
        <w:t>9</w:t>
      </w:r>
      <w:r w:rsidRPr="00F359FE">
        <w:rPr>
          <w:rFonts w:ascii="Book Antiqua" w:eastAsia="Book Antiqua" w:hAnsi="Book Antiqua" w:cs="Book Antiqua"/>
          <w:color w:val="000000"/>
        </w:rPr>
        <w:t>: e58815 [PMID: 33078707 DOI: 10.7554/eLife.58815]</w:t>
      </w:r>
    </w:p>
    <w:p w14:paraId="41DDE1D2"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21 </w:t>
      </w:r>
      <w:r w:rsidRPr="00F359FE">
        <w:rPr>
          <w:rFonts w:ascii="Book Antiqua" w:eastAsia="Book Antiqua" w:hAnsi="Book Antiqua" w:cs="Book Antiqua"/>
          <w:b/>
          <w:bCs/>
          <w:color w:val="000000"/>
        </w:rPr>
        <w:t>Yu T</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Robotham</w:t>
      </w:r>
      <w:proofErr w:type="spellEnd"/>
      <w:r w:rsidRPr="00F359FE">
        <w:rPr>
          <w:rFonts w:ascii="Book Antiqua" w:eastAsia="Book Antiqua" w:hAnsi="Book Antiqua" w:cs="Book Antiqua"/>
          <w:color w:val="000000"/>
        </w:rPr>
        <w:t xml:space="preserve"> JL, Yoon Y. Increased production of reactive oxygen species in hyperglycemic conditions requires dynamic change of mitochondrial morphology. </w:t>
      </w:r>
      <w:r w:rsidRPr="00F359FE">
        <w:rPr>
          <w:rFonts w:ascii="Book Antiqua" w:eastAsia="Book Antiqua" w:hAnsi="Book Antiqua" w:cs="Book Antiqua"/>
          <w:i/>
          <w:iCs/>
          <w:color w:val="000000"/>
        </w:rPr>
        <w:t xml:space="preserve">Proc Natl </w:t>
      </w:r>
      <w:proofErr w:type="spellStart"/>
      <w:r w:rsidRPr="00F359FE">
        <w:rPr>
          <w:rFonts w:ascii="Book Antiqua" w:eastAsia="Book Antiqua" w:hAnsi="Book Antiqua" w:cs="Book Antiqua"/>
          <w:i/>
          <w:iCs/>
          <w:color w:val="000000"/>
        </w:rPr>
        <w:t>Acad</w:t>
      </w:r>
      <w:proofErr w:type="spellEnd"/>
      <w:r w:rsidRPr="00F359FE">
        <w:rPr>
          <w:rFonts w:ascii="Book Antiqua" w:eastAsia="Book Antiqua" w:hAnsi="Book Antiqua" w:cs="Book Antiqua"/>
          <w:i/>
          <w:iCs/>
          <w:color w:val="000000"/>
        </w:rPr>
        <w:t xml:space="preserve"> Sci USA</w:t>
      </w:r>
      <w:r w:rsidRPr="00F359FE">
        <w:rPr>
          <w:rFonts w:ascii="Book Antiqua" w:eastAsia="Book Antiqua" w:hAnsi="Book Antiqua" w:cs="Book Antiqua"/>
          <w:color w:val="000000"/>
        </w:rPr>
        <w:t xml:space="preserve"> 2006; </w:t>
      </w:r>
      <w:r w:rsidRPr="00F359FE">
        <w:rPr>
          <w:rFonts w:ascii="Book Antiqua" w:eastAsia="Book Antiqua" w:hAnsi="Book Antiqua" w:cs="Book Antiqua"/>
          <w:b/>
          <w:bCs/>
          <w:color w:val="000000"/>
        </w:rPr>
        <w:t>103</w:t>
      </w:r>
      <w:r w:rsidRPr="00F359FE">
        <w:rPr>
          <w:rFonts w:ascii="Book Antiqua" w:eastAsia="Book Antiqua" w:hAnsi="Book Antiqua" w:cs="Book Antiqua"/>
          <w:color w:val="000000"/>
        </w:rPr>
        <w:t>: 2653-2658 [PMID: 16477035 DOI: 10.1073/pnas.0511154103]</w:t>
      </w:r>
    </w:p>
    <w:p w14:paraId="782D12B9"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22 </w:t>
      </w:r>
      <w:r w:rsidRPr="00F359FE">
        <w:rPr>
          <w:rFonts w:ascii="Book Antiqua" w:eastAsia="Book Antiqua" w:hAnsi="Book Antiqua" w:cs="Book Antiqua"/>
          <w:b/>
          <w:bCs/>
          <w:color w:val="000000"/>
        </w:rPr>
        <w:t>Kim YA</w:t>
      </w:r>
      <w:r w:rsidRPr="00F359FE">
        <w:rPr>
          <w:rFonts w:ascii="Book Antiqua" w:eastAsia="Book Antiqua" w:hAnsi="Book Antiqua" w:cs="Book Antiqua"/>
          <w:color w:val="000000"/>
        </w:rPr>
        <w:t xml:space="preserve">, Park JB, Woo MS, Lee SY, Kim HY, </w:t>
      </w:r>
      <w:proofErr w:type="spellStart"/>
      <w:r w:rsidRPr="00F359FE">
        <w:rPr>
          <w:rFonts w:ascii="Book Antiqua" w:eastAsia="Book Antiqua" w:hAnsi="Book Antiqua" w:cs="Book Antiqua"/>
          <w:color w:val="000000"/>
        </w:rPr>
        <w:t>Yoo</w:t>
      </w:r>
      <w:proofErr w:type="spellEnd"/>
      <w:r w:rsidRPr="00F359FE">
        <w:rPr>
          <w:rFonts w:ascii="Book Antiqua" w:eastAsia="Book Antiqua" w:hAnsi="Book Antiqua" w:cs="Book Antiqua"/>
          <w:color w:val="000000"/>
        </w:rPr>
        <w:t xml:space="preserve"> YH. </w:t>
      </w:r>
      <w:bookmarkStart w:id="8" w:name="OLE_LINK3"/>
      <w:r w:rsidRPr="00F359FE">
        <w:rPr>
          <w:rFonts w:ascii="Book Antiqua" w:eastAsia="Book Antiqua" w:hAnsi="Book Antiqua" w:cs="Book Antiqua"/>
          <w:color w:val="000000"/>
        </w:rPr>
        <w:t>Persistent Organic Pollutant-Mediated Insulin Resistance.</w:t>
      </w:r>
      <w:bookmarkEnd w:id="8"/>
      <w:r w:rsidRPr="00F359FE">
        <w:rPr>
          <w:rFonts w:ascii="Book Antiqua" w:eastAsia="Book Antiqua" w:hAnsi="Book Antiqua" w:cs="Book Antiqua"/>
          <w:color w:val="000000"/>
        </w:rPr>
        <w:t xml:space="preserve"> </w:t>
      </w:r>
      <w:r w:rsidRPr="00F359FE">
        <w:rPr>
          <w:rFonts w:ascii="Book Antiqua" w:eastAsia="Book Antiqua" w:hAnsi="Book Antiqua" w:cs="Book Antiqua"/>
          <w:i/>
          <w:iCs/>
          <w:color w:val="000000"/>
        </w:rPr>
        <w:t>Int J Environ Res Public Health</w:t>
      </w:r>
      <w:r w:rsidRPr="00F359FE">
        <w:rPr>
          <w:rFonts w:ascii="Book Antiqua" w:eastAsia="Book Antiqua" w:hAnsi="Book Antiqua" w:cs="Book Antiqua"/>
          <w:color w:val="000000"/>
        </w:rPr>
        <w:t xml:space="preserve"> 2019; </w:t>
      </w:r>
      <w:r w:rsidRPr="00F359FE">
        <w:rPr>
          <w:rFonts w:ascii="Book Antiqua" w:eastAsia="Book Antiqua" w:hAnsi="Book Antiqua" w:cs="Book Antiqua"/>
          <w:b/>
          <w:bCs/>
          <w:color w:val="000000"/>
        </w:rPr>
        <w:t>16</w:t>
      </w:r>
      <w:r w:rsidRPr="00F359FE">
        <w:rPr>
          <w:rFonts w:ascii="Book Antiqua" w:eastAsia="Book Antiqua" w:hAnsi="Book Antiqua" w:cs="Book Antiqua"/>
          <w:color w:val="000000"/>
        </w:rPr>
        <w:t>: 448 [PMID: 30717446 DOI: 10.3390/ijerph16030448]</w:t>
      </w:r>
    </w:p>
    <w:p w14:paraId="74343073" w14:textId="77777777" w:rsidR="003649F1" w:rsidRPr="00F359FE"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23 </w:t>
      </w:r>
      <w:r w:rsidRPr="00F359FE">
        <w:rPr>
          <w:rFonts w:ascii="Book Antiqua" w:eastAsia="Book Antiqua" w:hAnsi="Book Antiqua" w:cs="Book Antiqua"/>
          <w:b/>
          <w:bCs/>
          <w:color w:val="000000"/>
        </w:rPr>
        <w:t xml:space="preserve">Di </w:t>
      </w:r>
      <w:proofErr w:type="spellStart"/>
      <w:r w:rsidRPr="00F359FE">
        <w:rPr>
          <w:rFonts w:ascii="Book Antiqua" w:eastAsia="Book Antiqua" w:hAnsi="Book Antiqua" w:cs="Book Antiqua"/>
          <w:b/>
          <w:bCs/>
          <w:color w:val="000000"/>
        </w:rPr>
        <w:t>Ciaula</w:t>
      </w:r>
      <w:proofErr w:type="spellEnd"/>
      <w:r w:rsidRPr="00F359FE">
        <w:rPr>
          <w:rFonts w:ascii="Book Antiqua" w:eastAsia="Book Antiqua" w:hAnsi="Book Antiqua" w:cs="Book Antiqua"/>
          <w:b/>
          <w:bCs/>
          <w:color w:val="000000"/>
        </w:rPr>
        <w:t xml:space="preserve"> A</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Baj</w:t>
      </w:r>
      <w:proofErr w:type="spellEnd"/>
      <w:r w:rsidRPr="00F359FE">
        <w:rPr>
          <w:rFonts w:ascii="Book Antiqua" w:eastAsia="Book Antiqua" w:hAnsi="Book Antiqua" w:cs="Book Antiqua"/>
          <w:color w:val="000000"/>
        </w:rPr>
        <w:t xml:space="preserve"> J, </w:t>
      </w:r>
      <w:proofErr w:type="spellStart"/>
      <w:r w:rsidRPr="00F359FE">
        <w:rPr>
          <w:rFonts w:ascii="Book Antiqua" w:eastAsia="Book Antiqua" w:hAnsi="Book Antiqua" w:cs="Book Antiqua"/>
          <w:color w:val="000000"/>
        </w:rPr>
        <w:t>Garruti</w:t>
      </w:r>
      <w:proofErr w:type="spellEnd"/>
      <w:r w:rsidRPr="00F359FE">
        <w:rPr>
          <w:rFonts w:ascii="Book Antiqua" w:eastAsia="Book Antiqua" w:hAnsi="Book Antiqua" w:cs="Book Antiqua"/>
          <w:color w:val="000000"/>
        </w:rPr>
        <w:t xml:space="preserve"> G, </w:t>
      </w:r>
      <w:proofErr w:type="spellStart"/>
      <w:r w:rsidRPr="00F359FE">
        <w:rPr>
          <w:rFonts w:ascii="Book Antiqua" w:eastAsia="Book Antiqua" w:hAnsi="Book Antiqua" w:cs="Book Antiqua"/>
          <w:color w:val="000000"/>
        </w:rPr>
        <w:t>Celano</w:t>
      </w:r>
      <w:proofErr w:type="spellEnd"/>
      <w:r w:rsidRPr="00F359FE">
        <w:rPr>
          <w:rFonts w:ascii="Book Antiqua" w:eastAsia="Book Antiqua" w:hAnsi="Book Antiqua" w:cs="Book Antiqua"/>
          <w:color w:val="000000"/>
        </w:rPr>
        <w:t xml:space="preserve"> G, De Angelis M, Wang HH, Di Palo DM, </w:t>
      </w:r>
      <w:proofErr w:type="spellStart"/>
      <w:r w:rsidRPr="00F359FE">
        <w:rPr>
          <w:rFonts w:ascii="Book Antiqua" w:eastAsia="Book Antiqua" w:hAnsi="Book Antiqua" w:cs="Book Antiqua"/>
          <w:color w:val="000000"/>
        </w:rPr>
        <w:t>Bonfrate</w:t>
      </w:r>
      <w:proofErr w:type="spellEnd"/>
      <w:r w:rsidRPr="00F359FE">
        <w:rPr>
          <w:rFonts w:ascii="Book Antiqua" w:eastAsia="Book Antiqua" w:hAnsi="Book Antiqua" w:cs="Book Antiqua"/>
          <w:color w:val="000000"/>
        </w:rPr>
        <w:t xml:space="preserve"> L, Wang DQ, </w:t>
      </w:r>
      <w:proofErr w:type="spellStart"/>
      <w:r w:rsidRPr="00F359FE">
        <w:rPr>
          <w:rFonts w:ascii="Book Antiqua" w:eastAsia="Book Antiqua" w:hAnsi="Book Antiqua" w:cs="Book Antiqua"/>
          <w:color w:val="000000"/>
        </w:rPr>
        <w:t>Portincasa</w:t>
      </w:r>
      <w:proofErr w:type="spellEnd"/>
      <w:r w:rsidRPr="00F359FE">
        <w:rPr>
          <w:rFonts w:ascii="Book Antiqua" w:eastAsia="Book Antiqua" w:hAnsi="Book Antiqua" w:cs="Book Antiqua"/>
          <w:color w:val="000000"/>
        </w:rPr>
        <w:t xml:space="preserve"> P. </w:t>
      </w:r>
      <w:bookmarkStart w:id="9" w:name="OLE_LINK4"/>
      <w:r w:rsidRPr="00F359FE">
        <w:rPr>
          <w:rFonts w:ascii="Book Antiqua" w:eastAsia="Book Antiqua" w:hAnsi="Book Antiqua" w:cs="Book Antiqua"/>
          <w:color w:val="000000"/>
        </w:rPr>
        <w:t xml:space="preserve">Liver Steatosis, Gut-Liver Axis, Microbiome and Environmental Factors. A Never-Ending Bidirectional </w:t>
      </w:r>
      <w:proofErr w:type="gramStart"/>
      <w:r w:rsidRPr="00F359FE">
        <w:rPr>
          <w:rFonts w:ascii="Book Antiqua" w:eastAsia="Book Antiqua" w:hAnsi="Book Antiqua" w:cs="Book Antiqua"/>
          <w:color w:val="000000"/>
        </w:rPr>
        <w:t>Cross-Talk</w:t>
      </w:r>
      <w:proofErr w:type="gramEnd"/>
      <w:r w:rsidRPr="00F359FE">
        <w:rPr>
          <w:rFonts w:ascii="Book Antiqua" w:eastAsia="Book Antiqua" w:hAnsi="Book Antiqua" w:cs="Book Antiqua"/>
          <w:color w:val="000000"/>
        </w:rPr>
        <w:t>.</w:t>
      </w:r>
      <w:bookmarkEnd w:id="9"/>
      <w:r w:rsidRPr="00F359FE">
        <w:rPr>
          <w:rFonts w:ascii="Book Antiqua" w:eastAsia="Book Antiqua" w:hAnsi="Book Antiqua" w:cs="Book Antiqua"/>
          <w:color w:val="000000"/>
        </w:rPr>
        <w:t xml:space="preserve"> </w:t>
      </w:r>
      <w:r w:rsidRPr="00F359FE">
        <w:rPr>
          <w:rFonts w:ascii="Book Antiqua" w:eastAsia="Book Antiqua" w:hAnsi="Book Antiqua" w:cs="Book Antiqua"/>
          <w:i/>
          <w:iCs/>
          <w:color w:val="000000"/>
        </w:rPr>
        <w:t>J Clin Med</w:t>
      </w:r>
      <w:r w:rsidRPr="00F359FE">
        <w:rPr>
          <w:rFonts w:ascii="Book Antiqua" w:eastAsia="Book Antiqua" w:hAnsi="Book Antiqua" w:cs="Book Antiqua"/>
          <w:color w:val="000000"/>
        </w:rPr>
        <w:t xml:space="preserve"> 2020; </w:t>
      </w:r>
      <w:r w:rsidRPr="00F359FE">
        <w:rPr>
          <w:rFonts w:ascii="Book Antiqua" w:eastAsia="Book Antiqua" w:hAnsi="Book Antiqua" w:cs="Book Antiqua"/>
          <w:b/>
          <w:bCs/>
          <w:color w:val="000000"/>
        </w:rPr>
        <w:t>9</w:t>
      </w:r>
      <w:r w:rsidRPr="00F359FE">
        <w:rPr>
          <w:rFonts w:ascii="Book Antiqua" w:eastAsia="Book Antiqua" w:hAnsi="Book Antiqua" w:cs="Book Antiqua"/>
          <w:color w:val="000000"/>
        </w:rPr>
        <w:t>: 2648 [PMID: 32823983 DOI: 10.3390/jcm9082648]</w:t>
      </w:r>
    </w:p>
    <w:p w14:paraId="1133A5B0" w14:textId="77777777" w:rsidR="003649F1" w:rsidRDefault="003F5E16">
      <w:pPr>
        <w:adjustRightInd w:val="0"/>
        <w:snapToGrid w:val="0"/>
        <w:spacing w:line="360" w:lineRule="auto"/>
        <w:jc w:val="both"/>
        <w:rPr>
          <w:rFonts w:ascii="Book Antiqua" w:hAnsi="Book Antiqua"/>
        </w:rPr>
      </w:pPr>
      <w:r w:rsidRPr="00F359FE">
        <w:rPr>
          <w:rFonts w:ascii="Book Antiqua" w:eastAsia="Book Antiqua" w:hAnsi="Book Antiqua" w:cs="Book Antiqua"/>
          <w:color w:val="000000"/>
        </w:rPr>
        <w:t xml:space="preserve">24 </w:t>
      </w:r>
      <w:proofErr w:type="spellStart"/>
      <w:r w:rsidRPr="00F359FE">
        <w:rPr>
          <w:rFonts w:ascii="Book Antiqua" w:eastAsia="Book Antiqua" w:hAnsi="Book Antiqua" w:cs="Book Antiqua"/>
          <w:b/>
          <w:bCs/>
          <w:color w:val="000000"/>
        </w:rPr>
        <w:t>Crissey</w:t>
      </w:r>
      <w:proofErr w:type="spellEnd"/>
      <w:r w:rsidRPr="00F359FE">
        <w:rPr>
          <w:rFonts w:ascii="Book Antiqua" w:eastAsia="Book Antiqua" w:hAnsi="Book Antiqua" w:cs="Book Antiqua"/>
          <w:b/>
          <w:bCs/>
          <w:color w:val="000000"/>
        </w:rPr>
        <w:t xml:space="preserve"> JT</w:t>
      </w:r>
      <w:r w:rsidRPr="00F359FE">
        <w:rPr>
          <w:rFonts w:ascii="Book Antiqua" w:eastAsia="Book Antiqua" w:hAnsi="Book Antiqua" w:cs="Book Antiqua"/>
          <w:color w:val="000000"/>
        </w:rPr>
        <w:t xml:space="preserve">, </w:t>
      </w:r>
      <w:proofErr w:type="spellStart"/>
      <w:r w:rsidRPr="00F359FE">
        <w:rPr>
          <w:rFonts w:ascii="Book Antiqua" w:eastAsia="Book Antiqua" w:hAnsi="Book Antiqua" w:cs="Book Antiqua"/>
          <w:color w:val="000000"/>
        </w:rPr>
        <w:t>Denenholz</w:t>
      </w:r>
      <w:proofErr w:type="spellEnd"/>
      <w:r w:rsidRPr="00F359FE">
        <w:rPr>
          <w:rFonts w:ascii="Book Antiqua" w:eastAsia="Book Antiqua" w:hAnsi="Book Antiqua" w:cs="Book Antiqua"/>
          <w:color w:val="000000"/>
        </w:rPr>
        <w:t xml:space="preserve"> DA. Syphilis. </w:t>
      </w:r>
      <w:r w:rsidRPr="00F359FE">
        <w:rPr>
          <w:rFonts w:ascii="Book Antiqua" w:eastAsia="Book Antiqua" w:hAnsi="Book Antiqua" w:cs="Book Antiqua"/>
          <w:i/>
          <w:iCs/>
          <w:color w:val="000000"/>
        </w:rPr>
        <w:t>Clin Dermatol</w:t>
      </w:r>
      <w:r w:rsidRPr="00F359FE">
        <w:rPr>
          <w:rFonts w:ascii="Book Antiqua" w:eastAsia="Book Antiqua" w:hAnsi="Book Antiqua" w:cs="Book Antiqua"/>
          <w:color w:val="000000"/>
        </w:rPr>
        <w:t xml:space="preserve"> 1984; </w:t>
      </w:r>
      <w:r w:rsidRPr="00F359FE">
        <w:rPr>
          <w:rFonts w:ascii="Book Antiqua" w:eastAsia="Book Antiqua" w:hAnsi="Book Antiqua" w:cs="Book Antiqua"/>
          <w:b/>
          <w:bCs/>
          <w:color w:val="000000"/>
        </w:rPr>
        <w:t>2</w:t>
      </w:r>
      <w:r w:rsidRPr="00F359FE">
        <w:rPr>
          <w:rFonts w:ascii="Book Antiqua" w:eastAsia="Book Antiqua" w:hAnsi="Book Antiqua" w:cs="Book Antiqua"/>
          <w:color w:val="000000"/>
        </w:rPr>
        <w:t>: 1-166 [PMID: 6400314 DOI: 10.1016/0738-081</w:t>
      </w:r>
      <w:proofErr w:type="gramStart"/>
      <w:r w:rsidRPr="00F359FE">
        <w:rPr>
          <w:rFonts w:ascii="Book Antiqua" w:eastAsia="Book Antiqua" w:hAnsi="Book Antiqua" w:cs="Book Antiqua"/>
          <w:color w:val="000000"/>
        </w:rPr>
        <w:t>x(</w:t>
      </w:r>
      <w:proofErr w:type="gramEnd"/>
      <w:r w:rsidRPr="00F359FE">
        <w:rPr>
          <w:rFonts w:ascii="Book Antiqua" w:eastAsia="Book Antiqua" w:hAnsi="Book Antiqua" w:cs="Book Antiqua"/>
          <w:color w:val="000000"/>
        </w:rPr>
        <w:t>84)90003-8]</w:t>
      </w:r>
    </w:p>
    <w:p w14:paraId="056818CC" w14:textId="77777777" w:rsidR="003649F1" w:rsidRDefault="003649F1">
      <w:pPr>
        <w:adjustRightInd w:val="0"/>
        <w:snapToGrid w:val="0"/>
        <w:spacing w:line="360" w:lineRule="auto"/>
        <w:jc w:val="both"/>
        <w:rPr>
          <w:rFonts w:ascii="Book Antiqua" w:hAnsi="Book Antiqua"/>
        </w:rPr>
        <w:sectPr w:rsidR="003649F1">
          <w:type w:val="continuous"/>
          <w:pgSz w:w="12240" w:h="15840"/>
          <w:pgMar w:top="1440" w:right="1800" w:bottom="1440" w:left="1800" w:header="720" w:footer="720" w:gutter="0"/>
          <w:cols w:space="720"/>
          <w:docGrid w:linePitch="360"/>
        </w:sectPr>
      </w:pPr>
    </w:p>
    <w:p w14:paraId="058C0502" w14:textId="77777777" w:rsidR="003649F1" w:rsidRDefault="003F5E1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67A8C85C"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11B58D2"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Institutional review board statement:</w:t>
      </w:r>
      <w:r>
        <w:rPr>
          <w:rFonts w:ascii="Book Antiqua" w:eastAsia="Book Antiqua" w:hAnsi="Book Antiqua" w:cs="Book Antiqua"/>
          <w:color w:val="000000"/>
        </w:rPr>
        <w:t> Our research protocol was evaluated and approved by the Ethics Review Committee of the First Affiliated Hospital of Xinjiang Medical University (No. 20170214-107).</w:t>
      </w:r>
    </w:p>
    <w:p w14:paraId="212B639B" w14:textId="77777777" w:rsidR="003649F1" w:rsidRDefault="003649F1">
      <w:pPr>
        <w:adjustRightInd w:val="0"/>
        <w:snapToGrid w:val="0"/>
        <w:spacing w:line="360" w:lineRule="auto"/>
        <w:jc w:val="both"/>
        <w:rPr>
          <w:rFonts w:ascii="Book Antiqua" w:hAnsi="Book Antiqua"/>
        </w:rPr>
      </w:pPr>
    </w:p>
    <w:p w14:paraId="1898F9B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hint="eastAsia"/>
          <w:bCs/>
          <w:color w:val="000000"/>
        </w:rPr>
        <w:t>The animals were handled in accordance with the</w:t>
      </w:r>
      <w:r>
        <w:rPr>
          <w:rFonts w:ascii="Book Antiqua" w:eastAsia="宋体" w:hAnsi="Book Antiqua" w:cs="Book Antiqua" w:hint="eastAsia"/>
          <w:bCs/>
          <w:color w:val="000000"/>
          <w:lang w:eastAsia="zh-CN"/>
        </w:rPr>
        <w:t xml:space="preserve"> </w:t>
      </w:r>
      <w:r>
        <w:rPr>
          <w:rFonts w:ascii="Book Antiqua" w:eastAsia="Book Antiqua" w:hAnsi="Book Antiqua" w:cs="Book Antiqua" w:hint="eastAsia"/>
          <w:bCs/>
          <w:color w:val="000000"/>
        </w:rPr>
        <w:t>Guide for the Care and Use of Laboratory Animals</w:t>
      </w:r>
      <w:r>
        <w:rPr>
          <w:rFonts w:ascii="Book Antiqua" w:eastAsia="Book Antiqua" w:hAnsi="Book Antiqua" w:cs="Book Antiqua"/>
          <w:color w:val="000000"/>
        </w:rPr>
        <w:t>.</w:t>
      </w:r>
    </w:p>
    <w:p w14:paraId="3FAFC09C" w14:textId="77777777" w:rsidR="003649F1" w:rsidRDefault="003649F1">
      <w:pPr>
        <w:adjustRightInd w:val="0"/>
        <w:snapToGrid w:val="0"/>
        <w:spacing w:line="360" w:lineRule="auto"/>
        <w:jc w:val="both"/>
        <w:rPr>
          <w:rFonts w:ascii="Book Antiqua" w:hAnsi="Book Antiqua"/>
        </w:rPr>
      </w:pPr>
    </w:p>
    <w:p w14:paraId="547CFB2F"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 of interest exits in the submission of this manuscript, and the manuscript has been approved by all authors for publication. </w:t>
      </w:r>
    </w:p>
    <w:p w14:paraId="59BD2419" w14:textId="77777777" w:rsidR="003649F1" w:rsidRDefault="003649F1">
      <w:pPr>
        <w:adjustRightInd w:val="0"/>
        <w:snapToGrid w:val="0"/>
        <w:spacing w:line="360" w:lineRule="auto"/>
        <w:jc w:val="both"/>
        <w:rPr>
          <w:rFonts w:ascii="Book Antiqua" w:hAnsi="Book Antiqua"/>
        </w:rPr>
      </w:pPr>
    </w:p>
    <w:p w14:paraId="481EADBF"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other data available.</w:t>
      </w:r>
    </w:p>
    <w:p w14:paraId="5BFC49FB" w14:textId="77777777" w:rsidR="003649F1" w:rsidRDefault="003649F1">
      <w:pPr>
        <w:adjustRightInd w:val="0"/>
        <w:snapToGrid w:val="0"/>
        <w:spacing w:line="360" w:lineRule="auto"/>
        <w:jc w:val="both"/>
        <w:rPr>
          <w:rFonts w:ascii="Book Antiqua" w:hAnsi="Book Antiqua"/>
        </w:rPr>
      </w:pPr>
    </w:p>
    <w:p w14:paraId="78AF1AF7"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I has read the "ARRIVE Guidelines" and has compiled and revised the manuscript according to the "ARRIVE Guidelines".</w:t>
      </w:r>
    </w:p>
    <w:p w14:paraId="70AA6E70" w14:textId="77777777" w:rsidR="003649F1" w:rsidRDefault="003649F1">
      <w:pPr>
        <w:adjustRightInd w:val="0"/>
        <w:snapToGrid w:val="0"/>
        <w:spacing w:line="360" w:lineRule="auto"/>
        <w:jc w:val="both"/>
        <w:rPr>
          <w:rFonts w:ascii="Book Antiqua" w:hAnsi="Book Antiqua"/>
        </w:rPr>
      </w:pPr>
    </w:p>
    <w:p w14:paraId="555BB08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8F1B68" w14:textId="77777777" w:rsidR="003649F1" w:rsidRDefault="003649F1">
      <w:pPr>
        <w:adjustRightInd w:val="0"/>
        <w:snapToGrid w:val="0"/>
        <w:spacing w:line="360" w:lineRule="auto"/>
        <w:jc w:val="both"/>
        <w:rPr>
          <w:rFonts w:ascii="Book Antiqua" w:hAnsi="Book Antiqua"/>
        </w:rPr>
      </w:pPr>
    </w:p>
    <w:p w14:paraId="421B36C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9105904" w14:textId="77777777" w:rsidR="003649F1" w:rsidRDefault="003649F1">
      <w:pPr>
        <w:adjustRightInd w:val="0"/>
        <w:snapToGrid w:val="0"/>
        <w:spacing w:line="360" w:lineRule="auto"/>
        <w:jc w:val="both"/>
        <w:rPr>
          <w:rFonts w:ascii="Book Antiqua" w:hAnsi="Book Antiqua"/>
        </w:rPr>
      </w:pPr>
    </w:p>
    <w:p w14:paraId="7333AC3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18, 2020</w:t>
      </w:r>
    </w:p>
    <w:p w14:paraId="2061C76B"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May 3, 2021</w:t>
      </w:r>
    </w:p>
    <w:p w14:paraId="622C11D6"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DB1309">
        <w:rPr>
          <w:rFonts w:ascii="Book Antiqua" w:eastAsia="Book Antiqua" w:hAnsi="Book Antiqua" w:cs="Book Antiqua"/>
          <w:bCs/>
          <w:color w:val="000000"/>
        </w:rPr>
        <w:t>June 25, 2021</w:t>
      </w:r>
    </w:p>
    <w:p w14:paraId="4FB520E6" w14:textId="77777777" w:rsidR="003649F1" w:rsidRDefault="003649F1">
      <w:pPr>
        <w:adjustRightInd w:val="0"/>
        <w:snapToGrid w:val="0"/>
        <w:spacing w:line="360" w:lineRule="auto"/>
        <w:jc w:val="both"/>
        <w:rPr>
          <w:rFonts w:ascii="Book Antiqua" w:hAnsi="Book Antiqua"/>
        </w:rPr>
      </w:pPr>
    </w:p>
    <w:p w14:paraId="72BBEF7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2EDDC4BA"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D0E505"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4EEB54D"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14AE2590"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w:t>
      </w:r>
    </w:p>
    <w:p w14:paraId="77E3CFF0"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0</w:t>
      </w:r>
    </w:p>
    <w:p w14:paraId="79AD2717"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02C195C5"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579B5625" w14:textId="77777777" w:rsidR="003649F1" w:rsidRDefault="003649F1">
      <w:pPr>
        <w:adjustRightInd w:val="0"/>
        <w:snapToGrid w:val="0"/>
        <w:spacing w:line="360" w:lineRule="auto"/>
        <w:jc w:val="both"/>
        <w:rPr>
          <w:rFonts w:ascii="Book Antiqua" w:hAnsi="Book Antiqua"/>
        </w:rPr>
      </w:pPr>
    </w:p>
    <w:p w14:paraId="7D44B064" w14:textId="77777777" w:rsidR="003649F1" w:rsidRPr="0048363D" w:rsidRDefault="003F5E16">
      <w:pPr>
        <w:adjustRightInd w:val="0"/>
        <w:snapToGrid w:val="0"/>
        <w:spacing w:line="360" w:lineRule="auto"/>
        <w:jc w:val="both"/>
        <w:rPr>
          <w:rFonts w:ascii="Book Antiqua" w:hAnsi="Book Antiqua"/>
          <w:lang w:eastAsia="zh-CN"/>
        </w:rPr>
        <w:sectPr w:rsidR="003649F1" w:rsidRPr="0048363D">
          <w:type w:val="continuous"/>
          <w:pgSz w:w="12240" w:h="15840"/>
          <w:pgMar w:top="1440" w:right="1800" w:bottom="1440" w:left="180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Jialal</w:t>
      </w:r>
      <w:proofErr w:type="spellEnd"/>
      <w:r>
        <w:rPr>
          <w:rFonts w:ascii="Book Antiqua" w:eastAsia="Book Antiqua" w:hAnsi="Book Antiqua" w:cs="Book Antiqua"/>
          <w:color w:val="000000"/>
        </w:rPr>
        <w:t xml:space="preserve"> I</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48363D" w:rsidRPr="0048363D">
        <w:rPr>
          <w:rFonts w:ascii="Book Antiqua" w:hAnsi="Book Antiqua" w:cs="Book Antiqua" w:hint="eastAsia"/>
          <w:color w:val="000000"/>
          <w:lang w:eastAsia="zh-CN"/>
        </w:rPr>
        <w:t>Ma YJ</w:t>
      </w:r>
    </w:p>
    <w:p w14:paraId="4F2FF333" w14:textId="77777777" w:rsidR="003649F1" w:rsidRDefault="003F5E16">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7D91C391" w14:textId="77777777" w:rsidR="003649F1" w:rsidRDefault="003F5E16">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C087BEC" w14:textId="77777777" w:rsidR="003649F1" w:rsidRDefault="003F5E16">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128D3595" wp14:editId="4E4D520C">
            <wp:extent cx="5486400" cy="3092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3092450"/>
                    </a:xfrm>
                    <a:prstGeom prst="rect">
                      <a:avLst/>
                    </a:prstGeom>
                  </pic:spPr>
                </pic:pic>
              </a:graphicData>
            </a:graphic>
          </wp:inline>
        </w:drawing>
      </w:r>
    </w:p>
    <w:p w14:paraId="4C86FC74"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1 Changes in body weight of mice in each group.</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H: High dose group; MH: Medium-high dose group; M: Medium dose group; ML: Medium-low dose group; L: Low dose group; C: Control group.</w:t>
      </w:r>
    </w:p>
    <w:p w14:paraId="718FC14F"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32F7E55E"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hAnsi="Book Antiqua"/>
          <w:noProof/>
          <w:lang w:eastAsia="zh-CN"/>
        </w:rPr>
        <w:lastRenderedPageBreak/>
        <w:drawing>
          <wp:inline distT="0" distB="0" distL="0" distR="0" wp14:anchorId="075163B0" wp14:editId="586A1BCC">
            <wp:extent cx="5356860" cy="3013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362149" cy="3016208"/>
                    </a:xfrm>
                    <a:prstGeom prst="rect">
                      <a:avLst/>
                    </a:prstGeom>
                  </pic:spPr>
                </pic:pic>
              </a:graphicData>
            </a:graphic>
          </wp:inline>
        </w:drawing>
      </w:r>
      <w:r>
        <w:rPr>
          <w:rFonts w:ascii="Book Antiqua" w:hAnsi="Book Antiqua"/>
        </w:rPr>
        <w:t xml:space="preserve"> </w:t>
      </w:r>
    </w:p>
    <w:p w14:paraId="6B270FC0"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Changes in liver and fat weights of mice in each group. </w:t>
      </w:r>
      <w:r>
        <w:rPr>
          <w:rFonts w:ascii="Book Antiqua" w:eastAsia="Book Antiqua" w:hAnsi="Book Antiqua" w:cs="Book Antiqua"/>
          <w:color w:val="000000"/>
        </w:rPr>
        <w:t>A: Changes in liver weight of mice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each group; B: Changes in fat weight of mice in each group. </w:t>
      </w:r>
      <w:proofErr w:type="spellStart"/>
      <w:r>
        <w:rPr>
          <w:rFonts w:ascii="Book Antiqua" w:eastAsia="Book Antiqua" w:hAnsi="Book Antiqua" w:cs="Book Antiqua"/>
          <w:i/>
          <w:iCs/>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compared with the control group; </w:t>
      </w:r>
      <w:proofErr w:type="spellStart"/>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compared with the medium dose group; and </w:t>
      </w:r>
      <w:proofErr w:type="spellStart"/>
      <w:r>
        <w:rPr>
          <w:rFonts w:ascii="Book Antiqua" w:eastAsia="Book Antiqua" w:hAnsi="Book Antiqua" w:cs="Book Antiqua"/>
          <w:i/>
          <w:iCs/>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low dose group. H: High dose group; MH: Medium-high dose group; M: Medium dose group; ML: Medium-low dose group; L: Low dose group; C: Control group.</w:t>
      </w:r>
    </w:p>
    <w:p w14:paraId="54943953"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556819AA"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hAnsi="Book Antiqua"/>
        </w:rPr>
        <w:lastRenderedPageBreak/>
        <w:t xml:space="preserve"> </w:t>
      </w:r>
      <w:r>
        <w:rPr>
          <w:rFonts w:ascii="Book Antiqua" w:hAnsi="Book Antiqua"/>
          <w:noProof/>
          <w:lang w:eastAsia="zh-CN"/>
        </w:rPr>
        <w:drawing>
          <wp:inline distT="0" distB="0" distL="0" distR="0" wp14:anchorId="79B9382C" wp14:editId="51ACF2BC">
            <wp:extent cx="5611495" cy="3156585"/>
            <wp:effectExtent l="0" t="0" r="825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618402" cy="3160351"/>
                    </a:xfrm>
                    <a:prstGeom prst="rect">
                      <a:avLst/>
                    </a:prstGeom>
                  </pic:spPr>
                </pic:pic>
              </a:graphicData>
            </a:graphic>
          </wp:inline>
        </w:drawing>
      </w:r>
    </w:p>
    <w:p w14:paraId="15AD79E8"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Figure 3 Effect of </w:t>
      </w:r>
      <w:proofErr w:type="spellStart"/>
      <w:r>
        <w:rPr>
          <w:rFonts w:ascii="Book Antiqua" w:eastAsia="Book Antiqua" w:hAnsi="Book Antiqua" w:cs="Book Antiqua"/>
          <w:b/>
          <w:bCs/>
          <w:color w:val="000000"/>
        </w:rPr>
        <w:t>decabromodiphenyl</w:t>
      </w:r>
      <w:proofErr w:type="spellEnd"/>
      <w:r>
        <w:rPr>
          <w:rFonts w:ascii="Book Antiqua" w:eastAsia="Book Antiqua" w:hAnsi="Book Antiqua" w:cs="Book Antiqua"/>
          <w:b/>
          <w:bCs/>
          <w:color w:val="000000"/>
        </w:rPr>
        <w:t xml:space="preserve"> ether on mouse liver tissue morphology (Hematoxylin and eosin, × 400).</w:t>
      </w:r>
      <w:r>
        <w:rPr>
          <w:rFonts w:ascii="Book Antiqua" w:eastAsia="Book Antiqua" w:hAnsi="Book Antiqua" w:cs="Book Antiqua"/>
          <w:color w:val="000000"/>
        </w:rPr>
        <w:t xml:space="preserve"> A: High dose group; B: Medium-high dose group; C: Medium dose group; D: Medium-low dose group; E: Low dose group; and F: Control group. The red circles refer to the inflammatory cells.</w:t>
      </w:r>
    </w:p>
    <w:p w14:paraId="3B2A8961"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69E52EBE"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hAnsi="Book Antiqua"/>
        </w:rPr>
        <w:lastRenderedPageBreak/>
        <w:t xml:space="preserve"> </w:t>
      </w:r>
      <w:r>
        <w:rPr>
          <w:rFonts w:ascii="Book Antiqua" w:hAnsi="Book Antiqua"/>
          <w:noProof/>
          <w:lang w:eastAsia="zh-CN"/>
        </w:rPr>
        <w:drawing>
          <wp:inline distT="0" distB="0" distL="0" distR="0" wp14:anchorId="72E8EEC9" wp14:editId="6D1D82B6">
            <wp:extent cx="5943600" cy="33432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943600" cy="3343275"/>
                    </a:xfrm>
                    <a:prstGeom prst="rect">
                      <a:avLst/>
                    </a:prstGeom>
                  </pic:spPr>
                </pic:pic>
              </a:graphicData>
            </a:graphic>
          </wp:inline>
        </w:drawing>
      </w:r>
    </w:p>
    <w:p w14:paraId="183F2D6E"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4 Comparisons of serum leptin and adiponectin</w:t>
      </w:r>
      <w:r>
        <w:rPr>
          <w:rFonts w:ascii="Book Antiqua" w:eastAsia="Book Antiqua" w:hAnsi="Book Antiqua" w:cs="Book Antiqua"/>
          <w:color w:val="000000"/>
        </w:rPr>
        <w:t xml:space="preserve"> </w:t>
      </w:r>
      <w:r>
        <w:rPr>
          <w:rFonts w:ascii="Book Antiqua" w:eastAsia="Book Antiqua" w:hAnsi="Book Antiqua" w:cs="Book Antiqua"/>
          <w:b/>
          <w:bCs/>
          <w:color w:val="000000"/>
        </w:rPr>
        <w:t>levels of mice in each group.</w:t>
      </w:r>
      <w:r>
        <w:rPr>
          <w:rFonts w:ascii="Book Antiqua" w:eastAsia="Book Antiqua" w:hAnsi="Book Antiqua" w:cs="Book Antiqua"/>
          <w:color w:val="000000"/>
        </w:rPr>
        <w:t xml:space="preserve"> A: Comparisons of serum leptin levels of mice in each group; B: Comparisons of serum adiponectin levels of mice in each group. </w:t>
      </w:r>
      <w:proofErr w:type="spellStart"/>
      <w:r>
        <w:rPr>
          <w:rFonts w:ascii="Book Antiqua" w:eastAsia="Book Antiqua" w:hAnsi="Book Antiqua" w:cs="Book Antiqua"/>
          <w:i/>
          <w:iCs/>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compared with the control group; </w:t>
      </w:r>
      <w:proofErr w:type="spellStart"/>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medium dose group; and </w:t>
      </w:r>
      <w:proofErr w:type="spellStart"/>
      <w:r>
        <w:rPr>
          <w:rFonts w:ascii="Book Antiqua" w:eastAsia="Book Antiqua" w:hAnsi="Book Antiqua" w:cs="Book Antiqua"/>
          <w:i/>
          <w:iCs/>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low dose group. H: High dose group; MH: Medium-high dose group; M: Medium dose group; ML: Medium-low dose group; L: Low dose group; C: Control group.</w:t>
      </w:r>
    </w:p>
    <w:p w14:paraId="4ABE98D8"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0CFA860A"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202C7D53" wp14:editId="65D0A0B5">
            <wp:extent cx="5943600" cy="33432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943600" cy="3343275"/>
                    </a:xfrm>
                    <a:prstGeom prst="rect">
                      <a:avLst/>
                    </a:prstGeom>
                  </pic:spPr>
                </pic:pic>
              </a:graphicData>
            </a:graphic>
          </wp:inline>
        </w:drawing>
      </w:r>
    </w:p>
    <w:p w14:paraId="01F4F2DF"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5 Comparison of adiponectin protein expression in liver tissue of mice in each group.</w:t>
      </w:r>
      <w:r>
        <w:rPr>
          <w:rFonts w:ascii="Book Antiqua" w:eastAsia="Book Antiqua" w:hAnsi="Book Antiqua" w:cs="Book Antiqua"/>
          <w:color w:val="000000"/>
        </w:rPr>
        <w:t xml:space="preserve"> A: Quantification of the data presented in B; B: Immunoblots of each group. </w:t>
      </w:r>
      <w:proofErr w:type="spellStart"/>
      <w:r>
        <w:rPr>
          <w:rFonts w:ascii="Book Antiqua" w:eastAsia="Book Antiqua" w:hAnsi="Book Antiqua" w:cs="Book Antiqua"/>
          <w:i/>
          <w:iCs/>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control group; </w:t>
      </w:r>
      <w:proofErr w:type="spellStart"/>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medium dose group; and </w:t>
      </w:r>
      <w:proofErr w:type="spellStart"/>
      <w:r>
        <w:rPr>
          <w:rFonts w:ascii="Book Antiqua" w:eastAsia="Book Antiqua" w:hAnsi="Book Antiqua" w:cs="Book Antiqua"/>
          <w:i/>
          <w:iCs/>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low dose group. H: High dose group; MH: Medium-high dose group; M: Medium dose group; ML: Medium-low dose group; L: Low dose group; C: Control group.</w:t>
      </w:r>
    </w:p>
    <w:p w14:paraId="2D160232"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405EFFF3"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0FB22B81" wp14:editId="413BAEFB">
            <wp:extent cx="5943600" cy="33432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943600" cy="3343275"/>
                    </a:xfrm>
                    <a:prstGeom prst="rect">
                      <a:avLst/>
                    </a:prstGeom>
                  </pic:spPr>
                </pic:pic>
              </a:graphicData>
            </a:graphic>
          </wp:inline>
        </w:drawing>
      </w:r>
    </w:p>
    <w:p w14:paraId="178DD835"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6 Comparison of leptin protein expression in liver tissue of mice in each group.</w:t>
      </w:r>
      <w:r>
        <w:rPr>
          <w:rFonts w:ascii="Book Antiqua" w:eastAsia="Book Antiqua" w:hAnsi="Book Antiqua" w:cs="Book Antiqua"/>
          <w:color w:val="000000"/>
        </w:rPr>
        <w:t xml:space="preserve"> A: Quantification of the data presented in B; B: Immunoblots of each group. </w:t>
      </w:r>
      <w:proofErr w:type="spellStart"/>
      <w:r>
        <w:rPr>
          <w:rFonts w:ascii="Book Antiqua" w:eastAsia="Book Antiqua" w:hAnsi="Book Antiqua" w:cs="Book Antiqua"/>
          <w:i/>
          <w:iCs/>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0.05 compared with the control group;</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medium dose group; and </w:t>
      </w:r>
      <w:proofErr w:type="spellStart"/>
      <w:r>
        <w:rPr>
          <w:rFonts w:ascii="Book Antiqua" w:eastAsia="Book Antiqua" w:hAnsi="Book Antiqua" w:cs="Book Antiqua"/>
          <w:i/>
          <w:iCs/>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low dose group. H: High dose group; MH: Medium-high dose group; M: Medium dose group; ML: Medium-low dose group; L: Low dose group; C: Control group.</w:t>
      </w:r>
    </w:p>
    <w:p w14:paraId="37AC354F"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29B4B916" wp14:editId="152D5C08">
            <wp:extent cx="5943600" cy="33432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943600" cy="3343275"/>
                    </a:xfrm>
                    <a:prstGeom prst="rect">
                      <a:avLst/>
                    </a:prstGeom>
                  </pic:spPr>
                </pic:pic>
              </a:graphicData>
            </a:graphic>
          </wp:inline>
        </w:drawing>
      </w:r>
      <w:r>
        <w:rPr>
          <w:rFonts w:ascii="Book Antiqua" w:eastAsia="Book Antiqua" w:hAnsi="Book Antiqua" w:cs="Book Antiqua"/>
          <w:color w:val="000000"/>
        </w:rPr>
        <w:t xml:space="preserve"> </w:t>
      </w:r>
      <w:r>
        <w:rPr>
          <w:rFonts w:ascii="Book Antiqua" w:eastAsia="Book Antiqua" w:hAnsi="Book Antiqua" w:cs="Book Antiqua"/>
          <w:b/>
          <w:bCs/>
          <w:color w:val="000000"/>
        </w:rPr>
        <w:t>Figure 7 Comparison of peroxisome proliferators activated receptor-γ</w:t>
      </w:r>
      <w:r>
        <w:rPr>
          <w:rFonts w:ascii="Book Antiqua" w:eastAsia="Book Antiqua" w:hAnsi="Book Antiqua" w:cs="Book Antiqua"/>
          <w:b/>
          <w:bCs/>
          <w:i/>
          <w:iCs/>
          <w:color w:val="000000"/>
        </w:rPr>
        <w:t xml:space="preserve"> </w:t>
      </w:r>
      <w:r>
        <w:rPr>
          <w:rFonts w:ascii="Book Antiqua" w:eastAsia="Book Antiqua" w:hAnsi="Book Antiqua" w:cs="Book Antiqua"/>
          <w:b/>
          <w:bCs/>
          <w:color w:val="000000"/>
        </w:rPr>
        <w:t xml:space="preserve">protein expression in liver tissue of mice in each group. </w:t>
      </w:r>
      <w:r>
        <w:rPr>
          <w:rFonts w:ascii="Book Antiqua" w:eastAsia="Book Antiqua" w:hAnsi="Book Antiqua" w:cs="Book Antiqua"/>
          <w:color w:val="000000"/>
        </w:rPr>
        <w:t xml:space="preserve">A: Quantification of the data presented in B; B: Immunoblots of each group. </w:t>
      </w:r>
      <w:proofErr w:type="spellStart"/>
      <w:r>
        <w:rPr>
          <w:rFonts w:ascii="Book Antiqua" w:eastAsia="Book Antiqua" w:hAnsi="Book Antiqua" w:cs="Book Antiqua"/>
          <w:i/>
          <w:iCs/>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control group;</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medium dose group; and </w:t>
      </w:r>
      <w:proofErr w:type="spellStart"/>
      <w:r>
        <w:rPr>
          <w:rFonts w:ascii="Book Antiqua" w:eastAsia="Book Antiqua" w:hAnsi="Book Antiqua" w:cs="Book Antiqua"/>
          <w:i/>
          <w:iCs/>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low dose group. H: High dose group; MH: Medium-high dose group; M: Medium dose group; ML: Medium-low dose group; L: Low dose group; C: Control group. </w:t>
      </w:r>
    </w:p>
    <w:p w14:paraId="6485D92F"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7DE9D6D5"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08306CFC" wp14:editId="44D1BD5D">
            <wp:extent cx="5943600" cy="3343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943600" cy="3343275"/>
                    </a:xfrm>
                    <a:prstGeom prst="rect">
                      <a:avLst/>
                    </a:prstGeom>
                  </pic:spPr>
                </pic:pic>
              </a:graphicData>
            </a:graphic>
          </wp:inline>
        </w:drawing>
      </w:r>
    </w:p>
    <w:p w14:paraId="0EE3A5C3"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 Comparison of adiponectin protein expression in adipose tissue of mice in each group.</w:t>
      </w:r>
      <w:r>
        <w:rPr>
          <w:rFonts w:ascii="Book Antiqua" w:eastAsia="Book Antiqua" w:hAnsi="Book Antiqua" w:cs="Book Antiqua"/>
          <w:color w:val="000000"/>
        </w:rPr>
        <w:t xml:space="preserve"> A: Quantification of the data presented in B; B: Immunoblots of each group. </w:t>
      </w:r>
      <w:proofErr w:type="spellStart"/>
      <w:r>
        <w:rPr>
          <w:rFonts w:ascii="Book Antiqua" w:eastAsia="Book Antiqua" w:hAnsi="Book Antiqua" w:cs="Book Antiqua"/>
          <w:i/>
          <w:iCs/>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control group; </w:t>
      </w:r>
      <w:proofErr w:type="spellStart"/>
      <w:r>
        <w:rPr>
          <w:rFonts w:ascii="Book Antiqua" w:eastAsia="Book Antiqua" w:hAnsi="Book Antiqua" w:cs="Book Antiqua"/>
          <w:i/>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medium dose group; and </w:t>
      </w:r>
      <w:proofErr w:type="spellStart"/>
      <w:r>
        <w:rPr>
          <w:rFonts w:ascii="Book Antiqua" w:eastAsia="Book Antiqua" w:hAnsi="Book Antiqua" w:cs="Book Antiqua"/>
          <w:i/>
          <w:iCs/>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low dose group. H: High dose group; MH: Medium-high dose group; M: Medium dose group; ML: Medium-low dose group; L: Low dose group; C: Control group.</w:t>
      </w:r>
      <w:r>
        <w:rPr>
          <w:rFonts w:ascii="Book Antiqua" w:eastAsia="Book Antiqua" w:hAnsi="Book Antiqua" w:cs="Book Antiqua"/>
          <w:color w:val="000000"/>
        </w:rPr>
        <w:cr/>
      </w:r>
      <w:r>
        <w:rPr>
          <w:rFonts w:ascii="Book Antiqua" w:eastAsia="Book Antiqua" w:hAnsi="Book Antiqua" w:cs="Book Antiqua"/>
          <w:color w:val="000000"/>
        </w:rPr>
        <w:br w:type="page"/>
      </w:r>
    </w:p>
    <w:p w14:paraId="4E5AF165"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3D5A6D01" wp14:editId="51149F7F">
            <wp:extent cx="5943600" cy="33432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943600" cy="3343275"/>
                    </a:xfrm>
                    <a:prstGeom prst="rect">
                      <a:avLst/>
                    </a:prstGeom>
                  </pic:spPr>
                </pic:pic>
              </a:graphicData>
            </a:graphic>
          </wp:inline>
        </w:drawing>
      </w:r>
    </w:p>
    <w:p w14:paraId="11EB9B71" w14:textId="77777777" w:rsidR="003649F1" w:rsidRDefault="003F5E16">
      <w:pPr>
        <w:adjustRightInd w:val="0"/>
        <w:snapToGrid w:val="0"/>
        <w:spacing w:line="360" w:lineRule="auto"/>
        <w:jc w:val="both"/>
        <w:rPr>
          <w:rFonts w:ascii="Book Antiqua" w:hAnsi="Book Antiqua"/>
        </w:rPr>
      </w:pPr>
      <w:r>
        <w:rPr>
          <w:rFonts w:ascii="Book Antiqua" w:eastAsia="Book Antiqua" w:hAnsi="Book Antiqua" w:cs="Book Antiqua"/>
          <w:b/>
          <w:bCs/>
          <w:color w:val="000000"/>
        </w:rPr>
        <w:t>Figure 9 Comparison of leptin protein expression in adipose tissue of mice in each group.</w:t>
      </w:r>
      <w:r>
        <w:rPr>
          <w:rFonts w:ascii="Book Antiqua" w:eastAsia="Book Antiqua" w:hAnsi="Book Antiqua" w:cs="Book Antiqua"/>
          <w:color w:val="000000"/>
        </w:rPr>
        <w:t xml:space="preserve"> A: Quantification of the data presented in B; B: Immunoblots of each group.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control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medium dose group; and </w:t>
      </w:r>
      <w:proofErr w:type="spellStart"/>
      <w:r>
        <w:rPr>
          <w:rFonts w:ascii="Book Antiqua" w:eastAsia="Book Antiqua" w:hAnsi="Book Antiqua" w:cs="Book Antiqua"/>
          <w:i/>
          <w:iCs/>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low dose group. H: High dose group; MH: Medium-high dose group; M: Medium dose group; ML: Medium-low dose group; L: Low dose group; C: Control group.</w:t>
      </w:r>
    </w:p>
    <w:p w14:paraId="16B6F92C"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0481CC87"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1F37A6B4" wp14:editId="3502F985">
            <wp:extent cx="5943600" cy="33432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943600" cy="3343275"/>
                    </a:xfrm>
                    <a:prstGeom prst="rect">
                      <a:avLst/>
                    </a:prstGeom>
                  </pic:spPr>
                </pic:pic>
              </a:graphicData>
            </a:graphic>
          </wp:inline>
        </w:drawing>
      </w:r>
    </w:p>
    <w:p w14:paraId="02900BB9" w14:textId="77777777" w:rsidR="003649F1" w:rsidRDefault="003F5E16">
      <w:pPr>
        <w:adjustRightInd w:val="0"/>
        <w:snapToGrid w:val="0"/>
        <w:spacing w:line="360" w:lineRule="auto"/>
        <w:jc w:val="both"/>
        <w:rPr>
          <w:rFonts w:ascii="Book Antiqua" w:eastAsia="Book Antiqua" w:hAnsi="Book Antiqua" w:cs="Book Antiqua"/>
          <w:color w:val="000000"/>
        </w:rPr>
        <w:sectPr w:rsidR="003649F1">
          <w:type w:val="continuous"/>
          <w:pgSz w:w="12240" w:h="15840"/>
          <w:pgMar w:top="1440" w:right="1800" w:bottom="1440" w:left="1800" w:header="720" w:footer="720" w:gutter="0"/>
          <w:cols w:space="720"/>
          <w:docGrid w:linePitch="360"/>
        </w:sectPr>
      </w:pPr>
      <w:r>
        <w:rPr>
          <w:rFonts w:ascii="Book Antiqua" w:eastAsia="Book Antiqua" w:hAnsi="Book Antiqua" w:cs="Book Antiqua"/>
          <w:b/>
          <w:bCs/>
          <w:color w:val="000000"/>
        </w:rPr>
        <w:t xml:space="preserve">Figure 10 Comparison of peroxisome proliferator activated receptor-γ protein expression in adipose tissue of mice in each group. </w:t>
      </w:r>
      <w:r>
        <w:rPr>
          <w:rFonts w:ascii="Book Antiqua" w:eastAsia="Book Antiqua" w:hAnsi="Book Antiqua" w:cs="Book Antiqua"/>
          <w:color w:val="000000"/>
        </w:rPr>
        <w:t>A: Quantification of the data presented in B; B: Immunoblots of each group;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control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compared with the medium dose group; and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0.05 compared with the low dose group. H: High dose group; MH: Medium-high dose group; M: Medium dose group; ML: Medium-low dose group; L: Low dose group; C: Control group.</w:t>
      </w:r>
    </w:p>
    <w:p w14:paraId="6B1E5FEB" w14:textId="77777777" w:rsidR="003649F1" w:rsidRDefault="003F5E16">
      <w:pPr>
        <w:adjustRightInd w:val="0"/>
        <w:snapToGrid w:val="0"/>
        <w:spacing w:line="360" w:lineRule="auto"/>
        <w:jc w:val="both"/>
        <w:rPr>
          <w:rFonts w:ascii="Book Antiqua" w:eastAsia="Book Antiqua" w:hAnsi="Book Antiqua" w:cs="Book Antiqua"/>
          <w:b/>
          <w:color w:val="000000"/>
        </w:rPr>
      </w:pPr>
      <w:r>
        <w:rPr>
          <w:rFonts w:ascii="Book Antiqua" w:hAnsi="Book Antiqua"/>
          <w:b/>
        </w:rPr>
        <w:lastRenderedPageBreak/>
        <w:t xml:space="preserve">Table 1 Primer sequences for </w:t>
      </w:r>
      <w:r>
        <w:rPr>
          <w:rFonts w:ascii="Book Antiqua" w:eastAsia="Book Antiqua" w:hAnsi="Book Antiqua" w:cs="Book Antiqua"/>
          <w:b/>
          <w:color w:val="000000"/>
        </w:rPr>
        <w:t xml:space="preserve">real-time quantitative polymerase chain </w:t>
      </w:r>
      <w:r>
        <w:rPr>
          <w:rFonts w:ascii="Book Antiqua" w:hAnsi="Book Antiqua"/>
          <w:b/>
        </w:rPr>
        <w:t>reactions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1"/>
        <w:gridCol w:w="5853"/>
        <w:gridCol w:w="3540"/>
      </w:tblGrid>
      <w:tr w:rsidR="003649F1" w14:paraId="34AA8912" w14:textId="77777777" w:rsidTr="00281445">
        <w:tc>
          <w:tcPr>
            <w:tcW w:w="4306" w:type="dxa"/>
            <w:tcBorders>
              <w:top w:val="single" w:sz="4" w:space="0" w:color="auto"/>
              <w:bottom w:val="single" w:sz="4" w:space="0" w:color="auto"/>
            </w:tcBorders>
          </w:tcPr>
          <w:p w14:paraId="07529E8E" w14:textId="77777777" w:rsidR="003649F1" w:rsidRDefault="003F5E16">
            <w:pPr>
              <w:adjustRightInd w:val="0"/>
              <w:snapToGrid w:val="0"/>
              <w:spacing w:line="360" w:lineRule="auto"/>
              <w:rPr>
                <w:rFonts w:ascii="Book Antiqua" w:eastAsia="Times New Roman" w:hAnsi="Book Antiqua"/>
                <w:b/>
                <w:bCs/>
                <w:kern w:val="2"/>
                <w:lang w:eastAsia="zh-CN"/>
              </w:rPr>
            </w:pPr>
            <w:r>
              <w:rPr>
                <w:rFonts w:ascii="Book Antiqua" w:eastAsia="Times New Roman" w:hAnsi="Book Antiqua"/>
                <w:b/>
                <w:bCs/>
                <w:lang w:eastAsia="zh-CN"/>
              </w:rPr>
              <w:t>Gene</w:t>
            </w:r>
          </w:p>
        </w:tc>
        <w:tc>
          <w:tcPr>
            <w:tcW w:w="5900" w:type="dxa"/>
            <w:tcBorders>
              <w:top w:val="single" w:sz="4" w:space="0" w:color="auto"/>
              <w:bottom w:val="single" w:sz="4" w:space="0" w:color="auto"/>
            </w:tcBorders>
          </w:tcPr>
          <w:p w14:paraId="07997273" w14:textId="77777777" w:rsidR="003649F1" w:rsidRDefault="003F5E16">
            <w:pPr>
              <w:adjustRightInd w:val="0"/>
              <w:snapToGrid w:val="0"/>
              <w:spacing w:line="360" w:lineRule="auto"/>
              <w:rPr>
                <w:rFonts w:ascii="Book Antiqua" w:eastAsia="Times New Roman" w:hAnsi="Book Antiqua"/>
                <w:b/>
                <w:bCs/>
                <w:lang w:eastAsia="zh-CN"/>
              </w:rPr>
            </w:pPr>
            <w:r>
              <w:rPr>
                <w:rFonts w:ascii="Book Antiqua" w:eastAsia="Times New Roman" w:hAnsi="Book Antiqua"/>
                <w:b/>
                <w:bCs/>
                <w:lang w:eastAsia="zh-CN"/>
              </w:rPr>
              <w:t>Primer sequences (5'→3')</w:t>
            </w:r>
          </w:p>
        </w:tc>
        <w:tc>
          <w:tcPr>
            <w:tcW w:w="3752" w:type="dxa"/>
            <w:tcBorders>
              <w:top w:val="single" w:sz="4" w:space="0" w:color="auto"/>
              <w:bottom w:val="single" w:sz="4" w:space="0" w:color="auto"/>
            </w:tcBorders>
          </w:tcPr>
          <w:p w14:paraId="24C8567C" w14:textId="77777777" w:rsidR="003649F1" w:rsidRDefault="003F5E16">
            <w:pPr>
              <w:adjustRightInd w:val="0"/>
              <w:snapToGrid w:val="0"/>
              <w:spacing w:line="360" w:lineRule="auto"/>
              <w:rPr>
                <w:rFonts w:ascii="Book Antiqua" w:eastAsia="Times New Roman" w:hAnsi="Book Antiqua"/>
                <w:b/>
                <w:bCs/>
                <w:lang w:eastAsia="zh-CN"/>
              </w:rPr>
            </w:pPr>
            <w:r>
              <w:rPr>
                <w:rFonts w:ascii="Book Antiqua" w:eastAsia="Times New Roman" w:hAnsi="Book Antiqua"/>
                <w:b/>
                <w:bCs/>
                <w:lang w:eastAsia="zh-CN"/>
              </w:rPr>
              <w:t>Length/bp</w:t>
            </w:r>
          </w:p>
        </w:tc>
      </w:tr>
      <w:tr w:rsidR="003649F1" w14:paraId="40C8A6A4" w14:textId="77777777" w:rsidTr="00281445">
        <w:tc>
          <w:tcPr>
            <w:tcW w:w="4306" w:type="dxa"/>
            <w:tcBorders>
              <w:top w:val="single" w:sz="4" w:space="0" w:color="auto"/>
            </w:tcBorders>
          </w:tcPr>
          <w:p w14:paraId="0D594FF5" w14:textId="77777777" w:rsidR="003649F1" w:rsidRDefault="003F5E16">
            <w:pPr>
              <w:adjustRightInd w:val="0"/>
              <w:snapToGrid w:val="0"/>
              <w:spacing w:line="360" w:lineRule="auto"/>
              <w:rPr>
                <w:rFonts w:ascii="Book Antiqua" w:eastAsia="Times New Roman" w:hAnsi="Book Antiqua"/>
                <w:i/>
                <w:lang w:eastAsia="zh-CN"/>
              </w:rPr>
            </w:pPr>
            <w:proofErr w:type="spellStart"/>
            <w:r>
              <w:rPr>
                <w:rFonts w:ascii="Book Antiqua" w:eastAsia="Times New Roman" w:hAnsi="Book Antiqua"/>
                <w:i/>
                <w:lang w:eastAsia="zh-CN"/>
              </w:rPr>
              <w:t>PPARγ</w:t>
            </w:r>
            <w:proofErr w:type="spellEnd"/>
          </w:p>
        </w:tc>
        <w:tc>
          <w:tcPr>
            <w:tcW w:w="5900" w:type="dxa"/>
            <w:tcBorders>
              <w:top w:val="single" w:sz="4" w:space="0" w:color="auto"/>
            </w:tcBorders>
          </w:tcPr>
          <w:p w14:paraId="365D2A5E"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F-CTCCAAGAATACCAAAGTGCGA</w:t>
            </w:r>
          </w:p>
        </w:tc>
        <w:tc>
          <w:tcPr>
            <w:tcW w:w="3752" w:type="dxa"/>
            <w:tcBorders>
              <w:top w:val="single" w:sz="4" w:space="0" w:color="auto"/>
            </w:tcBorders>
          </w:tcPr>
          <w:p w14:paraId="2F2F331D"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104</w:t>
            </w:r>
          </w:p>
        </w:tc>
      </w:tr>
      <w:tr w:rsidR="003649F1" w14:paraId="29B9D3B2" w14:textId="77777777" w:rsidTr="00DC18E1">
        <w:tc>
          <w:tcPr>
            <w:tcW w:w="4306" w:type="dxa"/>
          </w:tcPr>
          <w:p w14:paraId="6CADC9E0" w14:textId="77777777" w:rsidR="003649F1" w:rsidRDefault="003649F1">
            <w:pPr>
              <w:adjustRightInd w:val="0"/>
              <w:snapToGrid w:val="0"/>
              <w:spacing w:line="360" w:lineRule="auto"/>
              <w:rPr>
                <w:rFonts w:ascii="Book Antiqua" w:eastAsia="Times New Roman" w:hAnsi="Book Antiqua"/>
                <w:lang w:eastAsia="zh-CN"/>
              </w:rPr>
            </w:pPr>
          </w:p>
        </w:tc>
        <w:tc>
          <w:tcPr>
            <w:tcW w:w="5900" w:type="dxa"/>
          </w:tcPr>
          <w:p w14:paraId="62269095"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R-GCCTGATGCTTTATCCCCACA</w:t>
            </w:r>
          </w:p>
        </w:tc>
        <w:tc>
          <w:tcPr>
            <w:tcW w:w="3752" w:type="dxa"/>
          </w:tcPr>
          <w:p w14:paraId="7C8587DB" w14:textId="77777777" w:rsidR="003649F1" w:rsidRDefault="003649F1">
            <w:pPr>
              <w:adjustRightInd w:val="0"/>
              <w:snapToGrid w:val="0"/>
              <w:spacing w:line="360" w:lineRule="auto"/>
              <w:rPr>
                <w:rFonts w:ascii="Book Antiqua" w:eastAsia="Times New Roman" w:hAnsi="Book Antiqua"/>
                <w:lang w:eastAsia="zh-CN"/>
              </w:rPr>
            </w:pPr>
          </w:p>
        </w:tc>
      </w:tr>
      <w:tr w:rsidR="003649F1" w14:paraId="1F56D3A8" w14:textId="77777777" w:rsidTr="00DC18E1">
        <w:tc>
          <w:tcPr>
            <w:tcW w:w="4306" w:type="dxa"/>
          </w:tcPr>
          <w:p w14:paraId="58FB264F"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Adiponectin</w:t>
            </w:r>
          </w:p>
        </w:tc>
        <w:tc>
          <w:tcPr>
            <w:tcW w:w="5900" w:type="dxa"/>
          </w:tcPr>
          <w:p w14:paraId="35F98BF4"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F-ATCTGGAGGTGGGAGACCAA</w:t>
            </w:r>
          </w:p>
        </w:tc>
        <w:tc>
          <w:tcPr>
            <w:tcW w:w="3752" w:type="dxa"/>
          </w:tcPr>
          <w:p w14:paraId="417ACEA8"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144</w:t>
            </w:r>
          </w:p>
        </w:tc>
      </w:tr>
      <w:tr w:rsidR="003649F1" w14:paraId="6D34DF5E" w14:textId="77777777" w:rsidTr="00DC18E1">
        <w:tc>
          <w:tcPr>
            <w:tcW w:w="4306" w:type="dxa"/>
          </w:tcPr>
          <w:p w14:paraId="61029897" w14:textId="77777777" w:rsidR="003649F1" w:rsidRDefault="003649F1">
            <w:pPr>
              <w:adjustRightInd w:val="0"/>
              <w:snapToGrid w:val="0"/>
              <w:spacing w:line="360" w:lineRule="auto"/>
              <w:rPr>
                <w:rFonts w:ascii="Book Antiqua" w:eastAsia="Times New Roman" w:hAnsi="Book Antiqua"/>
                <w:lang w:eastAsia="zh-CN"/>
              </w:rPr>
            </w:pPr>
          </w:p>
        </w:tc>
        <w:tc>
          <w:tcPr>
            <w:tcW w:w="5900" w:type="dxa"/>
          </w:tcPr>
          <w:p w14:paraId="3BA4BA6A"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R-GGGCATTGGGTAGTTGCAGT</w:t>
            </w:r>
          </w:p>
        </w:tc>
        <w:tc>
          <w:tcPr>
            <w:tcW w:w="3752" w:type="dxa"/>
          </w:tcPr>
          <w:p w14:paraId="39903B04" w14:textId="77777777" w:rsidR="003649F1" w:rsidRDefault="003649F1">
            <w:pPr>
              <w:adjustRightInd w:val="0"/>
              <w:snapToGrid w:val="0"/>
              <w:spacing w:line="360" w:lineRule="auto"/>
              <w:rPr>
                <w:rFonts w:ascii="Book Antiqua" w:eastAsia="Times New Roman" w:hAnsi="Book Antiqua"/>
                <w:lang w:eastAsia="zh-CN"/>
              </w:rPr>
            </w:pPr>
          </w:p>
        </w:tc>
      </w:tr>
      <w:tr w:rsidR="003649F1" w14:paraId="7232D56D" w14:textId="77777777" w:rsidTr="00DC18E1">
        <w:tc>
          <w:tcPr>
            <w:tcW w:w="4306" w:type="dxa"/>
          </w:tcPr>
          <w:p w14:paraId="206A0DF7"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sym w:font="Symbol" w:char="F062"/>
            </w:r>
            <w:r>
              <w:rPr>
                <w:rFonts w:ascii="Book Antiqua" w:eastAsia="Times New Roman" w:hAnsi="Book Antiqua"/>
                <w:lang w:eastAsia="zh-CN"/>
              </w:rPr>
              <w:t>-actin</w:t>
            </w:r>
          </w:p>
        </w:tc>
        <w:tc>
          <w:tcPr>
            <w:tcW w:w="5900" w:type="dxa"/>
          </w:tcPr>
          <w:p w14:paraId="1FA6771A"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F-AGAGGGAAATCGTGCGTGACATCAAAGAG</w:t>
            </w:r>
          </w:p>
        </w:tc>
        <w:tc>
          <w:tcPr>
            <w:tcW w:w="3752" w:type="dxa"/>
          </w:tcPr>
          <w:p w14:paraId="5033E707"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196</w:t>
            </w:r>
          </w:p>
        </w:tc>
      </w:tr>
      <w:tr w:rsidR="003649F1" w14:paraId="413D1BA2" w14:textId="77777777" w:rsidTr="00DC18E1">
        <w:tc>
          <w:tcPr>
            <w:tcW w:w="4306" w:type="dxa"/>
          </w:tcPr>
          <w:p w14:paraId="2332A74B" w14:textId="77777777" w:rsidR="003649F1" w:rsidRDefault="003649F1">
            <w:pPr>
              <w:adjustRightInd w:val="0"/>
              <w:snapToGrid w:val="0"/>
              <w:spacing w:line="360" w:lineRule="auto"/>
              <w:rPr>
                <w:rFonts w:ascii="Book Antiqua" w:eastAsia="Times New Roman" w:hAnsi="Book Antiqua"/>
                <w:lang w:eastAsia="zh-CN"/>
              </w:rPr>
            </w:pPr>
          </w:p>
        </w:tc>
        <w:tc>
          <w:tcPr>
            <w:tcW w:w="5900" w:type="dxa"/>
          </w:tcPr>
          <w:p w14:paraId="6948A2EA"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R-GATGCCACAGGATTCCATACCCAAGAAGG</w:t>
            </w:r>
          </w:p>
        </w:tc>
        <w:tc>
          <w:tcPr>
            <w:tcW w:w="3752" w:type="dxa"/>
          </w:tcPr>
          <w:p w14:paraId="229ECD77" w14:textId="77777777" w:rsidR="003649F1" w:rsidRDefault="003649F1">
            <w:pPr>
              <w:adjustRightInd w:val="0"/>
              <w:snapToGrid w:val="0"/>
              <w:spacing w:line="360" w:lineRule="auto"/>
              <w:rPr>
                <w:rFonts w:ascii="Book Antiqua" w:eastAsia="Times New Roman" w:hAnsi="Book Antiqua"/>
                <w:lang w:eastAsia="zh-CN"/>
              </w:rPr>
            </w:pPr>
          </w:p>
        </w:tc>
      </w:tr>
      <w:tr w:rsidR="003649F1" w14:paraId="6D559C4A" w14:textId="77777777" w:rsidTr="00DC18E1">
        <w:tc>
          <w:tcPr>
            <w:tcW w:w="4306" w:type="dxa"/>
          </w:tcPr>
          <w:p w14:paraId="6059E1AD"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Leptin</w:t>
            </w:r>
          </w:p>
        </w:tc>
        <w:tc>
          <w:tcPr>
            <w:tcW w:w="5900" w:type="dxa"/>
          </w:tcPr>
          <w:p w14:paraId="7333A327"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F: AGAGTGACAGGAAGTGCTGAGAGG</w:t>
            </w:r>
          </w:p>
        </w:tc>
        <w:tc>
          <w:tcPr>
            <w:tcW w:w="3752" w:type="dxa"/>
          </w:tcPr>
          <w:p w14:paraId="1F07124B"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106</w:t>
            </w:r>
          </w:p>
        </w:tc>
      </w:tr>
      <w:tr w:rsidR="003649F1" w14:paraId="4923A7F9" w14:textId="77777777" w:rsidTr="00DC18E1">
        <w:tc>
          <w:tcPr>
            <w:tcW w:w="4306" w:type="dxa"/>
          </w:tcPr>
          <w:p w14:paraId="0859A2F2" w14:textId="77777777" w:rsidR="003649F1" w:rsidRDefault="003649F1">
            <w:pPr>
              <w:adjustRightInd w:val="0"/>
              <w:snapToGrid w:val="0"/>
              <w:spacing w:line="360" w:lineRule="auto"/>
              <w:rPr>
                <w:rFonts w:ascii="Book Antiqua" w:eastAsia="Times New Roman" w:hAnsi="Book Antiqua"/>
                <w:i/>
                <w:lang w:eastAsia="zh-CN"/>
              </w:rPr>
            </w:pPr>
          </w:p>
        </w:tc>
        <w:tc>
          <w:tcPr>
            <w:tcW w:w="5900" w:type="dxa"/>
          </w:tcPr>
          <w:p w14:paraId="71CCCC4B" w14:textId="77777777" w:rsidR="003649F1" w:rsidRDefault="003F5E16">
            <w:pPr>
              <w:adjustRightInd w:val="0"/>
              <w:snapToGrid w:val="0"/>
              <w:spacing w:line="360" w:lineRule="auto"/>
              <w:rPr>
                <w:rFonts w:ascii="Book Antiqua" w:eastAsia="Times New Roman" w:hAnsi="Book Antiqua"/>
                <w:lang w:eastAsia="zh-CN"/>
              </w:rPr>
            </w:pPr>
            <w:r>
              <w:rPr>
                <w:rFonts w:ascii="Book Antiqua" w:eastAsia="Times New Roman" w:hAnsi="Book Antiqua"/>
                <w:lang w:eastAsia="zh-CN"/>
              </w:rPr>
              <w:t>R: TCTGACACCAGCCACCACGAG</w:t>
            </w:r>
          </w:p>
        </w:tc>
        <w:tc>
          <w:tcPr>
            <w:tcW w:w="3752" w:type="dxa"/>
          </w:tcPr>
          <w:p w14:paraId="58C643CB" w14:textId="77777777" w:rsidR="003649F1" w:rsidRDefault="003649F1">
            <w:pPr>
              <w:adjustRightInd w:val="0"/>
              <w:snapToGrid w:val="0"/>
              <w:spacing w:line="360" w:lineRule="auto"/>
              <w:rPr>
                <w:rFonts w:ascii="Book Antiqua" w:eastAsia="Times New Roman" w:hAnsi="Book Antiqua"/>
                <w:kern w:val="2"/>
                <w:lang w:eastAsia="zh-CN"/>
              </w:rPr>
            </w:pPr>
          </w:p>
        </w:tc>
      </w:tr>
    </w:tbl>
    <w:p w14:paraId="77EFE481" w14:textId="77777777" w:rsidR="003649F1" w:rsidRDefault="003F5E16">
      <w:pPr>
        <w:pStyle w:val="NormalIndent1"/>
        <w:adjustRightInd w:val="0"/>
        <w:snapToGrid w:val="0"/>
        <w:spacing w:line="360" w:lineRule="auto"/>
        <w:ind w:firstLine="0"/>
        <w:rPr>
          <w:rFonts w:ascii="Book Antiqua" w:hAnsi="Book Antiqua"/>
          <w:bCs/>
          <w:kern w:val="0"/>
          <w:sz w:val="24"/>
          <w:szCs w:val="24"/>
        </w:rPr>
      </w:pPr>
      <w:r>
        <w:rPr>
          <w:rFonts w:ascii="Book Antiqua" w:hAnsi="Book Antiqua"/>
          <w:bCs/>
          <w:kern w:val="0"/>
          <w:sz w:val="24"/>
          <w:szCs w:val="24"/>
        </w:rPr>
        <w:t xml:space="preserve"> </w:t>
      </w:r>
    </w:p>
    <w:p w14:paraId="491E1C07" w14:textId="77777777" w:rsidR="003649F1" w:rsidRDefault="003F5E16">
      <w:pPr>
        <w:adjustRightInd w:val="0"/>
        <w:snapToGrid w:val="0"/>
        <w:spacing w:line="360" w:lineRule="auto"/>
        <w:jc w:val="both"/>
        <w:rPr>
          <w:rFonts w:ascii="Book Antiqua" w:hAnsi="Book Antiqua"/>
          <w:bCs/>
        </w:rPr>
      </w:pPr>
      <w:r>
        <w:rPr>
          <w:rFonts w:ascii="Book Antiqua" w:hAnsi="Book Antiqua"/>
          <w:bCs/>
        </w:rPr>
        <w:br w:type="page"/>
      </w:r>
    </w:p>
    <w:p w14:paraId="2326196D" w14:textId="77777777" w:rsidR="003649F1" w:rsidRDefault="003F5E16">
      <w:pPr>
        <w:pStyle w:val="NormalIndent1"/>
        <w:adjustRightInd w:val="0"/>
        <w:snapToGrid w:val="0"/>
        <w:spacing w:line="360" w:lineRule="auto"/>
        <w:ind w:firstLine="0"/>
        <w:rPr>
          <w:rFonts w:ascii="Book Antiqua" w:hAnsi="Book Antiqua"/>
          <w:b/>
          <w:sz w:val="24"/>
          <w:szCs w:val="24"/>
        </w:rPr>
      </w:pPr>
      <w:r>
        <w:rPr>
          <w:rFonts w:ascii="Book Antiqua" w:hAnsi="Book Antiqua"/>
          <w:b/>
          <w:sz w:val="24"/>
          <w:szCs w:val="24"/>
        </w:rPr>
        <w:lastRenderedPageBreak/>
        <w:t>Table 2 Comparisons of fasting blood glucose, homeostatic assessment model of insulin resistance, insulin sensitivity index, and insulin of mice in each group</w:t>
      </w:r>
    </w:p>
    <w:tbl>
      <w:tblPr>
        <w:tblW w:w="13325" w:type="dxa"/>
        <w:jc w:val="center"/>
        <w:tblBorders>
          <w:top w:val="single" w:sz="4" w:space="0" w:color="auto"/>
          <w:bottom w:val="single" w:sz="4" w:space="0" w:color="auto"/>
        </w:tblBorders>
        <w:tblLayout w:type="fixed"/>
        <w:tblLook w:val="04A0" w:firstRow="1" w:lastRow="0" w:firstColumn="1" w:lastColumn="0" w:noHBand="0" w:noVBand="1"/>
      </w:tblPr>
      <w:tblGrid>
        <w:gridCol w:w="3119"/>
        <w:gridCol w:w="2551"/>
        <w:gridCol w:w="2694"/>
        <w:gridCol w:w="2778"/>
        <w:gridCol w:w="2183"/>
      </w:tblGrid>
      <w:tr w:rsidR="003649F1" w14:paraId="60030255" w14:textId="77777777" w:rsidTr="00DC3437">
        <w:trPr>
          <w:trHeight w:val="102"/>
          <w:jc w:val="center"/>
        </w:trPr>
        <w:tc>
          <w:tcPr>
            <w:tcW w:w="3119" w:type="dxa"/>
            <w:tcBorders>
              <w:top w:val="single" w:sz="4" w:space="0" w:color="auto"/>
              <w:bottom w:val="single" w:sz="4" w:space="0" w:color="auto"/>
            </w:tcBorders>
            <w:noWrap/>
            <w:vAlign w:val="center"/>
          </w:tcPr>
          <w:p w14:paraId="07AA3F1F"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Group</w:t>
            </w:r>
          </w:p>
        </w:tc>
        <w:tc>
          <w:tcPr>
            <w:tcW w:w="2551" w:type="dxa"/>
            <w:tcBorders>
              <w:top w:val="single" w:sz="4" w:space="0" w:color="auto"/>
              <w:bottom w:val="single" w:sz="4" w:space="0" w:color="auto"/>
            </w:tcBorders>
            <w:noWrap/>
            <w:vAlign w:val="center"/>
          </w:tcPr>
          <w:p w14:paraId="2944378B"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FINS (</w:t>
            </w:r>
            <w:proofErr w:type="spellStart"/>
            <w:r>
              <w:rPr>
                <w:rFonts w:ascii="Book Antiqua" w:hAnsi="Book Antiqua"/>
                <w:b/>
                <w:bCs/>
                <w:color w:val="000000"/>
              </w:rPr>
              <w:t>mIU</w:t>
            </w:r>
            <w:proofErr w:type="spellEnd"/>
            <w:r>
              <w:rPr>
                <w:rFonts w:ascii="Book Antiqua" w:hAnsi="Book Antiqua"/>
                <w:b/>
                <w:bCs/>
                <w:color w:val="000000"/>
              </w:rPr>
              <w:t>/L)</w:t>
            </w:r>
          </w:p>
        </w:tc>
        <w:tc>
          <w:tcPr>
            <w:tcW w:w="2694" w:type="dxa"/>
            <w:tcBorders>
              <w:top w:val="single" w:sz="4" w:space="0" w:color="auto"/>
              <w:bottom w:val="single" w:sz="4" w:space="0" w:color="auto"/>
            </w:tcBorders>
            <w:noWrap/>
            <w:vAlign w:val="center"/>
          </w:tcPr>
          <w:p w14:paraId="39139A93"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ISI</w:t>
            </w:r>
          </w:p>
        </w:tc>
        <w:tc>
          <w:tcPr>
            <w:tcW w:w="2778" w:type="dxa"/>
            <w:tcBorders>
              <w:top w:val="single" w:sz="4" w:space="0" w:color="auto"/>
              <w:bottom w:val="single" w:sz="4" w:space="0" w:color="auto"/>
            </w:tcBorders>
            <w:noWrap/>
            <w:vAlign w:val="center"/>
          </w:tcPr>
          <w:p w14:paraId="401DD364"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HOMA-IR</w:t>
            </w:r>
          </w:p>
        </w:tc>
        <w:tc>
          <w:tcPr>
            <w:tcW w:w="2183" w:type="dxa"/>
            <w:tcBorders>
              <w:top w:val="single" w:sz="4" w:space="0" w:color="auto"/>
              <w:bottom w:val="single" w:sz="4" w:space="0" w:color="auto"/>
            </w:tcBorders>
            <w:noWrap/>
            <w:vAlign w:val="center"/>
          </w:tcPr>
          <w:p w14:paraId="534382F0"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FBG</w:t>
            </w:r>
          </w:p>
        </w:tc>
      </w:tr>
      <w:tr w:rsidR="003649F1" w14:paraId="119D2139" w14:textId="77777777" w:rsidTr="00DC3437">
        <w:trPr>
          <w:trHeight w:val="333"/>
          <w:jc w:val="center"/>
        </w:trPr>
        <w:tc>
          <w:tcPr>
            <w:tcW w:w="3119" w:type="dxa"/>
            <w:tcBorders>
              <w:top w:val="single" w:sz="4" w:space="0" w:color="auto"/>
            </w:tcBorders>
            <w:noWrap/>
            <w:vAlign w:val="center"/>
          </w:tcPr>
          <w:p w14:paraId="6E7D6C37"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High dose</w:t>
            </w:r>
          </w:p>
        </w:tc>
        <w:tc>
          <w:tcPr>
            <w:tcW w:w="2551" w:type="dxa"/>
            <w:tcBorders>
              <w:top w:val="single" w:sz="4" w:space="0" w:color="auto"/>
            </w:tcBorders>
            <w:noWrap/>
            <w:vAlign w:val="center"/>
          </w:tcPr>
          <w:p w14:paraId="5CAD650D"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20.91 ± 0.96</w:t>
            </w:r>
            <w:r>
              <w:rPr>
                <w:rFonts w:ascii="Book Antiqua" w:hAnsi="Book Antiqua"/>
                <w:color w:val="000000"/>
                <w:vertAlign w:val="superscript"/>
              </w:rPr>
              <w:t>abc</w:t>
            </w:r>
          </w:p>
        </w:tc>
        <w:tc>
          <w:tcPr>
            <w:tcW w:w="2694" w:type="dxa"/>
            <w:tcBorders>
              <w:top w:val="single" w:sz="4" w:space="0" w:color="auto"/>
            </w:tcBorders>
            <w:noWrap/>
            <w:vAlign w:val="center"/>
          </w:tcPr>
          <w:p w14:paraId="030A934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0.78 ± 0.13</w:t>
            </w:r>
            <w:r>
              <w:rPr>
                <w:rFonts w:ascii="Book Antiqua" w:hAnsi="Book Antiqua"/>
                <w:color w:val="000000"/>
                <w:vertAlign w:val="superscript"/>
              </w:rPr>
              <w:t>abc</w:t>
            </w:r>
          </w:p>
        </w:tc>
        <w:tc>
          <w:tcPr>
            <w:tcW w:w="2778" w:type="dxa"/>
            <w:tcBorders>
              <w:top w:val="single" w:sz="4" w:space="0" w:color="auto"/>
            </w:tcBorders>
            <w:noWrap/>
            <w:vAlign w:val="center"/>
          </w:tcPr>
          <w:p w14:paraId="47C1697B"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8.38 ± 0.44</w:t>
            </w:r>
            <w:r>
              <w:rPr>
                <w:rFonts w:ascii="Book Antiqua" w:hAnsi="Book Antiqua"/>
                <w:color w:val="000000"/>
                <w:vertAlign w:val="superscript"/>
              </w:rPr>
              <w:t>a</w:t>
            </w:r>
          </w:p>
        </w:tc>
        <w:tc>
          <w:tcPr>
            <w:tcW w:w="2183" w:type="dxa"/>
            <w:tcBorders>
              <w:top w:val="single" w:sz="4" w:space="0" w:color="auto"/>
            </w:tcBorders>
            <w:noWrap/>
            <w:vAlign w:val="center"/>
          </w:tcPr>
          <w:p w14:paraId="61F8673B"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8.85 ± 0.35</w:t>
            </w:r>
            <w:r>
              <w:rPr>
                <w:rFonts w:ascii="Book Antiqua" w:hAnsi="Book Antiqua"/>
                <w:color w:val="000000"/>
                <w:vertAlign w:val="superscript"/>
              </w:rPr>
              <w:t>a</w:t>
            </w:r>
            <w:r>
              <w:rPr>
                <w:rFonts w:ascii="Book Antiqua" w:hAnsi="Book Antiqua"/>
                <w:b/>
                <w:bCs/>
                <w:color w:val="000000"/>
                <w:vertAlign w:val="superscript"/>
              </w:rPr>
              <w:t>bc</w:t>
            </w:r>
          </w:p>
        </w:tc>
      </w:tr>
      <w:tr w:rsidR="003649F1" w14:paraId="3EDB3547" w14:textId="77777777" w:rsidTr="00DC3437">
        <w:trPr>
          <w:trHeight w:val="229"/>
          <w:jc w:val="center"/>
        </w:trPr>
        <w:tc>
          <w:tcPr>
            <w:tcW w:w="3119" w:type="dxa"/>
            <w:noWrap/>
            <w:vAlign w:val="center"/>
          </w:tcPr>
          <w:p w14:paraId="5410329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Medium-high dose</w:t>
            </w:r>
          </w:p>
        </w:tc>
        <w:tc>
          <w:tcPr>
            <w:tcW w:w="2551" w:type="dxa"/>
            <w:noWrap/>
            <w:vAlign w:val="center"/>
          </w:tcPr>
          <w:p w14:paraId="0C70BA9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21.71 ± 0.56</w:t>
            </w:r>
            <w:r>
              <w:rPr>
                <w:rFonts w:ascii="Book Antiqua" w:hAnsi="Book Antiqua"/>
                <w:color w:val="000000"/>
                <w:vertAlign w:val="superscript"/>
              </w:rPr>
              <w:t>abc</w:t>
            </w:r>
          </w:p>
        </w:tc>
        <w:tc>
          <w:tcPr>
            <w:tcW w:w="2694" w:type="dxa"/>
            <w:noWrap/>
            <w:vAlign w:val="center"/>
          </w:tcPr>
          <w:p w14:paraId="5BB4265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0.94 ± 0.11</w:t>
            </w:r>
            <w:r>
              <w:rPr>
                <w:rFonts w:ascii="Book Antiqua" w:hAnsi="Book Antiqua"/>
                <w:color w:val="000000"/>
                <w:vertAlign w:val="superscript"/>
              </w:rPr>
              <w:t>abc</w:t>
            </w:r>
          </w:p>
        </w:tc>
        <w:tc>
          <w:tcPr>
            <w:tcW w:w="2778" w:type="dxa"/>
            <w:noWrap/>
            <w:vAlign w:val="center"/>
          </w:tcPr>
          <w:p w14:paraId="2930143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8.28 ± 0.37</w:t>
            </w:r>
            <w:r>
              <w:rPr>
                <w:rFonts w:ascii="Book Antiqua" w:hAnsi="Book Antiqua"/>
                <w:color w:val="000000"/>
                <w:vertAlign w:val="superscript"/>
              </w:rPr>
              <w:t>a</w:t>
            </w:r>
          </w:p>
        </w:tc>
        <w:tc>
          <w:tcPr>
            <w:tcW w:w="2183" w:type="dxa"/>
            <w:noWrap/>
            <w:vAlign w:val="center"/>
          </w:tcPr>
          <w:p w14:paraId="3483C9A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8.58 ± 0.32</w:t>
            </w:r>
            <w:r>
              <w:rPr>
                <w:rFonts w:ascii="Book Antiqua" w:hAnsi="Book Antiqua"/>
                <w:color w:val="000000"/>
                <w:vertAlign w:val="superscript"/>
              </w:rPr>
              <w:t>a</w:t>
            </w:r>
            <w:r>
              <w:rPr>
                <w:rFonts w:ascii="Book Antiqua" w:hAnsi="Book Antiqua"/>
                <w:b/>
                <w:bCs/>
                <w:color w:val="000000"/>
                <w:vertAlign w:val="superscript"/>
              </w:rPr>
              <w:t>bc</w:t>
            </w:r>
          </w:p>
        </w:tc>
      </w:tr>
      <w:tr w:rsidR="003649F1" w14:paraId="02F6F6DD" w14:textId="77777777" w:rsidTr="00DC3437">
        <w:trPr>
          <w:trHeight w:val="454"/>
          <w:jc w:val="center"/>
        </w:trPr>
        <w:tc>
          <w:tcPr>
            <w:tcW w:w="3119" w:type="dxa"/>
            <w:noWrap/>
            <w:vAlign w:val="center"/>
          </w:tcPr>
          <w:p w14:paraId="7A97AE12"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 xml:space="preserve">Medium dose </w:t>
            </w:r>
          </w:p>
        </w:tc>
        <w:tc>
          <w:tcPr>
            <w:tcW w:w="2551" w:type="dxa"/>
            <w:noWrap/>
            <w:vAlign w:val="center"/>
          </w:tcPr>
          <w:p w14:paraId="27FDDB1B"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23.87 ± 0.46</w:t>
            </w:r>
            <w:r>
              <w:rPr>
                <w:rFonts w:ascii="Book Antiqua" w:hAnsi="Book Antiqua"/>
                <w:color w:val="000000"/>
                <w:vertAlign w:val="superscript"/>
              </w:rPr>
              <w:t>ac</w:t>
            </w:r>
          </w:p>
        </w:tc>
        <w:tc>
          <w:tcPr>
            <w:tcW w:w="2694" w:type="dxa"/>
            <w:noWrap/>
            <w:vAlign w:val="center"/>
          </w:tcPr>
          <w:p w14:paraId="50CB6A4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1.05 ± 0.32</w:t>
            </w:r>
            <w:r>
              <w:rPr>
                <w:rFonts w:ascii="Book Antiqua" w:hAnsi="Book Antiqua"/>
                <w:color w:val="000000"/>
                <w:vertAlign w:val="superscript"/>
              </w:rPr>
              <w:t>ac</w:t>
            </w:r>
          </w:p>
        </w:tc>
        <w:tc>
          <w:tcPr>
            <w:tcW w:w="2778" w:type="dxa"/>
            <w:noWrap/>
            <w:vAlign w:val="center"/>
          </w:tcPr>
          <w:p w14:paraId="26BA27D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8.15 ± 0.43</w:t>
            </w:r>
            <w:r>
              <w:rPr>
                <w:rFonts w:ascii="Book Antiqua" w:hAnsi="Book Antiqua"/>
                <w:color w:val="000000"/>
                <w:vertAlign w:val="superscript"/>
              </w:rPr>
              <w:t>a</w:t>
            </w:r>
          </w:p>
        </w:tc>
        <w:tc>
          <w:tcPr>
            <w:tcW w:w="2183" w:type="dxa"/>
            <w:noWrap/>
            <w:vAlign w:val="center"/>
          </w:tcPr>
          <w:p w14:paraId="4E969C4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7.81 ± 0.49</w:t>
            </w:r>
            <w:r>
              <w:rPr>
                <w:rFonts w:ascii="Book Antiqua" w:hAnsi="Book Antiqua"/>
                <w:color w:val="000000"/>
                <w:vertAlign w:val="superscript"/>
              </w:rPr>
              <w:t>a</w:t>
            </w:r>
          </w:p>
        </w:tc>
      </w:tr>
      <w:tr w:rsidR="003649F1" w14:paraId="60EFA227" w14:textId="77777777" w:rsidTr="00DC3437">
        <w:trPr>
          <w:trHeight w:val="229"/>
          <w:jc w:val="center"/>
        </w:trPr>
        <w:tc>
          <w:tcPr>
            <w:tcW w:w="3119" w:type="dxa"/>
            <w:noWrap/>
            <w:vAlign w:val="center"/>
          </w:tcPr>
          <w:p w14:paraId="57693B4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 xml:space="preserve">Medium-low dose </w:t>
            </w:r>
          </w:p>
        </w:tc>
        <w:tc>
          <w:tcPr>
            <w:tcW w:w="2551" w:type="dxa"/>
            <w:noWrap/>
            <w:vAlign w:val="center"/>
          </w:tcPr>
          <w:p w14:paraId="7B14C998"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24.89 ± 0.27</w:t>
            </w:r>
            <w:r>
              <w:rPr>
                <w:rFonts w:ascii="Book Antiqua" w:hAnsi="Book Antiqua"/>
                <w:color w:val="000000"/>
                <w:vertAlign w:val="superscript"/>
              </w:rPr>
              <w:t>ac</w:t>
            </w:r>
          </w:p>
        </w:tc>
        <w:tc>
          <w:tcPr>
            <w:tcW w:w="2694" w:type="dxa"/>
            <w:noWrap/>
            <w:vAlign w:val="center"/>
          </w:tcPr>
          <w:p w14:paraId="6786CE2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1.08 ± 0.11</w:t>
            </w:r>
            <w:r>
              <w:rPr>
                <w:rFonts w:ascii="Book Antiqua" w:hAnsi="Book Antiqua"/>
                <w:color w:val="000000"/>
                <w:vertAlign w:val="superscript"/>
              </w:rPr>
              <w:t>ac</w:t>
            </w:r>
          </w:p>
        </w:tc>
        <w:tc>
          <w:tcPr>
            <w:tcW w:w="2778" w:type="dxa"/>
            <w:noWrap/>
            <w:vAlign w:val="center"/>
          </w:tcPr>
          <w:p w14:paraId="399F3A15"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7.76 ± 0.53</w:t>
            </w:r>
          </w:p>
        </w:tc>
        <w:tc>
          <w:tcPr>
            <w:tcW w:w="2183" w:type="dxa"/>
            <w:noWrap/>
            <w:vAlign w:val="center"/>
          </w:tcPr>
          <w:p w14:paraId="2C840CE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7.02 ± 0.44</w:t>
            </w:r>
          </w:p>
        </w:tc>
      </w:tr>
      <w:tr w:rsidR="003649F1" w14:paraId="536D6FF0" w14:textId="77777777" w:rsidTr="00DC3437">
        <w:trPr>
          <w:trHeight w:val="229"/>
          <w:jc w:val="center"/>
        </w:trPr>
        <w:tc>
          <w:tcPr>
            <w:tcW w:w="3119" w:type="dxa"/>
            <w:noWrap/>
            <w:vAlign w:val="center"/>
          </w:tcPr>
          <w:p w14:paraId="642CA0C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Low dose</w:t>
            </w:r>
          </w:p>
        </w:tc>
        <w:tc>
          <w:tcPr>
            <w:tcW w:w="2551" w:type="dxa"/>
            <w:noWrap/>
            <w:vAlign w:val="center"/>
          </w:tcPr>
          <w:p w14:paraId="1F20369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26.02 ± 0.84</w:t>
            </w:r>
            <w:r>
              <w:rPr>
                <w:rFonts w:ascii="Book Antiqua" w:hAnsi="Book Antiqua"/>
                <w:color w:val="000000"/>
                <w:vertAlign w:val="superscript"/>
              </w:rPr>
              <w:t>a</w:t>
            </w:r>
          </w:p>
        </w:tc>
        <w:tc>
          <w:tcPr>
            <w:tcW w:w="2694" w:type="dxa"/>
            <w:noWrap/>
            <w:vAlign w:val="center"/>
          </w:tcPr>
          <w:p w14:paraId="31DA882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1.41 ± 0.21</w:t>
            </w:r>
          </w:p>
        </w:tc>
        <w:tc>
          <w:tcPr>
            <w:tcW w:w="2778" w:type="dxa"/>
            <w:noWrap/>
            <w:vAlign w:val="center"/>
          </w:tcPr>
          <w:p w14:paraId="27A64FC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7.56 ± 0.61</w:t>
            </w:r>
          </w:p>
        </w:tc>
        <w:tc>
          <w:tcPr>
            <w:tcW w:w="2183" w:type="dxa"/>
            <w:noWrap/>
            <w:vAlign w:val="center"/>
          </w:tcPr>
          <w:p w14:paraId="3250738B"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color w:val="000000"/>
              </w:rPr>
              <w:t>6.53 ± 0.39</w:t>
            </w:r>
          </w:p>
        </w:tc>
      </w:tr>
      <w:tr w:rsidR="003649F1" w14:paraId="20B15286" w14:textId="77777777" w:rsidTr="00DC3437">
        <w:trPr>
          <w:trHeight w:val="90"/>
          <w:jc w:val="center"/>
        </w:trPr>
        <w:tc>
          <w:tcPr>
            <w:tcW w:w="3119" w:type="dxa"/>
            <w:noWrap/>
            <w:vAlign w:val="center"/>
          </w:tcPr>
          <w:p w14:paraId="286C3F3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Control</w:t>
            </w:r>
          </w:p>
        </w:tc>
        <w:tc>
          <w:tcPr>
            <w:tcW w:w="2551" w:type="dxa"/>
            <w:noWrap/>
            <w:vAlign w:val="center"/>
          </w:tcPr>
          <w:p w14:paraId="5BC26345"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27.37 ± 0.28</w:t>
            </w:r>
          </w:p>
        </w:tc>
        <w:tc>
          <w:tcPr>
            <w:tcW w:w="2694" w:type="dxa"/>
            <w:noWrap/>
            <w:vAlign w:val="center"/>
          </w:tcPr>
          <w:p w14:paraId="4B6727A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1.57 ± 0.08</w:t>
            </w:r>
          </w:p>
        </w:tc>
        <w:tc>
          <w:tcPr>
            <w:tcW w:w="2778" w:type="dxa"/>
            <w:noWrap/>
            <w:vAlign w:val="center"/>
          </w:tcPr>
          <w:p w14:paraId="4F6A2157"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7.57 ± 0.65</w:t>
            </w:r>
          </w:p>
        </w:tc>
        <w:tc>
          <w:tcPr>
            <w:tcW w:w="2183" w:type="dxa"/>
            <w:noWrap/>
            <w:vAlign w:val="center"/>
          </w:tcPr>
          <w:p w14:paraId="358DEC5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6.52 ± 0.68</w:t>
            </w:r>
          </w:p>
        </w:tc>
      </w:tr>
      <w:tr w:rsidR="003649F1" w14:paraId="20932B88" w14:textId="77777777" w:rsidTr="00DC3437">
        <w:trPr>
          <w:trHeight w:val="90"/>
          <w:jc w:val="center"/>
        </w:trPr>
        <w:tc>
          <w:tcPr>
            <w:tcW w:w="3119" w:type="dxa"/>
            <w:noWrap/>
            <w:vAlign w:val="center"/>
          </w:tcPr>
          <w:p w14:paraId="4DB7B4FF" w14:textId="77777777" w:rsidR="003649F1" w:rsidRDefault="003F5E16">
            <w:pPr>
              <w:adjustRightInd w:val="0"/>
              <w:snapToGrid w:val="0"/>
              <w:spacing w:line="360" w:lineRule="auto"/>
              <w:jc w:val="both"/>
              <w:rPr>
                <w:rFonts w:ascii="Book Antiqua" w:hAnsi="Book Antiqua"/>
                <w:i/>
                <w:color w:val="000000"/>
              </w:rPr>
            </w:pPr>
            <w:r>
              <w:rPr>
                <w:rFonts w:ascii="Book Antiqua" w:hAnsi="Book Antiqua"/>
                <w:i/>
                <w:color w:val="000000"/>
              </w:rPr>
              <w:t>F</w:t>
            </w:r>
            <w:r>
              <w:rPr>
                <w:rFonts w:ascii="Book Antiqua" w:hAnsi="Book Antiqua"/>
                <w:color w:val="000000"/>
              </w:rPr>
              <w:t xml:space="preserve"> value</w:t>
            </w:r>
          </w:p>
        </w:tc>
        <w:tc>
          <w:tcPr>
            <w:tcW w:w="2551" w:type="dxa"/>
            <w:noWrap/>
            <w:vAlign w:val="center"/>
          </w:tcPr>
          <w:p w14:paraId="1BA77E12"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61.06</w:t>
            </w:r>
          </w:p>
        </w:tc>
        <w:tc>
          <w:tcPr>
            <w:tcW w:w="2694" w:type="dxa"/>
            <w:noWrap/>
            <w:vAlign w:val="center"/>
          </w:tcPr>
          <w:p w14:paraId="039C2D7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2.968</w:t>
            </w:r>
          </w:p>
        </w:tc>
        <w:tc>
          <w:tcPr>
            <w:tcW w:w="2778" w:type="dxa"/>
            <w:noWrap/>
            <w:vAlign w:val="center"/>
          </w:tcPr>
          <w:p w14:paraId="198804A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2.719</w:t>
            </w:r>
          </w:p>
        </w:tc>
        <w:tc>
          <w:tcPr>
            <w:tcW w:w="2183" w:type="dxa"/>
            <w:noWrap/>
            <w:vAlign w:val="center"/>
          </w:tcPr>
          <w:p w14:paraId="1227EBF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28.574</w:t>
            </w:r>
          </w:p>
        </w:tc>
      </w:tr>
      <w:tr w:rsidR="003649F1" w14:paraId="1FFE5FAA" w14:textId="77777777" w:rsidTr="00DC3437">
        <w:trPr>
          <w:trHeight w:val="90"/>
          <w:jc w:val="center"/>
        </w:trPr>
        <w:tc>
          <w:tcPr>
            <w:tcW w:w="3119" w:type="dxa"/>
            <w:noWrap/>
            <w:vAlign w:val="center"/>
          </w:tcPr>
          <w:p w14:paraId="48F9D5F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i/>
                <w:color w:val="000000"/>
              </w:rPr>
              <w:t>P</w:t>
            </w:r>
            <w:r>
              <w:rPr>
                <w:rFonts w:ascii="Book Antiqua" w:hAnsi="Book Antiqua"/>
                <w:color w:val="000000"/>
              </w:rPr>
              <w:t xml:space="preserve"> value</w:t>
            </w:r>
          </w:p>
        </w:tc>
        <w:tc>
          <w:tcPr>
            <w:tcW w:w="2551" w:type="dxa"/>
            <w:noWrap/>
            <w:vAlign w:val="center"/>
          </w:tcPr>
          <w:p w14:paraId="33929BE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0.001</w:t>
            </w:r>
          </w:p>
        </w:tc>
        <w:tc>
          <w:tcPr>
            <w:tcW w:w="2694" w:type="dxa"/>
            <w:noWrap/>
            <w:vAlign w:val="center"/>
          </w:tcPr>
          <w:p w14:paraId="1A74D79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0.027</w:t>
            </w:r>
          </w:p>
        </w:tc>
        <w:tc>
          <w:tcPr>
            <w:tcW w:w="2778" w:type="dxa"/>
            <w:noWrap/>
            <w:vAlign w:val="center"/>
          </w:tcPr>
          <w:p w14:paraId="0F7EDB47"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0.038</w:t>
            </w:r>
          </w:p>
        </w:tc>
        <w:tc>
          <w:tcPr>
            <w:tcW w:w="2183" w:type="dxa"/>
            <w:noWrap/>
            <w:vAlign w:val="center"/>
          </w:tcPr>
          <w:p w14:paraId="10AEE11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0.001</w:t>
            </w:r>
          </w:p>
        </w:tc>
      </w:tr>
    </w:tbl>
    <w:p w14:paraId="7CA8BF97" w14:textId="77777777" w:rsidR="00F87F1C" w:rsidRDefault="003F5E16">
      <w:pPr>
        <w:adjustRightInd w:val="0"/>
        <w:snapToGrid w:val="0"/>
        <w:spacing w:line="360" w:lineRule="auto"/>
        <w:jc w:val="both"/>
        <w:rPr>
          <w:rFonts w:ascii="Book Antiqua" w:hAnsi="Book Antiqua"/>
          <w:lang w:eastAsia="zh-CN"/>
        </w:rPr>
      </w:pPr>
      <w:proofErr w:type="spellStart"/>
      <w:r w:rsidRPr="00F87F1C">
        <w:rPr>
          <w:rFonts w:ascii="Book Antiqua" w:hAnsi="Book Antiqua"/>
          <w:iCs/>
          <w:vertAlign w:val="superscript"/>
        </w:rPr>
        <w:t>a</w:t>
      </w:r>
      <w:r>
        <w:rPr>
          <w:rFonts w:ascii="Book Antiqua" w:hAnsi="Book Antiqua"/>
          <w:i/>
          <w:iCs/>
        </w:rPr>
        <w:t>P</w:t>
      </w:r>
      <w:proofErr w:type="spellEnd"/>
      <w:r>
        <w:rPr>
          <w:rFonts w:ascii="Book Antiqua" w:hAnsi="Book Antiqua"/>
        </w:rPr>
        <w:t xml:space="preserve"> &lt; 0.05 compared with the control group</w:t>
      </w:r>
      <w:r w:rsidR="00F87F1C">
        <w:rPr>
          <w:rFonts w:ascii="Book Antiqua" w:hAnsi="Book Antiqua" w:hint="eastAsia"/>
          <w:lang w:eastAsia="zh-CN"/>
        </w:rPr>
        <w:t>.</w:t>
      </w:r>
      <w:r>
        <w:rPr>
          <w:rFonts w:ascii="Book Antiqua" w:hAnsi="Book Antiqua"/>
        </w:rPr>
        <w:t xml:space="preserve"> </w:t>
      </w:r>
    </w:p>
    <w:p w14:paraId="70CB04F4" w14:textId="77777777" w:rsidR="00F87F1C" w:rsidRDefault="003F5E16">
      <w:pPr>
        <w:adjustRightInd w:val="0"/>
        <w:snapToGrid w:val="0"/>
        <w:spacing w:line="360" w:lineRule="auto"/>
        <w:jc w:val="both"/>
        <w:rPr>
          <w:rFonts w:ascii="Book Antiqua" w:hAnsi="Book Antiqua"/>
          <w:lang w:eastAsia="zh-CN"/>
        </w:rPr>
      </w:pPr>
      <w:proofErr w:type="spellStart"/>
      <w:r w:rsidRPr="00F87F1C">
        <w:rPr>
          <w:rFonts w:ascii="Book Antiqua" w:hAnsi="Book Antiqua"/>
          <w:iCs/>
          <w:vertAlign w:val="superscript"/>
        </w:rPr>
        <w:t>b</w:t>
      </w:r>
      <w:r>
        <w:rPr>
          <w:rFonts w:ascii="Book Antiqua" w:hAnsi="Book Antiqua"/>
          <w:i/>
          <w:iCs/>
        </w:rPr>
        <w:t>P</w:t>
      </w:r>
      <w:proofErr w:type="spellEnd"/>
      <w:r>
        <w:rPr>
          <w:rFonts w:ascii="Book Antiqua" w:hAnsi="Book Antiqua"/>
          <w:i/>
          <w:iCs/>
        </w:rPr>
        <w:t xml:space="preserve"> </w:t>
      </w:r>
      <w:r>
        <w:rPr>
          <w:rFonts w:ascii="Book Antiqua" w:hAnsi="Book Antiqua"/>
        </w:rPr>
        <w:t>&lt; 0.05 compared with the medium dose group</w:t>
      </w:r>
      <w:r w:rsidR="00F87F1C">
        <w:rPr>
          <w:rFonts w:ascii="Book Antiqua" w:hAnsi="Book Antiqua" w:hint="eastAsia"/>
          <w:lang w:eastAsia="zh-CN"/>
        </w:rPr>
        <w:t>.</w:t>
      </w:r>
      <w:r>
        <w:rPr>
          <w:rFonts w:ascii="Book Antiqua" w:hAnsi="Book Antiqua"/>
        </w:rPr>
        <w:t xml:space="preserve"> </w:t>
      </w:r>
    </w:p>
    <w:p w14:paraId="378A03A5" w14:textId="77777777" w:rsidR="003649F1" w:rsidRDefault="003F5E16">
      <w:pPr>
        <w:adjustRightInd w:val="0"/>
        <w:snapToGrid w:val="0"/>
        <w:spacing w:line="360" w:lineRule="auto"/>
        <w:jc w:val="both"/>
        <w:rPr>
          <w:rFonts w:ascii="Book Antiqua" w:hAnsi="Book Antiqua"/>
          <w:kern w:val="2"/>
        </w:rPr>
      </w:pPr>
      <w:proofErr w:type="spellStart"/>
      <w:r w:rsidRPr="00F87F1C">
        <w:rPr>
          <w:rFonts w:ascii="Book Antiqua" w:hAnsi="Book Antiqua"/>
          <w:iCs/>
          <w:vertAlign w:val="superscript"/>
        </w:rPr>
        <w:t>c</w:t>
      </w:r>
      <w:r>
        <w:rPr>
          <w:rFonts w:ascii="Book Antiqua" w:hAnsi="Book Antiqua"/>
          <w:i/>
          <w:iCs/>
        </w:rPr>
        <w:t>P</w:t>
      </w:r>
      <w:proofErr w:type="spellEnd"/>
      <w:r>
        <w:rPr>
          <w:rFonts w:ascii="Book Antiqua" w:hAnsi="Book Antiqua"/>
        </w:rPr>
        <w:t xml:space="preserve"> &lt; 0.05 compared with the low dose group. FINS:</w:t>
      </w:r>
      <w:r>
        <w:rPr>
          <w:rFonts w:ascii="Book Antiqua" w:eastAsia="Book Antiqua" w:hAnsi="Book Antiqua" w:cs="Book Antiqua"/>
          <w:color w:val="000000"/>
        </w:rPr>
        <w:t xml:space="preserve"> Fasting insulin;</w:t>
      </w:r>
      <w:r>
        <w:rPr>
          <w:rFonts w:ascii="Book Antiqua" w:hAnsi="Book Antiqua"/>
        </w:rPr>
        <w:t xml:space="preserve"> ISI:</w:t>
      </w:r>
      <w:r>
        <w:rPr>
          <w:rFonts w:ascii="Book Antiqua" w:eastAsia="Book Antiqua" w:hAnsi="Book Antiqua" w:cs="Book Antiqua"/>
          <w:color w:val="000000"/>
        </w:rPr>
        <w:t xml:space="preserve"> Insulin sensitivity index;</w:t>
      </w:r>
      <w:r>
        <w:rPr>
          <w:rFonts w:ascii="Book Antiqua" w:hAnsi="Book Antiqua"/>
        </w:rPr>
        <w:t xml:space="preserve"> HOMA-IR:</w:t>
      </w:r>
      <w:r>
        <w:rPr>
          <w:rFonts w:ascii="Book Antiqua" w:eastAsia="Book Antiqua" w:hAnsi="Book Antiqua" w:cs="Book Antiqua"/>
          <w:color w:val="000000"/>
        </w:rPr>
        <w:t xml:space="preserve"> Homeostatic assessment model of insulin resistance;</w:t>
      </w:r>
      <w:r>
        <w:rPr>
          <w:rFonts w:ascii="Book Antiqua" w:hAnsi="Book Antiqua"/>
        </w:rPr>
        <w:t xml:space="preserve"> FBG:</w:t>
      </w:r>
      <w:r>
        <w:rPr>
          <w:rFonts w:ascii="Book Antiqua" w:eastAsia="Book Antiqua" w:hAnsi="Book Antiqua" w:cs="Book Antiqua"/>
          <w:color w:val="000000"/>
        </w:rPr>
        <w:t xml:space="preserve"> Fasting blood glucose.</w:t>
      </w:r>
    </w:p>
    <w:p w14:paraId="44BAA649" w14:textId="77777777" w:rsidR="003649F1" w:rsidRDefault="003F5E16">
      <w:pPr>
        <w:adjustRightInd w:val="0"/>
        <w:snapToGrid w:val="0"/>
        <w:spacing w:line="360" w:lineRule="auto"/>
        <w:jc w:val="both"/>
        <w:rPr>
          <w:rFonts w:ascii="Book Antiqua" w:hAnsi="Book Antiqua"/>
          <w:b/>
          <w:bCs/>
        </w:rPr>
      </w:pPr>
      <w:r>
        <w:rPr>
          <w:rFonts w:ascii="Book Antiqua" w:hAnsi="Book Antiqua"/>
          <w:b/>
          <w:bCs/>
        </w:rPr>
        <w:br w:type="page"/>
      </w:r>
    </w:p>
    <w:p w14:paraId="478A1416" w14:textId="77777777" w:rsidR="003649F1" w:rsidRDefault="003F5E16">
      <w:pPr>
        <w:adjustRightInd w:val="0"/>
        <w:snapToGrid w:val="0"/>
        <w:spacing w:line="360" w:lineRule="auto"/>
        <w:jc w:val="both"/>
        <w:rPr>
          <w:rFonts w:ascii="Book Antiqua" w:hAnsi="Book Antiqua"/>
          <w:b/>
          <w:bCs/>
        </w:rPr>
      </w:pPr>
      <w:r>
        <w:rPr>
          <w:rFonts w:ascii="Book Antiqua" w:hAnsi="Book Antiqua"/>
          <w:b/>
          <w:bCs/>
        </w:rPr>
        <w:lastRenderedPageBreak/>
        <w:t xml:space="preserve">Table 3 Comparisons of blood lipid indexes in mice of each group </w:t>
      </w:r>
      <w:r>
        <w:rPr>
          <w:rFonts w:ascii="Book Antiqua" w:hAnsi="Book Antiqua"/>
          <w:b/>
          <w:bCs/>
          <w:color w:val="000000"/>
        </w:rPr>
        <w:t>(</w:t>
      </w:r>
      <w:proofErr w:type="spellStart"/>
      <w:r>
        <w:rPr>
          <w:rFonts w:ascii="Book Antiqua" w:hAnsi="Book Antiqua"/>
          <w:b/>
          <w:bCs/>
          <w:color w:val="000000"/>
        </w:rPr>
        <w:t>mmoL</w:t>
      </w:r>
      <w:proofErr w:type="spellEnd"/>
      <w:r>
        <w:rPr>
          <w:rFonts w:ascii="Book Antiqua" w:hAnsi="Book Antiqua"/>
          <w:b/>
          <w:bCs/>
          <w:color w:val="000000"/>
        </w:rPr>
        <w:t>/L)</w:t>
      </w:r>
    </w:p>
    <w:tbl>
      <w:tblPr>
        <w:tblW w:w="13192" w:type="dxa"/>
        <w:jc w:val="center"/>
        <w:tblBorders>
          <w:top w:val="single" w:sz="4" w:space="0" w:color="auto"/>
          <w:bottom w:val="single" w:sz="4" w:space="0" w:color="auto"/>
        </w:tblBorders>
        <w:tblLayout w:type="fixed"/>
        <w:tblLook w:val="04A0" w:firstRow="1" w:lastRow="0" w:firstColumn="1" w:lastColumn="0" w:noHBand="0" w:noVBand="1"/>
      </w:tblPr>
      <w:tblGrid>
        <w:gridCol w:w="3239"/>
        <w:gridCol w:w="2749"/>
        <w:gridCol w:w="2123"/>
        <w:gridCol w:w="2713"/>
        <w:gridCol w:w="2368"/>
      </w:tblGrid>
      <w:tr w:rsidR="003649F1" w14:paraId="6C476080" w14:textId="77777777">
        <w:trPr>
          <w:trHeight w:val="112"/>
          <w:jc w:val="center"/>
        </w:trPr>
        <w:tc>
          <w:tcPr>
            <w:tcW w:w="3239" w:type="dxa"/>
            <w:tcBorders>
              <w:top w:val="single" w:sz="4" w:space="0" w:color="auto"/>
              <w:left w:val="nil"/>
              <w:bottom w:val="single" w:sz="4" w:space="0" w:color="auto"/>
              <w:right w:val="nil"/>
            </w:tcBorders>
            <w:noWrap/>
            <w:vAlign w:val="center"/>
          </w:tcPr>
          <w:p w14:paraId="17317A78"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Group</w:t>
            </w:r>
          </w:p>
        </w:tc>
        <w:tc>
          <w:tcPr>
            <w:tcW w:w="2749" w:type="dxa"/>
            <w:tcBorders>
              <w:top w:val="single" w:sz="4" w:space="0" w:color="auto"/>
              <w:left w:val="nil"/>
              <w:bottom w:val="single" w:sz="4" w:space="0" w:color="auto"/>
              <w:right w:val="nil"/>
            </w:tcBorders>
            <w:noWrap/>
            <w:vAlign w:val="center"/>
          </w:tcPr>
          <w:p w14:paraId="60340557"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TC</w:t>
            </w:r>
          </w:p>
        </w:tc>
        <w:tc>
          <w:tcPr>
            <w:tcW w:w="2123" w:type="dxa"/>
            <w:tcBorders>
              <w:top w:val="single" w:sz="4" w:space="0" w:color="auto"/>
              <w:left w:val="nil"/>
              <w:bottom w:val="single" w:sz="4" w:space="0" w:color="auto"/>
              <w:right w:val="nil"/>
            </w:tcBorders>
            <w:noWrap/>
            <w:vAlign w:val="center"/>
          </w:tcPr>
          <w:p w14:paraId="46BDB9D7"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TG</w:t>
            </w:r>
          </w:p>
        </w:tc>
        <w:tc>
          <w:tcPr>
            <w:tcW w:w="2713" w:type="dxa"/>
            <w:tcBorders>
              <w:top w:val="single" w:sz="4" w:space="0" w:color="auto"/>
              <w:left w:val="nil"/>
              <w:bottom w:val="single" w:sz="4" w:space="0" w:color="auto"/>
              <w:right w:val="nil"/>
            </w:tcBorders>
            <w:noWrap/>
            <w:vAlign w:val="center"/>
          </w:tcPr>
          <w:p w14:paraId="778F41C5"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LDL-C</w:t>
            </w:r>
          </w:p>
        </w:tc>
        <w:tc>
          <w:tcPr>
            <w:tcW w:w="2368" w:type="dxa"/>
            <w:tcBorders>
              <w:top w:val="single" w:sz="4" w:space="0" w:color="auto"/>
              <w:left w:val="nil"/>
              <w:bottom w:val="single" w:sz="4" w:space="0" w:color="auto"/>
              <w:right w:val="nil"/>
            </w:tcBorders>
            <w:noWrap/>
            <w:vAlign w:val="center"/>
          </w:tcPr>
          <w:p w14:paraId="4DDB2C82"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HDL-C</w:t>
            </w:r>
          </w:p>
        </w:tc>
      </w:tr>
      <w:tr w:rsidR="003649F1" w14:paraId="65324298" w14:textId="77777777">
        <w:trPr>
          <w:trHeight w:val="371"/>
          <w:jc w:val="center"/>
        </w:trPr>
        <w:tc>
          <w:tcPr>
            <w:tcW w:w="3239" w:type="dxa"/>
            <w:tcBorders>
              <w:top w:val="single" w:sz="4" w:space="0" w:color="auto"/>
              <w:left w:val="nil"/>
              <w:bottom w:val="nil"/>
              <w:right w:val="nil"/>
            </w:tcBorders>
            <w:noWrap/>
            <w:vAlign w:val="center"/>
          </w:tcPr>
          <w:p w14:paraId="094DF03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High dose</w:t>
            </w:r>
          </w:p>
        </w:tc>
        <w:tc>
          <w:tcPr>
            <w:tcW w:w="2749" w:type="dxa"/>
            <w:tcBorders>
              <w:top w:val="single" w:sz="4" w:space="0" w:color="auto"/>
              <w:left w:val="nil"/>
              <w:bottom w:val="nil"/>
              <w:right w:val="nil"/>
            </w:tcBorders>
            <w:noWrap/>
            <w:vAlign w:val="center"/>
          </w:tcPr>
          <w:p w14:paraId="0E04F5B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5.29 ± 1.20</w:t>
            </w:r>
            <w:r>
              <w:rPr>
                <w:rFonts w:ascii="Book Antiqua" w:hAnsi="Book Antiqua"/>
                <w:color w:val="000000"/>
                <w:vertAlign w:val="superscript"/>
              </w:rPr>
              <w:t>abc</w:t>
            </w:r>
          </w:p>
        </w:tc>
        <w:tc>
          <w:tcPr>
            <w:tcW w:w="2123" w:type="dxa"/>
            <w:tcBorders>
              <w:top w:val="single" w:sz="4" w:space="0" w:color="auto"/>
              <w:left w:val="nil"/>
              <w:bottom w:val="nil"/>
              <w:right w:val="nil"/>
            </w:tcBorders>
            <w:noWrap/>
            <w:vAlign w:val="center"/>
          </w:tcPr>
          <w:p w14:paraId="6F52A2B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1.46 ± 0.36</w:t>
            </w:r>
            <w:r>
              <w:rPr>
                <w:rFonts w:ascii="Book Antiqua" w:hAnsi="Book Antiqua"/>
                <w:color w:val="000000"/>
                <w:vertAlign w:val="superscript"/>
              </w:rPr>
              <w:t>abc</w:t>
            </w:r>
          </w:p>
        </w:tc>
        <w:tc>
          <w:tcPr>
            <w:tcW w:w="2713" w:type="dxa"/>
            <w:tcBorders>
              <w:top w:val="single" w:sz="4" w:space="0" w:color="auto"/>
              <w:left w:val="nil"/>
              <w:bottom w:val="nil"/>
              <w:right w:val="nil"/>
            </w:tcBorders>
            <w:noWrap/>
            <w:vAlign w:val="center"/>
          </w:tcPr>
          <w:p w14:paraId="5038A297"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2.44 ± 0.21</w:t>
            </w:r>
            <w:r>
              <w:rPr>
                <w:rFonts w:ascii="Book Antiqua" w:hAnsi="Book Antiqua"/>
                <w:color w:val="000000"/>
                <w:vertAlign w:val="superscript"/>
              </w:rPr>
              <w:t>abc</w:t>
            </w:r>
          </w:p>
        </w:tc>
        <w:tc>
          <w:tcPr>
            <w:tcW w:w="2368" w:type="dxa"/>
            <w:tcBorders>
              <w:top w:val="single" w:sz="4" w:space="0" w:color="auto"/>
              <w:left w:val="nil"/>
              <w:bottom w:val="nil"/>
              <w:right w:val="nil"/>
            </w:tcBorders>
            <w:noWrap/>
            <w:vAlign w:val="center"/>
          </w:tcPr>
          <w:p w14:paraId="27C2548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1.33 ± 0.12</w:t>
            </w:r>
            <w:r>
              <w:rPr>
                <w:rFonts w:ascii="Book Antiqua" w:hAnsi="Book Antiqua"/>
                <w:color w:val="000000"/>
                <w:vertAlign w:val="superscript"/>
              </w:rPr>
              <w:t>abc</w:t>
            </w:r>
          </w:p>
        </w:tc>
      </w:tr>
      <w:tr w:rsidR="003649F1" w14:paraId="59E4B429" w14:textId="77777777">
        <w:trPr>
          <w:trHeight w:val="255"/>
          <w:jc w:val="center"/>
        </w:trPr>
        <w:tc>
          <w:tcPr>
            <w:tcW w:w="3239" w:type="dxa"/>
            <w:tcBorders>
              <w:top w:val="nil"/>
              <w:left w:val="nil"/>
              <w:bottom w:val="nil"/>
              <w:right w:val="nil"/>
            </w:tcBorders>
            <w:noWrap/>
            <w:vAlign w:val="center"/>
          </w:tcPr>
          <w:p w14:paraId="5431A2D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Medium-high dose</w:t>
            </w:r>
          </w:p>
        </w:tc>
        <w:tc>
          <w:tcPr>
            <w:tcW w:w="2749" w:type="dxa"/>
            <w:tcBorders>
              <w:top w:val="nil"/>
              <w:left w:val="nil"/>
              <w:bottom w:val="nil"/>
              <w:right w:val="nil"/>
            </w:tcBorders>
            <w:noWrap/>
            <w:vAlign w:val="center"/>
          </w:tcPr>
          <w:p w14:paraId="0F4152AD"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4.64 ± 0.49</w:t>
            </w:r>
            <w:r>
              <w:rPr>
                <w:rFonts w:ascii="Book Antiqua" w:hAnsi="Book Antiqua"/>
                <w:color w:val="000000"/>
                <w:vertAlign w:val="superscript"/>
              </w:rPr>
              <w:t>a</w:t>
            </w:r>
          </w:p>
        </w:tc>
        <w:tc>
          <w:tcPr>
            <w:tcW w:w="2123" w:type="dxa"/>
            <w:tcBorders>
              <w:top w:val="nil"/>
              <w:left w:val="nil"/>
              <w:bottom w:val="nil"/>
              <w:right w:val="nil"/>
            </w:tcBorders>
            <w:noWrap/>
            <w:vAlign w:val="center"/>
          </w:tcPr>
          <w:p w14:paraId="580D6347"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1.12 ± 0.11</w:t>
            </w:r>
            <w:r>
              <w:rPr>
                <w:rFonts w:ascii="Book Antiqua" w:hAnsi="Book Antiqua"/>
                <w:color w:val="000000"/>
                <w:vertAlign w:val="superscript"/>
              </w:rPr>
              <w:t>a</w:t>
            </w:r>
          </w:p>
        </w:tc>
        <w:tc>
          <w:tcPr>
            <w:tcW w:w="2713" w:type="dxa"/>
            <w:tcBorders>
              <w:top w:val="nil"/>
              <w:left w:val="nil"/>
              <w:bottom w:val="nil"/>
              <w:right w:val="nil"/>
            </w:tcBorders>
            <w:noWrap/>
            <w:vAlign w:val="center"/>
          </w:tcPr>
          <w:p w14:paraId="14A68FF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2.14 ± 0.29</w:t>
            </w:r>
            <w:r>
              <w:rPr>
                <w:rFonts w:ascii="Book Antiqua" w:hAnsi="Book Antiqua"/>
                <w:color w:val="000000"/>
                <w:vertAlign w:val="superscript"/>
              </w:rPr>
              <w:t>ac</w:t>
            </w:r>
          </w:p>
        </w:tc>
        <w:tc>
          <w:tcPr>
            <w:tcW w:w="2368" w:type="dxa"/>
            <w:tcBorders>
              <w:top w:val="nil"/>
              <w:left w:val="nil"/>
              <w:bottom w:val="nil"/>
              <w:right w:val="nil"/>
            </w:tcBorders>
            <w:noWrap/>
            <w:vAlign w:val="center"/>
          </w:tcPr>
          <w:p w14:paraId="54EE6D52"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1.51 ± 0.12</w:t>
            </w:r>
            <w:r>
              <w:rPr>
                <w:rFonts w:ascii="Book Antiqua" w:hAnsi="Book Antiqua"/>
                <w:color w:val="000000"/>
                <w:vertAlign w:val="superscript"/>
              </w:rPr>
              <w:t>ac</w:t>
            </w:r>
          </w:p>
        </w:tc>
      </w:tr>
      <w:tr w:rsidR="003649F1" w14:paraId="322EDC68" w14:textId="77777777">
        <w:trPr>
          <w:trHeight w:val="255"/>
          <w:jc w:val="center"/>
        </w:trPr>
        <w:tc>
          <w:tcPr>
            <w:tcW w:w="3239" w:type="dxa"/>
            <w:tcBorders>
              <w:top w:val="nil"/>
              <w:left w:val="nil"/>
              <w:bottom w:val="nil"/>
              <w:right w:val="nil"/>
            </w:tcBorders>
            <w:noWrap/>
            <w:vAlign w:val="center"/>
          </w:tcPr>
          <w:p w14:paraId="35E06CC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Medium dose</w:t>
            </w:r>
          </w:p>
        </w:tc>
        <w:tc>
          <w:tcPr>
            <w:tcW w:w="2749" w:type="dxa"/>
            <w:tcBorders>
              <w:top w:val="nil"/>
              <w:left w:val="nil"/>
              <w:bottom w:val="nil"/>
              <w:right w:val="nil"/>
            </w:tcBorders>
            <w:noWrap/>
            <w:vAlign w:val="center"/>
          </w:tcPr>
          <w:p w14:paraId="7DB9C6A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3.67 ± 0.49</w:t>
            </w:r>
            <w:r>
              <w:rPr>
                <w:rFonts w:ascii="Book Antiqua" w:hAnsi="Book Antiqua"/>
                <w:color w:val="000000"/>
                <w:vertAlign w:val="superscript"/>
              </w:rPr>
              <w:t>a</w:t>
            </w:r>
          </w:p>
        </w:tc>
        <w:tc>
          <w:tcPr>
            <w:tcW w:w="2123" w:type="dxa"/>
            <w:tcBorders>
              <w:top w:val="nil"/>
              <w:left w:val="nil"/>
              <w:bottom w:val="nil"/>
              <w:right w:val="nil"/>
            </w:tcBorders>
            <w:noWrap/>
            <w:vAlign w:val="center"/>
          </w:tcPr>
          <w:p w14:paraId="5B064BD5"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0.97 ± 0.14</w:t>
            </w:r>
            <w:r>
              <w:rPr>
                <w:rFonts w:ascii="Book Antiqua" w:hAnsi="Book Antiqua"/>
                <w:color w:val="000000"/>
                <w:vertAlign w:val="superscript"/>
              </w:rPr>
              <w:t>a</w:t>
            </w:r>
          </w:p>
        </w:tc>
        <w:tc>
          <w:tcPr>
            <w:tcW w:w="2713" w:type="dxa"/>
            <w:tcBorders>
              <w:top w:val="nil"/>
              <w:left w:val="nil"/>
              <w:bottom w:val="nil"/>
              <w:right w:val="nil"/>
            </w:tcBorders>
            <w:noWrap/>
            <w:vAlign w:val="center"/>
          </w:tcPr>
          <w:p w14:paraId="1B980485"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1.95 ± 0.49</w:t>
            </w:r>
            <w:r>
              <w:rPr>
                <w:rFonts w:ascii="Book Antiqua" w:hAnsi="Book Antiqua"/>
                <w:color w:val="000000"/>
                <w:vertAlign w:val="superscript"/>
              </w:rPr>
              <w:t>ac</w:t>
            </w:r>
          </w:p>
        </w:tc>
        <w:tc>
          <w:tcPr>
            <w:tcW w:w="2368" w:type="dxa"/>
            <w:tcBorders>
              <w:top w:val="nil"/>
              <w:left w:val="nil"/>
              <w:bottom w:val="nil"/>
              <w:right w:val="nil"/>
            </w:tcBorders>
            <w:noWrap/>
            <w:vAlign w:val="center"/>
          </w:tcPr>
          <w:p w14:paraId="31F22980"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1.53 ± 0.17</w:t>
            </w:r>
            <w:r>
              <w:rPr>
                <w:rFonts w:ascii="Book Antiqua" w:hAnsi="Book Antiqua"/>
                <w:color w:val="000000"/>
                <w:vertAlign w:val="superscript"/>
              </w:rPr>
              <w:t>a</w:t>
            </w:r>
          </w:p>
        </w:tc>
      </w:tr>
      <w:tr w:rsidR="003649F1" w14:paraId="2D2042D6" w14:textId="77777777">
        <w:trPr>
          <w:trHeight w:val="255"/>
          <w:jc w:val="center"/>
        </w:trPr>
        <w:tc>
          <w:tcPr>
            <w:tcW w:w="3239" w:type="dxa"/>
            <w:tcBorders>
              <w:top w:val="nil"/>
              <w:left w:val="nil"/>
              <w:bottom w:val="nil"/>
              <w:right w:val="nil"/>
            </w:tcBorders>
            <w:noWrap/>
            <w:vAlign w:val="center"/>
          </w:tcPr>
          <w:p w14:paraId="4ACA518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 xml:space="preserve">Medium-low dose </w:t>
            </w:r>
          </w:p>
        </w:tc>
        <w:tc>
          <w:tcPr>
            <w:tcW w:w="2749" w:type="dxa"/>
            <w:tcBorders>
              <w:top w:val="nil"/>
              <w:left w:val="nil"/>
              <w:bottom w:val="nil"/>
              <w:right w:val="nil"/>
            </w:tcBorders>
            <w:noWrap/>
            <w:vAlign w:val="center"/>
          </w:tcPr>
          <w:p w14:paraId="4EA5A5E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3.48 ± 0.64</w:t>
            </w:r>
            <w:r>
              <w:rPr>
                <w:rFonts w:ascii="Book Antiqua" w:hAnsi="Book Antiqua"/>
                <w:color w:val="000000"/>
                <w:vertAlign w:val="superscript"/>
              </w:rPr>
              <w:t>a</w:t>
            </w:r>
          </w:p>
        </w:tc>
        <w:tc>
          <w:tcPr>
            <w:tcW w:w="2123" w:type="dxa"/>
            <w:tcBorders>
              <w:top w:val="nil"/>
              <w:left w:val="nil"/>
              <w:bottom w:val="nil"/>
              <w:right w:val="nil"/>
            </w:tcBorders>
            <w:noWrap/>
            <w:vAlign w:val="center"/>
          </w:tcPr>
          <w:p w14:paraId="43DA087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0.92 ± 0.18</w:t>
            </w:r>
            <w:r>
              <w:rPr>
                <w:rFonts w:ascii="Book Antiqua" w:hAnsi="Book Antiqua"/>
                <w:color w:val="000000"/>
                <w:vertAlign w:val="superscript"/>
              </w:rPr>
              <w:t>a</w:t>
            </w:r>
          </w:p>
        </w:tc>
        <w:tc>
          <w:tcPr>
            <w:tcW w:w="2713" w:type="dxa"/>
            <w:tcBorders>
              <w:top w:val="nil"/>
              <w:left w:val="nil"/>
              <w:bottom w:val="nil"/>
              <w:right w:val="nil"/>
            </w:tcBorders>
            <w:noWrap/>
            <w:vAlign w:val="center"/>
          </w:tcPr>
          <w:p w14:paraId="1E83F25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1.78 ± 0.34</w:t>
            </w:r>
            <w:r>
              <w:rPr>
                <w:rFonts w:ascii="Book Antiqua" w:hAnsi="Book Antiqua"/>
                <w:color w:val="000000"/>
                <w:vertAlign w:val="superscript"/>
              </w:rPr>
              <w:t>a</w:t>
            </w:r>
          </w:p>
        </w:tc>
        <w:tc>
          <w:tcPr>
            <w:tcW w:w="2368" w:type="dxa"/>
            <w:tcBorders>
              <w:top w:val="nil"/>
              <w:left w:val="nil"/>
              <w:bottom w:val="nil"/>
              <w:right w:val="nil"/>
            </w:tcBorders>
            <w:noWrap/>
            <w:vAlign w:val="center"/>
          </w:tcPr>
          <w:p w14:paraId="46F481B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1.72 ± 0.10</w:t>
            </w:r>
            <w:r>
              <w:rPr>
                <w:rFonts w:ascii="Book Antiqua" w:hAnsi="Book Antiqua"/>
                <w:color w:val="000000"/>
                <w:vertAlign w:val="superscript"/>
              </w:rPr>
              <w:t>a</w:t>
            </w:r>
          </w:p>
        </w:tc>
      </w:tr>
      <w:tr w:rsidR="003649F1" w14:paraId="43862C72" w14:textId="77777777">
        <w:trPr>
          <w:trHeight w:val="255"/>
          <w:jc w:val="center"/>
        </w:trPr>
        <w:tc>
          <w:tcPr>
            <w:tcW w:w="3239" w:type="dxa"/>
            <w:tcBorders>
              <w:top w:val="nil"/>
              <w:left w:val="nil"/>
              <w:bottom w:val="nil"/>
              <w:right w:val="nil"/>
            </w:tcBorders>
            <w:noWrap/>
            <w:vAlign w:val="center"/>
          </w:tcPr>
          <w:p w14:paraId="49B0D5E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Low dose</w:t>
            </w:r>
          </w:p>
        </w:tc>
        <w:tc>
          <w:tcPr>
            <w:tcW w:w="2749" w:type="dxa"/>
            <w:tcBorders>
              <w:top w:val="nil"/>
              <w:left w:val="nil"/>
              <w:bottom w:val="nil"/>
              <w:right w:val="nil"/>
            </w:tcBorders>
            <w:noWrap/>
            <w:vAlign w:val="center"/>
          </w:tcPr>
          <w:p w14:paraId="200B91D5"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3.36 ± 1.11</w:t>
            </w:r>
            <w:r>
              <w:rPr>
                <w:rFonts w:ascii="Book Antiqua" w:hAnsi="Book Antiqua"/>
                <w:color w:val="000000"/>
                <w:vertAlign w:val="superscript"/>
              </w:rPr>
              <w:t>a</w:t>
            </w:r>
          </w:p>
        </w:tc>
        <w:tc>
          <w:tcPr>
            <w:tcW w:w="2123" w:type="dxa"/>
            <w:tcBorders>
              <w:top w:val="nil"/>
              <w:left w:val="nil"/>
              <w:bottom w:val="nil"/>
              <w:right w:val="nil"/>
            </w:tcBorders>
            <w:noWrap/>
            <w:vAlign w:val="center"/>
          </w:tcPr>
          <w:p w14:paraId="76E65CB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0.91 ± 0.06</w:t>
            </w:r>
            <w:r>
              <w:rPr>
                <w:rFonts w:ascii="Book Antiqua" w:hAnsi="Book Antiqua"/>
                <w:color w:val="000000"/>
                <w:vertAlign w:val="superscript"/>
              </w:rPr>
              <w:t>a</w:t>
            </w:r>
          </w:p>
        </w:tc>
        <w:tc>
          <w:tcPr>
            <w:tcW w:w="2713" w:type="dxa"/>
            <w:tcBorders>
              <w:top w:val="nil"/>
              <w:left w:val="nil"/>
              <w:bottom w:val="nil"/>
              <w:right w:val="nil"/>
            </w:tcBorders>
            <w:noWrap/>
            <w:vAlign w:val="center"/>
          </w:tcPr>
          <w:p w14:paraId="7E7FA52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1.70 ± 0.15</w:t>
            </w:r>
            <w:r>
              <w:rPr>
                <w:rFonts w:ascii="Book Antiqua" w:hAnsi="Book Antiqua"/>
                <w:color w:val="000000"/>
                <w:vertAlign w:val="superscript"/>
              </w:rPr>
              <w:t>a</w:t>
            </w:r>
          </w:p>
        </w:tc>
        <w:tc>
          <w:tcPr>
            <w:tcW w:w="2368" w:type="dxa"/>
            <w:tcBorders>
              <w:top w:val="nil"/>
              <w:left w:val="nil"/>
              <w:bottom w:val="nil"/>
              <w:right w:val="nil"/>
            </w:tcBorders>
            <w:noWrap/>
            <w:vAlign w:val="center"/>
          </w:tcPr>
          <w:p w14:paraId="01EEDC4D"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1.73 ± 0.10</w:t>
            </w:r>
            <w:r>
              <w:rPr>
                <w:rFonts w:ascii="Book Antiqua" w:hAnsi="Book Antiqua"/>
                <w:color w:val="000000"/>
                <w:vertAlign w:val="superscript"/>
              </w:rPr>
              <w:t>a</w:t>
            </w:r>
          </w:p>
        </w:tc>
      </w:tr>
      <w:tr w:rsidR="003649F1" w14:paraId="2079D0F0" w14:textId="77777777">
        <w:trPr>
          <w:trHeight w:val="100"/>
          <w:jc w:val="center"/>
        </w:trPr>
        <w:tc>
          <w:tcPr>
            <w:tcW w:w="3239" w:type="dxa"/>
            <w:tcBorders>
              <w:top w:val="nil"/>
              <w:left w:val="nil"/>
              <w:bottom w:val="nil"/>
              <w:right w:val="nil"/>
            </w:tcBorders>
            <w:noWrap/>
            <w:vAlign w:val="center"/>
          </w:tcPr>
          <w:p w14:paraId="0D63ED48"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Control</w:t>
            </w:r>
          </w:p>
        </w:tc>
        <w:tc>
          <w:tcPr>
            <w:tcW w:w="2749" w:type="dxa"/>
            <w:tcBorders>
              <w:top w:val="nil"/>
              <w:left w:val="nil"/>
              <w:bottom w:val="nil"/>
              <w:right w:val="nil"/>
            </w:tcBorders>
            <w:noWrap/>
            <w:vAlign w:val="center"/>
          </w:tcPr>
          <w:p w14:paraId="4D92A1C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2.95 ± 1.35</w:t>
            </w:r>
          </w:p>
        </w:tc>
        <w:tc>
          <w:tcPr>
            <w:tcW w:w="2123" w:type="dxa"/>
            <w:tcBorders>
              <w:top w:val="nil"/>
              <w:left w:val="nil"/>
              <w:bottom w:val="nil"/>
              <w:right w:val="nil"/>
            </w:tcBorders>
            <w:noWrap/>
            <w:vAlign w:val="center"/>
          </w:tcPr>
          <w:p w14:paraId="0D55E342"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0.75 ± 0.07</w:t>
            </w:r>
          </w:p>
        </w:tc>
        <w:tc>
          <w:tcPr>
            <w:tcW w:w="2713" w:type="dxa"/>
            <w:tcBorders>
              <w:top w:val="nil"/>
              <w:left w:val="nil"/>
              <w:bottom w:val="nil"/>
              <w:right w:val="nil"/>
            </w:tcBorders>
            <w:noWrap/>
            <w:vAlign w:val="center"/>
          </w:tcPr>
          <w:p w14:paraId="32FC0DC7"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1.27 ± 0.15</w:t>
            </w:r>
          </w:p>
        </w:tc>
        <w:tc>
          <w:tcPr>
            <w:tcW w:w="2368" w:type="dxa"/>
            <w:tcBorders>
              <w:top w:val="nil"/>
              <w:left w:val="nil"/>
              <w:bottom w:val="nil"/>
              <w:right w:val="nil"/>
            </w:tcBorders>
            <w:noWrap/>
            <w:vAlign w:val="center"/>
          </w:tcPr>
          <w:p w14:paraId="0AA96AFB"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1.95 ± 0.10</w:t>
            </w:r>
          </w:p>
        </w:tc>
      </w:tr>
      <w:tr w:rsidR="003649F1" w14:paraId="686A479A" w14:textId="77777777">
        <w:trPr>
          <w:trHeight w:val="100"/>
          <w:jc w:val="center"/>
        </w:trPr>
        <w:tc>
          <w:tcPr>
            <w:tcW w:w="3239" w:type="dxa"/>
            <w:tcBorders>
              <w:top w:val="nil"/>
              <w:left w:val="nil"/>
              <w:bottom w:val="nil"/>
              <w:right w:val="nil"/>
            </w:tcBorders>
            <w:noWrap/>
            <w:vAlign w:val="center"/>
          </w:tcPr>
          <w:p w14:paraId="7C51520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i/>
                <w:color w:val="000000"/>
              </w:rPr>
              <w:t>F</w:t>
            </w:r>
            <w:r>
              <w:rPr>
                <w:rFonts w:ascii="Book Antiqua" w:hAnsi="Book Antiqua"/>
                <w:color w:val="000000"/>
              </w:rPr>
              <w:t xml:space="preserve"> value</w:t>
            </w:r>
          </w:p>
        </w:tc>
        <w:tc>
          <w:tcPr>
            <w:tcW w:w="2749" w:type="dxa"/>
            <w:tcBorders>
              <w:top w:val="nil"/>
              <w:left w:val="nil"/>
              <w:bottom w:val="nil"/>
              <w:right w:val="nil"/>
            </w:tcBorders>
            <w:noWrap/>
            <w:vAlign w:val="center"/>
          </w:tcPr>
          <w:p w14:paraId="56C5351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5.38</w:t>
            </w:r>
          </w:p>
        </w:tc>
        <w:tc>
          <w:tcPr>
            <w:tcW w:w="2123" w:type="dxa"/>
            <w:tcBorders>
              <w:top w:val="nil"/>
              <w:left w:val="nil"/>
              <w:bottom w:val="nil"/>
              <w:right w:val="nil"/>
            </w:tcBorders>
            <w:noWrap/>
            <w:vAlign w:val="center"/>
          </w:tcPr>
          <w:p w14:paraId="66922C6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10.32</w:t>
            </w:r>
          </w:p>
        </w:tc>
        <w:tc>
          <w:tcPr>
            <w:tcW w:w="2713" w:type="dxa"/>
            <w:tcBorders>
              <w:top w:val="nil"/>
              <w:left w:val="nil"/>
              <w:bottom w:val="nil"/>
              <w:right w:val="nil"/>
            </w:tcBorders>
            <w:noWrap/>
            <w:vAlign w:val="center"/>
          </w:tcPr>
          <w:p w14:paraId="10BDAFE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13.3</w:t>
            </w:r>
          </w:p>
        </w:tc>
        <w:tc>
          <w:tcPr>
            <w:tcW w:w="2368" w:type="dxa"/>
            <w:tcBorders>
              <w:top w:val="nil"/>
              <w:left w:val="nil"/>
              <w:bottom w:val="nil"/>
              <w:right w:val="nil"/>
            </w:tcBorders>
            <w:noWrap/>
            <w:vAlign w:val="center"/>
          </w:tcPr>
          <w:p w14:paraId="5812E865"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17.44</w:t>
            </w:r>
          </w:p>
        </w:tc>
      </w:tr>
      <w:tr w:rsidR="003649F1" w14:paraId="66DCFFDC" w14:textId="77777777">
        <w:trPr>
          <w:trHeight w:val="100"/>
          <w:jc w:val="center"/>
        </w:trPr>
        <w:tc>
          <w:tcPr>
            <w:tcW w:w="3239" w:type="dxa"/>
            <w:tcBorders>
              <w:top w:val="nil"/>
              <w:left w:val="nil"/>
              <w:bottom w:val="single" w:sz="4" w:space="0" w:color="auto"/>
              <w:right w:val="nil"/>
            </w:tcBorders>
            <w:noWrap/>
            <w:vAlign w:val="center"/>
          </w:tcPr>
          <w:p w14:paraId="5049C1C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i/>
                <w:color w:val="000000"/>
              </w:rPr>
              <w:t>P</w:t>
            </w:r>
            <w:r>
              <w:rPr>
                <w:rFonts w:ascii="Book Antiqua" w:hAnsi="Book Antiqua"/>
                <w:color w:val="000000"/>
              </w:rPr>
              <w:t xml:space="preserve"> value</w:t>
            </w:r>
          </w:p>
        </w:tc>
        <w:tc>
          <w:tcPr>
            <w:tcW w:w="2749" w:type="dxa"/>
            <w:tcBorders>
              <w:top w:val="nil"/>
              <w:left w:val="nil"/>
              <w:bottom w:val="single" w:sz="4" w:space="0" w:color="auto"/>
              <w:right w:val="nil"/>
            </w:tcBorders>
            <w:noWrap/>
            <w:vAlign w:val="center"/>
          </w:tcPr>
          <w:p w14:paraId="389BB92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0.002</w:t>
            </w:r>
          </w:p>
        </w:tc>
        <w:tc>
          <w:tcPr>
            <w:tcW w:w="2123" w:type="dxa"/>
            <w:tcBorders>
              <w:top w:val="nil"/>
              <w:left w:val="nil"/>
              <w:bottom w:val="single" w:sz="4" w:space="0" w:color="auto"/>
              <w:right w:val="nil"/>
            </w:tcBorders>
            <w:noWrap/>
            <w:vAlign w:val="center"/>
          </w:tcPr>
          <w:p w14:paraId="491BAA92"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0.001</w:t>
            </w:r>
          </w:p>
        </w:tc>
        <w:tc>
          <w:tcPr>
            <w:tcW w:w="2713" w:type="dxa"/>
            <w:tcBorders>
              <w:top w:val="nil"/>
              <w:left w:val="nil"/>
              <w:bottom w:val="single" w:sz="4" w:space="0" w:color="auto"/>
              <w:right w:val="nil"/>
            </w:tcBorders>
            <w:noWrap/>
            <w:vAlign w:val="center"/>
          </w:tcPr>
          <w:p w14:paraId="456B77D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0.001</w:t>
            </w:r>
          </w:p>
        </w:tc>
        <w:tc>
          <w:tcPr>
            <w:tcW w:w="2368" w:type="dxa"/>
            <w:tcBorders>
              <w:top w:val="nil"/>
              <w:left w:val="nil"/>
              <w:bottom w:val="single" w:sz="4" w:space="0" w:color="auto"/>
              <w:right w:val="nil"/>
            </w:tcBorders>
            <w:noWrap/>
            <w:vAlign w:val="center"/>
          </w:tcPr>
          <w:p w14:paraId="46E1FE1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0.001</w:t>
            </w:r>
          </w:p>
        </w:tc>
      </w:tr>
    </w:tbl>
    <w:p w14:paraId="47507669" w14:textId="77777777" w:rsidR="00F87F1C" w:rsidRPr="00F87F1C" w:rsidRDefault="003F5E16">
      <w:pPr>
        <w:adjustRightInd w:val="0"/>
        <w:snapToGrid w:val="0"/>
        <w:spacing w:line="360" w:lineRule="auto"/>
        <w:jc w:val="both"/>
        <w:rPr>
          <w:rFonts w:ascii="Book Antiqua" w:hAnsi="Book Antiqua"/>
          <w:lang w:eastAsia="zh-CN"/>
        </w:rPr>
      </w:pPr>
      <w:r>
        <w:rPr>
          <w:rFonts w:ascii="Book Antiqua" w:hAnsi="Book Antiqua"/>
        </w:rPr>
        <w:t xml:space="preserve">TC: </w:t>
      </w:r>
      <w:r>
        <w:rPr>
          <w:rFonts w:ascii="Book Antiqua" w:eastAsia="Book Antiqua" w:hAnsi="Book Antiqua" w:cs="Book Antiqua"/>
          <w:color w:val="000000"/>
        </w:rPr>
        <w:t>Total cholesterol;</w:t>
      </w:r>
      <w:r>
        <w:rPr>
          <w:rFonts w:ascii="Book Antiqua" w:hAnsi="Book Antiqua"/>
        </w:rPr>
        <w:t xml:space="preserve"> TG:</w:t>
      </w:r>
      <w:r>
        <w:rPr>
          <w:rFonts w:ascii="Book Antiqua" w:eastAsia="Book Antiqua" w:hAnsi="Book Antiqua" w:cs="Book Antiqua"/>
          <w:color w:val="000000"/>
        </w:rPr>
        <w:t xml:space="preserve"> Tri-glyceride;</w:t>
      </w:r>
      <w:r>
        <w:rPr>
          <w:rFonts w:ascii="Book Antiqua" w:hAnsi="Book Antiqua"/>
        </w:rPr>
        <w:t xml:space="preserve"> LDL-C:</w:t>
      </w:r>
      <w:r>
        <w:rPr>
          <w:rFonts w:ascii="Book Antiqua" w:eastAsia="Book Antiqua" w:hAnsi="Book Antiqua" w:cs="Book Antiqua"/>
          <w:color w:val="000000"/>
        </w:rPr>
        <w:t xml:space="preserve"> Low-density lipoprotein cholesterol;</w:t>
      </w:r>
      <w:r>
        <w:rPr>
          <w:rFonts w:ascii="Book Antiqua" w:hAnsi="Book Antiqua"/>
        </w:rPr>
        <w:t xml:space="preserve"> HDL-C:</w:t>
      </w:r>
      <w:r>
        <w:rPr>
          <w:rFonts w:ascii="Book Antiqua" w:eastAsia="Book Antiqua" w:hAnsi="Book Antiqua" w:cs="Book Antiqua"/>
          <w:color w:val="000000"/>
        </w:rPr>
        <w:t xml:space="preserve"> High density lipoprotein cholesterol</w:t>
      </w:r>
      <w:r w:rsidR="00F87F1C">
        <w:rPr>
          <w:rFonts w:ascii="Book Antiqua" w:hAnsi="Book Antiqua" w:cs="Book Antiqua" w:hint="eastAsia"/>
          <w:color w:val="000000"/>
          <w:lang w:eastAsia="zh-CN"/>
        </w:rPr>
        <w:t>.</w:t>
      </w:r>
    </w:p>
    <w:p w14:paraId="74DB6BAA" w14:textId="77777777" w:rsidR="00F87F1C" w:rsidRDefault="003F5E16">
      <w:pPr>
        <w:adjustRightInd w:val="0"/>
        <w:snapToGrid w:val="0"/>
        <w:spacing w:line="360" w:lineRule="auto"/>
        <w:jc w:val="both"/>
        <w:rPr>
          <w:rFonts w:ascii="Book Antiqua" w:hAnsi="Book Antiqua"/>
          <w:lang w:eastAsia="zh-CN"/>
        </w:rPr>
      </w:pPr>
      <w:proofErr w:type="spellStart"/>
      <w:r w:rsidRPr="00F87F1C">
        <w:rPr>
          <w:rFonts w:ascii="Book Antiqua" w:hAnsi="Book Antiqua"/>
          <w:iCs/>
          <w:vertAlign w:val="superscript"/>
        </w:rPr>
        <w:t>a</w:t>
      </w:r>
      <w:r>
        <w:rPr>
          <w:rFonts w:ascii="Book Antiqua" w:hAnsi="Book Antiqua"/>
          <w:i/>
          <w:iCs/>
        </w:rPr>
        <w:t>P</w:t>
      </w:r>
      <w:proofErr w:type="spellEnd"/>
      <w:r>
        <w:rPr>
          <w:rFonts w:ascii="Book Antiqua" w:hAnsi="Book Antiqua"/>
        </w:rPr>
        <w:t xml:space="preserve"> &lt; 0.05 compared with the control group</w:t>
      </w:r>
      <w:r w:rsidR="00F87F1C">
        <w:rPr>
          <w:rFonts w:ascii="Book Antiqua" w:hAnsi="Book Antiqua" w:hint="eastAsia"/>
          <w:lang w:eastAsia="zh-CN"/>
        </w:rPr>
        <w:t>.</w:t>
      </w:r>
      <w:r>
        <w:rPr>
          <w:rFonts w:ascii="Book Antiqua" w:hAnsi="Book Antiqua"/>
        </w:rPr>
        <w:t xml:space="preserve"> </w:t>
      </w:r>
    </w:p>
    <w:p w14:paraId="20BE4A93" w14:textId="77777777" w:rsidR="00F87F1C" w:rsidRDefault="003F5E16">
      <w:pPr>
        <w:adjustRightInd w:val="0"/>
        <w:snapToGrid w:val="0"/>
        <w:spacing w:line="360" w:lineRule="auto"/>
        <w:jc w:val="both"/>
        <w:rPr>
          <w:rFonts w:ascii="Book Antiqua" w:hAnsi="Book Antiqua"/>
          <w:lang w:eastAsia="zh-CN"/>
        </w:rPr>
      </w:pPr>
      <w:proofErr w:type="spellStart"/>
      <w:r w:rsidRPr="00F87F1C">
        <w:rPr>
          <w:rFonts w:ascii="Book Antiqua" w:hAnsi="Book Antiqua"/>
          <w:iCs/>
          <w:vertAlign w:val="superscript"/>
        </w:rPr>
        <w:t>b</w:t>
      </w:r>
      <w:r>
        <w:rPr>
          <w:rFonts w:ascii="Book Antiqua" w:hAnsi="Book Antiqua"/>
          <w:i/>
          <w:iCs/>
        </w:rPr>
        <w:t>P</w:t>
      </w:r>
      <w:proofErr w:type="spellEnd"/>
      <w:r>
        <w:rPr>
          <w:rFonts w:ascii="Book Antiqua" w:hAnsi="Book Antiqua"/>
        </w:rPr>
        <w:t xml:space="preserve"> &lt; 0.05 compared with the medium dose group</w:t>
      </w:r>
      <w:r w:rsidR="00F87F1C">
        <w:rPr>
          <w:rFonts w:ascii="Book Antiqua" w:hAnsi="Book Antiqua" w:hint="eastAsia"/>
          <w:lang w:eastAsia="zh-CN"/>
        </w:rPr>
        <w:t>.</w:t>
      </w:r>
    </w:p>
    <w:p w14:paraId="3F3FBFF2" w14:textId="77777777" w:rsidR="003649F1" w:rsidRDefault="003F5E16">
      <w:pPr>
        <w:adjustRightInd w:val="0"/>
        <w:snapToGrid w:val="0"/>
        <w:spacing w:line="360" w:lineRule="auto"/>
        <w:jc w:val="both"/>
        <w:rPr>
          <w:rFonts w:ascii="Book Antiqua" w:hAnsi="Book Antiqua"/>
          <w:kern w:val="2"/>
        </w:rPr>
      </w:pPr>
      <w:proofErr w:type="spellStart"/>
      <w:r w:rsidRPr="00F87F1C">
        <w:rPr>
          <w:rFonts w:ascii="Book Antiqua" w:hAnsi="Book Antiqua"/>
          <w:iCs/>
          <w:vertAlign w:val="superscript"/>
        </w:rPr>
        <w:t>c</w:t>
      </w:r>
      <w:r>
        <w:rPr>
          <w:rFonts w:ascii="Book Antiqua" w:hAnsi="Book Antiqua"/>
          <w:i/>
          <w:iCs/>
        </w:rPr>
        <w:t>P</w:t>
      </w:r>
      <w:proofErr w:type="spellEnd"/>
      <w:r>
        <w:rPr>
          <w:rFonts w:ascii="Book Antiqua" w:hAnsi="Book Antiqua"/>
        </w:rPr>
        <w:t xml:space="preserve"> &lt; 0.05 compared with the low dose group.</w:t>
      </w:r>
    </w:p>
    <w:p w14:paraId="0BB378E4" w14:textId="77777777" w:rsidR="003649F1" w:rsidRDefault="003F5E16">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7F316B5C" w14:textId="77777777" w:rsidR="003649F1" w:rsidRDefault="003F5E16">
      <w:pPr>
        <w:adjustRightInd w:val="0"/>
        <w:snapToGrid w:val="0"/>
        <w:spacing w:line="360" w:lineRule="auto"/>
        <w:jc w:val="both"/>
        <w:rPr>
          <w:rFonts w:ascii="Book Antiqua" w:hAnsi="Book Antiqua"/>
          <w:b/>
          <w:lang w:eastAsia="zh-CN"/>
        </w:rPr>
      </w:pPr>
      <w:r>
        <w:rPr>
          <w:rFonts w:ascii="Book Antiqua" w:hAnsi="Book Antiqua"/>
          <w:b/>
          <w:color w:val="000000"/>
        </w:rPr>
        <w:lastRenderedPageBreak/>
        <w:t xml:space="preserve">Table 4 Comparison of relative expression levels of adiponectin, leptin, and </w:t>
      </w:r>
      <w:r>
        <w:rPr>
          <w:rFonts w:ascii="Book Antiqua" w:eastAsia="Book Antiqua" w:hAnsi="Book Antiqua" w:cs="Book Antiqua"/>
          <w:b/>
          <w:bCs/>
          <w:color w:val="000000"/>
        </w:rPr>
        <w:t>peroxisome proliferators activated receptor-γ</w:t>
      </w:r>
      <w:r>
        <w:rPr>
          <w:rFonts w:ascii="Book Antiqua" w:hAnsi="Book Antiqua"/>
          <w:b/>
          <w:color w:val="000000"/>
        </w:rPr>
        <w:t xml:space="preserve"> genes in liver tissue of mice in each group (X ± S, 2</w:t>
      </w:r>
      <w:r>
        <w:rPr>
          <w:rFonts w:ascii="Book Antiqua" w:hAnsi="Book Antiqua"/>
          <w:b/>
          <w:color w:val="000000"/>
          <w:vertAlign w:val="superscript"/>
        </w:rPr>
        <w:t>-</w:t>
      </w:r>
      <w:r>
        <w:rPr>
          <w:rFonts w:ascii="宋体" w:eastAsia="宋体" w:hAnsi="宋体" w:cs="宋体" w:hint="eastAsia"/>
          <w:b/>
          <w:color w:val="000000"/>
          <w:vertAlign w:val="superscript"/>
        </w:rPr>
        <w:t>△△</w:t>
      </w:r>
      <w:r>
        <w:rPr>
          <w:rFonts w:ascii="Book Antiqua" w:hAnsi="Book Antiqua"/>
          <w:b/>
          <w:color w:val="000000"/>
          <w:vertAlign w:val="superscript"/>
        </w:rPr>
        <w:t>Ct</w:t>
      </w:r>
      <w:r>
        <w:rPr>
          <w:rFonts w:ascii="Book Antiqua" w:hAnsi="Book Antiqua"/>
          <w:b/>
          <w:color w:val="000000"/>
          <w:lang w:eastAsia="zh-CN"/>
        </w:rPr>
        <w:t>)</w:t>
      </w:r>
    </w:p>
    <w:tbl>
      <w:tblPr>
        <w:tblW w:w="13059" w:type="dxa"/>
        <w:jc w:val="center"/>
        <w:tblBorders>
          <w:top w:val="single" w:sz="4" w:space="0" w:color="auto"/>
          <w:bottom w:val="single" w:sz="4" w:space="0" w:color="auto"/>
        </w:tblBorders>
        <w:tblLayout w:type="fixed"/>
        <w:tblLook w:val="04A0" w:firstRow="1" w:lastRow="0" w:firstColumn="1" w:lastColumn="0" w:noHBand="0" w:noVBand="1"/>
      </w:tblPr>
      <w:tblGrid>
        <w:gridCol w:w="3352"/>
        <w:gridCol w:w="1476"/>
        <w:gridCol w:w="2610"/>
        <w:gridCol w:w="2942"/>
        <w:gridCol w:w="2679"/>
      </w:tblGrid>
      <w:tr w:rsidR="003649F1" w14:paraId="34775F50" w14:textId="77777777">
        <w:trPr>
          <w:trHeight w:val="313"/>
          <w:jc w:val="center"/>
        </w:trPr>
        <w:tc>
          <w:tcPr>
            <w:tcW w:w="3352" w:type="dxa"/>
            <w:tcBorders>
              <w:top w:val="single" w:sz="4" w:space="0" w:color="auto"/>
              <w:left w:val="nil"/>
              <w:bottom w:val="single" w:sz="4" w:space="0" w:color="auto"/>
              <w:right w:val="nil"/>
            </w:tcBorders>
            <w:noWrap/>
            <w:vAlign w:val="center"/>
          </w:tcPr>
          <w:p w14:paraId="25F0B2E4"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Group</w:t>
            </w:r>
          </w:p>
        </w:tc>
        <w:tc>
          <w:tcPr>
            <w:tcW w:w="1476" w:type="dxa"/>
            <w:tcBorders>
              <w:top w:val="single" w:sz="4" w:space="0" w:color="auto"/>
              <w:left w:val="nil"/>
              <w:bottom w:val="single" w:sz="4" w:space="0" w:color="auto"/>
              <w:right w:val="nil"/>
            </w:tcBorders>
            <w:noWrap/>
            <w:vAlign w:val="center"/>
          </w:tcPr>
          <w:p w14:paraId="1E0BA215" w14:textId="77777777" w:rsidR="003649F1" w:rsidRDefault="003F5E16">
            <w:pPr>
              <w:adjustRightInd w:val="0"/>
              <w:snapToGrid w:val="0"/>
              <w:spacing w:line="360" w:lineRule="auto"/>
              <w:jc w:val="both"/>
              <w:rPr>
                <w:rFonts w:ascii="Book Antiqua" w:hAnsi="Book Antiqua"/>
                <w:b/>
                <w:bCs/>
                <w:i/>
                <w:iCs/>
                <w:color w:val="000000"/>
              </w:rPr>
            </w:pPr>
            <w:r>
              <w:rPr>
                <w:rFonts w:ascii="Book Antiqua" w:hAnsi="Book Antiqua"/>
                <w:b/>
                <w:bCs/>
                <w:i/>
                <w:iCs/>
                <w:color w:val="000000"/>
              </w:rPr>
              <w:t>n</w:t>
            </w:r>
          </w:p>
        </w:tc>
        <w:tc>
          <w:tcPr>
            <w:tcW w:w="2610" w:type="dxa"/>
            <w:tcBorders>
              <w:top w:val="single" w:sz="4" w:space="0" w:color="auto"/>
              <w:left w:val="nil"/>
              <w:bottom w:val="single" w:sz="4" w:space="0" w:color="auto"/>
              <w:right w:val="nil"/>
            </w:tcBorders>
            <w:noWrap/>
            <w:vAlign w:val="center"/>
          </w:tcPr>
          <w:p w14:paraId="3F55BD85" w14:textId="77777777" w:rsidR="003649F1" w:rsidRDefault="003F5E16">
            <w:pPr>
              <w:adjustRightInd w:val="0"/>
              <w:snapToGrid w:val="0"/>
              <w:spacing w:line="360" w:lineRule="auto"/>
              <w:jc w:val="both"/>
              <w:rPr>
                <w:rFonts w:ascii="Book Antiqua" w:hAnsi="Book Antiqua"/>
                <w:b/>
                <w:bCs/>
                <w:i/>
                <w:color w:val="000000"/>
              </w:rPr>
            </w:pPr>
            <w:proofErr w:type="spellStart"/>
            <w:r>
              <w:rPr>
                <w:rFonts w:ascii="Book Antiqua" w:hAnsi="Book Antiqua"/>
                <w:b/>
                <w:bCs/>
                <w:i/>
                <w:color w:val="000000"/>
              </w:rPr>
              <w:t>Adp</w:t>
            </w:r>
            <w:proofErr w:type="spellEnd"/>
          </w:p>
        </w:tc>
        <w:tc>
          <w:tcPr>
            <w:tcW w:w="2942" w:type="dxa"/>
            <w:tcBorders>
              <w:top w:val="single" w:sz="4" w:space="0" w:color="auto"/>
              <w:left w:val="nil"/>
              <w:bottom w:val="single" w:sz="4" w:space="0" w:color="auto"/>
              <w:right w:val="nil"/>
            </w:tcBorders>
            <w:noWrap/>
            <w:vAlign w:val="center"/>
          </w:tcPr>
          <w:p w14:paraId="57547281" w14:textId="77777777" w:rsidR="003649F1" w:rsidRDefault="003F5E16">
            <w:pPr>
              <w:adjustRightInd w:val="0"/>
              <w:snapToGrid w:val="0"/>
              <w:spacing w:line="360" w:lineRule="auto"/>
              <w:jc w:val="both"/>
              <w:rPr>
                <w:rFonts w:ascii="Book Antiqua" w:hAnsi="Book Antiqua"/>
                <w:b/>
                <w:bCs/>
                <w:i/>
                <w:color w:val="000000"/>
              </w:rPr>
            </w:pPr>
            <w:r>
              <w:rPr>
                <w:rFonts w:ascii="Book Antiqua" w:hAnsi="Book Antiqua"/>
                <w:b/>
                <w:bCs/>
                <w:i/>
                <w:color w:val="000000"/>
              </w:rPr>
              <w:t>LEP</w:t>
            </w:r>
          </w:p>
        </w:tc>
        <w:tc>
          <w:tcPr>
            <w:tcW w:w="2679" w:type="dxa"/>
            <w:tcBorders>
              <w:top w:val="single" w:sz="4" w:space="0" w:color="auto"/>
              <w:left w:val="nil"/>
              <w:bottom w:val="single" w:sz="4" w:space="0" w:color="auto"/>
              <w:right w:val="nil"/>
            </w:tcBorders>
            <w:noWrap/>
            <w:vAlign w:val="center"/>
          </w:tcPr>
          <w:p w14:paraId="5DB99AE0" w14:textId="77777777" w:rsidR="003649F1" w:rsidRDefault="003F5E16">
            <w:pPr>
              <w:adjustRightInd w:val="0"/>
              <w:snapToGrid w:val="0"/>
              <w:spacing w:line="360" w:lineRule="auto"/>
              <w:jc w:val="both"/>
              <w:rPr>
                <w:rFonts w:ascii="Book Antiqua" w:hAnsi="Book Antiqua"/>
                <w:b/>
                <w:bCs/>
                <w:i/>
                <w:color w:val="000000"/>
              </w:rPr>
            </w:pPr>
            <w:proofErr w:type="spellStart"/>
            <w:r>
              <w:rPr>
                <w:rFonts w:ascii="Book Antiqua" w:hAnsi="Book Antiqua"/>
                <w:b/>
                <w:bCs/>
                <w:i/>
              </w:rPr>
              <w:t>PPARγ</w:t>
            </w:r>
            <w:proofErr w:type="spellEnd"/>
          </w:p>
        </w:tc>
      </w:tr>
      <w:tr w:rsidR="003649F1" w14:paraId="7F0FD6F0" w14:textId="77777777">
        <w:trPr>
          <w:trHeight w:val="358"/>
          <w:jc w:val="center"/>
        </w:trPr>
        <w:tc>
          <w:tcPr>
            <w:tcW w:w="3352" w:type="dxa"/>
            <w:tcBorders>
              <w:top w:val="single" w:sz="4" w:space="0" w:color="auto"/>
              <w:left w:val="nil"/>
              <w:bottom w:val="nil"/>
              <w:right w:val="nil"/>
            </w:tcBorders>
            <w:noWrap/>
            <w:vAlign w:val="center"/>
          </w:tcPr>
          <w:p w14:paraId="62905508"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High dose</w:t>
            </w:r>
          </w:p>
        </w:tc>
        <w:tc>
          <w:tcPr>
            <w:tcW w:w="1476" w:type="dxa"/>
            <w:tcBorders>
              <w:top w:val="single" w:sz="4" w:space="0" w:color="auto"/>
              <w:left w:val="nil"/>
              <w:bottom w:val="nil"/>
              <w:right w:val="nil"/>
            </w:tcBorders>
            <w:noWrap/>
            <w:vAlign w:val="center"/>
          </w:tcPr>
          <w:p w14:paraId="561AECF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610" w:type="dxa"/>
            <w:tcBorders>
              <w:top w:val="single" w:sz="4" w:space="0" w:color="auto"/>
              <w:left w:val="nil"/>
              <w:bottom w:val="nil"/>
              <w:right w:val="nil"/>
            </w:tcBorders>
            <w:noWrap/>
            <w:vAlign w:val="center"/>
          </w:tcPr>
          <w:p w14:paraId="6202CB5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1.85 ± 0.25</w:t>
            </w:r>
            <w:r>
              <w:rPr>
                <w:rFonts w:ascii="Book Antiqua" w:hAnsi="Book Antiqua"/>
                <w:color w:val="000000"/>
                <w:vertAlign w:val="superscript"/>
              </w:rPr>
              <w:t>ac</w:t>
            </w:r>
          </w:p>
        </w:tc>
        <w:tc>
          <w:tcPr>
            <w:tcW w:w="2942" w:type="dxa"/>
            <w:tcBorders>
              <w:top w:val="single" w:sz="4" w:space="0" w:color="auto"/>
              <w:left w:val="nil"/>
              <w:bottom w:val="nil"/>
              <w:right w:val="nil"/>
            </w:tcBorders>
            <w:noWrap/>
            <w:vAlign w:val="center"/>
          </w:tcPr>
          <w:p w14:paraId="204017E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3.27 ± 0.80</w:t>
            </w:r>
            <w:r>
              <w:rPr>
                <w:rFonts w:ascii="Book Antiqua" w:hAnsi="Book Antiqua"/>
                <w:color w:val="000000"/>
                <w:vertAlign w:val="superscript"/>
              </w:rPr>
              <w:t>abc</w:t>
            </w:r>
          </w:p>
        </w:tc>
        <w:tc>
          <w:tcPr>
            <w:tcW w:w="2679" w:type="dxa"/>
            <w:tcBorders>
              <w:top w:val="single" w:sz="4" w:space="0" w:color="auto"/>
              <w:left w:val="nil"/>
              <w:bottom w:val="nil"/>
              <w:right w:val="nil"/>
            </w:tcBorders>
            <w:noWrap/>
            <w:vAlign w:val="center"/>
          </w:tcPr>
          <w:p w14:paraId="55E2F64D"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2.96 ± 0.98</w:t>
            </w:r>
            <w:r>
              <w:rPr>
                <w:rFonts w:ascii="Book Antiqua" w:hAnsi="Book Antiqua"/>
                <w:color w:val="000000"/>
                <w:vertAlign w:val="superscript"/>
              </w:rPr>
              <w:t>a</w:t>
            </w:r>
          </w:p>
        </w:tc>
      </w:tr>
      <w:tr w:rsidR="003649F1" w14:paraId="67C1A11D" w14:textId="77777777">
        <w:trPr>
          <w:trHeight w:val="246"/>
          <w:jc w:val="center"/>
        </w:trPr>
        <w:tc>
          <w:tcPr>
            <w:tcW w:w="3352" w:type="dxa"/>
            <w:tcBorders>
              <w:top w:val="nil"/>
              <w:left w:val="nil"/>
              <w:bottom w:val="nil"/>
              <w:right w:val="nil"/>
            </w:tcBorders>
            <w:noWrap/>
            <w:vAlign w:val="center"/>
          </w:tcPr>
          <w:p w14:paraId="1DB5B5C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 xml:space="preserve">Medium-high dose </w:t>
            </w:r>
          </w:p>
        </w:tc>
        <w:tc>
          <w:tcPr>
            <w:tcW w:w="1476" w:type="dxa"/>
            <w:tcBorders>
              <w:top w:val="nil"/>
              <w:left w:val="nil"/>
              <w:bottom w:val="nil"/>
              <w:right w:val="nil"/>
            </w:tcBorders>
            <w:noWrap/>
            <w:vAlign w:val="center"/>
          </w:tcPr>
          <w:p w14:paraId="5F0AEE5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610" w:type="dxa"/>
            <w:tcBorders>
              <w:top w:val="nil"/>
              <w:left w:val="nil"/>
              <w:bottom w:val="nil"/>
              <w:right w:val="nil"/>
            </w:tcBorders>
            <w:noWrap/>
            <w:vAlign w:val="center"/>
          </w:tcPr>
          <w:p w14:paraId="4166DDD8"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2.25 ± 0.37</w:t>
            </w:r>
            <w:r>
              <w:rPr>
                <w:rFonts w:ascii="Book Antiqua" w:hAnsi="Book Antiqua"/>
                <w:color w:val="000000"/>
                <w:vertAlign w:val="superscript"/>
              </w:rPr>
              <w:t>ac</w:t>
            </w:r>
          </w:p>
        </w:tc>
        <w:tc>
          <w:tcPr>
            <w:tcW w:w="2942" w:type="dxa"/>
            <w:tcBorders>
              <w:top w:val="nil"/>
              <w:left w:val="nil"/>
              <w:bottom w:val="nil"/>
              <w:right w:val="nil"/>
            </w:tcBorders>
            <w:noWrap/>
            <w:vAlign w:val="center"/>
          </w:tcPr>
          <w:p w14:paraId="22597792"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2.61 ± 0.62</w:t>
            </w:r>
            <w:r>
              <w:rPr>
                <w:rFonts w:ascii="Book Antiqua" w:hAnsi="Book Antiqua"/>
                <w:color w:val="000000"/>
                <w:vertAlign w:val="superscript"/>
              </w:rPr>
              <w:t>abc</w:t>
            </w:r>
          </w:p>
        </w:tc>
        <w:tc>
          <w:tcPr>
            <w:tcW w:w="2679" w:type="dxa"/>
            <w:tcBorders>
              <w:top w:val="nil"/>
              <w:left w:val="nil"/>
              <w:bottom w:val="nil"/>
              <w:right w:val="nil"/>
            </w:tcBorders>
            <w:noWrap/>
            <w:vAlign w:val="center"/>
          </w:tcPr>
          <w:p w14:paraId="5D4CD62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2.93 ± 0.95</w:t>
            </w:r>
            <w:r>
              <w:rPr>
                <w:rFonts w:ascii="Book Antiqua" w:hAnsi="Book Antiqua"/>
                <w:color w:val="000000"/>
                <w:vertAlign w:val="superscript"/>
              </w:rPr>
              <w:t>a</w:t>
            </w:r>
          </w:p>
        </w:tc>
      </w:tr>
      <w:tr w:rsidR="003649F1" w14:paraId="33BA0D64" w14:textId="77777777">
        <w:trPr>
          <w:trHeight w:val="246"/>
          <w:jc w:val="center"/>
        </w:trPr>
        <w:tc>
          <w:tcPr>
            <w:tcW w:w="3352" w:type="dxa"/>
            <w:tcBorders>
              <w:top w:val="nil"/>
              <w:left w:val="nil"/>
              <w:bottom w:val="nil"/>
              <w:right w:val="nil"/>
            </w:tcBorders>
            <w:noWrap/>
            <w:vAlign w:val="center"/>
          </w:tcPr>
          <w:p w14:paraId="0A4EBFC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Medium dose</w:t>
            </w:r>
          </w:p>
        </w:tc>
        <w:tc>
          <w:tcPr>
            <w:tcW w:w="1476" w:type="dxa"/>
            <w:tcBorders>
              <w:top w:val="nil"/>
              <w:left w:val="nil"/>
              <w:bottom w:val="nil"/>
              <w:right w:val="nil"/>
            </w:tcBorders>
            <w:noWrap/>
            <w:vAlign w:val="center"/>
          </w:tcPr>
          <w:p w14:paraId="0A204B3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610" w:type="dxa"/>
            <w:tcBorders>
              <w:top w:val="nil"/>
              <w:left w:val="nil"/>
              <w:bottom w:val="nil"/>
              <w:right w:val="nil"/>
            </w:tcBorders>
            <w:noWrap/>
            <w:vAlign w:val="center"/>
          </w:tcPr>
          <w:p w14:paraId="13F2B54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2.63 ± 0.41</w:t>
            </w:r>
            <w:r>
              <w:rPr>
                <w:rFonts w:ascii="Book Antiqua" w:hAnsi="Book Antiqua"/>
                <w:color w:val="000000"/>
                <w:vertAlign w:val="superscript"/>
              </w:rPr>
              <w:t>a</w:t>
            </w:r>
          </w:p>
        </w:tc>
        <w:tc>
          <w:tcPr>
            <w:tcW w:w="2942" w:type="dxa"/>
            <w:tcBorders>
              <w:top w:val="nil"/>
              <w:left w:val="nil"/>
              <w:bottom w:val="nil"/>
              <w:right w:val="nil"/>
            </w:tcBorders>
            <w:noWrap/>
            <w:vAlign w:val="center"/>
          </w:tcPr>
          <w:p w14:paraId="612244E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1.58 ± 0.48</w:t>
            </w:r>
          </w:p>
        </w:tc>
        <w:tc>
          <w:tcPr>
            <w:tcW w:w="2679" w:type="dxa"/>
            <w:tcBorders>
              <w:top w:val="nil"/>
              <w:left w:val="nil"/>
              <w:bottom w:val="nil"/>
              <w:right w:val="nil"/>
            </w:tcBorders>
            <w:noWrap/>
            <w:vAlign w:val="center"/>
          </w:tcPr>
          <w:p w14:paraId="7AB959E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2.56 ± 1.18</w:t>
            </w:r>
            <w:r>
              <w:rPr>
                <w:rFonts w:ascii="Book Antiqua" w:hAnsi="Book Antiqua"/>
                <w:color w:val="000000"/>
                <w:vertAlign w:val="superscript"/>
              </w:rPr>
              <w:t>a</w:t>
            </w:r>
          </w:p>
        </w:tc>
      </w:tr>
      <w:tr w:rsidR="003649F1" w14:paraId="5399DF9D" w14:textId="77777777">
        <w:trPr>
          <w:trHeight w:val="246"/>
          <w:jc w:val="center"/>
        </w:trPr>
        <w:tc>
          <w:tcPr>
            <w:tcW w:w="3352" w:type="dxa"/>
            <w:tcBorders>
              <w:top w:val="nil"/>
              <w:left w:val="nil"/>
              <w:bottom w:val="nil"/>
              <w:right w:val="nil"/>
            </w:tcBorders>
            <w:noWrap/>
            <w:vAlign w:val="center"/>
          </w:tcPr>
          <w:p w14:paraId="03A08A87"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 xml:space="preserve">Medium-low dose </w:t>
            </w:r>
          </w:p>
        </w:tc>
        <w:tc>
          <w:tcPr>
            <w:tcW w:w="1476" w:type="dxa"/>
            <w:tcBorders>
              <w:top w:val="nil"/>
              <w:left w:val="nil"/>
              <w:bottom w:val="nil"/>
              <w:right w:val="nil"/>
            </w:tcBorders>
            <w:noWrap/>
            <w:vAlign w:val="center"/>
          </w:tcPr>
          <w:p w14:paraId="40EEFE50"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610" w:type="dxa"/>
            <w:tcBorders>
              <w:top w:val="nil"/>
              <w:left w:val="nil"/>
              <w:bottom w:val="nil"/>
              <w:right w:val="nil"/>
            </w:tcBorders>
            <w:noWrap/>
            <w:vAlign w:val="center"/>
          </w:tcPr>
          <w:p w14:paraId="2B9F0F6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3.24 ± 0.99</w:t>
            </w:r>
            <w:r>
              <w:rPr>
                <w:rFonts w:ascii="Book Antiqua" w:hAnsi="Book Antiqua"/>
                <w:color w:val="000000"/>
                <w:vertAlign w:val="superscript"/>
              </w:rPr>
              <w:t>a</w:t>
            </w:r>
          </w:p>
        </w:tc>
        <w:tc>
          <w:tcPr>
            <w:tcW w:w="2942" w:type="dxa"/>
            <w:tcBorders>
              <w:top w:val="nil"/>
              <w:left w:val="nil"/>
              <w:bottom w:val="nil"/>
              <w:right w:val="nil"/>
            </w:tcBorders>
            <w:noWrap/>
            <w:vAlign w:val="center"/>
          </w:tcPr>
          <w:p w14:paraId="101F32D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1.47 ± 0.59</w:t>
            </w:r>
          </w:p>
        </w:tc>
        <w:tc>
          <w:tcPr>
            <w:tcW w:w="2679" w:type="dxa"/>
            <w:tcBorders>
              <w:top w:val="nil"/>
              <w:left w:val="nil"/>
              <w:bottom w:val="nil"/>
              <w:right w:val="nil"/>
            </w:tcBorders>
            <w:noWrap/>
            <w:vAlign w:val="center"/>
          </w:tcPr>
          <w:p w14:paraId="17EF54E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1.68 ± 0.71</w:t>
            </w:r>
          </w:p>
        </w:tc>
      </w:tr>
      <w:tr w:rsidR="003649F1" w14:paraId="05E03DCA" w14:textId="77777777">
        <w:trPr>
          <w:trHeight w:val="246"/>
          <w:jc w:val="center"/>
        </w:trPr>
        <w:tc>
          <w:tcPr>
            <w:tcW w:w="3352" w:type="dxa"/>
            <w:tcBorders>
              <w:top w:val="nil"/>
              <w:left w:val="nil"/>
              <w:bottom w:val="nil"/>
              <w:right w:val="nil"/>
            </w:tcBorders>
            <w:noWrap/>
            <w:vAlign w:val="center"/>
          </w:tcPr>
          <w:p w14:paraId="512469D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Low dose</w:t>
            </w:r>
          </w:p>
        </w:tc>
        <w:tc>
          <w:tcPr>
            <w:tcW w:w="1476" w:type="dxa"/>
            <w:tcBorders>
              <w:top w:val="nil"/>
              <w:left w:val="nil"/>
              <w:bottom w:val="nil"/>
              <w:right w:val="nil"/>
            </w:tcBorders>
            <w:noWrap/>
            <w:vAlign w:val="center"/>
          </w:tcPr>
          <w:p w14:paraId="7CFE4FB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610" w:type="dxa"/>
            <w:tcBorders>
              <w:top w:val="nil"/>
              <w:left w:val="nil"/>
              <w:bottom w:val="nil"/>
              <w:right w:val="nil"/>
            </w:tcBorders>
            <w:noWrap/>
            <w:vAlign w:val="center"/>
          </w:tcPr>
          <w:p w14:paraId="43446F0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3.38 ± 0.89</w:t>
            </w:r>
            <w:r>
              <w:rPr>
                <w:rFonts w:ascii="Book Antiqua" w:hAnsi="Book Antiqua"/>
                <w:color w:val="000000"/>
                <w:vertAlign w:val="superscript"/>
              </w:rPr>
              <w:t>a</w:t>
            </w:r>
          </w:p>
        </w:tc>
        <w:tc>
          <w:tcPr>
            <w:tcW w:w="2942" w:type="dxa"/>
            <w:tcBorders>
              <w:top w:val="nil"/>
              <w:left w:val="nil"/>
              <w:bottom w:val="nil"/>
              <w:right w:val="nil"/>
            </w:tcBorders>
            <w:noWrap/>
            <w:vAlign w:val="center"/>
          </w:tcPr>
          <w:p w14:paraId="33633F4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1.09 ± 0.57</w:t>
            </w:r>
          </w:p>
        </w:tc>
        <w:tc>
          <w:tcPr>
            <w:tcW w:w="2679" w:type="dxa"/>
            <w:tcBorders>
              <w:top w:val="nil"/>
              <w:left w:val="nil"/>
              <w:bottom w:val="nil"/>
              <w:right w:val="nil"/>
            </w:tcBorders>
            <w:noWrap/>
            <w:vAlign w:val="center"/>
          </w:tcPr>
          <w:p w14:paraId="017F25F8"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1.71 ± 0.24</w:t>
            </w:r>
          </w:p>
        </w:tc>
      </w:tr>
      <w:tr w:rsidR="003649F1" w14:paraId="277FC491" w14:textId="77777777">
        <w:trPr>
          <w:trHeight w:val="96"/>
          <w:jc w:val="center"/>
        </w:trPr>
        <w:tc>
          <w:tcPr>
            <w:tcW w:w="3352" w:type="dxa"/>
            <w:tcBorders>
              <w:top w:val="nil"/>
              <w:left w:val="nil"/>
              <w:bottom w:val="nil"/>
              <w:right w:val="nil"/>
            </w:tcBorders>
            <w:noWrap/>
            <w:vAlign w:val="center"/>
          </w:tcPr>
          <w:p w14:paraId="06AF25A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Control</w:t>
            </w:r>
          </w:p>
        </w:tc>
        <w:tc>
          <w:tcPr>
            <w:tcW w:w="1476" w:type="dxa"/>
            <w:tcBorders>
              <w:top w:val="nil"/>
              <w:left w:val="nil"/>
              <w:bottom w:val="nil"/>
              <w:right w:val="nil"/>
            </w:tcBorders>
            <w:noWrap/>
            <w:vAlign w:val="center"/>
          </w:tcPr>
          <w:p w14:paraId="08456B80"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610" w:type="dxa"/>
            <w:tcBorders>
              <w:top w:val="nil"/>
              <w:left w:val="nil"/>
              <w:bottom w:val="nil"/>
              <w:right w:val="nil"/>
            </w:tcBorders>
            <w:noWrap/>
            <w:vAlign w:val="center"/>
          </w:tcPr>
          <w:p w14:paraId="6A39B53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1.00 ± 0.00</w:t>
            </w:r>
          </w:p>
        </w:tc>
        <w:tc>
          <w:tcPr>
            <w:tcW w:w="2942" w:type="dxa"/>
            <w:tcBorders>
              <w:top w:val="nil"/>
              <w:left w:val="nil"/>
              <w:bottom w:val="nil"/>
              <w:right w:val="nil"/>
            </w:tcBorders>
            <w:noWrap/>
            <w:vAlign w:val="center"/>
          </w:tcPr>
          <w:p w14:paraId="42E904D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1.00 ± 0.00</w:t>
            </w:r>
          </w:p>
        </w:tc>
        <w:tc>
          <w:tcPr>
            <w:tcW w:w="2679" w:type="dxa"/>
            <w:tcBorders>
              <w:top w:val="nil"/>
              <w:left w:val="nil"/>
              <w:bottom w:val="nil"/>
              <w:right w:val="nil"/>
            </w:tcBorders>
            <w:noWrap/>
            <w:vAlign w:val="center"/>
          </w:tcPr>
          <w:p w14:paraId="006B17E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1.00 ± 0.00</w:t>
            </w:r>
          </w:p>
        </w:tc>
      </w:tr>
      <w:tr w:rsidR="003649F1" w14:paraId="51882BAA" w14:textId="77777777">
        <w:trPr>
          <w:trHeight w:val="96"/>
          <w:jc w:val="center"/>
        </w:trPr>
        <w:tc>
          <w:tcPr>
            <w:tcW w:w="3352" w:type="dxa"/>
            <w:tcBorders>
              <w:top w:val="nil"/>
              <w:left w:val="nil"/>
              <w:bottom w:val="nil"/>
              <w:right w:val="nil"/>
            </w:tcBorders>
            <w:noWrap/>
            <w:vAlign w:val="center"/>
          </w:tcPr>
          <w:p w14:paraId="6BA4C07F"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i/>
                <w:color w:val="000000"/>
              </w:rPr>
              <w:t>F</w:t>
            </w:r>
            <w:r>
              <w:rPr>
                <w:rFonts w:ascii="Book Antiqua" w:hAnsi="Book Antiqua"/>
                <w:color w:val="000000"/>
              </w:rPr>
              <w:t xml:space="preserve"> value</w:t>
            </w:r>
          </w:p>
        </w:tc>
        <w:tc>
          <w:tcPr>
            <w:tcW w:w="1476" w:type="dxa"/>
            <w:tcBorders>
              <w:top w:val="nil"/>
              <w:left w:val="nil"/>
              <w:bottom w:val="nil"/>
              <w:right w:val="nil"/>
            </w:tcBorders>
            <w:noWrap/>
            <w:vAlign w:val="center"/>
          </w:tcPr>
          <w:p w14:paraId="2A79BAF7" w14:textId="77777777" w:rsidR="003649F1" w:rsidRDefault="003649F1">
            <w:pPr>
              <w:adjustRightInd w:val="0"/>
              <w:snapToGrid w:val="0"/>
              <w:spacing w:line="360" w:lineRule="auto"/>
              <w:jc w:val="both"/>
              <w:rPr>
                <w:rFonts w:ascii="Book Antiqua" w:hAnsi="Book Antiqua"/>
                <w:color w:val="000000"/>
              </w:rPr>
            </w:pPr>
          </w:p>
        </w:tc>
        <w:tc>
          <w:tcPr>
            <w:tcW w:w="2610" w:type="dxa"/>
            <w:tcBorders>
              <w:top w:val="nil"/>
              <w:left w:val="nil"/>
              <w:bottom w:val="nil"/>
              <w:right w:val="nil"/>
            </w:tcBorders>
            <w:noWrap/>
            <w:vAlign w:val="center"/>
          </w:tcPr>
          <w:p w14:paraId="1B066A7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13.38</w:t>
            </w:r>
          </w:p>
        </w:tc>
        <w:tc>
          <w:tcPr>
            <w:tcW w:w="2942" w:type="dxa"/>
            <w:tcBorders>
              <w:top w:val="nil"/>
              <w:left w:val="nil"/>
              <w:bottom w:val="nil"/>
              <w:right w:val="nil"/>
            </w:tcBorders>
            <w:noWrap/>
            <w:vAlign w:val="center"/>
          </w:tcPr>
          <w:p w14:paraId="602F8E8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15.16</w:t>
            </w:r>
          </w:p>
        </w:tc>
        <w:tc>
          <w:tcPr>
            <w:tcW w:w="2679" w:type="dxa"/>
            <w:tcBorders>
              <w:top w:val="nil"/>
              <w:left w:val="nil"/>
              <w:bottom w:val="nil"/>
              <w:right w:val="nil"/>
            </w:tcBorders>
            <w:noWrap/>
            <w:vAlign w:val="center"/>
          </w:tcPr>
          <w:p w14:paraId="1B7ACFF2"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5.61</w:t>
            </w:r>
          </w:p>
        </w:tc>
      </w:tr>
      <w:tr w:rsidR="003649F1" w14:paraId="2D7DCF0B" w14:textId="77777777">
        <w:trPr>
          <w:trHeight w:val="96"/>
          <w:jc w:val="center"/>
        </w:trPr>
        <w:tc>
          <w:tcPr>
            <w:tcW w:w="3352" w:type="dxa"/>
            <w:tcBorders>
              <w:top w:val="nil"/>
              <w:left w:val="nil"/>
              <w:bottom w:val="single" w:sz="4" w:space="0" w:color="auto"/>
              <w:right w:val="nil"/>
            </w:tcBorders>
            <w:noWrap/>
            <w:vAlign w:val="center"/>
          </w:tcPr>
          <w:p w14:paraId="6FFFEDC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i/>
                <w:color w:val="000000"/>
              </w:rPr>
              <w:t>P</w:t>
            </w:r>
            <w:r>
              <w:rPr>
                <w:rFonts w:ascii="Book Antiqua" w:hAnsi="Book Antiqua"/>
                <w:color w:val="000000"/>
              </w:rPr>
              <w:t xml:space="preserve"> value</w:t>
            </w:r>
          </w:p>
        </w:tc>
        <w:tc>
          <w:tcPr>
            <w:tcW w:w="1476" w:type="dxa"/>
            <w:tcBorders>
              <w:top w:val="nil"/>
              <w:left w:val="nil"/>
              <w:bottom w:val="single" w:sz="4" w:space="0" w:color="auto"/>
              <w:right w:val="nil"/>
            </w:tcBorders>
            <w:noWrap/>
            <w:vAlign w:val="center"/>
          </w:tcPr>
          <w:p w14:paraId="4852B188" w14:textId="77777777" w:rsidR="003649F1" w:rsidRDefault="003649F1">
            <w:pPr>
              <w:adjustRightInd w:val="0"/>
              <w:snapToGrid w:val="0"/>
              <w:spacing w:line="360" w:lineRule="auto"/>
              <w:jc w:val="both"/>
              <w:rPr>
                <w:rFonts w:ascii="Book Antiqua" w:hAnsi="Book Antiqua"/>
                <w:color w:val="000000"/>
              </w:rPr>
            </w:pPr>
          </w:p>
        </w:tc>
        <w:tc>
          <w:tcPr>
            <w:tcW w:w="2610" w:type="dxa"/>
            <w:tcBorders>
              <w:top w:val="nil"/>
              <w:left w:val="nil"/>
              <w:bottom w:val="single" w:sz="4" w:space="0" w:color="auto"/>
              <w:right w:val="nil"/>
            </w:tcBorders>
            <w:noWrap/>
            <w:vAlign w:val="center"/>
          </w:tcPr>
          <w:p w14:paraId="27718327"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0.001</w:t>
            </w:r>
          </w:p>
        </w:tc>
        <w:tc>
          <w:tcPr>
            <w:tcW w:w="2942" w:type="dxa"/>
            <w:tcBorders>
              <w:top w:val="nil"/>
              <w:left w:val="nil"/>
              <w:bottom w:val="single" w:sz="4" w:space="0" w:color="auto"/>
              <w:right w:val="nil"/>
            </w:tcBorders>
            <w:noWrap/>
            <w:vAlign w:val="center"/>
          </w:tcPr>
          <w:p w14:paraId="48C1335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0.001</w:t>
            </w:r>
          </w:p>
        </w:tc>
        <w:tc>
          <w:tcPr>
            <w:tcW w:w="2679" w:type="dxa"/>
            <w:tcBorders>
              <w:top w:val="nil"/>
              <w:left w:val="nil"/>
              <w:bottom w:val="single" w:sz="4" w:space="0" w:color="auto"/>
              <w:right w:val="nil"/>
            </w:tcBorders>
            <w:noWrap/>
            <w:vAlign w:val="center"/>
          </w:tcPr>
          <w:p w14:paraId="36DBE8C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0.001</w:t>
            </w:r>
          </w:p>
        </w:tc>
      </w:tr>
    </w:tbl>
    <w:p w14:paraId="4E7CAE0A" w14:textId="77777777" w:rsidR="005D1845" w:rsidRDefault="003F5E16">
      <w:pPr>
        <w:adjustRightInd w:val="0"/>
        <w:snapToGrid w:val="0"/>
        <w:spacing w:line="360" w:lineRule="auto"/>
        <w:jc w:val="both"/>
        <w:rPr>
          <w:rFonts w:ascii="Book Antiqua" w:hAnsi="Book Antiqua"/>
          <w:lang w:eastAsia="zh-CN"/>
        </w:rPr>
      </w:pPr>
      <w:proofErr w:type="spellStart"/>
      <w:r w:rsidRPr="005D1845">
        <w:rPr>
          <w:rFonts w:ascii="Book Antiqua" w:hAnsi="Book Antiqua"/>
          <w:iCs/>
          <w:vertAlign w:val="superscript"/>
        </w:rPr>
        <w:t>a</w:t>
      </w:r>
      <w:r>
        <w:rPr>
          <w:rFonts w:ascii="Book Antiqua" w:hAnsi="Book Antiqua"/>
          <w:i/>
          <w:iCs/>
        </w:rPr>
        <w:t>P</w:t>
      </w:r>
      <w:proofErr w:type="spellEnd"/>
      <w:r>
        <w:rPr>
          <w:rFonts w:ascii="Book Antiqua" w:hAnsi="Book Antiqua"/>
        </w:rPr>
        <w:t xml:space="preserve"> &lt; 0.05 compared with the control group</w:t>
      </w:r>
      <w:r w:rsidR="005D1845">
        <w:rPr>
          <w:rFonts w:ascii="Book Antiqua" w:hAnsi="Book Antiqua" w:hint="eastAsia"/>
          <w:lang w:eastAsia="zh-CN"/>
        </w:rPr>
        <w:t>.</w:t>
      </w:r>
      <w:r>
        <w:rPr>
          <w:rFonts w:ascii="Book Antiqua" w:hAnsi="Book Antiqua"/>
        </w:rPr>
        <w:t xml:space="preserve"> </w:t>
      </w:r>
    </w:p>
    <w:p w14:paraId="202D95B1" w14:textId="77777777" w:rsidR="005D1845" w:rsidRDefault="003F5E16">
      <w:pPr>
        <w:adjustRightInd w:val="0"/>
        <w:snapToGrid w:val="0"/>
        <w:spacing w:line="360" w:lineRule="auto"/>
        <w:jc w:val="both"/>
        <w:rPr>
          <w:rFonts w:ascii="Book Antiqua" w:hAnsi="Book Antiqua"/>
          <w:lang w:eastAsia="zh-CN"/>
        </w:rPr>
      </w:pPr>
      <w:proofErr w:type="spellStart"/>
      <w:r w:rsidRPr="005D1845">
        <w:rPr>
          <w:rFonts w:ascii="Book Antiqua" w:hAnsi="Book Antiqua"/>
          <w:iCs/>
          <w:vertAlign w:val="superscript"/>
        </w:rPr>
        <w:t>b</w:t>
      </w:r>
      <w:r>
        <w:rPr>
          <w:rFonts w:ascii="Book Antiqua" w:hAnsi="Book Antiqua"/>
          <w:i/>
          <w:iCs/>
        </w:rPr>
        <w:t>P</w:t>
      </w:r>
      <w:proofErr w:type="spellEnd"/>
      <w:r>
        <w:rPr>
          <w:rFonts w:ascii="Book Antiqua" w:hAnsi="Book Antiqua"/>
        </w:rPr>
        <w:t xml:space="preserve"> &lt; 0.05 compared with the medium dose group</w:t>
      </w:r>
      <w:r w:rsidR="005D1845">
        <w:rPr>
          <w:rFonts w:ascii="Book Antiqua" w:hAnsi="Book Antiqua" w:hint="eastAsia"/>
          <w:lang w:eastAsia="zh-CN"/>
        </w:rPr>
        <w:t>.</w:t>
      </w:r>
      <w:r>
        <w:rPr>
          <w:rFonts w:ascii="Book Antiqua" w:hAnsi="Book Antiqua"/>
        </w:rPr>
        <w:t xml:space="preserve"> </w:t>
      </w:r>
    </w:p>
    <w:p w14:paraId="0FD47BE6" w14:textId="77777777" w:rsidR="003649F1" w:rsidRDefault="003F5E16">
      <w:pPr>
        <w:adjustRightInd w:val="0"/>
        <w:snapToGrid w:val="0"/>
        <w:spacing w:line="360" w:lineRule="auto"/>
        <w:jc w:val="both"/>
        <w:rPr>
          <w:rFonts w:ascii="Book Antiqua" w:hAnsi="Book Antiqua" w:cs="Book Antiqua"/>
          <w:color w:val="000000"/>
          <w:lang w:eastAsia="zh-CN"/>
        </w:rPr>
      </w:pPr>
      <w:proofErr w:type="spellStart"/>
      <w:r w:rsidRPr="005D1845">
        <w:rPr>
          <w:rFonts w:ascii="Book Antiqua" w:hAnsi="Book Antiqua"/>
          <w:iCs/>
          <w:vertAlign w:val="superscript"/>
        </w:rPr>
        <w:t>c</w:t>
      </w:r>
      <w:r>
        <w:rPr>
          <w:rFonts w:ascii="Book Antiqua" w:hAnsi="Book Antiqua"/>
          <w:i/>
          <w:iCs/>
        </w:rPr>
        <w:t>P</w:t>
      </w:r>
      <w:proofErr w:type="spellEnd"/>
      <w:r>
        <w:rPr>
          <w:rFonts w:ascii="Book Antiqua" w:hAnsi="Book Antiqua"/>
        </w:rPr>
        <w:t xml:space="preserve"> &lt; 0.05 compared with the low dose group. </w:t>
      </w:r>
      <w:proofErr w:type="spellStart"/>
      <w:r>
        <w:rPr>
          <w:rFonts w:ascii="Book Antiqua" w:hAnsi="Book Antiqua"/>
        </w:rPr>
        <w:t>Adp</w:t>
      </w:r>
      <w:proofErr w:type="spellEnd"/>
      <w:r>
        <w:rPr>
          <w:rFonts w:ascii="Book Antiqua" w:hAnsi="Book Antiqua"/>
        </w:rPr>
        <w:t xml:space="preserve">: </w:t>
      </w:r>
      <w:r>
        <w:rPr>
          <w:rFonts w:ascii="Book Antiqua" w:hAnsi="Book Antiqua"/>
          <w:bCs/>
          <w:color w:val="000000"/>
        </w:rPr>
        <w:t>Adiponectin;</w:t>
      </w:r>
      <w:r>
        <w:rPr>
          <w:rFonts w:ascii="Book Antiqua" w:hAnsi="Book Antiqua"/>
        </w:rPr>
        <w:t xml:space="preserve"> LEP:</w:t>
      </w:r>
      <w:r>
        <w:rPr>
          <w:rFonts w:ascii="Book Antiqua" w:hAnsi="Book Antiqua"/>
          <w:bCs/>
          <w:color w:val="000000"/>
        </w:rPr>
        <w:t xml:space="preserve"> leptin;</w:t>
      </w:r>
      <w:r>
        <w:rPr>
          <w:rFonts w:ascii="Book Antiqua" w:hAnsi="Book Antiqua"/>
          <w:bCs/>
        </w:rPr>
        <w:t xml:space="preserve"> </w:t>
      </w:r>
      <w:proofErr w:type="spellStart"/>
      <w:r>
        <w:rPr>
          <w:rFonts w:ascii="Book Antiqua" w:hAnsi="Book Antiqua"/>
          <w:bCs/>
        </w:rPr>
        <w:t>P</w:t>
      </w:r>
      <w:r>
        <w:rPr>
          <w:rFonts w:ascii="Book Antiqua" w:hAnsi="Book Antiqua"/>
        </w:rPr>
        <w:t>PARγ</w:t>
      </w:r>
      <w:proofErr w:type="spellEnd"/>
      <w:r>
        <w:rPr>
          <w:rFonts w:ascii="Book Antiqua" w:hAnsi="Book Antiqua"/>
        </w:rPr>
        <w:t>:</w:t>
      </w:r>
      <w:r>
        <w:rPr>
          <w:rFonts w:ascii="Book Antiqua" w:hAnsi="Book Antiqua"/>
          <w:b/>
          <w:bCs/>
        </w:rPr>
        <w:t xml:space="preserve"> </w:t>
      </w:r>
      <w:r>
        <w:rPr>
          <w:rFonts w:ascii="Book Antiqua" w:eastAsia="Book Antiqua" w:hAnsi="Book Antiqua" w:cs="Book Antiqua"/>
          <w:color w:val="000000"/>
        </w:rPr>
        <w:t xml:space="preserve">Peroxisome proliferators activated receptor-γ. </w:t>
      </w:r>
    </w:p>
    <w:p w14:paraId="65A1DCCD" w14:textId="77777777" w:rsidR="003649F1" w:rsidRDefault="003F5E16">
      <w:pPr>
        <w:snapToGrid w:val="0"/>
        <w:spacing w:line="360" w:lineRule="auto"/>
        <w:jc w:val="both"/>
        <w:rPr>
          <w:rFonts w:ascii="Book Antiqua" w:eastAsia="宋体" w:hAnsi="Book Antiqua"/>
          <w:b/>
          <w:color w:val="000000"/>
          <w:lang w:eastAsia="zh-CN"/>
        </w:rPr>
      </w:pPr>
      <w:r>
        <w:rPr>
          <w:rFonts w:ascii="Book Antiqua" w:hAnsi="Book Antiqua"/>
          <w:b/>
          <w:color w:val="000000"/>
        </w:rPr>
        <w:br w:type="page"/>
      </w:r>
    </w:p>
    <w:p w14:paraId="0DA091CC" w14:textId="77777777" w:rsidR="003649F1" w:rsidRDefault="003F5E16">
      <w:pPr>
        <w:pStyle w:val="NormalIndent1"/>
        <w:adjustRightInd w:val="0"/>
        <w:snapToGrid w:val="0"/>
        <w:spacing w:line="360" w:lineRule="auto"/>
        <w:ind w:firstLine="0"/>
        <w:rPr>
          <w:rFonts w:ascii="Book Antiqua" w:hAnsi="Book Antiqua"/>
          <w:b/>
          <w:color w:val="000000"/>
          <w:kern w:val="0"/>
          <w:sz w:val="24"/>
          <w:szCs w:val="24"/>
        </w:rPr>
      </w:pPr>
      <w:r>
        <w:rPr>
          <w:rFonts w:ascii="Book Antiqua" w:hAnsi="Book Antiqua"/>
          <w:b/>
          <w:color w:val="000000"/>
          <w:kern w:val="0"/>
          <w:sz w:val="24"/>
          <w:szCs w:val="24"/>
        </w:rPr>
        <w:lastRenderedPageBreak/>
        <w:t xml:space="preserve">Table 5 Comparison of  relative expression levels of adiponectin, leptin, and </w:t>
      </w:r>
      <w:r>
        <w:rPr>
          <w:rFonts w:ascii="Book Antiqua" w:eastAsia="Book Antiqua" w:hAnsi="Book Antiqua" w:cs="Book Antiqua"/>
          <w:b/>
          <w:bCs/>
          <w:color w:val="000000"/>
          <w:sz w:val="24"/>
          <w:szCs w:val="24"/>
        </w:rPr>
        <w:t>proliferators activated receptor-γ</w:t>
      </w:r>
      <w:r>
        <w:rPr>
          <w:rFonts w:ascii="Book Antiqua" w:hAnsi="Book Antiqua"/>
          <w:b/>
          <w:color w:val="000000"/>
          <w:kern w:val="0"/>
          <w:sz w:val="24"/>
          <w:szCs w:val="24"/>
        </w:rPr>
        <w:t xml:space="preserve"> genes in adipose tissue of mice in each group (</w:t>
      </w:r>
      <w:r>
        <w:rPr>
          <w:rFonts w:ascii="Book Antiqua" w:hAnsi="Book Antiqua"/>
          <w:b/>
          <w:color w:val="000000"/>
          <w:sz w:val="24"/>
          <w:szCs w:val="24"/>
        </w:rPr>
        <w:t xml:space="preserve">X </w:t>
      </w:r>
      <w:r>
        <w:rPr>
          <w:rFonts w:ascii="Book Antiqua" w:hAnsi="Book Antiqua"/>
          <w:b/>
          <w:color w:val="000000"/>
          <w:sz w:val="24"/>
          <w:szCs w:val="24"/>
          <w:lang w:eastAsia="en-US"/>
        </w:rPr>
        <w:t>±</w:t>
      </w:r>
      <w:r>
        <w:rPr>
          <w:rFonts w:ascii="Book Antiqua" w:hAnsi="Book Antiqua"/>
          <w:b/>
          <w:color w:val="000000"/>
          <w:sz w:val="24"/>
          <w:szCs w:val="24"/>
        </w:rPr>
        <w:t xml:space="preserve"> S</w:t>
      </w:r>
      <w:r>
        <w:rPr>
          <w:rFonts w:ascii="Book Antiqua" w:hAnsi="Book Antiqua"/>
          <w:b/>
          <w:color w:val="000000"/>
          <w:kern w:val="0"/>
          <w:sz w:val="24"/>
          <w:szCs w:val="24"/>
        </w:rPr>
        <w:t>, 2</w:t>
      </w:r>
      <w:r>
        <w:rPr>
          <w:rFonts w:ascii="Book Antiqua" w:hAnsi="Book Antiqua"/>
          <w:b/>
          <w:color w:val="000000"/>
          <w:kern w:val="0"/>
          <w:sz w:val="24"/>
          <w:szCs w:val="24"/>
          <w:vertAlign w:val="superscript"/>
        </w:rPr>
        <w:t>-</w:t>
      </w:r>
      <w:r>
        <w:rPr>
          <w:rFonts w:ascii="宋体" w:hAnsi="宋体" w:cs="宋体" w:hint="eastAsia"/>
          <w:b/>
          <w:color w:val="000000"/>
          <w:kern w:val="0"/>
          <w:sz w:val="24"/>
          <w:szCs w:val="24"/>
          <w:vertAlign w:val="superscript"/>
        </w:rPr>
        <w:t>△△</w:t>
      </w:r>
      <w:r>
        <w:rPr>
          <w:rFonts w:ascii="Book Antiqua" w:hAnsi="Book Antiqua"/>
          <w:b/>
          <w:color w:val="000000"/>
          <w:kern w:val="0"/>
          <w:sz w:val="24"/>
          <w:szCs w:val="24"/>
          <w:vertAlign w:val="superscript"/>
        </w:rPr>
        <w:t>Ct</w:t>
      </w:r>
      <w:r>
        <w:rPr>
          <w:rFonts w:ascii="Book Antiqua" w:hAnsi="Book Antiqua"/>
          <w:b/>
          <w:color w:val="000000"/>
          <w:kern w:val="0"/>
          <w:sz w:val="24"/>
          <w:szCs w:val="24"/>
        </w:rPr>
        <w:t>)</w:t>
      </w:r>
    </w:p>
    <w:tbl>
      <w:tblPr>
        <w:tblW w:w="13091" w:type="dxa"/>
        <w:jc w:val="center"/>
        <w:tblBorders>
          <w:top w:val="single" w:sz="4" w:space="0" w:color="auto"/>
          <w:bottom w:val="single" w:sz="4" w:space="0" w:color="auto"/>
        </w:tblBorders>
        <w:tblLayout w:type="fixed"/>
        <w:tblLook w:val="04A0" w:firstRow="1" w:lastRow="0" w:firstColumn="1" w:lastColumn="0" w:noHBand="0" w:noVBand="1"/>
      </w:tblPr>
      <w:tblGrid>
        <w:gridCol w:w="2914"/>
        <w:gridCol w:w="1484"/>
        <w:gridCol w:w="2746"/>
        <w:gridCol w:w="2939"/>
        <w:gridCol w:w="3008"/>
      </w:tblGrid>
      <w:tr w:rsidR="003649F1" w14:paraId="47C38638" w14:textId="77777777" w:rsidTr="00F45A03">
        <w:trPr>
          <w:trHeight w:val="305"/>
          <w:jc w:val="center"/>
        </w:trPr>
        <w:tc>
          <w:tcPr>
            <w:tcW w:w="2914" w:type="dxa"/>
            <w:tcBorders>
              <w:top w:val="single" w:sz="4" w:space="0" w:color="auto"/>
              <w:bottom w:val="single" w:sz="4" w:space="0" w:color="auto"/>
            </w:tcBorders>
            <w:noWrap/>
            <w:vAlign w:val="center"/>
          </w:tcPr>
          <w:p w14:paraId="6405F31C" w14:textId="77777777" w:rsidR="003649F1" w:rsidRDefault="003F5E16">
            <w:pPr>
              <w:adjustRightInd w:val="0"/>
              <w:snapToGrid w:val="0"/>
              <w:spacing w:line="360" w:lineRule="auto"/>
              <w:jc w:val="both"/>
              <w:rPr>
                <w:rFonts w:ascii="Book Antiqua" w:hAnsi="Book Antiqua"/>
                <w:b/>
                <w:bCs/>
                <w:color w:val="000000"/>
              </w:rPr>
            </w:pPr>
            <w:r>
              <w:rPr>
                <w:rFonts w:ascii="Book Antiqua" w:hAnsi="Book Antiqua"/>
                <w:b/>
                <w:bCs/>
                <w:color w:val="000000"/>
              </w:rPr>
              <w:t>Group</w:t>
            </w:r>
          </w:p>
        </w:tc>
        <w:tc>
          <w:tcPr>
            <w:tcW w:w="1484" w:type="dxa"/>
            <w:tcBorders>
              <w:top w:val="single" w:sz="4" w:space="0" w:color="auto"/>
              <w:bottom w:val="single" w:sz="4" w:space="0" w:color="auto"/>
            </w:tcBorders>
            <w:noWrap/>
            <w:vAlign w:val="center"/>
          </w:tcPr>
          <w:p w14:paraId="534C5542" w14:textId="77777777" w:rsidR="003649F1" w:rsidRDefault="003F5E16">
            <w:pPr>
              <w:adjustRightInd w:val="0"/>
              <w:snapToGrid w:val="0"/>
              <w:spacing w:line="360" w:lineRule="auto"/>
              <w:jc w:val="both"/>
              <w:rPr>
                <w:rFonts w:ascii="Book Antiqua" w:hAnsi="Book Antiqua"/>
                <w:b/>
                <w:bCs/>
                <w:i/>
                <w:iCs/>
                <w:color w:val="000000"/>
              </w:rPr>
            </w:pPr>
            <w:r>
              <w:rPr>
                <w:rFonts w:ascii="Book Antiqua" w:hAnsi="Book Antiqua"/>
                <w:b/>
                <w:bCs/>
                <w:i/>
                <w:iCs/>
                <w:color w:val="000000"/>
              </w:rPr>
              <w:t>n</w:t>
            </w:r>
          </w:p>
        </w:tc>
        <w:tc>
          <w:tcPr>
            <w:tcW w:w="2746" w:type="dxa"/>
            <w:tcBorders>
              <w:top w:val="single" w:sz="4" w:space="0" w:color="auto"/>
              <w:bottom w:val="single" w:sz="4" w:space="0" w:color="auto"/>
            </w:tcBorders>
            <w:noWrap/>
            <w:vAlign w:val="center"/>
          </w:tcPr>
          <w:p w14:paraId="326FA7E2" w14:textId="77777777" w:rsidR="003649F1" w:rsidRDefault="003F5E16">
            <w:pPr>
              <w:adjustRightInd w:val="0"/>
              <w:snapToGrid w:val="0"/>
              <w:spacing w:line="360" w:lineRule="auto"/>
              <w:jc w:val="both"/>
              <w:rPr>
                <w:rFonts w:ascii="Book Antiqua" w:hAnsi="Book Antiqua"/>
                <w:b/>
                <w:bCs/>
                <w:i/>
                <w:color w:val="000000"/>
              </w:rPr>
            </w:pPr>
            <w:proofErr w:type="spellStart"/>
            <w:r>
              <w:rPr>
                <w:rFonts w:ascii="Book Antiqua" w:hAnsi="Book Antiqua"/>
                <w:b/>
                <w:bCs/>
                <w:i/>
                <w:color w:val="000000"/>
              </w:rPr>
              <w:t>Adp</w:t>
            </w:r>
            <w:proofErr w:type="spellEnd"/>
          </w:p>
        </w:tc>
        <w:tc>
          <w:tcPr>
            <w:tcW w:w="2939" w:type="dxa"/>
            <w:tcBorders>
              <w:top w:val="single" w:sz="4" w:space="0" w:color="auto"/>
              <w:bottom w:val="single" w:sz="4" w:space="0" w:color="auto"/>
            </w:tcBorders>
            <w:noWrap/>
            <w:vAlign w:val="center"/>
          </w:tcPr>
          <w:p w14:paraId="008859F4" w14:textId="77777777" w:rsidR="003649F1" w:rsidRDefault="003F5E16">
            <w:pPr>
              <w:adjustRightInd w:val="0"/>
              <w:snapToGrid w:val="0"/>
              <w:spacing w:line="360" w:lineRule="auto"/>
              <w:jc w:val="both"/>
              <w:rPr>
                <w:rFonts w:ascii="Book Antiqua" w:hAnsi="Book Antiqua"/>
                <w:b/>
                <w:bCs/>
                <w:i/>
                <w:color w:val="000000"/>
              </w:rPr>
            </w:pPr>
            <w:r>
              <w:rPr>
                <w:rFonts w:ascii="Book Antiqua" w:hAnsi="Book Antiqua"/>
                <w:b/>
                <w:bCs/>
                <w:i/>
                <w:color w:val="000000"/>
              </w:rPr>
              <w:t>LEP</w:t>
            </w:r>
          </w:p>
        </w:tc>
        <w:tc>
          <w:tcPr>
            <w:tcW w:w="3008" w:type="dxa"/>
            <w:tcBorders>
              <w:top w:val="single" w:sz="4" w:space="0" w:color="auto"/>
              <w:bottom w:val="single" w:sz="4" w:space="0" w:color="auto"/>
            </w:tcBorders>
            <w:noWrap/>
            <w:vAlign w:val="center"/>
          </w:tcPr>
          <w:p w14:paraId="09EF98BF" w14:textId="77777777" w:rsidR="003649F1" w:rsidRDefault="003F5E16">
            <w:pPr>
              <w:adjustRightInd w:val="0"/>
              <w:snapToGrid w:val="0"/>
              <w:spacing w:line="360" w:lineRule="auto"/>
              <w:jc w:val="both"/>
              <w:rPr>
                <w:rFonts w:ascii="Book Antiqua" w:hAnsi="Book Antiqua"/>
                <w:b/>
                <w:bCs/>
                <w:i/>
                <w:color w:val="000000"/>
              </w:rPr>
            </w:pPr>
            <w:proofErr w:type="spellStart"/>
            <w:r>
              <w:rPr>
                <w:rFonts w:ascii="Book Antiqua" w:hAnsi="Book Antiqua"/>
                <w:b/>
                <w:bCs/>
                <w:i/>
              </w:rPr>
              <w:t>PPARγ</w:t>
            </w:r>
            <w:proofErr w:type="spellEnd"/>
          </w:p>
        </w:tc>
      </w:tr>
      <w:tr w:rsidR="003649F1" w14:paraId="668A50B4" w14:textId="77777777" w:rsidTr="00F45A03">
        <w:trPr>
          <w:trHeight w:val="349"/>
          <w:jc w:val="center"/>
        </w:trPr>
        <w:tc>
          <w:tcPr>
            <w:tcW w:w="2914" w:type="dxa"/>
            <w:tcBorders>
              <w:top w:val="single" w:sz="4" w:space="0" w:color="auto"/>
            </w:tcBorders>
            <w:noWrap/>
            <w:vAlign w:val="center"/>
          </w:tcPr>
          <w:p w14:paraId="3300E57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High dose</w:t>
            </w:r>
          </w:p>
        </w:tc>
        <w:tc>
          <w:tcPr>
            <w:tcW w:w="1484" w:type="dxa"/>
            <w:tcBorders>
              <w:top w:val="single" w:sz="4" w:space="0" w:color="auto"/>
            </w:tcBorders>
            <w:noWrap/>
            <w:vAlign w:val="center"/>
          </w:tcPr>
          <w:p w14:paraId="4470544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746" w:type="dxa"/>
            <w:tcBorders>
              <w:top w:val="single" w:sz="4" w:space="0" w:color="auto"/>
            </w:tcBorders>
            <w:noWrap/>
            <w:vAlign w:val="center"/>
          </w:tcPr>
          <w:p w14:paraId="245E3BA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0.97 ± 0.16</w:t>
            </w:r>
            <w:r>
              <w:rPr>
                <w:rFonts w:ascii="Book Antiqua" w:hAnsi="Book Antiqua"/>
                <w:color w:val="000000"/>
                <w:vertAlign w:val="superscript"/>
              </w:rPr>
              <w:t>bc</w:t>
            </w:r>
          </w:p>
        </w:tc>
        <w:tc>
          <w:tcPr>
            <w:tcW w:w="2939" w:type="dxa"/>
            <w:tcBorders>
              <w:top w:val="single" w:sz="4" w:space="0" w:color="auto"/>
            </w:tcBorders>
            <w:noWrap/>
            <w:vAlign w:val="center"/>
          </w:tcPr>
          <w:p w14:paraId="4E22516D"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3.12 ± 1.86</w:t>
            </w:r>
            <w:r>
              <w:rPr>
                <w:rFonts w:ascii="Book Antiqua" w:hAnsi="Book Antiqua"/>
                <w:color w:val="000000"/>
                <w:vertAlign w:val="superscript"/>
              </w:rPr>
              <w:t>abc</w:t>
            </w:r>
          </w:p>
        </w:tc>
        <w:tc>
          <w:tcPr>
            <w:tcW w:w="3008" w:type="dxa"/>
            <w:tcBorders>
              <w:top w:val="single" w:sz="4" w:space="0" w:color="auto"/>
            </w:tcBorders>
            <w:noWrap/>
            <w:vAlign w:val="center"/>
          </w:tcPr>
          <w:p w14:paraId="159A9672"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1.39 ± 0.31</w:t>
            </w:r>
            <w:r>
              <w:rPr>
                <w:rFonts w:ascii="Book Antiqua" w:hAnsi="Book Antiqua"/>
                <w:color w:val="000000"/>
                <w:vertAlign w:val="superscript"/>
              </w:rPr>
              <w:t>ac</w:t>
            </w:r>
          </w:p>
        </w:tc>
      </w:tr>
      <w:tr w:rsidR="003649F1" w14:paraId="08FF88C0" w14:textId="77777777" w:rsidTr="00F45A03">
        <w:trPr>
          <w:trHeight w:val="239"/>
          <w:jc w:val="center"/>
        </w:trPr>
        <w:tc>
          <w:tcPr>
            <w:tcW w:w="2914" w:type="dxa"/>
            <w:noWrap/>
            <w:vAlign w:val="center"/>
          </w:tcPr>
          <w:p w14:paraId="6346F98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Medium-high dose</w:t>
            </w:r>
          </w:p>
        </w:tc>
        <w:tc>
          <w:tcPr>
            <w:tcW w:w="1484" w:type="dxa"/>
            <w:noWrap/>
            <w:vAlign w:val="center"/>
          </w:tcPr>
          <w:p w14:paraId="34E0B991"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746" w:type="dxa"/>
            <w:noWrap/>
            <w:vAlign w:val="center"/>
          </w:tcPr>
          <w:p w14:paraId="2C3BC89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1.27 ± 0.34</w:t>
            </w:r>
            <w:r>
              <w:rPr>
                <w:rFonts w:ascii="Book Antiqua" w:hAnsi="Book Antiqua"/>
                <w:color w:val="000000"/>
                <w:vertAlign w:val="superscript"/>
              </w:rPr>
              <w:t>c</w:t>
            </w:r>
            <w:r>
              <w:rPr>
                <w:rFonts w:ascii="Book Antiqua" w:hAnsi="Book Antiqua"/>
                <w:color w:val="000000"/>
              </w:rPr>
              <w:t> </w:t>
            </w:r>
          </w:p>
        </w:tc>
        <w:tc>
          <w:tcPr>
            <w:tcW w:w="2939" w:type="dxa"/>
            <w:noWrap/>
            <w:vAlign w:val="center"/>
          </w:tcPr>
          <w:p w14:paraId="0C8C202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2.35 ± 1.08</w:t>
            </w:r>
            <w:r>
              <w:rPr>
                <w:rFonts w:ascii="Book Antiqua" w:hAnsi="Book Antiqua"/>
                <w:color w:val="000000"/>
                <w:vertAlign w:val="superscript"/>
              </w:rPr>
              <w:t>ac</w:t>
            </w:r>
          </w:p>
        </w:tc>
        <w:tc>
          <w:tcPr>
            <w:tcW w:w="3008" w:type="dxa"/>
            <w:noWrap/>
            <w:vAlign w:val="center"/>
          </w:tcPr>
          <w:p w14:paraId="76BB42D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1.35 ± 0.21</w:t>
            </w:r>
            <w:r>
              <w:rPr>
                <w:rFonts w:ascii="Book Antiqua" w:hAnsi="Book Antiqua"/>
                <w:color w:val="000000"/>
                <w:vertAlign w:val="superscript"/>
              </w:rPr>
              <w:t>ac</w:t>
            </w:r>
          </w:p>
        </w:tc>
      </w:tr>
      <w:tr w:rsidR="003649F1" w14:paraId="4854846C" w14:textId="77777777" w:rsidTr="00F45A03">
        <w:trPr>
          <w:trHeight w:val="239"/>
          <w:jc w:val="center"/>
        </w:trPr>
        <w:tc>
          <w:tcPr>
            <w:tcW w:w="2914" w:type="dxa"/>
            <w:noWrap/>
            <w:vAlign w:val="center"/>
          </w:tcPr>
          <w:p w14:paraId="4E2DD70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 xml:space="preserve">Medium dose </w:t>
            </w:r>
          </w:p>
        </w:tc>
        <w:tc>
          <w:tcPr>
            <w:tcW w:w="1484" w:type="dxa"/>
            <w:noWrap/>
            <w:vAlign w:val="center"/>
          </w:tcPr>
          <w:p w14:paraId="4F9F515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746" w:type="dxa"/>
            <w:noWrap/>
            <w:vAlign w:val="center"/>
          </w:tcPr>
          <w:p w14:paraId="2DFFF44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1.24 ± 0.32</w:t>
            </w:r>
            <w:r>
              <w:rPr>
                <w:rFonts w:ascii="Book Antiqua" w:hAnsi="Book Antiqua"/>
                <w:color w:val="000000"/>
                <w:vertAlign w:val="superscript"/>
              </w:rPr>
              <w:t>c</w:t>
            </w:r>
          </w:p>
        </w:tc>
        <w:tc>
          <w:tcPr>
            <w:tcW w:w="2939" w:type="dxa"/>
            <w:noWrap/>
            <w:vAlign w:val="center"/>
          </w:tcPr>
          <w:p w14:paraId="4F4B5628"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1.59 ± 1.19</w:t>
            </w:r>
          </w:p>
        </w:tc>
        <w:tc>
          <w:tcPr>
            <w:tcW w:w="3008" w:type="dxa"/>
            <w:noWrap/>
            <w:vAlign w:val="center"/>
          </w:tcPr>
          <w:p w14:paraId="18351AD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1.17 ± 0.34</w:t>
            </w:r>
            <w:r>
              <w:rPr>
                <w:rFonts w:ascii="Book Antiqua" w:hAnsi="Book Antiqua"/>
                <w:color w:val="000000"/>
                <w:vertAlign w:val="superscript"/>
              </w:rPr>
              <w:t>ac</w:t>
            </w:r>
          </w:p>
        </w:tc>
      </w:tr>
      <w:tr w:rsidR="003649F1" w14:paraId="24A5457A" w14:textId="77777777" w:rsidTr="00F45A03">
        <w:trPr>
          <w:trHeight w:val="239"/>
          <w:jc w:val="center"/>
        </w:trPr>
        <w:tc>
          <w:tcPr>
            <w:tcW w:w="2914" w:type="dxa"/>
            <w:noWrap/>
            <w:vAlign w:val="center"/>
          </w:tcPr>
          <w:p w14:paraId="6D6911E7"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Medium-low dose</w:t>
            </w:r>
          </w:p>
        </w:tc>
        <w:tc>
          <w:tcPr>
            <w:tcW w:w="1484" w:type="dxa"/>
            <w:noWrap/>
            <w:vAlign w:val="center"/>
          </w:tcPr>
          <w:p w14:paraId="72E0AF9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746" w:type="dxa"/>
            <w:noWrap/>
            <w:vAlign w:val="center"/>
          </w:tcPr>
          <w:p w14:paraId="30BE456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1.52 ± 0.54</w:t>
            </w:r>
            <w:r>
              <w:rPr>
                <w:rFonts w:ascii="Book Antiqua" w:hAnsi="Book Antiqua"/>
                <w:color w:val="000000"/>
                <w:vertAlign w:val="superscript"/>
              </w:rPr>
              <w:t>a</w:t>
            </w:r>
          </w:p>
        </w:tc>
        <w:tc>
          <w:tcPr>
            <w:tcW w:w="2939" w:type="dxa"/>
            <w:noWrap/>
            <w:vAlign w:val="center"/>
          </w:tcPr>
          <w:p w14:paraId="0E791D6B"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1.35 ± 0.76</w:t>
            </w:r>
          </w:p>
        </w:tc>
        <w:tc>
          <w:tcPr>
            <w:tcW w:w="3008" w:type="dxa"/>
            <w:noWrap/>
            <w:vAlign w:val="center"/>
          </w:tcPr>
          <w:p w14:paraId="576A50A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0.90 ± 0.20</w:t>
            </w:r>
          </w:p>
        </w:tc>
      </w:tr>
      <w:tr w:rsidR="003649F1" w14:paraId="0819A44D" w14:textId="77777777" w:rsidTr="00F45A03">
        <w:trPr>
          <w:trHeight w:val="239"/>
          <w:jc w:val="center"/>
        </w:trPr>
        <w:tc>
          <w:tcPr>
            <w:tcW w:w="2914" w:type="dxa"/>
            <w:noWrap/>
            <w:vAlign w:val="center"/>
          </w:tcPr>
          <w:p w14:paraId="73672A3D"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Low dose</w:t>
            </w:r>
          </w:p>
        </w:tc>
        <w:tc>
          <w:tcPr>
            <w:tcW w:w="1484" w:type="dxa"/>
            <w:noWrap/>
            <w:vAlign w:val="center"/>
          </w:tcPr>
          <w:p w14:paraId="57CC6CF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746" w:type="dxa"/>
            <w:noWrap/>
            <w:vAlign w:val="center"/>
          </w:tcPr>
          <w:p w14:paraId="587CC426"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1.61 ± 0.43</w:t>
            </w:r>
            <w:r>
              <w:rPr>
                <w:rFonts w:ascii="Book Antiqua" w:hAnsi="Book Antiqua"/>
                <w:color w:val="000000"/>
                <w:vertAlign w:val="superscript"/>
              </w:rPr>
              <w:t>a</w:t>
            </w:r>
          </w:p>
        </w:tc>
        <w:tc>
          <w:tcPr>
            <w:tcW w:w="2939" w:type="dxa"/>
            <w:noWrap/>
            <w:vAlign w:val="center"/>
          </w:tcPr>
          <w:p w14:paraId="457DDB2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1.32 ± 0.46</w:t>
            </w:r>
          </w:p>
        </w:tc>
        <w:tc>
          <w:tcPr>
            <w:tcW w:w="3008" w:type="dxa"/>
            <w:noWrap/>
            <w:vAlign w:val="center"/>
          </w:tcPr>
          <w:p w14:paraId="084CDF28"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0.72 ± 0.10</w:t>
            </w:r>
          </w:p>
        </w:tc>
      </w:tr>
      <w:tr w:rsidR="003649F1" w14:paraId="445DF2FF" w14:textId="77777777" w:rsidTr="00F45A03">
        <w:trPr>
          <w:trHeight w:val="94"/>
          <w:jc w:val="center"/>
        </w:trPr>
        <w:tc>
          <w:tcPr>
            <w:tcW w:w="2914" w:type="dxa"/>
            <w:noWrap/>
            <w:vAlign w:val="center"/>
          </w:tcPr>
          <w:p w14:paraId="5AC0DC3D"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Control</w:t>
            </w:r>
          </w:p>
        </w:tc>
        <w:tc>
          <w:tcPr>
            <w:tcW w:w="1484" w:type="dxa"/>
            <w:noWrap/>
            <w:vAlign w:val="center"/>
          </w:tcPr>
          <w:p w14:paraId="33CDE7D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6</w:t>
            </w:r>
          </w:p>
        </w:tc>
        <w:tc>
          <w:tcPr>
            <w:tcW w:w="2746" w:type="dxa"/>
            <w:noWrap/>
            <w:vAlign w:val="center"/>
          </w:tcPr>
          <w:p w14:paraId="7D43776B"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1.00 ± 0.00</w:t>
            </w:r>
          </w:p>
        </w:tc>
        <w:tc>
          <w:tcPr>
            <w:tcW w:w="2939" w:type="dxa"/>
            <w:noWrap/>
            <w:vAlign w:val="center"/>
          </w:tcPr>
          <w:p w14:paraId="2049480C"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1.00 ± 0.00</w:t>
            </w:r>
          </w:p>
        </w:tc>
        <w:tc>
          <w:tcPr>
            <w:tcW w:w="3008" w:type="dxa"/>
            <w:noWrap/>
            <w:vAlign w:val="center"/>
          </w:tcPr>
          <w:p w14:paraId="365DB7B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1.00 ± 0.20</w:t>
            </w:r>
          </w:p>
        </w:tc>
      </w:tr>
      <w:tr w:rsidR="003649F1" w14:paraId="10652FA9" w14:textId="77777777" w:rsidTr="00F45A03">
        <w:trPr>
          <w:trHeight w:val="94"/>
          <w:jc w:val="center"/>
        </w:trPr>
        <w:tc>
          <w:tcPr>
            <w:tcW w:w="2914" w:type="dxa"/>
            <w:noWrap/>
            <w:vAlign w:val="center"/>
          </w:tcPr>
          <w:p w14:paraId="634002B7" w14:textId="77777777" w:rsidR="003649F1" w:rsidRDefault="003F5E16">
            <w:pPr>
              <w:adjustRightInd w:val="0"/>
              <w:snapToGrid w:val="0"/>
              <w:spacing w:line="360" w:lineRule="auto"/>
              <w:jc w:val="both"/>
              <w:rPr>
                <w:rFonts w:ascii="Book Antiqua" w:hAnsi="Book Antiqua"/>
                <w:i/>
                <w:color w:val="000000"/>
              </w:rPr>
            </w:pPr>
            <w:r>
              <w:rPr>
                <w:rFonts w:ascii="Book Antiqua" w:hAnsi="Book Antiqua"/>
                <w:i/>
                <w:color w:val="000000"/>
              </w:rPr>
              <w:t>F</w:t>
            </w:r>
            <w:r>
              <w:rPr>
                <w:rFonts w:ascii="Book Antiqua" w:hAnsi="Book Antiqua"/>
                <w:color w:val="000000"/>
              </w:rPr>
              <w:t xml:space="preserve"> value</w:t>
            </w:r>
          </w:p>
        </w:tc>
        <w:tc>
          <w:tcPr>
            <w:tcW w:w="1484" w:type="dxa"/>
            <w:noWrap/>
            <w:vAlign w:val="center"/>
          </w:tcPr>
          <w:p w14:paraId="29B51DC5" w14:textId="77777777" w:rsidR="003649F1" w:rsidRDefault="003649F1">
            <w:pPr>
              <w:adjustRightInd w:val="0"/>
              <w:snapToGrid w:val="0"/>
              <w:spacing w:line="360" w:lineRule="auto"/>
              <w:jc w:val="both"/>
              <w:rPr>
                <w:rFonts w:ascii="Book Antiqua" w:hAnsi="Book Antiqua"/>
                <w:color w:val="000000"/>
              </w:rPr>
            </w:pPr>
          </w:p>
        </w:tc>
        <w:tc>
          <w:tcPr>
            <w:tcW w:w="2746" w:type="dxa"/>
            <w:noWrap/>
            <w:vAlign w:val="center"/>
          </w:tcPr>
          <w:p w14:paraId="2443C8A3"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3.36</w:t>
            </w:r>
          </w:p>
        </w:tc>
        <w:tc>
          <w:tcPr>
            <w:tcW w:w="2939" w:type="dxa"/>
            <w:noWrap/>
            <w:vAlign w:val="center"/>
          </w:tcPr>
          <w:p w14:paraId="5774E649"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3.35</w:t>
            </w:r>
          </w:p>
        </w:tc>
        <w:tc>
          <w:tcPr>
            <w:tcW w:w="3008" w:type="dxa"/>
            <w:noWrap/>
            <w:vAlign w:val="center"/>
          </w:tcPr>
          <w:p w14:paraId="3AB36CE4"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7.85</w:t>
            </w:r>
          </w:p>
        </w:tc>
      </w:tr>
      <w:tr w:rsidR="003649F1" w14:paraId="43B1E5E2" w14:textId="77777777" w:rsidTr="00F45A03">
        <w:trPr>
          <w:trHeight w:val="94"/>
          <w:jc w:val="center"/>
        </w:trPr>
        <w:tc>
          <w:tcPr>
            <w:tcW w:w="2914" w:type="dxa"/>
            <w:noWrap/>
            <w:vAlign w:val="center"/>
          </w:tcPr>
          <w:p w14:paraId="14E22F27" w14:textId="77777777" w:rsidR="003649F1" w:rsidRDefault="003F5E16">
            <w:pPr>
              <w:adjustRightInd w:val="0"/>
              <w:snapToGrid w:val="0"/>
              <w:spacing w:line="360" w:lineRule="auto"/>
              <w:jc w:val="both"/>
              <w:rPr>
                <w:rFonts w:ascii="Book Antiqua" w:hAnsi="Book Antiqua"/>
                <w:i/>
                <w:color w:val="000000"/>
              </w:rPr>
            </w:pPr>
            <w:bookmarkStart w:id="10" w:name="OLE_LINK7"/>
            <w:r>
              <w:rPr>
                <w:rFonts w:ascii="Book Antiqua" w:hAnsi="Book Antiqua"/>
                <w:i/>
                <w:color w:val="000000"/>
              </w:rPr>
              <w:t>P</w:t>
            </w:r>
            <w:r>
              <w:rPr>
                <w:rFonts w:ascii="Book Antiqua" w:hAnsi="Book Antiqua"/>
                <w:color w:val="000000"/>
              </w:rPr>
              <w:t xml:space="preserve"> value</w:t>
            </w:r>
            <w:bookmarkEnd w:id="10"/>
          </w:p>
        </w:tc>
        <w:tc>
          <w:tcPr>
            <w:tcW w:w="1484" w:type="dxa"/>
            <w:noWrap/>
            <w:vAlign w:val="center"/>
          </w:tcPr>
          <w:p w14:paraId="4437ACF5" w14:textId="77777777" w:rsidR="003649F1" w:rsidRDefault="003649F1">
            <w:pPr>
              <w:adjustRightInd w:val="0"/>
              <w:snapToGrid w:val="0"/>
              <w:spacing w:line="360" w:lineRule="auto"/>
              <w:jc w:val="both"/>
              <w:rPr>
                <w:rFonts w:ascii="Book Antiqua" w:hAnsi="Book Antiqua"/>
                <w:color w:val="000000"/>
              </w:rPr>
            </w:pPr>
          </w:p>
        </w:tc>
        <w:tc>
          <w:tcPr>
            <w:tcW w:w="2746" w:type="dxa"/>
            <w:noWrap/>
            <w:vAlign w:val="center"/>
          </w:tcPr>
          <w:p w14:paraId="26F2F8E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0.016</w:t>
            </w:r>
          </w:p>
        </w:tc>
        <w:tc>
          <w:tcPr>
            <w:tcW w:w="2939" w:type="dxa"/>
            <w:noWrap/>
            <w:vAlign w:val="center"/>
          </w:tcPr>
          <w:p w14:paraId="5243EE8A"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0.016</w:t>
            </w:r>
          </w:p>
        </w:tc>
        <w:tc>
          <w:tcPr>
            <w:tcW w:w="3008" w:type="dxa"/>
            <w:noWrap/>
            <w:vAlign w:val="center"/>
          </w:tcPr>
          <w:p w14:paraId="1323138E" w14:textId="77777777" w:rsidR="003649F1" w:rsidRDefault="003F5E16">
            <w:pPr>
              <w:adjustRightInd w:val="0"/>
              <w:snapToGrid w:val="0"/>
              <w:spacing w:line="360" w:lineRule="auto"/>
              <w:jc w:val="both"/>
              <w:rPr>
                <w:rFonts w:ascii="Book Antiqua" w:hAnsi="Book Antiqua"/>
                <w:color w:val="000000"/>
              </w:rPr>
            </w:pPr>
            <w:r>
              <w:rPr>
                <w:rFonts w:ascii="Book Antiqua" w:hAnsi="Book Antiqua"/>
                <w:color w:val="000000"/>
              </w:rPr>
              <w:t>0.001</w:t>
            </w:r>
          </w:p>
        </w:tc>
      </w:tr>
    </w:tbl>
    <w:p w14:paraId="1ACCEAE4" w14:textId="77777777" w:rsidR="000A2AA0" w:rsidRDefault="003F5E16">
      <w:pPr>
        <w:adjustRightInd w:val="0"/>
        <w:snapToGrid w:val="0"/>
        <w:spacing w:line="360" w:lineRule="auto"/>
        <w:jc w:val="both"/>
        <w:rPr>
          <w:rFonts w:ascii="Book Antiqua" w:hAnsi="Book Antiqua"/>
          <w:lang w:eastAsia="zh-CN"/>
        </w:rPr>
      </w:pPr>
      <w:proofErr w:type="spellStart"/>
      <w:r w:rsidRPr="000A2AA0">
        <w:rPr>
          <w:rFonts w:ascii="Book Antiqua" w:hAnsi="Book Antiqua"/>
          <w:iCs/>
          <w:vertAlign w:val="superscript"/>
        </w:rPr>
        <w:t>a</w:t>
      </w:r>
      <w:r>
        <w:rPr>
          <w:rFonts w:ascii="Book Antiqua" w:hAnsi="Book Antiqua"/>
          <w:i/>
          <w:iCs/>
        </w:rPr>
        <w:t>P</w:t>
      </w:r>
      <w:proofErr w:type="spellEnd"/>
      <w:r>
        <w:rPr>
          <w:rFonts w:ascii="Book Antiqua" w:hAnsi="Book Antiqua"/>
          <w:i/>
          <w:iCs/>
        </w:rPr>
        <w:t xml:space="preserve"> </w:t>
      </w:r>
      <w:r>
        <w:rPr>
          <w:rFonts w:ascii="Book Antiqua" w:hAnsi="Book Antiqua"/>
        </w:rPr>
        <w:t>&lt; 0.05 compared with the control group</w:t>
      </w:r>
      <w:r w:rsidR="000A2AA0">
        <w:rPr>
          <w:rFonts w:ascii="Book Antiqua" w:hAnsi="Book Antiqua" w:hint="eastAsia"/>
          <w:lang w:eastAsia="zh-CN"/>
        </w:rPr>
        <w:t>.</w:t>
      </w:r>
    </w:p>
    <w:p w14:paraId="425BF3DC" w14:textId="77777777" w:rsidR="000A2AA0" w:rsidRDefault="003F5E16">
      <w:pPr>
        <w:adjustRightInd w:val="0"/>
        <w:snapToGrid w:val="0"/>
        <w:spacing w:line="360" w:lineRule="auto"/>
        <w:jc w:val="both"/>
        <w:rPr>
          <w:rFonts w:ascii="Book Antiqua" w:hAnsi="Book Antiqua"/>
          <w:lang w:eastAsia="zh-CN"/>
        </w:rPr>
      </w:pPr>
      <w:proofErr w:type="spellStart"/>
      <w:r w:rsidRPr="000A2AA0">
        <w:rPr>
          <w:rFonts w:ascii="Book Antiqua" w:hAnsi="Book Antiqua"/>
          <w:iCs/>
          <w:vertAlign w:val="superscript"/>
        </w:rPr>
        <w:t>b</w:t>
      </w:r>
      <w:r>
        <w:rPr>
          <w:rFonts w:ascii="Book Antiqua" w:hAnsi="Book Antiqua"/>
          <w:i/>
          <w:iCs/>
        </w:rPr>
        <w:t>P</w:t>
      </w:r>
      <w:proofErr w:type="spellEnd"/>
      <w:r>
        <w:rPr>
          <w:rFonts w:ascii="Book Antiqua" w:hAnsi="Book Antiqua"/>
        </w:rPr>
        <w:t xml:space="preserve"> &lt; 0.05 compared with the medium dose group</w:t>
      </w:r>
      <w:r w:rsidR="000A2AA0">
        <w:rPr>
          <w:rFonts w:ascii="Book Antiqua" w:hAnsi="Book Antiqua" w:hint="eastAsia"/>
          <w:lang w:eastAsia="zh-CN"/>
        </w:rPr>
        <w:t>.</w:t>
      </w:r>
      <w:r>
        <w:rPr>
          <w:rFonts w:ascii="Book Antiqua" w:hAnsi="Book Antiqua"/>
        </w:rPr>
        <w:t xml:space="preserve"> </w:t>
      </w:r>
    </w:p>
    <w:p w14:paraId="670F1AE7" w14:textId="77777777" w:rsidR="00A6213D" w:rsidRDefault="003F5E16">
      <w:pPr>
        <w:adjustRightInd w:val="0"/>
        <w:snapToGrid w:val="0"/>
        <w:spacing w:line="360" w:lineRule="auto"/>
        <w:jc w:val="both"/>
        <w:rPr>
          <w:rFonts w:ascii="Book Antiqua" w:eastAsia="Book Antiqua" w:hAnsi="Book Antiqua" w:cs="Book Antiqua"/>
          <w:color w:val="000000"/>
        </w:rPr>
        <w:sectPr w:rsidR="00A6213D">
          <w:type w:val="continuous"/>
          <w:pgSz w:w="16838" w:h="11906" w:orient="landscape"/>
          <w:pgMar w:top="1440" w:right="1800" w:bottom="1440" w:left="1800" w:header="720" w:footer="720" w:gutter="0"/>
          <w:cols w:space="720"/>
          <w:docGrid w:linePitch="360"/>
        </w:sectPr>
      </w:pPr>
      <w:proofErr w:type="spellStart"/>
      <w:r w:rsidRPr="000A2AA0">
        <w:rPr>
          <w:rFonts w:ascii="Book Antiqua" w:hAnsi="Book Antiqua"/>
          <w:iCs/>
          <w:vertAlign w:val="superscript"/>
        </w:rPr>
        <w:t>c</w:t>
      </w:r>
      <w:r>
        <w:rPr>
          <w:rFonts w:ascii="Book Antiqua" w:hAnsi="Book Antiqua"/>
          <w:i/>
          <w:iCs/>
        </w:rPr>
        <w:t>P</w:t>
      </w:r>
      <w:proofErr w:type="spellEnd"/>
      <w:r>
        <w:rPr>
          <w:rFonts w:ascii="Book Antiqua" w:hAnsi="Book Antiqua"/>
        </w:rPr>
        <w:t xml:space="preserve"> &lt; 0.05 compared with the low dose group.</w:t>
      </w:r>
      <w:r>
        <w:rPr>
          <w:rFonts w:ascii="Book Antiqua" w:hAnsi="Book Antiqua"/>
          <w:kern w:val="2"/>
          <w:lang w:eastAsia="zh-CN"/>
        </w:rPr>
        <w:t xml:space="preserve"> </w:t>
      </w:r>
      <w:proofErr w:type="spellStart"/>
      <w:r>
        <w:rPr>
          <w:rFonts w:ascii="Book Antiqua" w:hAnsi="Book Antiqua"/>
        </w:rPr>
        <w:t>Adp</w:t>
      </w:r>
      <w:proofErr w:type="spellEnd"/>
      <w:r>
        <w:rPr>
          <w:rFonts w:ascii="Book Antiqua" w:hAnsi="Book Antiqua"/>
        </w:rPr>
        <w:t xml:space="preserve">: </w:t>
      </w:r>
      <w:r>
        <w:rPr>
          <w:rFonts w:ascii="Book Antiqua" w:hAnsi="Book Antiqua"/>
          <w:bCs/>
          <w:color w:val="000000"/>
        </w:rPr>
        <w:t>Adiponectin;</w:t>
      </w:r>
      <w:r>
        <w:rPr>
          <w:rFonts w:ascii="Book Antiqua" w:hAnsi="Book Antiqua"/>
        </w:rPr>
        <w:t xml:space="preserve"> LEP:</w:t>
      </w:r>
      <w:r>
        <w:rPr>
          <w:rFonts w:ascii="Book Antiqua" w:hAnsi="Book Antiqua"/>
          <w:bCs/>
          <w:color w:val="000000"/>
        </w:rPr>
        <w:t xml:space="preserve"> Leptin;</w:t>
      </w:r>
      <w:r>
        <w:rPr>
          <w:rFonts w:ascii="Book Antiqua" w:hAnsi="Book Antiqua"/>
          <w:bCs/>
        </w:rPr>
        <w:t xml:space="preserve"> </w:t>
      </w:r>
      <w:proofErr w:type="spellStart"/>
      <w:r>
        <w:rPr>
          <w:rFonts w:ascii="Book Antiqua" w:hAnsi="Book Antiqua"/>
          <w:bCs/>
        </w:rPr>
        <w:t>P</w:t>
      </w:r>
      <w:r>
        <w:rPr>
          <w:rFonts w:ascii="Book Antiqua" w:hAnsi="Book Antiqua"/>
        </w:rPr>
        <w:t>PARγ</w:t>
      </w:r>
      <w:proofErr w:type="spellEnd"/>
      <w:r>
        <w:rPr>
          <w:rFonts w:ascii="Book Antiqua" w:hAnsi="Book Antiqua"/>
        </w:rPr>
        <w:t>:</w:t>
      </w:r>
      <w:r>
        <w:rPr>
          <w:rFonts w:ascii="Book Antiqua" w:hAnsi="Book Antiqua"/>
          <w:b/>
          <w:bCs/>
        </w:rPr>
        <w:t xml:space="preserve"> </w:t>
      </w:r>
      <w:r>
        <w:rPr>
          <w:rFonts w:ascii="Book Antiqua" w:eastAsia="Book Antiqua" w:hAnsi="Book Antiqua" w:cs="Book Antiqua"/>
          <w:color w:val="000000"/>
        </w:rPr>
        <w:t>Peroxisome proliferators activated receptor-γ.</w:t>
      </w:r>
    </w:p>
    <w:p w14:paraId="3D5F4877" w14:textId="77777777" w:rsidR="00A6213D" w:rsidRDefault="00A6213D" w:rsidP="00A6213D">
      <w:pPr>
        <w:jc w:val="center"/>
        <w:rPr>
          <w:rFonts w:ascii="Book Antiqua" w:hAnsi="Book Antiqua"/>
          <w:sz w:val="21"/>
          <w:szCs w:val="22"/>
          <w:lang w:eastAsia="zh-CN"/>
        </w:rPr>
      </w:pPr>
      <w:bookmarkStart w:id="11" w:name="_Hlk79137706"/>
    </w:p>
    <w:p w14:paraId="0B6BD3B4" w14:textId="28AEFB9E" w:rsidR="00A6213D" w:rsidRDefault="00A6213D" w:rsidP="00A6213D">
      <w:pPr>
        <w:jc w:val="center"/>
        <w:rPr>
          <w:rFonts w:ascii="Book Antiqua" w:hAnsi="Book Antiqua"/>
        </w:rPr>
      </w:pPr>
      <w:r>
        <w:rPr>
          <w:rFonts w:ascii="Book Antiqua" w:hAnsi="Book Antiqua"/>
          <w:noProof/>
        </w:rPr>
        <w:drawing>
          <wp:inline distT="0" distB="0" distL="0" distR="0" wp14:anchorId="784AC54E" wp14:editId="329F69EA">
            <wp:extent cx="2468880" cy="1463040"/>
            <wp:effectExtent l="0" t="0" r="7620" b="3810"/>
            <wp:docPr id="6" name="图片 6"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徽标, 公司名称&#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880" cy="1463040"/>
                    </a:xfrm>
                    <a:prstGeom prst="rect">
                      <a:avLst/>
                    </a:prstGeom>
                    <a:noFill/>
                    <a:ln>
                      <a:noFill/>
                    </a:ln>
                  </pic:spPr>
                </pic:pic>
              </a:graphicData>
            </a:graphic>
          </wp:inline>
        </w:drawing>
      </w:r>
    </w:p>
    <w:p w14:paraId="42A54508" w14:textId="77777777" w:rsidR="00A6213D" w:rsidRDefault="00A6213D" w:rsidP="00A6213D">
      <w:pPr>
        <w:jc w:val="center"/>
        <w:rPr>
          <w:rFonts w:ascii="Book Antiqua" w:hAnsi="Book Antiqua"/>
        </w:rPr>
      </w:pPr>
    </w:p>
    <w:p w14:paraId="595616ED" w14:textId="77777777" w:rsidR="00A6213D" w:rsidRDefault="00A6213D" w:rsidP="00A6213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6BA65D3" w14:textId="77777777" w:rsidR="00A6213D" w:rsidRDefault="00A6213D" w:rsidP="00A6213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7E146CA" w14:textId="77777777" w:rsidR="00A6213D" w:rsidRDefault="00A6213D" w:rsidP="00A6213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86585E1" w14:textId="77777777" w:rsidR="00A6213D" w:rsidRDefault="00A6213D" w:rsidP="00A6213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9CDE20D" w14:textId="77777777" w:rsidR="00A6213D" w:rsidRDefault="00A6213D" w:rsidP="00A6213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A65FA58" w14:textId="77777777" w:rsidR="00A6213D" w:rsidRDefault="00A6213D" w:rsidP="00A6213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541D1D8" w14:textId="77777777" w:rsidR="00A6213D" w:rsidRDefault="00A6213D" w:rsidP="00A6213D">
      <w:pPr>
        <w:jc w:val="center"/>
        <w:rPr>
          <w:rFonts w:ascii="Book Antiqua" w:hAnsi="Book Antiqua"/>
        </w:rPr>
      </w:pPr>
    </w:p>
    <w:p w14:paraId="091C1713" w14:textId="77777777" w:rsidR="00A6213D" w:rsidRDefault="00A6213D" w:rsidP="00A6213D">
      <w:pPr>
        <w:jc w:val="center"/>
        <w:rPr>
          <w:rFonts w:ascii="Book Antiqua" w:hAnsi="Book Antiqua"/>
        </w:rPr>
      </w:pPr>
    </w:p>
    <w:p w14:paraId="15ADF1F2" w14:textId="77777777" w:rsidR="00A6213D" w:rsidRDefault="00A6213D" w:rsidP="00A6213D">
      <w:pPr>
        <w:jc w:val="center"/>
        <w:rPr>
          <w:rFonts w:ascii="Book Antiqua" w:hAnsi="Book Antiqua"/>
        </w:rPr>
      </w:pPr>
    </w:p>
    <w:p w14:paraId="4D2793AD" w14:textId="2D930216" w:rsidR="00A6213D" w:rsidRDefault="00A6213D" w:rsidP="00A6213D">
      <w:pPr>
        <w:jc w:val="center"/>
        <w:rPr>
          <w:rFonts w:ascii="Book Antiqua" w:hAnsi="Book Antiqua"/>
        </w:rPr>
      </w:pPr>
      <w:r>
        <w:rPr>
          <w:rFonts w:ascii="Book Antiqua" w:hAnsi="Book Antiqua"/>
          <w:noProof/>
        </w:rPr>
        <w:drawing>
          <wp:inline distT="0" distB="0" distL="0" distR="0" wp14:anchorId="67803ADE" wp14:editId="685204E7">
            <wp:extent cx="1463040" cy="1463040"/>
            <wp:effectExtent l="0" t="0" r="3810" b="381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 代码&#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0259279F" w14:textId="77777777" w:rsidR="00A6213D" w:rsidRDefault="00A6213D" w:rsidP="00A6213D">
      <w:pPr>
        <w:jc w:val="center"/>
        <w:rPr>
          <w:rFonts w:ascii="Book Antiqua" w:hAnsi="Book Antiqua"/>
        </w:rPr>
      </w:pPr>
    </w:p>
    <w:p w14:paraId="3151B516" w14:textId="77777777" w:rsidR="00A6213D" w:rsidRDefault="00A6213D" w:rsidP="00A6213D">
      <w:pPr>
        <w:jc w:val="center"/>
        <w:rPr>
          <w:rFonts w:ascii="Book Antiqua" w:hAnsi="Book Antiqua"/>
        </w:rPr>
      </w:pPr>
    </w:p>
    <w:p w14:paraId="269CDAEC" w14:textId="77777777" w:rsidR="00A6213D" w:rsidRDefault="00A6213D" w:rsidP="00A6213D">
      <w:pPr>
        <w:jc w:val="center"/>
        <w:rPr>
          <w:rFonts w:ascii="Book Antiqua" w:hAnsi="Book Antiqua"/>
        </w:rPr>
      </w:pPr>
    </w:p>
    <w:p w14:paraId="6A87569D" w14:textId="77777777" w:rsidR="00A6213D" w:rsidRDefault="00A6213D" w:rsidP="00A6213D">
      <w:pPr>
        <w:jc w:val="center"/>
        <w:rPr>
          <w:rFonts w:ascii="Book Antiqua" w:hAnsi="Book Antiqua"/>
        </w:rPr>
      </w:pPr>
    </w:p>
    <w:p w14:paraId="6512BECB" w14:textId="77777777" w:rsidR="00A6213D" w:rsidRDefault="00A6213D" w:rsidP="00A6213D">
      <w:pPr>
        <w:jc w:val="center"/>
        <w:rPr>
          <w:rFonts w:ascii="Book Antiqua" w:hAnsi="Book Antiqua"/>
        </w:rPr>
      </w:pPr>
    </w:p>
    <w:p w14:paraId="1B2E51F5" w14:textId="77777777" w:rsidR="00A6213D" w:rsidRDefault="00A6213D" w:rsidP="00A6213D">
      <w:pPr>
        <w:jc w:val="center"/>
        <w:rPr>
          <w:rFonts w:ascii="Book Antiqua" w:hAnsi="Book Antiqua"/>
        </w:rPr>
      </w:pPr>
    </w:p>
    <w:p w14:paraId="5B0AE02C" w14:textId="77777777" w:rsidR="00A6213D" w:rsidRDefault="00A6213D" w:rsidP="00A6213D">
      <w:pPr>
        <w:jc w:val="center"/>
        <w:rPr>
          <w:rFonts w:ascii="Book Antiqua" w:hAnsi="Book Antiqua"/>
        </w:rPr>
      </w:pPr>
    </w:p>
    <w:p w14:paraId="4B46CC5A" w14:textId="77777777" w:rsidR="00A6213D" w:rsidRDefault="00A6213D" w:rsidP="00A6213D">
      <w:pPr>
        <w:jc w:val="center"/>
        <w:rPr>
          <w:rFonts w:ascii="Book Antiqua" w:hAnsi="Book Antiqua"/>
        </w:rPr>
      </w:pPr>
    </w:p>
    <w:p w14:paraId="761A86C3" w14:textId="77777777" w:rsidR="00A6213D" w:rsidRDefault="00A6213D" w:rsidP="00A6213D">
      <w:pPr>
        <w:jc w:val="center"/>
        <w:rPr>
          <w:rFonts w:ascii="Book Antiqua" w:hAnsi="Book Antiqua"/>
        </w:rPr>
      </w:pPr>
    </w:p>
    <w:p w14:paraId="72B0E085" w14:textId="77777777" w:rsidR="00A6213D" w:rsidRDefault="00A6213D" w:rsidP="00A6213D">
      <w:pPr>
        <w:jc w:val="right"/>
        <w:rPr>
          <w:rFonts w:ascii="Book Antiqua" w:hAnsi="Book Antiqua"/>
          <w:color w:val="000000" w:themeColor="text1"/>
        </w:rPr>
      </w:pPr>
    </w:p>
    <w:p w14:paraId="06A24DEC" w14:textId="77777777" w:rsidR="00A6213D" w:rsidRDefault="00A6213D" w:rsidP="00A6213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fldChar w:fldCharType="begin"/>
      </w:r>
      <w:r>
        <w:rPr>
          <w:rFonts w:ascii="Book Antiqua" w:hAnsi="Book Antiqua"/>
          <w:color w:val="000000" w:themeColor="text1"/>
        </w:rPr>
        <w:instrText xml:space="preserve"> ADDIN EN.REFLIST </w:instrText>
      </w:r>
      <w:r>
        <w:fldChar w:fldCharType="end"/>
      </w:r>
      <w:bookmarkEnd w:id="11"/>
    </w:p>
    <w:p w14:paraId="5CA72041" w14:textId="68C84BC1" w:rsidR="003649F1" w:rsidRDefault="003649F1">
      <w:pPr>
        <w:adjustRightInd w:val="0"/>
        <w:snapToGrid w:val="0"/>
        <w:spacing w:line="360" w:lineRule="auto"/>
        <w:jc w:val="both"/>
        <w:rPr>
          <w:rFonts w:ascii="Book Antiqua" w:hAnsi="Book Antiqua"/>
          <w:kern w:val="2"/>
        </w:rPr>
      </w:pPr>
    </w:p>
    <w:sectPr w:rsidR="003649F1" w:rsidSect="00A6213D">
      <w:pgSz w:w="11906" w:h="16838"/>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5F0FF" w14:textId="77777777" w:rsidR="008B1E76" w:rsidRDefault="008B1E76">
      <w:r>
        <w:separator/>
      </w:r>
    </w:p>
  </w:endnote>
  <w:endnote w:type="continuationSeparator" w:id="0">
    <w:p w14:paraId="20100614" w14:textId="77777777" w:rsidR="008B1E76" w:rsidRDefault="008B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926715"/>
    </w:sdtPr>
    <w:sdtEndPr/>
    <w:sdtContent>
      <w:sdt>
        <w:sdtPr>
          <w:id w:val="-1769616900"/>
        </w:sdtPr>
        <w:sdtEndPr/>
        <w:sdtContent>
          <w:p w14:paraId="1A62AC69" w14:textId="77777777" w:rsidR="003649F1" w:rsidRDefault="003F5E16">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51975">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51975">
              <w:rPr>
                <w:b/>
                <w:bCs/>
                <w:noProof/>
              </w:rPr>
              <w:t>39</w:t>
            </w:r>
            <w:r>
              <w:rPr>
                <w:b/>
                <w:bCs/>
                <w:sz w:val="24"/>
                <w:szCs w:val="24"/>
              </w:rPr>
              <w:fldChar w:fldCharType="end"/>
            </w:r>
          </w:p>
        </w:sdtContent>
      </w:sdt>
    </w:sdtContent>
  </w:sdt>
  <w:p w14:paraId="567CF7FB" w14:textId="77777777" w:rsidR="003649F1" w:rsidRDefault="003649F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9CECE" w14:textId="77777777" w:rsidR="008B1E76" w:rsidRDefault="008B1E76">
      <w:r>
        <w:separator/>
      </w:r>
    </w:p>
  </w:footnote>
  <w:footnote w:type="continuationSeparator" w:id="0">
    <w:p w14:paraId="6964A65D" w14:textId="77777777" w:rsidR="008B1E76" w:rsidRDefault="008B1E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7B32"/>
    <w:rsid w:val="00035225"/>
    <w:rsid w:val="00043146"/>
    <w:rsid w:val="00047102"/>
    <w:rsid w:val="00055666"/>
    <w:rsid w:val="00086B30"/>
    <w:rsid w:val="000A2AA0"/>
    <w:rsid w:val="000B5540"/>
    <w:rsid w:val="001645C3"/>
    <w:rsid w:val="00176404"/>
    <w:rsid w:val="001C64B4"/>
    <w:rsid w:val="001F38D0"/>
    <w:rsid w:val="001F655A"/>
    <w:rsid w:val="00223D01"/>
    <w:rsid w:val="00234455"/>
    <w:rsid w:val="00237026"/>
    <w:rsid w:val="00280527"/>
    <w:rsid w:val="00281445"/>
    <w:rsid w:val="00290535"/>
    <w:rsid w:val="0029676F"/>
    <w:rsid w:val="002A69DF"/>
    <w:rsid w:val="002A6D8E"/>
    <w:rsid w:val="002B17D7"/>
    <w:rsid w:val="00315662"/>
    <w:rsid w:val="003649F1"/>
    <w:rsid w:val="00366D75"/>
    <w:rsid w:val="00367A10"/>
    <w:rsid w:val="00395EFA"/>
    <w:rsid w:val="003B6C28"/>
    <w:rsid w:val="003F24CE"/>
    <w:rsid w:val="003F5E16"/>
    <w:rsid w:val="00451417"/>
    <w:rsid w:val="00456D58"/>
    <w:rsid w:val="0048363D"/>
    <w:rsid w:val="00493DE7"/>
    <w:rsid w:val="004C11BF"/>
    <w:rsid w:val="005359B5"/>
    <w:rsid w:val="00564FDE"/>
    <w:rsid w:val="005655F3"/>
    <w:rsid w:val="00565FA4"/>
    <w:rsid w:val="005951F5"/>
    <w:rsid w:val="005D1845"/>
    <w:rsid w:val="005E2597"/>
    <w:rsid w:val="005E565C"/>
    <w:rsid w:val="00695257"/>
    <w:rsid w:val="006F3D44"/>
    <w:rsid w:val="00711D33"/>
    <w:rsid w:val="00726EBF"/>
    <w:rsid w:val="00753745"/>
    <w:rsid w:val="00761F7A"/>
    <w:rsid w:val="0076282F"/>
    <w:rsid w:val="0077253B"/>
    <w:rsid w:val="00790333"/>
    <w:rsid w:val="00791791"/>
    <w:rsid w:val="007B282D"/>
    <w:rsid w:val="007B69A7"/>
    <w:rsid w:val="007C0BDE"/>
    <w:rsid w:val="007D149F"/>
    <w:rsid w:val="0080691A"/>
    <w:rsid w:val="008078EE"/>
    <w:rsid w:val="008101C1"/>
    <w:rsid w:val="00813226"/>
    <w:rsid w:val="008519A2"/>
    <w:rsid w:val="00864BD0"/>
    <w:rsid w:val="008A0442"/>
    <w:rsid w:val="008B1E76"/>
    <w:rsid w:val="008C6EEE"/>
    <w:rsid w:val="009374AA"/>
    <w:rsid w:val="00943CF9"/>
    <w:rsid w:val="0094715F"/>
    <w:rsid w:val="009A1EFC"/>
    <w:rsid w:val="009E02DE"/>
    <w:rsid w:val="00A02D2A"/>
    <w:rsid w:val="00A140AC"/>
    <w:rsid w:val="00A2639E"/>
    <w:rsid w:val="00A30DC6"/>
    <w:rsid w:val="00A547DB"/>
    <w:rsid w:val="00A6213D"/>
    <w:rsid w:val="00A77B3E"/>
    <w:rsid w:val="00A82AB3"/>
    <w:rsid w:val="00A847D2"/>
    <w:rsid w:val="00A907CD"/>
    <w:rsid w:val="00A90960"/>
    <w:rsid w:val="00A95F67"/>
    <w:rsid w:val="00B17353"/>
    <w:rsid w:val="00B575EE"/>
    <w:rsid w:val="00B96083"/>
    <w:rsid w:val="00BA2ECA"/>
    <w:rsid w:val="00BC6180"/>
    <w:rsid w:val="00BD3A21"/>
    <w:rsid w:val="00BF181A"/>
    <w:rsid w:val="00C51975"/>
    <w:rsid w:val="00C66075"/>
    <w:rsid w:val="00CA2A55"/>
    <w:rsid w:val="00D04AE4"/>
    <w:rsid w:val="00D1183A"/>
    <w:rsid w:val="00D47020"/>
    <w:rsid w:val="00D57EDF"/>
    <w:rsid w:val="00D742AB"/>
    <w:rsid w:val="00D93608"/>
    <w:rsid w:val="00DB1309"/>
    <w:rsid w:val="00DB5861"/>
    <w:rsid w:val="00DC18E1"/>
    <w:rsid w:val="00DC3437"/>
    <w:rsid w:val="00DF68DA"/>
    <w:rsid w:val="00E10D9E"/>
    <w:rsid w:val="00E822C7"/>
    <w:rsid w:val="00EB0345"/>
    <w:rsid w:val="00EB0B2F"/>
    <w:rsid w:val="00EE3FB2"/>
    <w:rsid w:val="00F22F7B"/>
    <w:rsid w:val="00F31716"/>
    <w:rsid w:val="00F359FE"/>
    <w:rsid w:val="00F45A03"/>
    <w:rsid w:val="00F742BD"/>
    <w:rsid w:val="00F76E4C"/>
    <w:rsid w:val="00F810B5"/>
    <w:rsid w:val="00F8581C"/>
    <w:rsid w:val="00F87F1C"/>
    <w:rsid w:val="00FB3226"/>
    <w:rsid w:val="00FB64B8"/>
    <w:rsid w:val="00FF6908"/>
    <w:rsid w:val="0C633F2D"/>
    <w:rsid w:val="40112ABF"/>
    <w:rsid w:val="56EC0A38"/>
    <w:rsid w:val="7D5F0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87477"/>
  <w15:docId w15:val="{F56242B6-FECA-47CE-B02E-269CFD01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99" w:unhideWhenUsed="1"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Pr>
      <w:sz w:val="21"/>
      <w:szCs w:val="21"/>
    </w:rPr>
  </w:style>
  <w:style w:type="character" w:customStyle="1" w:styleId="15">
    <w:name w:val="15"/>
    <w:basedOn w:val="a0"/>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pple-converted-space">
    <w:name w:val="apple-converted-space"/>
    <w:basedOn w:val="a0"/>
    <w:qFormat/>
  </w:style>
  <w:style w:type="paragraph" w:customStyle="1" w:styleId="NormalIndent1">
    <w:name w:val="Normal Indent1"/>
    <w:basedOn w:val="a"/>
    <w:qFormat/>
    <w:pPr>
      <w:widowControl w:val="0"/>
      <w:ind w:firstLine="420"/>
      <w:jc w:val="both"/>
    </w:pPr>
    <w:rPr>
      <w:rFonts w:eastAsia="宋体"/>
      <w:kern w:val="2"/>
      <w:sz w:val="21"/>
      <w:szCs w:val="21"/>
      <w:lang w:eastAsia="zh-CN"/>
    </w:rPr>
  </w:style>
  <w:style w:type="character" w:styleId="af">
    <w:name w:val="Placeholder Text"/>
    <w:basedOn w:val="a0"/>
    <w:uiPriority w:val="99"/>
    <w:semiHidden/>
    <w:qFormat/>
    <w:rPr>
      <w:color w:val="808080"/>
    </w:rPr>
  </w:style>
  <w:style w:type="character" w:customStyle="1" w:styleId="src">
    <w:name w:val="src"/>
    <w:basedOn w:val="a0"/>
  </w:style>
  <w:style w:type="character" w:customStyle="1" w:styleId="cit">
    <w:name w:val="cit"/>
    <w:basedOn w:val="a0"/>
  </w:style>
  <w:style w:type="character" w:customStyle="1" w:styleId="a6">
    <w:name w:val="批注框文本 字符"/>
    <w:basedOn w:val="a0"/>
    <w:link w:val="a5"/>
    <w:rPr>
      <w:sz w:val="18"/>
      <w:szCs w:val="18"/>
      <w:lang w:eastAsia="en-US"/>
    </w:rPr>
  </w:style>
  <w:style w:type="character" w:customStyle="1" w:styleId="a4">
    <w:name w:val="批注文字 字符"/>
    <w:basedOn w:val="a0"/>
    <w:link w:val="a3"/>
    <w:semiHidden/>
    <w:rPr>
      <w:sz w:val="24"/>
      <w:szCs w:val="24"/>
      <w:lang w:eastAsia="en-US"/>
    </w:rPr>
  </w:style>
  <w:style w:type="character" w:customStyle="1" w:styleId="ac">
    <w:name w:val="批注主题 字符"/>
    <w:basedOn w:val="a4"/>
    <w:link w:val="ab"/>
    <w:semiHidden/>
    <w:rPr>
      <w:b/>
      <w:bCs/>
      <w:sz w:val="24"/>
      <w:szCs w:val="24"/>
      <w:lang w:eastAsia="en-US"/>
    </w:rPr>
  </w:style>
  <w:style w:type="paragraph" w:customStyle="1" w:styleId="1">
    <w:name w:val="修订1"/>
    <w:hidden/>
    <w:uiPriority w:val="99"/>
    <w:semiHidden/>
    <w:rPr>
      <w:rFonts w:eastAsiaTheme="minorEastAsia"/>
      <w:sz w:val="24"/>
      <w:szCs w:val="24"/>
      <w:lang w:eastAsia="en-US"/>
    </w:rPr>
  </w:style>
  <w:style w:type="character" w:styleId="af0">
    <w:name w:val="Hyperlink"/>
    <w:basedOn w:val="a0"/>
    <w:unhideWhenUsed/>
    <w:rsid w:val="00F742BD"/>
    <w:rPr>
      <w:color w:val="0000FF" w:themeColor="hyperlink"/>
      <w:u w:val="single"/>
    </w:rPr>
  </w:style>
  <w:style w:type="character" w:styleId="af1">
    <w:name w:val="Unresolved Mention"/>
    <w:basedOn w:val="a0"/>
    <w:uiPriority w:val="99"/>
    <w:semiHidden/>
    <w:unhideWhenUsed/>
    <w:rsid w:val="00F74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79837">
      <w:bodyDiv w:val="1"/>
      <w:marLeft w:val="0"/>
      <w:marRight w:val="0"/>
      <w:marTop w:val="0"/>
      <w:marBottom w:val="0"/>
      <w:divBdr>
        <w:top w:val="none" w:sz="0" w:space="0" w:color="auto"/>
        <w:left w:val="none" w:sz="0" w:space="0" w:color="auto"/>
        <w:bottom w:val="none" w:sz="0" w:space="0" w:color="auto"/>
        <w:right w:val="none" w:sz="0" w:space="0" w:color="auto"/>
      </w:divBdr>
    </w:div>
    <w:div w:id="1277523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2529</TotalTime>
  <Pages>40</Pages>
  <Words>7048</Words>
  <Characters>40178</Characters>
  <Application>Microsoft Office Word</Application>
  <DocSecurity>0</DocSecurity>
  <Lines>334</Lines>
  <Paragraphs>94</Paragraphs>
  <ScaleCrop>false</ScaleCrop>
  <Company>微软中国</Company>
  <LinksUpToDate>false</LinksUpToDate>
  <CharactersWithSpaces>47132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Wang, Linyutong</cp:lastModifiedBy>
  <cp:revision>35</cp:revision>
  <dcterms:created xsi:type="dcterms:W3CDTF">2021-07-02T08:10:00Z</dcterms:created>
  <dcterms:modified xsi:type="dcterms:W3CDTF">2021-08-06T03:09:00Z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68A0A7D17DCE4346A180920AA5D5D95C</vt:lpwstr>
  </property>
</Properties>
</file>