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7F861" w14:textId="77777777" w:rsidR="00A77B3E" w:rsidRDefault="003014F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B08484" w14:textId="77777777" w:rsidR="00A77B3E" w:rsidRDefault="003014F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61717</w:t>
      </w:r>
    </w:p>
    <w:p w14:paraId="35D8AFB8" w14:textId="77777777" w:rsidR="00A77B3E" w:rsidRDefault="003014F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D9F1AC" w14:textId="77777777" w:rsidR="00A77B3E" w:rsidRDefault="00A77B3E">
      <w:pPr>
        <w:spacing w:line="360" w:lineRule="auto"/>
        <w:jc w:val="both"/>
      </w:pPr>
    </w:p>
    <w:p w14:paraId="4819266E" w14:textId="77777777" w:rsidR="00A77B3E" w:rsidRDefault="003014F4">
      <w:pPr>
        <w:spacing w:line="360" w:lineRule="auto"/>
        <w:jc w:val="both"/>
      </w:pPr>
      <w:r>
        <w:rPr>
          <w:rFonts w:ascii="Book Antiqua" w:eastAsia="Book Antiqua" w:hAnsi="Book Antiqua" w:cs="Book Antiqua"/>
          <w:b/>
          <w:bCs/>
          <w:color w:val="000000"/>
        </w:rPr>
        <w:t>Is mannitol combined with furosemide a new treatment for refractory lymphedema? A case report</w:t>
      </w:r>
    </w:p>
    <w:p w14:paraId="07E426BA" w14:textId="77777777" w:rsidR="00A77B3E" w:rsidRDefault="00A77B3E">
      <w:pPr>
        <w:spacing w:line="360" w:lineRule="auto"/>
        <w:jc w:val="both"/>
      </w:pPr>
    </w:p>
    <w:p w14:paraId="56AE5C1A" w14:textId="77777777" w:rsidR="00A77B3E" w:rsidRDefault="00D035A0">
      <w:pPr>
        <w:spacing w:line="360" w:lineRule="auto"/>
        <w:jc w:val="both"/>
      </w:pPr>
      <w:r>
        <w:rPr>
          <w:rFonts w:ascii="Book Antiqua" w:eastAsia="Book Antiqua" w:hAnsi="Book Antiqua" w:cs="Book Antiqua"/>
          <w:color w:val="000000"/>
        </w:rPr>
        <w:t xml:space="preserve">Kim </w:t>
      </w:r>
      <w:r>
        <w:rPr>
          <w:rFonts w:ascii="Book Antiqua" w:hAnsi="Book Antiqua" w:cs="Book Antiqua" w:hint="eastAsia"/>
          <w:color w:val="000000"/>
          <w:lang w:eastAsia="zh-CN"/>
        </w:rPr>
        <w:t xml:space="preserve">HS </w:t>
      </w:r>
      <w:r w:rsidRPr="00D035A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014F4">
        <w:rPr>
          <w:rFonts w:ascii="Book Antiqua" w:eastAsia="Book Antiqua" w:hAnsi="Book Antiqua" w:cs="Book Antiqua"/>
          <w:color w:val="000000"/>
        </w:rPr>
        <w:t>Mannitol combined with furosemide for lymphedema</w:t>
      </w:r>
    </w:p>
    <w:p w14:paraId="7A102390" w14:textId="77777777" w:rsidR="00A77B3E" w:rsidRDefault="00A77B3E">
      <w:pPr>
        <w:spacing w:line="360" w:lineRule="auto"/>
        <w:jc w:val="both"/>
      </w:pPr>
    </w:p>
    <w:p w14:paraId="58314E83" w14:textId="77777777" w:rsidR="00A77B3E" w:rsidRDefault="003014F4">
      <w:pPr>
        <w:spacing w:line="360" w:lineRule="auto"/>
        <w:jc w:val="both"/>
      </w:pPr>
      <w:r>
        <w:rPr>
          <w:rFonts w:ascii="Book Antiqua" w:eastAsia="Book Antiqua" w:hAnsi="Book Antiqua" w:cs="Book Antiqua"/>
          <w:color w:val="000000"/>
        </w:rPr>
        <w:t xml:space="preserve">Hyeon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Kim, Jae Young Lee, Ji Won Jung, Kyu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Lee, Mi Jung Kim, Si-Bog Park</w:t>
      </w:r>
    </w:p>
    <w:p w14:paraId="769DD386" w14:textId="77777777" w:rsidR="00A77B3E" w:rsidRDefault="00A77B3E">
      <w:pPr>
        <w:spacing w:line="360" w:lineRule="auto"/>
        <w:jc w:val="both"/>
      </w:pPr>
    </w:p>
    <w:p w14:paraId="1FC8B704" w14:textId="77777777" w:rsidR="00A77B3E" w:rsidRDefault="003014F4">
      <w:pPr>
        <w:spacing w:line="360" w:lineRule="auto"/>
        <w:jc w:val="both"/>
      </w:pPr>
      <w:r>
        <w:rPr>
          <w:rFonts w:ascii="Book Antiqua" w:eastAsia="Book Antiqua" w:hAnsi="Book Antiqua" w:cs="Book Antiqua"/>
          <w:b/>
          <w:bCs/>
          <w:color w:val="000000"/>
        </w:rPr>
        <w:t xml:space="preserve">Hyeon </w:t>
      </w:r>
      <w:proofErr w:type="spellStart"/>
      <w:r>
        <w:rPr>
          <w:rFonts w:ascii="Book Antiqua" w:eastAsia="Book Antiqua" w:hAnsi="Book Antiqua" w:cs="Book Antiqua"/>
          <w:b/>
          <w:bCs/>
          <w:color w:val="000000"/>
        </w:rPr>
        <w:t>Seong</w:t>
      </w:r>
      <w:proofErr w:type="spellEnd"/>
      <w:r>
        <w:rPr>
          <w:rFonts w:ascii="Book Antiqua" w:eastAsia="Book Antiqua" w:hAnsi="Book Antiqua" w:cs="Book Antiqua"/>
          <w:b/>
          <w:bCs/>
          <w:color w:val="000000"/>
        </w:rPr>
        <w:t xml:space="preserve"> Kim, Jae Young Lee, Ji Won Jung, Kyu </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Lee, Mi Jung Kim, Si-Bog Park, </w:t>
      </w:r>
      <w:r>
        <w:rPr>
          <w:rFonts w:ascii="Book Antiqua" w:eastAsia="Book Antiqua" w:hAnsi="Book Antiqua" w:cs="Book Antiqua"/>
          <w:color w:val="000000"/>
        </w:rPr>
        <w:t xml:space="preserve">Department of Rehabilitation Medicine, </w:t>
      </w:r>
      <w:proofErr w:type="spellStart"/>
      <w:r>
        <w:rPr>
          <w:rFonts w:ascii="Book Antiqua" w:eastAsia="Book Antiqua" w:hAnsi="Book Antiqua" w:cs="Book Antiqua"/>
          <w:color w:val="000000"/>
        </w:rPr>
        <w:t>Hanyang</w:t>
      </w:r>
      <w:proofErr w:type="spellEnd"/>
      <w:r>
        <w:rPr>
          <w:rFonts w:ascii="Book Antiqua" w:eastAsia="Book Antiqua" w:hAnsi="Book Antiqua" w:cs="Book Antiqua"/>
          <w:color w:val="000000"/>
        </w:rPr>
        <w:t xml:space="preserve"> University Hospital, Seoul 04763, South Korea</w:t>
      </w:r>
    </w:p>
    <w:p w14:paraId="7221C754" w14:textId="77777777" w:rsidR="00D035A0" w:rsidRPr="00D035A0" w:rsidRDefault="00D035A0">
      <w:pPr>
        <w:spacing w:line="360" w:lineRule="auto"/>
        <w:jc w:val="both"/>
        <w:rPr>
          <w:lang w:eastAsia="zh-CN"/>
        </w:rPr>
      </w:pPr>
    </w:p>
    <w:p w14:paraId="14E8C82C" w14:textId="77777777" w:rsidR="00A77B3E" w:rsidRDefault="003014F4">
      <w:pPr>
        <w:spacing w:line="360" w:lineRule="auto"/>
        <w:jc w:val="both"/>
      </w:pPr>
      <w:r>
        <w:rPr>
          <w:rFonts w:ascii="Book Antiqua" w:eastAsia="Book Antiqua" w:hAnsi="Book Antiqua" w:cs="Book Antiqua"/>
          <w:b/>
          <w:bCs/>
          <w:color w:val="000000"/>
        </w:rPr>
        <w:t xml:space="preserve">Author contributions: </w:t>
      </w:r>
      <w:r w:rsidR="00D035A0">
        <w:rPr>
          <w:rFonts w:ascii="Book Antiqua" w:eastAsia="Book Antiqua" w:hAnsi="Book Antiqua" w:cs="Book Antiqua"/>
          <w:color w:val="000000"/>
        </w:rPr>
        <w:t>Kim HS</w:t>
      </w:r>
      <w:r>
        <w:rPr>
          <w:rFonts w:ascii="Book Antiqua" w:eastAsia="Book Antiqua" w:hAnsi="Book Antiqua" w:cs="Book Antiqua"/>
          <w:color w:val="000000"/>
        </w:rPr>
        <w:t xml:space="preserve"> was the patient’s physiatrist, reviewed the literature and contributed to manuscript drafting; </w:t>
      </w:r>
      <w:r w:rsidR="00D035A0">
        <w:rPr>
          <w:rFonts w:ascii="Book Antiqua" w:eastAsia="Book Antiqua" w:hAnsi="Book Antiqua" w:cs="Book Antiqua"/>
          <w:color w:val="000000"/>
        </w:rPr>
        <w:t>Lee JY</w:t>
      </w:r>
      <w:r>
        <w:rPr>
          <w:rFonts w:ascii="Book Antiqua" w:eastAsia="Book Antiqua" w:hAnsi="Book Antiqua" w:cs="Book Antiqua"/>
          <w:color w:val="000000"/>
        </w:rPr>
        <w:t xml:space="preserve">, </w:t>
      </w:r>
      <w:r w:rsidR="00D035A0">
        <w:rPr>
          <w:rFonts w:ascii="Book Antiqua" w:eastAsia="Book Antiqua" w:hAnsi="Book Antiqua" w:cs="Book Antiqua"/>
          <w:color w:val="000000"/>
        </w:rPr>
        <w:t>Jung JW</w:t>
      </w:r>
      <w:r>
        <w:rPr>
          <w:rFonts w:ascii="Book Antiqua" w:eastAsia="Book Antiqua" w:hAnsi="Book Antiqua" w:cs="Book Antiqua"/>
          <w:color w:val="000000"/>
        </w:rPr>
        <w:t xml:space="preserve"> and </w:t>
      </w:r>
      <w:r w:rsidR="00D035A0">
        <w:rPr>
          <w:rFonts w:ascii="Book Antiqua" w:eastAsia="Book Antiqua" w:hAnsi="Book Antiqua" w:cs="Book Antiqua"/>
          <w:color w:val="000000"/>
        </w:rPr>
        <w:t>Lee KH</w:t>
      </w:r>
      <w:r>
        <w:rPr>
          <w:rFonts w:ascii="Book Antiqua" w:eastAsia="Book Antiqua" w:hAnsi="Book Antiqua" w:cs="Book Antiqua"/>
          <w:color w:val="000000"/>
        </w:rPr>
        <w:t xml:space="preserve"> reviewed the literature and contributed to manuscript drafting; </w:t>
      </w:r>
      <w:r w:rsidR="00D035A0">
        <w:rPr>
          <w:rFonts w:ascii="Book Antiqua" w:eastAsia="Book Antiqua" w:hAnsi="Book Antiqua" w:cs="Book Antiqua"/>
          <w:color w:val="000000"/>
        </w:rPr>
        <w:t>Park SB</w:t>
      </w:r>
      <w:r>
        <w:rPr>
          <w:rFonts w:ascii="Book Antiqua" w:eastAsia="Book Antiqua" w:hAnsi="Book Antiqua" w:cs="Book Antiqua"/>
          <w:color w:val="000000"/>
        </w:rPr>
        <w:t xml:space="preserve"> was responsible for manuscript revision for important intellectual content; all authors issued final approval for the version to be submitted.</w:t>
      </w:r>
    </w:p>
    <w:p w14:paraId="4153EDC4" w14:textId="77777777" w:rsidR="00A77B3E" w:rsidRDefault="00A77B3E">
      <w:pPr>
        <w:spacing w:line="360" w:lineRule="auto"/>
        <w:jc w:val="both"/>
      </w:pPr>
    </w:p>
    <w:p w14:paraId="4BD5515E" w14:textId="77777777" w:rsidR="00A77B3E" w:rsidRDefault="003014F4">
      <w:pPr>
        <w:spacing w:line="360" w:lineRule="auto"/>
        <w:jc w:val="both"/>
      </w:pPr>
      <w:r>
        <w:rPr>
          <w:rFonts w:ascii="Book Antiqua" w:eastAsia="Book Antiqua" w:hAnsi="Book Antiqua" w:cs="Book Antiqua"/>
          <w:b/>
          <w:bCs/>
          <w:color w:val="000000"/>
        </w:rPr>
        <w:t xml:space="preserve">Corresponding author: Si-Bog Park, MD, PhD, Professor, </w:t>
      </w:r>
      <w:r>
        <w:rPr>
          <w:rFonts w:ascii="Book Antiqua" w:eastAsia="Book Antiqua" w:hAnsi="Book Antiqua" w:cs="Book Antiqua"/>
          <w:color w:val="000000"/>
        </w:rPr>
        <w:t xml:space="preserve">Department of Rehabilitation Medicine, </w:t>
      </w:r>
      <w:proofErr w:type="spellStart"/>
      <w:r>
        <w:rPr>
          <w:rFonts w:ascii="Book Antiqua" w:eastAsia="Book Antiqua" w:hAnsi="Book Antiqua" w:cs="Book Antiqua"/>
          <w:color w:val="000000"/>
        </w:rPr>
        <w:t>Hanyang</w:t>
      </w:r>
      <w:proofErr w:type="spellEnd"/>
      <w:r>
        <w:rPr>
          <w:rFonts w:ascii="Book Antiqua" w:eastAsia="Book Antiqua" w:hAnsi="Book Antiqua" w:cs="Book Antiqua"/>
          <w:color w:val="000000"/>
        </w:rPr>
        <w:t xml:space="preserve"> University Hospital, 222-1, </w:t>
      </w:r>
      <w:proofErr w:type="spellStart"/>
      <w:r>
        <w:rPr>
          <w:rFonts w:ascii="Book Antiqua" w:eastAsia="Book Antiqua" w:hAnsi="Book Antiqua" w:cs="Book Antiqua"/>
          <w:color w:val="000000"/>
        </w:rPr>
        <w:t>Wangsimni-ro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Seongdong-gu</w:t>
      </w:r>
      <w:proofErr w:type="spellEnd"/>
      <w:r>
        <w:rPr>
          <w:rFonts w:ascii="Book Antiqua" w:eastAsia="Book Antiqua" w:hAnsi="Book Antiqua" w:cs="Book Antiqua"/>
          <w:color w:val="000000"/>
        </w:rPr>
        <w:t>, Seoul 04763, South Korea. sibopark@hanyang.ac.kr</w:t>
      </w:r>
    </w:p>
    <w:p w14:paraId="519F62D5" w14:textId="77777777" w:rsidR="00A77B3E" w:rsidRDefault="00A77B3E">
      <w:pPr>
        <w:spacing w:line="360" w:lineRule="auto"/>
        <w:jc w:val="both"/>
      </w:pPr>
    </w:p>
    <w:p w14:paraId="6A9F5D7E" w14:textId="77777777" w:rsidR="00A77B3E" w:rsidRDefault="003014F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19, 2020</w:t>
      </w:r>
    </w:p>
    <w:p w14:paraId="7ED29BFD" w14:textId="77777777" w:rsidR="00A77B3E" w:rsidRDefault="003014F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30, 2021</w:t>
      </w:r>
    </w:p>
    <w:p w14:paraId="70B7245B" w14:textId="69291FB1" w:rsidR="00A77B3E" w:rsidRDefault="003014F4">
      <w:pPr>
        <w:spacing w:line="360" w:lineRule="auto"/>
        <w:jc w:val="both"/>
      </w:pPr>
      <w:r>
        <w:rPr>
          <w:rFonts w:ascii="Book Antiqua" w:eastAsia="Book Antiqua" w:hAnsi="Book Antiqua" w:cs="Book Antiqua"/>
          <w:b/>
          <w:bCs/>
          <w:color w:val="000000"/>
        </w:rPr>
        <w:t xml:space="preserve">Accepted: </w:t>
      </w:r>
      <w:r w:rsidR="005050D4" w:rsidRPr="005050D4">
        <w:rPr>
          <w:rFonts w:ascii="Book Antiqua" w:eastAsia="Book Antiqua" w:hAnsi="Book Antiqua" w:cs="Book Antiqua"/>
          <w:color w:val="000000"/>
        </w:rPr>
        <w:t>September 8, 2021</w:t>
      </w:r>
    </w:p>
    <w:p w14:paraId="3CFAA32E" w14:textId="77777777" w:rsidR="00A77B3E" w:rsidRDefault="003014F4">
      <w:pPr>
        <w:spacing w:line="360" w:lineRule="auto"/>
        <w:jc w:val="both"/>
      </w:pPr>
      <w:r>
        <w:rPr>
          <w:rFonts w:ascii="Book Antiqua" w:eastAsia="Book Antiqua" w:hAnsi="Book Antiqua" w:cs="Book Antiqua"/>
          <w:b/>
          <w:bCs/>
          <w:color w:val="000000"/>
        </w:rPr>
        <w:lastRenderedPageBreak/>
        <w:t xml:space="preserve">Published online: </w:t>
      </w:r>
    </w:p>
    <w:p w14:paraId="7652F9BE" w14:textId="77777777" w:rsidR="00D035A0" w:rsidRDefault="00D035A0">
      <w:pPr>
        <w:spacing w:line="360" w:lineRule="auto"/>
        <w:jc w:val="both"/>
        <w:rPr>
          <w:rFonts w:ascii="Book Antiqua" w:hAnsi="Book Antiqua" w:cs="Book Antiqua"/>
          <w:b/>
          <w:color w:val="000000"/>
          <w:lang w:eastAsia="zh-CN"/>
        </w:rPr>
      </w:pPr>
    </w:p>
    <w:p w14:paraId="6843ECA6" w14:textId="77777777" w:rsidR="00D035A0" w:rsidRDefault="00D035A0">
      <w:pPr>
        <w:spacing w:line="360" w:lineRule="auto"/>
        <w:jc w:val="both"/>
        <w:rPr>
          <w:rFonts w:ascii="Book Antiqua" w:hAnsi="Book Antiqua" w:cs="Book Antiqua"/>
          <w:b/>
          <w:color w:val="000000"/>
          <w:lang w:eastAsia="zh-CN"/>
        </w:rPr>
      </w:pPr>
    </w:p>
    <w:p w14:paraId="10DA9B9C" w14:textId="77777777" w:rsidR="00A77B3E" w:rsidRDefault="003014F4">
      <w:pPr>
        <w:spacing w:line="360" w:lineRule="auto"/>
        <w:jc w:val="both"/>
      </w:pPr>
      <w:r>
        <w:rPr>
          <w:rFonts w:ascii="Book Antiqua" w:eastAsia="Book Antiqua" w:hAnsi="Book Antiqua" w:cs="Book Antiqua"/>
          <w:b/>
          <w:color w:val="000000"/>
        </w:rPr>
        <w:t>Abstract</w:t>
      </w:r>
    </w:p>
    <w:p w14:paraId="2D907A74" w14:textId="77777777" w:rsidR="00A77B3E" w:rsidRDefault="003014F4">
      <w:pPr>
        <w:spacing w:line="360" w:lineRule="auto"/>
        <w:jc w:val="both"/>
      </w:pPr>
      <w:r>
        <w:rPr>
          <w:rFonts w:ascii="Book Antiqua" w:eastAsia="Book Antiqua" w:hAnsi="Book Antiqua" w:cs="Book Antiqua"/>
          <w:color w:val="000000"/>
        </w:rPr>
        <w:t>BACKGROUND</w:t>
      </w:r>
    </w:p>
    <w:p w14:paraId="1AB67242" w14:textId="77777777" w:rsidR="00A77B3E" w:rsidRDefault="003014F4">
      <w:pPr>
        <w:spacing w:line="360" w:lineRule="auto"/>
        <w:jc w:val="both"/>
      </w:pPr>
      <w:r>
        <w:rPr>
          <w:rFonts w:ascii="Book Antiqua" w:eastAsia="Book Antiqua" w:hAnsi="Book Antiqua" w:cs="Book Antiqua"/>
          <w:color w:val="000000"/>
        </w:rPr>
        <w:t>Mannitol is a hyperosmolar agent and the combination of mannitol and furosemide is a widely used treatment for intracranial pressure control. Considering the hypertonic properties of mannitol to move water out of intracellular spaces, we hypothesized that mannitol combined with furosemide could relieve focal tissue swelling in refractory lymphedema.</w:t>
      </w:r>
    </w:p>
    <w:p w14:paraId="644A17B4" w14:textId="77777777" w:rsidR="00A77B3E" w:rsidRDefault="00A77B3E">
      <w:pPr>
        <w:spacing w:line="360" w:lineRule="auto"/>
        <w:jc w:val="both"/>
      </w:pPr>
    </w:p>
    <w:p w14:paraId="097C4A68" w14:textId="77777777" w:rsidR="00A77B3E" w:rsidRDefault="003014F4">
      <w:pPr>
        <w:spacing w:line="360" w:lineRule="auto"/>
        <w:jc w:val="both"/>
      </w:pPr>
      <w:r>
        <w:rPr>
          <w:rFonts w:ascii="Book Antiqua" w:eastAsia="Book Antiqua" w:hAnsi="Book Antiqua" w:cs="Book Antiqua"/>
          <w:color w:val="000000"/>
        </w:rPr>
        <w:t>CASE SUMMARY</w:t>
      </w:r>
    </w:p>
    <w:p w14:paraId="003F2E7C" w14:textId="77777777" w:rsidR="00A77B3E" w:rsidRDefault="003014F4">
      <w:pPr>
        <w:spacing w:line="360" w:lineRule="auto"/>
        <w:jc w:val="both"/>
      </w:pPr>
      <w:r>
        <w:rPr>
          <w:rFonts w:ascii="Book Antiqua" w:eastAsia="Book Antiqua" w:hAnsi="Book Antiqua" w:cs="Book Antiqua"/>
          <w:color w:val="000000"/>
        </w:rPr>
        <w:t>A 90-year-old female had been diagnosed with intracranial hemorrhage and received a combination of mannitol and furosemide for intracranial pressure control. Independent of the intracranial hemorrhage, she had refractory lymphedema of the left lower extremity since 1998. Remarkably, after receiving the mannitol and furosemide, the patient’s lower extremity lymphedema improved dramatically. After the mannitol and furosemide were discontinued, the lymphedema worsened in spite of complete decongestive therapy (CDT) and intermittent pneumatic compression treatment (IPC). To identify the presumed effect of mannitol and furosemide on the lymphedema, these agents were resumed, and the lymphedema improved again.</w:t>
      </w:r>
    </w:p>
    <w:p w14:paraId="12E6EF17" w14:textId="77777777" w:rsidR="00A77B3E" w:rsidRDefault="00A77B3E">
      <w:pPr>
        <w:spacing w:line="360" w:lineRule="auto"/>
        <w:jc w:val="both"/>
      </w:pPr>
    </w:p>
    <w:p w14:paraId="406F06FF" w14:textId="77777777" w:rsidR="00A77B3E" w:rsidRDefault="003014F4">
      <w:pPr>
        <w:spacing w:line="360" w:lineRule="auto"/>
        <w:jc w:val="both"/>
      </w:pPr>
      <w:r>
        <w:rPr>
          <w:rFonts w:ascii="Book Antiqua" w:eastAsia="Book Antiqua" w:hAnsi="Book Antiqua" w:cs="Book Antiqua"/>
          <w:color w:val="000000"/>
        </w:rPr>
        <w:t>CONCLUSION</w:t>
      </w:r>
    </w:p>
    <w:p w14:paraId="7E6C2AF9" w14:textId="77777777" w:rsidR="00A77B3E" w:rsidRDefault="003014F4">
      <w:pPr>
        <w:spacing w:line="360" w:lineRule="auto"/>
        <w:jc w:val="both"/>
      </w:pPr>
      <w:r>
        <w:rPr>
          <w:rFonts w:ascii="Book Antiqua" w:eastAsia="Book Antiqua" w:hAnsi="Book Antiqua" w:cs="Book Antiqua"/>
          <w:color w:val="000000"/>
        </w:rPr>
        <w:t>The present case raises the possibility that a combination of mannitol and furosemide might be considered another effective therapeutic option for refractory lymphedema when CDT and IPC are ineffective.</w:t>
      </w:r>
    </w:p>
    <w:p w14:paraId="16B989AC" w14:textId="77777777" w:rsidR="00A77B3E" w:rsidRDefault="00A77B3E">
      <w:pPr>
        <w:spacing w:line="360" w:lineRule="auto"/>
        <w:jc w:val="both"/>
      </w:pPr>
    </w:p>
    <w:p w14:paraId="66E33EA9" w14:textId="77777777" w:rsidR="00A77B3E" w:rsidRPr="00D035A0" w:rsidRDefault="003014F4">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Lymphedema; Mannitol; Furosemide; Rehabilitation; Intermittent pneumatic compression</w:t>
      </w:r>
      <w:r w:rsidR="00D035A0">
        <w:rPr>
          <w:rFonts w:ascii="Book Antiqua" w:hAnsi="Book Antiqua" w:cs="Book Antiqua" w:hint="eastAsia"/>
          <w:color w:val="000000"/>
          <w:lang w:eastAsia="zh-CN"/>
        </w:rPr>
        <w:t>;</w:t>
      </w:r>
      <w:r w:rsidR="00D035A0" w:rsidRPr="00D035A0">
        <w:rPr>
          <w:rFonts w:ascii="Book Antiqua" w:eastAsia="Book Antiqua" w:hAnsi="Book Antiqua" w:cs="Book Antiqua"/>
          <w:color w:val="000000"/>
        </w:rPr>
        <w:t xml:space="preserve"> </w:t>
      </w:r>
      <w:r w:rsidR="00D035A0">
        <w:rPr>
          <w:rFonts w:ascii="Book Antiqua" w:eastAsia="Book Antiqua" w:hAnsi="Book Antiqua" w:cs="Book Antiqua"/>
          <w:color w:val="000000"/>
        </w:rPr>
        <w:t>Case report</w:t>
      </w:r>
    </w:p>
    <w:p w14:paraId="36E7B58F" w14:textId="77777777" w:rsidR="00A77B3E" w:rsidRDefault="00A77B3E">
      <w:pPr>
        <w:spacing w:line="360" w:lineRule="auto"/>
        <w:jc w:val="both"/>
      </w:pPr>
    </w:p>
    <w:p w14:paraId="722CF275" w14:textId="77777777" w:rsidR="00A77B3E" w:rsidRDefault="003014F4">
      <w:pPr>
        <w:spacing w:line="360" w:lineRule="auto"/>
        <w:jc w:val="both"/>
      </w:pPr>
      <w:r>
        <w:rPr>
          <w:rFonts w:ascii="Book Antiqua" w:eastAsia="Book Antiqua" w:hAnsi="Book Antiqua" w:cs="Book Antiqua"/>
          <w:color w:val="000000"/>
        </w:rPr>
        <w:t xml:space="preserve">Kim HS, Lee JY, Jung JW, Lee KH, Kim MJ, Park SB. Is mannitol combined with furosemide a new treatment for refractory lymphedema?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15E6598" w14:textId="77777777" w:rsidR="00A77B3E" w:rsidRDefault="00A77B3E">
      <w:pPr>
        <w:spacing w:line="360" w:lineRule="auto"/>
        <w:jc w:val="both"/>
      </w:pPr>
    </w:p>
    <w:p w14:paraId="5D6C520E" w14:textId="77777777" w:rsidR="00A77B3E" w:rsidRDefault="003014F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Mannitol is a hyperosmolar agent and the combination of mannitol and furosemide is a widely used treatment for intracranial pressure control. We found dramatic improvement of refractory lymphedema after administration of mannitol and furosemide. After the mannitol and furosemide were discontinued, the lymphedema worsened in spite of complete decongestive therapy </w:t>
      </w:r>
      <w:r w:rsidR="00D035A0">
        <w:rPr>
          <w:rFonts w:ascii="Book Antiqua" w:hAnsi="Book Antiqua" w:cs="Book Antiqua" w:hint="eastAsia"/>
          <w:color w:val="000000"/>
          <w:lang w:eastAsia="zh-CN"/>
        </w:rPr>
        <w:t>(</w:t>
      </w:r>
      <w:r w:rsidR="00D035A0">
        <w:rPr>
          <w:rFonts w:ascii="Book Antiqua" w:eastAsia="Book Antiqua" w:hAnsi="Book Antiqua" w:cs="Book Antiqua"/>
          <w:color w:val="000000"/>
        </w:rPr>
        <w:t>CDT</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and intermittent pneumatic compression</w:t>
      </w:r>
      <w:r w:rsidR="00D035A0">
        <w:rPr>
          <w:rFonts w:ascii="Book Antiqua" w:hAnsi="Book Antiqua" w:cs="Book Antiqua" w:hint="eastAsia"/>
          <w:color w:val="000000"/>
          <w:lang w:eastAsia="zh-CN"/>
        </w:rPr>
        <w:t xml:space="preserve"> (</w:t>
      </w:r>
      <w:r w:rsidR="00D035A0">
        <w:rPr>
          <w:rFonts w:ascii="Book Antiqua" w:eastAsia="Book Antiqua" w:hAnsi="Book Antiqua" w:cs="Book Antiqua"/>
          <w:color w:val="000000"/>
        </w:rPr>
        <w:t>IPC</w:t>
      </w:r>
      <w:r w:rsidR="00D035A0">
        <w:rPr>
          <w:rFonts w:ascii="Book Antiqua" w:hAnsi="Book Antiqua" w:cs="Book Antiqua" w:hint="eastAsia"/>
          <w:color w:val="000000"/>
          <w:lang w:eastAsia="zh-CN"/>
        </w:rPr>
        <w:t>)</w:t>
      </w:r>
      <w:r>
        <w:rPr>
          <w:rFonts w:ascii="Book Antiqua" w:eastAsia="Book Antiqua" w:hAnsi="Book Antiqua" w:cs="Book Antiqua"/>
          <w:color w:val="000000"/>
        </w:rPr>
        <w:t>. To identify the presumed effect of mannitol and furosemide on lymphedema, these agents were resumed, and the lymphedema improved again. The present case suggests that the combination of mannitol and furosemide could be considered as another effective therapeutic option for refractory lymphedema when CDT and IPC are ineffective.</w:t>
      </w:r>
    </w:p>
    <w:p w14:paraId="1F94DB20" w14:textId="77777777" w:rsidR="00A77B3E" w:rsidRDefault="00D035A0">
      <w:pPr>
        <w:spacing w:line="360" w:lineRule="auto"/>
        <w:jc w:val="both"/>
      </w:pPr>
      <w:r>
        <w:br w:type="page"/>
      </w:r>
      <w:r w:rsidR="003014F4">
        <w:rPr>
          <w:rFonts w:ascii="Book Antiqua" w:eastAsia="Book Antiqua" w:hAnsi="Book Antiqua" w:cs="Book Antiqua"/>
          <w:b/>
          <w:caps/>
          <w:color w:val="000000"/>
          <w:u w:val="single"/>
        </w:rPr>
        <w:lastRenderedPageBreak/>
        <w:t>INTRODUCTION</w:t>
      </w:r>
    </w:p>
    <w:p w14:paraId="2CA70DA7" w14:textId="77777777" w:rsidR="00A77B3E" w:rsidRDefault="003014F4" w:rsidP="00D035A0">
      <w:pPr>
        <w:spacing w:line="360" w:lineRule="auto"/>
        <w:jc w:val="both"/>
      </w:pPr>
      <w:r>
        <w:rPr>
          <w:rFonts w:ascii="Book Antiqua" w:eastAsia="Book Antiqua" w:hAnsi="Book Antiqua" w:cs="Book Antiqua"/>
          <w:color w:val="000000"/>
        </w:rPr>
        <w:t>Lymphedema is a collection of fluid that is localized to a part of the body. Secondary lymphedema, which is much more prevalent than primary lymphedema, can be caused by obstruction of the lymphatic system, such as in recurrent infection, trauma, surgery and malignancy</w:t>
      </w:r>
      <w:r>
        <w:rPr>
          <w:rFonts w:ascii="Book Antiqua" w:eastAsia="Book Antiqua" w:hAnsi="Book Antiqua" w:cs="Book Antiqua"/>
          <w:color w:val="000000"/>
          <w:vertAlign w:val="superscript"/>
        </w:rPr>
        <w:t>[1]</w:t>
      </w:r>
      <w:r>
        <w:rPr>
          <w:rFonts w:ascii="Book Antiqua" w:eastAsia="Book Antiqua" w:hAnsi="Book Antiqua" w:cs="Book Antiqua"/>
          <w:color w:val="000000"/>
        </w:rPr>
        <w:t>. Treatment varies from manual manipulation to surgical treatment and is prescribed according to the cause. Despite various treatments, lymphedema tends to progress slowly and is refractory. Herein, we report a case of improved refractory lymphedema that was incidentally observed in a patient who was treated with a combination of mannitol and furosemide for the purpose of intracranial pressure control.</w:t>
      </w:r>
    </w:p>
    <w:p w14:paraId="1FC38DE5" w14:textId="77777777" w:rsidR="00A77B3E" w:rsidRDefault="00A77B3E" w:rsidP="00D035A0">
      <w:pPr>
        <w:spacing w:line="360" w:lineRule="auto"/>
        <w:jc w:val="both"/>
        <w:rPr>
          <w:lang w:eastAsia="zh-CN"/>
        </w:rPr>
      </w:pPr>
    </w:p>
    <w:p w14:paraId="2C2755F2" w14:textId="77777777" w:rsidR="00A77B3E" w:rsidRDefault="003014F4">
      <w:pPr>
        <w:spacing w:line="360" w:lineRule="auto"/>
        <w:jc w:val="both"/>
      </w:pPr>
      <w:r>
        <w:rPr>
          <w:rFonts w:ascii="Book Antiqua" w:eastAsia="Book Antiqua" w:hAnsi="Book Antiqua" w:cs="Book Antiqua"/>
          <w:b/>
          <w:caps/>
          <w:color w:val="000000"/>
          <w:u w:val="single"/>
        </w:rPr>
        <w:t>CASE PRESENTATION</w:t>
      </w:r>
    </w:p>
    <w:p w14:paraId="7C18F0E3" w14:textId="77777777" w:rsidR="00A77B3E" w:rsidRDefault="003014F4">
      <w:pPr>
        <w:spacing w:line="360" w:lineRule="auto"/>
        <w:jc w:val="both"/>
      </w:pPr>
      <w:r>
        <w:rPr>
          <w:rFonts w:ascii="Book Antiqua" w:eastAsia="Book Antiqua" w:hAnsi="Book Antiqua" w:cs="Book Antiqua"/>
          <w:b/>
          <w:i/>
          <w:color w:val="000000"/>
        </w:rPr>
        <w:t>Chief complaints</w:t>
      </w:r>
    </w:p>
    <w:p w14:paraId="63DE3BB5" w14:textId="77777777" w:rsidR="00A77B3E" w:rsidRDefault="003014F4" w:rsidP="00D035A0">
      <w:pPr>
        <w:spacing w:line="360" w:lineRule="auto"/>
        <w:jc w:val="both"/>
      </w:pPr>
      <w:r>
        <w:rPr>
          <w:rFonts w:ascii="Book Antiqua" w:eastAsia="Book Antiqua" w:hAnsi="Book Antiqua" w:cs="Book Antiqua"/>
          <w:color w:val="000000"/>
        </w:rPr>
        <w:t>A 90-year-old female presented to the emergency department with acute mental changes. She also had swelling and reddish skin color change on the left lower extremity.</w:t>
      </w:r>
    </w:p>
    <w:p w14:paraId="5FA589B6" w14:textId="77777777" w:rsidR="00A77B3E" w:rsidRDefault="00A77B3E" w:rsidP="00D035A0">
      <w:pPr>
        <w:spacing w:line="360" w:lineRule="auto"/>
        <w:jc w:val="both"/>
        <w:rPr>
          <w:lang w:eastAsia="zh-CN"/>
        </w:rPr>
      </w:pPr>
    </w:p>
    <w:p w14:paraId="6CA0E7BA" w14:textId="77777777" w:rsidR="00A77B3E" w:rsidRDefault="003014F4">
      <w:pPr>
        <w:spacing w:line="360" w:lineRule="auto"/>
        <w:jc w:val="both"/>
      </w:pPr>
      <w:r>
        <w:rPr>
          <w:rFonts w:ascii="Book Antiqua" w:eastAsia="Book Antiqua" w:hAnsi="Book Antiqua" w:cs="Book Antiqua"/>
          <w:b/>
          <w:i/>
          <w:color w:val="000000"/>
        </w:rPr>
        <w:t>History of present illness</w:t>
      </w:r>
    </w:p>
    <w:p w14:paraId="73E6B7E3" w14:textId="77777777" w:rsidR="00A77B3E" w:rsidRPr="00D035A0" w:rsidRDefault="003014F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Three hours prior to acute mental change, the patient reported a severe headache and right hemiplegia. Her mental state was stupor when she arrived at the hospital. </w:t>
      </w:r>
      <w:r w:rsidRPr="00D035A0">
        <w:rPr>
          <w:rFonts w:ascii="Book Antiqua" w:eastAsia="Book Antiqua" w:hAnsi="Book Antiqua" w:cs="Book Antiqua"/>
          <w:color w:val="000000"/>
        </w:rPr>
        <w:t>Tracheal intubation was perfor</w:t>
      </w:r>
      <w:r w:rsidR="00D035A0">
        <w:rPr>
          <w:rFonts w:ascii="Book Antiqua" w:eastAsia="Book Antiqua" w:hAnsi="Book Antiqua" w:cs="Book Antiqua"/>
          <w:color w:val="000000"/>
        </w:rPr>
        <w:t>med due to stuporous mentality.</w:t>
      </w:r>
    </w:p>
    <w:p w14:paraId="75298043" w14:textId="77777777" w:rsidR="00A77B3E" w:rsidRDefault="00A77B3E">
      <w:pPr>
        <w:spacing w:line="360" w:lineRule="auto"/>
        <w:jc w:val="both"/>
      </w:pPr>
    </w:p>
    <w:p w14:paraId="542A93D5" w14:textId="77777777" w:rsidR="00A77B3E" w:rsidRDefault="003014F4">
      <w:pPr>
        <w:spacing w:line="360" w:lineRule="auto"/>
        <w:jc w:val="both"/>
      </w:pPr>
      <w:r>
        <w:rPr>
          <w:rFonts w:ascii="Book Antiqua" w:eastAsia="Book Antiqua" w:hAnsi="Book Antiqua" w:cs="Book Antiqua"/>
          <w:b/>
          <w:i/>
          <w:color w:val="000000"/>
        </w:rPr>
        <w:t>History of past illness</w:t>
      </w:r>
    </w:p>
    <w:p w14:paraId="00763836" w14:textId="77777777" w:rsidR="00A77B3E" w:rsidRPr="00D035A0" w:rsidRDefault="003014F4" w:rsidP="00D035A0">
      <w:pPr>
        <w:spacing w:line="360" w:lineRule="auto"/>
        <w:jc w:val="both"/>
        <w:rPr>
          <w:lang w:eastAsia="zh-CN"/>
        </w:rPr>
      </w:pPr>
      <w:r>
        <w:rPr>
          <w:rFonts w:ascii="Book Antiqua" w:eastAsia="Book Antiqua" w:hAnsi="Book Antiqua" w:cs="Book Antiqua"/>
          <w:color w:val="000000"/>
        </w:rPr>
        <w:t xml:space="preserve">The patient had a history of refractory lymphedema of the left lower extremity since 1998 after total abdominal hysterectomy for cervical cancer in 1987, and she had been treated with a pneumatic compression device and short-stretch bandaging at home. She was repeatedly admitted into the rehabilitation department to receive complete decongestive therapy (CDT) with intermittent pneumatic compression treatment (IPC), </w:t>
      </w:r>
      <w:r>
        <w:rPr>
          <w:rFonts w:ascii="Book Antiqua" w:eastAsia="Book Antiqua" w:hAnsi="Book Antiqua" w:cs="Book Antiqua"/>
          <w:color w:val="000000"/>
        </w:rPr>
        <w:lastRenderedPageBreak/>
        <w:t>and her family stated that the lymphedema had become aggravated while she was living at home.</w:t>
      </w:r>
    </w:p>
    <w:p w14:paraId="52571D53" w14:textId="77777777" w:rsidR="00A77B3E" w:rsidRPr="00D035A0" w:rsidRDefault="003014F4" w:rsidP="00D035A0">
      <w:pPr>
        <w:spacing w:line="360" w:lineRule="auto"/>
        <w:ind w:firstLineChars="100" w:firstLine="240"/>
        <w:jc w:val="both"/>
        <w:rPr>
          <w:rFonts w:ascii="Book Antiqua" w:eastAsia="Book Antiqua" w:hAnsi="Book Antiqua" w:cs="Book Antiqua"/>
          <w:color w:val="000000"/>
        </w:rPr>
      </w:pPr>
      <w:r w:rsidRPr="00D035A0">
        <w:rPr>
          <w:rFonts w:ascii="Book Antiqua" w:eastAsia="Book Antiqua" w:hAnsi="Book Antiqua" w:cs="Book Antiqua"/>
          <w:color w:val="000000"/>
        </w:rPr>
        <w:t>She also had a history of hospitalization for chronic kidney disease in 2017, and was managed with candesartan 4 mg/day through the outpatient department. Baseline estimated glomerular filtration rate (eGFR) before admission was 77</w:t>
      </w:r>
      <w:r w:rsidR="00D035A0">
        <w:rPr>
          <w:rFonts w:ascii="Book Antiqua" w:hAnsi="Book Antiqua" w:cs="Book Antiqua" w:hint="eastAsia"/>
          <w:color w:val="000000"/>
          <w:lang w:eastAsia="zh-CN"/>
        </w:rPr>
        <w:t xml:space="preserve"> </w:t>
      </w:r>
      <w:r w:rsidRPr="00D035A0">
        <w:rPr>
          <w:rFonts w:ascii="Book Antiqua" w:eastAsia="Book Antiqua" w:hAnsi="Book Antiqua" w:cs="Book Antiqua"/>
          <w:color w:val="000000"/>
        </w:rPr>
        <w:t>mL/min</w:t>
      </w:r>
      <w:r w:rsidR="00D035A0">
        <w:rPr>
          <w:rFonts w:ascii="Book Antiqua" w:hAnsi="Book Antiqua" w:cs="Book Antiqua" w:hint="eastAsia"/>
          <w:color w:val="000000"/>
          <w:lang w:eastAsia="zh-CN"/>
        </w:rPr>
        <w:t xml:space="preserve"> per </w:t>
      </w:r>
      <w:r w:rsidRPr="00D035A0">
        <w:rPr>
          <w:rFonts w:ascii="Book Antiqua" w:eastAsia="Book Antiqua" w:hAnsi="Book Antiqua" w:cs="Book Antiqua"/>
          <w:color w:val="000000"/>
        </w:rPr>
        <w:t>1.73</w:t>
      </w:r>
      <w:r w:rsidR="00D035A0">
        <w:rPr>
          <w:rFonts w:ascii="Book Antiqua" w:hAnsi="Book Antiqua" w:cs="Book Antiqua" w:hint="eastAsia"/>
          <w:color w:val="000000"/>
          <w:lang w:eastAsia="zh-CN"/>
        </w:rPr>
        <w:t xml:space="preserve"> </w:t>
      </w:r>
      <w:r w:rsidRPr="00D035A0">
        <w:rPr>
          <w:rFonts w:ascii="Book Antiqua" w:eastAsia="Book Antiqua" w:hAnsi="Book Antiqua" w:cs="Book Antiqua"/>
          <w:color w:val="000000"/>
        </w:rPr>
        <w:t>m</w:t>
      </w:r>
      <w:r w:rsidRPr="00D035A0">
        <w:rPr>
          <w:rFonts w:ascii="Book Antiqua" w:eastAsia="Book Antiqua" w:hAnsi="Book Antiqua" w:cs="Book Antiqua"/>
          <w:color w:val="000000"/>
          <w:vertAlign w:val="superscript"/>
        </w:rPr>
        <w:t>2</w:t>
      </w:r>
      <w:r w:rsidRPr="00D035A0">
        <w:rPr>
          <w:rFonts w:ascii="Book Antiqua" w:eastAsia="Book Antiqua" w:hAnsi="Book Antiqua" w:cs="Book Antiqua"/>
          <w:color w:val="000000"/>
        </w:rPr>
        <w:t xml:space="preserve"> and serum creatinine level was 0.7 mg/dL.</w:t>
      </w:r>
    </w:p>
    <w:p w14:paraId="730CCB59" w14:textId="77777777" w:rsidR="00A77B3E" w:rsidRDefault="00A77B3E" w:rsidP="00D035A0">
      <w:pPr>
        <w:spacing w:line="360" w:lineRule="auto"/>
        <w:jc w:val="both"/>
        <w:rPr>
          <w:lang w:eastAsia="zh-CN"/>
        </w:rPr>
      </w:pPr>
    </w:p>
    <w:p w14:paraId="4CE2049A" w14:textId="77777777" w:rsidR="00A77B3E" w:rsidRDefault="003014F4">
      <w:pPr>
        <w:spacing w:line="360" w:lineRule="auto"/>
        <w:jc w:val="both"/>
      </w:pPr>
      <w:r>
        <w:rPr>
          <w:rFonts w:ascii="Book Antiqua" w:eastAsia="Book Antiqua" w:hAnsi="Book Antiqua" w:cs="Book Antiqua"/>
          <w:b/>
          <w:i/>
          <w:color w:val="000000"/>
        </w:rPr>
        <w:t>Physical examination</w:t>
      </w:r>
    </w:p>
    <w:p w14:paraId="15D757BF" w14:textId="77777777" w:rsidR="00A77B3E" w:rsidRPr="00D035A0" w:rsidRDefault="003014F4" w:rsidP="00D035A0">
      <w:pPr>
        <w:spacing w:line="360" w:lineRule="auto"/>
        <w:jc w:val="both"/>
        <w:rPr>
          <w:lang w:eastAsia="zh-CN"/>
        </w:rPr>
      </w:pPr>
      <w:r>
        <w:rPr>
          <w:rFonts w:ascii="Book Antiqua" w:eastAsia="Book Antiqua" w:hAnsi="Book Antiqua" w:cs="Book Antiqua"/>
          <w:color w:val="000000"/>
        </w:rPr>
        <w:t>On physical examination, she was in a stuporous state, and her motor strength was grossly 2/5 grade on the right extremities. Swelling and reddish skin color change were noted in the left lower extremity.</w:t>
      </w:r>
    </w:p>
    <w:p w14:paraId="014DFF06" w14:textId="77777777" w:rsidR="00A77B3E" w:rsidRDefault="00A77B3E" w:rsidP="00D035A0">
      <w:pPr>
        <w:spacing w:line="360" w:lineRule="auto"/>
        <w:jc w:val="both"/>
        <w:rPr>
          <w:lang w:eastAsia="zh-CN"/>
        </w:rPr>
      </w:pPr>
    </w:p>
    <w:p w14:paraId="283D4B58" w14:textId="77777777" w:rsidR="00A77B3E" w:rsidRDefault="003014F4">
      <w:pPr>
        <w:spacing w:line="360" w:lineRule="auto"/>
        <w:jc w:val="both"/>
      </w:pPr>
      <w:r>
        <w:rPr>
          <w:rFonts w:ascii="Book Antiqua" w:eastAsia="Book Antiqua" w:hAnsi="Book Antiqua" w:cs="Book Antiqua"/>
          <w:b/>
          <w:i/>
          <w:color w:val="000000"/>
        </w:rPr>
        <w:t>Laboratory examinations</w:t>
      </w:r>
    </w:p>
    <w:p w14:paraId="5280315B" w14:textId="77777777" w:rsidR="00A77B3E" w:rsidRDefault="003014F4" w:rsidP="00D035A0">
      <w:pPr>
        <w:spacing w:line="360" w:lineRule="auto"/>
        <w:jc w:val="both"/>
      </w:pPr>
      <w:r>
        <w:rPr>
          <w:rFonts w:ascii="Book Antiqua" w:eastAsia="Book Antiqua" w:hAnsi="Book Antiqua" w:cs="Book Antiqua"/>
          <w:color w:val="000000"/>
        </w:rPr>
        <w:t>In the laboratory work-up, the leukocyte count was elevated (14.9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Leukocyte differential count indicated 85.7% neutrophils, 7.3% lymphocytes, and 6.8% monocytes. C-reactive protein, ammonia, troponin-I, lactate</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dehydrogenase,</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serum osmolarity,</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creatinine and blood</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urea</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nitrogen (BUN)</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levels</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within</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D035A0">
        <w:rPr>
          <w:rFonts w:ascii="Book Antiqua" w:hAnsi="Book Antiqua" w:cs="Book Antiqua" w:hint="eastAsia"/>
          <w:color w:val="000000"/>
          <w:lang w:eastAsia="zh-CN"/>
        </w:rPr>
        <w:t xml:space="preserve"> </w:t>
      </w:r>
      <w:r>
        <w:rPr>
          <w:rFonts w:ascii="Book Antiqua" w:eastAsia="Book Antiqua" w:hAnsi="Book Antiqua" w:cs="Book Antiqua"/>
          <w:color w:val="000000"/>
        </w:rPr>
        <w:t>normal ranges.</w:t>
      </w:r>
    </w:p>
    <w:p w14:paraId="1AF252DB" w14:textId="77777777" w:rsidR="00A77B3E" w:rsidRDefault="00A77B3E">
      <w:pPr>
        <w:spacing w:line="360" w:lineRule="auto"/>
        <w:ind w:firstLine="240"/>
        <w:jc w:val="both"/>
      </w:pPr>
    </w:p>
    <w:p w14:paraId="5D614ECF" w14:textId="77777777" w:rsidR="00A77B3E" w:rsidRDefault="003014F4">
      <w:pPr>
        <w:spacing w:line="360" w:lineRule="auto"/>
        <w:jc w:val="both"/>
      </w:pPr>
      <w:r>
        <w:rPr>
          <w:rFonts w:ascii="Book Antiqua" w:eastAsia="Book Antiqua" w:hAnsi="Book Antiqua" w:cs="Book Antiqua"/>
          <w:b/>
          <w:i/>
          <w:color w:val="000000"/>
        </w:rPr>
        <w:t>Imaging examinations</w:t>
      </w:r>
    </w:p>
    <w:p w14:paraId="79193E54" w14:textId="77777777" w:rsidR="00A77B3E" w:rsidRPr="00D035A0" w:rsidRDefault="003014F4">
      <w:pPr>
        <w:spacing w:line="360" w:lineRule="auto"/>
        <w:jc w:val="both"/>
        <w:rPr>
          <w:rFonts w:ascii="Book Antiqua" w:hAnsi="Book Antiqua" w:cs="Book Antiqua"/>
          <w:color w:val="000000"/>
          <w:lang w:eastAsia="zh-CN"/>
        </w:rPr>
      </w:pPr>
      <w:r w:rsidRPr="00D035A0">
        <w:rPr>
          <w:rFonts w:ascii="Book Antiqua" w:hAnsi="Book Antiqua" w:cs="Book Antiqua"/>
          <w:color w:val="000000"/>
          <w:lang w:eastAsia="zh-CN"/>
        </w:rPr>
        <w:t>Computed tomography (CT) of the brain revealed an intracranial hemorrhage and brain edema in the left parieto-occipital lobe (Fig</w:t>
      </w:r>
      <w:r w:rsidR="00D035A0">
        <w:rPr>
          <w:rFonts w:ascii="Book Antiqua" w:hAnsi="Book Antiqua" w:cs="Book Antiqua" w:hint="eastAsia"/>
          <w:color w:val="000000"/>
          <w:lang w:eastAsia="zh-CN"/>
        </w:rPr>
        <w:t>ure</w:t>
      </w:r>
      <w:r w:rsidRPr="00D035A0">
        <w:rPr>
          <w:rFonts w:ascii="Book Antiqua" w:hAnsi="Book Antiqua" w:cs="Book Antiqua"/>
          <w:color w:val="000000"/>
          <w:lang w:eastAsia="zh-CN"/>
        </w:rPr>
        <w:t xml:space="preserve"> 1A).</w:t>
      </w:r>
    </w:p>
    <w:p w14:paraId="58790244" w14:textId="77777777" w:rsidR="00A77B3E" w:rsidRDefault="00A77B3E">
      <w:pPr>
        <w:spacing w:line="360" w:lineRule="auto"/>
        <w:jc w:val="both"/>
      </w:pPr>
    </w:p>
    <w:p w14:paraId="3558DE52" w14:textId="77777777" w:rsidR="00A77B3E" w:rsidRDefault="003014F4">
      <w:pPr>
        <w:spacing w:line="360" w:lineRule="auto"/>
        <w:jc w:val="both"/>
      </w:pPr>
      <w:r>
        <w:rPr>
          <w:rFonts w:ascii="Book Antiqua" w:eastAsia="Book Antiqua" w:hAnsi="Book Antiqua" w:cs="Book Antiqua"/>
          <w:b/>
          <w:caps/>
          <w:color w:val="000000"/>
          <w:u w:val="single"/>
        </w:rPr>
        <w:t>FINAL DIAGNOSIS</w:t>
      </w:r>
    </w:p>
    <w:p w14:paraId="2D55ADAE" w14:textId="77777777" w:rsidR="00A77B3E" w:rsidRDefault="003014F4" w:rsidP="00D035A0">
      <w:pPr>
        <w:spacing w:line="360" w:lineRule="auto"/>
        <w:jc w:val="both"/>
      </w:pPr>
      <w:r>
        <w:rPr>
          <w:rFonts w:ascii="Book Antiqua" w:eastAsia="Book Antiqua" w:hAnsi="Book Antiqua" w:cs="Book Antiqua"/>
          <w:color w:val="000000"/>
        </w:rPr>
        <w:t>The patient was diagnosed with intracranial hemorrhage, as revealed by brain CT. With her past history and physical examination, she was also diagnosed with refractory secondary lymphedema of the left lower extremity.</w:t>
      </w:r>
    </w:p>
    <w:p w14:paraId="4AF4C766" w14:textId="77777777" w:rsidR="00A77B3E" w:rsidRDefault="00A77B3E" w:rsidP="00D035A0">
      <w:pPr>
        <w:spacing w:line="360" w:lineRule="auto"/>
        <w:jc w:val="both"/>
        <w:rPr>
          <w:lang w:eastAsia="zh-CN"/>
        </w:rPr>
      </w:pPr>
    </w:p>
    <w:p w14:paraId="2B927011" w14:textId="77777777" w:rsidR="00A77B3E" w:rsidRDefault="003014F4">
      <w:pPr>
        <w:spacing w:line="360" w:lineRule="auto"/>
        <w:jc w:val="both"/>
      </w:pPr>
      <w:r>
        <w:rPr>
          <w:rFonts w:ascii="Book Antiqua" w:eastAsia="Book Antiqua" w:hAnsi="Book Antiqua" w:cs="Book Antiqua"/>
          <w:b/>
          <w:caps/>
          <w:color w:val="000000"/>
          <w:u w:val="single"/>
        </w:rPr>
        <w:t>TREATMENT</w:t>
      </w:r>
    </w:p>
    <w:p w14:paraId="2BE2181D" w14:textId="77777777" w:rsidR="00A77B3E" w:rsidRPr="00D035A0" w:rsidRDefault="003014F4" w:rsidP="00D035A0">
      <w:pPr>
        <w:spacing w:line="360" w:lineRule="auto"/>
        <w:jc w:val="both"/>
        <w:rPr>
          <w:rFonts w:ascii="Book Antiqua" w:eastAsia="Book Antiqua" w:hAnsi="Book Antiqua" w:cs="Book Antiqua"/>
          <w:color w:val="000000"/>
        </w:rPr>
      </w:pPr>
      <w:r w:rsidRPr="00D035A0">
        <w:rPr>
          <w:rFonts w:ascii="Book Antiqua" w:eastAsia="Book Antiqua" w:hAnsi="Book Antiqua" w:cs="Book Antiqua"/>
          <w:color w:val="000000"/>
        </w:rPr>
        <w:lastRenderedPageBreak/>
        <w:t>Tracheostomy was performed on the 8th hospital day for prevention of aspiration pneumonia and removal from intubation.</w:t>
      </w:r>
      <w:r>
        <w:rPr>
          <w:rFonts w:ascii="Book Antiqua" w:eastAsia="Book Antiqua" w:hAnsi="Book Antiqua" w:cs="Book Antiqua"/>
          <w:color w:val="000000"/>
        </w:rPr>
        <w:t xml:space="preserve"> The patient’s family refused a surgical procedure for intracranial hemorrhage, so she was admitted to the intensive care unit for conservative treatment. </w:t>
      </w:r>
      <w:r w:rsidRPr="00D035A0">
        <w:rPr>
          <w:rFonts w:ascii="Book Antiqua" w:eastAsia="Book Antiqua" w:hAnsi="Book Antiqua" w:cs="Book Antiqua"/>
          <w:color w:val="000000"/>
        </w:rPr>
        <w:t>Considering the brain CT and physical examination findings, her neurologic symptoms were attributed to increased intracranial pressure (ICP).</w:t>
      </w:r>
      <w:r>
        <w:rPr>
          <w:rFonts w:ascii="Book Antiqua" w:eastAsia="Book Antiqua" w:hAnsi="Book Antiqua" w:cs="Book Antiqua"/>
          <w:color w:val="000000"/>
        </w:rPr>
        <w:t xml:space="preserve"> Upon admission, she immediately received mannitol (0.2 g/mL, 50 mL every 6 h) and furosemide (5 mg every 6 h) for </w:t>
      </w:r>
      <w:r w:rsidR="00D035A0" w:rsidRPr="00D035A0">
        <w:rPr>
          <w:rFonts w:ascii="Book Antiqua" w:eastAsia="Book Antiqua" w:hAnsi="Book Antiqua" w:cs="Book Antiqua"/>
          <w:color w:val="000000"/>
        </w:rPr>
        <w:t>ICP</w:t>
      </w:r>
      <w:r>
        <w:rPr>
          <w:rFonts w:ascii="Book Antiqua" w:eastAsia="Book Antiqua" w:hAnsi="Book Antiqua" w:cs="Book Antiqua"/>
          <w:color w:val="000000"/>
        </w:rPr>
        <w:t xml:space="preserve"> control. </w:t>
      </w:r>
      <w:r w:rsidRPr="00D035A0">
        <w:rPr>
          <w:rFonts w:ascii="Book Antiqua" w:eastAsia="Book Antiqua" w:hAnsi="Book Antiqua" w:cs="Book Antiqua"/>
          <w:color w:val="000000"/>
        </w:rPr>
        <w:t>Sedation was not required due to stuporous mentality.</w:t>
      </w:r>
      <w:r>
        <w:rPr>
          <w:rFonts w:ascii="Book Antiqua" w:eastAsia="Book Antiqua" w:hAnsi="Book Antiqua" w:cs="Book Antiqua"/>
          <w:color w:val="000000"/>
        </w:rPr>
        <w:t xml:space="preserve"> </w:t>
      </w:r>
      <w:r w:rsidRPr="00D035A0">
        <w:rPr>
          <w:rFonts w:ascii="Book Antiqua" w:eastAsia="Book Antiqua" w:hAnsi="Book Antiqua" w:cs="Book Antiqua"/>
          <w:color w:val="000000"/>
        </w:rPr>
        <w:t>Since no invasive procedures were performed, direct ICP monitoring was not possible. However, persistent hemorrhage was confirmed on follow-up brain CT on the 8</w:t>
      </w:r>
      <w:r w:rsidRPr="00D035A0">
        <w:rPr>
          <w:rFonts w:ascii="Book Antiqua" w:eastAsia="Book Antiqua" w:hAnsi="Book Antiqua" w:cs="Book Antiqua"/>
          <w:color w:val="000000"/>
          <w:vertAlign w:val="superscript"/>
        </w:rPr>
        <w:t>th</w:t>
      </w:r>
      <w:r w:rsidRPr="00D035A0">
        <w:rPr>
          <w:rFonts w:ascii="Book Antiqua" w:eastAsia="Book Antiqua" w:hAnsi="Book Antiqua" w:cs="Book Antiqua"/>
          <w:color w:val="000000"/>
        </w:rPr>
        <w:t xml:space="preserve"> hospital day. Thus, ongoing ICP elevation was suspected and ICP control agents were continued.</w:t>
      </w:r>
    </w:p>
    <w:p w14:paraId="1BC3E582" w14:textId="77777777" w:rsidR="00A77B3E" w:rsidRDefault="00A77B3E" w:rsidP="00D035A0">
      <w:pPr>
        <w:spacing w:line="360" w:lineRule="auto"/>
        <w:jc w:val="both"/>
        <w:rPr>
          <w:lang w:eastAsia="zh-CN"/>
        </w:rPr>
      </w:pPr>
    </w:p>
    <w:p w14:paraId="45485EF4" w14:textId="77777777" w:rsidR="00A77B3E" w:rsidRDefault="003014F4">
      <w:pPr>
        <w:spacing w:line="360" w:lineRule="auto"/>
        <w:jc w:val="both"/>
      </w:pPr>
      <w:r>
        <w:rPr>
          <w:rFonts w:ascii="Book Antiqua" w:eastAsia="Book Antiqua" w:hAnsi="Book Antiqua" w:cs="Book Antiqua"/>
          <w:b/>
          <w:caps/>
          <w:color w:val="000000"/>
          <w:u w:val="single"/>
        </w:rPr>
        <w:t>OUTCOME AND FOLLOW-UP</w:t>
      </w:r>
    </w:p>
    <w:p w14:paraId="046F8F5C" w14:textId="77777777" w:rsidR="00A77B3E" w:rsidRPr="00D035A0" w:rsidRDefault="003014F4" w:rsidP="00D035A0">
      <w:pPr>
        <w:spacing w:line="360" w:lineRule="auto"/>
        <w:jc w:val="both"/>
        <w:rPr>
          <w:lang w:eastAsia="zh-CN"/>
        </w:rPr>
      </w:pPr>
      <w:r w:rsidRPr="00D035A0">
        <w:rPr>
          <w:rFonts w:ascii="Book Antiqua" w:eastAsia="Book Antiqua" w:hAnsi="Book Antiqua" w:cs="Book Antiqua"/>
          <w:color w:val="000000"/>
        </w:rPr>
        <w:t>The effects of mannitol and furosemide on ICP were assessed indirectly through brain CT and changes in neurologic symptoms. In addition, due to concerns about side effects of osmolarity variation, laboratory evaluation of blood gas, electrolyte, osmolarity, and kidney function was performed during hospitalization (Table 1).</w:t>
      </w:r>
      <w:r>
        <w:rPr>
          <w:rFonts w:ascii="Book Antiqua" w:eastAsia="Book Antiqua" w:hAnsi="Book Antiqua" w:cs="Book Antiqua"/>
          <w:color w:val="000000"/>
        </w:rPr>
        <w:t xml:space="preserve"> On the 21</w:t>
      </w:r>
      <w:r w:rsidRPr="00D035A0">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hospital day, the patient’s vital signs had stabilized, and she was transferred to the general ward. Mannitol and furosemide were applied until the 27</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w:t>
      </w:r>
    </w:p>
    <w:p w14:paraId="46DB724C" w14:textId="77777777" w:rsidR="00A77B3E" w:rsidRDefault="003014F4" w:rsidP="00D035A0">
      <w:pPr>
        <w:spacing w:line="360" w:lineRule="auto"/>
        <w:ind w:firstLineChars="100" w:firstLine="240"/>
        <w:jc w:val="both"/>
      </w:pPr>
      <w:r>
        <w:rPr>
          <w:rFonts w:ascii="Book Antiqua" w:eastAsia="Book Antiqua" w:hAnsi="Book Antiqua" w:cs="Book Antiqua"/>
          <w:color w:val="000000"/>
        </w:rPr>
        <w:t xml:space="preserve">Remarkably, the lower extremity lymphedema improved dramatically after she received mannitol and furosemide. The </w:t>
      </w:r>
      <w:r w:rsidR="00D035A0">
        <w:rPr>
          <w:rFonts w:ascii="Book Antiqua" w:eastAsia="Book Antiqua" w:hAnsi="Book Antiqua" w:cs="Book Antiqua"/>
          <w:color w:val="000000"/>
        </w:rPr>
        <w:t>baseline circumferences 10 cm/</w:t>
      </w:r>
      <w:r>
        <w:rPr>
          <w:rFonts w:ascii="Book Antiqua" w:eastAsia="Book Antiqua" w:hAnsi="Book Antiqua" w:cs="Book Antiqua"/>
          <w:color w:val="000000"/>
        </w:rPr>
        <w:t>15 cm b</w:t>
      </w:r>
      <w:r w:rsidR="00D035A0">
        <w:rPr>
          <w:rFonts w:ascii="Book Antiqua" w:eastAsia="Book Antiqua" w:hAnsi="Book Antiqua" w:cs="Book Antiqua"/>
          <w:color w:val="000000"/>
        </w:rPr>
        <w:t>elow the left knee were 43 cm/</w:t>
      </w:r>
      <w:r>
        <w:rPr>
          <w:rFonts w:ascii="Book Antiqua" w:eastAsia="Book Antiqua" w:hAnsi="Book Antiqua" w:cs="Book Antiqua"/>
          <w:color w:val="000000"/>
        </w:rPr>
        <w:t>41 cm, respectively. However, after administration of mannitol and furosemide for 27 d</w:t>
      </w:r>
      <w:r w:rsidR="00D035A0">
        <w:rPr>
          <w:rFonts w:ascii="Book Antiqua" w:eastAsia="Book Antiqua" w:hAnsi="Book Antiqua" w:cs="Book Antiqua"/>
          <w:color w:val="000000"/>
        </w:rPr>
        <w:t>, the circumferences 10 cm/</w:t>
      </w:r>
      <w:r>
        <w:rPr>
          <w:rFonts w:ascii="Book Antiqua" w:eastAsia="Book Antiqua" w:hAnsi="Book Antiqua" w:cs="Book Antiqua"/>
          <w:color w:val="000000"/>
        </w:rPr>
        <w:t>15 cm below the lef</w:t>
      </w:r>
      <w:r w:rsidR="00D035A0">
        <w:rPr>
          <w:rFonts w:ascii="Book Antiqua" w:eastAsia="Book Antiqua" w:hAnsi="Book Antiqua" w:cs="Book Antiqua"/>
          <w:color w:val="000000"/>
        </w:rPr>
        <w:t>t knee had decreased to 34 cm/</w:t>
      </w:r>
      <w:r>
        <w:rPr>
          <w:rFonts w:ascii="Book Antiqua" w:eastAsia="Book Antiqua" w:hAnsi="Book Antiqua" w:cs="Book Antiqua"/>
          <w:color w:val="000000"/>
        </w:rPr>
        <w:t>31.5 cm respectively, on the 36</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 (Fig</w:t>
      </w:r>
      <w:r w:rsidR="00D035A0">
        <w:rPr>
          <w:rFonts w:ascii="Book Antiqua" w:hAnsi="Book Antiqua" w:cs="Book Antiqua" w:hint="eastAsia"/>
          <w:color w:val="000000"/>
          <w:lang w:eastAsia="zh-CN"/>
        </w:rPr>
        <w:t>ure</w:t>
      </w:r>
      <w:r>
        <w:rPr>
          <w:rFonts w:ascii="Book Antiqua" w:eastAsia="Book Antiqua" w:hAnsi="Book Antiqua" w:cs="Book Antiqua"/>
          <w:color w:val="000000"/>
        </w:rPr>
        <w:t xml:space="preserve"> 2).</w:t>
      </w:r>
    </w:p>
    <w:p w14:paraId="6BBC9816" w14:textId="77777777" w:rsidR="00A77B3E" w:rsidRDefault="003014F4" w:rsidP="00D035A0">
      <w:pPr>
        <w:spacing w:line="360" w:lineRule="auto"/>
        <w:ind w:firstLineChars="100" w:firstLine="240"/>
        <w:jc w:val="both"/>
      </w:pPr>
      <w:r>
        <w:rPr>
          <w:rFonts w:ascii="Book Antiqua" w:eastAsia="Book Antiqua" w:hAnsi="Book Antiqua" w:cs="Book Antiqua"/>
          <w:color w:val="000000"/>
        </w:rPr>
        <w:t>During her hospital course, the patient received neurodevelopmental therapy and occupational therapy for right hemiplegia. CDT and IPC were performed for lymphedema treatment from the 26</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w:t>
      </w:r>
    </w:p>
    <w:p w14:paraId="3D2372F6" w14:textId="77777777" w:rsidR="00A77B3E" w:rsidRPr="00D035A0" w:rsidRDefault="003014F4" w:rsidP="00D035A0">
      <w:pPr>
        <w:spacing w:line="360" w:lineRule="auto"/>
        <w:ind w:firstLineChars="100" w:firstLine="240"/>
        <w:jc w:val="both"/>
        <w:rPr>
          <w:lang w:eastAsia="zh-CN"/>
        </w:rPr>
      </w:pPr>
      <w:r>
        <w:rPr>
          <w:rFonts w:ascii="Book Antiqua" w:eastAsia="Book Antiqua" w:hAnsi="Book Antiqua" w:cs="Book Antiqua"/>
          <w:color w:val="000000"/>
        </w:rPr>
        <w:t>However, despite the interventions, her lower extremity lymphedema worsened after discontinuation of the mannitol and furosemide. On the 49</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 the </w:t>
      </w:r>
      <w:r w:rsidR="00D035A0">
        <w:rPr>
          <w:rFonts w:ascii="Book Antiqua" w:eastAsia="Book Antiqua" w:hAnsi="Book Antiqua" w:cs="Book Antiqua"/>
          <w:color w:val="000000"/>
        </w:rPr>
        <w:lastRenderedPageBreak/>
        <w:t>circumferences 10 cm/</w:t>
      </w:r>
      <w:r>
        <w:rPr>
          <w:rFonts w:ascii="Book Antiqua" w:eastAsia="Book Antiqua" w:hAnsi="Book Antiqua" w:cs="Book Antiqua"/>
          <w:color w:val="000000"/>
        </w:rPr>
        <w:t>15 cm below t</w:t>
      </w:r>
      <w:r w:rsidR="00D035A0">
        <w:rPr>
          <w:rFonts w:ascii="Book Antiqua" w:eastAsia="Book Antiqua" w:hAnsi="Book Antiqua" w:cs="Book Antiqua"/>
          <w:color w:val="000000"/>
        </w:rPr>
        <w:t>he left knee increased to 42 cm/</w:t>
      </w:r>
      <w:r>
        <w:rPr>
          <w:rFonts w:ascii="Book Antiqua" w:eastAsia="Book Antiqua" w:hAnsi="Book Antiqua" w:cs="Book Antiqua"/>
          <w:color w:val="000000"/>
        </w:rPr>
        <w:t>40.5 cm, respectively (Fig</w:t>
      </w:r>
      <w:r w:rsidR="00D035A0">
        <w:rPr>
          <w:rFonts w:ascii="Book Antiqua" w:hAnsi="Book Antiqua" w:cs="Book Antiqua" w:hint="eastAsia"/>
          <w:color w:val="000000"/>
          <w:lang w:eastAsia="zh-CN"/>
        </w:rPr>
        <w:t>ure</w:t>
      </w:r>
      <w:r>
        <w:rPr>
          <w:rFonts w:ascii="Book Antiqua" w:eastAsia="Book Antiqua" w:hAnsi="Book Antiqua" w:cs="Book Antiqua"/>
          <w:color w:val="000000"/>
        </w:rPr>
        <w:t xml:space="preserve"> 3A). To identify the presumed effect of mannitol and furosemide on lymphedema, mannitol (0.2 g/mL, 50 mL every 6 h) and furosemide (5 mg every 6 h) were reinstated from the 52</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to the 58</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 As a result, her lymphedema improve</w:t>
      </w:r>
      <w:r w:rsidR="00D035A0">
        <w:rPr>
          <w:rFonts w:ascii="Book Antiqua" w:eastAsia="Book Antiqua" w:hAnsi="Book Antiqua" w:cs="Book Antiqua"/>
          <w:color w:val="000000"/>
        </w:rPr>
        <w:t>d, and the circumferences 10 cm</w:t>
      </w:r>
      <w:r>
        <w:rPr>
          <w:rFonts w:ascii="Book Antiqua" w:eastAsia="Book Antiqua" w:hAnsi="Book Antiqua" w:cs="Book Antiqua"/>
          <w:color w:val="000000"/>
        </w:rPr>
        <w:t>/15 cm below the</w:t>
      </w:r>
      <w:r w:rsidR="00D035A0">
        <w:rPr>
          <w:rFonts w:ascii="Book Antiqua" w:eastAsia="Book Antiqua" w:hAnsi="Book Antiqua" w:cs="Book Antiqua"/>
          <w:color w:val="000000"/>
        </w:rPr>
        <w:t xml:space="preserve"> left knee decreased to 37 cm/</w:t>
      </w:r>
      <w:r>
        <w:rPr>
          <w:rFonts w:ascii="Book Antiqua" w:eastAsia="Book Antiqua" w:hAnsi="Book Antiqua" w:cs="Book Antiqua"/>
          <w:color w:val="000000"/>
        </w:rPr>
        <w:t>36 cm, respectively, on the 53</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 (Fig</w:t>
      </w:r>
      <w:r w:rsidR="00D035A0">
        <w:rPr>
          <w:rFonts w:ascii="Book Antiqua" w:hAnsi="Book Antiqua" w:cs="Book Antiqua" w:hint="eastAsia"/>
          <w:color w:val="000000"/>
          <w:lang w:eastAsia="zh-CN"/>
        </w:rPr>
        <w:t>ure</w:t>
      </w:r>
      <w:r>
        <w:rPr>
          <w:rFonts w:ascii="Book Antiqua" w:eastAsia="Book Antiqua" w:hAnsi="Book Antiqua" w:cs="Book Antiqua"/>
          <w:color w:val="000000"/>
        </w:rPr>
        <w:t xml:space="preserve"> 2). The improved lymphedema persisted after mannitol and furosemide were tapered and discontinued. On the 61</w:t>
      </w:r>
      <w:r w:rsidRPr="00D035A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w:t>
      </w:r>
      <w:r w:rsidR="00D035A0">
        <w:rPr>
          <w:rFonts w:ascii="Book Antiqua" w:eastAsia="Book Antiqua" w:hAnsi="Book Antiqua" w:cs="Book Antiqua"/>
          <w:color w:val="000000"/>
        </w:rPr>
        <w:t>day, the circumferences 10 cm/</w:t>
      </w:r>
      <w:r>
        <w:rPr>
          <w:rFonts w:ascii="Book Antiqua" w:eastAsia="Book Antiqua" w:hAnsi="Book Antiqua" w:cs="Book Antiqua"/>
          <w:color w:val="000000"/>
        </w:rPr>
        <w:t>15 cm b</w:t>
      </w:r>
      <w:r w:rsidR="00D035A0">
        <w:rPr>
          <w:rFonts w:ascii="Book Antiqua" w:eastAsia="Book Antiqua" w:hAnsi="Book Antiqua" w:cs="Book Antiqua"/>
          <w:color w:val="000000"/>
        </w:rPr>
        <w:t>elow the left knee were 36 cm/</w:t>
      </w:r>
      <w:r>
        <w:rPr>
          <w:rFonts w:ascii="Book Antiqua" w:eastAsia="Book Antiqua" w:hAnsi="Book Antiqua" w:cs="Book Antiqua"/>
          <w:color w:val="000000"/>
        </w:rPr>
        <w:t>35.5 cm, respectively (Fig</w:t>
      </w:r>
      <w:r w:rsidR="00D035A0">
        <w:rPr>
          <w:rFonts w:ascii="Book Antiqua" w:hAnsi="Book Antiqua" w:cs="Book Antiqua" w:hint="eastAsia"/>
          <w:color w:val="000000"/>
          <w:lang w:eastAsia="zh-CN"/>
        </w:rPr>
        <w:t>ure</w:t>
      </w:r>
      <w:r>
        <w:rPr>
          <w:rFonts w:ascii="Book Antiqua" w:eastAsia="Book Antiqua" w:hAnsi="Book Antiqua" w:cs="Book Antiqua"/>
          <w:color w:val="000000"/>
        </w:rPr>
        <w:t xml:space="preserve"> 3B).</w:t>
      </w:r>
    </w:p>
    <w:p w14:paraId="13FE21A9" w14:textId="77777777" w:rsidR="00A77B3E" w:rsidRPr="00D035A0" w:rsidRDefault="003014F4" w:rsidP="00D035A0">
      <w:pPr>
        <w:spacing w:line="360" w:lineRule="auto"/>
        <w:ind w:firstLineChars="100" w:firstLine="240"/>
        <w:jc w:val="both"/>
        <w:rPr>
          <w:rFonts w:ascii="Book Antiqua" w:eastAsia="Book Antiqua" w:hAnsi="Book Antiqua" w:cs="Book Antiqua"/>
          <w:color w:val="000000"/>
        </w:rPr>
      </w:pPr>
      <w:r w:rsidRPr="00D035A0">
        <w:rPr>
          <w:rFonts w:ascii="Book Antiqua" w:eastAsia="Book Antiqua" w:hAnsi="Book Antiqua" w:cs="Book Antiqua"/>
          <w:color w:val="000000"/>
        </w:rPr>
        <w:t>Intracranial hemorrhage and brain edema were followed using brain CT during hospitalization. Ongoing resolution of hemorrhage and improvement in brain edema were demonstrated (Fig</w:t>
      </w:r>
      <w:r w:rsidR="00D035A0">
        <w:rPr>
          <w:rFonts w:ascii="Book Antiqua" w:hAnsi="Book Antiqua" w:cs="Book Antiqua" w:hint="eastAsia"/>
          <w:color w:val="000000"/>
          <w:lang w:eastAsia="zh-CN"/>
        </w:rPr>
        <w:t>ure</w:t>
      </w:r>
      <w:r w:rsidRPr="00D035A0">
        <w:rPr>
          <w:rFonts w:ascii="Book Antiqua" w:eastAsia="Book Antiqua" w:hAnsi="Book Antiqua" w:cs="Book Antiqua"/>
          <w:color w:val="000000"/>
        </w:rPr>
        <w:t xml:space="preserve"> 1).</w:t>
      </w:r>
    </w:p>
    <w:p w14:paraId="175DFF27" w14:textId="77777777" w:rsidR="00A77B3E" w:rsidRPr="00D035A0" w:rsidRDefault="003014F4" w:rsidP="00D035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discharged after four months of admission, with no aggravation of lymphedema. </w:t>
      </w:r>
      <w:r w:rsidRPr="00D035A0">
        <w:rPr>
          <w:rFonts w:ascii="Book Antiqua" w:eastAsia="Book Antiqua" w:hAnsi="Book Antiqua" w:cs="Book Antiqua"/>
          <w:color w:val="000000"/>
        </w:rPr>
        <w:t xml:space="preserve">At the time of discharge, the patient's laboratory values were sodium 133 </w:t>
      </w:r>
      <w:proofErr w:type="spellStart"/>
      <w:r w:rsidRPr="00D035A0">
        <w:rPr>
          <w:rFonts w:ascii="Book Antiqua" w:eastAsia="Book Antiqua" w:hAnsi="Book Antiqua" w:cs="Book Antiqua"/>
          <w:color w:val="000000"/>
        </w:rPr>
        <w:t>mEg</w:t>
      </w:r>
      <w:proofErr w:type="spellEnd"/>
      <w:r w:rsidRPr="00D035A0">
        <w:rPr>
          <w:rFonts w:ascii="Book Antiqua" w:eastAsia="Book Antiqua" w:hAnsi="Book Antiqua" w:cs="Book Antiqua"/>
          <w:color w:val="000000"/>
        </w:rPr>
        <w:t xml:space="preserve">/L, potassium 4.4 </w:t>
      </w:r>
      <w:proofErr w:type="spellStart"/>
      <w:r w:rsidRPr="00D035A0">
        <w:rPr>
          <w:rFonts w:ascii="Book Antiqua" w:eastAsia="Book Antiqua" w:hAnsi="Book Antiqua" w:cs="Book Antiqua"/>
          <w:color w:val="000000"/>
        </w:rPr>
        <w:t>mEg</w:t>
      </w:r>
      <w:proofErr w:type="spellEnd"/>
      <w:r w:rsidRPr="00D035A0">
        <w:rPr>
          <w:rFonts w:ascii="Book Antiqua" w:eastAsia="Book Antiqua" w:hAnsi="Book Antiqua" w:cs="Book Antiqua"/>
          <w:color w:val="000000"/>
        </w:rPr>
        <w:t xml:space="preserve">/L, chloride 100 </w:t>
      </w:r>
      <w:proofErr w:type="spellStart"/>
      <w:r w:rsidRPr="00D035A0">
        <w:rPr>
          <w:rFonts w:ascii="Book Antiqua" w:eastAsia="Book Antiqua" w:hAnsi="Book Antiqua" w:cs="Book Antiqua"/>
          <w:color w:val="000000"/>
        </w:rPr>
        <w:t>mEg</w:t>
      </w:r>
      <w:proofErr w:type="spellEnd"/>
      <w:r w:rsidRPr="00D035A0">
        <w:rPr>
          <w:rFonts w:ascii="Book Antiqua" w:eastAsia="Book Antiqua" w:hAnsi="Book Antiqua" w:cs="Book Antiqua"/>
          <w:color w:val="000000"/>
        </w:rPr>
        <w:t>/L, eGFR 78 mL/min/1.73m2, creatinine 0.66 mg/dL, and BUN 24.6 mg/dL, with no severe electrolyte imbalance or acute renal failure. Tracheostomy performed during the early phase of hospitalization was successfully decannulated. The patient's state of consciousness had not improved significantly at discharge, despite improvement of intracranial hemorrhage and brain edema findings on CT.</w:t>
      </w:r>
    </w:p>
    <w:p w14:paraId="0C123BD6" w14:textId="77777777" w:rsidR="00A77B3E" w:rsidRDefault="00A77B3E" w:rsidP="00D035A0">
      <w:pPr>
        <w:spacing w:line="360" w:lineRule="auto"/>
        <w:jc w:val="both"/>
        <w:rPr>
          <w:lang w:eastAsia="zh-CN"/>
        </w:rPr>
      </w:pPr>
    </w:p>
    <w:p w14:paraId="328E2ADA" w14:textId="77777777" w:rsidR="00A77B3E" w:rsidRDefault="003014F4">
      <w:pPr>
        <w:spacing w:line="360" w:lineRule="auto"/>
        <w:jc w:val="both"/>
      </w:pPr>
      <w:r>
        <w:rPr>
          <w:rFonts w:ascii="Book Antiqua" w:eastAsia="Book Antiqua" w:hAnsi="Book Antiqua" w:cs="Book Antiqua"/>
          <w:b/>
          <w:caps/>
          <w:color w:val="000000"/>
          <w:u w:val="single"/>
        </w:rPr>
        <w:t>DISCUSSION</w:t>
      </w:r>
    </w:p>
    <w:p w14:paraId="130ECA2F" w14:textId="77777777" w:rsidR="00A77B3E" w:rsidRDefault="003014F4" w:rsidP="00D035A0">
      <w:pPr>
        <w:spacing w:line="360" w:lineRule="auto"/>
        <w:jc w:val="both"/>
      </w:pPr>
      <w:r>
        <w:rPr>
          <w:rFonts w:ascii="Book Antiqua" w:eastAsia="Book Antiqua" w:hAnsi="Book Antiqua" w:cs="Book Antiqua"/>
          <w:color w:val="000000"/>
        </w:rPr>
        <w:t>Several treatments have been used for refractory lymphedema (Table 2). CDT is generally considered as first-line treatment for lymphedema and combines manual lymphatic drainage, multilayer bandaging, physical therapy, and skin care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IPC is one of the most commonly used treatments. It was reported that IPC stimulates lymphatic function and reduces lymphatic backflow</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Surgical methods, such as </w:t>
      </w:r>
      <w:proofErr w:type="spellStart"/>
      <w:r>
        <w:rPr>
          <w:rFonts w:ascii="Book Antiqua" w:eastAsia="Book Antiqua" w:hAnsi="Book Antiqua" w:cs="Book Antiqua"/>
          <w:color w:val="000000"/>
        </w:rPr>
        <w:t>lymphovenous</w:t>
      </w:r>
      <w:proofErr w:type="spellEnd"/>
      <w:r>
        <w:rPr>
          <w:rFonts w:ascii="Book Antiqua" w:eastAsia="Book Antiqua" w:hAnsi="Book Antiqua" w:cs="Book Antiqua"/>
          <w:color w:val="000000"/>
        </w:rPr>
        <w:t xml:space="preserve"> anastomosis or liposuction, could be considered for advanced lymphedema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396F3083" w14:textId="77777777" w:rsidR="00A77B3E" w:rsidRDefault="003014F4" w:rsidP="00D035A0">
      <w:pPr>
        <w:spacing w:line="360" w:lineRule="auto"/>
        <w:ind w:firstLineChars="100" w:firstLine="240"/>
        <w:jc w:val="both"/>
      </w:pPr>
      <w:r>
        <w:rPr>
          <w:rFonts w:ascii="Book Antiqua" w:eastAsia="Book Antiqua" w:hAnsi="Book Antiqua" w:cs="Book Antiqua"/>
          <w:color w:val="000000"/>
        </w:rPr>
        <w:lastRenderedPageBreak/>
        <w:t>Although there is no currently established pharmacologic treatment for refractory lymphedema, several studies have demonstrated the therapeutic effects of anti-inflammatory pharmacologic agents on lymphedema. Oral administration of ketoprofen decreased skin thickness and improved histopathologic scores compared with placebo by an anti-inflammatory effect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Moreover, it was reported that tacrolimus, a topical anti-inflammatory agent, improved secondary lymphedema with incremental vessel contraction and dermal back flow decrements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9A4D758" w14:textId="77777777" w:rsidR="00A77B3E" w:rsidRPr="00D035A0" w:rsidRDefault="003014F4" w:rsidP="00D035A0">
      <w:pPr>
        <w:spacing w:line="360" w:lineRule="auto"/>
        <w:ind w:firstLineChars="100" w:firstLine="240"/>
        <w:jc w:val="both"/>
        <w:rPr>
          <w:lang w:eastAsia="zh-CN"/>
        </w:rPr>
      </w:pPr>
      <w:r>
        <w:rPr>
          <w:rFonts w:ascii="Book Antiqua" w:eastAsia="Book Antiqua" w:hAnsi="Book Antiqua" w:cs="Book Antiqua"/>
          <w:color w:val="000000"/>
        </w:rPr>
        <w:t xml:space="preserve">Mannitol is a hyperosmolar agent used for </w:t>
      </w:r>
      <w:proofErr w:type="spellStart"/>
      <w:r>
        <w:rPr>
          <w:rFonts w:ascii="Book Antiqua" w:eastAsia="Book Antiqua" w:hAnsi="Book Antiqua" w:cs="Book Antiqua"/>
          <w:color w:val="000000"/>
        </w:rPr>
        <w:t>intraophthalmic</w:t>
      </w:r>
      <w:proofErr w:type="spellEnd"/>
      <w:r>
        <w:rPr>
          <w:rFonts w:ascii="Book Antiqua" w:eastAsia="Book Antiqua" w:hAnsi="Book Antiqua" w:cs="Book Antiqua"/>
          <w:color w:val="000000"/>
        </w:rPr>
        <w:t xml:space="preserve"> pressure control in glaucoma and prevention of dialysis-disequilibrium syndrome during dialysis. The combination of mannitol and furosemide is a widely used treatment for </w:t>
      </w:r>
      <w:r w:rsidR="00D035A0" w:rsidRPr="00D035A0">
        <w:rPr>
          <w:rFonts w:ascii="Book Antiqua" w:eastAsia="Book Antiqua" w:hAnsi="Book Antiqua" w:cs="Book Antiqua"/>
          <w:color w:val="000000"/>
        </w:rPr>
        <w:t>ICP</w:t>
      </w:r>
      <w:r>
        <w:rPr>
          <w:rFonts w:ascii="Book Antiqua" w:eastAsia="Book Antiqua" w:hAnsi="Book Antiqua" w:cs="Book Antiqua"/>
          <w:color w:val="000000"/>
        </w:rPr>
        <w:t xml:space="preserve"> control. Because of the hyperosmolar effect of mannitol, the increased osmolarity causes intracellular water to move to the extracellular matrix, and furosemide prevents brain cells from retaining water</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Furthermore, the diuretic effect of mannitol in the kidney results in inhibition of osmotic water resorption in the proximal tubules, and passive sodium reabsorption in the loop of Henle </w:t>
      </w:r>
      <w:proofErr w:type="gramStart"/>
      <w:r>
        <w:rPr>
          <w:rFonts w:ascii="Book Antiqua" w:eastAsia="Book Antiqua" w:hAnsi="Book Antiqua" w:cs="Book Antiqua"/>
          <w:color w:val="000000"/>
        </w:rPr>
        <w:t>decreases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43E64F4B" w14:textId="77777777" w:rsidR="00A77B3E" w:rsidRDefault="003014F4" w:rsidP="00D035A0">
      <w:pPr>
        <w:spacing w:line="360" w:lineRule="auto"/>
        <w:ind w:firstLineChars="100" w:firstLine="240"/>
        <w:jc w:val="both"/>
      </w:pPr>
      <w:r>
        <w:rPr>
          <w:rFonts w:ascii="Book Antiqua" w:eastAsia="Book Antiqua" w:hAnsi="Book Antiqua" w:cs="Book Antiqua"/>
          <w:color w:val="000000"/>
        </w:rPr>
        <w:t xml:space="preserve">Considering the hypertonic properties of mannitol to move water out of intracellular spaces, we hypothesized that mannitol and furosemide relieved focal tissue swelling by the same principle that underlies lowering </w:t>
      </w:r>
      <w:r w:rsidR="00D035A0" w:rsidRPr="00D035A0">
        <w:rPr>
          <w:rFonts w:ascii="Book Antiqua" w:eastAsia="Book Antiqua" w:hAnsi="Book Antiqua" w:cs="Book Antiqua"/>
          <w:color w:val="000000"/>
        </w:rPr>
        <w:t>ICP</w:t>
      </w:r>
      <w:r>
        <w:rPr>
          <w:rFonts w:ascii="Book Antiqua" w:eastAsia="Book Antiqua" w:hAnsi="Book Antiqua" w:cs="Book Antiqua"/>
          <w:color w:val="000000"/>
        </w:rPr>
        <w:t xml:space="preserve">. That is, mannitol makes cells shrink, and furosemide accelerates fluid extraction in the kidney. According to </w:t>
      </w:r>
      <w:proofErr w:type="spellStart"/>
      <w:r>
        <w:rPr>
          <w:rFonts w:ascii="Book Antiqua" w:eastAsia="Book Antiqua" w:hAnsi="Book Antiqua" w:cs="Book Antiqua"/>
          <w:color w:val="000000"/>
        </w:rPr>
        <w:t>Mercadante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035A0">
        <w:rPr>
          <w:rFonts w:ascii="Book Antiqua" w:eastAsia="Book Antiqua" w:hAnsi="Book Antiqua" w:cs="Book Antiqua"/>
          <w:color w:val="000000"/>
          <w:szCs w:val="30"/>
          <w:vertAlign w:val="superscript"/>
        </w:rPr>
        <w:t>[</w:t>
      </w:r>
      <w:proofErr w:type="gramEnd"/>
      <w:r w:rsidR="00D035A0">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 combination of hypertonic saline and high dose furosemide (500 mg</w:t>
      </w:r>
      <w:r w:rsidR="00D035A0">
        <w:rPr>
          <w:rFonts w:ascii="Book Antiqua" w:hAnsi="Book Antiqua" w:cs="Book Antiqua" w:hint="eastAsia"/>
          <w:color w:val="000000"/>
          <w:lang w:eastAsia="zh-CN"/>
        </w:rPr>
        <w:t>/</w:t>
      </w:r>
      <w:r>
        <w:rPr>
          <w:rFonts w:ascii="Book Antiqua" w:eastAsia="Book Antiqua" w:hAnsi="Book Antiqua" w:cs="Book Antiqua"/>
          <w:color w:val="000000"/>
        </w:rPr>
        <w:t>d) improved lower extremity edema by enhancing urine output. Compared to high dose furosemide (500 mg</w:t>
      </w:r>
      <w:r w:rsidR="00D035A0">
        <w:rPr>
          <w:rFonts w:ascii="Book Antiqua" w:hAnsi="Book Antiqua" w:cs="Book Antiqua" w:hint="eastAsia"/>
          <w:color w:val="000000"/>
          <w:lang w:eastAsia="zh-CN"/>
        </w:rPr>
        <w:t>/</w:t>
      </w:r>
      <w:r w:rsidR="00D035A0">
        <w:rPr>
          <w:rFonts w:ascii="Book Antiqua" w:eastAsia="Book Antiqua" w:hAnsi="Book Antiqua" w:cs="Book Antiqua"/>
          <w:color w:val="000000"/>
        </w:rPr>
        <w:t>d</w:t>
      </w:r>
      <w:r>
        <w:rPr>
          <w:rFonts w:ascii="Book Antiqua" w:eastAsia="Book Antiqua" w:hAnsi="Book Antiqua" w:cs="Book Antiqua"/>
          <w:color w:val="000000"/>
        </w:rPr>
        <w:t>), the relatively low dose furosemide (20 mg</w:t>
      </w:r>
      <w:r w:rsidR="00D035A0">
        <w:rPr>
          <w:rFonts w:ascii="Book Antiqua" w:hAnsi="Book Antiqua" w:cs="Book Antiqua" w:hint="eastAsia"/>
          <w:color w:val="000000"/>
          <w:lang w:eastAsia="zh-CN"/>
        </w:rPr>
        <w:t>/</w:t>
      </w:r>
      <w:r w:rsidR="00D035A0">
        <w:rPr>
          <w:rFonts w:ascii="Book Antiqua" w:eastAsia="Book Antiqua" w:hAnsi="Book Antiqua" w:cs="Book Antiqua"/>
          <w:color w:val="000000"/>
        </w:rPr>
        <w:t>d</w:t>
      </w:r>
      <w:r>
        <w:rPr>
          <w:rFonts w:ascii="Book Antiqua" w:eastAsia="Book Antiqua" w:hAnsi="Book Antiqua" w:cs="Book Antiqua"/>
          <w:color w:val="000000"/>
        </w:rPr>
        <w:t>) employed in the present case resulted in improvement of lymphedema. Therefore, it can be carefully speculated that mannitol may be effective for relief of lymphedema when combined with furosemide. Furthermore, because mannitol reduces lymphedema by osmosis, it can be tried in patients for whom other pharmacologic agents that have anti-inflammatory effects have failed.</w:t>
      </w:r>
    </w:p>
    <w:p w14:paraId="757CC1B1" w14:textId="77777777" w:rsidR="00A77B3E" w:rsidRPr="00D035A0" w:rsidRDefault="003014F4" w:rsidP="00D035A0">
      <w:pPr>
        <w:spacing w:line="360" w:lineRule="auto"/>
        <w:ind w:firstLineChars="100" w:firstLine="240"/>
        <w:jc w:val="both"/>
        <w:rPr>
          <w:rFonts w:ascii="Book Antiqua" w:hAnsi="Book Antiqua" w:cs="Book Antiqua"/>
          <w:color w:val="000000"/>
          <w:lang w:eastAsia="zh-CN"/>
        </w:rPr>
      </w:pPr>
      <w:r w:rsidRPr="00D035A0">
        <w:rPr>
          <w:rFonts w:ascii="Book Antiqua" w:eastAsia="Book Antiqua" w:hAnsi="Book Antiqua" w:cs="Book Antiqua"/>
          <w:color w:val="000000"/>
        </w:rPr>
        <w:t xml:space="preserve">Mannitol therapy might cause electrolyte imbalance, rebound cerebral edema, and kidney </w:t>
      </w:r>
      <w:proofErr w:type="gramStart"/>
      <w:r w:rsidRPr="00D035A0">
        <w:rPr>
          <w:rFonts w:ascii="Book Antiqua" w:eastAsia="Book Antiqua" w:hAnsi="Book Antiqua" w:cs="Book Antiqua"/>
          <w:color w:val="000000"/>
        </w:rPr>
        <w:t>failure</w:t>
      </w:r>
      <w:r w:rsidRPr="00D035A0">
        <w:rPr>
          <w:rFonts w:ascii="Book Antiqua" w:eastAsia="Book Antiqua" w:hAnsi="Book Antiqua" w:cs="Book Antiqua"/>
          <w:color w:val="000000"/>
          <w:vertAlign w:val="superscript"/>
        </w:rPr>
        <w:t>[</w:t>
      </w:r>
      <w:proofErr w:type="gramEnd"/>
      <w:r w:rsidRPr="00D035A0">
        <w:rPr>
          <w:rFonts w:ascii="Book Antiqua" w:eastAsia="Book Antiqua" w:hAnsi="Book Antiqua" w:cs="Book Antiqua"/>
          <w:color w:val="000000"/>
          <w:vertAlign w:val="superscript"/>
        </w:rPr>
        <w:t>12</w:t>
      </w:r>
      <w:r w:rsidR="00D035A0" w:rsidRPr="00D035A0">
        <w:rPr>
          <w:rFonts w:ascii="Book Antiqua" w:hAnsi="Book Antiqua" w:cs="Book Antiqua" w:hint="eastAsia"/>
          <w:color w:val="000000"/>
          <w:vertAlign w:val="superscript"/>
          <w:lang w:eastAsia="zh-CN"/>
        </w:rPr>
        <w:t>-</w:t>
      </w:r>
      <w:r w:rsidRPr="00D035A0">
        <w:rPr>
          <w:rFonts w:ascii="Book Antiqua" w:eastAsia="Book Antiqua" w:hAnsi="Book Antiqua" w:cs="Book Antiqua"/>
          <w:color w:val="000000"/>
          <w:vertAlign w:val="superscript"/>
        </w:rPr>
        <w:t>14]</w:t>
      </w:r>
      <w:r w:rsidRPr="00D035A0">
        <w:rPr>
          <w:rFonts w:ascii="Book Antiqua" w:eastAsia="Book Antiqua" w:hAnsi="Book Antiqua" w:cs="Book Antiqua"/>
          <w:color w:val="000000"/>
        </w:rPr>
        <w:t xml:space="preserve">. Mannitol use for ICP control in acute stroke is generally short-term </w:t>
      </w:r>
      <w:r w:rsidRPr="00D035A0">
        <w:rPr>
          <w:rFonts w:ascii="Book Antiqua" w:eastAsia="Book Antiqua" w:hAnsi="Book Antiqua" w:cs="Book Antiqua"/>
          <w:color w:val="000000"/>
        </w:rPr>
        <w:lastRenderedPageBreak/>
        <w:t xml:space="preserve">(1-2 </w:t>
      </w:r>
      <w:proofErr w:type="spellStart"/>
      <w:r w:rsidRPr="00D035A0">
        <w:rPr>
          <w:rFonts w:ascii="Book Antiqua" w:eastAsia="Book Antiqua" w:hAnsi="Book Antiqua" w:cs="Book Antiqua"/>
          <w:color w:val="000000"/>
        </w:rPr>
        <w:t>wk</w:t>
      </w:r>
      <w:proofErr w:type="spellEnd"/>
      <w:r w:rsidRPr="00D035A0">
        <w:rPr>
          <w:rFonts w:ascii="Book Antiqua" w:eastAsia="Book Antiqua" w:hAnsi="Book Antiqua" w:cs="Book Antiqua"/>
          <w:color w:val="000000"/>
        </w:rPr>
        <w:t xml:space="preserve">), but we used the above agents for longer to identify the effects of mannitol on lymphedema. One report found no significant difference in the fatality or severe disability rate between short-term use (1 </w:t>
      </w:r>
      <w:proofErr w:type="spellStart"/>
      <w:r w:rsidRPr="00D035A0">
        <w:rPr>
          <w:rFonts w:ascii="Book Antiqua" w:eastAsia="Book Antiqua" w:hAnsi="Book Antiqua" w:cs="Book Antiqua"/>
          <w:color w:val="000000"/>
        </w:rPr>
        <w:t>wk</w:t>
      </w:r>
      <w:proofErr w:type="spellEnd"/>
      <w:r w:rsidRPr="00D035A0">
        <w:rPr>
          <w:rFonts w:ascii="Book Antiqua" w:eastAsia="Book Antiqua" w:hAnsi="Book Antiqua" w:cs="Book Antiqua"/>
          <w:color w:val="000000"/>
        </w:rPr>
        <w:t xml:space="preserve">) and long-term use (1 </w:t>
      </w:r>
      <w:proofErr w:type="spellStart"/>
      <w:r w:rsidRPr="00D035A0">
        <w:rPr>
          <w:rFonts w:ascii="Book Antiqua" w:eastAsia="Book Antiqua" w:hAnsi="Book Antiqua" w:cs="Book Antiqua"/>
          <w:color w:val="000000"/>
        </w:rPr>
        <w:t>mo</w:t>
      </w:r>
      <w:proofErr w:type="spellEnd"/>
      <w:r w:rsidRPr="00D035A0">
        <w:rPr>
          <w:rFonts w:ascii="Book Antiqua" w:eastAsia="Book Antiqua" w:hAnsi="Book Antiqua" w:cs="Book Antiqua"/>
          <w:color w:val="000000"/>
        </w:rPr>
        <w:t xml:space="preserve">) of mannitol, based on limited </w:t>
      </w:r>
      <w:proofErr w:type="gramStart"/>
      <w:r w:rsidRPr="00D035A0">
        <w:rPr>
          <w:rFonts w:ascii="Book Antiqua" w:eastAsia="Book Antiqua" w:hAnsi="Book Antiqua" w:cs="Book Antiqua"/>
          <w:color w:val="000000"/>
        </w:rPr>
        <w:t>data</w:t>
      </w:r>
      <w:r w:rsidRPr="00D035A0">
        <w:rPr>
          <w:rFonts w:ascii="Book Antiqua" w:eastAsia="Book Antiqua" w:hAnsi="Book Antiqua" w:cs="Book Antiqua"/>
          <w:color w:val="000000"/>
          <w:vertAlign w:val="superscript"/>
        </w:rPr>
        <w:t>[</w:t>
      </w:r>
      <w:proofErr w:type="gramEnd"/>
      <w:r w:rsidRPr="00D035A0">
        <w:rPr>
          <w:rFonts w:ascii="Book Antiqua" w:eastAsia="Book Antiqua" w:hAnsi="Book Antiqua" w:cs="Book Antiqua"/>
          <w:color w:val="000000"/>
          <w:vertAlign w:val="superscript"/>
        </w:rPr>
        <w:t>15]</w:t>
      </w:r>
      <w:r w:rsidRPr="00D035A0">
        <w:rPr>
          <w:rFonts w:ascii="Book Antiqua" w:eastAsia="Book Antiqua" w:hAnsi="Book Antiqua" w:cs="Book Antiqua"/>
          <w:color w:val="000000"/>
        </w:rPr>
        <w:t>. Since mannitol was applied for a long period in this case, the patients was carefully monitored for complications during hospitalization, including laboratory tests such as blood gas, electrolyte, serum osmolarity, creatinine and BUN (Table 1). Although eGFR decreased to 20% of baseline during the first week after admission, it recovered to the baseline level and was maintained until discharge. Except for this mild, temporary decrease in renal function, no serious complications o</w:t>
      </w:r>
      <w:r w:rsidR="00D035A0">
        <w:rPr>
          <w:rFonts w:ascii="Book Antiqua" w:eastAsia="Book Antiqua" w:hAnsi="Book Antiqua" w:cs="Book Antiqua"/>
          <w:color w:val="000000"/>
        </w:rPr>
        <w:t>ccurred during hospitalization.</w:t>
      </w:r>
    </w:p>
    <w:p w14:paraId="4E1F8E26" w14:textId="77777777" w:rsidR="00A77B3E" w:rsidRPr="00D035A0" w:rsidRDefault="003014F4" w:rsidP="00D035A0">
      <w:pPr>
        <w:spacing w:line="360" w:lineRule="auto"/>
        <w:ind w:firstLineChars="100" w:firstLine="240"/>
        <w:jc w:val="both"/>
        <w:rPr>
          <w:rFonts w:ascii="Book Antiqua" w:eastAsia="Book Antiqua" w:hAnsi="Book Antiqua" w:cs="Book Antiqua"/>
          <w:color w:val="000000"/>
        </w:rPr>
      </w:pPr>
      <w:r w:rsidRPr="00D035A0">
        <w:rPr>
          <w:rFonts w:ascii="Book Antiqua" w:eastAsia="Book Antiqua" w:hAnsi="Book Antiqua" w:cs="Book Antiqua"/>
          <w:color w:val="000000"/>
        </w:rPr>
        <w:t>In this case, mannitol was used for 27 d</w:t>
      </w:r>
      <w:r w:rsidR="00D035A0">
        <w:rPr>
          <w:rFonts w:ascii="Book Antiqua" w:hAnsi="Book Antiqua" w:cs="Book Antiqua" w:hint="eastAsia"/>
          <w:color w:val="000000"/>
          <w:lang w:eastAsia="zh-CN"/>
        </w:rPr>
        <w:t xml:space="preserve"> </w:t>
      </w:r>
      <w:r w:rsidRPr="00D035A0">
        <w:rPr>
          <w:rFonts w:ascii="Book Antiqua" w:eastAsia="Book Antiqua" w:hAnsi="Book Antiqua" w:cs="Book Antiqua"/>
          <w:color w:val="000000"/>
        </w:rPr>
        <w:t>(hospital days 1-27) after admission and then used for an additional 7 d</w:t>
      </w:r>
      <w:r w:rsidR="00D035A0">
        <w:rPr>
          <w:rFonts w:ascii="Book Antiqua" w:hAnsi="Book Antiqua" w:cs="Book Antiqua" w:hint="eastAsia"/>
          <w:color w:val="000000"/>
          <w:lang w:eastAsia="zh-CN"/>
        </w:rPr>
        <w:t xml:space="preserve"> </w:t>
      </w:r>
      <w:r w:rsidRPr="00D035A0">
        <w:rPr>
          <w:rFonts w:ascii="Book Antiqua" w:eastAsia="Book Antiqua" w:hAnsi="Book Antiqua" w:cs="Book Antiqua"/>
          <w:color w:val="000000"/>
        </w:rPr>
        <w:t>(hospital days 52-58) under close monitoring. Considering that serious side effects are unlikely to occur when used in this way, it is considered appropriate to use within 1 mo. However, since these results represent administration in only on patient, it is necessary to verify the appropriate period of use through additional large-scale studies.</w:t>
      </w:r>
    </w:p>
    <w:p w14:paraId="2B9D228B" w14:textId="77777777" w:rsidR="00A77B3E" w:rsidRPr="00D035A0" w:rsidRDefault="003014F4" w:rsidP="00D035A0">
      <w:pPr>
        <w:spacing w:line="360" w:lineRule="auto"/>
        <w:ind w:firstLineChars="100" w:firstLine="240"/>
        <w:jc w:val="both"/>
        <w:rPr>
          <w:rFonts w:ascii="Book Antiqua" w:hAnsi="Book Antiqua" w:cs="Book Antiqua"/>
          <w:color w:val="000000"/>
          <w:lang w:eastAsia="zh-CN"/>
        </w:rPr>
      </w:pPr>
      <w:r w:rsidRPr="00D035A0">
        <w:rPr>
          <w:rFonts w:ascii="Book Antiqua" w:eastAsia="Book Antiqua" w:hAnsi="Book Antiqua" w:cs="Book Antiqua"/>
          <w:color w:val="000000"/>
        </w:rPr>
        <w:t xml:space="preserve">Intravenous hypertonic saline solution was reported to have a similar effect to mannitol in ICP </w:t>
      </w:r>
      <w:proofErr w:type="gramStart"/>
      <w:r w:rsidRPr="00D035A0">
        <w:rPr>
          <w:rFonts w:ascii="Book Antiqua" w:eastAsia="Book Antiqua" w:hAnsi="Book Antiqua" w:cs="Book Antiqua"/>
          <w:color w:val="000000"/>
        </w:rPr>
        <w:t>control</w:t>
      </w:r>
      <w:r w:rsidRPr="00D035A0">
        <w:rPr>
          <w:rFonts w:ascii="Book Antiqua" w:eastAsia="Book Antiqua" w:hAnsi="Book Antiqua" w:cs="Book Antiqua"/>
          <w:color w:val="000000"/>
          <w:vertAlign w:val="superscript"/>
        </w:rPr>
        <w:t>[</w:t>
      </w:r>
      <w:proofErr w:type="gramEnd"/>
      <w:r w:rsidRPr="00D035A0">
        <w:rPr>
          <w:rFonts w:ascii="Book Antiqua" w:eastAsia="Book Antiqua" w:hAnsi="Book Antiqua" w:cs="Book Antiqua"/>
          <w:color w:val="000000"/>
          <w:vertAlign w:val="superscript"/>
        </w:rPr>
        <w:t>16]</w:t>
      </w:r>
      <w:r w:rsidRPr="00D035A0">
        <w:rPr>
          <w:rFonts w:ascii="Book Antiqua" w:eastAsia="Book Antiqua" w:hAnsi="Book Antiqua" w:cs="Book Antiqua"/>
          <w:color w:val="000000"/>
        </w:rPr>
        <w:t>. However, in this case, it was not possible to compare the effects of mannitol with hypertonic saline, and the superior effect of mannitol over hypertonic saline should be confirmed in large-scale, long-term study.</w:t>
      </w:r>
      <w:r>
        <w:rPr>
          <w:rFonts w:ascii="Book Antiqua" w:eastAsia="Book Antiqua" w:hAnsi="Book Antiqua" w:cs="Book Antiqua"/>
          <w:color w:val="000000"/>
        </w:rPr>
        <w:t xml:space="preserve"> This is a case report of refractory lymphedema after surgery for cervical cancer that was treated with mannitol and furosemide. Currently, there is no routine pharmacologic treatment for refractory lymphedema and this case suggests that the use of mannitol and furosemide may be considered</w:t>
      </w:r>
      <w:r w:rsidR="00D035A0">
        <w:rPr>
          <w:rFonts w:ascii="Book Antiqua" w:eastAsia="Book Antiqua" w:hAnsi="Book Antiqua" w:cs="Book Antiqua"/>
          <w:color w:val="000000"/>
        </w:rPr>
        <w:t xml:space="preserve"> as a treatment for lymphedema.</w:t>
      </w:r>
    </w:p>
    <w:p w14:paraId="46430710" w14:textId="77777777" w:rsidR="00A77B3E" w:rsidRDefault="003014F4" w:rsidP="00D035A0">
      <w:pPr>
        <w:spacing w:line="360" w:lineRule="auto"/>
        <w:ind w:firstLineChars="100" w:firstLine="240"/>
        <w:jc w:val="both"/>
      </w:pPr>
      <w:r>
        <w:rPr>
          <w:rFonts w:ascii="Book Antiqua" w:eastAsia="Book Antiqua" w:hAnsi="Book Antiqua" w:cs="Book Antiqua"/>
          <w:color w:val="000000"/>
        </w:rPr>
        <w:t xml:space="preserve">There are a few limitations to consider in our case report. </w:t>
      </w:r>
      <w:r w:rsidRPr="00D035A0">
        <w:rPr>
          <w:rFonts w:ascii="Book Antiqua" w:eastAsia="Book Antiqua" w:hAnsi="Book Antiqua" w:cs="Book Antiqua"/>
          <w:color w:val="000000"/>
        </w:rPr>
        <w:t>First, this is a case report describing one patient. There are limitations to generalizing the use of mannitol to other patients with lymphedema.</w:t>
      </w:r>
      <w:r>
        <w:rPr>
          <w:rFonts w:ascii="Book Antiqua" w:eastAsia="Book Antiqua" w:hAnsi="Book Antiqua" w:cs="Book Antiqua"/>
          <w:color w:val="000000"/>
        </w:rPr>
        <w:t xml:space="preserve"> Second, since pharmacologic agents and CDT were co-administered, the results should be compared only to the effect of mannitol and furosemide. Third, high-dose mannitol therapy necessitates close monitoring because of </w:t>
      </w:r>
      <w:r>
        <w:rPr>
          <w:rFonts w:ascii="Book Antiqua" w:eastAsia="Book Antiqua" w:hAnsi="Book Antiqua" w:cs="Book Antiqua"/>
          <w:color w:val="000000"/>
        </w:rPr>
        <w:lastRenderedPageBreak/>
        <w:t>its side effects, such as congestive heart failure, hyperosmolarity, hyponatremia, hypokalemia, and acute renal failure</w:t>
      </w:r>
      <w:r>
        <w:rPr>
          <w:rFonts w:ascii="Book Antiqua" w:eastAsia="Book Antiqua" w:hAnsi="Book Antiqua" w:cs="Book Antiqua"/>
          <w:color w:val="000000"/>
          <w:vertAlign w:val="superscript"/>
        </w:rPr>
        <w:t>[8]</w:t>
      </w:r>
      <w:r>
        <w:rPr>
          <w:rFonts w:ascii="Book Antiqua" w:eastAsia="Book Antiqua" w:hAnsi="Book Antiqua" w:cs="Book Antiqua"/>
          <w:color w:val="000000"/>
        </w:rPr>
        <w:t>. In the present case, there were no significant complications with mannitol use, but its side effects would need close monitoring in the outpatient setting.</w:t>
      </w:r>
    </w:p>
    <w:p w14:paraId="1472BF1E" w14:textId="77777777" w:rsidR="00A77B3E" w:rsidRDefault="00A77B3E" w:rsidP="00D035A0">
      <w:pPr>
        <w:spacing w:line="360" w:lineRule="auto"/>
        <w:jc w:val="both"/>
        <w:rPr>
          <w:lang w:eastAsia="zh-CN"/>
        </w:rPr>
      </w:pPr>
    </w:p>
    <w:p w14:paraId="111A8E42" w14:textId="77777777" w:rsidR="00A77B3E" w:rsidRDefault="003014F4">
      <w:pPr>
        <w:spacing w:line="360" w:lineRule="auto"/>
        <w:jc w:val="both"/>
      </w:pPr>
      <w:r>
        <w:rPr>
          <w:rFonts w:ascii="Book Antiqua" w:eastAsia="Book Antiqua" w:hAnsi="Book Antiqua" w:cs="Book Antiqua"/>
          <w:b/>
          <w:caps/>
          <w:color w:val="000000"/>
          <w:u w:val="single"/>
        </w:rPr>
        <w:t>CONCLUSION</w:t>
      </w:r>
    </w:p>
    <w:p w14:paraId="42D041D5" w14:textId="77777777" w:rsidR="00A77B3E" w:rsidRDefault="003014F4" w:rsidP="00D035A0">
      <w:pPr>
        <w:spacing w:line="360" w:lineRule="auto"/>
        <w:jc w:val="both"/>
      </w:pPr>
      <w:r w:rsidRPr="00D035A0">
        <w:rPr>
          <w:rFonts w:ascii="Book Antiqua" w:eastAsia="Book Antiqua" w:hAnsi="Book Antiqua" w:cs="Book Antiqua"/>
          <w:color w:val="000000"/>
        </w:rPr>
        <w:t>Although our findings cannot be generalized to a larger population,</w:t>
      </w:r>
      <w:r>
        <w:rPr>
          <w:rFonts w:ascii="Book Antiqua" w:eastAsia="Book Antiqua" w:hAnsi="Book Antiqua" w:cs="Book Antiqua"/>
          <w:color w:val="000000"/>
        </w:rPr>
        <w:t xml:space="preserve"> the present case </w:t>
      </w:r>
      <w:r w:rsidRPr="00D035A0">
        <w:rPr>
          <w:rFonts w:ascii="Book Antiqua" w:eastAsia="Book Antiqua" w:hAnsi="Book Antiqua" w:cs="Book Antiqua"/>
          <w:color w:val="000000"/>
        </w:rPr>
        <w:t>raises the possibility</w:t>
      </w:r>
      <w:r>
        <w:rPr>
          <w:rFonts w:ascii="Book Antiqua" w:eastAsia="Book Antiqua" w:hAnsi="Book Antiqua" w:cs="Book Antiqua"/>
          <w:color w:val="000000"/>
        </w:rPr>
        <w:t xml:space="preserve"> that a combination of mannitol and furosemide </w:t>
      </w:r>
      <w:r w:rsidRPr="00D035A0">
        <w:rPr>
          <w:rFonts w:ascii="Book Antiqua" w:eastAsia="Book Antiqua" w:hAnsi="Book Antiqua" w:cs="Book Antiqua"/>
          <w:color w:val="000000"/>
        </w:rPr>
        <w:t>might</w:t>
      </w:r>
      <w:r>
        <w:rPr>
          <w:rFonts w:ascii="Book Antiqua" w:eastAsia="Book Antiqua" w:hAnsi="Book Antiqua" w:cs="Book Antiqua"/>
          <w:color w:val="000000"/>
        </w:rPr>
        <w:t xml:space="preserve"> be an effective therapeutic option for refractory lymphedema when CDT and IPC are ineffective. It is a noninvasive treatment option and could be combined with conventional physical therapy. However, further large-scale studies should be performed to clarify the effect of mannitol and furosemide on lymphedema.</w:t>
      </w:r>
    </w:p>
    <w:p w14:paraId="4A7A69A3" w14:textId="77777777" w:rsidR="00A77B3E" w:rsidRDefault="00A77B3E" w:rsidP="00D035A0">
      <w:pPr>
        <w:spacing w:line="360" w:lineRule="auto"/>
        <w:jc w:val="both"/>
        <w:rPr>
          <w:lang w:eastAsia="zh-CN"/>
        </w:rPr>
      </w:pPr>
    </w:p>
    <w:p w14:paraId="55336336" w14:textId="77777777" w:rsidR="00A77B3E" w:rsidRDefault="003014F4" w:rsidP="00D035A0">
      <w:pPr>
        <w:spacing w:line="360" w:lineRule="auto"/>
        <w:jc w:val="both"/>
      </w:pPr>
      <w:r>
        <w:rPr>
          <w:rFonts w:ascii="Book Antiqua" w:eastAsia="Book Antiqua" w:hAnsi="Book Antiqua" w:cs="Book Antiqua"/>
          <w:b/>
          <w:color w:val="000000"/>
        </w:rPr>
        <w:t>REFERENCES</w:t>
      </w:r>
    </w:p>
    <w:p w14:paraId="2F71F605" w14:textId="77777777" w:rsidR="00A77B3E" w:rsidRDefault="003014F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Grada</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Phillips TJ. Lymphedema: Pathophysiology and clinical manifestations.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1009-1020 [PMID: 29132848 DOI: 10.1016/j.jaad.2017.03.022]</w:t>
      </w:r>
    </w:p>
    <w:p w14:paraId="41F7EAC5" w14:textId="77777777" w:rsidR="00A77B3E" w:rsidRDefault="003014F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O'Donnell TF Jr</w:t>
      </w:r>
      <w:r>
        <w:rPr>
          <w:rFonts w:ascii="Book Antiqua" w:eastAsia="Book Antiqua" w:hAnsi="Book Antiqua" w:cs="Book Antiqua"/>
          <w:color w:val="000000"/>
        </w:rPr>
        <w:t xml:space="preserve">, Allison GM, </w:t>
      </w:r>
      <w:proofErr w:type="spellStart"/>
      <w:r>
        <w:rPr>
          <w:rFonts w:ascii="Book Antiqua" w:eastAsia="Book Antiqua" w:hAnsi="Book Antiqua" w:cs="Book Antiqua"/>
          <w:color w:val="000000"/>
        </w:rPr>
        <w:t>Iafrati</w:t>
      </w:r>
      <w:proofErr w:type="spellEnd"/>
      <w:r>
        <w:rPr>
          <w:rFonts w:ascii="Book Antiqua" w:eastAsia="Book Antiqua" w:hAnsi="Book Antiqua" w:cs="Book Antiqua"/>
          <w:color w:val="000000"/>
        </w:rPr>
        <w:t xml:space="preserve"> MD. A systematic review of guidelines for lymphedema and the need for contemporary intersocietal guidelines for the management of lymphedema.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 Venous </w:t>
      </w:r>
      <w:proofErr w:type="spellStart"/>
      <w:r>
        <w:rPr>
          <w:rFonts w:ascii="Book Antiqua" w:eastAsia="Book Antiqua" w:hAnsi="Book Antiqua" w:cs="Book Antiqua"/>
          <w:i/>
          <w:iCs/>
          <w:color w:val="000000"/>
        </w:rPr>
        <w:t>Lymphat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676-684 [PMID: 32444277 DOI: 10.1016/j.jvsv.2020.03.006]</w:t>
      </w:r>
    </w:p>
    <w:p w14:paraId="5EF64FF2" w14:textId="77777777" w:rsidR="00A77B3E" w:rsidRDefault="003014F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D</w:t>
      </w:r>
      <w:r>
        <w:rPr>
          <w:rFonts w:ascii="Book Antiqua" w:eastAsia="Book Antiqua" w:hAnsi="Book Antiqua" w:cs="Book Antiqua"/>
          <w:color w:val="000000"/>
        </w:rPr>
        <w:t xml:space="preserve">, Lyons D, </w:t>
      </w:r>
      <w:proofErr w:type="spellStart"/>
      <w:r>
        <w:rPr>
          <w:rFonts w:ascii="Book Antiqua" w:eastAsia="Book Antiqua" w:hAnsi="Book Antiqua" w:cs="Book Antiqua"/>
          <w:color w:val="000000"/>
        </w:rPr>
        <w:t>Skoracki</w:t>
      </w:r>
      <w:proofErr w:type="spellEnd"/>
      <w:r>
        <w:rPr>
          <w:rFonts w:ascii="Book Antiqua" w:eastAsia="Book Antiqua" w:hAnsi="Book Antiqua" w:cs="Book Antiqua"/>
          <w:color w:val="000000"/>
        </w:rPr>
        <w:t xml:space="preserve"> R. Lymphedema: Conventional to Cutting Edge Treatment.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295-308 [PMID: 32773955 DOI: 10.1055/s-0040-1713447]</w:t>
      </w:r>
    </w:p>
    <w:p w14:paraId="2A65E296" w14:textId="77777777" w:rsidR="00A77B3E" w:rsidRDefault="003014F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Gutierrez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Karni</w:t>
      </w:r>
      <w:proofErr w:type="spellEnd"/>
      <w:r>
        <w:rPr>
          <w:rFonts w:ascii="Book Antiqua" w:eastAsia="Book Antiqua" w:hAnsi="Book Antiqua" w:cs="Book Antiqua"/>
          <w:color w:val="000000"/>
        </w:rPr>
        <w:t xml:space="preserve"> RJ, Naqvi S, Aldrich MB, Zhu B, Morrow JR, </w:t>
      </w:r>
      <w:proofErr w:type="spellStart"/>
      <w:r>
        <w:rPr>
          <w:rFonts w:ascii="Book Antiqua" w:eastAsia="Book Antiqua" w:hAnsi="Book Antiqua" w:cs="Book Antiqua"/>
          <w:color w:val="000000"/>
        </w:rPr>
        <w:t>Sevick-Muraca</w:t>
      </w:r>
      <w:proofErr w:type="spellEnd"/>
      <w:r>
        <w:rPr>
          <w:rFonts w:ascii="Book Antiqua" w:eastAsia="Book Antiqua" w:hAnsi="Book Antiqua" w:cs="Book Antiqua"/>
          <w:color w:val="000000"/>
        </w:rPr>
        <w:t xml:space="preserve"> EM, Rasmussen JC. Head and Neck Lymphedema: Treatment Response to Single and Multiple Sessions of Advanced Pneumatic Compression Therapy.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160</w:t>
      </w:r>
      <w:r>
        <w:rPr>
          <w:rFonts w:ascii="Book Antiqua" w:eastAsia="Book Antiqua" w:hAnsi="Book Antiqua" w:cs="Book Antiqua"/>
          <w:color w:val="000000"/>
        </w:rPr>
        <w:t>: 622-626 [PMID: 30694720 DOI: 10.1177/0194599818823180]</w:t>
      </w:r>
    </w:p>
    <w:p w14:paraId="21B26F02" w14:textId="77777777" w:rsidR="00A77B3E" w:rsidRDefault="003014F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Toyserkani</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JA. The effect of prophylactic </w:t>
      </w:r>
      <w:proofErr w:type="spellStart"/>
      <w:r>
        <w:rPr>
          <w:rFonts w:ascii="Book Antiqua" w:eastAsia="Book Antiqua" w:hAnsi="Book Antiqua" w:cs="Book Antiqua"/>
          <w:color w:val="000000"/>
        </w:rPr>
        <w:t>lymphovenous</w:t>
      </w:r>
      <w:proofErr w:type="spellEnd"/>
      <w:r>
        <w:rPr>
          <w:rFonts w:ascii="Book Antiqua" w:eastAsia="Book Antiqua" w:hAnsi="Book Antiqua" w:cs="Book Antiqua"/>
          <w:color w:val="000000"/>
        </w:rPr>
        <w:t xml:space="preserve"> anastomosis and shunts for preventing cancer-related lymphedema: a </w:t>
      </w:r>
      <w:r>
        <w:rPr>
          <w:rFonts w:ascii="Book Antiqua" w:eastAsia="Book Antiqua" w:hAnsi="Book Antiqua" w:cs="Book Antiqua"/>
          <w:color w:val="000000"/>
        </w:rPr>
        <w:lastRenderedPageBreak/>
        <w:t xml:space="preserve">systematic review and meta-analysis. </w:t>
      </w:r>
      <w:r>
        <w:rPr>
          <w:rFonts w:ascii="Book Antiqua" w:eastAsia="Book Antiqua" w:hAnsi="Book Antiqua" w:cs="Book Antiqua"/>
          <w:i/>
          <w:iCs/>
          <w:color w:val="000000"/>
        </w:rPr>
        <w:t>Microsurgery</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576-585 [PMID: 28370317 DOI: 10.1002/micr.30180]</w:t>
      </w:r>
    </w:p>
    <w:p w14:paraId="55596363" w14:textId="77777777" w:rsidR="00A77B3E" w:rsidRDefault="003014F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Boyages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Kastanias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Koelmeyer</w:t>
      </w:r>
      <w:proofErr w:type="spellEnd"/>
      <w:r>
        <w:rPr>
          <w:rFonts w:ascii="Book Antiqua" w:eastAsia="Book Antiqua" w:hAnsi="Book Antiqua" w:cs="Book Antiqua"/>
          <w:color w:val="000000"/>
        </w:rPr>
        <w:t xml:space="preserve"> LA, Winch CJ, Lam TC, Sherman KA, </w:t>
      </w:r>
      <w:proofErr w:type="spellStart"/>
      <w:r>
        <w:rPr>
          <w:rFonts w:ascii="Book Antiqua" w:eastAsia="Book Antiqua" w:hAnsi="Book Antiqua" w:cs="Book Antiqua"/>
          <w:color w:val="000000"/>
        </w:rPr>
        <w:t>Munnoch</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Brorson</w:t>
      </w:r>
      <w:proofErr w:type="spellEnd"/>
      <w:r>
        <w:rPr>
          <w:rFonts w:ascii="Book Antiqua" w:eastAsia="Book Antiqua" w:hAnsi="Book Antiqua" w:cs="Book Antiqua"/>
          <w:color w:val="000000"/>
        </w:rPr>
        <w:t xml:space="preserve"> H, Ngo QD, </w:t>
      </w:r>
      <w:proofErr w:type="spellStart"/>
      <w:r>
        <w:rPr>
          <w:rFonts w:ascii="Book Antiqua" w:eastAsia="Book Antiqua" w:hAnsi="Book Antiqua" w:cs="Book Antiqua"/>
          <w:color w:val="000000"/>
        </w:rPr>
        <w:t>Heydon</w:t>
      </w:r>
      <w:proofErr w:type="spellEnd"/>
      <w:r>
        <w:rPr>
          <w:rFonts w:ascii="Book Antiqua" w:eastAsia="Book Antiqua" w:hAnsi="Book Antiqua" w:cs="Book Antiqua"/>
          <w:color w:val="000000"/>
        </w:rPr>
        <w:t xml:space="preserve">-White A, Magnussen JS, Mackie H. Liposuction for Advanced Lymphedema: A Multidisciplinary Approach for Complete Reduction of Arm and Leg Swelling.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 Suppl 3</w:t>
      </w:r>
      <w:r>
        <w:rPr>
          <w:rFonts w:ascii="Book Antiqua" w:eastAsia="Book Antiqua" w:hAnsi="Book Antiqua" w:cs="Book Antiqua"/>
          <w:color w:val="000000"/>
        </w:rPr>
        <w:t>: S1263-S1270 [PMID: 26122375 DOI: 10.1245/s10434-015-4700-3]</w:t>
      </w:r>
    </w:p>
    <w:p w14:paraId="6146A7A0" w14:textId="77777777" w:rsidR="00A77B3E" w:rsidRDefault="003014F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Rockson</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Tian W, Jiang X, Kuznetsova T, Haddad F, </w:t>
      </w:r>
      <w:proofErr w:type="spellStart"/>
      <w:r>
        <w:rPr>
          <w:rFonts w:ascii="Book Antiqua" w:eastAsia="Book Antiqua" w:hAnsi="Book Antiqua" w:cs="Book Antiqua"/>
          <w:color w:val="000000"/>
        </w:rPr>
        <w:t>Zampell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Mehrara</w:t>
      </w:r>
      <w:proofErr w:type="spellEnd"/>
      <w:r>
        <w:rPr>
          <w:rFonts w:ascii="Book Antiqua" w:eastAsia="Book Antiqua" w:hAnsi="Book Antiqua" w:cs="Book Antiqua"/>
          <w:color w:val="000000"/>
        </w:rPr>
        <w:t xml:space="preserve"> B, Sampson JP, Roche L, Kim J, Nicolls MR. Pilot studies demonstrate the potential benefits of </w:t>
      </w:r>
      <w:proofErr w:type="spellStart"/>
      <w:r>
        <w:rPr>
          <w:rFonts w:ascii="Book Antiqua" w:eastAsia="Book Antiqua" w:hAnsi="Book Antiqua" w:cs="Book Antiqua"/>
          <w:color w:val="000000"/>
        </w:rPr>
        <w:t>antiinflammatory</w:t>
      </w:r>
      <w:proofErr w:type="spellEnd"/>
      <w:r>
        <w:rPr>
          <w:rFonts w:ascii="Book Antiqua" w:eastAsia="Book Antiqua" w:hAnsi="Book Antiqua" w:cs="Book Antiqua"/>
          <w:color w:val="000000"/>
        </w:rPr>
        <w:t xml:space="preserve"> therapy in human lymphedema.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xml:space="preserve"> [PMID: 30333315 DOI: 10.1172/jci.insight.123775]</w:t>
      </w:r>
    </w:p>
    <w:p w14:paraId="6E999D15" w14:textId="77777777" w:rsidR="00A77B3E" w:rsidRDefault="003014F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Gardenier</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Kataru</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Hespe</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Savetsky</w:t>
      </w:r>
      <w:proofErr w:type="spellEnd"/>
      <w:r>
        <w:rPr>
          <w:rFonts w:ascii="Book Antiqua" w:eastAsia="Book Antiqua" w:hAnsi="Book Antiqua" w:cs="Book Antiqua"/>
          <w:color w:val="000000"/>
        </w:rPr>
        <w:t xml:space="preserve"> IL, </w:t>
      </w:r>
      <w:proofErr w:type="spellStart"/>
      <w:r>
        <w:rPr>
          <w:rFonts w:ascii="Book Antiqua" w:eastAsia="Book Antiqua" w:hAnsi="Book Antiqua" w:cs="Book Antiqua"/>
          <w:color w:val="000000"/>
        </w:rPr>
        <w:t>Torrisi</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Nores</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Jowhar</w:t>
      </w:r>
      <w:proofErr w:type="spellEnd"/>
      <w:r>
        <w:rPr>
          <w:rFonts w:ascii="Book Antiqua" w:eastAsia="Book Antiqua" w:hAnsi="Book Antiqua" w:cs="Book Antiqua"/>
          <w:color w:val="000000"/>
        </w:rPr>
        <w:t xml:space="preserve"> DK, Nitti MD, Schofield RC, </w:t>
      </w:r>
      <w:proofErr w:type="spellStart"/>
      <w:r>
        <w:rPr>
          <w:rFonts w:ascii="Book Antiqua" w:eastAsia="Book Antiqua" w:hAnsi="Book Antiqua" w:cs="Book Antiqua"/>
          <w:color w:val="000000"/>
        </w:rPr>
        <w:t>Carlow</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Mehrara</w:t>
      </w:r>
      <w:proofErr w:type="spellEnd"/>
      <w:r>
        <w:rPr>
          <w:rFonts w:ascii="Book Antiqua" w:eastAsia="Book Antiqua" w:hAnsi="Book Antiqua" w:cs="Book Antiqua"/>
          <w:color w:val="000000"/>
        </w:rPr>
        <w:t xml:space="preserve"> BJ. Topical tacrolimus for the treatment of secondary lymphedema.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14345 [PMID: 28186091 DOI: 10.1038/ncomms14345]</w:t>
      </w:r>
    </w:p>
    <w:p w14:paraId="162C276B" w14:textId="77777777" w:rsidR="00A77B3E" w:rsidRDefault="003014F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Thenuwara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Todd MM, Brian JE Jr. Effect of mannitol and furosemide on plasma osmolality and brain water.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96</w:t>
      </w:r>
      <w:r>
        <w:rPr>
          <w:rFonts w:ascii="Book Antiqua" w:eastAsia="Book Antiqua" w:hAnsi="Book Antiqua" w:cs="Book Antiqua"/>
          <w:color w:val="000000"/>
        </w:rPr>
        <w:t>: 416-421 [PMID: 11818776 DOI: 10.1097/00000542-200202000-00029]</w:t>
      </w:r>
    </w:p>
    <w:p w14:paraId="36F0DFDB" w14:textId="77777777" w:rsidR="00A77B3E" w:rsidRDefault="003014F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Dorman HR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Sondheimer</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Cadnapaphornchai</w:t>
      </w:r>
      <w:proofErr w:type="spellEnd"/>
      <w:r>
        <w:rPr>
          <w:rFonts w:ascii="Book Antiqua" w:eastAsia="Book Antiqua" w:hAnsi="Book Antiqua" w:cs="Book Antiqua"/>
          <w:color w:val="000000"/>
        </w:rPr>
        <w:t xml:space="preserve"> P. Mannitol-induced acute renal failure.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1990; </w:t>
      </w:r>
      <w:r>
        <w:rPr>
          <w:rFonts w:ascii="Book Antiqua" w:eastAsia="Book Antiqua" w:hAnsi="Book Antiqua" w:cs="Book Antiqua"/>
          <w:b/>
          <w:bCs/>
          <w:color w:val="000000"/>
        </w:rPr>
        <w:t>69</w:t>
      </w:r>
      <w:r>
        <w:rPr>
          <w:rFonts w:ascii="Book Antiqua" w:eastAsia="Book Antiqua" w:hAnsi="Book Antiqua" w:cs="Book Antiqua"/>
          <w:color w:val="000000"/>
        </w:rPr>
        <w:t>: 153-159 [PMID: 2111870 DOI: 10.1097/00005792-199005000-00003]</w:t>
      </w:r>
    </w:p>
    <w:p w14:paraId="51C89FF0" w14:textId="77777777" w:rsidR="00A77B3E" w:rsidRDefault="003014F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Mercadante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Ferrera</w:t>
      </w:r>
      <w:proofErr w:type="spellEnd"/>
      <w:r>
        <w:rPr>
          <w:rFonts w:ascii="Book Antiqua" w:eastAsia="Book Antiqua" w:hAnsi="Book Antiqua" w:cs="Book Antiqua"/>
          <w:color w:val="000000"/>
        </w:rPr>
        <w:t xml:space="preserve"> P, David F, </w:t>
      </w:r>
      <w:proofErr w:type="spellStart"/>
      <w:r>
        <w:rPr>
          <w:rFonts w:ascii="Book Antiqua" w:eastAsia="Book Antiqua" w:hAnsi="Book Antiqua" w:cs="Book Antiqua"/>
          <w:color w:val="000000"/>
        </w:rPr>
        <w:t>Intravaia</w:t>
      </w:r>
      <w:proofErr w:type="spellEnd"/>
      <w:r>
        <w:rPr>
          <w:rFonts w:ascii="Book Antiqua" w:eastAsia="Book Antiqua" w:hAnsi="Book Antiqua" w:cs="Book Antiqua"/>
          <w:color w:val="000000"/>
        </w:rPr>
        <w:t xml:space="preserve"> G. High-dose furosemide and small-volume hypertonic saline solution infusion for the treatment of leg edema in advanced cancer patients. </w:t>
      </w:r>
      <w:r>
        <w:rPr>
          <w:rFonts w:ascii="Book Antiqua" w:eastAsia="Book Antiqua" w:hAnsi="Book Antiqua" w:cs="Book Antiqua"/>
          <w:i/>
          <w:iCs/>
          <w:color w:val="000000"/>
        </w:rPr>
        <w:t>J Pain Symptom Manage</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419-423 [PMID: 18790601 DOI: 10.1016/j.jpainsymman.2008.03.019]</w:t>
      </w:r>
    </w:p>
    <w:p w14:paraId="18AC89B0" w14:textId="77777777" w:rsidR="00A77B3E" w:rsidRDefault="003014F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Davis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Lucatorto</w:t>
      </w:r>
      <w:proofErr w:type="spellEnd"/>
      <w:r>
        <w:rPr>
          <w:rFonts w:ascii="Book Antiqua" w:eastAsia="Book Antiqua" w:hAnsi="Book Antiqua" w:cs="Book Antiqua"/>
          <w:color w:val="000000"/>
        </w:rPr>
        <w:t xml:space="preserve"> M. Mannitol revisited.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26</w:t>
      </w:r>
      <w:r>
        <w:rPr>
          <w:rFonts w:ascii="Book Antiqua" w:eastAsia="Book Antiqua" w:hAnsi="Book Antiqua" w:cs="Book Antiqua"/>
          <w:color w:val="000000"/>
        </w:rPr>
        <w:t>: 170-174 [PMID: 7963823 DOI: 10.1097/01376517-199406000-00012]</w:t>
      </w:r>
    </w:p>
    <w:p w14:paraId="2E2AF410" w14:textId="77777777" w:rsidR="00A77B3E" w:rsidRDefault="003014F4">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Troupp</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Valtonen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Vapalahti</w:t>
      </w:r>
      <w:proofErr w:type="spellEnd"/>
      <w:r>
        <w:rPr>
          <w:rFonts w:ascii="Book Antiqua" w:eastAsia="Book Antiqua" w:hAnsi="Book Antiqua" w:cs="Book Antiqua"/>
          <w:color w:val="000000"/>
        </w:rPr>
        <w:t xml:space="preserve"> M. Intraventricular pressure after administration of dehydrating agents to severely brain-injured patients: is there a rebound phenomenon?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1971; </w:t>
      </w:r>
      <w:r>
        <w:rPr>
          <w:rFonts w:ascii="Book Antiqua" w:eastAsia="Book Antiqua" w:hAnsi="Book Antiqua" w:cs="Book Antiqua"/>
          <w:b/>
          <w:bCs/>
          <w:color w:val="000000"/>
        </w:rPr>
        <w:t>24</w:t>
      </w:r>
      <w:r>
        <w:rPr>
          <w:rFonts w:ascii="Book Antiqua" w:eastAsia="Book Antiqua" w:hAnsi="Book Antiqua" w:cs="Book Antiqua"/>
          <w:color w:val="000000"/>
        </w:rPr>
        <w:t>: 89-95 [PMID: 5112464 DOI: 10.1007/BF01403314]</w:t>
      </w:r>
    </w:p>
    <w:p w14:paraId="40E1DC75" w14:textId="77777777" w:rsidR="00A77B3E" w:rsidRDefault="003014F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Oken</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Renal and extrarenal considerations in high-dose mannitol therapy. </w:t>
      </w:r>
      <w:r>
        <w:rPr>
          <w:rFonts w:ascii="Book Antiqua" w:eastAsia="Book Antiqua" w:hAnsi="Book Antiqua" w:cs="Book Antiqua"/>
          <w:i/>
          <w:iCs/>
          <w:color w:val="000000"/>
        </w:rPr>
        <w:t>Ren Fail</w:t>
      </w:r>
      <w:r>
        <w:rPr>
          <w:rFonts w:ascii="Book Antiqua" w:eastAsia="Book Antiqua" w:hAnsi="Book Antiqua" w:cs="Book Antiqua"/>
          <w:color w:val="000000"/>
        </w:rPr>
        <w:t xml:space="preserve"> 1994; </w:t>
      </w:r>
      <w:r>
        <w:rPr>
          <w:rFonts w:ascii="Book Antiqua" w:eastAsia="Book Antiqua" w:hAnsi="Book Antiqua" w:cs="Book Antiqua"/>
          <w:b/>
          <w:bCs/>
          <w:color w:val="000000"/>
        </w:rPr>
        <w:t>16</w:t>
      </w:r>
      <w:r>
        <w:rPr>
          <w:rFonts w:ascii="Book Antiqua" w:eastAsia="Book Antiqua" w:hAnsi="Book Antiqua" w:cs="Book Antiqua"/>
          <w:color w:val="000000"/>
        </w:rPr>
        <w:t>: 147-159 [PMID: 8184141 DOI: 10.3109/08860229409044856]</w:t>
      </w:r>
    </w:p>
    <w:p w14:paraId="33D35BC2" w14:textId="77777777" w:rsidR="00A77B3E" w:rsidRDefault="003014F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Bereczki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Fekete I, Prado GF, Liu M. Mannitol for acute stroke.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2007: CD001153 [PMID: 17636655 DOI: 10.1002/14651858.CD001153.pub2]</w:t>
      </w:r>
    </w:p>
    <w:p w14:paraId="4E73E07E" w14:textId="77777777" w:rsidR="00A77B3E" w:rsidRDefault="003014F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Schwarz S</w:t>
      </w:r>
      <w:r>
        <w:rPr>
          <w:rFonts w:ascii="Book Antiqua" w:eastAsia="Book Antiqua" w:hAnsi="Book Antiqua" w:cs="Book Antiqua"/>
          <w:color w:val="000000"/>
        </w:rPr>
        <w:t xml:space="preserve">, Georgiadis D, </w:t>
      </w:r>
      <w:proofErr w:type="spellStart"/>
      <w:r>
        <w:rPr>
          <w:rFonts w:ascii="Book Antiqua" w:eastAsia="Book Antiqua" w:hAnsi="Book Antiqua" w:cs="Book Antiqua"/>
          <w:color w:val="000000"/>
        </w:rPr>
        <w:t>Aschoff</w:t>
      </w:r>
      <w:proofErr w:type="spellEnd"/>
      <w:r>
        <w:rPr>
          <w:rFonts w:ascii="Book Antiqua" w:eastAsia="Book Antiqua" w:hAnsi="Book Antiqua" w:cs="Book Antiqua"/>
          <w:color w:val="000000"/>
        </w:rPr>
        <w:t xml:space="preserve"> A, Schwab S. Effects of hypertonic (10%) saline in patients with raised intracranial pressure after stroke.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2002; </w:t>
      </w:r>
      <w:r>
        <w:rPr>
          <w:rFonts w:ascii="Book Antiqua" w:eastAsia="Book Antiqua" w:hAnsi="Book Antiqua" w:cs="Book Antiqua"/>
          <w:b/>
          <w:bCs/>
          <w:color w:val="000000"/>
        </w:rPr>
        <w:t>33</w:t>
      </w:r>
      <w:r>
        <w:rPr>
          <w:rFonts w:ascii="Book Antiqua" w:eastAsia="Book Antiqua" w:hAnsi="Book Antiqua" w:cs="Book Antiqua"/>
          <w:color w:val="000000"/>
        </w:rPr>
        <w:t>: 136-140 [PMID: 11779902 DOI: 10.1161/hs0102.100877]</w:t>
      </w:r>
    </w:p>
    <w:p w14:paraId="4E781265" w14:textId="77777777" w:rsidR="00DE1913" w:rsidRDefault="00DE1913">
      <w:pPr>
        <w:spacing w:line="360" w:lineRule="auto"/>
        <w:jc w:val="both"/>
        <w:rPr>
          <w:rFonts w:ascii="Book Antiqua" w:hAnsi="Book Antiqua" w:cs="Book Antiqua"/>
          <w:b/>
          <w:color w:val="000000"/>
          <w:lang w:eastAsia="zh-CN"/>
        </w:rPr>
      </w:pPr>
    </w:p>
    <w:p w14:paraId="6F66979D" w14:textId="77777777" w:rsidR="00DE1913" w:rsidRDefault="00DE1913">
      <w:pPr>
        <w:spacing w:line="360" w:lineRule="auto"/>
        <w:jc w:val="both"/>
        <w:rPr>
          <w:rFonts w:ascii="Book Antiqua" w:hAnsi="Book Antiqua" w:cs="Book Antiqua"/>
          <w:b/>
          <w:color w:val="000000"/>
          <w:lang w:eastAsia="zh-CN"/>
        </w:rPr>
      </w:pPr>
    </w:p>
    <w:p w14:paraId="4DD34397" w14:textId="77777777" w:rsidR="00A77B3E" w:rsidRDefault="003014F4">
      <w:pPr>
        <w:spacing w:line="360" w:lineRule="auto"/>
        <w:jc w:val="both"/>
      </w:pPr>
      <w:r>
        <w:rPr>
          <w:rFonts w:ascii="Book Antiqua" w:eastAsia="Book Antiqua" w:hAnsi="Book Antiqua" w:cs="Book Antiqua"/>
          <w:b/>
          <w:color w:val="000000"/>
        </w:rPr>
        <w:t>Footnotes</w:t>
      </w:r>
    </w:p>
    <w:p w14:paraId="3CD4E4E0" w14:textId="77777777" w:rsidR="00A77B3E" w:rsidRDefault="003014F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Due to the patient’s stuporous mental status, informed consent was obtained from the patient’s son for publication of this report and any accompanying images.</w:t>
      </w:r>
    </w:p>
    <w:p w14:paraId="4E5D4A3A" w14:textId="77777777" w:rsidR="00A77B3E" w:rsidRDefault="00A77B3E">
      <w:pPr>
        <w:spacing w:line="360" w:lineRule="auto"/>
        <w:jc w:val="both"/>
      </w:pPr>
    </w:p>
    <w:p w14:paraId="6BF57FA4" w14:textId="77777777" w:rsidR="00A77B3E" w:rsidRDefault="003014F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442E97FC" w14:textId="77777777" w:rsidR="00A77B3E" w:rsidRDefault="00A77B3E">
      <w:pPr>
        <w:spacing w:line="360" w:lineRule="auto"/>
        <w:jc w:val="both"/>
      </w:pPr>
    </w:p>
    <w:p w14:paraId="4A897D7B" w14:textId="77777777" w:rsidR="00A77B3E" w:rsidRDefault="003014F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9FB6D8" w14:textId="77777777" w:rsidR="00A77B3E" w:rsidRDefault="00A77B3E">
      <w:pPr>
        <w:spacing w:line="360" w:lineRule="auto"/>
        <w:jc w:val="both"/>
      </w:pPr>
    </w:p>
    <w:p w14:paraId="65364A2B" w14:textId="77777777" w:rsidR="00A77B3E" w:rsidRDefault="003014F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C83B52" w14:textId="77777777" w:rsidR="00A77B3E" w:rsidRDefault="00A77B3E">
      <w:pPr>
        <w:spacing w:line="360" w:lineRule="auto"/>
        <w:jc w:val="both"/>
      </w:pPr>
    </w:p>
    <w:p w14:paraId="1298A19E" w14:textId="77777777" w:rsidR="00A77B3E" w:rsidRDefault="003014F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035A0">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047CE260" w14:textId="77777777" w:rsidR="00A77B3E" w:rsidRDefault="00A77B3E">
      <w:pPr>
        <w:spacing w:line="360" w:lineRule="auto"/>
        <w:jc w:val="both"/>
      </w:pPr>
    </w:p>
    <w:p w14:paraId="4605244A" w14:textId="77777777" w:rsidR="00A77B3E" w:rsidRDefault="003014F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19, 2020</w:t>
      </w:r>
    </w:p>
    <w:p w14:paraId="4E4DF330" w14:textId="77777777" w:rsidR="00A77B3E" w:rsidRDefault="003014F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18, 2021</w:t>
      </w:r>
    </w:p>
    <w:p w14:paraId="1F775D25" w14:textId="77777777" w:rsidR="00A77B3E" w:rsidRDefault="003014F4">
      <w:pPr>
        <w:spacing w:line="360" w:lineRule="auto"/>
        <w:jc w:val="both"/>
      </w:pPr>
      <w:r>
        <w:rPr>
          <w:rFonts w:ascii="Book Antiqua" w:eastAsia="Book Antiqua" w:hAnsi="Book Antiqua" w:cs="Book Antiqua"/>
          <w:b/>
          <w:color w:val="000000"/>
        </w:rPr>
        <w:t xml:space="preserve">Article in press: </w:t>
      </w:r>
    </w:p>
    <w:p w14:paraId="413D0CB6" w14:textId="77777777" w:rsidR="00A77B3E" w:rsidRDefault="00A77B3E">
      <w:pPr>
        <w:spacing w:line="360" w:lineRule="auto"/>
        <w:jc w:val="both"/>
      </w:pPr>
    </w:p>
    <w:p w14:paraId="5E1D8BC4" w14:textId="77777777" w:rsidR="00A77B3E" w:rsidRDefault="003014F4">
      <w:pPr>
        <w:spacing w:line="360" w:lineRule="auto"/>
        <w:jc w:val="both"/>
      </w:pPr>
      <w:r>
        <w:rPr>
          <w:rFonts w:ascii="Book Antiqua" w:eastAsia="Book Antiqua" w:hAnsi="Book Antiqua" w:cs="Book Antiqua"/>
          <w:b/>
          <w:color w:val="000000"/>
        </w:rPr>
        <w:t xml:space="preserve">Specialty type: </w:t>
      </w:r>
      <w:r w:rsidR="00D035A0" w:rsidRPr="00D035A0">
        <w:rPr>
          <w:rFonts w:ascii="Book Antiqua" w:eastAsia="Book Antiqua" w:hAnsi="Book Antiqua" w:cs="Book Antiqua"/>
          <w:color w:val="000000"/>
        </w:rPr>
        <w:t>Medicine, research and experimental</w:t>
      </w:r>
    </w:p>
    <w:p w14:paraId="2E87BC64" w14:textId="77777777" w:rsidR="00A77B3E" w:rsidRDefault="003014F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2853082B" w14:textId="77777777" w:rsidR="00A77B3E" w:rsidRDefault="003014F4">
      <w:pPr>
        <w:spacing w:line="360" w:lineRule="auto"/>
        <w:jc w:val="both"/>
      </w:pPr>
      <w:r>
        <w:rPr>
          <w:rFonts w:ascii="Book Antiqua" w:eastAsia="Book Antiqua" w:hAnsi="Book Antiqua" w:cs="Book Antiqua"/>
          <w:b/>
          <w:color w:val="000000"/>
        </w:rPr>
        <w:t>Peer-review report’s scientific quality classification</w:t>
      </w:r>
    </w:p>
    <w:p w14:paraId="146D2A2C" w14:textId="77777777" w:rsidR="00A77B3E" w:rsidRDefault="003014F4">
      <w:pPr>
        <w:spacing w:line="360" w:lineRule="auto"/>
        <w:jc w:val="both"/>
      </w:pPr>
      <w:r>
        <w:rPr>
          <w:rFonts w:ascii="Book Antiqua" w:eastAsia="Book Antiqua" w:hAnsi="Book Antiqua" w:cs="Book Antiqua"/>
          <w:color w:val="000000"/>
        </w:rPr>
        <w:t>Grade A (Excellent): 0</w:t>
      </w:r>
    </w:p>
    <w:p w14:paraId="3AF79793" w14:textId="77777777" w:rsidR="00A77B3E" w:rsidRDefault="003014F4">
      <w:pPr>
        <w:spacing w:line="360" w:lineRule="auto"/>
        <w:jc w:val="both"/>
      </w:pPr>
      <w:r>
        <w:rPr>
          <w:rFonts w:ascii="Book Antiqua" w:eastAsia="Book Antiqua" w:hAnsi="Book Antiqua" w:cs="Book Antiqua"/>
          <w:color w:val="000000"/>
        </w:rPr>
        <w:t>Grade B (Very good): 0</w:t>
      </w:r>
    </w:p>
    <w:p w14:paraId="477EC814" w14:textId="77777777" w:rsidR="00A77B3E" w:rsidRDefault="003014F4">
      <w:pPr>
        <w:spacing w:line="360" w:lineRule="auto"/>
        <w:jc w:val="both"/>
      </w:pPr>
      <w:r>
        <w:rPr>
          <w:rFonts w:ascii="Book Antiqua" w:eastAsia="Book Antiqua" w:hAnsi="Book Antiqua" w:cs="Book Antiqua"/>
          <w:color w:val="000000"/>
        </w:rPr>
        <w:t>Grade C (Good): C, C</w:t>
      </w:r>
    </w:p>
    <w:p w14:paraId="65CE93C3" w14:textId="77777777" w:rsidR="00A77B3E" w:rsidRDefault="003014F4">
      <w:pPr>
        <w:spacing w:line="360" w:lineRule="auto"/>
        <w:jc w:val="both"/>
      </w:pPr>
      <w:r>
        <w:rPr>
          <w:rFonts w:ascii="Book Antiqua" w:eastAsia="Book Antiqua" w:hAnsi="Book Antiqua" w:cs="Book Antiqua"/>
          <w:color w:val="000000"/>
        </w:rPr>
        <w:t>Grade D (Fair): 0</w:t>
      </w:r>
    </w:p>
    <w:p w14:paraId="41077A47" w14:textId="77777777" w:rsidR="00A77B3E" w:rsidRDefault="003014F4">
      <w:pPr>
        <w:spacing w:line="360" w:lineRule="auto"/>
        <w:jc w:val="both"/>
      </w:pPr>
      <w:r>
        <w:rPr>
          <w:rFonts w:ascii="Book Antiqua" w:eastAsia="Book Antiqua" w:hAnsi="Book Antiqua" w:cs="Book Antiqua"/>
          <w:color w:val="000000"/>
        </w:rPr>
        <w:t>Grade E (Poor): 0</w:t>
      </w:r>
    </w:p>
    <w:p w14:paraId="56EAD8D9" w14:textId="77777777" w:rsidR="00A77B3E" w:rsidRDefault="00A77B3E">
      <w:pPr>
        <w:spacing w:line="360" w:lineRule="auto"/>
        <w:jc w:val="both"/>
      </w:pPr>
    </w:p>
    <w:p w14:paraId="0A8DDB9F" w14:textId="77777777" w:rsidR="00A77B3E" w:rsidRDefault="003014F4">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Dimopoulos</w:t>
      </w:r>
      <w:proofErr w:type="spellEnd"/>
      <w:r>
        <w:rPr>
          <w:rFonts w:ascii="Book Antiqua" w:eastAsia="Book Antiqua" w:hAnsi="Book Antiqua" w:cs="Book Antiqua"/>
          <w:color w:val="000000"/>
        </w:rPr>
        <w:t xml:space="preserve"> S, Ni GX</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F2F0D9E" w14:textId="77777777" w:rsidR="00A77B3E" w:rsidRDefault="003014F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B2A62B4" w14:textId="77777777" w:rsidR="00DE1913" w:rsidRPr="00DE1913" w:rsidRDefault="00DE1913">
      <w:pPr>
        <w:spacing w:line="360" w:lineRule="auto"/>
        <w:jc w:val="both"/>
        <w:rPr>
          <w:lang w:eastAsia="zh-CN"/>
        </w:rPr>
      </w:pPr>
      <w:r>
        <w:rPr>
          <w:noProof/>
          <w:lang w:eastAsia="zh-CN"/>
        </w:rPr>
        <w:drawing>
          <wp:inline distT="0" distB="0" distL="0" distR="0" wp14:anchorId="4B5D5719" wp14:editId="56E33D36">
            <wp:extent cx="5486400" cy="37636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763645"/>
                    </a:xfrm>
                    <a:prstGeom prst="rect">
                      <a:avLst/>
                    </a:prstGeom>
                  </pic:spPr>
                </pic:pic>
              </a:graphicData>
            </a:graphic>
          </wp:inline>
        </w:drawing>
      </w:r>
    </w:p>
    <w:p w14:paraId="34197A6B" w14:textId="77777777" w:rsidR="00A77B3E" w:rsidRPr="00DE1913" w:rsidRDefault="003014F4">
      <w:pPr>
        <w:spacing w:line="360" w:lineRule="auto"/>
        <w:jc w:val="both"/>
        <w:rPr>
          <w:rFonts w:ascii="Book Antiqua" w:eastAsia="Book Antiqua" w:hAnsi="Book Antiqua" w:cs="Book Antiqua"/>
          <w:color w:val="000000"/>
        </w:rPr>
      </w:pPr>
      <w:r w:rsidRPr="00DE1913">
        <w:rPr>
          <w:rFonts w:ascii="Book Antiqua" w:eastAsia="Book Antiqua" w:hAnsi="Book Antiqua" w:cs="Book Antiqua"/>
          <w:b/>
          <w:color w:val="000000"/>
        </w:rPr>
        <w:t>Figure 1</w:t>
      </w:r>
      <w:r w:rsidR="00DE1913" w:rsidRPr="00DE1913">
        <w:rPr>
          <w:rFonts w:ascii="Book Antiqua" w:hAnsi="Book Antiqua" w:cs="Book Antiqua" w:hint="eastAsia"/>
          <w:b/>
          <w:color w:val="000000"/>
          <w:lang w:eastAsia="zh-CN"/>
        </w:rPr>
        <w:t xml:space="preserve"> </w:t>
      </w:r>
      <w:r w:rsidRPr="00DE1913">
        <w:rPr>
          <w:rFonts w:ascii="Book Antiqua" w:eastAsia="Book Antiqua" w:hAnsi="Book Antiqua" w:cs="Book Antiqua"/>
          <w:b/>
          <w:color w:val="000000"/>
        </w:rPr>
        <w:t>Change in brain computed tomography during hospitalization</w:t>
      </w:r>
      <w:r w:rsidR="00DE1913">
        <w:rPr>
          <w:rFonts w:ascii="Book Antiqua" w:hAnsi="Book Antiqua" w:cs="Book Antiqua" w:hint="eastAsia"/>
          <w:b/>
          <w:color w:val="000000"/>
          <w:lang w:eastAsia="zh-CN"/>
        </w:rPr>
        <w:t xml:space="preserve">. </w:t>
      </w:r>
      <w:r w:rsidRPr="00DE1913">
        <w:rPr>
          <w:rFonts w:ascii="Book Antiqua" w:eastAsia="Book Antiqua" w:hAnsi="Book Antiqua" w:cs="Book Antiqua"/>
          <w:color w:val="000000"/>
        </w:rPr>
        <w:t>A</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Brain </w:t>
      </w:r>
      <w:bookmarkStart w:id="0" w:name="_Hlk54004097"/>
      <w:r w:rsidR="00DE1913" w:rsidRPr="00313B45">
        <w:rPr>
          <w:rFonts w:ascii="Book Antiqua" w:eastAsia="Book Antiqua" w:hAnsi="Book Antiqua" w:cs="Book Antiqua"/>
          <w:color w:val="000000"/>
        </w:rPr>
        <w:t>computed tomography</w:t>
      </w:r>
      <w:bookmarkEnd w:id="0"/>
      <w:r w:rsidR="00DE1913" w:rsidRPr="00DE1913">
        <w:rPr>
          <w:rFonts w:ascii="Book Antiqua" w:eastAsia="Book Antiqua" w:hAnsi="Book Antiqua" w:cs="Book Antiqua"/>
          <w:color w:val="000000"/>
        </w:rPr>
        <w:t xml:space="preserve"> </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CT</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at admission. Intracranial hemorrhage in the parieto-occipital lobe was confirmed, and midline shift was observed due to brain edema</w:t>
      </w:r>
      <w:r w:rsidR="00DE1913">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B</w:t>
      </w:r>
      <w:r w:rsidR="00DE1913">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Brain CT on the 8</w:t>
      </w:r>
      <w:r w:rsidRPr="00DE1913">
        <w:rPr>
          <w:rFonts w:ascii="Book Antiqua" w:eastAsia="Book Antiqua" w:hAnsi="Book Antiqua" w:cs="Book Antiqua"/>
          <w:color w:val="000000"/>
          <w:vertAlign w:val="superscript"/>
        </w:rPr>
        <w:t>th</w:t>
      </w:r>
      <w:r w:rsidRPr="00DE1913">
        <w:rPr>
          <w:rFonts w:ascii="Book Antiqua" w:eastAsia="Book Antiqua" w:hAnsi="Book Antiqua" w:cs="Book Antiqua"/>
          <w:color w:val="000000"/>
        </w:rPr>
        <w:t xml:space="preserve"> hospital day. Intracranial hemorrhage persists and concomitant </w:t>
      </w:r>
      <w:r w:rsidR="00A8098B" w:rsidRPr="00A8098B">
        <w:rPr>
          <w:rFonts w:ascii="Book Antiqua" w:eastAsia="Book Antiqua" w:hAnsi="Book Antiqua" w:cs="Book Antiqua"/>
          <w:color w:val="000000"/>
        </w:rPr>
        <w:t>Intra-ventricular hemorrhage</w:t>
      </w:r>
      <w:r w:rsidR="00A8098B">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IVH</w:t>
      </w:r>
      <w:r w:rsidR="00A8098B">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is confirmed</w:t>
      </w:r>
      <w:r w:rsidR="00DE1913">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C</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Brain CT on the 17</w:t>
      </w:r>
      <w:r w:rsidRPr="00DE1913">
        <w:rPr>
          <w:rFonts w:ascii="Book Antiqua" w:eastAsia="Book Antiqua" w:hAnsi="Book Antiqua" w:cs="Book Antiqua"/>
          <w:color w:val="000000"/>
          <w:vertAlign w:val="superscript"/>
        </w:rPr>
        <w:t>th</w:t>
      </w:r>
      <w:r w:rsidRPr="00DE1913">
        <w:rPr>
          <w:rFonts w:ascii="Book Antiqua" w:eastAsia="Book Antiqua" w:hAnsi="Book Antiqua" w:cs="Book Antiqua"/>
          <w:color w:val="000000"/>
        </w:rPr>
        <w:t xml:space="preserve"> hospital day. Intracranial hemorrhage has begun to resolve and improvement of IVH is shown</w:t>
      </w:r>
      <w:r w:rsidR="00DE1913">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D</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Brain CT on the 28</w:t>
      </w:r>
      <w:r w:rsidRPr="00DE1913">
        <w:rPr>
          <w:rFonts w:ascii="Book Antiqua" w:eastAsia="Book Antiqua" w:hAnsi="Book Antiqua" w:cs="Book Antiqua"/>
          <w:color w:val="000000"/>
          <w:vertAlign w:val="superscript"/>
        </w:rPr>
        <w:t>th</w:t>
      </w:r>
      <w:r w:rsidRPr="00DE1913">
        <w:rPr>
          <w:rFonts w:ascii="Book Antiqua" w:eastAsia="Book Antiqua" w:hAnsi="Book Antiqua" w:cs="Book Antiqua"/>
          <w:color w:val="000000"/>
        </w:rPr>
        <w:t xml:space="preserve"> hospital day. Intracranial hemorrhage shows ongoing resolution, and brain edema has also decreased</w:t>
      </w:r>
      <w:r w:rsidR="00DE1913">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E</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Brain CT on the 57</w:t>
      </w:r>
      <w:r w:rsidRPr="00DE1913">
        <w:rPr>
          <w:rFonts w:ascii="Book Antiqua" w:eastAsia="Book Antiqua" w:hAnsi="Book Antiqua" w:cs="Book Antiqua"/>
          <w:color w:val="000000"/>
          <w:vertAlign w:val="superscript"/>
        </w:rPr>
        <w:t>th</w:t>
      </w:r>
      <w:r w:rsidRPr="00DE1913">
        <w:rPr>
          <w:rFonts w:ascii="Book Antiqua" w:eastAsia="Book Antiqua" w:hAnsi="Book Antiqua" w:cs="Book Antiqua"/>
          <w:color w:val="000000"/>
        </w:rPr>
        <w:t xml:space="preserve"> hospital day. Improvement in brain edema has resulted in dilatation of the ventricle and resolution of midline shift</w:t>
      </w:r>
      <w:r w:rsidR="00DE1913">
        <w:rPr>
          <w:rFonts w:ascii="Book Antiqua" w:hAnsi="Book Antiqua" w:cs="Book Antiqua" w:hint="eastAsia"/>
          <w:color w:val="000000"/>
          <w:lang w:eastAsia="zh-CN"/>
        </w:rPr>
        <w:t xml:space="preserve">; </w:t>
      </w:r>
      <w:r w:rsidRPr="00DE1913">
        <w:rPr>
          <w:rFonts w:ascii="Book Antiqua" w:eastAsia="Book Antiqua" w:hAnsi="Book Antiqua" w:cs="Book Antiqua"/>
          <w:color w:val="000000"/>
        </w:rPr>
        <w:t>F</w:t>
      </w:r>
      <w:r w:rsidR="00DE1913">
        <w:rPr>
          <w:rFonts w:ascii="Book Antiqua" w:hAnsi="Book Antiqua" w:cs="Book Antiqua" w:hint="eastAsia"/>
          <w:color w:val="000000"/>
          <w:lang w:eastAsia="zh-CN"/>
        </w:rPr>
        <w:t>:</w:t>
      </w:r>
      <w:r w:rsidRPr="00DE1913">
        <w:rPr>
          <w:rFonts w:ascii="Book Antiqua" w:eastAsia="Book Antiqua" w:hAnsi="Book Antiqua" w:cs="Book Antiqua"/>
          <w:color w:val="000000"/>
        </w:rPr>
        <w:t xml:space="preserve"> Brain CT on the 82</w:t>
      </w:r>
      <w:r w:rsidRPr="00DE1913">
        <w:rPr>
          <w:rFonts w:ascii="Book Antiqua" w:eastAsia="Book Antiqua" w:hAnsi="Book Antiqua" w:cs="Book Antiqua"/>
          <w:color w:val="000000"/>
          <w:vertAlign w:val="superscript"/>
        </w:rPr>
        <w:t>nd</w:t>
      </w:r>
      <w:r w:rsidRPr="00DE1913">
        <w:rPr>
          <w:rFonts w:ascii="Book Antiqua" w:eastAsia="Book Antiqua" w:hAnsi="Book Antiqua" w:cs="Book Antiqua"/>
          <w:color w:val="000000"/>
        </w:rPr>
        <w:t xml:space="preserve"> hospital day. </w:t>
      </w:r>
      <w:proofErr w:type="spellStart"/>
      <w:r w:rsidRPr="00DE1913">
        <w:rPr>
          <w:rFonts w:ascii="Book Antiqua" w:eastAsia="Book Antiqua" w:hAnsi="Book Antiqua" w:cs="Book Antiqua"/>
          <w:color w:val="000000"/>
        </w:rPr>
        <w:t>Encephalomalacic</w:t>
      </w:r>
      <w:proofErr w:type="spellEnd"/>
      <w:r w:rsidRPr="00DE1913">
        <w:rPr>
          <w:rFonts w:ascii="Book Antiqua" w:eastAsia="Book Antiqua" w:hAnsi="Book Antiqua" w:cs="Book Antiqua"/>
          <w:color w:val="000000"/>
        </w:rPr>
        <w:t xml:space="preserve"> change in the left parietal lobe is confirmed, and there is no evidence of new intracranial hemorrhage.</w:t>
      </w:r>
    </w:p>
    <w:p w14:paraId="507A2B58" w14:textId="77777777" w:rsidR="00A77B3E" w:rsidRDefault="00DE1913">
      <w:pPr>
        <w:spacing w:line="360" w:lineRule="auto"/>
        <w:jc w:val="both"/>
      </w:pPr>
      <w:r>
        <w:br w:type="page"/>
      </w:r>
      <w:r>
        <w:rPr>
          <w:noProof/>
          <w:lang w:eastAsia="zh-CN"/>
        </w:rPr>
        <w:lastRenderedPageBreak/>
        <w:drawing>
          <wp:inline distT="0" distB="0" distL="0" distR="0" wp14:anchorId="66B0265E" wp14:editId="0EBCD79E">
            <wp:extent cx="5486400" cy="3322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322320"/>
                    </a:xfrm>
                    <a:prstGeom prst="rect">
                      <a:avLst/>
                    </a:prstGeom>
                  </pic:spPr>
                </pic:pic>
              </a:graphicData>
            </a:graphic>
          </wp:inline>
        </w:drawing>
      </w:r>
    </w:p>
    <w:p w14:paraId="79DDABF4" w14:textId="77777777" w:rsidR="00A77B3E" w:rsidRPr="00DE1913" w:rsidRDefault="003014F4">
      <w:pPr>
        <w:spacing w:line="360" w:lineRule="auto"/>
        <w:jc w:val="both"/>
        <w:rPr>
          <w:lang w:eastAsia="zh-CN"/>
        </w:rPr>
      </w:pPr>
      <w:r>
        <w:rPr>
          <w:rFonts w:ascii="Book Antiqua" w:eastAsia="Book Antiqua" w:hAnsi="Book Antiqua" w:cs="Book Antiqua"/>
          <w:b/>
          <w:bCs/>
          <w:color w:val="000000"/>
        </w:rPr>
        <w:t>Figure 2</w:t>
      </w:r>
      <w:r w:rsidR="00DE1913">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Change of circumference of the left lower leg before and after administration of mannitol and furosemide. </w:t>
      </w:r>
      <w:r>
        <w:rPr>
          <w:rFonts w:ascii="Book Antiqua" w:eastAsia="Book Antiqua" w:hAnsi="Book Antiqua" w:cs="Book Antiqua"/>
          <w:color w:val="000000"/>
        </w:rPr>
        <w:t>After the patient received mannitol and furosemide from the 1</w:t>
      </w:r>
      <w:r w:rsidRPr="00DE1913">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to the 27</w:t>
      </w:r>
      <w:r w:rsidRPr="00DE191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 the left lower extremity lymphedema improved dramatically. The improved lymphedema was also identified after re-administration of mannitol and furosemide from the 52</w:t>
      </w:r>
      <w:r w:rsidRPr="00DE191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to the 58</w:t>
      </w:r>
      <w:r w:rsidRPr="00DE191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w:t>
      </w:r>
      <w:r w:rsidR="00DE1913">
        <w:rPr>
          <w:rFonts w:ascii="Book Antiqua" w:hAnsi="Book Antiqua" w:cs="Book Antiqua" w:hint="eastAsia"/>
          <w:color w:val="000000"/>
          <w:lang w:eastAsia="zh-CN"/>
        </w:rPr>
        <w:t xml:space="preserve"> </w:t>
      </w:r>
      <w:r>
        <w:rPr>
          <w:rFonts w:ascii="Book Antiqua" w:eastAsia="Book Antiqua" w:hAnsi="Book Antiqua" w:cs="Book Antiqua"/>
          <w:color w:val="000000"/>
        </w:rPr>
        <w:t>HD</w:t>
      </w:r>
      <w:r w:rsidR="00DE1913">
        <w:rPr>
          <w:rFonts w:ascii="Book Antiqua" w:hAnsi="Book Antiqua" w:cs="Book Antiqua" w:hint="eastAsia"/>
          <w:color w:val="000000"/>
          <w:lang w:eastAsia="zh-CN"/>
        </w:rPr>
        <w:t>:</w:t>
      </w:r>
      <w:r>
        <w:rPr>
          <w:rFonts w:ascii="Book Antiqua" w:eastAsia="Book Antiqua" w:hAnsi="Book Antiqua" w:cs="Book Antiqua"/>
          <w:color w:val="000000"/>
        </w:rPr>
        <w:t xml:space="preserve"> Hospital </w:t>
      </w:r>
      <w:r w:rsidR="00DE1913">
        <w:rPr>
          <w:rFonts w:ascii="Book Antiqua" w:hAnsi="Book Antiqua" w:cs="Book Antiqua" w:hint="eastAsia"/>
          <w:color w:val="000000"/>
          <w:lang w:eastAsia="zh-CN"/>
        </w:rPr>
        <w:t>d</w:t>
      </w:r>
      <w:r>
        <w:rPr>
          <w:rFonts w:ascii="Book Antiqua" w:eastAsia="Book Antiqua" w:hAnsi="Book Antiqua" w:cs="Book Antiqua"/>
          <w:color w:val="000000"/>
        </w:rPr>
        <w:t>ay</w:t>
      </w:r>
      <w:r w:rsidR="00DE1913">
        <w:rPr>
          <w:rFonts w:ascii="Book Antiqua" w:hAnsi="Book Antiqua" w:cs="Book Antiqua" w:hint="eastAsia"/>
          <w:color w:val="000000"/>
          <w:lang w:eastAsia="zh-CN"/>
        </w:rPr>
        <w:t>.</w:t>
      </w:r>
    </w:p>
    <w:p w14:paraId="481A9970" w14:textId="77777777" w:rsidR="00A77B3E" w:rsidRDefault="00DE1913">
      <w:pPr>
        <w:spacing w:line="360" w:lineRule="auto"/>
        <w:jc w:val="both"/>
      </w:pPr>
      <w:r>
        <w:br w:type="page"/>
      </w:r>
      <w:r>
        <w:rPr>
          <w:noProof/>
          <w:lang w:eastAsia="zh-CN"/>
        </w:rPr>
        <w:lastRenderedPageBreak/>
        <w:drawing>
          <wp:inline distT="0" distB="0" distL="0" distR="0" wp14:anchorId="7DA87859" wp14:editId="431DF820">
            <wp:extent cx="4535667" cy="42088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7251" cy="4210349"/>
                    </a:xfrm>
                    <a:prstGeom prst="rect">
                      <a:avLst/>
                    </a:prstGeom>
                    <a:noFill/>
                  </pic:spPr>
                </pic:pic>
              </a:graphicData>
            </a:graphic>
          </wp:inline>
        </w:drawing>
      </w:r>
    </w:p>
    <w:p w14:paraId="3F7D49CF" w14:textId="77777777" w:rsidR="00FA30EC" w:rsidRDefault="003014F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DE1913">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Changes in lymphedema during the hospital day.</w:t>
      </w:r>
      <w:r w:rsidR="00DE1913">
        <w:rPr>
          <w:rFonts w:ascii="Book Antiqua" w:hAnsi="Book Antiqua" w:cs="Book Antiqua" w:hint="eastAsia"/>
          <w:b/>
          <w:bCs/>
          <w:color w:val="000000"/>
          <w:lang w:eastAsia="zh-CN"/>
        </w:rPr>
        <w:t xml:space="preserve"> </w:t>
      </w:r>
      <w:r>
        <w:rPr>
          <w:rFonts w:ascii="Book Antiqua" w:eastAsia="Book Antiqua" w:hAnsi="Book Antiqua" w:cs="Book Antiqua"/>
          <w:color w:val="000000"/>
        </w:rPr>
        <w:t>A</w:t>
      </w:r>
      <w:r w:rsidR="00DE1913">
        <w:rPr>
          <w:rFonts w:ascii="Book Antiqua" w:hAnsi="Book Antiqua" w:cs="Book Antiqua" w:hint="eastAsia"/>
          <w:color w:val="000000"/>
          <w:lang w:eastAsia="zh-CN"/>
        </w:rPr>
        <w:t>:</w:t>
      </w:r>
      <w:r>
        <w:rPr>
          <w:rFonts w:ascii="Book Antiqua" w:eastAsia="Book Antiqua" w:hAnsi="Book Antiqua" w:cs="Book Antiqua"/>
          <w:color w:val="000000"/>
        </w:rPr>
        <w:t xml:space="preserve"> After discontinuation of mannitol and furosemide (</w:t>
      </w:r>
      <w:r w:rsidR="00DE1913">
        <w:rPr>
          <w:rFonts w:ascii="Book Antiqua" w:hAnsi="Book Antiqua" w:cs="Book Antiqua" w:hint="eastAsia"/>
          <w:color w:val="000000"/>
          <w:lang w:eastAsia="zh-CN"/>
        </w:rPr>
        <w:t>o</w:t>
      </w:r>
      <w:r>
        <w:rPr>
          <w:rFonts w:ascii="Book Antiqua" w:eastAsia="Book Antiqua" w:hAnsi="Book Antiqua" w:cs="Book Antiqua"/>
          <w:color w:val="000000"/>
        </w:rPr>
        <w:t>n the 49</w:t>
      </w:r>
      <w:r w:rsidRPr="00DE191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day)</w:t>
      </w:r>
      <w:r w:rsidR="00DE1913">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sidR="00DE1913">
        <w:rPr>
          <w:rFonts w:ascii="Book Antiqua" w:hAnsi="Book Antiqua" w:cs="Book Antiqua" w:hint="eastAsia"/>
          <w:color w:val="000000"/>
          <w:lang w:eastAsia="zh-CN"/>
        </w:rPr>
        <w:t>:</w:t>
      </w:r>
      <w:r>
        <w:rPr>
          <w:rFonts w:ascii="Book Antiqua" w:eastAsia="Book Antiqua" w:hAnsi="Book Antiqua" w:cs="Book Antiqua"/>
          <w:color w:val="000000"/>
        </w:rPr>
        <w:t xml:space="preserve"> Improved lymphedema after reinstatement of mannitol and furosemide (</w:t>
      </w:r>
      <w:r w:rsidR="00DE1913">
        <w:rPr>
          <w:rFonts w:ascii="Book Antiqua" w:hAnsi="Book Antiqua" w:cs="Book Antiqua" w:hint="eastAsia"/>
          <w:color w:val="000000"/>
          <w:lang w:eastAsia="zh-CN"/>
        </w:rPr>
        <w:t>o</w:t>
      </w:r>
      <w:r>
        <w:rPr>
          <w:rFonts w:ascii="Book Antiqua" w:eastAsia="Book Antiqua" w:hAnsi="Book Antiqua" w:cs="Book Antiqua"/>
          <w:color w:val="000000"/>
        </w:rPr>
        <w:t>n the 61</w:t>
      </w:r>
      <w:r w:rsidRPr="00DE1913">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hospital day).</w:t>
      </w:r>
    </w:p>
    <w:p w14:paraId="44856829" w14:textId="77777777" w:rsidR="00FA30EC" w:rsidRPr="00FA30EC" w:rsidRDefault="00FA30EC">
      <w:pPr>
        <w:spacing w:line="360" w:lineRule="auto"/>
        <w:jc w:val="both"/>
        <w:rPr>
          <w:rFonts w:ascii="Book Antiqua" w:hAnsi="Book Antiqua" w:cs="Book Antiqua"/>
          <w:color w:val="000000"/>
          <w:lang w:eastAsia="zh-CN"/>
        </w:rPr>
        <w:sectPr w:rsidR="00FA30EC" w:rsidRPr="00FA30EC">
          <w:pgSz w:w="12240" w:h="15840"/>
          <w:pgMar w:top="1440" w:right="1440" w:bottom="1440" w:left="1440" w:header="720" w:footer="720" w:gutter="0"/>
          <w:cols w:space="720"/>
          <w:docGrid w:linePitch="360"/>
        </w:sectPr>
      </w:pPr>
    </w:p>
    <w:p w14:paraId="4CF9BE31" w14:textId="77777777" w:rsidR="00A77B3E" w:rsidRDefault="00FA30EC">
      <w:pPr>
        <w:spacing w:line="360" w:lineRule="auto"/>
        <w:jc w:val="both"/>
        <w:rPr>
          <w:rFonts w:ascii="Book Antiqua" w:hAnsi="Book Antiqua"/>
          <w:b/>
          <w:lang w:eastAsia="zh-CN"/>
        </w:rPr>
      </w:pPr>
      <w:r w:rsidRPr="00FA30EC">
        <w:rPr>
          <w:rFonts w:ascii="Book Antiqua" w:hAnsi="Book Antiqua"/>
          <w:b/>
        </w:rPr>
        <w:lastRenderedPageBreak/>
        <w:t>Table 1</w:t>
      </w:r>
      <w:r w:rsidRPr="00FA30EC">
        <w:rPr>
          <w:rFonts w:ascii="Book Antiqua" w:hAnsi="Book Antiqua"/>
          <w:b/>
          <w:lang w:eastAsia="zh-CN"/>
        </w:rPr>
        <w:t xml:space="preserve"> </w:t>
      </w:r>
      <w:r w:rsidRPr="00FA30EC">
        <w:rPr>
          <w:rFonts w:ascii="Book Antiqua" w:hAnsi="Book Antiqua"/>
          <w:b/>
        </w:rPr>
        <w:t>Laboratory findings during hospitalization</w:t>
      </w:r>
    </w:p>
    <w:tbl>
      <w:tblPr>
        <w:tblW w:w="5000" w:type="pct"/>
        <w:tblLayout w:type="fixed"/>
        <w:tblCellMar>
          <w:left w:w="57" w:type="dxa"/>
          <w:right w:w="57" w:type="dxa"/>
        </w:tblCellMar>
        <w:tblLook w:val="04A0" w:firstRow="1" w:lastRow="0" w:firstColumn="1" w:lastColumn="0" w:noHBand="0" w:noVBand="1"/>
      </w:tblPr>
      <w:tblGrid>
        <w:gridCol w:w="1276"/>
        <w:gridCol w:w="463"/>
        <w:gridCol w:w="497"/>
        <w:gridCol w:w="511"/>
        <w:gridCol w:w="511"/>
        <w:gridCol w:w="511"/>
        <w:gridCol w:w="509"/>
        <w:gridCol w:w="510"/>
        <w:gridCol w:w="510"/>
        <w:gridCol w:w="511"/>
        <w:gridCol w:w="510"/>
        <w:gridCol w:w="511"/>
        <w:gridCol w:w="511"/>
        <w:gridCol w:w="511"/>
        <w:gridCol w:w="511"/>
        <w:gridCol w:w="510"/>
        <w:gridCol w:w="511"/>
        <w:gridCol w:w="511"/>
        <w:gridCol w:w="511"/>
        <w:gridCol w:w="510"/>
        <w:gridCol w:w="511"/>
        <w:gridCol w:w="511"/>
        <w:gridCol w:w="511"/>
        <w:gridCol w:w="511"/>
      </w:tblGrid>
      <w:tr w:rsidR="00FA30EC" w:rsidRPr="00FA30EC" w14:paraId="6C2A4A91" w14:textId="77777777" w:rsidTr="00FA30EC">
        <w:tc>
          <w:tcPr>
            <w:tcW w:w="1290" w:type="dxa"/>
            <w:tcBorders>
              <w:top w:val="single" w:sz="4" w:space="0" w:color="auto"/>
              <w:bottom w:val="single" w:sz="4" w:space="0" w:color="auto"/>
            </w:tcBorders>
            <w:shd w:val="clear" w:color="auto" w:fill="auto"/>
            <w:hideMark/>
          </w:tcPr>
          <w:p w14:paraId="24023AB7" w14:textId="77777777" w:rsidR="00FA30EC" w:rsidRPr="00FA30EC" w:rsidRDefault="00FA30EC" w:rsidP="00FA30EC">
            <w:pPr>
              <w:spacing w:line="360" w:lineRule="auto"/>
              <w:jc w:val="both"/>
              <w:rPr>
                <w:rFonts w:ascii="Book Antiqua" w:hAnsi="Book Antiqua"/>
                <w:b/>
                <w:bCs/>
                <w:color w:val="000000" w:themeColor="text1"/>
                <w:lang w:eastAsia="zh-CN"/>
              </w:rPr>
            </w:pPr>
          </w:p>
        </w:tc>
        <w:tc>
          <w:tcPr>
            <w:tcW w:w="468" w:type="dxa"/>
            <w:tcBorders>
              <w:top w:val="single" w:sz="4" w:space="0" w:color="auto"/>
              <w:bottom w:val="single" w:sz="4" w:space="0" w:color="auto"/>
            </w:tcBorders>
            <w:shd w:val="clear" w:color="auto" w:fill="auto"/>
            <w:hideMark/>
          </w:tcPr>
          <w:p w14:paraId="04933AF4" w14:textId="77777777" w:rsidR="00FA30EC" w:rsidRPr="00FA30EC" w:rsidRDefault="00FA30EC" w:rsidP="00FA30EC">
            <w:pPr>
              <w:spacing w:line="360" w:lineRule="auto"/>
              <w:jc w:val="both"/>
              <w:rPr>
                <w:rFonts w:ascii="Book Antiqua" w:eastAsia="Malgun Gothic" w:hAnsi="Book Antiqua"/>
                <w:b/>
                <w:bCs/>
                <w:color w:val="000000" w:themeColor="text1"/>
              </w:rPr>
            </w:pPr>
            <w:r w:rsidRPr="00FA30EC">
              <w:rPr>
                <w:rFonts w:ascii="Book Antiqua" w:eastAsia="Malgun Gothic" w:hAnsi="Book Antiqua"/>
                <w:b/>
                <w:bCs/>
                <w:color w:val="000000" w:themeColor="text1"/>
              </w:rPr>
              <w:t>Baseline</w:t>
            </w:r>
          </w:p>
        </w:tc>
        <w:tc>
          <w:tcPr>
            <w:tcW w:w="502" w:type="dxa"/>
            <w:tcBorders>
              <w:top w:val="single" w:sz="4" w:space="0" w:color="auto"/>
              <w:bottom w:val="single" w:sz="4" w:space="0" w:color="auto"/>
            </w:tcBorders>
            <w:shd w:val="clear" w:color="auto" w:fill="auto"/>
            <w:noWrap/>
            <w:hideMark/>
          </w:tcPr>
          <w:p w14:paraId="1F494629"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w:t>
            </w:r>
          </w:p>
        </w:tc>
        <w:tc>
          <w:tcPr>
            <w:tcW w:w="516" w:type="dxa"/>
            <w:tcBorders>
              <w:top w:val="single" w:sz="4" w:space="0" w:color="auto"/>
              <w:bottom w:val="single" w:sz="4" w:space="0" w:color="auto"/>
            </w:tcBorders>
            <w:shd w:val="clear" w:color="auto" w:fill="auto"/>
            <w:noWrap/>
            <w:hideMark/>
          </w:tcPr>
          <w:p w14:paraId="59154A1E"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2</w:t>
            </w:r>
          </w:p>
        </w:tc>
        <w:tc>
          <w:tcPr>
            <w:tcW w:w="516" w:type="dxa"/>
            <w:tcBorders>
              <w:top w:val="single" w:sz="4" w:space="0" w:color="auto"/>
              <w:bottom w:val="single" w:sz="4" w:space="0" w:color="auto"/>
            </w:tcBorders>
            <w:shd w:val="clear" w:color="auto" w:fill="auto"/>
            <w:noWrap/>
            <w:hideMark/>
          </w:tcPr>
          <w:p w14:paraId="20C935B8"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3</w:t>
            </w:r>
          </w:p>
        </w:tc>
        <w:tc>
          <w:tcPr>
            <w:tcW w:w="516" w:type="dxa"/>
            <w:tcBorders>
              <w:top w:val="single" w:sz="4" w:space="0" w:color="auto"/>
              <w:bottom w:val="single" w:sz="4" w:space="0" w:color="auto"/>
            </w:tcBorders>
            <w:shd w:val="clear" w:color="auto" w:fill="auto"/>
            <w:noWrap/>
            <w:hideMark/>
          </w:tcPr>
          <w:p w14:paraId="621E9EFF"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4</w:t>
            </w:r>
          </w:p>
        </w:tc>
        <w:tc>
          <w:tcPr>
            <w:tcW w:w="514" w:type="dxa"/>
            <w:tcBorders>
              <w:top w:val="single" w:sz="4" w:space="0" w:color="auto"/>
              <w:bottom w:val="single" w:sz="4" w:space="0" w:color="auto"/>
            </w:tcBorders>
            <w:shd w:val="clear" w:color="auto" w:fill="auto"/>
            <w:noWrap/>
            <w:hideMark/>
          </w:tcPr>
          <w:p w14:paraId="4BC67D98"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5</w:t>
            </w:r>
          </w:p>
        </w:tc>
        <w:tc>
          <w:tcPr>
            <w:tcW w:w="515" w:type="dxa"/>
            <w:tcBorders>
              <w:top w:val="single" w:sz="4" w:space="0" w:color="auto"/>
              <w:bottom w:val="single" w:sz="4" w:space="0" w:color="auto"/>
            </w:tcBorders>
            <w:shd w:val="clear" w:color="auto" w:fill="auto"/>
            <w:noWrap/>
            <w:hideMark/>
          </w:tcPr>
          <w:p w14:paraId="18CD0BB5"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7</w:t>
            </w:r>
          </w:p>
        </w:tc>
        <w:tc>
          <w:tcPr>
            <w:tcW w:w="515" w:type="dxa"/>
            <w:tcBorders>
              <w:top w:val="single" w:sz="4" w:space="0" w:color="auto"/>
              <w:bottom w:val="single" w:sz="4" w:space="0" w:color="auto"/>
            </w:tcBorders>
            <w:shd w:val="clear" w:color="auto" w:fill="auto"/>
            <w:noWrap/>
            <w:hideMark/>
          </w:tcPr>
          <w:p w14:paraId="0D46F048"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9</w:t>
            </w:r>
          </w:p>
        </w:tc>
        <w:tc>
          <w:tcPr>
            <w:tcW w:w="515" w:type="dxa"/>
            <w:tcBorders>
              <w:top w:val="single" w:sz="4" w:space="0" w:color="auto"/>
              <w:bottom w:val="single" w:sz="4" w:space="0" w:color="auto"/>
            </w:tcBorders>
            <w:shd w:val="clear" w:color="auto" w:fill="auto"/>
            <w:noWrap/>
            <w:hideMark/>
          </w:tcPr>
          <w:p w14:paraId="757C9F3E"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11</w:t>
            </w:r>
          </w:p>
        </w:tc>
        <w:tc>
          <w:tcPr>
            <w:tcW w:w="514" w:type="dxa"/>
            <w:tcBorders>
              <w:top w:val="single" w:sz="4" w:space="0" w:color="auto"/>
              <w:bottom w:val="single" w:sz="4" w:space="0" w:color="auto"/>
            </w:tcBorders>
            <w:shd w:val="clear" w:color="auto" w:fill="auto"/>
            <w:noWrap/>
            <w:hideMark/>
          </w:tcPr>
          <w:p w14:paraId="48F60A5B"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13</w:t>
            </w:r>
          </w:p>
        </w:tc>
        <w:tc>
          <w:tcPr>
            <w:tcW w:w="515" w:type="dxa"/>
            <w:tcBorders>
              <w:top w:val="single" w:sz="4" w:space="0" w:color="auto"/>
              <w:bottom w:val="single" w:sz="4" w:space="0" w:color="auto"/>
            </w:tcBorders>
            <w:shd w:val="clear" w:color="auto" w:fill="auto"/>
            <w:noWrap/>
            <w:hideMark/>
          </w:tcPr>
          <w:p w14:paraId="21F81037"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15</w:t>
            </w:r>
          </w:p>
        </w:tc>
        <w:tc>
          <w:tcPr>
            <w:tcW w:w="515" w:type="dxa"/>
            <w:tcBorders>
              <w:top w:val="single" w:sz="4" w:space="0" w:color="auto"/>
              <w:bottom w:val="single" w:sz="4" w:space="0" w:color="auto"/>
            </w:tcBorders>
            <w:shd w:val="clear" w:color="auto" w:fill="auto"/>
            <w:noWrap/>
            <w:hideMark/>
          </w:tcPr>
          <w:p w14:paraId="4492C893"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17</w:t>
            </w:r>
          </w:p>
        </w:tc>
        <w:tc>
          <w:tcPr>
            <w:tcW w:w="515" w:type="dxa"/>
            <w:tcBorders>
              <w:top w:val="single" w:sz="4" w:space="0" w:color="auto"/>
              <w:bottom w:val="single" w:sz="4" w:space="0" w:color="auto"/>
            </w:tcBorders>
            <w:shd w:val="clear" w:color="auto" w:fill="auto"/>
            <w:noWrap/>
            <w:hideMark/>
          </w:tcPr>
          <w:p w14:paraId="4E258AE4"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19</w:t>
            </w:r>
          </w:p>
        </w:tc>
        <w:tc>
          <w:tcPr>
            <w:tcW w:w="515" w:type="dxa"/>
            <w:tcBorders>
              <w:top w:val="single" w:sz="4" w:space="0" w:color="auto"/>
              <w:bottom w:val="single" w:sz="4" w:space="0" w:color="auto"/>
            </w:tcBorders>
            <w:shd w:val="clear" w:color="auto" w:fill="auto"/>
            <w:noWrap/>
            <w:hideMark/>
          </w:tcPr>
          <w:p w14:paraId="114E1E5A"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21</w:t>
            </w:r>
          </w:p>
        </w:tc>
        <w:tc>
          <w:tcPr>
            <w:tcW w:w="514" w:type="dxa"/>
            <w:tcBorders>
              <w:top w:val="single" w:sz="4" w:space="0" w:color="auto"/>
              <w:bottom w:val="single" w:sz="4" w:space="0" w:color="auto"/>
            </w:tcBorders>
            <w:shd w:val="clear" w:color="auto" w:fill="auto"/>
            <w:noWrap/>
            <w:hideMark/>
          </w:tcPr>
          <w:p w14:paraId="7CEF2E25"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48</w:t>
            </w:r>
          </w:p>
        </w:tc>
        <w:tc>
          <w:tcPr>
            <w:tcW w:w="515" w:type="dxa"/>
            <w:tcBorders>
              <w:top w:val="single" w:sz="4" w:space="0" w:color="auto"/>
              <w:bottom w:val="single" w:sz="4" w:space="0" w:color="auto"/>
            </w:tcBorders>
            <w:shd w:val="clear" w:color="auto" w:fill="auto"/>
            <w:noWrap/>
            <w:hideMark/>
          </w:tcPr>
          <w:p w14:paraId="7ECA3E45"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58</w:t>
            </w:r>
          </w:p>
        </w:tc>
        <w:tc>
          <w:tcPr>
            <w:tcW w:w="515" w:type="dxa"/>
            <w:tcBorders>
              <w:top w:val="single" w:sz="4" w:space="0" w:color="auto"/>
              <w:bottom w:val="single" w:sz="4" w:space="0" w:color="auto"/>
            </w:tcBorders>
            <w:shd w:val="clear" w:color="auto" w:fill="auto"/>
            <w:noWrap/>
            <w:hideMark/>
          </w:tcPr>
          <w:p w14:paraId="2FC3CE96"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65</w:t>
            </w:r>
          </w:p>
        </w:tc>
        <w:tc>
          <w:tcPr>
            <w:tcW w:w="515" w:type="dxa"/>
            <w:tcBorders>
              <w:top w:val="single" w:sz="4" w:space="0" w:color="auto"/>
              <w:bottom w:val="single" w:sz="4" w:space="0" w:color="auto"/>
            </w:tcBorders>
            <w:shd w:val="clear" w:color="auto" w:fill="auto"/>
            <w:noWrap/>
            <w:hideMark/>
          </w:tcPr>
          <w:p w14:paraId="05D90B2A"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77</w:t>
            </w:r>
          </w:p>
        </w:tc>
        <w:tc>
          <w:tcPr>
            <w:tcW w:w="514" w:type="dxa"/>
            <w:tcBorders>
              <w:top w:val="single" w:sz="4" w:space="0" w:color="auto"/>
              <w:bottom w:val="single" w:sz="4" w:space="0" w:color="auto"/>
            </w:tcBorders>
            <w:shd w:val="clear" w:color="auto" w:fill="auto"/>
            <w:noWrap/>
            <w:hideMark/>
          </w:tcPr>
          <w:p w14:paraId="728E0659"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85</w:t>
            </w:r>
          </w:p>
        </w:tc>
        <w:tc>
          <w:tcPr>
            <w:tcW w:w="515" w:type="dxa"/>
            <w:tcBorders>
              <w:top w:val="single" w:sz="4" w:space="0" w:color="auto"/>
              <w:bottom w:val="single" w:sz="4" w:space="0" w:color="auto"/>
            </w:tcBorders>
            <w:shd w:val="clear" w:color="auto" w:fill="auto"/>
            <w:noWrap/>
            <w:hideMark/>
          </w:tcPr>
          <w:p w14:paraId="4D967819"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95</w:t>
            </w:r>
          </w:p>
        </w:tc>
        <w:tc>
          <w:tcPr>
            <w:tcW w:w="515" w:type="dxa"/>
            <w:tcBorders>
              <w:top w:val="single" w:sz="4" w:space="0" w:color="auto"/>
              <w:bottom w:val="single" w:sz="4" w:space="0" w:color="auto"/>
            </w:tcBorders>
            <w:shd w:val="clear" w:color="auto" w:fill="auto"/>
            <w:noWrap/>
            <w:hideMark/>
          </w:tcPr>
          <w:p w14:paraId="208A22FD"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 xml:space="preserve">HD 108 </w:t>
            </w:r>
          </w:p>
        </w:tc>
        <w:tc>
          <w:tcPr>
            <w:tcW w:w="515" w:type="dxa"/>
            <w:tcBorders>
              <w:top w:val="single" w:sz="4" w:space="0" w:color="auto"/>
              <w:bottom w:val="single" w:sz="4" w:space="0" w:color="auto"/>
            </w:tcBorders>
            <w:shd w:val="clear" w:color="auto" w:fill="auto"/>
            <w:noWrap/>
            <w:hideMark/>
          </w:tcPr>
          <w:p w14:paraId="6E6CF775"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115</w:t>
            </w:r>
          </w:p>
        </w:tc>
        <w:tc>
          <w:tcPr>
            <w:tcW w:w="515" w:type="dxa"/>
            <w:tcBorders>
              <w:top w:val="single" w:sz="4" w:space="0" w:color="auto"/>
              <w:bottom w:val="single" w:sz="4" w:space="0" w:color="auto"/>
            </w:tcBorders>
            <w:shd w:val="clear" w:color="auto" w:fill="auto"/>
            <w:noWrap/>
            <w:hideMark/>
          </w:tcPr>
          <w:p w14:paraId="655E4281" w14:textId="77777777" w:rsidR="00FA30EC" w:rsidRPr="00FA30EC" w:rsidRDefault="00FA30EC" w:rsidP="00FA30EC">
            <w:pPr>
              <w:spacing w:line="360" w:lineRule="auto"/>
              <w:jc w:val="both"/>
              <w:rPr>
                <w:rFonts w:ascii="Book Antiqua" w:eastAsia="Gulim" w:hAnsi="Book Antiqua"/>
                <w:b/>
                <w:bCs/>
                <w:color w:val="000000" w:themeColor="text1"/>
              </w:rPr>
            </w:pPr>
            <w:r w:rsidRPr="00FA30EC">
              <w:rPr>
                <w:rFonts w:ascii="Book Antiqua" w:eastAsia="Gulim" w:hAnsi="Book Antiqua"/>
                <w:b/>
                <w:bCs/>
                <w:color w:val="000000" w:themeColor="text1"/>
              </w:rPr>
              <w:t>HD 129</w:t>
            </w:r>
          </w:p>
        </w:tc>
      </w:tr>
      <w:tr w:rsidR="00FA30EC" w:rsidRPr="00FA30EC" w14:paraId="1C56C508" w14:textId="77777777" w:rsidTr="00FA30EC">
        <w:tc>
          <w:tcPr>
            <w:tcW w:w="1290" w:type="dxa"/>
            <w:tcBorders>
              <w:top w:val="single" w:sz="4" w:space="0" w:color="auto"/>
            </w:tcBorders>
            <w:shd w:val="clear" w:color="auto" w:fill="auto"/>
            <w:hideMark/>
          </w:tcPr>
          <w:p w14:paraId="2D7B989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Na (</w:t>
            </w:r>
            <w:proofErr w:type="spellStart"/>
            <w:r w:rsidRPr="00FA30EC">
              <w:rPr>
                <w:rFonts w:ascii="Book Antiqua" w:eastAsia="Malgun Gothic" w:hAnsi="Book Antiqua"/>
                <w:color w:val="282828"/>
              </w:rPr>
              <w:t>mEq</w:t>
            </w:r>
            <w:proofErr w:type="spellEnd"/>
            <w:r w:rsidRPr="00FA30EC">
              <w:rPr>
                <w:rFonts w:ascii="Book Antiqua" w:eastAsia="Malgun Gothic" w:hAnsi="Book Antiqua"/>
                <w:color w:val="282828"/>
              </w:rPr>
              <w:t>/L)</w:t>
            </w:r>
          </w:p>
        </w:tc>
        <w:tc>
          <w:tcPr>
            <w:tcW w:w="468" w:type="dxa"/>
            <w:tcBorders>
              <w:top w:val="single" w:sz="4" w:space="0" w:color="auto"/>
            </w:tcBorders>
            <w:shd w:val="clear" w:color="auto" w:fill="auto"/>
            <w:hideMark/>
          </w:tcPr>
          <w:p w14:paraId="799A5CE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tcBorders>
              <w:top w:val="single" w:sz="4" w:space="0" w:color="auto"/>
            </w:tcBorders>
            <w:shd w:val="clear" w:color="auto" w:fill="auto"/>
            <w:hideMark/>
          </w:tcPr>
          <w:p w14:paraId="31EC028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140</w:t>
            </w:r>
          </w:p>
        </w:tc>
        <w:tc>
          <w:tcPr>
            <w:tcW w:w="516" w:type="dxa"/>
            <w:tcBorders>
              <w:top w:val="single" w:sz="4" w:space="0" w:color="auto"/>
            </w:tcBorders>
            <w:shd w:val="clear" w:color="auto" w:fill="auto"/>
            <w:hideMark/>
          </w:tcPr>
          <w:p w14:paraId="46290C5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140</w:t>
            </w:r>
          </w:p>
        </w:tc>
        <w:tc>
          <w:tcPr>
            <w:tcW w:w="516" w:type="dxa"/>
            <w:tcBorders>
              <w:top w:val="single" w:sz="4" w:space="0" w:color="auto"/>
            </w:tcBorders>
            <w:shd w:val="clear" w:color="auto" w:fill="auto"/>
            <w:hideMark/>
          </w:tcPr>
          <w:p w14:paraId="2FCC558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139</w:t>
            </w:r>
          </w:p>
        </w:tc>
        <w:tc>
          <w:tcPr>
            <w:tcW w:w="516" w:type="dxa"/>
            <w:tcBorders>
              <w:top w:val="single" w:sz="4" w:space="0" w:color="auto"/>
            </w:tcBorders>
            <w:shd w:val="clear" w:color="auto" w:fill="auto"/>
            <w:hideMark/>
          </w:tcPr>
          <w:p w14:paraId="4CF90A2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145</w:t>
            </w:r>
          </w:p>
        </w:tc>
        <w:tc>
          <w:tcPr>
            <w:tcW w:w="514" w:type="dxa"/>
            <w:tcBorders>
              <w:top w:val="single" w:sz="4" w:space="0" w:color="auto"/>
            </w:tcBorders>
            <w:shd w:val="clear" w:color="auto" w:fill="auto"/>
            <w:hideMark/>
          </w:tcPr>
          <w:p w14:paraId="090787A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150</w:t>
            </w:r>
          </w:p>
        </w:tc>
        <w:tc>
          <w:tcPr>
            <w:tcW w:w="515" w:type="dxa"/>
            <w:tcBorders>
              <w:top w:val="single" w:sz="4" w:space="0" w:color="auto"/>
            </w:tcBorders>
            <w:shd w:val="clear" w:color="auto" w:fill="auto"/>
            <w:hideMark/>
          </w:tcPr>
          <w:p w14:paraId="00EB294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144</w:t>
            </w:r>
          </w:p>
        </w:tc>
        <w:tc>
          <w:tcPr>
            <w:tcW w:w="515" w:type="dxa"/>
            <w:tcBorders>
              <w:top w:val="single" w:sz="4" w:space="0" w:color="auto"/>
            </w:tcBorders>
            <w:shd w:val="clear" w:color="auto" w:fill="auto"/>
            <w:hideMark/>
          </w:tcPr>
          <w:p w14:paraId="589BFB1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142</w:t>
            </w:r>
          </w:p>
        </w:tc>
        <w:tc>
          <w:tcPr>
            <w:tcW w:w="515" w:type="dxa"/>
            <w:tcBorders>
              <w:top w:val="single" w:sz="4" w:space="0" w:color="auto"/>
            </w:tcBorders>
            <w:shd w:val="clear" w:color="auto" w:fill="auto"/>
            <w:hideMark/>
          </w:tcPr>
          <w:p w14:paraId="72FD4B5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144</w:t>
            </w:r>
          </w:p>
        </w:tc>
        <w:tc>
          <w:tcPr>
            <w:tcW w:w="514" w:type="dxa"/>
            <w:tcBorders>
              <w:top w:val="single" w:sz="4" w:space="0" w:color="auto"/>
            </w:tcBorders>
            <w:shd w:val="clear" w:color="auto" w:fill="auto"/>
            <w:hideMark/>
          </w:tcPr>
          <w:p w14:paraId="7A40630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145</w:t>
            </w:r>
          </w:p>
        </w:tc>
        <w:tc>
          <w:tcPr>
            <w:tcW w:w="515" w:type="dxa"/>
            <w:tcBorders>
              <w:top w:val="single" w:sz="4" w:space="0" w:color="auto"/>
            </w:tcBorders>
            <w:shd w:val="clear" w:color="auto" w:fill="auto"/>
            <w:hideMark/>
          </w:tcPr>
          <w:p w14:paraId="132411A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140</w:t>
            </w:r>
          </w:p>
        </w:tc>
        <w:tc>
          <w:tcPr>
            <w:tcW w:w="515" w:type="dxa"/>
            <w:tcBorders>
              <w:top w:val="single" w:sz="4" w:space="0" w:color="auto"/>
            </w:tcBorders>
            <w:shd w:val="clear" w:color="auto" w:fill="auto"/>
            <w:hideMark/>
          </w:tcPr>
          <w:p w14:paraId="69C7301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135</w:t>
            </w:r>
          </w:p>
        </w:tc>
        <w:tc>
          <w:tcPr>
            <w:tcW w:w="515" w:type="dxa"/>
            <w:tcBorders>
              <w:top w:val="single" w:sz="4" w:space="0" w:color="auto"/>
            </w:tcBorders>
            <w:shd w:val="clear" w:color="auto" w:fill="auto"/>
            <w:hideMark/>
          </w:tcPr>
          <w:p w14:paraId="198C506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138</w:t>
            </w:r>
          </w:p>
        </w:tc>
        <w:tc>
          <w:tcPr>
            <w:tcW w:w="515" w:type="dxa"/>
            <w:tcBorders>
              <w:top w:val="single" w:sz="4" w:space="0" w:color="auto"/>
            </w:tcBorders>
            <w:shd w:val="clear" w:color="auto" w:fill="auto"/>
            <w:hideMark/>
          </w:tcPr>
          <w:p w14:paraId="36F435F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138</w:t>
            </w:r>
          </w:p>
        </w:tc>
        <w:tc>
          <w:tcPr>
            <w:tcW w:w="514" w:type="dxa"/>
            <w:tcBorders>
              <w:top w:val="single" w:sz="4" w:space="0" w:color="auto"/>
            </w:tcBorders>
            <w:shd w:val="clear" w:color="auto" w:fill="auto"/>
            <w:hideMark/>
          </w:tcPr>
          <w:p w14:paraId="51C6017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142</w:t>
            </w:r>
          </w:p>
        </w:tc>
        <w:tc>
          <w:tcPr>
            <w:tcW w:w="515" w:type="dxa"/>
            <w:tcBorders>
              <w:top w:val="single" w:sz="4" w:space="0" w:color="auto"/>
            </w:tcBorders>
            <w:shd w:val="clear" w:color="auto" w:fill="auto"/>
            <w:hideMark/>
          </w:tcPr>
          <w:p w14:paraId="343324C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145</w:t>
            </w:r>
          </w:p>
        </w:tc>
        <w:tc>
          <w:tcPr>
            <w:tcW w:w="515" w:type="dxa"/>
            <w:tcBorders>
              <w:top w:val="single" w:sz="4" w:space="0" w:color="auto"/>
            </w:tcBorders>
            <w:shd w:val="clear" w:color="auto" w:fill="auto"/>
            <w:hideMark/>
          </w:tcPr>
          <w:p w14:paraId="2917758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148</w:t>
            </w:r>
          </w:p>
        </w:tc>
        <w:tc>
          <w:tcPr>
            <w:tcW w:w="515" w:type="dxa"/>
            <w:tcBorders>
              <w:top w:val="single" w:sz="4" w:space="0" w:color="auto"/>
            </w:tcBorders>
            <w:shd w:val="clear" w:color="auto" w:fill="auto"/>
            <w:hideMark/>
          </w:tcPr>
          <w:p w14:paraId="0404D0E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139</w:t>
            </w:r>
          </w:p>
        </w:tc>
        <w:tc>
          <w:tcPr>
            <w:tcW w:w="514" w:type="dxa"/>
            <w:tcBorders>
              <w:top w:val="single" w:sz="4" w:space="0" w:color="auto"/>
            </w:tcBorders>
            <w:shd w:val="clear" w:color="auto" w:fill="auto"/>
            <w:hideMark/>
          </w:tcPr>
          <w:p w14:paraId="47CFEAD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142</w:t>
            </w:r>
          </w:p>
        </w:tc>
        <w:tc>
          <w:tcPr>
            <w:tcW w:w="515" w:type="dxa"/>
            <w:tcBorders>
              <w:top w:val="single" w:sz="4" w:space="0" w:color="auto"/>
            </w:tcBorders>
            <w:shd w:val="clear" w:color="auto" w:fill="auto"/>
            <w:hideMark/>
          </w:tcPr>
          <w:p w14:paraId="0E72072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136</w:t>
            </w:r>
          </w:p>
        </w:tc>
        <w:tc>
          <w:tcPr>
            <w:tcW w:w="515" w:type="dxa"/>
            <w:tcBorders>
              <w:top w:val="single" w:sz="4" w:space="0" w:color="auto"/>
            </w:tcBorders>
            <w:shd w:val="clear" w:color="auto" w:fill="auto"/>
            <w:hideMark/>
          </w:tcPr>
          <w:p w14:paraId="478998C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139</w:t>
            </w:r>
          </w:p>
        </w:tc>
        <w:tc>
          <w:tcPr>
            <w:tcW w:w="515" w:type="dxa"/>
            <w:tcBorders>
              <w:top w:val="single" w:sz="4" w:space="0" w:color="auto"/>
            </w:tcBorders>
            <w:shd w:val="clear" w:color="auto" w:fill="auto"/>
            <w:hideMark/>
          </w:tcPr>
          <w:p w14:paraId="04B788F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135</w:t>
            </w:r>
          </w:p>
        </w:tc>
        <w:tc>
          <w:tcPr>
            <w:tcW w:w="515" w:type="dxa"/>
            <w:tcBorders>
              <w:top w:val="single" w:sz="4" w:space="0" w:color="auto"/>
            </w:tcBorders>
            <w:shd w:val="clear" w:color="auto" w:fill="auto"/>
            <w:hideMark/>
          </w:tcPr>
          <w:p w14:paraId="100EA18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133</w:t>
            </w:r>
          </w:p>
        </w:tc>
      </w:tr>
      <w:tr w:rsidR="00FA30EC" w:rsidRPr="00FA30EC" w14:paraId="1BCFBAAF" w14:textId="77777777" w:rsidTr="00FA30EC">
        <w:tc>
          <w:tcPr>
            <w:tcW w:w="1290" w:type="dxa"/>
            <w:shd w:val="clear" w:color="auto" w:fill="auto"/>
            <w:hideMark/>
          </w:tcPr>
          <w:p w14:paraId="47D17E5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K (</w:t>
            </w:r>
            <w:proofErr w:type="spellStart"/>
            <w:r w:rsidRPr="00FA30EC">
              <w:rPr>
                <w:rFonts w:ascii="Book Antiqua" w:eastAsia="Malgun Gothic" w:hAnsi="Book Antiqua"/>
                <w:color w:val="282828"/>
              </w:rPr>
              <w:t>mEq</w:t>
            </w:r>
            <w:proofErr w:type="spellEnd"/>
            <w:r w:rsidRPr="00FA30EC">
              <w:rPr>
                <w:rFonts w:ascii="Book Antiqua" w:eastAsia="Malgun Gothic" w:hAnsi="Book Antiqua"/>
                <w:color w:val="282828"/>
              </w:rPr>
              <w:t>/L)</w:t>
            </w:r>
          </w:p>
        </w:tc>
        <w:tc>
          <w:tcPr>
            <w:tcW w:w="468" w:type="dxa"/>
            <w:shd w:val="clear" w:color="auto" w:fill="auto"/>
            <w:hideMark/>
          </w:tcPr>
          <w:p w14:paraId="4AE9103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6A211AA6"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3.0</w:t>
            </w:r>
          </w:p>
        </w:tc>
        <w:tc>
          <w:tcPr>
            <w:tcW w:w="516" w:type="dxa"/>
            <w:shd w:val="clear" w:color="auto" w:fill="auto"/>
            <w:hideMark/>
          </w:tcPr>
          <w:p w14:paraId="13084360"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3.0</w:t>
            </w:r>
          </w:p>
        </w:tc>
        <w:tc>
          <w:tcPr>
            <w:tcW w:w="516" w:type="dxa"/>
            <w:shd w:val="clear" w:color="auto" w:fill="auto"/>
            <w:hideMark/>
          </w:tcPr>
          <w:p w14:paraId="3F0D7106"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2.9</w:t>
            </w:r>
          </w:p>
        </w:tc>
        <w:tc>
          <w:tcPr>
            <w:tcW w:w="516" w:type="dxa"/>
            <w:shd w:val="clear" w:color="auto" w:fill="auto"/>
            <w:hideMark/>
          </w:tcPr>
          <w:p w14:paraId="01B5C109"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3.1</w:t>
            </w:r>
          </w:p>
        </w:tc>
        <w:tc>
          <w:tcPr>
            <w:tcW w:w="514" w:type="dxa"/>
            <w:shd w:val="clear" w:color="auto" w:fill="auto"/>
            <w:hideMark/>
          </w:tcPr>
          <w:p w14:paraId="34BB1F2E"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2.8</w:t>
            </w:r>
          </w:p>
        </w:tc>
        <w:tc>
          <w:tcPr>
            <w:tcW w:w="515" w:type="dxa"/>
            <w:shd w:val="clear" w:color="auto" w:fill="auto"/>
            <w:hideMark/>
          </w:tcPr>
          <w:p w14:paraId="09A8084D"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2.9</w:t>
            </w:r>
          </w:p>
        </w:tc>
        <w:tc>
          <w:tcPr>
            <w:tcW w:w="515" w:type="dxa"/>
            <w:shd w:val="clear" w:color="auto" w:fill="auto"/>
            <w:hideMark/>
          </w:tcPr>
          <w:p w14:paraId="0E531B43"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2.8</w:t>
            </w:r>
          </w:p>
        </w:tc>
        <w:tc>
          <w:tcPr>
            <w:tcW w:w="515" w:type="dxa"/>
            <w:shd w:val="clear" w:color="auto" w:fill="auto"/>
            <w:hideMark/>
          </w:tcPr>
          <w:p w14:paraId="2549900A"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3.4</w:t>
            </w:r>
          </w:p>
        </w:tc>
        <w:tc>
          <w:tcPr>
            <w:tcW w:w="514" w:type="dxa"/>
            <w:shd w:val="clear" w:color="auto" w:fill="auto"/>
            <w:hideMark/>
          </w:tcPr>
          <w:p w14:paraId="12279A0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3.5</w:t>
            </w:r>
          </w:p>
        </w:tc>
        <w:tc>
          <w:tcPr>
            <w:tcW w:w="515" w:type="dxa"/>
            <w:shd w:val="clear" w:color="auto" w:fill="auto"/>
            <w:hideMark/>
          </w:tcPr>
          <w:p w14:paraId="144D334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3.6</w:t>
            </w:r>
          </w:p>
        </w:tc>
        <w:tc>
          <w:tcPr>
            <w:tcW w:w="515" w:type="dxa"/>
            <w:shd w:val="clear" w:color="auto" w:fill="auto"/>
            <w:hideMark/>
          </w:tcPr>
          <w:p w14:paraId="70B4BC6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3.6</w:t>
            </w:r>
          </w:p>
        </w:tc>
        <w:tc>
          <w:tcPr>
            <w:tcW w:w="515" w:type="dxa"/>
            <w:shd w:val="clear" w:color="auto" w:fill="auto"/>
            <w:hideMark/>
          </w:tcPr>
          <w:p w14:paraId="60AC893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3.9</w:t>
            </w:r>
          </w:p>
        </w:tc>
        <w:tc>
          <w:tcPr>
            <w:tcW w:w="515" w:type="dxa"/>
            <w:shd w:val="clear" w:color="auto" w:fill="auto"/>
            <w:hideMark/>
          </w:tcPr>
          <w:p w14:paraId="56180B9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3.8</w:t>
            </w:r>
          </w:p>
        </w:tc>
        <w:tc>
          <w:tcPr>
            <w:tcW w:w="514" w:type="dxa"/>
            <w:shd w:val="clear" w:color="auto" w:fill="auto"/>
            <w:hideMark/>
          </w:tcPr>
          <w:p w14:paraId="73829F0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3.8</w:t>
            </w:r>
          </w:p>
        </w:tc>
        <w:tc>
          <w:tcPr>
            <w:tcW w:w="515" w:type="dxa"/>
            <w:shd w:val="clear" w:color="auto" w:fill="auto"/>
            <w:hideMark/>
          </w:tcPr>
          <w:p w14:paraId="751C1906"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3.3</w:t>
            </w:r>
          </w:p>
        </w:tc>
        <w:tc>
          <w:tcPr>
            <w:tcW w:w="515" w:type="dxa"/>
            <w:shd w:val="clear" w:color="auto" w:fill="auto"/>
            <w:hideMark/>
          </w:tcPr>
          <w:p w14:paraId="51F8E5A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3.9</w:t>
            </w:r>
          </w:p>
        </w:tc>
        <w:tc>
          <w:tcPr>
            <w:tcW w:w="515" w:type="dxa"/>
            <w:shd w:val="clear" w:color="auto" w:fill="auto"/>
            <w:hideMark/>
          </w:tcPr>
          <w:p w14:paraId="548F15DA" w14:textId="77777777" w:rsidR="00FA30EC" w:rsidRPr="00FA30EC" w:rsidRDefault="00FA30EC" w:rsidP="00FA30EC">
            <w:pPr>
              <w:spacing w:line="360" w:lineRule="auto"/>
              <w:jc w:val="both"/>
              <w:rPr>
                <w:rFonts w:ascii="Book Antiqua" w:hAnsi="Book Antiqua"/>
                <w:color w:val="282828"/>
                <w:lang w:eastAsia="zh-CN"/>
              </w:rPr>
            </w:pPr>
            <w:r w:rsidRPr="00FA30EC">
              <w:rPr>
                <w:rFonts w:ascii="Book Antiqua" w:eastAsia="Malgun Gothic" w:hAnsi="Book Antiqua"/>
                <w:color w:val="282828"/>
              </w:rPr>
              <w:t>3.0</w:t>
            </w:r>
          </w:p>
        </w:tc>
        <w:tc>
          <w:tcPr>
            <w:tcW w:w="514" w:type="dxa"/>
            <w:shd w:val="clear" w:color="auto" w:fill="auto"/>
            <w:hideMark/>
          </w:tcPr>
          <w:p w14:paraId="1046326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4.1</w:t>
            </w:r>
          </w:p>
        </w:tc>
        <w:tc>
          <w:tcPr>
            <w:tcW w:w="515" w:type="dxa"/>
            <w:shd w:val="clear" w:color="auto" w:fill="auto"/>
            <w:hideMark/>
          </w:tcPr>
          <w:p w14:paraId="7008439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4.3</w:t>
            </w:r>
          </w:p>
        </w:tc>
        <w:tc>
          <w:tcPr>
            <w:tcW w:w="515" w:type="dxa"/>
            <w:shd w:val="clear" w:color="auto" w:fill="auto"/>
            <w:hideMark/>
          </w:tcPr>
          <w:p w14:paraId="08164EE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4.1</w:t>
            </w:r>
          </w:p>
        </w:tc>
        <w:tc>
          <w:tcPr>
            <w:tcW w:w="515" w:type="dxa"/>
            <w:shd w:val="clear" w:color="auto" w:fill="auto"/>
            <w:hideMark/>
          </w:tcPr>
          <w:p w14:paraId="5ADDB36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4.5</w:t>
            </w:r>
          </w:p>
        </w:tc>
        <w:tc>
          <w:tcPr>
            <w:tcW w:w="515" w:type="dxa"/>
            <w:shd w:val="clear" w:color="auto" w:fill="auto"/>
            <w:hideMark/>
          </w:tcPr>
          <w:p w14:paraId="06378AA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4.4</w:t>
            </w:r>
          </w:p>
        </w:tc>
      </w:tr>
      <w:tr w:rsidR="00FA30EC" w:rsidRPr="00FA30EC" w14:paraId="4B67DFBF" w14:textId="77777777" w:rsidTr="00FA30EC">
        <w:tc>
          <w:tcPr>
            <w:tcW w:w="1290" w:type="dxa"/>
            <w:shd w:val="clear" w:color="auto" w:fill="auto"/>
            <w:hideMark/>
          </w:tcPr>
          <w:p w14:paraId="0B39890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Cl (</w:t>
            </w:r>
            <w:proofErr w:type="spellStart"/>
            <w:r w:rsidRPr="00FA30EC">
              <w:rPr>
                <w:rFonts w:ascii="Book Antiqua" w:eastAsia="Malgun Gothic" w:hAnsi="Book Antiqua"/>
                <w:color w:val="282828"/>
              </w:rPr>
              <w:t>mEq</w:t>
            </w:r>
            <w:proofErr w:type="spellEnd"/>
            <w:r w:rsidRPr="00FA30EC">
              <w:rPr>
                <w:rFonts w:ascii="Book Antiqua" w:eastAsia="Malgun Gothic" w:hAnsi="Book Antiqua"/>
                <w:color w:val="282828"/>
              </w:rPr>
              <w:t>/L)</w:t>
            </w:r>
          </w:p>
        </w:tc>
        <w:tc>
          <w:tcPr>
            <w:tcW w:w="468" w:type="dxa"/>
            <w:shd w:val="clear" w:color="auto" w:fill="auto"/>
            <w:hideMark/>
          </w:tcPr>
          <w:p w14:paraId="394A3632" w14:textId="77777777" w:rsidR="00FA30EC" w:rsidRPr="00FA30EC" w:rsidRDefault="00FA30EC" w:rsidP="00FA30EC">
            <w:pPr>
              <w:spacing w:line="360" w:lineRule="auto"/>
              <w:jc w:val="both"/>
              <w:rPr>
                <w:rFonts w:ascii="Book Antiqua" w:eastAsia="Malgun Gothic" w:hAnsi="Book Antiqua"/>
                <w:color w:val="282828"/>
              </w:rPr>
            </w:pPr>
          </w:p>
        </w:tc>
        <w:tc>
          <w:tcPr>
            <w:tcW w:w="502" w:type="dxa"/>
            <w:shd w:val="clear" w:color="auto" w:fill="auto"/>
            <w:hideMark/>
          </w:tcPr>
          <w:p w14:paraId="6F0DEA8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105</w:t>
            </w:r>
          </w:p>
        </w:tc>
        <w:tc>
          <w:tcPr>
            <w:tcW w:w="516" w:type="dxa"/>
            <w:shd w:val="clear" w:color="auto" w:fill="auto"/>
            <w:hideMark/>
          </w:tcPr>
          <w:p w14:paraId="03EB89D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105</w:t>
            </w:r>
          </w:p>
        </w:tc>
        <w:tc>
          <w:tcPr>
            <w:tcW w:w="516" w:type="dxa"/>
            <w:shd w:val="clear" w:color="auto" w:fill="auto"/>
            <w:hideMark/>
          </w:tcPr>
          <w:p w14:paraId="7E13277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106</w:t>
            </w:r>
          </w:p>
        </w:tc>
        <w:tc>
          <w:tcPr>
            <w:tcW w:w="516" w:type="dxa"/>
            <w:shd w:val="clear" w:color="auto" w:fill="auto"/>
            <w:hideMark/>
          </w:tcPr>
          <w:p w14:paraId="3FDDC27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111</w:t>
            </w:r>
          </w:p>
        </w:tc>
        <w:tc>
          <w:tcPr>
            <w:tcW w:w="514" w:type="dxa"/>
            <w:shd w:val="clear" w:color="auto" w:fill="auto"/>
            <w:hideMark/>
          </w:tcPr>
          <w:p w14:paraId="397A3EF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114</w:t>
            </w:r>
          </w:p>
        </w:tc>
        <w:tc>
          <w:tcPr>
            <w:tcW w:w="515" w:type="dxa"/>
            <w:shd w:val="clear" w:color="auto" w:fill="auto"/>
            <w:hideMark/>
          </w:tcPr>
          <w:p w14:paraId="21CDC37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111</w:t>
            </w:r>
          </w:p>
        </w:tc>
        <w:tc>
          <w:tcPr>
            <w:tcW w:w="515" w:type="dxa"/>
            <w:shd w:val="clear" w:color="auto" w:fill="auto"/>
            <w:hideMark/>
          </w:tcPr>
          <w:p w14:paraId="6DCFDE1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105</w:t>
            </w:r>
          </w:p>
        </w:tc>
        <w:tc>
          <w:tcPr>
            <w:tcW w:w="515" w:type="dxa"/>
            <w:shd w:val="clear" w:color="auto" w:fill="auto"/>
            <w:hideMark/>
          </w:tcPr>
          <w:p w14:paraId="5A87942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107</w:t>
            </w:r>
          </w:p>
        </w:tc>
        <w:tc>
          <w:tcPr>
            <w:tcW w:w="514" w:type="dxa"/>
            <w:shd w:val="clear" w:color="auto" w:fill="auto"/>
            <w:hideMark/>
          </w:tcPr>
          <w:p w14:paraId="1E4BBC2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110</w:t>
            </w:r>
          </w:p>
        </w:tc>
        <w:tc>
          <w:tcPr>
            <w:tcW w:w="515" w:type="dxa"/>
            <w:shd w:val="clear" w:color="auto" w:fill="auto"/>
            <w:hideMark/>
          </w:tcPr>
          <w:p w14:paraId="5A7D835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108</w:t>
            </w:r>
          </w:p>
        </w:tc>
        <w:tc>
          <w:tcPr>
            <w:tcW w:w="515" w:type="dxa"/>
            <w:shd w:val="clear" w:color="auto" w:fill="auto"/>
            <w:hideMark/>
          </w:tcPr>
          <w:p w14:paraId="1C24D81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106</w:t>
            </w:r>
          </w:p>
        </w:tc>
        <w:tc>
          <w:tcPr>
            <w:tcW w:w="515" w:type="dxa"/>
            <w:shd w:val="clear" w:color="auto" w:fill="auto"/>
            <w:hideMark/>
          </w:tcPr>
          <w:p w14:paraId="4C83576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108</w:t>
            </w:r>
          </w:p>
        </w:tc>
        <w:tc>
          <w:tcPr>
            <w:tcW w:w="515" w:type="dxa"/>
            <w:shd w:val="clear" w:color="auto" w:fill="auto"/>
            <w:hideMark/>
          </w:tcPr>
          <w:p w14:paraId="65BDE5B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104</w:t>
            </w:r>
          </w:p>
        </w:tc>
        <w:tc>
          <w:tcPr>
            <w:tcW w:w="514" w:type="dxa"/>
            <w:shd w:val="clear" w:color="auto" w:fill="auto"/>
            <w:hideMark/>
          </w:tcPr>
          <w:p w14:paraId="41224D4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110</w:t>
            </w:r>
          </w:p>
        </w:tc>
        <w:tc>
          <w:tcPr>
            <w:tcW w:w="515" w:type="dxa"/>
            <w:shd w:val="clear" w:color="auto" w:fill="auto"/>
            <w:hideMark/>
          </w:tcPr>
          <w:p w14:paraId="5BFBBF0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107</w:t>
            </w:r>
          </w:p>
        </w:tc>
        <w:tc>
          <w:tcPr>
            <w:tcW w:w="515" w:type="dxa"/>
            <w:shd w:val="clear" w:color="auto" w:fill="auto"/>
            <w:hideMark/>
          </w:tcPr>
          <w:p w14:paraId="63DBB99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117</w:t>
            </w:r>
          </w:p>
        </w:tc>
        <w:tc>
          <w:tcPr>
            <w:tcW w:w="515" w:type="dxa"/>
            <w:shd w:val="clear" w:color="auto" w:fill="auto"/>
            <w:hideMark/>
          </w:tcPr>
          <w:p w14:paraId="7F6BDE7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110</w:t>
            </w:r>
          </w:p>
        </w:tc>
        <w:tc>
          <w:tcPr>
            <w:tcW w:w="514" w:type="dxa"/>
            <w:shd w:val="clear" w:color="auto" w:fill="auto"/>
            <w:hideMark/>
          </w:tcPr>
          <w:p w14:paraId="6841C0A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114</w:t>
            </w:r>
          </w:p>
        </w:tc>
        <w:tc>
          <w:tcPr>
            <w:tcW w:w="515" w:type="dxa"/>
            <w:shd w:val="clear" w:color="auto" w:fill="auto"/>
            <w:hideMark/>
          </w:tcPr>
          <w:p w14:paraId="3D88058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108</w:t>
            </w:r>
          </w:p>
        </w:tc>
        <w:tc>
          <w:tcPr>
            <w:tcW w:w="515" w:type="dxa"/>
            <w:shd w:val="clear" w:color="auto" w:fill="auto"/>
            <w:hideMark/>
          </w:tcPr>
          <w:p w14:paraId="2649F85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107</w:t>
            </w:r>
          </w:p>
        </w:tc>
        <w:tc>
          <w:tcPr>
            <w:tcW w:w="515" w:type="dxa"/>
            <w:shd w:val="clear" w:color="auto" w:fill="auto"/>
            <w:hideMark/>
          </w:tcPr>
          <w:p w14:paraId="7EC9270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102</w:t>
            </w:r>
          </w:p>
        </w:tc>
        <w:tc>
          <w:tcPr>
            <w:tcW w:w="515" w:type="dxa"/>
            <w:shd w:val="clear" w:color="auto" w:fill="auto"/>
            <w:hideMark/>
          </w:tcPr>
          <w:p w14:paraId="05EC0AD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100</w:t>
            </w:r>
          </w:p>
        </w:tc>
      </w:tr>
      <w:tr w:rsidR="00FA30EC" w:rsidRPr="00FA30EC" w14:paraId="6F86AB42" w14:textId="77777777" w:rsidTr="00FA30EC">
        <w:tc>
          <w:tcPr>
            <w:tcW w:w="1290" w:type="dxa"/>
            <w:shd w:val="clear" w:color="auto" w:fill="auto"/>
            <w:hideMark/>
          </w:tcPr>
          <w:p w14:paraId="6AFF8AD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Cr (mg/dL)</w:t>
            </w:r>
          </w:p>
        </w:tc>
        <w:tc>
          <w:tcPr>
            <w:tcW w:w="468" w:type="dxa"/>
            <w:shd w:val="clear" w:color="auto" w:fill="auto"/>
            <w:hideMark/>
          </w:tcPr>
          <w:p w14:paraId="687E158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0.7</w:t>
            </w:r>
          </w:p>
        </w:tc>
        <w:tc>
          <w:tcPr>
            <w:tcW w:w="502" w:type="dxa"/>
            <w:shd w:val="clear" w:color="auto" w:fill="auto"/>
            <w:hideMark/>
          </w:tcPr>
          <w:p w14:paraId="480C912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0.82</w:t>
            </w:r>
          </w:p>
        </w:tc>
        <w:tc>
          <w:tcPr>
            <w:tcW w:w="516" w:type="dxa"/>
            <w:shd w:val="clear" w:color="auto" w:fill="auto"/>
            <w:hideMark/>
          </w:tcPr>
          <w:p w14:paraId="2529F02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0.83</w:t>
            </w:r>
          </w:p>
        </w:tc>
        <w:tc>
          <w:tcPr>
            <w:tcW w:w="516" w:type="dxa"/>
            <w:shd w:val="clear" w:color="auto" w:fill="auto"/>
            <w:hideMark/>
          </w:tcPr>
          <w:p w14:paraId="54EE86E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0.84</w:t>
            </w:r>
          </w:p>
        </w:tc>
        <w:tc>
          <w:tcPr>
            <w:tcW w:w="516" w:type="dxa"/>
            <w:shd w:val="clear" w:color="auto" w:fill="auto"/>
            <w:hideMark/>
          </w:tcPr>
          <w:p w14:paraId="5DB9D5A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0.77</w:t>
            </w:r>
          </w:p>
        </w:tc>
        <w:tc>
          <w:tcPr>
            <w:tcW w:w="514" w:type="dxa"/>
            <w:shd w:val="clear" w:color="auto" w:fill="auto"/>
            <w:hideMark/>
          </w:tcPr>
          <w:p w14:paraId="3D467F6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0.68</w:t>
            </w:r>
          </w:p>
        </w:tc>
        <w:tc>
          <w:tcPr>
            <w:tcW w:w="515" w:type="dxa"/>
            <w:shd w:val="clear" w:color="auto" w:fill="auto"/>
            <w:hideMark/>
          </w:tcPr>
          <w:p w14:paraId="54923F1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0.68</w:t>
            </w:r>
          </w:p>
        </w:tc>
        <w:tc>
          <w:tcPr>
            <w:tcW w:w="515" w:type="dxa"/>
            <w:shd w:val="clear" w:color="auto" w:fill="auto"/>
            <w:hideMark/>
          </w:tcPr>
          <w:p w14:paraId="098A9FA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0.67</w:t>
            </w:r>
          </w:p>
        </w:tc>
        <w:tc>
          <w:tcPr>
            <w:tcW w:w="515" w:type="dxa"/>
            <w:shd w:val="clear" w:color="auto" w:fill="auto"/>
            <w:hideMark/>
          </w:tcPr>
          <w:p w14:paraId="261ADAA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0.74</w:t>
            </w:r>
          </w:p>
        </w:tc>
        <w:tc>
          <w:tcPr>
            <w:tcW w:w="514" w:type="dxa"/>
            <w:shd w:val="clear" w:color="auto" w:fill="auto"/>
            <w:hideMark/>
          </w:tcPr>
          <w:p w14:paraId="6F41FE9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0.64</w:t>
            </w:r>
          </w:p>
        </w:tc>
        <w:tc>
          <w:tcPr>
            <w:tcW w:w="515" w:type="dxa"/>
            <w:shd w:val="clear" w:color="auto" w:fill="auto"/>
            <w:hideMark/>
          </w:tcPr>
          <w:p w14:paraId="51D1F31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0.57</w:t>
            </w:r>
          </w:p>
        </w:tc>
        <w:tc>
          <w:tcPr>
            <w:tcW w:w="515" w:type="dxa"/>
            <w:shd w:val="clear" w:color="auto" w:fill="auto"/>
            <w:hideMark/>
          </w:tcPr>
          <w:p w14:paraId="7E670D8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0.54</w:t>
            </w:r>
          </w:p>
        </w:tc>
        <w:tc>
          <w:tcPr>
            <w:tcW w:w="515" w:type="dxa"/>
            <w:shd w:val="clear" w:color="auto" w:fill="auto"/>
            <w:hideMark/>
          </w:tcPr>
          <w:p w14:paraId="527E9D8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0.53</w:t>
            </w:r>
          </w:p>
        </w:tc>
        <w:tc>
          <w:tcPr>
            <w:tcW w:w="515" w:type="dxa"/>
            <w:shd w:val="clear" w:color="auto" w:fill="auto"/>
            <w:hideMark/>
          </w:tcPr>
          <w:p w14:paraId="5E6F1C5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0.52</w:t>
            </w:r>
          </w:p>
        </w:tc>
        <w:tc>
          <w:tcPr>
            <w:tcW w:w="514" w:type="dxa"/>
            <w:shd w:val="clear" w:color="auto" w:fill="auto"/>
            <w:hideMark/>
          </w:tcPr>
          <w:p w14:paraId="679F019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0.51</w:t>
            </w:r>
          </w:p>
        </w:tc>
        <w:tc>
          <w:tcPr>
            <w:tcW w:w="515" w:type="dxa"/>
            <w:shd w:val="clear" w:color="auto" w:fill="auto"/>
            <w:hideMark/>
          </w:tcPr>
          <w:p w14:paraId="5A0C920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0.58</w:t>
            </w:r>
          </w:p>
        </w:tc>
        <w:tc>
          <w:tcPr>
            <w:tcW w:w="515" w:type="dxa"/>
            <w:shd w:val="clear" w:color="auto" w:fill="auto"/>
            <w:hideMark/>
          </w:tcPr>
          <w:p w14:paraId="2F4A519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0.59</w:t>
            </w:r>
          </w:p>
        </w:tc>
        <w:tc>
          <w:tcPr>
            <w:tcW w:w="515" w:type="dxa"/>
            <w:shd w:val="clear" w:color="auto" w:fill="auto"/>
            <w:hideMark/>
          </w:tcPr>
          <w:p w14:paraId="5129A35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0.57</w:t>
            </w:r>
          </w:p>
        </w:tc>
        <w:tc>
          <w:tcPr>
            <w:tcW w:w="514" w:type="dxa"/>
            <w:shd w:val="clear" w:color="auto" w:fill="auto"/>
            <w:hideMark/>
          </w:tcPr>
          <w:p w14:paraId="456B258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0.55</w:t>
            </w:r>
          </w:p>
        </w:tc>
        <w:tc>
          <w:tcPr>
            <w:tcW w:w="515" w:type="dxa"/>
            <w:shd w:val="clear" w:color="auto" w:fill="auto"/>
            <w:hideMark/>
          </w:tcPr>
          <w:p w14:paraId="3A8A9FD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0.78</w:t>
            </w:r>
          </w:p>
        </w:tc>
        <w:tc>
          <w:tcPr>
            <w:tcW w:w="515" w:type="dxa"/>
            <w:shd w:val="clear" w:color="auto" w:fill="auto"/>
            <w:hideMark/>
          </w:tcPr>
          <w:p w14:paraId="73234DC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0.65</w:t>
            </w:r>
          </w:p>
        </w:tc>
        <w:tc>
          <w:tcPr>
            <w:tcW w:w="515" w:type="dxa"/>
            <w:shd w:val="clear" w:color="auto" w:fill="auto"/>
            <w:hideMark/>
          </w:tcPr>
          <w:p w14:paraId="2C6CA8F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0.68</w:t>
            </w:r>
          </w:p>
        </w:tc>
        <w:tc>
          <w:tcPr>
            <w:tcW w:w="515" w:type="dxa"/>
            <w:shd w:val="clear" w:color="auto" w:fill="auto"/>
            <w:hideMark/>
          </w:tcPr>
          <w:p w14:paraId="5F9B9A9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0.66</w:t>
            </w:r>
          </w:p>
        </w:tc>
      </w:tr>
      <w:tr w:rsidR="00FA30EC" w:rsidRPr="00FA30EC" w14:paraId="6CD05BEA" w14:textId="77777777" w:rsidTr="00FA30EC">
        <w:tc>
          <w:tcPr>
            <w:tcW w:w="1290" w:type="dxa"/>
            <w:shd w:val="clear" w:color="auto" w:fill="auto"/>
            <w:hideMark/>
          </w:tcPr>
          <w:p w14:paraId="1C64EE5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eGFR</w:t>
            </w:r>
            <w:r>
              <w:rPr>
                <w:rFonts w:ascii="Book Antiqua" w:hAnsi="Book Antiqua" w:hint="eastAsia"/>
                <w:color w:val="282828"/>
                <w:lang w:eastAsia="zh-CN"/>
              </w:rPr>
              <w:t xml:space="preserve"> </w:t>
            </w:r>
            <w:r w:rsidRPr="00FA30EC">
              <w:rPr>
                <w:rFonts w:ascii="Book Antiqua" w:eastAsia="Malgun Gothic" w:hAnsi="Book Antiqua"/>
                <w:color w:val="282828"/>
              </w:rPr>
              <w:t>(mL/min</w:t>
            </w:r>
            <w:r>
              <w:rPr>
                <w:rFonts w:ascii="Book Antiqua" w:hAnsi="Book Antiqua" w:hint="eastAsia"/>
                <w:color w:val="282828"/>
                <w:lang w:eastAsia="zh-CN"/>
              </w:rPr>
              <w:t xml:space="preserve"> per </w:t>
            </w:r>
            <w:r w:rsidRPr="00FA30EC">
              <w:rPr>
                <w:rFonts w:ascii="Book Antiqua" w:eastAsia="Malgun Gothic" w:hAnsi="Book Antiqua"/>
                <w:color w:val="282828"/>
              </w:rPr>
              <w:t>1.73m</w:t>
            </w:r>
            <w:r w:rsidRPr="00FA30EC">
              <w:rPr>
                <w:rFonts w:ascii="Book Antiqua" w:eastAsia="Malgun Gothic" w:hAnsi="Book Antiqua"/>
                <w:color w:val="282828"/>
                <w:vertAlign w:val="superscript"/>
              </w:rPr>
              <w:t>2</w:t>
            </w:r>
            <w:r w:rsidRPr="00FA30EC">
              <w:rPr>
                <w:rFonts w:ascii="Book Antiqua" w:eastAsia="Malgun Gothic" w:hAnsi="Book Antiqua"/>
                <w:color w:val="282828"/>
              </w:rPr>
              <w:t>)</w:t>
            </w:r>
          </w:p>
        </w:tc>
        <w:tc>
          <w:tcPr>
            <w:tcW w:w="468" w:type="dxa"/>
            <w:shd w:val="clear" w:color="auto" w:fill="auto"/>
            <w:hideMark/>
          </w:tcPr>
          <w:p w14:paraId="6718B16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77</w:t>
            </w:r>
          </w:p>
        </w:tc>
        <w:tc>
          <w:tcPr>
            <w:tcW w:w="502" w:type="dxa"/>
            <w:shd w:val="clear" w:color="auto" w:fill="auto"/>
            <w:hideMark/>
          </w:tcPr>
          <w:p w14:paraId="395AE44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63</w:t>
            </w:r>
          </w:p>
        </w:tc>
        <w:tc>
          <w:tcPr>
            <w:tcW w:w="516" w:type="dxa"/>
            <w:shd w:val="clear" w:color="auto" w:fill="auto"/>
            <w:hideMark/>
          </w:tcPr>
          <w:p w14:paraId="6EF38D0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62</w:t>
            </w:r>
          </w:p>
        </w:tc>
        <w:tc>
          <w:tcPr>
            <w:tcW w:w="516" w:type="dxa"/>
            <w:shd w:val="clear" w:color="auto" w:fill="auto"/>
            <w:hideMark/>
          </w:tcPr>
          <w:p w14:paraId="1075D8E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61</w:t>
            </w:r>
          </w:p>
        </w:tc>
        <w:tc>
          <w:tcPr>
            <w:tcW w:w="516" w:type="dxa"/>
            <w:shd w:val="clear" w:color="auto" w:fill="auto"/>
            <w:hideMark/>
          </w:tcPr>
          <w:p w14:paraId="140DDE1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68</w:t>
            </w:r>
          </w:p>
        </w:tc>
        <w:tc>
          <w:tcPr>
            <w:tcW w:w="514" w:type="dxa"/>
            <w:shd w:val="clear" w:color="auto" w:fill="auto"/>
            <w:hideMark/>
          </w:tcPr>
          <w:p w14:paraId="730F0F7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77</w:t>
            </w:r>
          </w:p>
        </w:tc>
        <w:tc>
          <w:tcPr>
            <w:tcW w:w="515" w:type="dxa"/>
            <w:shd w:val="clear" w:color="auto" w:fill="auto"/>
            <w:hideMark/>
          </w:tcPr>
          <w:p w14:paraId="23D06D7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77</w:t>
            </w:r>
          </w:p>
        </w:tc>
        <w:tc>
          <w:tcPr>
            <w:tcW w:w="515" w:type="dxa"/>
            <w:shd w:val="clear" w:color="auto" w:fill="auto"/>
            <w:hideMark/>
          </w:tcPr>
          <w:p w14:paraId="0E0555F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78</w:t>
            </w:r>
          </w:p>
        </w:tc>
        <w:tc>
          <w:tcPr>
            <w:tcW w:w="515" w:type="dxa"/>
            <w:shd w:val="clear" w:color="auto" w:fill="auto"/>
            <w:hideMark/>
          </w:tcPr>
          <w:p w14:paraId="7DBF9A6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72</w:t>
            </w:r>
          </w:p>
        </w:tc>
        <w:tc>
          <w:tcPr>
            <w:tcW w:w="514" w:type="dxa"/>
            <w:shd w:val="clear" w:color="auto" w:fill="auto"/>
            <w:hideMark/>
          </w:tcPr>
          <w:p w14:paraId="3A92572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79</w:t>
            </w:r>
          </w:p>
        </w:tc>
        <w:tc>
          <w:tcPr>
            <w:tcW w:w="515" w:type="dxa"/>
            <w:shd w:val="clear" w:color="auto" w:fill="auto"/>
            <w:hideMark/>
          </w:tcPr>
          <w:p w14:paraId="1B272E6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82</w:t>
            </w:r>
          </w:p>
        </w:tc>
        <w:tc>
          <w:tcPr>
            <w:tcW w:w="515" w:type="dxa"/>
            <w:shd w:val="clear" w:color="auto" w:fill="auto"/>
            <w:hideMark/>
          </w:tcPr>
          <w:p w14:paraId="492B926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83</w:t>
            </w:r>
          </w:p>
        </w:tc>
        <w:tc>
          <w:tcPr>
            <w:tcW w:w="515" w:type="dxa"/>
            <w:shd w:val="clear" w:color="auto" w:fill="auto"/>
            <w:hideMark/>
          </w:tcPr>
          <w:p w14:paraId="279BB49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84</w:t>
            </w:r>
          </w:p>
        </w:tc>
        <w:tc>
          <w:tcPr>
            <w:tcW w:w="515" w:type="dxa"/>
            <w:shd w:val="clear" w:color="auto" w:fill="auto"/>
            <w:hideMark/>
          </w:tcPr>
          <w:p w14:paraId="1B6AAE9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84</w:t>
            </w:r>
          </w:p>
        </w:tc>
        <w:tc>
          <w:tcPr>
            <w:tcW w:w="514" w:type="dxa"/>
            <w:shd w:val="clear" w:color="auto" w:fill="auto"/>
            <w:hideMark/>
          </w:tcPr>
          <w:p w14:paraId="66B7914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85</w:t>
            </w:r>
          </w:p>
        </w:tc>
        <w:tc>
          <w:tcPr>
            <w:tcW w:w="515" w:type="dxa"/>
            <w:shd w:val="clear" w:color="auto" w:fill="auto"/>
            <w:hideMark/>
          </w:tcPr>
          <w:p w14:paraId="2B4CDE6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81</w:t>
            </w:r>
          </w:p>
        </w:tc>
        <w:tc>
          <w:tcPr>
            <w:tcW w:w="515" w:type="dxa"/>
            <w:shd w:val="clear" w:color="auto" w:fill="auto"/>
            <w:hideMark/>
          </w:tcPr>
          <w:p w14:paraId="3EFDFE0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81</w:t>
            </w:r>
          </w:p>
        </w:tc>
        <w:tc>
          <w:tcPr>
            <w:tcW w:w="515" w:type="dxa"/>
            <w:shd w:val="clear" w:color="auto" w:fill="auto"/>
            <w:hideMark/>
          </w:tcPr>
          <w:p w14:paraId="3107F54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82</w:t>
            </w:r>
          </w:p>
        </w:tc>
        <w:tc>
          <w:tcPr>
            <w:tcW w:w="514" w:type="dxa"/>
            <w:shd w:val="clear" w:color="auto" w:fill="auto"/>
            <w:hideMark/>
          </w:tcPr>
          <w:p w14:paraId="1959028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83</w:t>
            </w:r>
          </w:p>
        </w:tc>
        <w:tc>
          <w:tcPr>
            <w:tcW w:w="515" w:type="dxa"/>
            <w:shd w:val="clear" w:color="auto" w:fill="auto"/>
            <w:hideMark/>
          </w:tcPr>
          <w:p w14:paraId="06C3B4B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67</w:t>
            </w:r>
          </w:p>
        </w:tc>
        <w:tc>
          <w:tcPr>
            <w:tcW w:w="515" w:type="dxa"/>
            <w:shd w:val="clear" w:color="auto" w:fill="auto"/>
            <w:hideMark/>
          </w:tcPr>
          <w:p w14:paraId="1CF7992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78</w:t>
            </w:r>
          </w:p>
        </w:tc>
        <w:tc>
          <w:tcPr>
            <w:tcW w:w="515" w:type="dxa"/>
            <w:shd w:val="clear" w:color="auto" w:fill="auto"/>
            <w:hideMark/>
          </w:tcPr>
          <w:p w14:paraId="61BA74F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77</w:t>
            </w:r>
          </w:p>
        </w:tc>
        <w:tc>
          <w:tcPr>
            <w:tcW w:w="515" w:type="dxa"/>
            <w:shd w:val="clear" w:color="auto" w:fill="auto"/>
            <w:hideMark/>
          </w:tcPr>
          <w:p w14:paraId="4926B3E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78</w:t>
            </w:r>
          </w:p>
        </w:tc>
      </w:tr>
      <w:tr w:rsidR="00FA30EC" w:rsidRPr="00FA30EC" w14:paraId="141BC08D" w14:textId="77777777" w:rsidTr="00FA30EC">
        <w:tc>
          <w:tcPr>
            <w:tcW w:w="1290" w:type="dxa"/>
            <w:shd w:val="clear" w:color="auto" w:fill="auto"/>
            <w:hideMark/>
          </w:tcPr>
          <w:p w14:paraId="1063064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BUN</w:t>
            </w:r>
            <w:r>
              <w:rPr>
                <w:rFonts w:ascii="Book Antiqua" w:hAnsi="Book Antiqua" w:hint="eastAsia"/>
                <w:color w:val="282828"/>
                <w:lang w:eastAsia="zh-CN"/>
              </w:rPr>
              <w:t xml:space="preserve"> </w:t>
            </w:r>
            <w:r w:rsidRPr="00FA30EC">
              <w:rPr>
                <w:rFonts w:ascii="Book Antiqua" w:eastAsia="Malgun Gothic" w:hAnsi="Book Antiqua"/>
                <w:color w:val="282828"/>
              </w:rPr>
              <w:t>(mg/dL)</w:t>
            </w:r>
          </w:p>
        </w:tc>
        <w:tc>
          <w:tcPr>
            <w:tcW w:w="468" w:type="dxa"/>
            <w:shd w:val="clear" w:color="auto" w:fill="auto"/>
            <w:hideMark/>
          </w:tcPr>
          <w:p w14:paraId="41F4F61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6D9276F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25.2</w:t>
            </w:r>
          </w:p>
        </w:tc>
        <w:tc>
          <w:tcPr>
            <w:tcW w:w="516" w:type="dxa"/>
            <w:shd w:val="clear" w:color="auto" w:fill="auto"/>
            <w:hideMark/>
          </w:tcPr>
          <w:p w14:paraId="26EB106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21.2</w:t>
            </w:r>
          </w:p>
        </w:tc>
        <w:tc>
          <w:tcPr>
            <w:tcW w:w="516" w:type="dxa"/>
            <w:shd w:val="clear" w:color="auto" w:fill="auto"/>
            <w:hideMark/>
          </w:tcPr>
          <w:p w14:paraId="22E08F6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40.5</w:t>
            </w:r>
          </w:p>
        </w:tc>
        <w:tc>
          <w:tcPr>
            <w:tcW w:w="516" w:type="dxa"/>
            <w:shd w:val="clear" w:color="auto" w:fill="auto"/>
            <w:hideMark/>
          </w:tcPr>
          <w:p w14:paraId="1BE9B89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45.1</w:t>
            </w:r>
          </w:p>
        </w:tc>
        <w:tc>
          <w:tcPr>
            <w:tcW w:w="514" w:type="dxa"/>
            <w:shd w:val="clear" w:color="auto" w:fill="auto"/>
            <w:hideMark/>
          </w:tcPr>
          <w:p w14:paraId="705C04D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38</w:t>
            </w:r>
          </w:p>
        </w:tc>
        <w:tc>
          <w:tcPr>
            <w:tcW w:w="515" w:type="dxa"/>
            <w:shd w:val="clear" w:color="auto" w:fill="auto"/>
            <w:hideMark/>
          </w:tcPr>
          <w:p w14:paraId="1533D4C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26.1</w:t>
            </w:r>
          </w:p>
        </w:tc>
        <w:tc>
          <w:tcPr>
            <w:tcW w:w="515" w:type="dxa"/>
            <w:shd w:val="clear" w:color="auto" w:fill="auto"/>
            <w:hideMark/>
          </w:tcPr>
          <w:p w14:paraId="007784A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24</w:t>
            </w:r>
          </w:p>
        </w:tc>
        <w:tc>
          <w:tcPr>
            <w:tcW w:w="515" w:type="dxa"/>
            <w:shd w:val="clear" w:color="auto" w:fill="auto"/>
            <w:hideMark/>
          </w:tcPr>
          <w:p w14:paraId="0427EB4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27.8</w:t>
            </w:r>
          </w:p>
        </w:tc>
        <w:tc>
          <w:tcPr>
            <w:tcW w:w="514" w:type="dxa"/>
            <w:shd w:val="clear" w:color="auto" w:fill="auto"/>
            <w:hideMark/>
          </w:tcPr>
          <w:p w14:paraId="0A79037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24.9</w:t>
            </w:r>
          </w:p>
        </w:tc>
        <w:tc>
          <w:tcPr>
            <w:tcW w:w="515" w:type="dxa"/>
            <w:shd w:val="clear" w:color="auto" w:fill="auto"/>
            <w:hideMark/>
          </w:tcPr>
          <w:p w14:paraId="5F87C6C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31.3</w:t>
            </w:r>
          </w:p>
        </w:tc>
        <w:tc>
          <w:tcPr>
            <w:tcW w:w="515" w:type="dxa"/>
            <w:shd w:val="clear" w:color="auto" w:fill="auto"/>
            <w:hideMark/>
          </w:tcPr>
          <w:p w14:paraId="76E2B91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27.1</w:t>
            </w:r>
          </w:p>
        </w:tc>
        <w:tc>
          <w:tcPr>
            <w:tcW w:w="515" w:type="dxa"/>
            <w:shd w:val="clear" w:color="auto" w:fill="auto"/>
            <w:hideMark/>
          </w:tcPr>
          <w:p w14:paraId="72E374C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w:t>
            </w:r>
          </w:p>
        </w:tc>
        <w:tc>
          <w:tcPr>
            <w:tcW w:w="515" w:type="dxa"/>
            <w:shd w:val="clear" w:color="auto" w:fill="auto"/>
            <w:hideMark/>
          </w:tcPr>
          <w:p w14:paraId="1B03026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30.4</w:t>
            </w:r>
          </w:p>
        </w:tc>
        <w:tc>
          <w:tcPr>
            <w:tcW w:w="514" w:type="dxa"/>
            <w:shd w:val="clear" w:color="auto" w:fill="auto"/>
            <w:hideMark/>
          </w:tcPr>
          <w:p w14:paraId="5D7F1D3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23.8</w:t>
            </w:r>
          </w:p>
        </w:tc>
        <w:tc>
          <w:tcPr>
            <w:tcW w:w="515" w:type="dxa"/>
            <w:shd w:val="clear" w:color="auto" w:fill="auto"/>
            <w:hideMark/>
          </w:tcPr>
          <w:p w14:paraId="709119A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16.1</w:t>
            </w:r>
          </w:p>
        </w:tc>
        <w:tc>
          <w:tcPr>
            <w:tcW w:w="515" w:type="dxa"/>
            <w:shd w:val="clear" w:color="auto" w:fill="auto"/>
            <w:hideMark/>
          </w:tcPr>
          <w:p w14:paraId="0992F95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25.9</w:t>
            </w:r>
          </w:p>
        </w:tc>
        <w:tc>
          <w:tcPr>
            <w:tcW w:w="515" w:type="dxa"/>
            <w:shd w:val="clear" w:color="auto" w:fill="auto"/>
            <w:hideMark/>
          </w:tcPr>
          <w:p w14:paraId="66750D7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15.3</w:t>
            </w:r>
          </w:p>
        </w:tc>
        <w:tc>
          <w:tcPr>
            <w:tcW w:w="514" w:type="dxa"/>
            <w:shd w:val="clear" w:color="auto" w:fill="auto"/>
            <w:hideMark/>
          </w:tcPr>
          <w:p w14:paraId="3392A6A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17.5</w:t>
            </w:r>
          </w:p>
        </w:tc>
        <w:tc>
          <w:tcPr>
            <w:tcW w:w="515" w:type="dxa"/>
            <w:shd w:val="clear" w:color="auto" w:fill="auto"/>
            <w:hideMark/>
          </w:tcPr>
          <w:p w14:paraId="1C0F803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29.5</w:t>
            </w:r>
          </w:p>
        </w:tc>
        <w:tc>
          <w:tcPr>
            <w:tcW w:w="515" w:type="dxa"/>
            <w:shd w:val="clear" w:color="auto" w:fill="auto"/>
            <w:hideMark/>
          </w:tcPr>
          <w:p w14:paraId="19B6EFB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20.3</w:t>
            </w:r>
          </w:p>
        </w:tc>
        <w:tc>
          <w:tcPr>
            <w:tcW w:w="515" w:type="dxa"/>
            <w:shd w:val="clear" w:color="auto" w:fill="auto"/>
            <w:hideMark/>
          </w:tcPr>
          <w:p w14:paraId="1A16ED4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19.3</w:t>
            </w:r>
          </w:p>
        </w:tc>
        <w:tc>
          <w:tcPr>
            <w:tcW w:w="515" w:type="dxa"/>
            <w:shd w:val="clear" w:color="auto" w:fill="auto"/>
            <w:hideMark/>
          </w:tcPr>
          <w:p w14:paraId="7C98FC8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24.6</w:t>
            </w:r>
          </w:p>
        </w:tc>
      </w:tr>
      <w:tr w:rsidR="00FA30EC" w:rsidRPr="00FA30EC" w14:paraId="2A80A8F8" w14:textId="77777777" w:rsidTr="00FA30EC">
        <w:tc>
          <w:tcPr>
            <w:tcW w:w="1290" w:type="dxa"/>
            <w:shd w:val="clear" w:color="auto" w:fill="auto"/>
            <w:hideMark/>
          </w:tcPr>
          <w:p w14:paraId="07B6930E" w14:textId="77777777" w:rsidR="00FA30EC" w:rsidRPr="00FA30EC" w:rsidRDefault="00FA30EC" w:rsidP="00FA30EC">
            <w:pPr>
              <w:spacing w:line="360" w:lineRule="auto"/>
              <w:jc w:val="both"/>
              <w:rPr>
                <w:rFonts w:ascii="Book Antiqua" w:eastAsia="Malgun Gothic" w:hAnsi="Book Antiqua"/>
                <w:color w:val="282828"/>
              </w:rPr>
            </w:pPr>
            <w:proofErr w:type="spellStart"/>
            <w:r w:rsidRPr="00FA30EC">
              <w:rPr>
                <w:rFonts w:ascii="Book Antiqua" w:eastAsia="Malgun Gothic" w:hAnsi="Book Antiqua"/>
                <w:color w:val="282828"/>
              </w:rPr>
              <w:t>sOsm</w:t>
            </w:r>
            <w:proofErr w:type="spellEnd"/>
            <w:r w:rsidRPr="00FA30EC">
              <w:rPr>
                <w:rFonts w:ascii="Book Antiqua" w:eastAsia="Malgun Gothic" w:hAnsi="Book Antiqua"/>
                <w:color w:val="282828"/>
              </w:rPr>
              <w:t xml:space="preserve"> (</w:t>
            </w:r>
            <w:proofErr w:type="spellStart"/>
            <w:r w:rsidRPr="00FA30EC">
              <w:rPr>
                <w:rFonts w:ascii="Book Antiqua" w:eastAsia="Malgun Gothic" w:hAnsi="Book Antiqua"/>
                <w:color w:val="282828"/>
              </w:rPr>
              <w:t>mOsm</w:t>
            </w:r>
            <w:proofErr w:type="spellEnd"/>
            <w:r w:rsidRPr="00FA30EC">
              <w:rPr>
                <w:rFonts w:ascii="Book Antiqua" w:eastAsia="Malgun Gothic" w:hAnsi="Book Antiqua"/>
                <w:color w:val="282828"/>
              </w:rPr>
              <w:t>)</w:t>
            </w:r>
          </w:p>
        </w:tc>
        <w:tc>
          <w:tcPr>
            <w:tcW w:w="468" w:type="dxa"/>
            <w:shd w:val="clear" w:color="auto" w:fill="auto"/>
            <w:hideMark/>
          </w:tcPr>
          <w:p w14:paraId="02342B8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26775AD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302</w:t>
            </w:r>
          </w:p>
        </w:tc>
        <w:tc>
          <w:tcPr>
            <w:tcW w:w="516" w:type="dxa"/>
            <w:shd w:val="clear" w:color="auto" w:fill="auto"/>
            <w:hideMark/>
          </w:tcPr>
          <w:p w14:paraId="4BE416A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302</w:t>
            </w:r>
          </w:p>
        </w:tc>
        <w:tc>
          <w:tcPr>
            <w:tcW w:w="516" w:type="dxa"/>
            <w:shd w:val="clear" w:color="auto" w:fill="auto"/>
            <w:hideMark/>
          </w:tcPr>
          <w:p w14:paraId="08454EB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309</w:t>
            </w:r>
          </w:p>
        </w:tc>
        <w:tc>
          <w:tcPr>
            <w:tcW w:w="516" w:type="dxa"/>
            <w:shd w:val="clear" w:color="auto" w:fill="auto"/>
            <w:hideMark/>
          </w:tcPr>
          <w:p w14:paraId="65E9CB1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323</w:t>
            </w:r>
          </w:p>
        </w:tc>
        <w:tc>
          <w:tcPr>
            <w:tcW w:w="514" w:type="dxa"/>
            <w:shd w:val="clear" w:color="auto" w:fill="auto"/>
            <w:hideMark/>
          </w:tcPr>
          <w:p w14:paraId="552076C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325</w:t>
            </w:r>
          </w:p>
        </w:tc>
        <w:tc>
          <w:tcPr>
            <w:tcW w:w="515" w:type="dxa"/>
            <w:shd w:val="clear" w:color="auto" w:fill="auto"/>
            <w:hideMark/>
          </w:tcPr>
          <w:p w14:paraId="5978EF0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305</w:t>
            </w:r>
          </w:p>
        </w:tc>
        <w:tc>
          <w:tcPr>
            <w:tcW w:w="515" w:type="dxa"/>
            <w:shd w:val="clear" w:color="auto" w:fill="auto"/>
            <w:hideMark/>
          </w:tcPr>
          <w:p w14:paraId="0F76D7B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308</w:t>
            </w:r>
          </w:p>
        </w:tc>
        <w:tc>
          <w:tcPr>
            <w:tcW w:w="515" w:type="dxa"/>
            <w:shd w:val="clear" w:color="auto" w:fill="auto"/>
            <w:hideMark/>
          </w:tcPr>
          <w:p w14:paraId="5D3EE1E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308</w:t>
            </w:r>
          </w:p>
        </w:tc>
        <w:tc>
          <w:tcPr>
            <w:tcW w:w="514" w:type="dxa"/>
            <w:shd w:val="clear" w:color="auto" w:fill="auto"/>
            <w:hideMark/>
          </w:tcPr>
          <w:p w14:paraId="506CFA8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313</w:t>
            </w:r>
          </w:p>
        </w:tc>
        <w:tc>
          <w:tcPr>
            <w:tcW w:w="515" w:type="dxa"/>
            <w:shd w:val="clear" w:color="auto" w:fill="auto"/>
            <w:hideMark/>
          </w:tcPr>
          <w:p w14:paraId="7FD44CA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305</w:t>
            </w:r>
          </w:p>
        </w:tc>
        <w:tc>
          <w:tcPr>
            <w:tcW w:w="515" w:type="dxa"/>
            <w:shd w:val="clear" w:color="auto" w:fill="auto"/>
            <w:hideMark/>
          </w:tcPr>
          <w:p w14:paraId="0E8CCE2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295</w:t>
            </w:r>
          </w:p>
        </w:tc>
        <w:tc>
          <w:tcPr>
            <w:tcW w:w="515" w:type="dxa"/>
            <w:shd w:val="clear" w:color="auto" w:fill="auto"/>
            <w:hideMark/>
          </w:tcPr>
          <w:p w14:paraId="4ACD65D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294</w:t>
            </w:r>
          </w:p>
        </w:tc>
        <w:tc>
          <w:tcPr>
            <w:tcW w:w="515" w:type="dxa"/>
            <w:shd w:val="clear" w:color="auto" w:fill="auto"/>
            <w:hideMark/>
          </w:tcPr>
          <w:p w14:paraId="44C8C15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296</w:t>
            </w:r>
          </w:p>
        </w:tc>
        <w:tc>
          <w:tcPr>
            <w:tcW w:w="514" w:type="dxa"/>
            <w:shd w:val="clear" w:color="auto" w:fill="auto"/>
            <w:noWrap/>
            <w:hideMark/>
          </w:tcPr>
          <w:p w14:paraId="64AF324D" w14:textId="77777777" w:rsidR="00FA30EC" w:rsidRPr="00FA30EC"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029972E"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6998612"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AB92986" w14:textId="77777777" w:rsidR="00FA30EC" w:rsidRPr="00FA30EC"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7C7AAA01"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8D8EEA3"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547A9E0"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94CB4DE"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7EC36EDA" w14:textId="77777777" w:rsidR="00FA30EC" w:rsidRPr="00FA30EC" w:rsidRDefault="00FA30EC" w:rsidP="00FA30EC">
            <w:pPr>
              <w:spacing w:line="360" w:lineRule="auto"/>
              <w:jc w:val="both"/>
              <w:rPr>
                <w:rFonts w:ascii="Book Antiqua" w:eastAsia="Times New Roman" w:hAnsi="Book Antiqua"/>
              </w:rPr>
            </w:pPr>
          </w:p>
        </w:tc>
      </w:tr>
      <w:tr w:rsidR="00FA30EC" w:rsidRPr="00FA30EC" w14:paraId="0C76E320" w14:textId="77777777" w:rsidTr="00FA30EC">
        <w:tc>
          <w:tcPr>
            <w:tcW w:w="1290" w:type="dxa"/>
            <w:shd w:val="clear" w:color="auto" w:fill="auto"/>
            <w:hideMark/>
          </w:tcPr>
          <w:p w14:paraId="24DEEAA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lastRenderedPageBreak/>
              <w:t>pH</w:t>
            </w:r>
          </w:p>
        </w:tc>
        <w:tc>
          <w:tcPr>
            <w:tcW w:w="468" w:type="dxa"/>
            <w:shd w:val="clear" w:color="auto" w:fill="auto"/>
            <w:hideMark/>
          </w:tcPr>
          <w:p w14:paraId="16DD5AE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44F5B71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16" w:type="dxa"/>
            <w:shd w:val="clear" w:color="auto" w:fill="auto"/>
            <w:hideMark/>
          </w:tcPr>
          <w:p w14:paraId="217D153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7.356</w:t>
            </w:r>
          </w:p>
        </w:tc>
        <w:tc>
          <w:tcPr>
            <w:tcW w:w="516" w:type="dxa"/>
            <w:shd w:val="clear" w:color="auto" w:fill="auto"/>
            <w:hideMark/>
          </w:tcPr>
          <w:p w14:paraId="56A4ADF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7.492</w:t>
            </w:r>
          </w:p>
        </w:tc>
        <w:tc>
          <w:tcPr>
            <w:tcW w:w="516" w:type="dxa"/>
            <w:shd w:val="clear" w:color="auto" w:fill="auto"/>
            <w:hideMark/>
          </w:tcPr>
          <w:p w14:paraId="06B37AC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7.465</w:t>
            </w:r>
          </w:p>
        </w:tc>
        <w:tc>
          <w:tcPr>
            <w:tcW w:w="514" w:type="dxa"/>
            <w:shd w:val="clear" w:color="auto" w:fill="auto"/>
            <w:hideMark/>
          </w:tcPr>
          <w:p w14:paraId="2E7B1E0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7.491</w:t>
            </w:r>
          </w:p>
        </w:tc>
        <w:tc>
          <w:tcPr>
            <w:tcW w:w="515" w:type="dxa"/>
            <w:shd w:val="clear" w:color="auto" w:fill="auto"/>
            <w:hideMark/>
          </w:tcPr>
          <w:p w14:paraId="443AFF2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7.508</w:t>
            </w:r>
          </w:p>
        </w:tc>
        <w:tc>
          <w:tcPr>
            <w:tcW w:w="515" w:type="dxa"/>
            <w:shd w:val="clear" w:color="auto" w:fill="auto"/>
            <w:hideMark/>
          </w:tcPr>
          <w:p w14:paraId="265B5F8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7.505</w:t>
            </w:r>
          </w:p>
        </w:tc>
        <w:tc>
          <w:tcPr>
            <w:tcW w:w="515" w:type="dxa"/>
            <w:shd w:val="clear" w:color="auto" w:fill="auto"/>
            <w:hideMark/>
          </w:tcPr>
          <w:p w14:paraId="1A6B6D4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7.492</w:t>
            </w:r>
          </w:p>
        </w:tc>
        <w:tc>
          <w:tcPr>
            <w:tcW w:w="514" w:type="dxa"/>
            <w:shd w:val="clear" w:color="auto" w:fill="auto"/>
            <w:hideMark/>
          </w:tcPr>
          <w:p w14:paraId="264CAE2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7.513</w:t>
            </w:r>
          </w:p>
        </w:tc>
        <w:tc>
          <w:tcPr>
            <w:tcW w:w="515" w:type="dxa"/>
            <w:shd w:val="clear" w:color="auto" w:fill="auto"/>
            <w:hideMark/>
          </w:tcPr>
          <w:p w14:paraId="66C1510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7.477</w:t>
            </w:r>
          </w:p>
        </w:tc>
        <w:tc>
          <w:tcPr>
            <w:tcW w:w="515" w:type="dxa"/>
            <w:shd w:val="clear" w:color="auto" w:fill="auto"/>
            <w:hideMark/>
          </w:tcPr>
          <w:p w14:paraId="214E4AF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7.473</w:t>
            </w:r>
          </w:p>
        </w:tc>
        <w:tc>
          <w:tcPr>
            <w:tcW w:w="515" w:type="dxa"/>
            <w:shd w:val="clear" w:color="auto" w:fill="auto"/>
            <w:hideMark/>
          </w:tcPr>
          <w:p w14:paraId="539FB6C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7.456</w:t>
            </w:r>
          </w:p>
        </w:tc>
        <w:tc>
          <w:tcPr>
            <w:tcW w:w="515" w:type="dxa"/>
            <w:shd w:val="clear" w:color="auto" w:fill="auto"/>
            <w:hideMark/>
          </w:tcPr>
          <w:p w14:paraId="31330B1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7.457</w:t>
            </w:r>
          </w:p>
        </w:tc>
        <w:tc>
          <w:tcPr>
            <w:tcW w:w="514" w:type="dxa"/>
            <w:shd w:val="clear" w:color="auto" w:fill="auto"/>
            <w:noWrap/>
            <w:hideMark/>
          </w:tcPr>
          <w:p w14:paraId="0E3C55CF" w14:textId="77777777" w:rsidR="00FA30EC" w:rsidRPr="00FA30EC"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BB49661"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9F9D936"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10EBB85" w14:textId="77777777" w:rsidR="00FA30EC" w:rsidRPr="00FA30EC"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4D3C9B0F"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9155BB4"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36BC648"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8A29358"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FFB72FC" w14:textId="77777777" w:rsidR="00FA30EC" w:rsidRPr="00FA30EC" w:rsidRDefault="00FA30EC" w:rsidP="00FA30EC">
            <w:pPr>
              <w:spacing w:line="360" w:lineRule="auto"/>
              <w:jc w:val="both"/>
              <w:rPr>
                <w:rFonts w:ascii="Book Antiqua" w:eastAsia="Times New Roman" w:hAnsi="Book Antiqua"/>
              </w:rPr>
            </w:pPr>
          </w:p>
        </w:tc>
      </w:tr>
      <w:tr w:rsidR="00FA30EC" w:rsidRPr="00FA30EC" w14:paraId="1F6A2D02" w14:textId="77777777" w:rsidTr="00FA30EC">
        <w:tc>
          <w:tcPr>
            <w:tcW w:w="1290" w:type="dxa"/>
            <w:shd w:val="clear" w:color="auto" w:fill="auto"/>
            <w:hideMark/>
          </w:tcPr>
          <w:p w14:paraId="47F3F13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pCO</w:t>
            </w:r>
            <w:r w:rsidRPr="00FA30EC">
              <w:rPr>
                <w:rFonts w:ascii="Book Antiqua" w:eastAsia="Malgun Gothic" w:hAnsi="Book Antiqua"/>
                <w:color w:val="282828"/>
                <w:vertAlign w:val="subscript"/>
              </w:rPr>
              <w:t>2</w:t>
            </w:r>
            <w:r w:rsidRPr="00FA30EC">
              <w:rPr>
                <w:rFonts w:ascii="Book Antiqua" w:eastAsia="Malgun Gothic" w:hAnsi="Book Antiqua"/>
                <w:color w:val="282828"/>
              </w:rPr>
              <w:t xml:space="preserve"> (mmHg)</w:t>
            </w:r>
          </w:p>
        </w:tc>
        <w:tc>
          <w:tcPr>
            <w:tcW w:w="468" w:type="dxa"/>
            <w:shd w:val="clear" w:color="auto" w:fill="auto"/>
            <w:hideMark/>
          </w:tcPr>
          <w:p w14:paraId="747A3D8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1097166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16" w:type="dxa"/>
            <w:shd w:val="clear" w:color="auto" w:fill="auto"/>
            <w:hideMark/>
          </w:tcPr>
          <w:p w14:paraId="0F42FCE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33.3</w:t>
            </w:r>
          </w:p>
        </w:tc>
        <w:tc>
          <w:tcPr>
            <w:tcW w:w="516" w:type="dxa"/>
            <w:shd w:val="clear" w:color="auto" w:fill="auto"/>
            <w:hideMark/>
          </w:tcPr>
          <w:p w14:paraId="17EE00F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30.5</w:t>
            </w:r>
          </w:p>
        </w:tc>
        <w:tc>
          <w:tcPr>
            <w:tcW w:w="516" w:type="dxa"/>
            <w:shd w:val="clear" w:color="auto" w:fill="auto"/>
            <w:hideMark/>
          </w:tcPr>
          <w:p w14:paraId="20A6E62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35.6</w:t>
            </w:r>
          </w:p>
        </w:tc>
        <w:tc>
          <w:tcPr>
            <w:tcW w:w="514" w:type="dxa"/>
            <w:shd w:val="clear" w:color="auto" w:fill="auto"/>
            <w:hideMark/>
          </w:tcPr>
          <w:p w14:paraId="3DD866B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36.3</w:t>
            </w:r>
          </w:p>
        </w:tc>
        <w:tc>
          <w:tcPr>
            <w:tcW w:w="515" w:type="dxa"/>
            <w:shd w:val="clear" w:color="auto" w:fill="auto"/>
            <w:hideMark/>
          </w:tcPr>
          <w:p w14:paraId="31EA7B8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37.3</w:t>
            </w:r>
          </w:p>
        </w:tc>
        <w:tc>
          <w:tcPr>
            <w:tcW w:w="515" w:type="dxa"/>
            <w:shd w:val="clear" w:color="auto" w:fill="auto"/>
            <w:hideMark/>
          </w:tcPr>
          <w:p w14:paraId="0B9221E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38.2</w:t>
            </w:r>
          </w:p>
        </w:tc>
        <w:tc>
          <w:tcPr>
            <w:tcW w:w="515" w:type="dxa"/>
            <w:shd w:val="clear" w:color="auto" w:fill="auto"/>
            <w:hideMark/>
          </w:tcPr>
          <w:p w14:paraId="002C047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39.0</w:t>
            </w:r>
          </w:p>
        </w:tc>
        <w:tc>
          <w:tcPr>
            <w:tcW w:w="514" w:type="dxa"/>
            <w:shd w:val="clear" w:color="auto" w:fill="auto"/>
            <w:hideMark/>
          </w:tcPr>
          <w:p w14:paraId="33B4501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35.1</w:t>
            </w:r>
          </w:p>
        </w:tc>
        <w:tc>
          <w:tcPr>
            <w:tcW w:w="515" w:type="dxa"/>
            <w:shd w:val="clear" w:color="auto" w:fill="auto"/>
            <w:hideMark/>
          </w:tcPr>
          <w:p w14:paraId="2771CD7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35.3</w:t>
            </w:r>
          </w:p>
        </w:tc>
        <w:tc>
          <w:tcPr>
            <w:tcW w:w="515" w:type="dxa"/>
            <w:shd w:val="clear" w:color="auto" w:fill="auto"/>
            <w:hideMark/>
          </w:tcPr>
          <w:p w14:paraId="53E506A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34.8</w:t>
            </w:r>
          </w:p>
        </w:tc>
        <w:tc>
          <w:tcPr>
            <w:tcW w:w="515" w:type="dxa"/>
            <w:shd w:val="clear" w:color="auto" w:fill="auto"/>
            <w:hideMark/>
          </w:tcPr>
          <w:p w14:paraId="143E2BF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36.6</w:t>
            </w:r>
          </w:p>
        </w:tc>
        <w:tc>
          <w:tcPr>
            <w:tcW w:w="515" w:type="dxa"/>
            <w:shd w:val="clear" w:color="auto" w:fill="auto"/>
            <w:hideMark/>
          </w:tcPr>
          <w:p w14:paraId="302A362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38.2</w:t>
            </w:r>
          </w:p>
        </w:tc>
        <w:tc>
          <w:tcPr>
            <w:tcW w:w="514" w:type="dxa"/>
            <w:shd w:val="clear" w:color="auto" w:fill="auto"/>
            <w:noWrap/>
            <w:hideMark/>
          </w:tcPr>
          <w:p w14:paraId="5E6CDE5F" w14:textId="77777777" w:rsidR="00FA30EC" w:rsidRPr="00FA30EC"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119BB8AF"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E08C0B5"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0D59CE5" w14:textId="77777777" w:rsidR="00FA30EC" w:rsidRPr="00FA30EC"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2DF0DF6C"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CB81119"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C749DEA"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70DAC577"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3D64D8F" w14:textId="77777777" w:rsidR="00FA30EC" w:rsidRPr="00FA30EC" w:rsidRDefault="00FA30EC" w:rsidP="00FA30EC">
            <w:pPr>
              <w:spacing w:line="360" w:lineRule="auto"/>
              <w:jc w:val="both"/>
              <w:rPr>
                <w:rFonts w:ascii="Book Antiqua" w:eastAsia="Times New Roman" w:hAnsi="Book Antiqua"/>
              </w:rPr>
            </w:pPr>
          </w:p>
        </w:tc>
      </w:tr>
      <w:tr w:rsidR="00FA30EC" w:rsidRPr="00FA30EC" w14:paraId="07E203FB" w14:textId="77777777" w:rsidTr="00FA30EC">
        <w:tc>
          <w:tcPr>
            <w:tcW w:w="1290" w:type="dxa"/>
            <w:shd w:val="clear" w:color="auto" w:fill="auto"/>
            <w:hideMark/>
          </w:tcPr>
          <w:p w14:paraId="474D793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pO</w:t>
            </w:r>
            <w:r w:rsidRPr="00FA30EC">
              <w:rPr>
                <w:rFonts w:ascii="Book Antiqua" w:eastAsia="Malgun Gothic" w:hAnsi="Book Antiqua"/>
                <w:color w:val="282828"/>
                <w:vertAlign w:val="subscript"/>
              </w:rPr>
              <w:t>2</w:t>
            </w:r>
            <w:r w:rsidRPr="00FA30EC">
              <w:rPr>
                <w:rFonts w:ascii="Book Antiqua" w:eastAsia="Malgun Gothic" w:hAnsi="Book Antiqua"/>
                <w:color w:val="282828"/>
              </w:rPr>
              <w:t xml:space="preserve"> (mmHg)</w:t>
            </w:r>
          </w:p>
        </w:tc>
        <w:tc>
          <w:tcPr>
            <w:tcW w:w="468" w:type="dxa"/>
            <w:shd w:val="clear" w:color="auto" w:fill="auto"/>
            <w:hideMark/>
          </w:tcPr>
          <w:p w14:paraId="022F5A5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6DA99A0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16" w:type="dxa"/>
            <w:shd w:val="clear" w:color="auto" w:fill="auto"/>
            <w:hideMark/>
          </w:tcPr>
          <w:p w14:paraId="1E86603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117</w:t>
            </w:r>
          </w:p>
        </w:tc>
        <w:tc>
          <w:tcPr>
            <w:tcW w:w="516" w:type="dxa"/>
            <w:shd w:val="clear" w:color="auto" w:fill="auto"/>
            <w:hideMark/>
          </w:tcPr>
          <w:p w14:paraId="24255FB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108</w:t>
            </w:r>
          </w:p>
        </w:tc>
        <w:tc>
          <w:tcPr>
            <w:tcW w:w="516" w:type="dxa"/>
            <w:shd w:val="clear" w:color="auto" w:fill="auto"/>
            <w:hideMark/>
          </w:tcPr>
          <w:p w14:paraId="48D5CB7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84.6</w:t>
            </w:r>
          </w:p>
        </w:tc>
        <w:tc>
          <w:tcPr>
            <w:tcW w:w="514" w:type="dxa"/>
            <w:shd w:val="clear" w:color="auto" w:fill="auto"/>
            <w:hideMark/>
          </w:tcPr>
          <w:p w14:paraId="4CEC7CB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109</w:t>
            </w:r>
          </w:p>
        </w:tc>
        <w:tc>
          <w:tcPr>
            <w:tcW w:w="515" w:type="dxa"/>
            <w:shd w:val="clear" w:color="auto" w:fill="auto"/>
            <w:hideMark/>
          </w:tcPr>
          <w:p w14:paraId="2779271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71.1</w:t>
            </w:r>
          </w:p>
        </w:tc>
        <w:tc>
          <w:tcPr>
            <w:tcW w:w="515" w:type="dxa"/>
            <w:shd w:val="clear" w:color="auto" w:fill="auto"/>
            <w:hideMark/>
          </w:tcPr>
          <w:p w14:paraId="6DDD501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137</w:t>
            </w:r>
          </w:p>
        </w:tc>
        <w:tc>
          <w:tcPr>
            <w:tcW w:w="515" w:type="dxa"/>
            <w:shd w:val="clear" w:color="auto" w:fill="auto"/>
            <w:hideMark/>
          </w:tcPr>
          <w:p w14:paraId="5E560E5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122</w:t>
            </w:r>
          </w:p>
        </w:tc>
        <w:tc>
          <w:tcPr>
            <w:tcW w:w="514" w:type="dxa"/>
            <w:shd w:val="clear" w:color="auto" w:fill="auto"/>
            <w:hideMark/>
          </w:tcPr>
          <w:p w14:paraId="2671223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97.1</w:t>
            </w:r>
          </w:p>
        </w:tc>
        <w:tc>
          <w:tcPr>
            <w:tcW w:w="515" w:type="dxa"/>
            <w:shd w:val="clear" w:color="auto" w:fill="auto"/>
            <w:hideMark/>
          </w:tcPr>
          <w:p w14:paraId="5D3A15B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129</w:t>
            </w:r>
          </w:p>
        </w:tc>
        <w:tc>
          <w:tcPr>
            <w:tcW w:w="515" w:type="dxa"/>
            <w:shd w:val="clear" w:color="auto" w:fill="auto"/>
            <w:hideMark/>
          </w:tcPr>
          <w:p w14:paraId="186095E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146</w:t>
            </w:r>
          </w:p>
        </w:tc>
        <w:tc>
          <w:tcPr>
            <w:tcW w:w="515" w:type="dxa"/>
            <w:shd w:val="clear" w:color="auto" w:fill="auto"/>
            <w:hideMark/>
          </w:tcPr>
          <w:p w14:paraId="4C63992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100</w:t>
            </w:r>
          </w:p>
        </w:tc>
        <w:tc>
          <w:tcPr>
            <w:tcW w:w="515" w:type="dxa"/>
            <w:shd w:val="clear" w:color="auto" w:fill="auto"/>
            <w:hideMark/>
          </w:tcPr>
          <w:p w14:paraId="23F67B8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102</w:t>
            </w:r>
          </w:p>
        </w:tc>
        <w:tc>
          <w:tcPr>
            <w:tcW w:w="514" w:type="dxa"/>
            <w:shd w:val="clear" w:color="auto" w:fill="auto"/>
            <w:noWrap/>
            <w:hideMark/>
          </w:tcPr>
          <w:p w14:paraId="41ECC8A6" w14:textId="77777777" w:rsidR="00FA30EC" w:rsidRPr="00FA30EC"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3DA5867"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A7E47ED"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99A2724" w14:textId="77777777" w:rsidR="00FA30EC" w:rsidRPr="00FA30EC"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69DC53F6"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48DF3EF"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14D4036D"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49419C8"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60ADD570" w14:textId="77777777" w:rsidR="00FA30EC" w:rsidRPr="00FA30EC" w:rsidRDefault="00FA30EC" w:rsidP="00FA30EC">
            <w:pPr>
              <w:spacing w:line="360" w:lineRule="auto"/>
              <w:jc w:val="both"/>
              <w:rPr>
                <w:rFonts w:ascii="Book Antiqua" w:eastAsia="Times New Roman" w:hAnsi="Book Antiqua"/>
              </w:rPr>
            </w:pPr>
          </w:p>
        </w:tc>
      </w:tr>
      <w:tr w:rsidR="00FA30EC" w:rsidRPr="00FA30EC" w14:paraId="3A50AC89" w14:textId="77777777" w:rsidTr="00FA30EC">
        <w:tc>
          <w:tcPr>
            <w:tcW w:w="1290" w:type="dxa"/>
            <w:shd w:val="clear" w:color="auto" w:fill="auto"/>
            <w:hideMark/>
          </w:tcPr>
          <w:p w14:paraId="04BF62F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HCO</w:t>
            </w:r>
            <w:r w:rsidRPr="00FA30EC">
              <w:rPr>
                <w:rFonts w:ascii="Book Antiqua" w:eastAsia="Malgun Gothic" w:hAnsi="Book Antiqua"/>
                <w:color w:val="282828"/>
                <w:vertAlign w:val="subscript"/>
              </w:rPr>
              <w:t>3</w:t>
            </w:r>
            <w:r w:rsidRPr="00FA30EC">
              <w:rPr>
                <w:rFonts w:ascii="Book Antiqua" w:eastAsia="Malgun Gothic" w:hAnsi="Book Antiqua"/>
                <w:color w:val="282828"/>
                <w:vertAlign w:val="superscript"/>
              </w:rPr>
              <w:t>-</w:t>
            </w:r>
            <w:r w:rsidRPr="00FA30EC">
              <w:rPr>
                <w:rFonts w:ascii="Book Antiqua" w:eastAsia="Malgun Gothic" w:hAnsi="Book Antiqua"/>
                <w:color w:val="282828"/>
              </w:rPr>
              <w:t xml:space="preserve"> (mmol/L)</w:t>
            </w:r>
          </w:p>
        </w:tc>
        <w:tc>
          <w:tcPr>
            <w:tcW w:w="468" w:type="dxa"/>
            <w:shd w:val="clear" w:color="auto" w:fill="auto"/>
            <w:hideMark/>
          </w:tcPr>
          <w:p w14:paraId="3D43783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6067A67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16" w:type="dxa"/>
            <w:shd w:val="clear" w:color="auto" w:fill="auto"/>
            <w:hideMark/>
          </w:tcPr>
          <w:p w14:paraId="03698D2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18.1</w:t>
            </w:r>
          </w:p>
        </w:tc>
        <w:tc>
          <w:tcPr>
            <w:tcW w:w="516" w:type="dxa"/>
            <w:shd w:val="clear" w:color="auto" w:fill="auto"/>
            <w:hideMark/>
          </w:tcPr>
          <w:p w14:paraId="0357EE6E"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23.1</w:t>
            </w:r>
          </w:p>
        </w:tc>
        <w:tc>
          <w:tcPr>
            <w:tcW w:w="516" w:type="dxa"/>
            <w:shd w:val="clear" w:color="auto" w:fill="auto"/>
            <w:hideMark/>
          </w:tcPr>
          <w:p w14:paraId="5F62915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25.2</w:t>
            </w:r>
          </w:p>
        </w:tc>
        <w:tc>
          <w:tcPr>
            <w:tcW w:w="514" w:type="dxa"/>
            <w:shd w:val="clear" w:color="auto" w:fill="auto"/>
            <w:hideMark/>
          </w:tcPr>
          <w:p w14:paraId="636F2E0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27.5</w:t>
            </w:r>
          </w:p>
        </w:tc>
        <w:tc>
          <w:tcPr>
            <w:tcW w:w="515" w:type="dxa"/>
            <w:shd w:val="clear" w:color="auto" w:fill="auto"/>
            <w:hideMark/>
          </w:tcPr>
          <w:p w14:paraId="3B45471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29.3</w:t>
            </w:r>
          </w:p>
        </w:tc>
        <w:tc>
          <w:tcPr>
            <w:tcW w:w="515" w:type="dxa"/>
            <w:shd w:val="clear" w:color="auto" w:fill="auto"/>
            <w:hideMark/>
          </w:tcPr>
          <w:p w14:paraId="6BC6007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29.9</w:t>
            </w:r>
          </w:p>
        </w:tc>
        <w:tc>
          <w:tcPr>
            <w:tcW w:w="515" w:type="dxa"/>
            <w:shd w:val="clear" w:color="auto" w:fill="auto"/>
            <w:hideMark/>
          </w:tcPr>
          <w:p w14:paraId="260BF83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29.6</w:t>
            </w:r>
          </w:p>
        </w:tc>
        <w:tc>
          <w:tcPr>
            <w:tcW w:w="514" w:type="dxa"/>
            <w:shd w:val="clear" w:color="auto" w:fill="auto"/>
            <w:hideMark/>
          </w:tcPr>
          <w:p w14:paraId="343F52D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28.0</w:t>
            </w:r>
          </w:p>
        </w:tc>
        <w:tc>
          <w:tcPr>
            <w:tcW w:w="515" w:type="dxa"/>
            <w:shd w:val="clear" w:color="auto" w:fill="auto"/>
            <w:hideMark/>
          </w:tcPr>
          <w:p w14:paraId="7C59E6A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25.8</w:t>
            </w:r>
          </w:p>
        </w:tc>
        <w:tc>
          <w:tcPr>
            <w:tcW w:w="515" w:type="dxa"/>
            <w:shd w:val="clear" w:color="auto" w:fill="auto"/>
            <w:hideMark/>
          </w:tcPr>
          <w:p w14:paraId="1FF2B21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25.2</w:t>
            </w:r>
          </w:p>
        </w:tc>
        <w:tc>
          <w:tcPr>
            <w:tcW w:w="515" w:type="dxa"/>
            <w:shd w:val="clear" w:color="auto" w:fill="auto"/>
            <w:hideMark/>
          </w:tcPr>
          <w:p w14:paraId="3CA70E5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25.4</w:t>
            </w:r>
          </w:p>
        </w:tc>
        <w:tc>
          <w:tcPr>
            <w:tcW w:w="515" w:type="dxa"/>
            <w:shd w:val="clear" w:color="auto" w:fill="auto"/>
            <w:hideMark/>
          </w:tcPr>
          <w:p w14:paraId="6FDD443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26.6</w:t>
            </w:r>
          </w:p>
        </w:tc>
        <w:tc>
          <w:tcPr>
            <w:tcW w:w="514" w:type="dxa"/>
            <w:shd w:val="clear" w:color="auto" w:fill="auto"/>
            <w:noWrap/>
            <w:hideMark/>
          </w:tcPr>
          <w:p w14:paraId="168DF4EE" w14:textId="77777777" w:rsidR="00FA30EC" w:rsidRPr="00FA30EC"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5EF9FBF1"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7433035"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279D2B0F" w14:textId="77777777" w:rsidR="00FA30EC" w:rsidRPr="00FA30EC"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5389B511"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64F4261D"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56717AE"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F042C53"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3E255C3F" w14:textId="77777777" w:rsidR="00FA30EC" w:rsidRPr="00FA30EC" w:rsidRDefault="00FA30EC" w:rsidP="00FA30EC">
            <w:pPr>
              <w:spacing w:line="360" w:lineRule="auto"/>
              <w:jc w:val="both"/>
              <w:rPr>
                <w:rFonts w:ascii="Book Antiqua" w:eastAsia="Times New Roman" w:hAnsi="Book Antiqua"/>
              </w:rPr>
            </w:pPr>
          </w:p>
        </w:tc>
      </w:tr>
      <w:tr w:rsidR="00FA30EC" w:rsidRPr="00FA30EC" w14:paraId="44458128" w14:textId="77777777" w:rsidTr="00FA30EC">
        <w:tc>
          <w:tcPr>
            <w:tcW w:w="1290" w:type="dxa"/>
            <w:shd w:val="clear" w:color="auto" w:fill="auto"/>
            <w:hideMark/>
          </w:tcPr>
          <w:p w14:paraId="43F7E0D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BE (mmol/L)</w:t>
            </w:r>
          </w:p>
        </w:tc>
        <w:tc>
          <w:tcPr>
            <w:tcW w:w="468" w:type="dxa"/>
            <w:shd w:val="clear" w:color="auto" w:fill="auto"/>
            <w:hideMark/>
          </w:tcPr>
          <w:p w14:paraId="177915C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shd w:val="clear" w:color="auto" w:fill="auto"/>
            <w:hideMark/>
          </w:tcPr>
          <w:p w14:paraId="1B4581A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16" w:type="dxa"/>
            <w:shd w:val="clear" w:color="auto" w:fill="auto"/>
            <w:hideMark/>
          </w:tcPr>
          <w:p w14:paraId="548BE85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-6.1</w:t>
            </w:r>
          </w:p>
        </w:tc>
        <w:tc>
          <w:tcPr>
            <w:tcW w:w="516" w:type="dxa"/>
            <w:shd w:val="clear" w:color="auto" w:fill="auto"/>
            <w:hideMark/>
          </w:tcPr>
          <w:p w14:paraId="165E2BE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0.7</w:t>
            </w:r>
          </w:p>
        </w:tc>
        <w:tc>
          <w:tcPr>
            <w:tcW w:w="516" w:type="dxa"/>
            <w:shd w:val="clear" w:color="auto" w:fill="auto"/>
            <w:hideMark/>
          </w:tcPr>
          <w:p w14:paraId="35C7EB6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2.1</w:t>
            </w:r>
          </w:p>
        </w:tc>
        <w:tc>
          <w:tcPr>
            <w:tcW w:w="514" w:type="dxa"/>
            <w:shd w:val="clear" w:color="auto" w:fill="auto"/>
            <w:hideMark/>
          </w:tcPr>
          <w:p w14:paraId="519EB31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4.4</w:t>
            </w:r>
          </w:p>
        </w:tc>
        <w:tc>
          <w:tcPr>
            <w:tcW w:w="515" w:type="dxa"/>
            <w:shd w:val="clear" w:color="auto" w:fill="auto"/>
            <w:hideMark/>
          </w:tcPr>
          <w:p w14:paraId="504A8AE5"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6.3</w:t>
            </w:r>
          </w:p>
        </w:tc>
        <w:tc>
          <w:tcPr>
            <w:tcW w:w="515" w:type="dxa"/>
            <w:shd w:val="clear" w:color="auto" w:fill="auto"/>
            <w:hideMark/>
          </w:tcPr>
          <w:p w14:paraId="56BF5CD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6.7</w:t>
            </w:r>
          </w:p>
        </w:tc>
        <w:tc>
          <w:tcPr>
            <w:tcW w:w="515" w:type="dxa"/>
            <w:shd w:val="clear" w:color="auto" w:fill="auto"/>
            <w:hideMark/>
          </w:tcPr>
          <w:p w14:paraId="0659824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6.2</w:t>
            </w:r>
          </w:p>
        </w:tc>
        <w:tc>
          <w:tcPr>
            <w:tcW w:w="514" w:type="dxa"/>
            <w:shd w:val="clear" w:color="auto" w:fill="auto"/>
            <w:hideMark/>
          </w:tcPr>
          <w:p w14:paraId="32E8371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5.3</w:t>
            </w:r>
          </w:p>
        </w:tc>
        <w:tc>
          <w:tcPr>
            <w:tcW w:w="515" w:type="dxa"/>
            <w:shd w:val="clear" w:color="auto" w:fill="auto"/>
            <w:hideMark/>
          </w:tcPr>
          <w:p w14:paraId="1196178B"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2.8</w:t>
            </w:r>
          </w:p>
        </w:tc>
        <w:tc>
          <w:tcPr>
            <w:tcW w:w="515" w:type="dxa"/>
            <w:shd w:val="clear" w:color="auto" w:fill="auto"/>
            <w:hideMark/>
          </w:tcPr>
          <w:p w14:paraId="4611ED16"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2.1</w:t>
            </w:r>
          </w:p>
        </w:tc>
        <w:tc>
          <w:tcPr>
            <w:tcW w:w="515" w:type="dxa"/>
            <w:shd w:val="clear" w:color="auto" w:fill="auto"/>
            <w:hideMark/>
          </w:tcPr>
          <w:p w14:paraId="38C14AA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2.0</w:t>
            </w:r>
          </w:p>
        </w:tc>
        <w:tc>
          <w:tcPr>
            <w:tcW w:w="515" w:type="dxa"/>
            <w:shd w:val="clear" w:color="auto" w:fill="auto"/>
            <w:hideMark/>
          </w:tcPr>
          <w:p w14:paraId="6A5A6E9D"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3</w:t>
            </w:r>
          </w:p>
        </w:tc>
        <w:tc>
          <w:tcPr>
            <w:tcW w:w="514" w:type="dxa"/>
            <w:shd w:val="clear" w:color="auto" w:fill="auto"/>
            <w:noWrap/>
            <w:hideMark/>
          </w:tcPr>
          <w:p w14:paraId="2A527DD7" w14:textId="77777777" w:rsidR="00FA30EC" w:rsidRPr="00FA30EC" w:rsidRDefault="00FA30EC" w:rsidP="00FA30EC">
            <w:pPr>
              <w:spacing w:line="360" w:lineRule="auto"/>
              <w:jc w:val="both"/>
              <w:rPr>
                <w:rFonts w:ascii="Book Antiqua" w:eastAsia="Malgun Gothic" w:hAnsi="Book Antiqua"/>
                <w:color w:val="282828"/>
              </w:rPr>
            </w:pPr>
          </w:p>
        </w:tc>
        <w:tc>
          <w:tcPr>
            <w:tcW w:w="515" w:type="dxa"/>
            <w:shd w:val="clear" w:color="auto" w:fill="auto"/>
            <w:noWrap/>
            <w:hideMark/>
          </w:tcPr>
          <w:p w14:paraId="39B25DCC"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AC539E6"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4B4AD76A" w14:textId="77777777" w:rsidR="00FA30EC" w:rsidRPr="00FA30EC" w:rsidRDefault="00FA30EC" w:rsidP="00FA30EC">
            <w:pPr>
              <w:spacing w:line="360" w:lineRule="auto"/>
              <w:jc w:val="both"/>
              <w:rPr>
                <w:rFonts w:ascii="Book Antiqua" w:eastAsia="Times New Roman" w:hAnsi="Book Antiqua"/>
              </w:rPr>
            </w:pPr>
          </w:p>
        </w:tc>
        <w:tc>
          <w:tcPr>
            <w:tcW w:w="514" w:type="dxa"/>
            <w:shd w:val="clear" w:color="auto" w:fill="auto"/>
            <w:noWrap/>
            <w:hideMark/>
          </w:tcPr>
          <w:p w14:paraId="1136D374"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7F5AC9BA"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8F9D470"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0357ADE0" w14:textId="77777777" w:rsidR="00FA30EC" w:rsidRPr="00FA30EC" w:rsidRDefault="00FA30EC" w:rsidP="00FA30EC">
            <w:pPr>
              <w:spacing w:line="360" w:lineRule="auto"/>
              <w:jc w:val="both"/>
              <w:rPr>
                <w:rFonts w:ascii="Book Antiqua" w:eastAsia="Times New Roman" w:hAnsi="Book Antiqua"/>
              </w:rPr>
            </w:pPr>
          </w:p>
        </w:tc>
        <w:tc>
          <w:tcPr>
            <w:tcW w:w="515" w:type="dxa"/>
            <w:shd w:val="clear" w:color="auto" w:fill="auto"/>
            <w:noWrap/>
            <w:hideMark/>
          </w:tcPr>
          <w:p w14:paraId="55B60E0A" w14:textId="77777777" w:rsidR="00FA30EC" w:rsidRPr="00FA30EC" w:rsidRDefault="00FA30EC" w:rsidP="00FA30EC">
            <w:pPr>
              <w:spacing w:line="360" w:lineRule="auto"/>
              <w:jc w:val="both"/>
              <w:rPr>
                <w:rFonts w:ascii="Book Antiqua" w:eastAsia="Times New Roman" w:hAnsi="Book Antiqua"/>
              </w:rPr>
            </w:pPr>
          </w:p>
        </w:tc>
      </w:tr>
      <w:tr w:rsidR="00FA30EC" w:rsidRPr="00FA30EC" w14:paraId="126CA780" w14:textId="77777777" w:rsidTr="00FA30EC">
        <w:tc>
          <w:tcPr>
            <w:tcW w:w="1290" w:type="dxa"/>
            <w:tcBorders>
              <w:bottom w:val="single" w:sz="4" w:space="0" w:color="auto"/>
            </w:tcBorders>
            <w:shd w:val="clear" w:color="auto" w:fill="auto"/>
            <w:hideMark/>
          </w:tcPr>
          <w:p w14:paraId="3978A81C"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SaO</w:t>
            </w:r>
            <w:r w:rsidRPr="00FA30EC">
              <w:rPr>
                <w:rFonts w:ascii="Book Antiqua" w:eastAsia="Malgun Gothic" w:hAnsi="Book Antiqua"/>
                <w:color w:val="282828"/>
                <w:vertAlign w:val="subscript"/>
              </w:rPr>
              <w:t>2</w:t>
            </w:r>
            <w:r w:rsidRPr="00FA30EC">
              <w:rPr>
                <w:rFonts w:ascii="Book Antiqua" w:eastAsia="Malgun Gothic" w:hAnsi="Book Antiqua"/>
                <w:color w:val="282828"/>
              </w:rPr>
              <w:t xml:space="preserve"> (%)</w:t>
            </w:r>
          </w:p>
        </w:tc>
        <w:tc>
          <w:tcPr>
            <w:tcW w:w="468" w:type="dxa"/>
            <w:tcBorders>
              <w:bottom w:val="single" w:sz="4" w:space="0" w:color="auto"/>
            </w:tcBorders>
            <w:shd w:val="clear" w:color="auto" w:fill="auto"/>
            <w:hideMark/>
          </w:tcPr>
          <w:p w14:paraId="64D60613"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02" w:type="dxa"/>
            <w:tcBorders>
              <w:bottom w:val="single" w:sz="4" w:space="0" w:color="auto"/>
            </w:tcBorders>
            <w:shd w:val="clear" w:color="auto" w:fill="auto"/>
            <w:hideMark/>
          </w:tcPr>
          <w:p w14:paraId="01B3E0D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w:t>
            </w:r>
          </w:p>
        </w:tc>
        <w:tc>
          <w:tcPr>
            <w:tcW w:w="516" w:type="dxa"/>
            <w:tcBorders>
              <w:bottom w:val="single" w:sz="4" w:space="0" w:color="auto"/>
            </w:tcBorders>
            <w:shd w:val="clear" w:color="auto" w:fill="auto"/>
            <w:hideMark/>
          </w:tcPr>
          <w:p w14:paraId="6CC48A90"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98.5</w:t>
            </w:r>
          </w:p>
        </w:tc>
        <w:tc>
          <w:tcPr>
            <w:tcW w:w="516" w:type="dxa"/>
            <w:tcBorders>
              <w:bottom w:val="single" w:sz="4" w:space="0" w:color="auto"/>
            </w:tcBorders>
            <w:shd w:val="clear" w:color="auto" w:fill="auto"/>
            <w:hideMark/>
          </w:tcPr>
          <w:p w14:paraId="4B04B1F2"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98.8</w:t>
            </w:r>
          </w:p>
        </w:tc>
        <w:tc>
          <w:tcPr>
            <w:tcW w:w="516" w:type="dxa"/>
            <w:tcBorders>
              <w:bottom w:val="single" w:sz="4" w:space="0" w:color="auto"/>
            </w:tcBorders>
            <w:shd w:val="clear" w:color="auto" w:fill="auto"/>
            <w:hideMark/>
          </w:tcPr>
          <w:p w14:paraId="0E2B769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96.9</w:t>
            </w:r>
          </w:p>
        </w:tc>
        <w:tc>
          <w:tcPr>
            <w:tcW w:w="514" w:type="dxa"/>
            <w:tcBorders>
              <w:bottom w:val="single" w:sz="4" w:space="0" w:color="auto"/>
            </w:tcBorders>
            <w:shd w:val="clear" w:color="auto" w:fill="auto"/>
            <w:hideMark/>
          </w:tcPr>
          <w:p w14:paraId="34716B5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98.7</w:t>
            </w:r>
          </w:p>
        </w:tc>
        <w:tc>
          <w:tcPr>
            <w:tcW w:w="515" w:type="dxa"/>
            <w:tcBorders>
              <w:bottom w:val="single" w:sz="4" w:space="0" w:color="auto"/>
            </w:tcBorders>
            <w:shd w:val="clear" w:color="auto" w:fill="auto"/>
            <w:hideMark/>
          </w:tcPr>
          <w:p w14:paraId="7E303621"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95.7</w:t>
            </w:r>
          </w:p>
        </w:tc>
        <w:tc>
          <w:tcPr>
            <w:tcW w:w="515" w:type="dxa"/>
            <w:tcBorders>
              <w:bottom w:val="single" w:sz="4" w:space="0" w:color="auto"/>
            </w:tcBorders>
            <w:shd w:val="clear" w:color="auto" w:fill="auto"/>
            <w:hideMark/>
          </w:tcPr>
          <w:p w14:paraId="1A999969"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99.0</w:t>
            </w:r>
          </w:p>
        </w:tc>
        <w:tc>
          <w:tcPr>
            <w:tcW w:w="515" w:type="dxa"/>
            <w:tcBorders>
              <w:bottom w:val="single" w:sz="4" w:space="0" w:color="auto"/>
            </w:tcBorders>
            <w:shd w:val="clear" w:color="auto" w:fill="auto"/>
            <w:hideMark/>
          </w:tcPr>
          <w:p w14:paraId="119F09B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98.8</w:t>
            </w:r>
          </w:p>
        </w:tc>
        <w:tc>
          <w:tcPr>
            <w:tcW w:w="514" w:type="dxa"/>
            <w:tcBorders>
              <w:bottom w:val="single" w:sz="4" w:space="0" w:color="auto"/>
            </w:tcBorders>
            <w:shd w:val="clear" w:color="auto" w:fill="auto"/>
            <w:hideMark/>
          </w:tcPr>
          <w:p w14:paraId="1D4490A4"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97.6</w:t>
            </w:r>
          </w:p>
        </w:tc>
        <w:tc>
          <w:tcPr>
            <w:tcW w:w="515" w:type="dxa"/>
            <w:tcBorders>
              <w:bottom w:val="single" w:sz="4" w:space="0" w:color="auto"/>
            </w:tcBorders>
            <w:shd w:val="clear" w:color="auto" w:fill="auto"/>
            <w:hideMark/>
          </w:tcPr>
          <w:p w14:paraId="6A6DB147"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98.7</w:t>
            </w:r>
          </w:p>
        </w:tc>
        <w:tc>
          <w:tcPr>
            <w:tcW w:w="515" w:type="dxa"/>
            <w:tcBorders>
              <w:bottom w:val="single" w:sz="4" w:space="0" w:color="auto"/>
            </w:tcBorders>
            <w:shd w:val="clear" w:color="auto" w:fill="auto"/>
            <w:hideMark/>
          </w:tcPr>
          <w:p w14:paraId="0D36D87F"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99.2</w:t>
            </w:r>
          </w:p>
        </w:tc>
        <w:tc>
          <w:tcPr>
            <w:tcW w:w="515" w:type="dxa"/>
            <w:tcBorders>
              <w:bottom w:val="single" w:sz="4" w:space="0" w:color="auto"/>
            </w:tcBorders>
            <w:shd w:val="clear" w:color="auto" w:fill="auto"/>
            <w:hideMark/>
          </w:tcPr>
          <w:p w14:paraId="0C1C429A"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97.9</w:t>
            </w:r>
          </w:p>
        </w:tc>
        <w:tc>
          <w:tcPr>
            <w:tcW w:w="515" w:type="dxa"/>
            <w:tcBorders>
              <w:bottom w:val="single" w:sz="4" w:space="0" w:color="auto"/>
            </w:tcBorders>
            <w:shd w:val="clear" w:color="auto" w:fill="auto"/>
            <w:hideMark/>
          </w:tcPr>
          <w:p w14:paraId="3333C5D8" w14:textId="77777777" w:rsidR="00FA30EC" w:rsidRPr="00FA30EC" w:rsidRDefault="00FA30EC" w:rsidP="00FA30EC">
            <w:pPr>
              <w:spacing w:line="360" w:lineRule="auto"/>
              <w:jc w:val="both"/>
              <w:rPr>
                <w:rFonts w:ascii="Book Antiqua" w:eastAsia="Malgun Gothic" w:hAnsi="Book Antiqua"/>
                <w:color w:val="282828"/>
              </w:rPr>
            </w:pPr>
            <w:r w:rsidRPr="00FA30EC">
              <w:rPr>
                <w:rFonts w:ascii="Book Antiqua" w:eastAsia="Malgun Gothic" w:hAnsi="Book Antiqua"/>
                <w:color w:val="282828"/>
              </w:rPr>
              <w:t>98.2</w:t>
            </w:r>
          </w:p>
        </w:tc>
        <w:tc>
          <w:tcPr>
            <w:tcW w:w="514" w:type="dxa"/>
            <w:tcBorders>
              <w:bottom w:val="single" w:sz="4" w:space="0" w:color="auto"/>
            </w:tcBorders>
            <w:shd w:val="clear" w:color="auto" w:fill="auto"/>
            <w:noWrap/>
            <w:hideMark/>
          </w:tcPr>
          <w:p w14:paraId="6439B646"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15128E39"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03E6DEAD"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4AF94EA4" w14:textId="77777777" w:rsidR="00FA30EC" w:rsidRPr="00FA30EC" w:rsidRDefault="00FA30EC" w:rsidP="00FA30EC">
            <w:pPr>
              <w:spacing w:line="360" w:lineRule="auto"/>
              <w:jc w:val="both"/>
              <w:rPr>
                <w:rFonts w:ascii="Book Antiqua" w:hAnsi="Book Antiqua"/>
                <w:lang w:eastAsia="zh-CN"/>
              </w:rPr>
            </w:pPr>
          </w:p>
        </w:tc>
        <w:tc>
          <w:tcPr>
            <w:tcW w:w="514" w:type="dxa"/>
            <w:tcBorders>
              <w:bottom w:val="single" w:sz="4" w:space="0" w:color="auto"/>
            </w:tcBorders>
            <w:shd w:val="clear" w:color="auto" w:fill="auto"/>
            <w:noWrap/>
            <w:hideMark/>
          </w:tcPr>
          <w:p w14:paraId="594AC178"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23ECF4E8"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547C39BA"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3CBF7F6B" w14:textId="77777777" w:rsidR="00FA30EC" w:rsidRPr="00FA30EC" w:rsidRDefault="00FA30EC" w:rsidP="00FA30EC">
            <w:pPr>
              <w:spacing w:line="360" w:lineRule="auto"/>
              <w:jc w:val="both"/>
              <w:rPr>
                <w:rFonts w:ascii="Book Antiqua" w:hAnsi="Book Antiqua"/>
                <w:lang w:eastAsia="zh-CN"/>
              </w:rPr>
            </w:pPr>
          </w:p>
        </w:tc>
        <w:tc>
          <w:tcPr>
            <w:tcW w:w="515" w:type="dxa"/>
            <w:tcBorders>
              <w:bottom w:val="single" w:sz="4" w:space="0" w:color="auto"/>
            </w:tcBorders>
            <w:shd w:val="clear" w:color="auto" w:fill="auto"/>
            <w:noWrap/>
            <w:hideMark/>
          </w:tcPr>
          <w:p w14:paraId="19880676" w14:textId="77777777" w:rsidR="00FA30EC" w:rsidRPr="00FA30EC" w:rsidRDefault="00FA30EC" w:rsidP="00FA30EC">
            <w:pPr>
              <w:spacing w:line="360" w:lineRule="auto"/>
              <w:jc w:val="both"/>
              <w:rPr>
                <w:rFonts w:ascii="Book Antiqua" w:hAnsi="Book Antiqua"/>
                <w:lang w:eastAsia="zh-CN"/>
              </w:rPr>
            </w:pPr>
          </w:p>
        </w:tc>
      </w:tr>
    </w:tbl>
    <w:p w14:paraId="6D6289AD" w14:textId="77777777" w:rsidR="001B7FE0" w:rsidRDefault="00FA30EC">
      <w:pPr>
        <w:spacing w:line="360" w:lineRule="auto"/>
        <w:jc w:val="both"/>
        <w:rPr>
          <w:rFonts w:ascii="Book Antiqua" w:hAnsi="Book Antiqua"/>
          <w:lang w:eastAsia="zh-CN"/>
        </w:rPr>
      </w:pPr>
      <w:r>
        <w:rPr>
          <w:rFonts w:ascii="Book Antiqua" w:eastAsia="Book Antiqua" w:hAnsi="Book Antiqua" w:cs="Book Antiqua"/>
          <w:color w:val="000000"/>
        </w:rPr>
        <w:t>HD</w:t>
      </w:r>
      <w:r>
        <w:rPr>
          <w:rFonts w:ascii="Book Antiqua" w:hAnsi="Book Antiqua" w:cs="Book Antiqua" w:hint="eastAsia"/>
          <w:color w:val="000000"/>
          <w:lang w:eastAsia="zh-CN"/>
        </w:rPr>
        <w:t>:</w:t>
      </w:r>
      <w:r>
        <w:rPr>
          <w:rFonts w:ascii="Book Antiqua" w:eastAsia="Book Antiqua" w:hAnsi="Book Antiqua" w:cs="Book Antiqua"/>
          <w:color w:val="000000"/>
        </w:rPr>
        <w:t xml:space="preserve"> Hospital </w:t>
      </w:r>
      <w:r>
        <w:rPr>
          <w:rFonts w:ascii="Book Antiqua" w:hAnsi="Book Antiqua" w:cs="Book Antiqua" w:hint="eastAsia"/>
          <w:color w:val="000000"/>
          <w:lang w:eastAsia="zh-CN"/>
        </w:rPr>
        <w:t>d</w:t>
      </w:r>
      <w:r>
        <w:rPr>
          <w:rFonts w:ascii="Book Antiqua" w:eastAsia="Book Antiqua" w:hAnsi="Book Antiqua" w:cs="Book Antiqua"/>
          <w:color w:val="000000"/>
        </w:rPr>
        <w:t>ay</w:t>
      </w:r>
      <w:r>
        <w:rPr>
          <w:rFonts w:ascii="Book Antiqua" w:hAnsi="Book Antiqua" w:cs="Book Antiqua" w:hint="eastAsia"/>
          <w:color w:val="000000"/>
          <w:lang w:eastAsia="zh-CN"/>
        </w:rPr>
        <w:t xml:space="preserve">; </w:t>
      </w:r>
      <w:r w:rsidRPr="00FA30EC">
        <w:rPr>
          <w:rFonts w:ascii="Book Antiqua" w:hAnsi="Book Antiqua"/>
          <w:lang w:eastAsia="zh-CN"/>
        </w:rPr>
        <w:t>Na</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S</w:t>
      </w:r>
      <w:r w:rsidRPr="00FA30EC">
        <w:rPr>
          <w:rFonts w:ascii="Book Antiqua" w:hAnsi="Book Antiqua"/>
          <w:lang w:eastAsia="zh-CN"/>
        </w:rPr>
        <w:t>odium</w:t>
      </w:r>
      <w:r>
        <w:rPr>
          <w:rFonts w:ascii="Book Antiqua" w:hAnsi="Book Antiqua"/>
          <w:lang w:eastAsia="zh-CN"/>
        </w:rPr>
        <w:t>;</w:t>
      </w:r>
      <w:r w:rsidRPr="00FA30EC">
        <w:rPr>
          <w:rFonts w:ascii="Book Antiqua" w:hAnsi="Book Antiqua"/>
          <w:lang w:eastAsia="zh-CN"/>
        </w:rPr>
        <w:t xml:space="preserve"> K</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P</w:t>
      </w:r>
      <w:r w:rsidRPr="00FA30EC">
        <w:rPr>
          <w:rFonts w:ascii="Book Antiqua" w:hAnsi="Book Antiqua"/>
          <w:lang w:eastAsia="zh-CN"/>
        </w:rPr>
        <w:t>otassium</w:t>
      </w:r>
      <w:r>
        <w:rPr>
          <w:rFonts w:ascii="Book Antiqua" w:hAnsi="Book Antiqua"/>
          <w:lang w:eastAsia="zh-CN"/>
        </w:rPr>
        <w:t>;</w:t>
      </w:r>
      <w:r w:rsidRPr="00FA30EC">
        <w:rPr>
          <w:rFonts w:ascii="Book Antiqua" w:hAnsi="Book Antiqua"/>
          <w:lang w:eastAsia="zh-CN"/>
        </w:rPr>
        <w:t xml:space="preserve"> Cl</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C</w:t>
      </w:r>
      <w:r w:rsidRPr="00FA30EC">
        <w:rPr>
          <w:rFonts w:ascii="Book Antiqua" w:hAnsi="Book Antiqua"/>
          <w:lang w:eastAsia="zh-CN"/>
        </w:rPr>
        <w:t>hloride</w:t>
      </w:r>
      <w:r>
        <w:rPr>
          <w:rFonts w:ascii="Book Antiqua" w:hAnsi="Book Antiqua"/>
          <w:lang w:eastAsia="zh-CN"/>
        </w:rPr>
        <w:t>;</w:t>
      </w:r>
      <w:r w:rsidRPr="00FA30EC">
        <w:rPr>
          <w:rFonts w:ascii="Book Antiqua" w:hAnsi="Book Antiqua"/>
          <w:lang w:eastAsia="zh-CN"/>
        </w:rPr>
        <w:t xml:space="preserve"> Cr</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C</w:t>
      </w:r>
      <w:r w:rsidRPr="00FA30EC">
        <w:rPr>
          <w:rFonts w:ascii="Book Antiqua" w:hAnsi="Book Antiqua"/>
          <w:lang w:eastAsia="zh-CN"/>
        </w:rPr>
        <w:t>reatinine</w:t>
      </w:r>
      <w:r>
        <w:rPr>
          <w:rFonts w:ascii="Book Antiqua" w:hAnsi="Book Antiqua"/>
          <w:lang w:eastAsia="zh-CN"/>
        </w:rPr>
        <w:t>;</w:t>
      </w:r>
      <w:r w:rsidRPr="00FA30EC">
        <w:rPr>
          <w:rFonts w:ascii="Book Antiqua" w:hAnsi="Book Antiqua"/>
          <w:lang w:eastAsia="zh-CN"/>
        </w:rPr>
        <w:t xml:space="preserve"> eGFR</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E</w:t>
      </w:r>
      <w:r w:rsidRPr="00FA30EC">
        <w:rPr>
          <w:rFonts w:ascii="Book Antiqua" w:hAnsi="Book Antiqua"/>
          <w:lang w:eastAsia="zh-CN"/>
        </w:rPr>
        <w:t>stimated glomerular filtration rate</w:t>
      </w:r>
      <w:r>
        <w:rPr>
          <w:rFonts w:ascii="Book Antiqua" w:hAnsi="Book Antiqua"/>
          <w:lang w:eastAsia="zh-CN"/>
        </w:rPr>
        <w:t>;</w:t>
      </w:r>
      <w:r w:rsidRPr="00FA30EC">
        <w:rPr>
          <w:rFonts w:ascii="Book Antiqua" w:hAnsi="Book Antiqua"/>
          <w:lang w:eastAsia="zh-CN"/>
        </w:rPr>
        <w:t xml:space="preserve"> BUN</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B</w:t>
      </w:r>
      <w:r w:rsidRPr="00FA30EC">
        <w:rPr>
          <w:rFonts w:ascii="Book Antiqua" w:hAnsi="Book Antiqua"/>
          <w:lang w:eastAsia="zh-CN"/>
        </w:rPr>
        <w:t>lood urea nitrogen</w:t>
      </w:r>
      <w:r>
        <w:rPr>
          <w:rFonts w:ascii="Book Antiqua" w:hAnsi="Book Antiqua"/>
          <w:lang w:eastAsia="zh-CN"/>
        </w:rPr>
        <w:t>;</w:t>
      </w:r>
      <w:r w:rsidRPr="00FA30EC">
        <w:rPr>
          <w:rFonts w:ascii="Book Antiqua" w:hAnsi="Book Antiqua"/>
          <w:lang w:eastAsia="zh-CN"/>
        </w:rPr>
        <w:t xml:space="preserve"> </w:t>
      </w:r>
      <w:proofErr w:type="spellStart"/>
      <w:r w:rsidRPr="00FA30EC">
        <w:rPr>
          <w:rFonts w:ascii="Book Antiqua" w:hAnsi="Book Antiqua"/>
          <w:lang w:eastAsia="zh-CN"/>
        </w:rPr>
        <w:t>sOsm</w:t>
      </w:r>
      <w:proofErr w:type="spellEnd"/>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S</w:t>
      </w:r>
      <w:r w:rsidRPr="00FA30EC">
        <w:rPr>
          <w:rFonts w:ascii="Book Antiqua" w:hAnsi="Book Antiqua"/>
          <w:lang w:eastAsia="zh-CN"/>
        </w:rPr>
        <w:t>erum osmolarity</w:t>
      </w:r>
      <w:r>
        <w:rPr>
          <w:rFonts w:ascii="Book Antiqua" w:hAnsi="Book Antiqua"/>
          <w:lang w:eastAsia="zh-CN"/>
        </w:rPr>
        <w:t>;</w:t>
      </w:r>
      <w:r w:rsidRPr="00FA30EC">
        <w:rPr>
          <w:rFonts w:ascii="Book Antiqua" w:hAnsi="Book Antiqua"/>
          <w:lang w:eastAsia="zh-CN"/>
        </w:rPr>
        <w:t xml:space="preserve"> pCO</w:t>
      </w:r>
      <w:r w:rsidRPr="00FA30EC">
        <w:rPr>
          <w:rFonts w:ascii="Book Antiqua" w:hAnsi="Book Antiqua"/>
          <w:vertAlign w:val="subscript"/>
          <w:lang w:eastAsia="zh-CN"/>
        </w:rPr>
        <w:t>2</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P</w:t>
      </w:r>
      <w:r w:rsidRPr="00FA30EC">
        <w:rPr>
          <w:rFonts w:ascii="Book Antiqua" w:hAnsi="Book Antiqua"/>
          <w:lang w:eastAsia="zh-CN"/>
        </w:rPr>
        <w:t>artial pressure of carbon dioxide</w:t>
      </w:r>
      <w:r>
        <w:rPr>
          <w:rFonts w:ascii="Book Antiqua" w:hAnsi="Book Antiqua"/>
          <w:lang w:eastAsia="zh-CN"/>
        </w:rPr>
        <w:t>;</w:t>
      </w:r>
      <w:r w:rsidRPr="00FA30EC">
        <w:rPr>
          <w:rFonts w:ascii="Book Antiqua" w:hAnsi="Book Antiqua"/>
          <w:lang w:eastAsia="zh-CN"/>
        </w:rPr>
        <w:t xml:space="preserve"> pO</w:t>
      </w:r>
      <w:r w:rsidRPr="00FA30EC">
        <w:rPr>
          <w:rFonts w:ascii="Book Antiqua" w:hAnsi="Book Antiqua"/>
          <w:vertAlign w:val="subscript"/>
          <w:lang w:eastAsia="zh-CN"/>
        </w:rPr>
        <w:t>2</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P</w:t>
      </w:r>
      <w:r w:rsidRPr="00FA30EC">
        <w:rPr>
          <w:rFonts w:ascii="Book Antiqua" w:hAnsi="Book Antiqua"/>
          <w:lang w:eastAsia="zh-CN"/>
        </w:rPr>
        <w:t>artial pressure of oxygen</w:t>
      </w:r>
      <w:r>
        <w:rPr>
          <w:rFonts w:ascii="Book Antiqua" w:hAnsi="Book Antiqua"/>
          <w:lang w:eastAsia="zh-CN"/>
        </w:rPr>
        <w:t>;</w:t>
      </w:r>
      <w:r w:rsidRPr="00FA30EC">
        <w:rPr>
          <w:rFonts w:ascii="Book Antiqua" w:hAnsi="Book Antiqua"/>
          <w:lang w:eastAsia="zh-CN"/>
        </w:rPr>
        <w:t xml:space="preserve"> HCO</w:t>
      </w:r>
      <w:r w:rsidRPr="00FA30EC">
        <w:rPr>
          <w:rFonts w:ascii="Book Antiqua" w:hAnsi="Book Antiqua"/>
          <w:vertAlign w:val="subscript"/>
          <w:lang w:eastAsia="zh-CN"/>
        </w:rPr>
        <w:t>3</w:t>
      </w:r>
      <w:r w:rsidRPr="00FA30EC">
        <w:rPr>
          <w:rFonts w:ascii="Book Antiqua" w:hAnsi="Book Antiqua"/>
          <w:vertAlign w:val="superscript"/>
          <w:lang w:eastAsia="zh-CN"/>
        </w:rPr>
        <w:t>-</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B</w:t>
      </w:r>
      <w:r w:rsidRPr="00FA30EC">
        <w:rPr>
          <w:rFonts w:ascii="Book Antiqua" w:hAnsi="Book Antiqua"/>
          <w:lang w:eastAsia="zh-CN"/>
        </w:rPr>
        <w:t>icarbonate</w:t>
      </w:r>
      <w:r>
        <w:rPr>
          <w:rFonts w:ascii="Book Antiqua" w:hAnsi="Book Antiqua"/>
          <w:lang w:eastAsia="zh-CN"/>
        </w:rPr>
        <w:t>;</w:t>
      </w:r>
      <w:r w:rsidRPr="00FA30EC">
        <w:rPr>
          <w:rFonts w:ascii="Book Antiqua" w:hAnsi="Book Antiqua"/>
          <w:lang w:eastAsia="zh-CN"/>
        </w:rPr>
        <w:t xml:space="preserve"> BE</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B</w:t>
      </w:r>
      <w:r w:rsidRPr="00FA30EC">
        <w:rPr>
          <w:rFonts w:ascii="Book Antiqua" w:hAnsi="Book Antiqua"/>
          <w:lang w:eastAsia="zh-CN"/>
        </w:rPr>
        <w:t>ase excess</w:t>
      </w:r>
      <w:r>
        <w:rPr>
          <w:rFonts w:ascii="Book Antiqua" w:hAnsi="Book Antiqua"/>
          <w:lang w:eastAsia="zh-CN"/>
        </w:rPr>
        <w:t>;</w:t>
      </w:r>
      <w:r w:rsidRPr="00FA30EC">
        <w:rPr>
          <w:rFonts w:ascii="Book Antiqua" w:hAnsi="Book Antiqua"/>
          <w:lang w:eastAsia="zh-CN"/>
        </w:rPr>
        <w:t xml:space="preserve"> SaO</w:t>
      </w:r>
      <w:r w:rsidRPr="00FA30EC">
        <w:rPr>
          <w:rFonts w:ascii="Book Antiqua" w:hAnsi="Book Antiqua"/>
          <w:vertAlign w:val="subscript"/>
          <w:lang w:eastAsia="zh-CN"/>
        </w:rPr>
        <w:t>2</w:t>
      </w:r>
      <w:r>
        <w:rPr>
          <w:rFonts w:ascii="Book Antiqua" w:hAnsi="Book Antiqua" w:hint="eastAsia"/>
          <w:lang w:eastAsia="zh-CN"/>
        </w:rPr>
        <w:t>:</w:t>
      </w:r>
      <w:r w:rsidRPr="00FA30EC">
        <w:rPr>
          <w:rFonts w:ascii="Book Antiqua" w:hAnsi="Book Antiqua"/>
          <w:lang w:eastAsia="zh-CN"/>
        </w:rPr>
        <w:t xml:space="preserve"> </w:t>
      </w:r>
      <w:r>
        <w:rPr>
          <w:rFonts w:ascii="Book Antiqua" w:hAnsi="Book Antiqua" w:hint="eastAsia"/>
          <w:lang w:eastAsia="zh-CN"/>
        </w:rPr>
        <w:t>O</w:t>
      </w:r>
      <w:r w:rsidRPr="00FA30EC">
        <w:rPr>
          <w:rFonts w:ascii="Book Antiqua" w:hAnsi="Book Antiqua"/>
          <w:lang w:eastAsia="zh-CN"/>
        </w:rPr>
        <w:t>xygen saturation</w:t>
      </w:r>
      <w:r>
        <w:rPr>
          <w:rFonts w:ascii="Book Antiqua" w:hAnsi="Book Antiqua" w:hint="eastAsia"/>
          <w:lang w:eastAsia="zh-CN"/>
        </w:rPr>
        <w:t>.</w:t>
      </w:r>
    </w:p>
    <w:p w14:paraId="7848AA2E" w14:textId="77777777" w:rsidR="001B7FE0" w:rsidRDefault="001B7FE0">
      <w:pPr>
        <w:spacing w:line="360" w:lineRule="auto"/>
        <w:jc w:val="both"/>
        <w:rPr>
          <w:rFonts w:ascii="Book Antiqua" w:hAnsi="Book Antiqua"/>
          <w:lang w:eastAsia="zh-CN"/>
        </w:rPr>
        <w:sectPr w:rsidR="001B7FE0" w:rsidSect="00FA30EC">
          <w:pgSz w:w="15840" w:h="12240" w:orient="landscape"/>
          <w:pgMar w:top="1440" w:right="1440" w:bottom="1440" w:left="1440" w:header="720" w:footer="720" w:gutter="0"/>
          <w:cols w:space="720"/>
          <w:docGrid w:linePitch="360"/>
        </w:sectPr>
      </w:pPr>
    </w:p>
    <w:p w14:paraId="16B59C20" w14:textId="77777777" w:rsidR="00FA30EC" w:rsidRDefault="001B7FE0">
      <w:pPr>
        <w:spacing w:line="360" w:lineRule="auto"/>
        <w:jc w:val="both"/>
        <w:rPr>
          <w:rFonts w:ascii="Book Antiqua" w:hAnsi="Book Antiqua"/>
          <w:b/>
          <w:lang w:eastAsia="zh-CN"/>
        </w:rPr>
      </w:pPr>
      <w:r w:rsidRPr="001B7FE0">
        <w:rPr>
          <w:rFonts w:ascii="Book Antiqua" w:hAnsi="Book Antiqua"/>
          <w:b/>
          <w:lang w:eastAsia="zh-CN"/>
        </w:rPr>
        <w:lastRenderedPageBreak/>
        <w:t>Table 2</w:t>
      </w:r>
      <w:r w:rsidRPr="001B7FE0">
        <w:rPr>
          <w:rFonts w:ascii="Book Antiqua" w:hAnsi="Book Antiqua" w:hint="eastAsia"/>
          <w:b/>
          <w:lang w:eastAsia="zh-CN"/>
        </w:rPr>
        <w:t xml:space="preserve"> </w:t>
      </w:r>
      <w:r w:rsidRPr="001B7FE0">
        <w:rPr>
          <w:rFonts w:ascii="Book Antiqua" w:hAnsi="Book Antiqua"/>
          <w:b/>
          <w:lang w:eastAsia="zh-CN"/>
        </w:rPr>
        <w:t xml:space="preserve">Current treatments for </w:t>
      </w:r>
      <w:proofErr w:type="gramStart"/>
      <w:r w:rsidRPr="001B7FE0">
        <w:rPr>
          <w:rFonts w:ascii="Book Antiqua" w:hAnsi="Book Antiqua"/>
          <w:b/>
          <w:lang w:eastAsia="zh-CN"/>
        </w:rPr>
        <w:t>lymphedema</w:t>
      </w:r>
      <w:r w:rsidRPr="001B7FE0">
        <w:rPr>
          <w:rFonts w:ascii="Book Antiqua" w:hAnsi="Book Antiqua"/>
          <w:b/>
          <w:vertAlign w:val="superscript"/>
          <w:lang w:eastAsia="zh-CN"/>
        </w:rPr>
        <w:t>[</w:t>
      </w:r>
      <w:proofErr w:type="gramEnd"/>
      <w:r w:rsidRPr="001B7FE0">
        <w:rPr>
          <w:rFonts w:ascii="Book Antiqua" w:hAnsi="Book Antiqua"/>
          <w:b/>
          <w:vertAlign w:val="superscript"/>
          <w:lang w:eastAsia="zh-CN"/>
        </w:rPr>
        <w:t>2,3]</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505"/>
      </w:tblGrid>
      <w:tr w:rsidR="001B7FE0" w:rsidRPr="001B7FE0" w14:paraId="50579ADD" w14:textId="77777777" w:rsidTr="001B7FE0">
        <w:trPr>
          <w:trHeight w:val="504"/>
        </w:trPr>
        <w:tc>
          <w:tcPr>
            <w:tcW w:w="3510" w:type="dxa"/>
            <w:tcBorders>
              <w:top w:val="single" w:sz="4" w:space="0" w:color="auto"/>
              <w:bottom w:val="single" w:sz="4" w:space="0" w:color="auto"/>
            </w:tcBorders>
            <w:shd w:val="clear" w:color="auto" w:fill="auto"/>
          </w:tcPr>
          <w:p w14:paraId="50334360" w14:textId="77777777" w:rsidR="001B7FE0" w:rsidRPr="001B7FE0" w:rsidRDefault="001B7FE0" w:rsidP="001B7FE0">
            <w:pPr>
              <w:spacing w:line="360" w:lineRule="auto"/>
              <w:rPr>
                <w:rFonts w:ascii="Book Antiqua" w:eastAsia="Malgun Gothic" w:hAnsi="Book Antiqua"/>
                <w:b/>
                <w:bCs/>
                <w:color w:val="000000"/>
              </w:rPr>
            </w:pPr>
            <w:r w:rsidRPr="001B7FE0">
              <w:rPr>
                <w:rFonts w:ascii="Book Antiqua" w:hAnsi="Book Antiqua"/>
                <w:b/>
                <w:lang w:eastAsia="zh-CN"/>
              </w:rPr>
              <w:t>Current treatments</w:t>
            </w:r>
          </w:p>
        </w:tc>
        <w:tc>
          <w:tcPr>
            <w:tcW w:w="5505" w:type="dxa"/>
            <w:tcBorders>
              <w:top w:val="single" w:sz="4" w:space="0" w:color="auto"/>
              <w:bottom w:val="single" w:sz="4" w:space="0" w:color="auto"/>
            </w:tcBorders>
            <w:shd w:val="clear" w:color="auto" w:fill="auto"/>
          </w:tcPr>
          <w:p w14:paraId="59ACAC37" w14:textId="77777777" w:rsidR="001B7FE0" w:rsidRPr="001B7FE0" w:rsidRDefault="001B7FE0" w:rsidP="001B7FE0">
            <w:pPr>
              <w:spacing w:line="360" w:lineRule="auto"/>
              <w:rPr>
                <w:rFonts w:ascii="Book Antiqua" w:eastAsia="Malgun Gothic" w:hAnsi="Book Antiqua"/>
                <w:color w:val="000000"/>
              </w:rPr>
            </w:pPr>
          </w:p>
        </w:tc>
      </w:tr>
      <w:tr w:rsidR="001B7FE0" w:rsidRPr="001B7FE0" w14:paraId="377AA1C3" w14:textId="77777777" w:rsidTr="001B7FE0">
        <w:trPr>
          <w:trHeight w:val="504"/>
        </w:trPr>
        <w:tc>
          <w:tcPr>
            <w:tcW w:w="3510" w:type="dxa"/>
            <w:vMerge w:val="restart"/>
            <w:tcBorders>
              <w:top w:val="single" w:sz="4" w:space="0" w:color="auto"/>
            </w:tcBorders>
            <w:shd w:val="clear" w:color="auto" w:fill="auto"/>
          </w:tcPr>
          <w:p w14:paraId="4BDCE4CE" w14:textId="77777777" w:rsidR="001B7FE0" w:rsidRPr="001B7FE0" w:rsidRDefault="001B7FE0" w:rsidP="001B7FE0">
            <w:pPr>
              <w:spacing w:line="360" w:lineRule="auto"/>
              <w:rPr>
                <w:rFonts w:ascii="Book Antiqua" w:eastAsia="Malgun Gothic" w:hAnsi="Book Antiqua" w:cs="Times New Roman"/>
                <w:bCs/>
                <w:color w:val="000000"/>
                <w:kern w:val="0"/>
                <w:lang w:eastAsia="en-US"/>
              </w:rPr>
            </w:pPr>
            <w:r w:rsidRPr="001B7FE0">
              <w:rPr>
                <w:rFonts w:ascii="Book Antiqua" w:eastAsia="Malgun Gothic" w:hAnsi="Book Antiqua" w:cs="Times New Roman"/>
                <w:bCs/>
                <w:color w:val="000000"/>
                <w:kern w:val="0"/>
              </w:rPr>
              <w:t>Conservative treatment</w:t>
            </w:r>
          </w:p>
        </w:tc>
        <w:tc>
          <w:tcPr>
            <w:tcW w:w="5505" w:type="dxa"/>
            <w:tcBorders>
              <w:top w:val="single" w:sz="4" w:space="0" w:color="auto"/>
            </w:tcBorders>
            <w:shd w:val="clear" w:color="auto" w:fill="auto"/>
          </w:tcPr>
          <w:p w14:paraId="7442887A" w14:textId="77777777" w:rsidR="001B7FE0" w:rsidRPr="001B7FE0" w:rsidRDefault="001B7FE0" w:rsidP="00DB2EDE">
            <w:pPr>
              <w:spacing w:line="360" w:lineRule="auto"/>
              <w:rPr>
                <w:rFonts w:ascii="Book Antiqua" w:eastAsia="Malgun Gothic" w:hAnsi="Book Antiqua" w:cs="Times New Roman"/>
                <w:bCs/>
                <w:color w:val="000000"/>
                <w:kern w:val="0"/>
                <w:lang w:eastAsia="en-US"/>
              </w:rPr>
            </w:pPr>
            <w:r w:rsidRPr="001B7FE0">
              <w:rPr>
                <w:rFonts w:ascii="Book Antiqua" w:eastAsia="Malgun Gothic" w:hAnsi="Book Antiqua" w:cs="Times New Roman"/>
                <w:color w:val="000000"/>
                <w:kern w:val="0"/>
              </w:rPr>
              <w:t>Complete decongestive therapy</w:t>
            </w:r>
            <w:r>
              <w:rPr>
                <w:rFonts w:ascii="Book Antiqua" w:hAnsi="Book Antiqua" w:cs="Times New Roman" w:hint="eastAsia"/>
                <w:color w:val="000000"/>
                <w:kern w:val="0"/>
                <w:lang w:eastAsia="zh-CN"/>
              </w:rPr>
              <w:t xml:space="preserve">: </w:t>
            </w:r>
            <w:r w:rsidRPr="001B7FE0">
              <w:rPr>
                <w:rFonts w:ascii="Book Antiqua" w:eastAsia="Malgun Gothic" w:hAnsi="Book Antiqua" w:cs="Times New Roman"/>
                <w:color w:val="000000"/>
                <w:kern w:val="0"/>
              </w:rPr>
              <w:t>Manual lymphatic drainage</w:t>
            </w:r>
            <w:r>
              <w:rPr>
                <w:rFonts w:ascii="Book Antiqua" w:hAnsi="Book Antiqua" w:cs="Times New Roman" w:hint="eastAsia"/>
                <w:color w:val="000000"/>
                <w:kern w:val="0"/>
                <w:lang w:eastAsia="zh-CN"/>
              </w:rPr>
              <w:t xml:space="preserve">; </w:t>
            </w:r>
            <w:r w:rsidRPr="001B7FE0">
              <w:rPr>
                <w:rFonts w:ascii="Book Antiqua" w:eastAsia="Malgun Gothic" w:hAnsi="Book Antiqua" w:cs="Times New Roman"/>
                <w:color w:val="000000"/>
                <w:kern w:val="0"/>
              </w:rPr>
              <w:t>Multilayer bandaging</w:t>
            </w:r>
            <w:r>
              <w:rPr>
                <w:rFonts w:ascii="Book Antiqua" w:hAnsi="Book Antiqua" w:cs="Times New Roman" w:hint="eastAsia"/>
                <w:color w:val="000000"/>
                <w:kern w:val="0"/>
                <w:lang w:eastAsia="zh-CN"/>
              </w:rPr>
              <w:t xml:space="preserve">; </w:t>
            </w:r>
            <w:r w:rsidRPr="001B7FE0">
              <w:rPr>
                <w:rFonts w:ascii="Book Antiqua" w:eastAsia="Malgun Gothic" w:hAnsi="Book Antiqua" w:cs="Times New Roman"/>
                <w:color w:val="000000"/>
                <w:kern w:val="0"/>
              </w:rPr>
              <w:t>Physical therapy</w:t>
            </w:r>
            <w:r>
              <w:rPr>
                <w:rFonts w:ascii="Book Antiqua" w:hAnsi="Book Antiqua" w:cs="Times New Roman" w:hint="eastAsia"/>
                <w:color w:val="000000"/>
                <w:kern w:val="0"/>
                <w:lang w:eastAsia="zh-CN"/>
              </w:rPr>
              <w:t>;</w:t>
            </w:r>
            <w:r w:rsidRPr="001B7FE0">
              <w:rPr>
                <w:rFonts w:ascii="Book Antiqua" w:eastAsia="Malgun Gothic" w:hAnsi="Book Antiqua" w:cs="Times New Roman"/>
                <w:color w:val="000000"/>
                <w:kern w:val="0"/>
              </w:rPr>
              <w:t xml:space="preserve"> </w:t>
            </w:r>
            <w:r>
              <w:rPr>
                <w:rFonts w:ascii="Book Antiqua" w:hAnsi="Book Antiqua" w:cs="Times New Roman" w:hint="eastAsia"/>
                <w:color w:val="000000"/>
                <w:kern w:val="0"/>
                <w:lang w:eastAsia="zh-CN"/>
              </w:rPr>
              <w:t xml:space="preserve"> </w:t>
            </w:r>
            <w:r w:rsidRPr="001B7FE0">
              <w:rPr>
                <w:rFonts w:ascii="Book Antiqua" w:eastAsia="Malgun Gothic" w:hAnsi="Book Antiqua" w:cs="Times New Roman"/>
                <w:color w:val="000000"/>
                <w:kern w:val="0"/>
              </w:rPr>
              <w:t>Skin care</w:t>
            </w:r>
          </w:p>
        </w:tc>
      </w:tr>
      <w:tr w:rsidR="001B7FE0" w:rsidRPr="001B7FE0" w14:paraId="5EC07A34" w14:textId="77777777" w:rsidTr="001B7FE0">
        <w:tc>
          <w:tcPr>
            <w:tcW w:w="3510" w:type="dxa"/>
            <w:vMerge/>
            <w:shd w:val="clear" w:color="auto" w:fill="auto"/>
          </w:tcPr>
          <w:p w14:paraId="769C8FFA" w14:textId="77777777" w:rsidR="001B7FE0" w:rsidRPr="001B7FE0" w:rsidRDefault="001B7FE0" w:rsidP="001B7FE0">
            <w:pPr>
              <w:snapToGrid w:val="0"/>
              <w:spacing w:line="360" w:lineRule="auto"/>
              <w:jc w:val="left"/>
              <w:rPr>
                <w:rFonts w:ascii="Book Antiqua" w:eastAsia="Malgun Gothic" w:hAnsi="Book Antiqua" w:cs="Times New Roman"/>
                <w:bCs/>
                <w:color w:val="000000"/>
                <w:kern w:val="0"/>
                <w:lang w:eastAsia="en-US"/>
              </w:rPr>
            </w:pPr>
          </w:p>
        </w:tc>
        <w:tc>
          <w:tcPr>
            <w:tcW w:w="5505" w:type="dxa"/>
            <w:shd w:val="clear" w:color="auto" w:fill="auto"/>
          </w:tcPr>
          <w:p w14:paraId="6F4C575D" w14:textId="77777777" w:rsidR="001B7FE0" w:rsidRPr="001B7FE0" w:rsidRDefault="001B7FE0" w:rsidP="00DB2EDE">
            <w:pPr>
              <w:spacing w:line="360" w:lineRule="auto"/>
              <w:jc w:val="left"/>
              <w:rPr>
                <w:rFonts w:ascii="Book Antiqua" w:eastAsia="Malgun Gothic" w:hAnsi="Book Antiqua" w:cs="Times New Roman"/>
                <w:bCs/>
                <w:color w:val="000000"/>
                <w:kern w:val="0"/>
                <w:lang w:eastAsia="en-US"/>
              </w:rPr>
            </w:pPr>
            <w:r w:rsidRPr="001B7FE0">
              <w:rPr>
                <w:rFonts w:ascii="Book Antiqua" w:eastAsia="Malgun Gothic" w:hAnsi="Book Antiqua" w:cs="Times New Roman"/>
                <w:color w:val="000000"/>
                <w:kern w:val="0"/>
              </w:rPr>
              <w:t>Intermittent pneumatic compression</w:t>
            </w:r>
          </w:p>
        </w:tc>
      </w:tr>
      <w:tr w:rsidR="001B7FE0" w:rsidRPr="001B7FE0" w14:paraId="128CD704" w14:textId="77777777" w:rsidTr="001B7FE0">
        <w:tc>
          <w:tcPr>
            <w:tcW w:w="3510" w:type="dxa"/>
            <w:vMerge/>
            <w:shd w:val="clear" w:color="auto" w:fill="auto"/>
          </w:tcPr>
          <w:p w14:paraId="191CFAA1" w14:textId="77777777" w:rsidR="001B7FE0" w:rsidRPr="001B7FE0" w:rsidRDefault="001B7FE0" w:rsidP="001B7FE0">
            <w:pPr>
              <w:snapToGrid w:val="0"/>
              <w:spacing w:line="360" w:lineRule="auto"/>
              <w:jc w:val="left"/>
              <w:rPr>
                <w:rFonts w:ascii="Book Antiqua" w:eastAsia="Malgun Gothic" w:hAnsi="Book Antiqua" w:cs="Times New Roman"/>
                <w:bCs/>
                <w:color w:val="000000"/>
                <w:kern w:val="0"/>
                <w:lang w:eastAsia="en-US"/>
              </w:rPr>
            </w:pPr>
          </w:p>
        </w:tc>
        <w:tc>
          <w:tcPr>
            <w:tcW w:w="5505" w:type="dxa"/>
            <w:shd w:val="clear" w:color="auto" w:fill="auto"/>
          </w:tcPr>
          <w:p w14:paraId="07C7AEE2" w14:textId="77777777" w:rsidR="001B7FE0" w:rsidRPr="001B7FE0" w:rsidRDefault="001B7FE0" w:rsidP="001B7FE0">
            <w:pPr>
              <w:spacing w:line="360" w:lineRule="auto"/>
              <w:jc w:val="left"/>
              <w:rPr>
                <w:rFonts w:ascii="Book Antiqua" w:eastAsia="Malgun Gothic" w:hAnsi="Book Antiqua" w:cs="Times New Roman"/>
                <w:bCs/>
                <w:color w:val="000000"/>
                <w:kern w:val="0"/>
                <w:lang w:eastAsia="en-US"/>
              </w:rPr>
            </w:pPr>
            <w:r w:rsidRPr="001B7FE0">
              <w:rPr>
                <w:rFonts w:ascii="Book Antiqua" w:eastAsia="Malgun Gothic" w:hAnsi="Book Antiqua" w:cs="Times New Roman"/>
                <w:color w:val="000000"/>
                <w:kern w:val="0"/>
              </w:rPr>
              <w:t>Compression garments</w:t>
            </w:r>
          </w:p>
        </w:tc>
      </w:tr>
      <w:tr w:rsidR="001B7FE0" w:rsidRPr="001B7FE0" w14:paraId="453D4B43" w14:textId="77777777" w:rsidTr="001B7FE0">
        <w:tc>
          <w:tcPr>
            <w:tcW w:w="3510" w:type="dxa"/>
            <w:vMerge w:val="restart"/>
            <w:shd w:val="clear" w:color="auto" w:fill="auto"/>
          </w:tcPr>
          <w:p w14:paraId="40216FCC" w14:textId="77777777" w:rsidR="001B7FE0" w:rsidRPr="001B7FE0" w:rsidRDefault="001B7FE0" w:rsidP="001B7FE0">
            <w:pPr>
              <w:snapToGrid w:val="0"/>
              <w:spacing w:line="360" w:lineRule="auto"/>
              <w:rPr>
                <w:rFonts w:ascii="Book Antiqua" w:eastAsia="Malgun Gothic" w:hAnsi="Book Antiqua" w:cs="Times New Roman"/>
                <w:bCs/>
                <w:color w:val="000000"/>
                <w:kern w:val="0"/>
                <w:lang w:eastAsia="en-US"/>
              </w:rPr>
            </w:pPr>
            <w:r w:rsidRPr="001B7FE0">
              <w:rPr>
                <w:rFonts w:ascii="Book Antiqua" w:eastAsia="Malgun Gothic" w:hAnsi="Book Antiqua" w:cs="Times New Roman"/>
                <w:bCs/>
                <w:color w:val="000000"/>
                <w:kern w:val="0"/>
              </w:rPr>
              <w:t>Surgical treatment</w:t>
            </w:r>
          </w:p>
        </w:tc>
        <w:tc>
          <w:tcPr>
            <w:tcW w:w="5505" w:type="dxa"/>
            <w:shd w:val="clear" w:color="auto" w:fill="auto"/>
          </w:tcPr>
          <w:p w14:paraId="5DCAB98D" w14:textId="77777777" w:rsidR="001B7FE0" w:rsidRPr="001B7FE0" w:rsidRDefault="001B7FE0" w:rsidP="001B7FE0">
            <w:pPr>
              <w:snapToGrid w:val="0"/>
              <w:spacing w:line="360" w:lineRule="auto"/>
              <w:rPr>
                <w:rFonts w:ascii="Book Antiqua" w:eastAsia="Malgun Gothic" w:hAnsi="Book Antiqua" w:cs="Times New Roman"/>
                <w:bCs/>
                <w:color w:val="000000"/>
                <w:kern w:val="0"/>
                <w:lang w:eastAsia="en-US"/>
              </w:rPr>
            </w:pPr>
            <w:proofErr w:type="spellStart"/>
            <w:r w:rsidRPr="001B7FE0">
              <w:rPr>
                <w:rFonts w:ascii="Book Antiqua" w:eastAsia="Malgun Gothic" w:hAnsi="Book Antiqua" w:cs="Gulim"/>
                <w:color w:val="000000"/>
                <w:kern w:val="0"/>
              </w:rPr>
              <w:t>Lymphovenous</w:t>
            </w:r>
            <w:proofErr w:type="spellEnd"/>
            <w:r w:rsidRPr="001B7FE0">
              <w:rPr>
                <w:rFonts w:ascii="Book Antiqua" w:eastAsia="Malgun Gothic" w:hAnsi="Book Antiqua" w:cs="Gulim"/>
                <w:color w:val="000000"/>
                <w:kern w:val="0"/>
              </w:rPr>
              <w:t xml:space="preserve"> anastomosis</w:t>
            </w:r>
          </w:p>
        </w:tc>
      </w:tr>
      <w:tr w:rsidR="001B7FE0" w:rsidRPr="001B7FE0" w14:paraId="08516585" w14:textId="77777777" w:rsidTr="001B7FE0">
        <w:tc>
          <w:tcPr>
            <w:tcW w:w="3510" w:type="dxa"/>
            <w:vMerge/>
            <w:shd w:val="clear" w:color="auto" w:fill="auto"/>
          </w:tcPr>
          <w:p w14:paraId="5B7D188A" w14:textId="77777777" w:rsidR="001B7FE0" w:rsidRPr="001B7FE0" w:rsidRDefault="001B7FE0" w:rsidP="001B7FE0">
            <w:pPr>
              <w:snapToGrid w:val="0"/>
              <w:spacing w:line="360" w:lineRule="auto"/>
              <w:rPr>
                <w:rFonts w:ascii="Book Antiqua" w:eastAsia="Malgun Gothic" w:hAnsi="Book Antiqua" w:cs="Times New Roman"/>
                <w:bCs/>
                <w:color w:val="000000"/>
                <w:kern w:val="0"/>
                <w:lang w:eastAsia="en-US"/>
              </w:rPr>
            </w:pPr>
          </w:p>
        </w:tc>
        <w:tc>
          <w:tcPr>
            <w:tcW w:w="5505" w:type="dxa"/>
            <w:shd w:val="clear" w:color="auto" w:fill="auto"/>
          </w:tcPr>
          <w:p w14:paraId="69233FBF" w14:textId="77777777" w:rsidR="001B7FE0" w:rsidRPr="001B7FE0" w:rsidRDefault="001B7FE0" w:rsidP="001B7FE0">
            <w:pPr>
              <w:snapToGrid w:val="0"/>
              <w:spacing w:line="360" w:lineRule="auto"/>
              <w:rPr>
                <w:rFonts w:ascii="Book Antiqua" w:hAnsi="Book Antiqua" w:cs="Times New Roman"/>
                <w:bCs/>
                <w:color w:val="000000"/>
                <w:kern w:val="0"/>
                <w:lang w:eastAsia="zh-CN"/>
              </w:rPr>
            </w:pPr>
            <w:r w:rsidRPr="001B7FE0">
              <w:rPr>
                <w:rFonts w:ascii="Book Antiqua" w:eastAsia="Malgun Gothic" w:hAnsi="Book Antiqua" w:cs="Gulim"/>
                <w:color w:val="000000"/>
                <w:kern w:val="0"/>
              </w:rPr>
              <w:t>Liposuction</w:t>
            </w:r>
          </w:p>
        </w:tc>
      </w:tr>
      <w:tr w:rsidR="001B7FE0" w:rsidRPr="001B7FE0" w14:paraId="649631E0" w14:textId="77777777" w:rsidTr="001B7FE0">
        <w:tc>
          <w:tcPr>
            <w:tcW w:w="3510" w:type="dxa"/>
            <w:vMerge/>
            <w:tcBorders>
              <w:bottom w:val="single" w:sz="4" w:space="0" w:color="auto"/>
            </w:tcBorders>
            <w:shd w:val="clear" w:color="auto" w:fill="auto"/>
          </w:tcPr>
          <w:p w14:paraId="35B05EB5" w14:textId="77777777" w:rsidR="001B7FE0" w:rsidRPr="001B7FE0" w:rsidRDefault="001B7FE0" w:rsidP="001B7FE0">
            <w:pPr>
              <w:snapToGrid w:val="0"/>
              <w:spacing w:line="360" w:lineRule="auto"/>
              <w:rPr>
                <w:rFonts w:ascii="Book Antiqua" w:eastAsia="Malgun Gothic" w:hAnsi="Book Antiqua" w:cs="Times New Roman"/>
                <w:bCs/>
                <w:color w:val="000000"/>
                <w:kern w:val="0"/>
                <w:lang w:eastAsia="en-US"/>
              </w:rPr>
            </w:pPr>
          </w:p>
        </w:tc>
        <w:tc>
          <w:tcPr>
            <w:tcW w:w="5505" w:type="dxa"/>
            <w:tcBorders>
              <w:bottom w:val="single" w:sz="4" w:space="0" w:color="auto"/>
            </w:tcBorders>
            <w:shd w:val="clear" w:color="auto" w:fill="auto"/>
          </w:tcPr>
          <w:p w14:paraId="4A2E12DB" w14:textId="77777777" w:rsidR="001B7FE0" w:rsidRPr="001B7FE0" w:rsidRDefault="001B7FE0" w:rsidP="001B7FE0">
            <w:pPr>
              <w:snapToGrid w:val="0"/>
              <w:spacing w:line="360" w:lineRule="auto"/>
              <w:rPr>
                <w:rFonts w:ascii="Book Antiqua" w:eastAsia="Malgun Gothic" w:hAnsi="Book Antiqua" w:cs="Times New Roman"/>
                <w:bCs/>
                <w:color w:val="000000"/>
                <w:kern w:val="0"/>
                <w:lang w:eastAsia="en-US"/>
              </w:rPr>
            </w:pPr>
            <w:r w:rsidRPr="001B7FE0">
              <w:rPr>
                <w:rFonts w:ascii="Book Antiqua" w:eastAsia="Malgun Gothic" w:hAnsi="Book Antiqua" w:cs="Gulim"/>
                <w:color w:val="000000"/>
                <w:kern w:val="0"/>
              </w:rPr>
              <w:t>Debulking surgery (excision of lymphatic tissue)</w:t>
            </w:r>
          </w:p>
        </w:tc>
      </w:tr>
    </w:tbl>
    <w:p w14:paraId="710441CD" w14:textId="77777777" w:rsidR="001B7FE0" w:rsidRPr="001B7FE0" w:rsidRDefault="001B7FE0">
      <w:pPr>
        <w:spacing w:line="360" w:lineRule="auto"/>
        <w:jc w:val="both"/>
        <w:rPr>
          <w:rFonts w:ascii="Book Antiqua" w:hAnsi="Book Antiqua"/>
          <w:b/>
          <w:lang w:eastAsia="zh-CN"/>
        </w:rPr>
      </w:pPr>
    </w:p>
    <w:sectPr w:rsidR="001B7FE0" w:rsidRPr="001B7FE0" w:rsidSect="001B7F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A9A0B" w14:textId="77777777" w:rsidR="00641D04" w:rsidRDefault="00641D04" w:rsidP="004B36E7">
      <w:r>
        <w:separator/>
      </w:r>
    </w:p>
  </w:endnote>
  <w:endnote w:type="continuationSeparator" w:id="0">
    <w:p w14:paraId="44A3B256" w14:textId="77777777" w:rsidR="00641D04" w:rsidRDefault="00641D04" w:rsidP="004B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79694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D6FA866" w14:textId="77777777" w:rsidR="004B36E7" w:rsidRPr="004B36E7" w:rsidRDefault="004B36E7" w:rsidP="004B36E7">
            <w:pPr>
              <w:pStyle w:val="ad"/>
              <w:jc w:val="right"/>
              <w:rPr>
                <w:rFonts w:ascii="Book Antiqua" w:hAnsi="Book Antiqua"/>
                <w:sz w:val="24"/>
                <w:szCs w:val="24"/>
              </w:rPr>
            </w:pPr>
            <w:r w:rsidRPr="004B36E7">
              <w:rPr>
                <w:rFonts w:ascii="Book Antiqua" w:hAnsi="Book Antiqua"/>
                <w:sz w:val="24"/>
                <w:szCs w:val="24"/>
                <w:lang w:val="zh-CN" w:eastAsia="zh-CN"/>
              </w:rPr>
              <w:t xml:space="preserve"> </w:t>
            </w:r>
            <w:r w:rsidRPr="004B36E7">
              <w:rPr>
                <w:rFonts w:ascii="Book Antiqua" w:hAnsi="Book Antiqua"/>
                <w:bCs/>
                <w:sz w:val="24"/>
                <w:szCs w:val="24"/>
              </w:rPr>
              <w:fldChar w:fldCharType="begin"/>
            </w:r>
            <w:r w:rsidRPr="004B36E7">
              <w:rPr>
                <w:rFonts w:ascii="Book Antiqua" w:hAnsi="Book Antiqua"/>
                <w:bCs/>
                <w:sz w:val="24"/>
                <w:szCs w:val="24"/>
              </w:rPr>
              <w:instrText>PAGE</w:instrText>
            </w:r>
            <w:r w:rsidRPr="004B36E7">
              <w:rPr>
                <w:rFonts w:ascii="Book Antiqua" w:hAnsi="Book Antiqua"/>
                <w:bCs/>
                <w:sz w:val="24"/>
                <w:szCs w:val="24"/>
              </w:rPr>
              <w:fldChar w:fldCharType="separate"/>
            </w:r>
            <w:r w:rsidR="00A8098B">
              <w:rPr>
                <w:rFonts w:ascii="Book Antiqua" w:hAnsi="Book Antiqua"/>
                <w:bCs/>
                <w:noProof/>
                <w:sz w:val="24"/>
                <w:szCs w:val="24"/>
              </w:rPr>
              <w:t>1</w:t>
            </w:r>
            <w:r w:rsidRPr="004B36E7">
              <w:rPr>
                <w:rFonts w:ascii="Book Antiqua" w:hAnsi="Book Antiqua"/>
                <w:bCs/>
                <w:sz w:val="24"/>
                <w:szCs w:val="24"/>
              </w:rPr>
              <w:fldChar w:fldCharType="end"/>
            </w:r>
            <w:r w:rsidRPr="004B36E7">
              <w:rPr>
                <w:rFonts w:ascii="Book Antiqua" w:hAnsi="Book Antiqua"/>
                <w:sz w:val="24"/>
                <w:szCs w:val="24"/>
                <w:lang w:val="zh-CN" w:eastAsia="zh-CN"/>
              </w:rPr>
              <w:t xml:space="preserve"> / </w:t>
            </w:r>
            <w:r w:rsidRPr="004B36E7">
              <w:rPr>
                <w:rFonts w:ascii="Book Antiqua" w:hAnsi="Book Antiqua"/>
                <w:bCs/>
                <w:sz w:val="24"/>
                <w:szCs w:val="24"/>
              </w:rPr>
              <w:fldChar w:fldCharType="begin"/>
            </w:r>
            <w:r w:rsidRPr="004B36E7">
              <w:rPr>
                <w:rFonts w:ascii="Book Antiqua" w:hAnsi="Book Antiqua"/>
                <w:bCs/>
                <w:sz w:val="24"/>
                <w:szCs w:val="24"/>
              </w:rPr>
              <w:instrText>NUMPAGES</w:instrText>
            </w:r>
            <w:r w:rsidRPr="004B36E7">
              <w:rPr>
                <w:rFonts w:ascii="Book Antiqua" w:hAnsi="Book Antiqua"/>
                <w:bCs/>
                <w:sz w:val="24"/>
                <w:szCs w:val="24"/>
              </w:rPr>
              <w:fldChar w:fldCharType="separate"/>
            </w:r>
            <w:r w:rsidR="00A8098B">
              <w:rPr>
                <w:rFonts w:ascii="Book Antiqua" w:hAnsi="Book Antiqua"/>
                <w:bCs/>
                <w:noProof/>
                <w:sz w:val="24"/>
                <w:szCs w:val="24"/>
              </w:rPr>
              <w:t>19</w:t>
            </w:r>
            <w:r w:rsidRPr="004B36E7">
              <w:rPr>
                <w:rFonts w:ascii="Book Antiqua" w:hAnsi="Book Antiqua"/>
                <w:bCs/>
                <w:sz w:val="24"/>
                <w:szCs w:val="24"/>
              </w:rPr>
              <w:fldChar w:fldCharType="end"/>
            </w:r>
          </w:p>
        </w:sdtContent>
      </w:sdt>
    </w:sdtContent>
  </w:sdt>
  <w:p w14:paraId="1F9C3D2E" w14:textId="77777777" w:rsidR="004B36E7" w:rsidRPr="004B36E7" w:rsidRDefault="004B36E7" w:rsidP="004B36E7">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7040" w14:textId="77777777" w:rsidR="00641D04" w:rsidRDefault="00641D04" w:rsidP="004B36E7">
      <w:r>
        <w:separator/>
      </w:r>
    </w:p>
  </w:footnote>
  <w:footnote w:type="continuationSeparator" w:id="0">
    <w:p w14:paraId="72604335" w14:textId="77777777" w:rsidR="00641D04" w:rsidRDefault="00641D04" w:rsidP="004B3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4DD"/>
    <w:rsid w:val="001B7FE0"/>
    <w:rsid w:val="00222D33"/>
    <w:rsid w:val="003014F4"/>
    <w:rsid w:val="004B36E7"/>
    <w:rsid w:val="005050D4"/>
    <w:rsid w:val="00614874"/>
    <w:rsid w:val="00641D04"/>
    <w:rsid w:val="006615D3"/>
    <w:rsid w:val="00790CC1"/>
    <w:rsid w:val="00A77B3E"/>
    <w:rsid w:val="00A8098B"/>
    <w:rsid w:val="00AF0C5E"/>
    <w:rsid w:val="00C47A14"/>
    <w:rsid w:val="00CA2A55"/>
    <w:rsid w:val="00D035A0"/>
    <w:rsid w:val="00DB2EDE"/>
    <w:rsid w:val="00DE1913"/>
    <w:rsid w:val="00FA30EC"/>
    <w:rsid w:val="00FA6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82BCB0"/>
  <w15:docId w15:val="{CD8721FC-9D43-4829-A6E6-E1291BBD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E1913"/>
    <w:rPr>
      <w:sz w:val="18"/>
      <w:szCs w:val="18"/>
    </w:rPr>
  </w:style>
  <w:style w:type="character" w:customStyle="1" w:styleId="a4">
    <w:name w:val="批注框文本 字符"/>
    <w:basedOn w:val="a0"/>
    <w:link w:val="a3"/>
    <w:rsid w:val="00DE1913"/>
    <w:rPr>
      <w:sz w:val="18"/>
      <w:szCs w:val="18"/>
    </w:rPr>
  </w:style>
  <w:style w:type="character" w:styleId="a5">
    <w:name w:val="annotation reference"/>
    <w:basedOn w:val="a0"/>
    <w:rsid w:val="00DE1913"/>
    <w:rPr>
      <w:sz w:val="21"/>
      <w:szCs w:val="21"/>
    </w:rPr>
  </w:style>
  <w:style w:type="paragraph" w:styleId="a6">
    <w:name w:val="annotation text"/>
    <w:basedOn w:val="a"/>
    <w:link w:val="a7"/>
    <w:rsid w:val="00DE1913"/>
  </w:style>
  <w:style w:type="character" w:customStyle="1" w:styleId="a7">
    <w:name w:val="批注文字 字符"/>
    <w:basedOn w:val="a0"/>
    <w:link w:val="a6"/>
    <w:rsid w:val="00DE1913"/>
    <w:rPr>
      <w:sz w:val="24"/>
      <w:szCs w:val="24"/>
    </w:rPr>
  </w:style>
  <w:style w:type="paragraph" w:styleId="a8">
    <w:name w:val="annotation subject"/>
    <w:basedOn w:val="a6"/>
    <w:next w:val="a6"/>
    <w:link w:val="a9"/>
    <w:rsid w:val="00DE1913"/>
    <w:rPr>
      <w:b/>
      <w:bCs/>
    </w:rPr>
  </w:style>
  <w:style w:type="character" w:customStyle="1" w:styleId="a9">
    <w:name w:val="批注主题 字符"/>
    <w:basedOn w:val="a7"/>
    <w:link w:val="a8"/>
    <w:rsid w:val="00DE1913"/>
    <w:rPr>
      <w:b/>
      <w:bCs/>
      <w:sz w:val="24"/>
      <w:szCs w:val="24"/>
    </w:rPr>
  </w:style>
  <w:style w:type="table" w:customStyle="1" w:styleId="1">
    <w:name w:val="표 구분선1"/>
    <w:basedOn w:val="a1"/>
    <w:next w:val="aa"/>
    <w:uiPriority w:val="59"/>
    <w:rsid w:val="001B7FE0"/>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rsid w:val="001B7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4B36E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B36E7"/>
    <w:rPr>
      <w:sz w:val="18"/>
      <w:szCs w:val="18"/>
    </w:rPr>
  </w:style>
  <w:style w:type="paragraph" w:styleId="ad">
    <w:name w:val="footer"/>
    <w:basedOn w:val="a"/>
    <w:link w:val="ae"/>
    <w:uiPriority w:val="99"/>
    <w:rsid w:val="004B36E7"/>
    <w:pPr>
      <w:tabs>
        <w:tab w:val="center" w:pos="4153"/>
        <w:tab w:val="right" w:pos="8306"/>
      </w:tabs>
      <w:snapToGrid w:val="0"/>
    </w:pPr>
    <w:rPr>
      <w:sz w:val="18"/>
      <w:szCs w:val="18"/>
    </w:rPr>
  </w:style>
  <w:style w:type="character" w:customStyle="1" w:styleId="ae">
    <w:name w:val="页脚 字符"/>
    <w:basedOn w:val="a0"/>
    <w:link w:val="ad"/>
    <w:uiPriority w:val="99"/>
    <w:rsid w:val="004B36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3705</Words>
  <Characters>21120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2021-09-08T06:51:00Z</dcterms:created>
  <dcterms:modified xsi:type="dcterms:W3CDTF">2021-09-08T06:51:00Z</dcterms:modified>
</cp:coreProperties>
</file>