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6305"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Name of Journal: </w:t>
      </w:r>
      <w:r w:rsidRPr="0049490E">
        <w:rPr>
          <w:rFonts w:ascii="Book Antiqua" w:eastAsia="Book Antiqua" w:hAnsi="Book Antiqua" w:cs="Book Antiqua"/>
          <w:i/>
          <w:color w:val="000000"/>
        </w:rPr>
        <w:t>World Journal of Gastroenterology</w:t>
      </w:r>
    </w:p>
    <w:p w14:paraId="17E3911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NO: </w:t>
      </w:r>
      <w:r w:rsidRPr="0049490E">
        <w:rPr>
          <w:rFonts w:ascii="Book Antiqua" w:eastAsia="Book Antiqua" w:hAnsi="Book Antiqua" w:cs="Book Antiqua"/>
          <w:color w:val="000000"/>
        </w:rPr>
        <w:t>61732</w:t>
      </w:r>
    </w:p>
    <w:p w14:paraId="10428DE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Type: </w:t>
      </w:r>
      <w:r w:rsidRPr="0049490E">
        <w:rPr>
          <w:rFonts w:ascii="Book Antiqua" w:eastAsia="Book Antiqua" w:hAnsi="Book Antiqua" w:cs="Book Antiqua"/>
          <w:color w:val="000000"/>
        </w:rPr>
        <w:t>ORIGINAL ARTICLE</w:t>
      </w:r>
    </w:p>
    <w:p w14:paraId="644BA41F" w14:textId="77777777" w:rsidR="00A77B3E" w:rsidRPr="0049490E" w:rsidRDefault="00A77B3E" w:rsidP="0049490E">
      <w:pPr>
        <w:spacing w:line="360" w:lineRule="auto"/>
        <w:jc w:val="both"/>
        <w:rPr>
          <w:rFonts w:ascii="Book Antiqua" w:hAnsi="Book Antiqua"/>
        </w:rPr>
      </w:pPr>
    </w:p>
    <w:p w14:paraId="44E4301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Observational Study</w:t>
      </w:r>
    </w:p>
    <w:p w14:paraId="01160C12" w14:textId="51E4D14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Risk stratification and geographical mapping of Brazilian inflammatory bowel disease patients during </w:t>
      </w:r>
      <w:r w:rsidR="0049490E">
        <w:rPr>
          <w:rFonts w:ascii="Book Antiqua" w:eastAsia="Book Antiqua" w:hAnsi="Book Antiqua" w:cs="Book Antiqua"/>
          <w:b/>
          <w:bCs/>
          <w:color w:val="000000"/>
        </w:rPr>
        <w:t xml:space="preserve">the </w:t>
      </w:r>
      <w:r w:rsidRPr="0049490E">
        <w:rPr>
          <w:rFonts w:ascii="Book Antiqua" w:eastAsia="Book Antiqua" w:hAnsi="Book Antiqua" w:cs="Book Antiqua"/>
          <w:b/>
          <w:bCs/>
          <w:color w:val="000000"/>
        </w:rPr>
        <w:t>COVID-19 outbreak: Results from a nationwide survey</w:t>
      </w:r>
    </w:p>
    <w:p w14:paraId="45D9D1F9" w14:textId="77777777" w:rsidR="00A77B3E" w:rsidRPr="0049490E" w:rsidRDefault="00A77B3E" w:rsidP="0049490E">
      <w:pPr>
        <w:spacing w:line="360" w:lineRule="auto"/>
        <w:jc w:val="both"/>
        <w:rPr>
          <w:rFonts w:ascii="Book Antiqua" w:hAnsi="Book Antiqua"/>
        </w:rPr>
      </w:pPr>
    </w:p>
    <w:p w14:paraId="50592994" w14:textId="1FC29B4A"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 xml:space="preserve">Queiroz NSF </w:t>
      </w:r>
      <w:r w:rsidRPr="0049490E">
        <w:rPr>
          <w:rFonts w:ascii="Book Antiqua" w:eastAsia="Book Antiqua" w:hAnsi="Book Antiqua" w:cs="Book Antiqua"/>
          <w:i/>
          <w:iCs/>
          <w:color w:val="000000"/>
        </w:rPr>
        <w:t>et al</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Brazilian I</w:t>
      </w:r>
      <w:r w:rsidRPr="0049490E">
        <w:rPr>
          <w:rFonts w:ascii="Book Antiqua" w:eastAsia="Book Antiqua" w:hAnsi="Book Antiqua" w:cs="Book Antiqua"/>
          <w:color w:val="000000"/>
        </w:rPr>
        <w:t>BD</w:t>
      </w:r>
      <w:r w:rsidR="0052114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patients duri</w:t>
      </w:r>
      <w:r w:rsidR="00521142" w:rsidRPr="0049490E">
        <w:rPr>
          <w:rFonts w:ascii="Book Antiqua" w:eastAsia="Book Antiqua" w:hAnsi="Book Antiqua" w:cs="Book Antiqua"/>
          <w:color w:val="000000"/>
        </w:rPr>
        <w:t xml:space="preserve">ng COVID-19 </w:t>
      </w:r>
      <w:r w:rsidRPr="0049490E">
        <w:rPr>
          <w:rFonts w:ascii="Book Antiqua" w:eastAsia="Book Antiqua" w:hAnsi="Book Antiqua" w:cs="Book Antiqua"/>
          <w:color w:val="000000"/>
        </w:rPr>
        <w:t>o</w:t>
      </w:r>
      <w:r w:rsidR="00521142" w:rsidRPr="0049490E">
        <w:rPr>
          <w:rFonts w:ascii="Book Antiqua" w:eastAsia="Book Antiqua" w:hAnsi="Book Antiqua" w:cs="Book Antiqua"/>
          <w:color w:val="000000"/>
        </w:rPr>
        <w:t>utbreak</w:t>
      </w:r>
    </w:p>
    <w:p w14:paraId="079CFC32" w14:textId="77777777" w:rsidR="00A77B3E" w:rsidRPr="0049490E" w:rsidRDefault="00A77B3E" w:rsidP="0049490E">
      <w:pPr>
        <w:spacing w:line="360" w:lineRule="auto"/>
        <w:jc w:val="both"/>
        <w:rPr>
          <w:rFonts w:ascii="Book Antiqua" w:hAnsi="Book Antiqua"/>
        </w:rPr>
      </w:pPr>
    </w:p>
    <w:p w14:paraId="2C83AD15" w14:textId="0380364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Natália Sousa Freitas Queiroz, </w:t>
      </w:r>
      <w:r w:rsidR="00324DF8" w:rsidRPr="0049490E">
        <w:rPr>
          <w:rFonts w:ascii="Book Antiqua" w:eastAsia="Book Antiqua" w:hAnsi="Book Antiqua" w:cs="Book Antiqua"/>
          <w:color w:val="000000"/>
        </w:rPr>
        <w:t>Fábio</w:t>
      </w:r>
      <w:r w:rsidRPr="0049490E">
        <w:rPr>
          <w:rFonts w:ascii="Book Antiqua" w:eastAsia="Book Antiqua" w:hAnsi="Book Antiqua" w:cs="Book Antiqua"/>
          <w:color w:val="000000"/>
        </w:rPr>
        <w:t xml:space="preserve"> Vieira Teixeira, Marina Pamponet Motta, Liliana Andrade Chebli, Adriano Akira Ferreira Hino, Camilla de Almeida Martins, Abel Botelho Quaresma, Alexandre Augusto de Paula da Silva, Adérson Omar Mourão Cintra Damião, Rogerio Saad-Hossne, Paulo Gustavo Kotze</w:t>
      </w:r>
    </w:p>
    <w:p w14:paraId="5293CAD5" w14:textId="77777777" w:rsidR="00A77B3E" w:rsidRPr="0049490E" w:rsidRDefault="00A77B3E" w:rsidP="0049490E">
      <w:pPr>
        <w:spacing w:line="360" w:lineRule="auto"/>
        <w:jc w:val="both"/>
        <w:rPr>
          <w:rFonts w:ascii="Book Antiqua" w:hAnsi="Book Antiqua"/>
        </w:rPr>
      </w:pPr>
    </w:p>
    <w:p w14:paraId="0AD91CC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Natália Sousa Freitas Queiroz, Camilla de Almeida Martins, Adérson Omar Mourão Cintra Damião, </w:t>
      </w:r>
      <w:r w:rsidRPr="0049490E">
        <w:rPr>
          <w:rFonts w:ascii="Book Antiqua" w:eastAsia="Book Antiqua" w:hAnsi="Book Antiqua" w:cs="Book Antiqua"/>
          <w:color w:val="000000"/>
        </w:rPr>
        <w:t>Department of Gastroenterology, University of São Paulo School of Medicine, São Paulo 05403-000, SP, Brazil</w:t>
      </w:r>
    </w:p>
    <w:p w14:paraId="4632D2FE" w14:textId="77777777" w:rsidR="00A77B3E" w:rsidRPr="0049490E" w:rsidRDefault="00A77B3E" w:rsidP="0049490E">
      <w:pPr>
        <w:spacing w:line="360" w:lineRule="auto"/>
        <w:jc w:val="both"/>
        <w:rPr>
          <w:rFonts w:ascii="Book Antiqua" w:hAnsi="Book Antiqua"/>
        </w:rPr>
      </w:pPr>
    </w:p>
    <w:p w14:paraId="26D5310B" w14:textId="78D63D64" w:rsidR="00A77B3E" w:rsidRPr="0049490E" w:rsidRDefault="005243C8"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Fábio </w:t>
      </w:r>
      <w:r w:rsidR="00521142" w:rsidRPr="0049490E">
        <w:rPr>
          <w:rFonts w:ascii="Book Antiqua" w:eastAsia="Book Antiqua" w:hAnsi="Book Antiqua" w:cs="Book Antiqua"/>
          <w:b/>
          <w:bCs/>
          <w:color w:val="000000"/>
        </w:rPr>
        <w:t xml:space="preserve">Vieira Teixeira, </w:t>
      </w:r>
      <w:r w:rsidR="00521142" w:rsidRPr="0049490E">
        <w:rPr>
          <w:rFonts w:ascii="Book Antiqua" w:eastAsia="Book Antiqua" w:hAnsi="Book Antiqua" w:cs="Book Antiqua"/>
          <w:color w:val="000000"/>
        </w:rPr>
        <w:t>IBD Unit, Gastroenterology Department, Gastrosa</w:t>
      </w:r>
      <w:r w:rsidRPr="0049490E">
        <w:rPr>
          <w:rFonts w:ascii="Book Antiqua" w:eastAsia="Book Antiqua" w:hAnsi="Book Antiqua" w:cs="Book Antiqua"/>
          <w:color w:val="000000"/>
        </w:rPr>
        <w:t>ú</w:t>
      </w:r>
      <w:r w:rsidR="00521142" w:rsidRPr="0049490E">
        <w:rPr>
          <w:rFonts w:ascii="Book Antiqua" w:eastAsia="Book Antiqua" w:hAnsi="Book Antiqua" w:cs="Book Antiqua"/>
          <w:color w:val="000000"/>
        </w:rPr>
        <w:t>de Clinic, Marilia 17509190, SP, Brazil</w:t>
      </w:r>
    </w:p>
    <w:p w14:paraId="5BC73382" w14:textId="77777777" w:rsidR="00A77B3E" w:rsidRPr="0049490E" w:rsidRDefault="00A77B3E" w:rsidP="0049490E">
      <w:pPr>
        <w:spacing w:line="360" w:lineRule="auto"/>
        <w:jc w:val="both"/>
        <w:rPr>
          <w:rFonts w:ascii="Book Antiqua" w:hAnsi="Book Antiqua"/>
        </w:rPr>
      </w:pPr>
    </w:p>
    <w:p w14:paraId="040FEB21" w14:textId="4DFE2B6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Marina Pamponet Motta, </w:t>
      </w:r>
      <w:r w:rsidRPr="0049490E">
        <w:rPr>
          <w:rFonts w:ascii="Book Antiqua" w:eastAsia="Book Antiqua" w:hAnsi="Book Antiqua" w:cs="Book Antiqua"/>
          <w:color w:val="000000"/>
        </w:rPr>
        <w:t>School of Medicine, Federal University of Bahia, Salvador 40020-025, BH, Brazil</w:t>
      </w:r>
    </w:p>
    <w:p w14:paraId="71BC0FDA" w14:textId="77777777" w:rsidR="00A77B3E" w:rsidRPr="0049490E" w:rsidRDefault="00A77B3E" w:rsidP="0049490E">
      <w:pPr>
        <w:spacing w:line="360" w:lineRule="auto"/>
        <w:jc w:val="both"/>
        <w:rPr>
          <w:rFonts w:ascii="Book Antiqua" w:hAnsi="Book Antiqua"/>
        </w:rPr>
      </w:pPr>
    </w:p>
    <w:p w14:paraId="56B9073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Liliana Andrade Chebli, </w:t>
      </w:r>
      <w:r w:rsidRPr="0049490E">
        <w:rPr>
          <w:rFonts w:ascii="Book Antiqua" w:eastAsia="Book Antiqua" w:hAnsi="Book Antiqua" w:cs="Book Antiqua"/>
          <w:color w:val="000000"/>
        </w:rPr>
        <w:t>IBD Outpatient Clinics, Universidade Federal de Juiz de Fora, Juiz de Fora 36010-010, MG, Brazil</w:t>
      </w:r>
    </w:p>
    <w:p w14:paraId="1357C8D7" w14:textId="77777777" w:rsidR="00A77B3E" w:rsidRPr="0049490E" w:rsidRDefault="00A77B3E" w:rsidP="0049490E">
      <w:pPr>
        <w:spacing w:line="360" w:lineRule="auto"/>
        <w:jc w:val="both"/>
        <w:rPr>
          <w:rFonts w:ascii="Book Antiqua" w:hAnsi="Book Antiqua"/>
        </w:rPr>
      </w:pPr>
    </w:p>
    <w:p w14:paraId="29C0A87D" w14:textId="7177171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lastRenderedPageBreak/>
        <w:t xml:space="preserve">Adriano Akira Ferreira Hino, Alexandre Augusto de Paula da Silva, </w:t>
      </w:r>
      <w:r w:rsidR="00131597" w:rsidRPr="0049490E">
        <w:rPr>
          <w:rFonts w:ascii="Book Antiqua" w:eastAsia="Book Antiqua" w:hAnsi="Book Antiqua" w:cs="Book Antiqua"/>
          <w:b/>
          <w:bCs/>
          <w:color w:val="000000"/>
        </w:rPr>
        <w:t xml:space="preserve">Paulo Gustavo Kotze, </w:t>
      </w:r>
      <w:r w:rsidRPr="0049490E">
        <w:rPr>
          <w:rFonts w:ascii="Book Antiqua" w:eastAsia="Book Antiqua" w:hAnsi="Book Antiqua" w:cs="Book Antiqua"/>
          <w:color w:val="000000"/>
        </w:rPr>
        <w:t>Health Sciences Postgraduate Program, Pontifícia Universidade Católica do Paraná (PUCPR), Curitiba 80</w:t>
      </w:r>
      <w:r w:rsidR="00131597" w:rsidRPr="0049490E">
        <w:rPr>
          <w:rFonts w:ascii="Book Antiqua" w:eastAsia="Book Antiqua" w:hAnsi="Book Antiqua" w:cs="Book Antiqua"/>
          <w:color w:val="000000"/>
        </w:rPr>
        <w:t>440</w:t>
      </w:r>
      <w:r w:rsidRPr="0049490E">
        <w:rPr>
          <w:rFonts w:ascii="Book Antiqua" w:eastAsia="Book Antiqua" w:hAnsi="Book Antiqua" w:cs="Book Antiqua"/>
          <w:color w:val="000000"/>
        </w:rPr>
        <w:t>-</w:t>
      </w:r>
      <w:r w:rsidR="00131597" w:rsidRPr="0049490E">
        <w:rPr>
          <w:rFonts w:ascii="Book Antiqua" w:eastAsia="Book Antiqua" w:hAnsi="Book Antiqua" w:cs="Book Antiqua"/>
          <w:color w:val="000000"/>
        </w:rPr>
        <w:t>220</w:t>
      </w:r>
      <w:r w:rsidRPr="0049490E">
        <w:rPr>
          <w:rFonts w:ascii="Book Antiqua" w:eastAsia="Book Antiqua" w:hAnsi="Book Antiqua" w:cs="Book Antiqua"/>
          <w:color w:val="000000"/>
        </w:rPr>
        <w:t>, PR, Brazil</w:t>
      </w:r>
    </w:p>
    <w:p w14:paraId="5F0C88B8" w14:textId="77777777" w:rsidR="00A77B3E" w:rsidRPr="0049490E" w:rsidRDefault="00A77B3E" w:rsidP="0049490E">
      <w:pPr>
        <w:spacing w:line="360" w:lineRule="auto"/>
        <w:jc w:val="both"/>
        <w:rPr>
          <w:rFonts w:ascii="Book Antiqua" w:hAnsi="Book Antiqua"/>
        </w:rPr>
      </w:pPr>
    </w:p>
    <w:p w14:paraId="7EE5D55B"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Abel Botelho Quaresma, </w:t>
      </w:r>
      <w:r w:rsidRPr="0049490E">
        <w:rPr>
          <w:rFonts w:ascii="Book Antiqua" w:eastAsia="Book Antiqua" w:hAnsi="Book Antiqua" w:cs="Book Antiqua"/>
          <w:color w:val="000000"/>
        </w:rPr>
        <w:t>Departamento de Ciências da Saúde, Universidade do Oeste de Santa Catarina (UNOESC), Joaçaba 89600-000, SC, Brazil</w:t>
      </w:r>
    </w:p>
    <w:p w14:paraId="5236EE15" w14:textId="77777777" w:rsidR="00A77B3E" w:rsidRPr="0049490E" w:rsidRDefault="00A77B3E" w:rsidP="0049490E">
      <w:pPr>
        <w:spacing w:line="360" w:lineRule="auto"/>
        <w:jc w:val="both"/>
        <w:rPr>
          <w:rFonts w:ascii="Book Antiqua" w:hAnsi="Book Antiqua"/>
        </w:rPr>
      </w:pPr>
    </w:p>
    <w:p w14:paraId="2058765F"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Rogerio Saad-Hossne, </w:t>
      </w:r>
      <w:r w:rsidRPr="0049490E">
        <w:rPr>
          <w:rFonts w:ascii="Book Antiqua" w:eastAsia="Book Antiqua" w:hAnsi="Book Antiqua" w:cs="Book Antiqua"/>
          <w:color w:val="000000"/>
        </w:rPr>
        <w:t>Botucatu Medical School, Paulista State University (UNESP), Botucatu 18600-050, SP, Brazil</w:t>
      </w:r>
    </w:p>
    <w:p w14:paraId="7CC1CCB6" w14:textId="77777777" w:rsidR="00A77B3E" w:rsidRPr="0049490E" w:rsidRDefault="00A77B3E" w:rsidP="0049490E">
      <w:pPr>
        <w:spacing w:line="360" w:lineRule="auto"/>
        <w:jc w:val="both"/>
        <w:rPr>
          <w:rFonts w:ascii="Book Antiqua" w:hAnsi="Book Antiqua"/>
        </w:rPr>
      </w:pPr>
    </w:p>
    <w:p w14:paraId="31D756C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Paulo Gustavo Kotze, </w:t>
      </w:r>
      <w:r w:rsidRPr="0049490E">
        <w:rPr>
          <w:rFonts w:ascii="Book Antiqua" w:eastAsia="Book Antiqua" w:hAnsi="Book Antiqua" w:cs="Book Antiqua"/>
          <w:color w:val="000000"/>
        </w:rPr>
        <w:t>IBD Outpatient Clinics, Pontificia Universidade Católica do Paraná (PUCPR), Curitiba 80440-220, PR, Brazil</w:t>
      </w:r>
    </w:p>
    <w:p w14:paraId="682661DD" w14:textId="77777777" w:rsidR="00A77B3E" w:rsidRPr="0049490E" w:rsidRDefault="00A77B3E" w:rsidP="0049490E">
      <w:pPr>
        <w:spacing w:line="360" w:lineRule="auto"/>
        <w:jc w:val="both"/>
        <w:rPr>
          <w:rFonts w:ascii="Book Antiqua" w:hAnsi="Book Antiqua"/>
        </w:rPr>
      </w:pPr>
    </w:p>
    <w:p w14:paraId="23855306" w14:textId="523D347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Author contributions: </w:t>
      </w:r>
      <w:r w:rsidRPr="0049490E">
        <w:rPr>
          <w:rFonts w:ascii="Book Antiqua" w:eastAsia="Book Antiqua" w:hAnsi="Book Antiqua" w:cs="Book Antiqua"/>
          <w:color w:val="000000"/>
        </w:rPr>
        <w:t>Kotze PG, Hino AAF</w:t>
      </w:r>
      <w:r w:rsidR="00971786" w:rsidRPr="0049490E">
        <w:rPr>
          <w:rFonts w:ascii="Book Antiqua" w:eastAsia="Book Antiqua" w:hAnsi="Book Antiqua" w:cs="Book Antiqua"/>
          <w:color w:val="000000"/>
        </w:rPr>
        <w:t xml:space="preserve"> and</w:t>
      </w:r>
      <w:r w:rsidRPr="0049490E">
        <w:rPr>
          <w:rFonts w:ascii="Book Antiqua" w:eastAsia="Book Antiqua" w:hAnsi="Book Antiqua" w:cs="Book Antiqua"/>
          <w:color w:val="000000"/>
        </w:rPr>
        <w:t xml:space="preserve"> Queiroz NSF</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designed the study;</w:t>
      </w:r>
      <w:r w:rsidR="00971786" w:rsidRPr="0049490E">
        <w:rPr>
          <w:rStyle w:val="apple-converted-space"/>
          <w:rFonts w:ascii="Book Antiqua" w:eastAsia="Book Antiqua" w:hAnsi="Book Antiqua" w:cs="Book Antiqua"/>
          <w:color w:val="000000"/>
        </w:rPr>
        <w:t xml:space="preserve"> </w:t>
      </w:r>
      <w:r w:rsidRPr="0049490E">
        <w:rPr>
          <w:rFonts w:ascii="Book Antiqua" w:eastAsia="Book Antiqua" w:hAnsi="Book Antiqua" w:cs="Book Antiqua"/>
          <w:color w:val="000000"/>
        </w:rPr>
        <w:t>Motta MP, Martins CA, Kotze PG, Queiroz NSF and Hino AAF</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participated in the acquisition, analysis and interpretation of the data and wrote the manuscript;</w:t>
      </w:r>
      <w:r w:rsidR="00971786" w:rsidRPr="0049490E">
        <w:rPr>
          <w:rStyle w:val="apple-converted-space"/>
          <w:rFonts w:ascii="Book Antiqua" w:eastAsia="Book Antiqua" w:hAnsi="Book Antiqua" w:cs="Book Antiqua"/>
          <w:color w:val="000000"/>
        </w:rPr>
        <w:t xml:space="preserve"> </w:t>
      </w:r>
      <w:r w:rsidRPr="0049490E">
        <w:rPr>
          <w:rFonts w:ascii="Book Antiqua" w:eastAsia="Book Antiqua" w:hAnsi="Book Antiqua" w:cs="Book Antiqua"/>
          <w:color w:val="000000"/>
        </w:rPr>
        <w:t>Teixeira FV, Motta MP, Chebli LA, Martins CA, Quaresma AB, Silva AAP, Damião AOMC</w:t>
      </w:r>
      <w:r w:rsidR="00971786" w:rsidRPr="0049490E">
        <w:rPr>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 xml:space="preserve">were involved in </w:t>
      </w:r>
      <w:r w:rsidR="002D4C30" w:rsidRPr="0049490E">
        <w:rPr>
          <w:rFonts w:ascii="Book Antiqua" w:eastAsia="Book Antiqua" w:hAnsi="Book Antiqua" w:cs="Book Antiqua"/>
          <w:color w:val="000000"/>
        </w:rPr>
        <w:t>Grupo de Estudos da Doença Inflamatória Intestinal do Brasil</w:t>
      </w:r>
      <w:r w:rsidRPr="0049490E">
        <w:rPr>
          <w:rStyle w:val="apple-converted-space"/>
          <w:rFonts w:ascii="Book Antiqua" w:eastAsia="Book Antiqua" w:hAnsi="Book Antiqua" w:cs="Book Antiqua"/>
          <w:color w:val="000000"/>
        </w:rPr>
        <w:t xml:space="preserve"> COVID task force and</w:t>
      </w:r>
      <w:r w:rsidR="00971786" w:rsidRPr="0049490E">
        <w:rPr>
          <w:rStyle w:val="apple-converted-space"/>
          <w:rFonts w:ascii="Book Antiqua" w:eastAsia="Book Antiqua" w:hAnsi="Book Antiqua" w:cs="Book Antiqua"/>
          <w:color w:val="000000"/>
        </w:rPr>
        <w:t xml:space="preserve"> </w:t>
      </w:r>
      <w:r w:rsidRPr="0049490E">
        <w:rPr>
          <w:rStyle w:val="apple-converted-space"/>
          <w:rFonts w:ascii="Book Antiqua" w:eastAsia="Book Antiqua" w:hAnsi="Book Antiqua" w:cs="Book Antiqua"/>
          <w:color w:val="000000"/>
        </w:rPr>
        <w:t>critically reviewed the article for important intellectual content.</w:t>
      </w:r>
    </w:p>
    <w:p w14:paraId="4CCECAB2" w14:textId="77777777" w:rsidR="00A77B3E" w:rsidRPr="0049490E" w:rsidRDefault="00A77B3E" w:rsidP="0049490E">
      <w:pPr>
        <w:spacing w:line="360" w:lineRule="auto"/>
        <w:jc w:val="both"/>
        <w:rPr>
          <w:rFonts w:ascii="Book Antiqua" w:hAnsi="Book Antiqua"/>
        </w:rPr>
      </w:pPr>
    </w:p>
    <w:p w14:paraId="3442ED6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Corresponding author: Paulo Gustavo Kotze, MD, MSc, PhD, Doctor, Professor, Surgeon, </w:t>
      </w:r>
      <w:r w:rsidRPr="0049490E">
        <w:rPr>
          <w:rFonts w:ascii="Book Antiqua" w:eastAsia="Book Antiqua" w:hAnsi="Book Antiqua" w:cs="Book Antiqua"/>
          <w:color w:val="000000"/>
        </w:rPr>
        <w:t>IBD Outpatient Clinics, Pontificia Universidade Católica do Paraná (PUCPR), Rua Bruno Filgueira, 369 cj.1205, Curitiba 80440-220, PR, Brazil. pgkotze@hotmail.com</w:t>
      </w:r>
    </w:p>
    <w:p w14:paraId="06994622" w14:textId="77777777" w:rsidR="00A77B3E" w:rsidRPr="0049490E" w:rsidRDefault="00A77B3E" w:rsidP="0049490E">
      <w:pPr>
        <w:spacing w:line="360" w:lineRule="auto"/>
        <w:jc w:val="both"/>
        <w:rPr>
          <w:rFonts w:ascii="Book Antiqua" w:hAnsi="Book Antiqua"/>
        </w:rPr>
      </w:pPr>
    </w:p>
    <w:p w14:paraId="41243A0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Received: </w:t>
      </w:r>
      <w:r w:rsidRPr="0049490E">
        <w:rPr>
          <w:rFonts w:ascii="Book Antiqua" w:eastAsia="Book Antiqua" w:hAnsi="Book Antiqua" w:cs="Book Antiqua"/>
          <w:color w:val="000000"/>
        </w:rPr>
        <w:t>December 17, 2020</w:t>
      </w:r>
    </w:p>
    <w:p w14:paraId="25D3EB4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Revised: </w:t>
      </w:r>
      <w:r w:rsidRPr="0049490E">
        <w:rPr>
          <w:rFonts w:ascii="Book Antiqua" w:eastAsia="Book Antiqua" w:hAnsi="Book Antiqua" w:cs="Book Antiqua"/>
          <w:color w:val="000000"/>
        </w:rPr>
        <w:t>January 28, 2021</w:t>
      </w:r>
    </w:p>
    <w:p w14:paraId="4DF6B600" w14:textId="3A5148C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Accepted: </w:t>
      </w:r>
      <w:r w:rsidR="00617BC7" w:rsidRPr="0049490E">
        <w:rPr>
          <w:rFonts w:ascii="Book Antiqua" w:eastAsia="Book Antiqua" w:hAnsi="Book Antiqua" w:cs="Book Antiqua"/>
          <w:color w:val="000000"/>
        </w:rPr>
        <w:t>February 25, 2021</w:t>
      </w:r>
    </w:p>
    <w:p w14:paraId="0CB0ED5A"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Published online: </w:t>
      </w:r>
    </w:p>
    <w:p w14:paraId="306F827B" w14:textId="77777777" w:rsidR="00EC363F" w:rsidRDefault="00EC363F">
      <w:pPr>
        <w:rPr>
          <w:rFonts w:ascii="Book Antiqua" w:eastAsia="Book Antiqua" w:hAnsi="Book Antiqua" w:cs="Book Antiqua"/>
          <w:b/>
          <w:color w:val="000000"/>
        </w:rPr>
      </w:pPr>
      <w:r>
        <w:rPr>
          <w:rFonts w:ascii="Book Antiqua" w:eastAsia="Book Antiqua" w:hAnsi="Book Antiqua" w:cs="Book Antiqua"/>
          <w:b/>
          <w:color w:val="000000"/>
        </w:rPr>
        <w:br w:type="page"/>
      </w:r>
    </w:p>
    <w:p w14:paraId="41A7F6FD" w14:textId="2C0755B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lastRenderedPageBreak/>
        <w:t>Abstract</w:t>
      </w:r>
    </w:p>
    <w:p w14:paraId="63BB2E7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BACKGROUND</w:t>
      </w:r>
    </w:p>
    <w:p w14:paraId="1EF33E70" w14:textId="17AE5E2B"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Coronavirus disease 2019 (</w:t>
      </w:r>
      <w:r w:rsidR="00521142" w:rsidRPr="0049490E">
        <w:rPr>
          <w:rFonts w:ascii="Book Antiqua" w:eastAsia="Book Antiqua" w:hAnsi="Book Antiqua" w:cs="Book Antiqua"/>
          <w:color w:val="000000"/>
        </w:rPr>
        <w:t>COVID-19</w:t>
      </w:r>
      <w:r w:rsidRPr="0049490E">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pandemic is still evolving globally, and Brazil is currently one of the most affected countries.</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 xml:space="preserve">It is still debated whether patients with </w:t>
      </w:r>
      <w:r w:rsidRPr="0049490E">
        <w:rPr>
          <w:rFonts w:ascii="Book Antiqua" w:eastAsia="Book Antiqua" w:hAnsi="Book Antiqua" w:cs="Book Antiqua"/>
          <w:color w:val="000000"/>
        </w:rPr>
        <w:t>inflammatory bowel di</w:t>
      </w:r>
      <w:r w:rsidR="00521142" w:rsidRPr="0049490E">
        <w:rPr>
          <w:rFonts w:ascii="Book Antiqua" w:eastAsia="Book Antiqua" w:hAnsi="Book Antiqua" w:cs="Book Antiqua"/>
          <w:color w:val="000000"/>
        </w:rPr>
        <w:t xml:space="preserve">sease (IBD) are </w:t>
      </w:r>
      <w:r w:rsidR="00D46BCB">
        <w:rPr>
          <w:rFonts w:ascii="Book Antiqua" w:eastAsia="Book Antiqua" w:hAnsi="Book Antiqua" w:cs="Book Antiqua"/>
          <w:color w:val="000000"/>
        </w:rPr>
        <w:t>at</w:t>
      </w:r>
      <w:r w:rsidR="00521142" w:rsidRPr="0049490E">
        <w:rPr>
          <w:rFonts w:ascii="Book Antiqua" w:eastAsia="Book Antiqua" w:hAnsi="Book Antiqua" w:cs="Book Antiqua"/>
          <w:color w:val="000000"/>
        </w:rPr>
        <w:t xml:space="preserve"> a higher risk for developing COVID-19 or its complications.</w:t>
      </w:r>
    </w:p>
    <w:p w14:paraId="74AF1E09" w14:textId="77777777" w:rsidR="00A77B3E" w:rsidRPr="0049490E" w:rsidRDefault="00A77B3E" w:rsidP="0049490E">
      <w:pPr>
        <w:spacing w:line="360" w:lineRule="auto"/>
        <w:jc w:val="both"/>
        <w:rPr>
          <w:rFonts w:ascii="Book Antiqua" w:hAnsi="Book Antiqua"/>
        </w:rPr>
      </w:pPr>
    </w:p>
    <w:p w14:paraId="7D2026D1"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AIM</w:t>
      </w:r>
    </w:p>
    <w:p w14:paraId="557E2153" w14:textId="45525694" w:rsidR="00A77B3E" w:rsidRPr="0049490E" w:rsidRDefault="00971786" w:rsidP="0049490E">
      <w:pPr>
        <w:spacing w:line="360" w:lineRule="auto"/>
        <w:jc w:val="both"/>
        <w:rPr>
          <w:rFonts w:ascii="Book Antiqua" w:hAnsi="Book Antiqua"/>
        </w:rPr>
      </w:pPr>
      <w:r w:rsidRPr="0049490E">
        <w:rPr>
          <w:rFonts w:ascii="Book Antiqua" w:eastAsia="Book Antiqua" w:hAnsi="Book Antiqua" w:cs="Book Antiqua"/>
          <w:color w:val="000000"/>
        </w:rPr>
        <w:t>T</w:t>
      </w:r>
      <w:r w:rsidR="00521142" w:rsidRPr="0049490E">
        <w:rPr>
          <w:rFonts w:ascii="Book Antiqua" w:eastAsia="Book Antiqua" w:hAnsi="Book Antiqua" w:cs="Book Antiqua"/>
          <w:color w:val="000000"/>
        </w:rPr>
        <w:t xml:space="preserve">o assess geographical distribution of IBD patients at </w:t>
      </w:r>
      <w:r w:rsidR="00D46BCB">
        <w:rPr>
          <w:rFonts w:ascii="Book Antiqua" w:eastAsia="Book Antiqua" w:hAnsi="Book Antiqua" w:cs="Book Antiqua"/>
          <w:color w:val="000000"/>
        </w:rPr>
        <w:t xml:space="preserve">the </w:t>
      </w:r>
      <w:r w:rsidR="00521142" w:rsidRPr="0049490E">
        <w:rPr>
          <w:rFonts w:ascii="Book Antiqua" w:eastAsia="Book Antiqua" w:hAnsi="Book Antiqua" w:cs="Book Antiqua"/>
          <w:color w:val="000000"/>
        </w:rPr>
        <w:t>highest risk and correlate these data</w:t>
      </w:r>
      <w:r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with COVID-19 mortality rates in Brazil.</w:t>
      </w:r>
    </w:p>
    <w:p w14:paraId="62D161AA" w14:textId="77777777" w:rsidR="00A77B3E" w:rsidRPr="0049490E" w:rsidRDefault="00A77B3E" w:rsidP="0049490E">
      <w:pPr>
        <w:spacing w:line="360" w:lineRule="auto"/>
        <w:jc w:val="both"/>
        <w:rPr>
          <w:rFonts w:ascii="Book Antiqua" w:hAnsi="Book Antiqua"/>
        </w:rPr>
      </w:pPr>
    </w:p>
    <w:p w14:paraId="159CA1E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METHODS</w:t>
      </w:r>
    </w:p>
    <w:p w14:paraId="34FC1161" w14:textId="3DD3AFA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Brazilian IBD Study Group (</w:t>
      </w:r>
      <w:r w:rsidR="002D4C30" w:rsidRPr="0049490E">
        <w:rPr>
          <w:rFonts w:ascii="Book Antiqua" w:eastAsia="Book Antiqua" w:hAnsi="Book Antiqua" w:cs="Book Antiqua"/>
          <w:color w:val="000000"/>
        </w:rPr>
        <w:t>Grupo de Estudos da Doença Inflamatória Intestinal do Brasil</w:t>
      </w:r>
      <w:r w:rsidRPr="0049490E">
        <w:rPr>
          <w:rFonts w:ascii="Book Antiqua" w:eastAsia="Book Antiqua" w:hAnsi="Book Antiqua" w:cs="Book Antiqua"/>
          <w:color w:val="000000"/>
        </w:rPr>
        <w:t>) developed a web-based survey adapted from the British Society of Gastroenterology guid</w:t>
      </w:r>
      <w:r w:rsidR="00D46BCB">
        <w:rPr>
          <w:rFonts w:ascii="Book Antiqua" w:eastAsia="Book Antiqua" w:hAnsi="Book Antiqua" w:cs="Book Antiqua"/>
          <w:color w:val="000000"/>
        </w:rPr>
        <w:t>elines</w:t>
      </w:r>
      <w:r w:rsidRPr="0049490E">
        <w:rPr>
          <w:rFonts w:ascii="Book Antiqua" w:eastAsia="Book Antiqua" w:hAnsi="Book Antiqua" w:cs="Book Antiqua"/>
          <w:color w:val="000000"/>
        </w:rPr>
        <w:t>.</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included categories were demographic data and inquiries related to risk factors for</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971786"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Patients were categorized as highest, moderate or lowest individual risk</w:t>
      </w:r>
      <w:r w:rsidRPr="0049490E">
        <w:rPr>
          <w:rFonts w:ascii="Book Antiqua" w:eastAsia="Book Antiqua" w:hAnsi="Book Antiqua" w:cs="Book Antiqua"/>
          <w:color w:val="000000"/>
          <w:shd w:val="clear" w:color="auto" w:fill="FFFFFF"/>
        </w:rPr>
        <w:t xml:space="preserve">. </w:t>
      </w:r>
      <w:r w:rsidR="00D46BCB">
        <w:rPr>
          <w:rFonts w:ascii="Book Antiqua" w:eastAsia="Book Antiqua" w:hAnsi="Book Antiqua" w:cs="Book Antiqua"/>
          <w:color w:val="000000"/>
          <w:shd w:val="clear" w:color="auto" w:fill="FFFFFF"/>
        </w:rPr>
        <w:t xml:space="preserve">The </w:t>
      </w:r>
      <w:r w:rsidRPr="0049490E">
        <w:rPr>
          <w:rFonts w:ascii="Book Antiqua" w:eastAsia="Book Antiqua" w:hAnsi="Book Antiqua" w:cs="Book Antiqua"/>
          <w:color w:val="000000"/>
          <w:shd w:val="clear" w:color="auto" w:fill="FFFFFF"/>
        </w:rPr>
        <w:t>Spearman correlation test was used to identify any association between highest risk and mortality rates for each state of the country.</w:t>
      </w:r>
    </w:p>
    <w:p w14:paraId="453396BF" w14:textId="77777777" w:rsidR="00A77B3E" w:rsidRPr="0049490E" w:rsidRDefault="00A77B3E" w:rsidP="0049490E">
      <w:pPr>
        <w:spacing w:line="360" w:lineRule="auto"/>
        <w:jc w:val="both"/>
        <w:rPr>
          <w:rFonts w:ascii="Book Antiqua" w:hAnsi="Book Antiqua"/>
        </w:rPr>
      </w:pPr>
    </w:p>
    <w:p w14:paraId="672AF56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RESULTS</w:t>
      </w:r>
    </w:p>
    <w:p w14:paraId="761640D8" w14:textId="529C8B4A" w:rsidR="00A77B3E" w:rsidRPr="0049490E" w:rsidRDefault="005B5D8A" w:rsidP="0049490E">
      <w:pPr>
        <w:spacing w:line="360" w:lineRule="auto"/>
        <w:jc w:val="both"/>
        <w:rPr>
          <w:rFonts w:ascii="Book Antiqua" w:hAnsi="Book Antiqua"/>
        </w:rPr>
      </w:pPr>
      <w:r>
        <w:rPr>
          <w:rFonts w:ascii="Book Antiqua" w:eastAsia="Book Antiqua" w:hAnsi="Book Antiqua" w:cs="Book Antiqua"/>
          <w:color w:val="000000"/>
          <w:shd w:val="clear" w:color="auto" w:fill="FFFFFF"/>
        </w:rPr>
        <w:t>A t</w:t>
      </w:r>
      <w:r w:rsidR="00971786" w:rsidRPr="0049490E">
        <w:rPr>
          <w:rFonts w:ascii="Book Antiqua" w:eastAsia="Book Antiqua" w:hAnsi="Book Antiqua" w:cs="Book Antiqua"/>
          <w:color w:val="000000"/>
          <w:shd w:val="clear" w:color="auto" w:fill="FFFFFF"/>
        </w:rPr>
        <w:t>otal</w:t>
      </w:r>
      <w:r>
        <w:rPr>
          <w:rFonts w:ascii="Book Antiqua" w:eastAsia="Book Antiqua" w:hAnsi="Book Antiqua" w:cs="Book Antiqua"/>
          <w:color w:val="000000"/>
          <w:shd w:val="clear" w:color="auto" w:fill="FFFFFF"/>
        </w:rPr>
        <w:t xml:space="preserve"> of</w:t>
      </w:r>
      <w:r w:rsidR="00971786" w:rsidRPr="0049490E">
        <w:rPr>
          <w:rFonts w:ascii="Book Antiqua" w:eastAsia="Book Antiqua" w:hAnsi="Book Antiqua" w:cs="Book Antiqua"/>
          <w:color w:val="000000"/>
          <w:shd w:val="clear" w:color="auto" w:fill="FFFFFF"/>
        </w:rPr>
        <w:t xml:space="preserve"> </w:t>
      </w:r>
      <w:r w:rsidR="00521142" w:rsidRPr="0049490E">
        <w:rPr>
          <w:rFonts w:ascii="Book Antiqua" w:eastAsia="Book Antiqua" w:hAnsi="Book Antiqua" w:cs="Book Antiqua"/>
          <w:color w:val="000000"/>
          <w:shd w:val="clear" w:color="auto" w:fill="FFFFFF"/>
        </w:rPr>
        <w:t xml:space="preserve">3568 patients </w:t>
      </w:r>
      <w:r w:rsidRPr="0049490E">
        <w:rPr>
          <w:rFonts w:ascii="Book Antiqua" w:eastAsia="Book Antiqua" w:hAnsi="Book Antiqua" w:cs="Book Antiqua"/>
          <w:color w:val="000000"/>
          <w:shd w:val="clear" w:color="auto" w:fill="FFFFFF"/>
        </w:rPr>
        <w:t xml:space="preserve">(65.3% females) </w:t>
      </w:r>
      <w:r w:rsidR="00521142" w:rsidRPr="0049490E">
        <w:rPr>
          <w:rFonts w:ascii="Book Antiqua" w:eastAsia="Book Antiqua" w:hAnsi="Book Antiqua" w:cs="Book Antiqua"/>
          <w:color w:val="000000"/>
          <w:shd w:val="clear" w:color="auto" w:fill="FFFFFF"/>
        </w:rPr>
        <w:t>were included. Most participants were from</w:t>
      </w:r>
      <w:r w:rsidR="00971786" w:rsidRPr="0049490E">
        <w:rPr>
          <w:rFonts w:ascii="Book Antiqua" w:eastAsia="Book Antiqua" w:hAnsi="Book Antiqua" w:cs="Book Antiqua"/>
          <w:color w:val="000000"/>
        </w:rPr>
        <w:t xml:space="preserve"> </w:t>
      </w:r>
      <w:r w:rsidR="00360F03">
        <w:rPr>
          <w:rFonts w:ascii="Book Antiqua" w:eastAsia="Book Antiqua" w:hAnsi="Book Antiqua" w:cs="Book Antiqua"/>
          <w:color w:val="000000"/>
        </w:rPr>
        <w:t xml:space="preserve">the </w:t>
      </w:r>
      <w:r w:rsidR="00521142" w:rsidRPr="0049490E">
        <w:rPr>
          <w:rFonts w:ascii="Book Antiqua" w:eastAsia="Book Antiqua" w:hAnsi="Book Antiqua" w:cs="Book Antiqua"/>
          <w:color w:val="000000"/>
        </w:rPr>
        <w:t>southeastern and southern regions of Brazil</w:t>
      </w:r>
      <w:r w:rsidR="00107F58">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and</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84.1% were using immunomodulators and/or biologics. Most</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patients (55.1%) were at moderate risk, 23.4% were at highest risk and 21.5% were at lowest risk of COVID-19 complications.</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No association between the proportion of IBD patients at highest risk for COVID-19 complications and higher mortality rates was identified in different Brazilian states (</w:t>
      </w:r>
      <w:r w:rsidR="00521142" w:rsidRPr="0049490E">
        <w:rPr>
          <w:rFonts w:ascii="Book Antiqua" w:eastAsia="Book Antiqua" w:hAnsi="Book Antiqua" w:cs="Book Antiqua"/>
          <w:i/>
          <w:iCs/>
          <w:color w:val="000000"/>
        </w:rPr>
        <w:t>r</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w:t>
      </w:r>
      <w:r w:rsidR="00971786"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color w:val="000000"/>
        </w:rPr>
        <w:t>0.146</w:t>
      </w:r>
      <w:r w:rsidR="00131597" w:rsidRPr="0049490E">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w:t>
      </w:r>
      <w:r w:rsidR="00521142" w:rsidRPr="0049490E">
        <w:rPr>
          <w:rFonts w:ascii="Book Antiqua" w:eastAsia="Book Antiqua" w:hAnsi="Book Antiqua" w:cs="Book Antiqua"/>
          <w:i/>
          <w:iCs/>
          <w:color w:val="000000"/>
        </w:rPr>
        <w:t>P</w:t>
      </w:r>
      <w:r w:rsidR="00521142" w:rsidRPr="0049490E">
        <w:rPr>
          <w:rFonts w:ascii="Book Antiqua" w:eastAsia="Book Antiqua" w:hAnsi="Book Antiqua" w:cs="Book Antiqua"/>
          <w:color w:val="000000"/>
        </w:rPr>
        <w:t xml:space="preserve"> = 0.467).</w:t>
      </w:r>
    </w:p>
    <w:p w14:paraId="4EC28E09" w14:textId="77777777" w:rsidR="00A77B3E" w:rsidRPr="0049490E" w:rsidRDefault="00A77B3E" w:rsidP="0049490E">
      <w:pPr>
        <w:spacing w:line="360" w:lineRule="auto"/>
        <w:jc w:val="both"/>
        <w:rPr>
          <w:rFonts w:ascii="Book Antiqua" w:hAnsi="Book Antiqua"/>
        </w:rPr>
      </w:pPr>
    </w:p>
    <w:p w14:paraId="18CFDA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CONCLUSION</w:t>
      </w:r>
    </w:p>
    <w:p w14:paraId="790F2A10" w14:textId="2821F9EE"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lastRenderedPageBreak/>
        <w:t>This</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study indicates a</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distinct geographical distribution of IBD patients at highest risk for</w:t>
      </w:r>
      <w:r w:rsidR="0097178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COVID-19 complications in different states of the country, </w:t>
      </w:r>
      <w:r w:rsidR="00107F58">
        <w:rPr>
          <w:rFonts w:ascii="Book Antiqua" w:eastAsia="Book Antiqua" w:hAnsi="Book Antiqua" w:cs="Book Antiqua"/>
          <w:color w:val="000000"/>
        </w:rPr>
        <w:t>which</w:t>
      </w:r>
      <w:r w:rsidR="00107F58"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may reflect contrasting socioeconomic, educational and healthcare aspects. No association between high risk</w:t>
      </w:r>
      <w:r w:rsidR="00107F58">
        <w:rPr>
          <w:rFonts w:ascii="Book Antiqua" w:eastAsia="Book Antiqua" w:hAnsi="Book Antiqua" w:cs="Book Antiqua"/>
          <w:color w:val="000000"/>
        </w:rPr>
        <w:t xml:space="preserve"> of IBD</w:t>
      </w:r>
      <w:r w:rsidRPr="0049490E">
        <w:rPr>
          <w:rFonts w:ascii="Book Antiqua" w:eastAsia="Book Antiqua" w:hAnsi="Book Antiqua" w:cs="Book Antiqua"/>
          <w:color w:val="000000"/>
        </w:rPr>
        <w:t xml:space="preserve"> and COVID-related mortality rates was identified.</w:t>
      </w:r>
    </w:p>
    <w:p w14:paraId="55CD91D6" w14:textId="77777777" w:rsidR="00A77B3E" w:rsidRPr="0049490E" w:rsidRDefault="00A77B3E" w:rsidP="0049490E">
      <w:pPr>
        <w:spacing w:line="360" w:lineRule="auto"/>
        <w:jc w:val="both"/>
        <w:rPr>
          <w:rFonts w:ascii="Book Antiqua" w:hAnsi="Book Antiqua"/>
        </w:rPr>
      </w:pPr>
    </w:p>
    <w:p w14:paraId="4A60997B" w14:textId="3A7DD7B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Key Words: </w:t>
      </w:r>
      <w:r w:rsidRPr="0049490E">
        <w:rPr>
          <w:rFonts w:ascii="Book Antiqua" w:eastAsia="Book Antiqua" w:hAnsi="Book Antiqua" w:cs="Book Antiqua"/>
          <w:color w:val="000000"/>
        </w:rPr>
        <w:t xml:space="preserve">Crohn’s disease; Colitis, </w:t>
      </w:r>
      <w:r w:rsidR="00971786" w:rsidRPr="0049490E">
        <w:rPr>
          <w:rFonts w:ascii="Book Antiqua" w:eastAsia="Book Antiqua" w:hAnsi="Book Antiqua" w:cs="Book Antiqua"/>
          <w:color w:val="000000"/>
        </w:rPr>
        <w:t>U</w:t>
      </w:r>
      <w:r w:rsidRPr="0049490E">
        <w:rPr>
          <w:rFonts w:ascii="Book Antiqua" w:eastAsia="Book Antiqua" w:hAnsi="Book Antiqua" w:cs="Book Antiqua"/>
          <w:color w:val="000000"/>
        </w:rPr>
        <w:t xml:space="preserve">lcerative; COVID-19; </w:t>
      </w:r>
      <w:r w:rsidR="00971786" w:rsidRPr="0049490E">
        <w:rPr>
          <w:rFonts w:ascii="Book Antiqua" w:eastAsia="Book Antiqua" w:hAnsi="Book Antiqua" w:cs="Book Antiqua"/>
          <w:color w:val="000000"/>
        </w:rPr>
        <w:t xml:space="preserve">Inflammatory bowel disease; </w:t>
      </w:r>
      <w:r w:rsidRPr="0049490E">
        <w:rPr>
          <w:rFonts w:ascii="Book Antiqua" w:eastAsia="Book Antiqua" w:hAnsi="Book Antiqua" w:cs="Book Antiqua"/>
          <w:color w:val="000000"/>
        </w:rPr>
        <w:t>Brazil</w:t>
      </w:r>
    </w:p>
    <w:p w14:paraId="76ECDC3F" w14:textId="77777777" w:rsidR="00A77B3E" w:rsidRPr="0049490E" w:rsidRDefault="00A77B3E" w:rsidP="0049490E">
      <w:pPr>
        <w:spacing w:line="360" w:lineRule="auto"/>
        <w:jc w:val="both"/>
        <w:rPr>
          <w:rFonts w:ascii="Book Antiqua" w:hAnsi="Book Antiqua"/>
        </w:rPr>
      </w:pPr>
    </w:p>
    <w:p w14:paraId="77CA518C" w14:textId="08CA0A9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Queiroz NSF, Teixeira FV, Motta MP, Chebli LA, Hino AAF, Martins CA, Quaresma AB, da Silva AAP, Damião AOMC, Saad-Hossne R, Kotze PG. Risk stratification and geographical mapping of Brazilian inflammatory bowel disease patients during </w:t>
      </w:r>
      <w:r w:rsidR="00332A9E">
        <w:rPr>
          <w:rFonts w:ascii="Book Antiqua" w:eastAsia="Book Antiqua" w:hAnsi="Book Antiqua" w:cs="Book Antiqua"/>
          <w:color w:val="000000"/>
        </w:rPr>
        <w:t xml:space="preserve">the </w:t>
      </w:r>
      <w:r w:rsidRPr="0049490E">
        <w:rPr>
          <w:rFonts w:ascii="Book Antiqua" w:eastAsia="Book Antiqua" w:hAnsi="Book Antiqua" w:cs="Book Antiqua"/>
          <w:color w:val="000000"/>
        </w:rPr>
        <w:t xml:space="preserve">COVID-19 outbreak: Results from a nationwide survey. </w:t>
      </w:r>
      <w:r w:rsidRPr="0049490E">
        <w:rPr>
          <w:rFonts w:ascii="Book Antiqua" w:eastAsia="Book Antiqua" w:hAnsi="Book Antiqua" w:cs="Book Antiqua"/>
          <w:i/>
          <w:iCs/>
          <w:color w:val="000000"/>
        </w:rPr>
        <w:t>World J Gastroenterol</w:t>
      </w:r>
      <w:r w:rsidRPr="0049490E">
        <w:rPr>
          <w:rFonts w:ascii="Book Antiqua" w:eastAsia="Book Antiqua" w:hAnsi="Book Antiqua" w:cs="Book Antiqua"/>
          <w:color w:val="000000"/>
        </w:rPr>
        <w:t xml:space="preserve"> 2021; In press</w:t>
      </w:r>
    </w:p>
    <w:p w14:paraId="27A76105" w14:textId="77777777" w:rsidR="00A77B3E" w:rsidRPr="0049490E" w:rsidRDefault="00A77B3E" w:rsidP="0049490E">
      <w:pPr>
        <w:spacing w:line="360" w:lineRule="auto"/>
        <w:jc w:val="both"/>
        <w:rPr>
          <w:rFonts w:ascii="Book Antiqua" w:hAnsi="Book Antiqua"/>
        </w:rPr>
      </w:pPr>
    </w:p>
    <w:p w14:paraId="5B41CBB7" w14:textId="24A892B2"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Core Tip: </w:t>
      </w:r>
      <w:r w:rsidRPr="0049490E">
        <w:rPr>
          <w:rFonts w:ascii="Book Antiqua" w:eastAsia="Book Antiqua" w:hAnsi="Book Antiqua" w:cs="Book Antiqua"/>
          <w:color w:val="000000"/>
        </w:rPr>
        <w:t xml:space="preserve">The </w:t>
      </w:r>
      <w:r w:rsidR="00971786" w:rsidRPr="0049490E">
        <w:rPr>
          <w:rFonts w:ascii="Book Antiqua" w:eastAsia="Book Antiqua" w:hAnsi="Book Antiqua" w:cs="Book Antiqua"/>
          <w:color w:val="000000"/>
        </w:rPr>
        <w:t>coronavirus disease 2019</w:t>
      </w:r>
      <w:r w:rsidRPr="0049490E">
        <w:rPr>
          <w:rFonts w:ascii="Book Antiqua" w:eastAsia="Book Antiqua" w:hAnsi="Book Antiqua" w:cs="Book Antiqua"/>
          <w:color w:val="000000"/>
        </w:rPr>
        <w:t xml:space="preserve"> pandemic is still evolving globally, and Brazil is currently one of the most affected countries. The Brazilian </w:t>
      </w:r>
      <w:r w:rsidR="002D4C30" w:rsidRPr="0049490E">
        <w:rPr>
          <w:rFonts w:ascii="Book Antiqua" w:eastAsia="Book Antiqua" w:hAnsi="Book Antiqua" w:cs="Book Antiqua"/>
          <w:color w:val="000000"/>
        </w:rPr>
        <w:t>Inflammatory Bowel Diseases</w:t>
      </w:r>
      <w:r w:rsidRPr="0049490E">
        <w:rPr>
          <w:rFonts w:ascii="Book Antiqua" w:eastAsia="Book Antiqua" w:hAnsi="Book Antiqua" w:cs="Book Antiqua"/>
          <w:color w:val="000000"/>
        </w:rPr>
        <w:t xml:space="preserve"> Study Group developed a web-based survey of 3568 patients that was adapted from the guidelines of the British Society of Gastroenterology. This study indicates a distinct geographical distribution of patients with </w:t>
      </w:r>
      <w:r w:rsidR="002D4C30" w:rsidRPr="0049490E">
        <w:rPr>
          <w:rFonts w:ascii="Book Antiqua" w:eastAsia="Book Antiqua" w:hAnsi="Book Antiqua" w:cs="Book Antiqua"/>
          <w:color w:val="000000"/>
        </w:rPr>
        <w:t>inflammatory bowel disease</w:t>
      </w:r>
      <w:r w:rsidRPr="0049490E">
        <w:rPr>
          <w:rFonts w:ascii="Book Antiqua" w:eastAsia="Book Antiqua" w:hAnsi="Book Antiqua" w:cs="Book Antiqua"/>
          <w:color w:val="000000"/>
        </w:rPr>
        <w:t xml:space="preserve"> at higher risk for </w:t>
      </w:r>
      <w:r w:rsidR="00332A9E" w:rsidRPr="0049490E">
        <w:rPr>
          <w:rFonts w:ascii="Book Antiqua" w:eastAsia="Book Antiqua" w:hAnsi="Book Antiqua" w:cs="Book Antiqua"/>
          <w:color w:val="000000"/>
        </w:rPr>
        <w:t xml:space="preserve">coronavirus disease 2019 </w:t>
      </w:r>
      <w:r w:rsidRPr="0049490E">
        <w:rPr>
          <w:rFonts w:ascii="Book Antiqua" w:eastAsia="Book Antiqua" w:hAnsi="Book Antiqua" w:cs="Book Antiqua"/>
          <w:color w:val="000000"/>
        </w:rPr>
        <w:t xml:space="preserve">complications in different states of the country, which may reflect contrasting socioeconomic, educational and health aspects. No association between high risk and </w:t>
      </w:r>
      <w:r w:rsidR="00332A9E" w:rsidRPr="0049490E">
        <w:rPr>
          <w:rFonts w:ascii="Book Antiqua" w:eastAsia="Book Antiqua" w:hAnsi="Book Antiqua" w:cs="Book Antiqua"/>
          <w:color w:val="000000"/>
        </w:rPr>
        <w:t>coronavirus disease 2019</w:t>
      </w:r>
      <w:r w:rsidRPr="0049490E">
        <w:rPr>
          <w:rFonts w:ascii="Book Antiqua" w:eastAsia="Book Antiqua" w:hAnsi="Book Antiqua" w:cs="Book Antiqua"/>
          <w:color w:val="000000"/>
        </w:rPr>
        <w:t>-related mortality rates has been identified.</w:t>
      </w:r>
    </w:p>
    <w:p w14:paraId="232FBABF" w14:textId="6B5AB5E6" w:rsidR="00A77B3E" w:rsidRPr="0049490E" w:rsidRDefault="002D4C30" w:rsidP="0049490E">
      <w:pPr>
        <w:spacing w:line="360" w:lineRule="auto"/>
        <w:jc w:val="both"/>
        <w:rPr>
          <w:rFonts w:ascii="Book Antiqua" w:hAnsi="Book Antiqua"/>
        </w:rPr>
      </w:pPr>
      <w:r w:rsidRPr="0049490E">
        <w:rPr>
          <w:rFonts w:ascii="Book Antiqua" w:hAnsi="Book Antiqua"/>
        </w:rPr>
        <w:br w:type="page"/>
      </w:r>
      <w:r w:rsidR="00521142" w:rsidRPr="0049490E">
        <w:rPr>
          <w:rFonts w:ascii="Book Antiqua" w:eastAsia="Book Antiqua" w:hAnsi="Book Antiqua" w:cs="Book Antiqua"/>
          <w:b/>
          <w:caps/>
          <w:color w:val="000000"/>
          <w:u w:val="single"/>
        </w:rPr>
        <w:lastRenderedPageBreak/>
        <w:t>INTRODUCTION</w:t>
      </w:r>
    </w:p>
    <w:p w14:paraId="791BEF46" w14:textId="7414FB9F"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World Health Organization declared coronavirus disease 2019 (COVID-19) a pandemic on March 11, 2020. Although many countries are already registering a reduction in the incidence of infections and starting vaccination programs, Brazil is currently one of the leaders in the world on a daily basis for both numbers of new cases and deaths. As of November 28, 2020, we have confirmed 6238250 infected patients and 171998 COVID-related deaths</w:t>
      </w:r>
      <w:r w:rsidRPr="0049490E">
        <w:rPr>
          <w:rFonts w:ascii="Book Antiqua" w:eastAsia="Book Antiqua" w:hAnsi="Book Antiqua" w:cs="Book Antiqua"/>
          <w:color w:val="000000"/>
          <w:vertAlign w:val="superscript"/>
        </w:rPr>
        <w:t>[1]</w:t>
      </w:r>
      <w:r w:rsidRPr="0049490E">
        <w:rPr>
          <w:rFonts w:ascii="Book Antiqua" w:eastAsia="Book Antiqua" w:hAnsi="Book Antiqua" w:cs="Book Antiqua"/>
          <w:color w:val="000000"/>
        </w:rPr>
        <w:t>.</w:t>
      </w:r>
    </w:p>
    <w:p w14:paraId="3FB751FB" w14:textId="370FAEA0"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Available data suggests that patients with</w:t>
      </w:r>
      <w:r w:rsidR="002D4C30" w:rsidRPr="0049490E">
        <w:rPr>
          <w:rFonts w:ascii="Book Antiqua" w:eastAsia="Book Antiqua" w:hAnsi="Book Antiqua" w:cs="Book Antiqua"/>
          <w:color w:val="000000"/>
        </w:rPr>
        <w:t xml:space="preserve"> inflammatory bowel di</w:t>
      </w:r>
      <w:r w:rsidRPr="0049490E">
        <w:rPr>
          <w:rFonts w:ascii="Book Antiqua" w:eastAsia="Book Antiqua" w:hAnsi="Book Antiqua" w:cs="Book Antiqua"/>
          <w:color w:val="000000"/>
        </w:rPr>
        <w:t>sease (IBD) are not at a higher risk</w:t>
      </w:r>
      <w:r w:rsidR="005243C8"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for </w:t>
      </w:r>
      <w:r w:rsidR="002D4C30"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infection or the development of COVID-19 complications</w:t>
      </w:r>
      <w:r w:rsidRPr="0049490E">
        <w:rPr>
          <w:rFonts w:ascii="Book Antiqua" w:eastAsia="Book Antiqua" w:hAnsi="Book Antiqua" w:cs="Book Antiqua"/>
          <w:color w:val="000000"/>
          <w:vertAlign w:val="superscript"/>
        </w:rPr>
        <w:t>[2]</w:t>
      </w:r>
      <w:r w:rsidRPr="0049490E">
        <w:rPr>
          <w:rFonts w:ascii="Book Antiqua" w:eastAsia="Book Antiqua" w:hAnsi="Book Antiqua" w:cs="Book Antiqua"/>
          <w:color w:val="000000"/>
        </w:rPr>
        <w:t>.</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Moreover, the evolution of COVID-19 does not seem to be worse in patients with IBD, irrespective of their treatment. A recent analysis of 525 IBD patients from the</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Surveillance Epidemiology of Coronavirus Under Research Exclusion for Inflammatory Bowel Disease revealed that increasing age, comorbidities and corticosteroids are associated with worse outcomes of COVID-19 and that treatment with tumor necrosis factor inhibitors (TNFi) was not associated with severe COVID-19. The number of reported patients exposed to other medical options was insufficient to drive conclusions regarding risk for severe outcomes in this population</w:t>
      </w:r>
      <w:r w:rsidRPr="0049490E">
        <w:rPr>
          <w:rFonts w:ascii="Book Antiqua" w:eastAsia="Book Antiqua" w:hAnsi="Book Antiqua" w:cs="Book Antiqua"/>
          <w:color w:val="000000"/>
          <w:vertAlign w:val="superscript"/>
        </w:rPr>
        <w:t>[3]</w:t>
      </w:r>
      <w:r w:rsidRPr="0049490E">
        <w:rPr>
          <w:rFonts w:ascii="Book Antiqua" w:eastAsia="Book Antiqua" w:hAnsi="Book Antiqua" w:cs="Book Antiqua"/>
          <w:color w:val="000000"/>
        </w:rPr>
        <w:t xml:space="preserve">. Recently, another report from the </w:t>
      </w:r>
      <w:r w:rsidR="008A63B7" w:rsidRPr="0049490E">
        <w:rPr>
          <w:rFonts w:ascii="Book Antiqua" w:eastAsia="Book Antiqua" w:hAnsi="Book Antiqua" w:cs="Book Antiqua"/>
          <w:color w:val="000000"/>
        </w:rPr>
        <w:t>Surveillance Epidemiology of Coronavirus Under Research Exclusion for Inflammatory Bowel Disease</w:t>
      </w:r>
      <w:r w:rsidRPr="0049490E">
        <w:rPr>
          <w:rFonts w:ascii="Book Antiqua" w:eastAsia="Book Antiqua" w:hAnsi="Book Antiqua" w:cs="Book Antiqua"/>
          <w:color w:val="000000"/>
        </w:rPr>
        <w:t xml:space="preserve"> registry aimed to evaluate the association of IBD medications and their combinations on the risk of adverse COVID-19 outcomes. Based on data from over 1400 IBD patients, it was demonstrated that the combination of thiopurines with TNFi </w:t>
      </w:r>
      <w:r w:rsidR="005243C8" w:rsidRPr="0049490E">
        <w:rPr>
          <w:rFonts w:ascii="Book Antiqua" w:eastAsia="Book Antiqua" w:hAnsi="Book Antiqua" w:cs="Book Antiqua"/>
          <w:color w:val="000000"/>
        </w:rPr>
        <w:t>and thiopurine monotherapy are</w:t>
      </w:r>
      <w:r w:rsidRPr="0049490E">
        <w:rPr>
          <w:rFonts w:ascii="Book Antiqua" w:eastAsia="Book Antiqua" w:hAnsi="Book Antiqua" w:cs="Book Antiqua"/>
          <w:color w:val="000000"/>
        </w:rPr>
        <w:t xml:space="preserve"> associated with </w:t>
      </w:r>
      <w:r w:rsidR="00A05BAD">
        <w:rPr>
          <w:rFonts w:ascii="Book Antiqua" w:eastAsia="Book Antiqua" w:hAnsi="Book Antiqua" w:cs="Book Antiqua"/>
          <w:color w:val="000000"/>
        </w:rPr>
        <w:t xml:space="preserve">a </w:t>
      </w:r>
      <w:r w:rsidRPr="0049490E">
        <w:rPr>
          <w:rFonts w:ascii="Book Antiqua" w:eastAsia="Book Antiqua" w:hAnsi="Book Antiqua" w:cs="Book Antiqua"/>
          <w:color w:val="000000"/>
        </w:rPr>
        <w:t xml:space="preserve">significantly increased risk of severe COVID-19 as compared with TNFi monotherapy. Anti-interleukins and anti-integrins were not associated with </w:t>
      </w:r>
      <w:r w:rsidR="00A05BAD">
        <w:rPr>
          <w:rFonts w:ascii="Book Antiqua" w:eastAsia="Book Antiqua" w:hAnsi="Book Antiqua" w:cs="Book Antiqua"/>
          <w:color w:val="000000"/>
        </w:rPr>
        <w:t xml:space="preserve">a </w:t>
      </w:r>
      <w:r w:rsidRPr="0049490E">
        <w:rPr>
          <w:rFonts w:ascii="Book Antiqua" w:eastAsia="Book Antiqua" w:hAnsi="Book Antiqua" w:cs="Book Antiqua"/>
          <w:color w:val="000000"/>
        </w:rPr>
        <w:t>significantly different risk than TNFi monotherapy</w:t>
      </w:r>
      <w:r w:rsidRPr="0049490E">
        <w:rPr>
          <w:rFonts w:ascii="Book Antiqua" w:eastAsia="Book Antiqua" w:hAnsi="Book Antiqua" w:cs="Book Antiqua"/>
          <w:color w:val="000000"/>
          <w:vertAlign w:val="superscript"/>
        </w:rPr>
        <w:t>[4]</w:t>
      </w:r>
      <w:r w:rsidRPr="0049490E">
        <w:rPr>
          <w:rFonts w:ascii="Book Antiqua" w:eastAsia="Book Antiqua" w:hAnsi="Book Antiqua" w:cs="Book Antiqua"/>
          <w:color w:val="000000"/>
        </w:rPr>
        <w:t>. Regardless of the risk of IBD medications, it is noteworthy that maintaining patients in remission with steroid-sparing treatments may be crucial during the pandemic period.</w:t>
      </w:r>
    </w:p>
    <w:p w14:paraId="76D0E644" w14:textId="03121DD1"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As the effect of immunosuppressive agents in IBD patients remains unclear during the pandemic,</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the British Society of Gastroenterology has issued guidance on risk stratification for IBD patients depending on medications in use, age, comorbidities and </w:t>
      </w:r>
      <w:r w:rsidRPr="0049490E">
        <w:rPr>
          <w:rFonts w:ascii="Book Antiqua" w:eastAsia="Book Antiqua" w:hAnsi="Book Antiqua" w:cs="Book Antiqua"/>
          <w:color w:val="000000"/>
        </w:rPr>
        <w:lastRenderedPageBreak/>
        <w:t>other risk factors</w:t>
      </w:r>
      <w:r w:rsidRPr="0049490E">
        <w:rPr>
          <w:rFonts w:ascii="Book Antiqua" w:eastAsia="Book Antiqua" w:hAnsi="Book Antiqua" w:cs="Book Antiqua"/>
          <w:color w:val="000000"/>
          <w:vertAlign w:val="superscript"/>
        </w:rPr>
        <w:t>[5]</w:t>
      </w:r>
      <w:r w:rsidRPr="0049490E">
        <w:rPr>
          <w:rFonts w:ascii="Book Antiqua" w:eastAsia="Book Antiqua" w:hAnsi="Book Antiqua" w:cs="Book Antiqua"/>
          <w:color w:val="000000"/>
        </w:rPr>
        <w:t>. Patients at highest risk for COVID-related complications are those who have a comorbidity and/or are over 70</w:t>
      </w:r>
      <w:r w:rsidR="004549C2">
        <w:rPr>
          <w:rFonts w:ascii="Book Antiqua" w:eastAsia="Book Antiqua" w:hAnsi="Book Antiqua" w:cs="Book Antiqua"/>
          <w:color w:val="000000"/>
        </w:rPr>
        <w:t>-</w:t>
      </w:r>
      <w:r w:rsidRPr="0049490E">
        <w:rPr>
          <w:rFonts w:ascii="Book Antiqua" w:eastAsia="Book Antiqua" w:hAnsi="Book Antiqua" w:cs="Book Antiqua"/>
          <w:color w:val="000000"/>
        </w:rPr>
        <w:t>years</w:t>
      </w:r>
      <w:r w:rsidR="004549C2">
        <w:rPr>
          <w:rFonts w:ascii="Book Antiqua" w:eastAsia="Book Antiqua" w:hAnsi="Book Antiqua" w:cs="Book Antiqua"/>
          <w:color w:val="000000"/>
        </w:rPr>
        <w:t>-</w:t>
      </w:r>
      <w:r w:rsidRPr="0049490E">
        <w:rPr>
          <w:rFonts w:ascii="Book Antiqua" w:eastAsia="Book Antiqua" w:hAnsi="Book Antiqua" w:cs="Book Antiqua"/>
          <w:color w:val="000000"/>
        </w:rPr>
        <w:t>old and are on any immunosuppressant therapy for IBD.</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Those of any age that are receiving ≥</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20 mg of prednisolone, undergoing new induction therapy with biologics and immunomodulators (combination therapy) within 6 wk with moderate to severe active disease with short gut syndrome or patients requiring parenteral nutrition are also considered at highest risk for severe COVID-19 outcomes. Patients receiving biological therapy, thiopurines, calcineurin inhibitors, Janus kinase inhibitors or combination therapy are stratified as moderate risk and the remaining IBD patients as lowest risk. Depending on the risk stratification, recommendations can be suggested. Patients at highest risk are advised to self-isolate, while patients </w:t>
      </w:r>
      <w:r w:rsidR="008B2F30">
        <w:rPr>
          <w:rFonts w:ascii="Book Antiqua" w:eastAsia="Book Antiqua" w:hAnsi="Book Antiqua" w:cs="Book Antiqua"/>
          <w:color w:val="000000"/>
        </w:rPr>
        <w:t>at</w:t>
      </w:r>
      <w:r w:rsidR="008B2F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moderate risk or lowest risk should follow strict social distancing or social distancing as for </w:t>
      </w:r>
      <w:r w:rsidR="008B2F30">
        <w:rPr>
          <w:rFonts w:ascii="Book Antiqua" w:eastAsia="Book Antiqua" w:hAnsi="Book Antiqua" w:cs="Book Antiqua"/>
          <w:color w:val="000000"/>
        </w:rPr>
        <w:t xml:space="preserve">the </w:t>
      </w:r>
      <w:r w:rsidRPr="0049490E">
        <w:rPr>
          <w:rFonts w:ascii="Book Antiqua" w:eastAsia="Book Antiqua" w:hAnsi="Book Antiqua" w:cs="Book Antiqua"/>
          <w:color w:val="000000"/>
        </w:rPr>
        <w:t>general population, respectively. Specific guidance on instructions for self-isolation (shielding education) and social distancing measures to reduce spread of the disease within the population and to protect vulnerable groups has been recently issued</w:t>
      </w:r>
      <w:r w:rsidRPr="0049490E">
        <w:rPr>
          <w:rFonts w:ascii="Book Antiqua" w:eastAsia="Book Antiqua" w:hAnsi="Book Antiqua" w:cs="Book Antiqua"/>
          <w:color w:val="000000"/>
          <w:vertAlign w:val="superscript"/>
        </w:rPr>
        <w:t>[6]</w:t>
      </w:r>
      <w:r w:rsidRPr="0049490E">
        <w:rPr>
          <w:rFonts w:ascii="Book Antiqua" w:eastAsia="Book Antiqua" w:hAnsi="Book Antiqua" w:cs="Book Antiqua"/>
          <w:color w:val="000000"/>
        </w:rPr>
        <w:t>.</w:t>
      </w:r>
    </w:p>
    <w:p w14:paraId="471EC7F9" w14:textId="0B0C7324"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In order to identify Brazilian IBD patients who could be at high risk for COVID-19 complications, a taskforce group from the Brazilian IBD Study Group (Grupo de Estudos da Doença Inflamatória Intestinal do Brasil</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GEDIIB) developed an anonymous web-based survey that allows self-identification risk assessment adapted from the </w:t>
      </w:r>
      <w:r w:rsidR="005078D9" w:rsidRPr="0049490E">
        <w:rPr>
          <w:rFonts w:ascii="Book Antiqua" w:eastAsia="Book Antiqua" w:hAnsi="Book Antiqua" w:cs="Book Antiqua"/>
          <w:color w:val="000000"/>
        </w:rPr>
        <w:t>British Society of Gastroenterology</w:t>
      </w:r>
      <w:r w:rsidRPr="0049490E">
        <w:rPr>
          <w:rFonts w:ascii="Book Antiqua" w:eastAsia="Book Antiqua" w:hAnsi="Book Antiqua" w:cs="Book Antiqua"/>
          <w:color w:val="000000"/>
        </w:rPr>
        <w:t xml:space="preserve"> guid</w:t>
      </w:r>
      <w:r w:rsidR="008B2F30">
        <w:rPr>
          <w:rFonts w:ascii="Book Antiqua" w:eastAsia="Book Antiqua" w:hAnsi="Book Antiqua" w:cs="Book Antiqua"/>
          <w:color w:val="000000"/>
        </w:rPr>
        <w:t>elines</w:t>
      </w:r>
      <w:r w:rsidRPr="0049490E">
        <w:rPr>
          <w:rFonts w:ascii="Book Antiqua" w:eastAsia="Book Antiqua" w:hAnsi="Book Antiqua" w:cs="Book Antiqua"/>
          <w:color w:val="000000"/>
        </w:rPr>
        <w:t xml:space="preserve">. Through a decision tree, patients were self-identified into different groups according to their risk </w:t>
      </w:r>
      <w:r w:rsidR="008B2F30">
        <w:rPr>
          <w:rFonts w:ascii="Book Antiqua" w:eastAsia="Book Antiqua" w:hAnsi="Book Antiqua" w:cs="Book Antiqua"/>
          <w:color w:val="000000"/>
        </w:rPr>
        <w:t>of</w:t>
      </w:r>
      <w:r w:rsidR="008B2F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develop</w:t>
      </w:r>
      <w:r w:rsidR="008B2F30">
        <w:rPr>
          <w:rFonts w:ascii="Book Antiqua" w:eastAsia="Book Antiqua" w:hAnsi="Book Antiqua" w:cs="Book Antiqua"/>
          <w:color w:val="000000"/>
        </w:rPr>
        <w:t>ing</w:t>
      </w:r>
      <w:r w:rsidRPr="0049490E">
        <w:rPr>
          <w:rFonts w:ascii="Book Antiqua" w:eastAsia="Book Antiqua" w:hAnsi="Book Antiqua" w:cs="Book Antiqua"/>
          <w:color w:val="000000"/>
        </w:rPr>
        <w:t xml:space="preserve"> COVID-19 complications and receive</w:t>
      </w:r>
      <w:r w:rsidR="00BB2AA0">
        <w:rPr>
          <w:rFonts w:ascii="Book Antiqua" w:eastAsia="Book Antiqua" w:hAnsi="Book Antiqua" w:cs="Book Antiqua"/>
          <w:color w:val="000000"/>
        </w:rPr>
        <w:t>d</w:t>
      </w:r>
      <w:r w:rsidRPr="0049490E">
        <w:rPr>
          <w:rFonts w:ascii="Book Antiqua" w:eastAsia="Book Antiqua" w:hAnsi="Book Antiqua" w:cs="Book Antiqua"/>
          <w:color w:val="000000"/>
        </w:rPr>
        <w:t xml:space="preserve"> updated information according to their respective group (Table 1).</w:t>
      </w:r>
    </w:p>
    <w:p w14:paraId="02EA6C4F" w14:textId="77A9EED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Currently, Brazil still has one of the fastest growing </w:t>
      </w:r>
      <w:r w:rsidR="008A63B7"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outbreaks in the world with one of the highest mortality rates, just behind the United States. Given that a higher absolute number of deaths in the context of an epidemic may reflect</w:t>
      </w:r>
      <w:r w:rsidR="00127DBC">
        <w:rPr>
          <w:rFonts w:ascii="Book Antiqua" w:eastAsia="Book Antiqua" w:hAnsi="Book Antiqua" w:cs="Book Antiqua"/>
          <w:color w:val="000000"/>
        </w:rPr>
        <w:t xml:space="preserve"> a</w:t>
      </w:r>
      <w:r w:rsidRPr="0049490E">
        <w:rPr>
          <w:rFonts w:ascii="Book Antiqua" w:eastAsia="Book Antiqua" w:hAnsi="Book Antiqua" w:cs="Book Antiqua"/>
          <w:color w:val="000000"/>
        </w:rPr>
        <w:t xml:space="preserve"> strained healthcare system and economy, mapping IBD patients at highest risk for COVID-19 complications could help public authorities to delineate protection strategies to this possibly vulnerable population. Our study aimed to assess </w:t>
      </w:r>
      <w:r w:rsidRPr="0049490E">
        <w:rPr>
          <w:rFonts w:ascii="Book Antiqua" w:eastAsia="Book Antiqua" w:hAnsi="Book Antiqua" w:cs="Book Antiqua"/>
          <w:color w:val="000000"/>
        </w:rPr>
        <w:lastRenderedPageBreak/>
        <w:t>geographical distribution of IBD patients at highest risk and correlate these data</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with COVID-19 mortality rates in different states of Brazil.</w:t>
      </w:r>
    </w:p>
    <w:p w14:paraId="7649C5CC" w14:textId="77777777" w:rsidR="00A77B3E" w:rsidRPr="0049490E" w:rsidRDefault="00A77B3E" w:rsidP="0049490E">
      <w:pPr>
        <w:spacing w:line="360" w:lineRule="auto"/>
        <w:jc w:val="both"/>
        <w:rPr>
          <w:rFonts w:ascii="Book Antiqua" w:hAnsi="Book Antiqua"/>
        </w:rPr>
      </w:pPr>
    </w:p>
    <w:p w14:paraId="07361EA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MATERIALS AND METHODS</w:t>
      </w:r>
    </w:p>
    <w:p w14:paraId="424364C1" w14:textId="5B623A80"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 xml:space="preserve">Data </w:t>
      </w:r>
      <w:r w:rsidR="002D4C30" w:rsidRPr="0049490E">
        <w:rPr>
          <w:rFonts w:ascii="Book Antiqua" w:eastAsia="Book Antiqua" w:hAnsi="Book Antiqua" w:cs="Book Antiqua"/>
          <w:b/>
          <w:bCs/>
          <w:i/>
          <w:iCs/>
          <w:color w:val="000000"/>
        </w:rPr>
        <w:t>collection and pa</w:t>
      </w:r>
      <w:r w:rsidRPr="0049490E">
        <w:rPr>
          <w:rFonts w:ascii="Book Antiqua" w:eastAsia="Book Antiqua" w:hAnsi="Book Antiqua" w:cs="Book Antiqua"/>
          <w:b/>
          <w:bCs/>
          <w:i/>
          <w:iCs/>
          <w:color w:val="000000"/>
        </w:rPr>
        <w:t>rticipants</w:t>
      </w:r>
    </w:p>
    <w:p w14:paraId="2E7D29C3" w14:textId="254F4B3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GEDIIB COVID taskforce members in collaboration with experts in the field developed a questionnaire and established a decision tree to evaluate IBD patients pertaining to their risk</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of serious complications from COVID-19.</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national survey was available on the website &lt;diicovid.com.br</w:t>
      </w:r>
      <w:r w:rsidRPr="0049490E">
        <w:rPr>
          <w:rFonts w:ascii="Book Antiqua" w:eastAsia="Book Antiqua" w:hAnsi="Book Antiqua" w:cs="Book Antiqua"/>
          <w:i/>
          <w:iCs/>
          <w:color w:val="000000"/>
        </w:rPr>
        <w:t>&gt;</w:t>
      </w:r>
      <w:r w:rsidRPr="0049490E">
        <w:rPr>
          <w:rFonts w:ascii="Book Antiqua" w:eastAsia="Book Antiqua" w:hAnsi="Book Antiqua" w:cs="Book Antiqua"/>
          <w:color w:val="000000"/>
        </w:rPr>
        <w:t xml:space="preserve">. Data was collected from April 14, 2020 to June 2, 2020. An informative article concerning this survey was posted at the official GEDIIB website, official mailing lists for patients and in national IBD patient association communication medias. All identified erroneous reports were removed </w:t>
      </w:r>
      <w:r w:rsidR="00A16E64">
        <w:rPr>
          <w:rFonts w:ascii="Book Antiqua" w:eastAsia="Book Antiqua" w:hAnsi="Book Antiqua" w:cs="Book Antiqua"/>
          <w:color w:val="000000"/>
        </w:rPr>
        <w:t>for</w:t>
      </w:r>
      <w:r w:rsidR="00A16E64"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higher accuracy of the data.</w:t>
      </w:r>
    </w:p>
    <w:p w14:paraId="12B7FC07" w14:textId="6B6D1212"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The questionnaire consisted of fourteen questions (Supplementary </w:t>
      </w:r>
      <w:r w:rsidR="002D4C30" w:rsidRPr="0049490E">
        <w:rPr>
          <w:rFonts w:ascii="Book Antiqua" w:eastAsia="Book Antiqua" w:hAnsi="Book Antiqua" w:cs="Book Antiqua"/>
          <w:color w:val="000000"/>
        </w:rPr>
        <w:t>T</w:t>
      </w:r>
      <w:r w:rsidRPr="0049490E">
        <w:rPr>
          <w:rFonts w:ascii="Book Antiqua" w:eastAsia="Book Antiqua" w:hAnsi="Book Antiqua" w:cs="Book Antiqua"/>
          <w:color w:val="000000"/>
        </w:rPr>
        <w:t>able 1). The included categories were demographic data (state and city of residence in Brazil, age, sex, smoking status) and questions related to the risk factors for</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2D4C30"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in IBD populations according to current previously published guidance</w:t>
      </w:r>
      <w:r w:rsidRPr="0049490E">
        <w:rPr>
          <w:rFonts w:ascii="Book Antiqua" w:eastAsia="Book Antiqua" w:hAnsi="Book Antiqua" w:cs="Book Antiqua"/>
          <w:color w:val="000000"/>
          <w:vertAlign w:val="superscript"/>
        </w:rPr>
        <w:t>[5,6]</w:t>
      </w:r>
      <w:r w:rsidRPr="0049490E">
        <w:rPr>
          <w:rFonts w:ascii="Book Antiqua" w:eastAsia="Book Antiqua" w:hAnsi="Book Antiqua" w:cs="Book Antiqua"/>
          <w:color w:val="000000"/>
        </w:rPr>
        <w:t xml:space="preserve">. The questions included IBD medications in use, self-reported comorbidities (hypertension, diabetes, cardiovascular disease and chronic pulmonary disease) and abdominal surgery for IBD performed in the past 30 d. Through a decision tree, patients were categorized as highest, moderate or lowest individual risk </w:t>
      </w:r>
      <w:r w:rsidR="00A16E64">
        <w:rPr>
          <w:rFonts w:ascii="Book Antiqua" w:eastAsia="Book Antiqua" w:hAnsi="Book Antiqua" w:cs="Book Antiqua"/>
          <w:color w:val="000000"/>
        </w:rPr>
        <w:t>for</w:t>
      </w:r>
      <w:r w:rsidRPr="0049490E">
        <w:rPr>
          <w:rFonts w:ascii="Book Antiqua" w:eastAsia="Book Antiqua" w:hAnsi="Book Antiqua" w:cs="Book Antiqua"/>
          <w:color w:val="000000"/>
        </w:rPr>
        <w:t xml:space="preserve"> the potential to</w:t>
      </w:r>
      <w:r w:rsidR="00A16E64">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shd w:val="clear" w:color="auto" w:fill="FFFFFF"/>
        </w:rPr>
        <w:t>develop serious complications from COVID-19 and</w:t>
      </w:r>
      <w:r w:rsidR="002D4C30"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received updated r</w:t>
      </w:r>
      <w:r w:rsidRPr="0049490E">
        <w:rPr>
          <w:rFonts w:ascii="Book Antiqua" w:eastAsia="Book Antiqua" w:hAnsi="Book Antiqua" w:cs="Book Antiqua"/>
          <w:color w:val="000000"/>
          <w:shd w:val="clear" w:color="auto" w:fill="FFFFFF"/>
        </w:rPr>
        <w:t>ecommendations according to their risk level. Respondents were distributed according to their respective domiciliary states.</w:t>
      </w:r>
    </w:p>
    <w:p w14:paraId="374C5862" w14:textId="525B1BFF" w:rsidR="00A77B3E" w:rsidRPr="0049490E" w:rsidRDefault="00521142" w:rsidP="0049490E">
      <w:pPr>
        <w:spacing w:line="360" w:lineRule="auto"/>
        <w:ind w:firstLineChars="100" w:firstLine="240"/>
        <w:jc w:val="both"/>
        <w:rPr>
          <w:rFonts w:ascii="Book Antiqua" w:eastAsia="Book Antiqua" w:hAnsi="Book Antiqua" w:cs="Book Antiqua"/>
          <w:color w:val="000000"/>
          <w:shd w:val="clear" w:color="auto" w:fill="FFFFFF"/>
        </w:rPr>
      </w:pPr>
      <w:r w:rsidRPr="0049490E">
        <w:rPr>
          <w:rFonts w:ascii="Book Antiqua" w:eastAsia="Book Antiqua" w:hAnsi="Book Antiqua" w:cs="Book Antiqua"/>
          <w:color w:val="000000"/>
          <w:shd w:val="clear" w:color="auto" w:fill="FFFFFF"/>
        </w:rPr>
        <w:t xml:space="preserve">States of the national federation with </w:t>
      </w:r>
      <w:r w:rsidR="00550544">
        <w:rPr>
          <w:rFonts w:ascii="Book Antiqua" w:eastAsia="Book Antiqua" w:hAnsi="Book Antiqua" w:cs="Book Antiqua"/>
          <w:color w:val="000000"/>
          <w:shd w:val="clear" w:color="auto" w:fill="FFFFFF"/>
        </w:rPr>
        <w:t xml:space="preserve">a </w:t>
      </w:r>
      <w:r w:rsidRPr="0049490E">
        <w:rPr>
          <w:rFonts w:ascii="Book Antiqua" w:eastAsia="Book Antiqua" w:hAnsi="Book Antiqua" w:cs="Book Antiqua"/>
          <w:color w:val="000000"/>
          <w:shd w:val="clear" w:color="auto" w:fill="FFFFFF"/>
        </w:rPr>
        <w:t xml:space="preserve">proportion of respondents at </w:t>
      </w:r>
      <w:r w:rsidR="00550544">
        <w:rPr>
          <w:rFonts w:ascii="Book Antiqua" w:eastAsia="Book Antiqua" w:hAnsi="Book Antiqua" w:cs="Book Antiqua"/>
          <w:color w:val="000000"/>
          <w:shd w:val="clear" w:color="auto" w:fill="FFFFFF"/>
        </w:rPr>
        <w:t xml:space="preserve">the </w:t>
      </w:r>
      <w:r w:rsidRPr="0049490E">
        <w:rPr>
          <w:rFonts w:ascii="Book Antiqua" w:eastAsia="Book Antiqua" w:hAnsi="Book Antiqua" w:cs="Book Antiqua"/>
          <w:color w:val="000000"/>
          <w:shd w:val="clear" w:color="auto" w:fill="FFFFFF"/>
        </w:rPr>
        <w:t xml:space="preserve">highest risk for COVID-19 infection </w:t>
      </w:r>
      <w:r w:rsidR="00550544">
        <w:rPr>
          <w:rFonts w:ascii="Book Antiqua" w:eastAsia="Book Antiqua" w:hAnsi="Book Antiqua" w:cs="Book Antiqua"/>
          <w:color w:val="000000"/>
          <w:shd w:val="clear" w:color="auto" w:fill="FFFFFF"/>
        </w:rPr>
        <w:t>that</w:t>
      </w:r>
      <w:r w:rsidR="00550544"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shd w:val="clear" w:color="auto" w:fill="FFFFFF"/>
        </w:rPr>
        <w:t xml:space="preserve">were higher than the median rate of the overall country were considered for the analysis. Additionally, states with higher COVID-related cumulative mortality rates than the median of the country (as of June 2, 2020, the last available date of the survey) were also grouped. A possible correlation of these findings would suggest </w:t>
      </w:r>
      <w:r w:rsidRPr="0049490E">
        <w:rPr>
          <w:rFonts w:ascii="Book Antiqua" w:eastAsia="Book Antiqua" w:hAnsi="Book Antiqua" w:cs="Book Antiqua"/>
          <w:color w:val="000000"/>
          <w:shd w:val="clear" w:color="auto" w:fill="FFFFFF"/>
        </w:rPr>
        <w:lastRenderedPageBreak/>
        <w:t>if there could be any coincidental relation between highest risk for COVID-19 complications and mortality in the same states.</w:t>
      </w:r>
    </w:p>
    <w:p w14:paraId="4C9F07F3" w14:textId="77777777" w:rsidR="002D4C30" w:rsidRPr="0049490E" w:rsidRDefault="002D4C30" w:rsidP="0049490E">
      <w:pPr>
        <w:spacing w:line="360" w:lineRule="auto"/>
        <w:jc w:val="both"/>
        <w:rPr>
          <w:rFonts w:ascii="Book Antiqua" w:hAnsi="Book Antiqua"/>
        </w:rPr>
      </w:pPr>
    </w:p>
    <w:p w14:paraId="06E77827" w14:textId="18E8031D"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 xml:space="preserve">Statistical </w:t>
      </w:r>
      <w:r w:rsidR="002D4C30" w:rsidRPr="0049490E">
        <w:rPr>
          <w:rFonts w:ascii="Book Antiqua" w:eastAsia="Book Antiqua" w:hAnsi="Book Antiqua" w:cs="Book Antiqua"/>
          <w:b/>
          <w:bCs/>
          <w:i/>
          <w:iCs/>
          <w:color w:val="000000"/>
        </w:rPr>
        <w:t>a</w:t>
      </w:r>
      <w:r w:rsidRPr="0049490E">
        <w:rPr>
          <w:rFonts w:ascii="Book Antiqua" w:eastAsia="Book Antiqua" w:hAnsi="Book Antiqua" w:cs="Book Antiqua"/>
          <w:b/>
          <w:bCs/>
          <w:i/>
          <w:iCs/>
          <w:color w:val="000000"/>
        </w:rPr>
        <w:t>nalysis</w:t>
      </w:r>
    </w:p>
    <w:p w14:paraId="78F92DC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Demographic and clinical characteristics of the study population were summarized by descriptive statistics. Categorical variables were expressed as absolute counts and percentages and continuous variables as means and standard deviations. Data was presented initially for the total study population. Thereafter, it was organized according to the five Brazilian regions and respective states to evaluate their geographical distribution. The frequencies of patients using each therapeutic IBD regimen in combination with oral steroids were analyzed as subcategories.</w:t>
      </w:r>
    </w:p>
    <w:p w14:paraId="0A5D5128" w14:textId="3D43306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Categorical variables were compared using a Chi-squared test</w:t>
      </w:r>
      <w:r w:rsidR="00C45C78">
        <w:rPr>
          <w:rFonts w:ascii="Book Antiqua" w:eastAsia="Book Antiqua" w:hAnsi="Book Antiqua" w:cs="Book Antiqua"/>
          <w:color w:val="000000"/>
        </w:rPr>
        <w:t>,</w:t>
      </w:r>
      <w:r w:rsidRPr="0049490E">
        <w:rPr>
          <w:rFonts w:ascii="Book Antiqua" w:eastAsia="Book Antiqua" w:hAnsi="Book Antiqua" w:cs="Book Antiqua"/>
          <w:color w:val="000000"/>
        </w:rPr>
        <w:t xml:space="preserve"> and continuous data was analyzed using Student’s </w:t>
      </w:r>
      <w:r w:rsidRPr="0049490E">
        <w:rPr>
          <w:rFonts w:ascii="Book Antiqua" w:eastAsia="Book Antiqua" w:hAnsi="Book Antiqua" w:cs="Book Antiqua"/>
          <w:i/>
          <w:iCs/>
          <w:color w:val="000000"/>
        </w:rPr>
        <w:t>t</w:t>
      </w:r>
      <w:r w:rsidRPr="0049490E">
        <w:rPr>
          <w:rFonts w:ascii="Book Antiqua" w:eastAsia="Book Antiqua" w:hAnsi="Book Antiqua" w:cs="Book Antiqua"/>
          <w:color w:val="000000"/>
        </w:rPr>
        <w:t>-test.</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two-tailed </w:t>
      </w:r>
      <w:r w:rsidR="002D4C30"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value of 0.05 was used for statistical significance. The Spearman correlation test was performed to study a possible correlation between the proportion of highest risk patients and COVID-19 cumulative mortality in states with higher rates compared with the median national cutoffs for each variable.</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Data was exported and analyzed in SPSS Statistics 23 (IBM Corporation, Armonk, N</w:t>
      </w:r>
      <w:r w:rsidR="00131597" w:rsidRPr="0049490E">
        <w:rPr>
          <w:rFonts w:ascii="Book Antiqua" w:eastAsia="Book Antiqua" w:hAnsi="Book Antiqua" w:cs="Book Antiqua"/>
          <w:color w:val="000000"/>
        </w:rPr>
        <w:t>Y</w:t>
      </w:r>
      <w:r w:rsidRPr="0049490E">
        <w:rPr>
          <w:rFonts w:ascii="Book Antiqua" w:eastAsia="Book Antiqua" w:hAnsi="Book Antiqua" w:cs="Book Antiqua"/>
          <w:color w:val="000000"/>
        </w:rPr>
        <w:t>, United States).</w:t>
      </w:r>
    </w:p>
    <w:p w14:paraId="38FF31BD" w14:textId="0C4DEF5D" w:rsidR="00A77B3E" w:rsidRPr="0049490E" w:rsidRDefault="00521142" w:rsidP="0049490E">
      <w:pPr>
        <w:spacing w:line="360" w:lineRule="auto"/>
        <w:ind w:firstLineChars="100" w:firstLine="240"/>
        <w:jc w:val="both"/>
        <w:rPr>
          <w:rFonts w:ascii="Book Antiqua" w:eastAsia="Book Antiqua" w:hAnsi="Book Antiqua" w:cs="Book Antiqua"/>
          <w:color w:val="000000"/>
        </w:rPr>
      </w:pPr>
      <w:r w:rsidRPr="0049490E">
        <w:rPr>
          <w:rFonts w:ascii="Book Antiqua" w:eastAsia="Book Antiqua" w:hAnsi="Book Antiqua" w:cs="Book Antiqua"/>
          <w:color w:val="000000"/>
        </w:rPr>
        <w:t>Data regarding COVID-19 cumulative death rates from March 3</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(first death registered in Brazil) to June 2</w:t>
      </w:r>
      <w:r w:rsidR="002D4C30"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were obtained from the Brazilian Ministry of Health COVID-19 website, &lt;https://covid.saude.gov.br/&gt;. We computed the COVID-19 mortality per 100000 people using the estimated populational data of 2019 available at the Statistical and Geographical Brazilian Institute for each of the Brazilian states and the federal district (&lt;https://datasus.saude.gov.br/populacao-residente/&gt;). In order to represent the mortality of COVID-19, we used classification into deciles. ArcMap 10.3</w:t>
      </w:r>
      <w:r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rPr>
        <w:t xml:space="preserve"> was used to generate the map representation.</w:t>
      </w:r>
    </w:p>
    <w:p w14:paraId="0F7F5743" w14:textId="77777777" w:rsidR="00197D26" w:rsidRPr="0049490E" w:rsidRDefault="00197D26" w:rsidP="0049490E">
      <w:pPr>
        <w:spacing w:line="360" w:lineRule="auto"/>
        <w:jc w:val="both"/>
        <w:rPr>
          <w:rFonts w:ascii="Book Antiqua" w:hAnsi="Book Antiqua"/>
        </w:rPr>
      </w:pPr>
    </w:p>
    <w:p w14:paraId="31240111" w14:textId="69BE9B14" w:rsidR="00A77B3E" w:rsidRPr="0049490E" w:rsidRDefault="00521142" w:rsidP="0049490E">
      <w:pPr>
        <w:spacing w:line="360" w:lineRule="auto"/>
        <w:jc w:val="both"/>
        <w:rPr>
          <w:rFonts w:ascii="Book Antiqua" w:hAnsi="Book Antiqua"/>
          <w:i/>
          <w:iCs/>
        </w:rPr>
      </w:pPr>
      <w:r w:rsidRPr="0049490E">
        <w:rPr>
          <w:rFonts w:ascii="Book Antiqua" w:eastAsia="Book Antiqua" w:hAnsi="Book Antiqua" w:cs="Book Antiqua"/>
          <w:b/>
          <w:bCs/>
          <w:i/>
          <w:iCs/>
          <w:color w:val="000000"/>
        </w:rPr>
        <w:t>Ethical</w:t>
      </w:r>
      <w:r w:rsidR="00197D26" w:rsidRPr="0049490E">
        <w:rPr>
          <w:rFonts w:ascii="Book Antiqua" w:eastAsia="Book Antiqua" w:hAnsi="Book Antiqua" w:cs="Book Antiqua"/>
          <w:b/>
          <w:bCs/>
          <w:i/>
          <w:iCs/>
          <w:color w:val="000000"/>
        </w:rPr>
        <w:t xml:space="preserve"> co</w:t>
      </w:r>
      <w:r w:rsidRPr="0049490E">
        <w:rPr>
          <w:rFonts w:ascii="Book Antiqua" w:eastAsia="Book Antiqua" w:hAnsi="Book Antiqua" w:cs="Book Antiqua"/>
          <w:b/>
          <w:bCs/>
          <w:i/>
          <w:iCs/>
          <w:color w:val="000000"/>
        </w:rPr>
        <w:t>nsiderations</w:t>
      </w:r>
    </w:p>
    <w:p w14:paraId="4D49C81C" w14:textId="1A44318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The study was approved by the GEDIIB ethical review board under the protocol </w:t>
      </w:r>
      <w:r w:rsidR="00197D26" w:rsidRPr="0049490E">
        <w:rPr>
          <w:rFonts w:ascii="Book Antiqua" w:eastAsia="Book Antiqua" w:hAnsi="Book Antiqua" w:cs="Book Antiqua"/>
          <w:color w:val="000000"/>
        </w:rPr>
        <w:t xml:space="preserve">No. </w:t>
      </w:r>
      <w:r w:rsidRPr="0049490E">
        <w:rPr>
          <w:rFonts w:ascii="Book Antiqua" w:eastAsia="Book Antiqua" w:hAnsi="Book Antiqua" w:cs="Book Antiqua"/>
          <w:color w:val="000000"/>
        </w:rPr>
        <w:t xml:space="preserve">002/2020 </w:t>
      </w:r>
      <w:r w:rsidR="005B646A">
        <w:rPr>
          <w:rFonts w:ascii="Book Antiqua" w:eastAsia="Book Antiqua" w:hAnsi="Book Antiqua" w:cs="Book Antiqua"/>
          <w:color w:val="000000"/>
        </w:rPr>
        <w:t>o</w:t>
      </w:r>
      <w:r w:rsidRPr="0049490E">
        <w:rPr>
          <w:rFonts w:ascii="Book Antiqua" w:eastAsia="Book Antiqua" w:hAnsi="Book Antiqua" w:cs="Book Antiqua"/>
          <w:color w:val="000000"/>
        </w:rPr>
        <w:t xml:space="preserve">n October 28, 2020. Informed consent was waived </w:t>
      </w:r>
      <w:r w:rsidR="005B646A">
        <w:rPr>
          <w:rFonts w:ascii="Book Antiqua" w:eastAsia="Book Antiqua" w:hAnsi="Book Antiqua" w:cs="Book Antiqua"/>
          <w:color w:val="000000"/>
        </w:rPr>
        <w:t>because</w:t>
      </w:r>
      <w:r w:rsidRPr="0049490E">
        <w:rPr>
          <w:rFonts w:ascii="Book Antiqua" w:eastAsia="Book Antiqua" w:hAnsi="Book Antiqua" w:cs="Book Antiqua"/>
          <w:color w:val="000000"/>
        </w:rPr>
        <w:t xml:space="preserve"> the survey </w:t>
      </w:r>
      <w:r w:rsidRPr="0049490E">
        <w:rPr>
          <w:rFonts w:ascii="Book Antiqua" w:eastAsia="Book Antiqua" w:hAnsi="Book Antiqua" w:cs="Book Antiqua"/>
          <w:color w:val="000000"/>
        </w:rPr>
        <w:lastRenderedPageBreak/>
        <w:t>recruitment was self-selective. In addition, data were de-identified</w:t>
      </w:r>
      <w:r w:rsidR="005B646A">
        <w:rPr>
          <w:rFonts w:ascii="Book Antiqua" w:eastAsia="Book Antiqua" w:hAnsi="Book Antiqua" w:cs="Book Antiqua"/>
          <w:color w:val="000000"/>
        </w:rPr>
        <w:t>. I</w:t>
      </w:r>
      <w:r w:rsidRPr="0049490E">
        <w:rPr>
          <w:rFonts w:ascii="Book Antiqua" w:eastAsia="Book Antiqua" w:hAnsi="Book Antiqua" w:cs="Book Antiqua"/>
          <w:color w:val="000000"/>
        </w:rPr>
        <w:t>ndividual participant data were not published, which maintained confidentiality in all steps of study analysis. This study was conducted in compliance with regulations stated in the 1975 Declaration of Helsinki.</w:t>
      </w:r>
    </w:p>
    <w:p w14:paraId="228EB955" w14:textId="77777777" w:rsidR="00A77B3E" w:rsidRPr="0049490E" w:rsidRDefault="00A77B3E" w:rsidP="0049490E">
      <w:pPr>
        <w:spacing w:line="360" w:lineRule="auto"/>
        <w:jc w:val="both"/>
        <w:rPr>
          <w:rFonts w:ascii="Book Antiqua" w:hAnsi="Book Antiqua"/>
        </w:rPr>
      </w:pPr>
    </w:p>
    <w:p w14:paraId="5868BF9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RESULTS</w:t>
      </w:r>
    </w:p>
    <w:p w14:paraId="458A7877" w14:textId="54455C1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A total of 3568 IBD patients participated in the national web-based survey and had data included. Six patients were excluded from the analysis due to inconsistent reported data. Overall demographic and baseline characteristics of respondents are illustrated in </w:t>
      </w:r>
      <w:r w:rsidR="00197D26" w:rsidRPr="0049490E">
        <w:rPr>
          <w:rFonts w:ascii="Book Antiqua" w:eastAsia="Book Antiqua" w:hAnsi="Book Antiqua" w:cs="Book Antiqua"/>
          <w:color w:val="000000"/>
        </w:rPr>
        <w:t>T</w:t>
      </w:r>
      <w:r w:rsidRPr="0049490E">
        <w:rPr>
          <w:rFonts w:ascii="Book Antiqua" w:eastAsia="Book Antiqua" w:hAnsi="Book Antiqua" w:cs="Book Antiqua"/>
          <w:color w:val="000000"/>
        </w:rPr>
        <w:t xml:space="preserve">able 2. </w:t>
      </w:r>
      <w:r w:rsidR="00166AF7">
        <w:rPr>
          <w:rFonts w:ascii="Book Antiqua" w:eastAsia="Book Antiqua" w:hAnsi="Book Antiqua" w:cs="Book Antiqua"/>
          <w:color w:val="000000"/>
        </w:rPr>
        <w:t>M</w:t>
      </w:r>
      <w:r w:rsidRPr="0049490E">
        <w:rPr>
          <w:rFonts w:ascii="Book Antiqua" w:eastAsia="Book Antiqua" w:hAnsi="Book Antiqua" w:cs="Book Antiqua"/>
          <w:color w:val="000000"/>
        </w:rPr>
        <w:t>ost respondents (55.6%) were 20-39</w:t>
      </w:r>
      <w:r w:rsidR="004549C2">
        <w:rPr>
          <w:rFonts w:ascii="Book Antiqua" w:eastAsia="Book Antiqua" w:hAnsi="Book Antiqua" w:cs="Book Antiqua"/>
          <w:color w:val="000000"/>
        </w:rPr>
        <w:t>-</w:t>
      </w:r>
      <w:r w:rsidRPr="0049490E">
        <w:rPr>
          <w:rFonts w:ascii="Book Antiqua" w:eastAsia="Book Antiqua" w:hAnsi="Book Antiqua" w:cs="Book Antiqua"/>
          <w:color w:val="000000"/>
        </w:rPr>
        <w:t>years</w:t>
      </w:r>
      <w:r w:rsidR="004549C2">
        <w:rPr>
          <w:rFonts w:ascii="Book Antiqua" w:eastAsia="Book Antiqua" w:hAnsi="Book Antiqua" w:cs="Book Antiqua"/>
          <w:color w:val="000000"/>
        </w:rPr>
        <w:t>-</w:t>
      </w:r>
      <w:r w:rsidRPr="0049490E">
        <w:rPr>
          <w:rFonts w:ascii="Book Antiqua" w:eastAsia="Book Antiqua" w:hAnsi="Book Antiqua" w:cs="Book Antiqua"/>
          <w:color w:val="000000"/>
        </w:rPr>
        <w:t xml:space="preserve">old, and 65.3% were females. Current smoking status was reported by 5.1% of the participants. The states with the highest response rates to the survey were São Paulo (29.6%), Rio de Janeiro (9.4%) Santa Catarina (7.7%), Paraná (7.7%), Bahia (6.0%) and the Federal District (5.3%). Details of the distribution of respondents per state are described in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2.</w:t>
      </w:r>
    </w:p>
    <w:p w14:paraId="6C3C560E" w14:textId="26C3A8F8"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The proportion of patients presenting with at least one self-reported comorbidity was 21.6%</w:t>
      </w:r>
      <w:r w:rsidR="003D1354">
        <w:rPr>
          <w:rFonts w:ascii="Book Antiqua" w:eastAsia="Book Antiqua" w:hAnsi="Book Antiqua" w:cs="Book Antiqua"/>
          <w:color w:val="000000"/>
        </w:rPr>
        <w:t>,</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and the most prevalent was hypertension (11.3%) followed by chronic pulmonary disease (4.6%) and</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recent (&lt; 30 d) IBD-related abdominal surgery (3.8%).</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Most patients (84.1%) were on immune-mediated therapy (biologics 51.3% and/or immunomodulators 32.8%), 34.2% of respondents were using aminosalicylates and 13.3% had been recently treated with corticosteroids. Demographic, clinical and treatment characteristics by states is presented in </w:t>
      </w:r>
      <w:r w:rsidR="00197D26" w:rsidRPr="0049490E">
        <w:rPr>
          <w:rFonts w:ascii="Book Antiqua" w:eastAsia="Book Antiqua" w:hAnsi="Book Antiqua" w:cs="Book Antiqua"/>
          <w:color w:val="000000"/>
        </w:rPr>
        <w:t>T</w:t>
      </w:r>
      <w:r w:rsidRPr="0049490E">
        <w:rPr>
          <w:rFonts w:ascii="Book Antiqua" w:eastAsia="Book Antiqua" w:hAnsi="Book Antiqua" w:cs="Book Antiqua"/>
          <w:color w:val="000000"/>
        </w:rPr>
        <w:t>able</w:t>
      </w:r>
      <w:r w:rsidR="00C14D1B" w:rsidRPr="0049490E">
        <w:rPr>
          <w:rFonts w:ascii="Book Antiqua" w:eastAsia="Book Antiqua" w:hAnsi="Book Antiqua" w:cs="Book Antiqua"/>
          <w:color w:val="000000"/>
        </w:rPr>
        <w:t>s</w:t>
      </w:r>
      <w:r w:rsidRPr="0049490E">
        <w:rPr>
          <w:rFonts w:ascii="Book Antiqua" w:eastAsia="Book Antiqua" w:hAnsi="Book Antiqua" w:cs="Book Antiqua"/>
          <w:color w:val="000000"/>
        </w:rPr>
        <w:t xml:space="preserve"> 3</w:t>
      </w:r>
      <w:r w:rsidR="00C14D1B" w:rsidRPr="0049490E">
        <w:rPr>
          <w:rFonts w:ascii="Book Antiqua" w:eastAsia="Book Antiqua" w:hAnsi="Book Antiqua" w:cs="Book Antiqua"/>
          <w:color w:val="000000"/>
        </w:rPr>
        <w:t xml:space="preserve"> and 4</w:t>
      </w:r>
      <w:r w:rsidRPr="0049490E">
        <w:rPr>
          <w:rFonts w:ascii="Book Antiqua" w:eastAsia="Book Antiqua" w:hAnsi="Book Antiqua" w:cs="Book Antiqua"/>
          <w:color w:val="000000"/>
        </w:rPr>
        <w:t>. The uptake of biological therapy was slightly higher among patients from the southeastern (52.9%) and southern (52.2%) regions compared with those from the northern region (33.3%).</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Demographic, clinical and treatment characteristics by regions are described in detail in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3.</w:t>
      </w:r>
    </w:p>
    <w:p w14:paraId="61BE3558" w14:textId="2D6E8891"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Overall, the majority (55.1%) of patients were at moderate risk, 23.4% were at highest risk and 21.5% were at lowest risk of developing COVID-19 complications. The proportion of IBD patients at highest, moderate and lowest risk for each state is represented in</w:t>
      </w:r>
      <w:r w:rsidR="00197D26" w:rsidRPr="0049490E">
        <w:rPr>
          <w:rFonts w:ascii="Book Antiqua" w:eastAsia="Book Antiqua" w:hAnsi="Book Antiqua" w:cs="Book Antiqua"/>
          <w:color w:val="000000"/>
        </w:rPr>
        <w:t xml:space="preserve"> F</w:t>
      </w:r>
      <w:r w:rsidRPr="0049490E">
        <w:rPr>
          <w:rFonts w:ascii="Book Antiqua" w:eastAsia="Book Antiqua" w:hAnsi="Book Antiqua" w:cs="Book Antiqua"/>
          <w:color w:val="000000"/>
        </w:rPr>
        <w:t>igure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1A</w:t>
      </w:r>
      <w:r w:rsidR="00197D26"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C and for each county/city in </w:t>
      </w:r>
      <w:r w:rsidR="00197D26" w:rsidRPr="0049490E">
        <w:rPr>
          <w:rFonts w:ascii="Book Antiqua" w:eastAsia="Book Antiqua" w:hAnsi="Book Antiqua" w:cs="Book Antiqua"/>
          <w:color w:val="000000"/>
        </w:rPr>
        <w:t>S</w:t>
      </w:r>
      <w:r w:rsidRPr="0049490E">
        <w:rPr>
          <w:rFonts w:ascii="Book Antiqua" w:eastAsia="Book Antiqua" w:hAnsi="Book Antiqua" w:cs="Book Antiqua"/>
          <w:color w:val="000000"/>
        </w:rPr>
        <w:t xml:space="preserve">upplementary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1.</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Thirteen states had higher proportional rates of patients at highest risk than the national median cutoff of 22.1% (Amapá, Rio Grande do Norte, Rio de Janeiro, São Paulo, Paraná, Amapá, </w:t>
      </w:r>
      <w:r w:rsidRPr="0049490E">
        <w:rPr>
          <w:rFonts w:ascii="Book Antiqua" w:eastAsia="Book Antiqua" w:hAnsi="Book Antiqua" w:cs="Book Antiqua"/>
          <w:color w:val="000000"/>
        </w:rPr>
        <w:lastRenderedPageBreak/>
        <w:t>Federal District, Santa Catarina, Ceará, Goiás, Espírito Santo, Acre and Paraíba).</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Paraíba was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state with the greatest proportion of IBD patients at highest risk (44.4%), followed by Acre (37.5%), Espírito Santo (29.9%) and Goiás (28.6%).</w:t>
      </w:r>
    </w:p>
    <w:p w14:paraId="59115E4A" w14:textId="03EB8D4B"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Geographical distribution of</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cumulative deaths from COVID-19 in Brazil as of June 2, 2020 by state</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(per 100000 people) is represented in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 1D.</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national mortality rate median cutoff in June 2</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was 9.7/100000. The 13 states with mortality rates above the national median were Rio Grande do Norte, Maranhão, Alagoas, Espírito Santo, São Paulo, Acre, Roraima, Amapá, Pernambuco, Rio de Janeiro, Pará, Ceará and Amazonas.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 states with higher mortality rates were Amazonas (50.7), Ceará (37.5), Pará (35.3), Rio de Janeiro (32.9) and Amapá (28).</w:t>
      </w:r>
    </w:p>
    <w:p w14:paraId="0A5B1740" w14:textId="68F56B2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When crossing overall proportion of highest risk patients with cumulative mortality rates, the Spearman rank correlation coefficient was not statistically significant (</w:t>
      </w:r>
      <w:r w:rsidRPr="0049490E">
        <w:rPr>
          <w:rFonts w:ascii="Book Antiqua" w:eastAsia="Book Antiqua" w:hAnsi="Book Antiqua" w:cs="Book Antiqua"/>
          <w:i/>
          <w:iCs/>
          <w:color w:val="000000"/>
        </w:rPr>
        <w:t>r</w:t>
      </w:r>
      <w:r w:rsidRPr="0049490E">
        <w:rPr>
          <w:rFonts w:ascii="Book Antiqua" w:eastAsia="Book Antiqua" w:hAnsi="Book Antiqua" w:cs="Book Antiqua"/>
          <w:color w:val="000000"/>
        </w:rPr>
        <w:t xml:space="preserve"> = 0.146</w:t>
      </w:r>
      <w:r w:rsidR="00131597"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0.467). These data are illustrated in </w:t>
      </w:r>
      <w:r w:rsidR="00197D26" w:rsidRPr="0049490E">
        <w:rPr>
          <w:rFonts w:ascii="Book Antiqua" w:eastAsia="Book Antiqua" w:hAnsi="Book Antiqua" w:cs="Book Antiqua"/>
          <w:color w:val="000000"/>
        </w:rPr>
        <w:t>F</w:t>
      </w:r>
      <w:r w:rsidRPr="0049490E">
        <w:rPr>
          <w:rFonts w:ascii="Book Antiqua" w:eastAsia="Book Antiqua" w:hAnsi="Book Antiqua" w:cs="Book Antiqua"/>
          <w:color w:val="000000"/>
        </w:rPr>
        <w:t>igure 2.</w:t>
      </w:r>
    </w:p>
    <w:p w14:paraId="6397A7F9" w14:textId="77777777" w:rsidR="00A77B3E" w:rsidRPr="0049490E" w:rsidRDefault="00A77B3E" w:rsidP="0049490E">
      <w:pPr>
        <w:spacing w:line="360" w:lineRule="auto"/>
        <w:jc w:val="both"/>
        <w:rPr>
          <w:rFonts w:ascii="Book Antiqua" w:hAnsi="Book Antiqua"/>
        </w:rPr>
      </w:pPr>
    </w:p>
    <w:p w14:paraId="4C13DE5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DISCUSSION</w:t>
      </w:r>
    </w:p>
    <w:p w14:paraId="314666A2" w14:textId="77E9B78A"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This web-based survey analyzed important patient and treatment characteristics </w:t>
      </w:r>
      <w:r w:rsidR="00C703C4">
        <w:rPr>
          <w:rFonts w:ascii="Book Antiqua" w:eastAsia="Book Antiqua" w:hAnsi="Book Antiqua" w:cs="Book Antiqua"/>
          <w:color w:val="000000"/>
        </w:rPr>
        <w:t xml:space="preserve">that </w:t>
      </w:r>
      <w:r w:rsidRPr="0049490E">
        <w:rPr>
          <w:rFonts w:ascii="Book Antiqua" w:eastAsia="Book Antiqua" w:hAnsi="Book Antiqua" w:cs="Book Antiqua"/>
          <w:color w:val="000000"/>
        </w:rPr>
        <w:t>could influence the IBD-related risk of having COVID-19 complications at a national level. Brazil is a continental country with different socioeconomic realities between its five different geographic regions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t>
      </w:r>
      <w:r w:rsidRPr="0049490E">
        <w:rPr>
          <w:rFonts w:ascii="Book Antiqua" w:eastAsia="Book Antiqua" w:hAnsi="Book Antiqua" w:cs="Book Antiqua"/>
          <w:i/>
          <w:iCs/>
          <w:color w:val="000000"/>
        </w:rPr>
        <w:t>i.e.</w:t>
      </w:r>
      <w:r w:rsidRPr="0049490E">
        <w:rPr>
          <w:rFonts w:ascii="Book Antiqua" w:eastAsia="Book Antiqua" w:hAnsi="Book Antiqua" w:cs="Book Antiqua"/>
          <w:color w:val="000000"/>
        </w:rPr>
        <w:t xml:space="preserve"> Northern, Northeastern, Southern, Southeastern and Midwestern).</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Most patients who participated in the survey were from the southeastern (</w:t>
      </w:r>
      <w:r w:rsidRPr="0049490E">
        <w:rPr>
          <w:rFonts w:ascii="Book Antiqua" w:eastAsia="Book Antiqua" w:hAnsi="Book Antiqua" w:cs="Book Antiqua"/>
          <w:i/>
          <w:iCs/>
          <w:color w:val="000000"/>
        </w:rPr>
        <w:t>n</w:t>
      </w:r>
      <w:r w:rsidRPr="0049490E">
        <w:rPr>
          <w:rFonts w:ascii="Book Antiqua" w:eastAsia="Book Antiqua" w:hAnsi="Book Antiqua" w:cs="Book Antiqua"/>
          <w:color w:val="000000"/>
        </w:rPr>
        <w:t xml:space="preserve"> = 1886) and southern (</w:t>
      </w:r>
      <w:r w:rsidRPr="0049490E">
        <w:rPr>
          <w:rFonts w:ascii="Book Antiqua" w:eastAsia="Book Antiqua" w:hAnsi="Book Antiqua" w:cs="Book Antiqua"/>
          <w:i/>
          <w:iCs/>
          <w:color w:val="000000"/>
        </w:rPr>
        <w:t>n</w:t>
      </w:r>
      <w:r w:rsidRPr="0049490E">
        <w:rPr>
          <w:rFonts w:ascii="Book Antiqua" w:eastAsia="Book Antiqua" w:hAnsi="Book Antiqua" w:cs="Book Antiqua"/>
          <w:color w:val="000000"/>
        </w:rPr>
        <w:t xml:space="preserve"> = 738) regions,</w:t>
      </w:r>
      <w:r w:rsidR="00FB7E35">
        <w:rPr>
          <w:rFonts w:ascii="Book Antiqua" w:eastAsia="Book Antiqua" w:hAnsi="Book Antiqua" w:cs="Book Antiqua"/>
          <w:color w:val="000000"/>
        </w:rPr>
        <w:t xml:space="preserve"> which are</w:t>
      </w:r>
      <w:r w:rsidRPr="0049490E">
        <w:rPr>
          <w:rFonts w:ascii="Book Antiqua" w:eastAsia="Book Antiqua" w:hAnsi="Book Antiqua" w:cs="Book Antiqua"/>
          <w:color w:val="000000"/>
        </w:rPr>
        <w:t xml:space="preserve"> more developed areas of the country</w:t>
      </w:r>
      <w:r w:rsidR="00FB7E35">
        <w:rPr>
          <w:rFonts w:ascii="Book Antiqua" w:eastAsia="Book Antiqua" w:hAnsi="Book Antiqua" w:cs="Book Antiqua"/>
          <w:color w:val="000000"/>
        </w:rPr>
        <w:t>. This</w:t>
      </w:r>
      <w:r w:rsidRPr="0049490E">
        <w:rPr>
          <w:rFonts w:ascii="Book Antiqua" w:eastAsia="Book Antiqua" w:hAnsi="Book Antiqua" w:cs="Book Antiqua"/>
          <w:color w:val="000000"/>
        </w:rPr>
        <w:t xml:space="preserve"> may reflect patients who more often follow official mailing lists from the study group (as the call for participation in the survey) and might be treated in IBD tertiary referral centers. This c</w:t>
      </w:r>
      <w:r w:rsidR="00FE519D">
        <w:rPr>
          <w:rFonts w:ascii="Book Antiqua" w:eastAsia="Book Antiqua" w:hAnsi="Book Antiqua" w:cs="Book Antiqua"/>
          <w:color w:val="000000"/>
        </w:rPr>
        <w:t>ould</w:t>
      </w:r>
      <w:r w:rsidRPr="0049490E">
        <w:rPr>
          <w:rFonts w:ascii="Book Antiqua" w:eastAsia="Book Antiqua" w:hAnsi="Book Antiqua" w:cs="Book Antiqua"/>
          <w:color w:val="000000"/>
        </w:rPr>
        <w:t xml:space="preserve"> also mirror a higher prevalence of IBD in these regions of Brazil as compared to others as stated in a systematic review and some population-based studies</w:t>
      </w:r>
      <w:r w:rsidRPr="0049490E">
        <w:rPr>
          <w:rFonts w:ascii="Book Antiqua" w:eastAsia="Book Antiqua" w:hAnsi="Book Antiqua" w:cs="Book Antiqua"/>
          <w:color w:val="000000"/>
          <w:vertAlign w:val="superscript"/>
        </w:rPr>
        <w:t>[7</w:t>
      </w:r>
      <w:r w:rsidR="00197D26"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vertAlign w:val="superscript"/>
        </w:rPr>
        <w:t>10]</w:t>
      </w:r>
      <w:r w:rsidRPr="0049490E">
        <w:rPr>
          <w:rFonts w:ascii="Book Antiqua" w:eastAsia="Book Antiqua" w:hAnsi="Book Antiqua" w:cs="Book Antiqua"/>
          <w:color w:val="000000"/>
        </w:rPr>
        <w:t xml:space="preserve">. Indeed, the findings of our study may not reflect a full national reality, as patients from the northern and northeastern regions may have a different IBD treatment profile. In the same line, it is noteworthy that the northern region had the highest proportion of patients with no current IBD medication (17.6%), and the southern </w:t>
      </w:r>
      <w:r w:rsidRPr="0049490E">
        <w:rPr>
          <w:rFonts w:ascii="Book Antiqua" w:eastAsia="Book Antiqua" w:hAnsi="Book Antiqua" w:cs="Book Antiqua"/>
          <w:color w:val="000000"/>
        </w:rPr>
        <w:lastRenderedPageBreak/>
        <w:t>and southeastern regions the highest proportion of patients under biological therapy (52.2% and 52.9%, respectively).</w:t>
      </w:r>
    </w:p>
    <w:p w14:paraId="74DC2E50" w14:textId="38D62DDE"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Our study suggests a different geographical distribution of IBD patients at highest risk for</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COVID-19 complications in different states of the country, wh</w:t>
      </w:r>
      <w:r w:rsidR="00E56E12">
        <w:rPr>
          <w:rFonts w:ascii="Book Antiqua" w:eastAsia="Book Antiqua" w:hAnsi="Book Antiqua" w:cs="Book Antiqua"/>
          <w:color w:val="000000"/>
        </w:rPr>
        <w:t>ich</w:t>
      </w:r>
      <w:r w:rsidRPr="0049490E">
        <w:rPr>
          <w:rFonts w:ascii="Book Antiqua" w:eastAsia="Book Antiqua" w:hAnsi="Book Antiqua" w:cs="Book Antiqua"/>
          <w:color w:val="000000"/>
        </w:rPr>
        <w:t xml:space="preserve"> may reflect different socioeconomic, educational and healthcare issues that could potentially have affected our findings. Despite the fact that the states of Paraíba, Acre, Espírito Santo and Goiás had the greatest proportion of patients at highest risk, this was not reflected in higher COVID-related mortality according to official data from the </w:t>
      </w:r>
      <w:r w:rsidR="00E56E12">
        <w:rPr>
          <w:rFonts w:ascii="Book Antiqua" w:eastAsia="Book Antiqua" w:hAnsi="Book Antiqua" w:cs="Book Antiqua"/>
          <w:color w:val="000000"/>
        </w:rPr>
        <w:t>M</w:t>
      </w:r>
      <w:r w:rsidRPr="0049490E">
        <w:rPr>
          <w:rFonts w:ascii="Book Antiqua" w:eastAsia="Book Antiqua" w:hAnsi="Book Antiqua" w:cs="Book Antiqua"/>
          <w:color w:val="000000"/>
        </w:rPr>
        <w:t xml:space="preserve">inistry of </w:t>
      </w:r>
      <w:r w:rsidR="00E56E12">
        <w:rPr>
          <w:rFonts w:ascii="Book Antiqua" w:eastAsia="Book Antiqua" w:hAnsi="Book Antiqua" w:cs="Book Antiqua"/>
          <w:color w:val="000000"/>
        </w:rPr>
        <w:t>H</w:t>
      </w:r>
      <w:r w:rsidRPr="0049490E">
        <w:rPr>
          <w:rFonts w:ascii="Book Antiqua" w:eastAsia="Book Antiqua" w:hAnsi="Book Antiqua" w:cs="Book Antiqua"/>
          <w:color w:val="000000"/>
        </w:rPr>
        <w:t>ealth. Higher mortality for COVID</w:t>
      </w:r>
      <w:r w:rsidR="00E8694D">
        <w:rPr>
          <w:rFonts w:ascii="Book Antiqua" w:eastAsia="Book Antiqua" w:hAnsi="Book Antiqua" w:cs="Book Antiqua"/>
          <w:color w:val="000000"/>
        </w:rPr>
        <w:t>-</w:t>
      </w:r>
      <w:r w:rsidRPr="0049490E">
        <w:rPr>
          <w:rFonts w:ascii="Book Antiqua" w:eastAsia="Book Antiqua" w:hAnsi="Book Antiqua" w:cs="Book Antiqua"/>
          <w:color w:val="000000"/>
        </w:rPr>
        <w:t>19 as of June 2, 2020 (last available date capturing responses in the survey) was observed in the states of Amazonas, Ceará and Rio de Janeiro.</w:t>
      </w:r>
    </w:p>
    <w:p w14:paraId="3DE9AE9F" w14:textId="5F3C8E12"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Nevertheless, a clear correlation between the risk of COVID-19 complications in IBD patients and mortality was not demonstrated according to the Spearman test. This important finding is in tune with other previous</w:t>
      </w:r>
      <w:r w:rsidR="00E8694D">
        <w:rPr>
          <w:rFonts w:ascii="Book Antiqua" w:eastAsia="Book Antiqua" w:hAnsi="Book Antiqua" w:cs="Book Antiqua"/>
          <w:color w:val="000000"/>
        </w:rPr>
        <w:t>ly</w:t>
      </w:r>
      <w:r w:rsidRPr="0049490E">
        <w:rPr>
          <w:rFonts w:ascii="Book Antiqua" w:eastAsia="Book Antiqua" w:hAnsi="Book Antiqua" w:cs="Book Antiqua"/>
          <w:color w:val="000000"/>
        </w:rPr>
        <w:t xml:space="preserve"> published data from IBD cohorts, which did not identify worse COVID-19 disease course</w:t>
      </w:r>
      <w:r w:rsidR="00E8694D">
        <w:rPr>
          <w:rFonts w:ascii="Book Antiqua" w:eastAsia="Book Antiqua" w:hAnsi="Book Antiqua" w:cs="Book Antiqua"/>
          <w:color w:val="000000"/>
        </w:rPr>
        <w:t>s</w:t>
      </w:r>
      <w:r w:rsidRPr="0049490E">
        <w:rPr>
          <w:rFonts w:ascii="Book Antiqua" w:eastAsia="Book Antiqua" w:hAnsi="Book Antiqua" w:cs="Book Antiqua"/>
          <w:color w:val="000000"/>
        </w:rPr>
        <w:t xml:space="preserve"> in IBD patients</w:t>
      </w:r>
      <w:r w:rsidRPr="0049490E">
        <w:rPr>
          <w:rFonts w:ascii="Book Antiqua" w:eastAsia="Book Antiqua" w:hAnsi="Book Antiqua" w:cs="Book Antiqua"/>
          <w:color w:val="000000"/>
          <w:vertAlign w:val="superscript"/>
        </w:rPr>
        <w:t>[3,11]</w:t>
      </w:r>
      <w:r w:rsidRPr="0049490E">
        <w:rPr>
          <w:rFonts w:ascii="Book Antiqua" w:eastAsia="Book Antiqua" w:hAnsi="Book Antiqua" w:cs="Book Antiqua"/>
          <w:color w:val="000000"/>
        </w:rPr>
        <w:t>. This analysis underscores the important finding that the majority of respondents (55.1%) w</w:t>
      </w:r>
      <w:r w:rsidR="00E8694D">
        <w:rPr>
          <w:rFonts w:ascii="Book Antiqua" w:eastAsia="Book Antiqua" w:hAnsi="Book Antiqua" w:cs="Book Antiqua"/>
          <w:color w:val="000000"/>
        </w:rPr>
        <w:t>ere</w:t>
      </w:r>
      <w:r w:rsidRPr="0049490E">
        <w:rPr>
          <w:rFonts w:ascii="Book Antiqua" w:eastAsia="Book Antiqua" w:hAnsi="Book Antiqua" w:cs="Book Antiqua"/>
          <w:color w:val="000000"/>
        </w:rPr>
        <w:t xml:space="preserve"> classified at moderate risk, which means that they were currently having adequate IBD treatment with no increased rates of steroid therapy. Despite being treated with immunosuppressant agents, this population may not be as vulnerable as expected</w:t>
      </w:r>
      <w:r w:rsidRPr="0049490E">
        <w:rPr>
          <w:rFonts w:ascii="Book Antiqua" w:eastAsia="Book Antiqua" w:hAnsi="Book Antiqua" w:cs="Book Antiqua"/>
          <w:color w:val="000000"/>
          <w:vertAlign w:val="superscript"/>
        </w:rPr>
        <w:t>[12]</w:t>
      </w:r>
      <w:r w:rsidRPr="0049490E">
        <w:rPr>
          <w:rFonts w:ascii="Book Antiqua" w:eastAsia="Book Antiqua" w:hAnsi="Book Antiqua" w:cs="Book Antiqua"/>
          <w:color w:val="000000"/>
        </w:rPr>
        <w:t xml:space="preserve">. </w:t>
      </w:r>
      <w:r w:rsidR="00FB606C">
        <w:rPr>
          <w:rFonts w:ascii="Book Antiqua" w:eastAsia="Book Antiqua" w:hAnsi="Book Antiqua" w:cs="Book Antiqua"/>
          <w:color w:val="000000"/>
        </w:rPr>
        <w:t>A</w:t>
      </w:r>
      <w:r w:rsidRPr="0049490E">
        <w:rPr>
          <w:rFonts w:ascii="Book Antiqua" w:eastAsia="Book Antiqua" w:hAnsi="Book Antiqua" w:cs="Book Antiqua"/>
          <w:color w:val="000000"/>
        </w:rPr>
        <w:t>lthough this still needs to be proven, speculation is undertaken if the reduction of the COVID-related “cytokine storm” can be achieved with adequate medical therapy for IBD</w:t>
      </w:r>
      <w:r w:rsidRPr="0049490E">
        <w:rPr>
          <w:rFonts w:ascii="Book Antiqua" w:eastAsia="Book Antiqua" w:hAnsi="Book Antiqua" w:cs="Book Antiqua"/>
          <w:color w:val="000000"/>
          <w:vertAlign w:val="superscript"/>
        </w:rPr>
        <w:t>[13]</w:t>
      </w:r>
      <w:r w:rsidRPr="0049490E">
        <w:rPr>
          <w:rFonts w:ascii="Book Antiqua" w:eastAsia="Book Antiqua" w:hAnsi="Book Antiqua" w:cs="Book Antiqua"/>
          <w:color w:val="000000"/>
        </w:rPr>
        <w:t>. More studies in this field are warranted. It is important to state that no longitudinal follow-up of these patients was evaluated in this study. The exact number of infected patients with IBD within our sample was out of the focus of the survey.</w:t>
      </w:r>
    </w:p>
    <w:p w14:paraId="48DCD178" w14:textId="1E42FEEE"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When data is analyzed by regions, the proportion of IBD patients </w:t>
      </w:r>
      <w:r w:rsidR="000D0CD3">
        <w:rPr>
          <w:rFonts w:ascii="Book Antiqua" w:eastAsia="Book Antiqua" w:hAnsi="Book Antiqua" w:cs="Book Antiqua"/>
          <w:color w:val="000000"/>
        </w:rPr>
        <w:t>at</w:t>
      </w:r>
      <w:r w:rsidRPr="0049490E">
        <w:rPr>
          <w:rFonts w:ascii="Book Antiqua" w:eastAsia="Book Antiqua" w:hAnsi="Book Antiqua" w:cs="Book Antiqua"/>
          <w:color w:val="000000"/>
        </w:rPr>
        <w:t xml:space="preserve"> highest risk was 20</w:t>
      </w:r>
      <w:r w:rsidR="00197D26" w:rsidRPr="0049490E">
        <w:rPr>
          <w:rFonts w:ascii="Book Antiqua" w:eastAsia="Book Antiqua" w:hAnsi="Book Antiqua" w:cs="Book Antiqua"/>
          <w:color w:val="000000"/>
        </w:rPr>
        <w:t>%</w:t>
      </w:r>
      <w:r w:rsidRPr="0049490E">
        <w:rPr>
          <w:rFonts w:ascii="Book Antiqua" w:eastAsia="Book Antiqua" w:hAnsi="Book Antiqua" w:cs="Book Antiqua"/>
          <w:color w:val="000000"/>
        </w:rPr>
        <w:t>-25%</w:t>
      </w:r>
      <w:r w:rsidR="000D0CD3">
        <w:rPr>
          <w:rFonts w:ascii="Book Antiqua" w:eastAsia="Book Antiqua" w:hAnsi="Book Antiqua" w:cs="Book Antiqua"/>
          <w:color w:val="000000"/>
        </w:rPr>
        <w:t>,</w:t>
      </w:r>
      <w:r w:rsidRPr="0049490E">
        <w:rPr>
          <w:rFonts w:ascii="Book Antiqua" w:eastAsia="Book Antiqua" w:hAnsi="Book Antiqua" w:cs="Book Antiqua"/>
          <w:color w:val="000000"/>
        </w:rPr>
        <w:t xml:space="preserve"> and the majority of patients comprised those using immunomodulators or biologics with no active disease, did not undergo recent IBD-related surgery and were not under steroid therapy. This may reinforce the fact that the survey reached more patients who were </w:t>
      </w:r>
      <w:r w:rsidR="000D0CD3">
        <w:rPr>
          <w:rFonts w:ascii="Book Antiqua" w:eastAsia="Book Antiqua" w:hAnsi="Book Antiqua" w:cs="Book Antiqua"/>
          <w:color w:val="000000"/>
        </w:rPr>
        <w:t>likely</w:t>
      </w:r>
      <w:r w:rsidR="000D0CD3"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under regular follow-up with their specialists, a common practice in more developed areas. Another important point is that no significant difference between the regions in the low, moderate or high risk of COVID-related </w:t>
      </w:r>
      <w:r w:rsidRPr="0049490E">
        <w:rPr>
          <w:rFonts w:ascii="Book Antiqua" w:eastAsia="Book Antiqua" w:hAnsi="Book Antiqua" w:cs="Book Antiqua"/>
          <w:color w:val="000000"/>
        </w:rPr>
        <w:lastRenderedPageBreak/>
        <w:t>complications was demonstrated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0.118; </w:t>
      </w:r>
      <w:r w:rsidR="00197D26" w:rsidRPr="0049490E">
        <w:rPr>
          <w:rFonts w:ascii="Book Antiqua" w:eastAsia="Book Antiqua" w:hAnsi="Book Antiqua" w:cs="Book Antiqua"/>
          <w:color w:val="000000"/>
        </w:rPr>
        <w:t>Supplementary Ta</w:t>
      </w:r>
      <w:r w:rsidRPr="0049490E">
        <w:rPr>
          <w:rFonts w:ascii="Book Antiqua" w:eastAsia="Book Antiqua" w:hAnsi="Book Antiqua" w:cs="Book Antiqua"/>
          <w:color w:val="000000"/>
        </w:rPr>
        <w:t>ble 2). This may also be demonstrated by the fact that even in the same region, a particular state could have a different frequency of high risk in comparison to its neighbors. As an example, the proportion of patients at highest risk was 28.6% in the state of Goiás and only 14.3% in Tocantins and 16.7% in Mato Grosso do Sul, all states from the midwestern region. This can also be justified by different types of IBD care and patient profiles in terms of comorbidities between the states, wh</w:t>
      </w:r>
      <w:r w:rsidR="008F7B5B">
        <w:rPr>
          <w:rFonts w:ascii="Book Antiqua" w:eastAsia="Book Antiqua" w:hAnsi="Book Antiqua" w:cs="Book Antiqua"/>
          <w:color w:val="000000"/>
        </w:rPr>
        <w:t>ich</w:t>
      </w:r>
      <w:r w:rsidRPr="0049490E">
        <w:rPr>
          <w:rFonts w:ascii="Book Antiqua" w:eastAsia="Book Antiqua" w:hAnsi="Book Antiqua" w:cs="Book Antiqua"/>
          <w:color w:val="000000"/>
        </w:rPr>
        <w:t xml:space="preserve"> demonstrates the complexity of analyzing data in a heterogeneous country such as Brazil.</w:t>
      </w:r>
    </w:p>
    <w:p w14:paraId="5A5CBBEA" w14:textId="6484B64A"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Regarding COVID-related mortality rates in Brazil, it seems clear that the higher rates found in the states of Amazonas, Ceará, Pará, Rio de Janeiro and Amapá reflect difficulties in healthcare in these specific areas. Most of these states belong to less developed regions of the country (northern and northeastern). These are states with chronic difficulties in the public health system over the last decades, with limited resources, reduced number</w:t>
      </w:r>
      <w:r w:rsidR="003001DC">
        <w:rPr>
          <w:rFonts w:ascii="Book Antiqua" w:eastAsia="Book Antiqua" w:hAnsi="Book Antiqua" w:cs="Book Antiqua"/>
          <w:color w:val="000000"/>
        </w:rPr>
        <w:t>s</w:t>
      </w:r>
      <w:r w:rsidRPr="0049490E">
        <w:rPr>
          <w:rFonts w:ascii="Book Antiqua" w:eastAsia="Book Antiqua" w:hAnsi="Book Antiqua" w:cs="Book Antiqua"/>
          <w:color w:val="000000"/>
        </w:rPr>
        <w:t xml:space="preserve"> of hospitals and consequently disproportional intensive care unit beds per 100000 inhabitants</w:t>
      </w:r>
      <w:r w:rsidRPr="0049490E">
        <w:rPr>
          <w:rFonts w:ascii="Book Antiqua" w:eastAsia="Book Antiqua" w:hAnsi="Book Antiqua" w:cs="Book Antiqua"/>
          <w:color w:val="000000"/>
          <w:vertAlign w:val="superscript"/>
        </w:rPr>
        <w:t>[14]</w:t>
      </w:r>
      <w:r w:rsidRPr="0049490E">
        <w:rPr>
          <w:rFonts w:ascii="Book Antiqua" w:eastAsia="Book Antiqua" w:hAnsi="Book Antiqua" w:cs="Book Antiqua"/>
          <w:color w:val="000000"/>
        </w:rPr>
        <w:t>.</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Recent data reveal</w:t>
      </w:r>
      <w:r w:rsidR="003001DC">
        <w:rPr>
          <w:rFonts w:ascii="Book Antiqua" w:eastAsia="Book Antiqua" w:hAnsi="Book Antiqua" w:cs="Book Antiqua"/>
          <w:color w:val="000000"/>
        </w:rPr>
        <w:t>ed</w:t>
      </w:r>
      <w:r w:rsidRPr="0049490E">
        <w:rPr>
          <w:rFonts w:ascii="Book Antiqua" w:eastAsia="Book Antiqua" w:hAnsi="Book Antiqua" w:cs="Book Antiqua"/>
          <w:color w:val="000000"/>
        </w:rPr>
        <w:t xml:space="preserve"> that Brazil has 15.6 intensive care unit beds per 100000 inhabitants. Considering only </w:t>
      </w:r>
      <w:r w:rsidR="00197D26" w:rsidRPr="0049490E">
        <w:rPr>
          <w:rFonts w:ascii="Book Antiqua" w:eastAsia="Book Antiqua" w:hAnsi="Book Antiqua" w:cs="Book Antiqua"/>
          <w:color w:val="000000"/>
        </w:rPr>
        <w:t>intensive care unit</w:t>
      </w:r>
      <w:r w:rsidRPr="0049490E">
        <w:rPr>
          <w:rFonts w:ascii="Book Antiqua" w:eastAsia="Book Antiqua" w:hAnsi="Book Antiqua" w:cs="Book Antiqua"/>
          <w:color w:val="000000"/>
        </w:rPr>
        <w:t xml:space="preserve"> beds from the public health system, the average drops to 7.1 per 100000 inhabitants</w:t>
      </w:r>
      <w:r w:rsidR="003001DC">
        <w:rPr>
          <w:rFonts w:ascii="Book Antiqua" w:eastAsia="Book Antiqua" w:hAnsi="Book Antiqua" w:cs="Book Antiqua"/>
          <w:color w:val="000000"/>
        </w:rPr>
        <w:t>,</w:t>
      </w:r>
      <w:r w:rsidRPr="0049490E">
        <w:rPr>
          <w:rFonts w:ascii="Book Antiqua" w:eastAsia="Book Antiqua" w:hAnsi="Book Antiqua" w:cs="Book Antiqua"/>
          <w:color w:val="000000"/>
        </w:rPr>
        <w:t xml:space="preserve"> and there are significant differences between the regions of the country. Among the population exclusively dependent on the public health system, 30.5% of the Northeast, 22.6% of the North and 21% of the Midwest regions live in places without </w:t>
      </w:r>
      <w:r w:rsidR="00197D26" w:rsidRPr="0049490E">
        <w:rPr>
          <w:rFonts w:ascii="Book Antiqua" w:eastAsia="Book Antiqua" w:hAnsi="Book Antiqua" w:cs="Book Antiqua"/>
          <w:color w:val="000000"/>
        </w:rPr>
        <w:t>intensive care unit</w:t>
      </w:r>
      <w:r w:rsidRPr="0049490E">
        <w:rPr>
          <w:rFonts w:ascii="Book Antiqua" w:eastAsia="Book Antiqua" w:hAnsi="Book Antiqua" w:cs="Book Antiqua"/>
          <w:color w:val="000000"/>
        </w:rPr>
        <w:t xml:space="preserve"> beds</w:t>
      </w:r>
      <w:r w:rsidRPr="0049490E">
        <w:rPr>
          <w:rFonts w:ascii="Book Antiqua" w:eastAsia="Book Antiqua" w:hAnsi="Book Antiqua" w:cs="Book Antiqua"/>
          <w:color w:val="000000"/>
          <w:vertAlign w:val="superscript"/>
        </w:rPr>
        <w:t>[15]</w:t>
      </w:r>
      <w:r w:rsidRPr="0049490E">
        <w:rPr>
          <w:rFonts w:ascii="Book Antiqua" w:eastAsia="Book Antiqua" w:hAnsi="Book Antiqua" w:cs="Book Antiqua"/>
          <w:color w:val="000000"/>
        </w:rPr>
        <w:t>.</w:t>
      </w:r>
    </w:p>
    <w:p w14:paraId="32A1D940" w14:textId="1DB95145"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Socioeconomical limitations may also be illustrated by the assessment of </w:t>
      </w:r>
      <w:r w:rsidR="00E561D1">
        <w:rPr>
          <w:rFonts w:ascii="Book Antiqua" w:eastAsia="Book Antiqua" w:hAnsi="Book Antiqua" w:cs="Book Antiqua"/>
          <w:color w:val="000000"/>
        </w:rPr>
        <w:t xml:space="preserve">the </w:t>
      </w:r>
      <w:r w:rsidRPr="0049490E">
        <w:rPr>
          <w:rFonts w:ascii="Book Antiqua" w:eastAsia="Book Antiqua" w:hAnsi="Book Antiqua" w:cs="Book Antiqua"/>
          <w:color w:val="000000"/>
        </w:rPr>
        <w:t>Human Development Index (HDI) in these states</w:t>
      </w:r>
      <w:r w:rsidR="00E561D1">
        <w:rPr>
          <w:rFonts w:ascii="Book Antiqua" w:eastAsia="Book Antiqua" w:hAnsi="Book Antiqua" w:cs="Book Antiqua"/>
          <w:color w:val="000000"/>
        </w:rPr>
        <w:t xml:space="preserve"> because</w:t>
      </w:r>
      <w:r w:rsidRPr="0049490E">
        <w:rPr>
          <w:rFonts w:ascii="Book Antiqua" w:eastAsia="Book Antiqua" w:hAnsi="Book Antiqua" w:cs="Book Antiqua"/>
          <w:color w:val="000000"/>
        </w:rPr>
        <w:t xml:space="preserve"> it is based on three aspects: health, as measured by life expectancy at birth; knowledge, as measured by the adult literacy rate</w:t>
      </w:r>
      <w:r w:rsidR="00E561D1">
        <w:rPr>
          <w:rFonts w:ascii="Book Antiqua" w:eastAsia="Book Antiqua" w:hAnsi="Book Antiqua" w:cs="Book Antiqua"/>
          <w:color w:val="000000"/>
        </w:rPr>
        <w:t>;</w:t>
      </w:r>
      <w:r w:rsidRPr="0049490E">
        <w:rPr>
          <w:rFonts w:ascii="Book Antiqua" w:eastAsia="Book Antiqua" w:hAnsi="Book Antiqua" w:cs="Book Antiqua"/>
          <w:color w:val="000000"/>
        </w:rPr>
        <w:t xml:space="preserve"> and a decent standard of living, as measured by gross domestic product per capita. Concerning the five geographic regions of Brazil, the first five states with the highest HDI are from</w:t>
      </w:r>
      <w:r w:rsidR="00E561D1">
        <w:rPr>
          <w:rFonts w:ascii="Book Antiqua" w:eastAsia="Book Antiqua" w:hAnsi="Book Antiqua" w:cs="Book Antiqua"/>
          <w:color w:val="000000"/>
        </w:rPr>
        <w:t xml:space="preserve"> the</w:t>
      </w:r>
      <w:r w:rsidRPr="0049490E">
        <w:rPr>
          <w:rFonts w:ascii="Book Antiqua" w:eastAsia="Book Antiqua" w:hAnsi="Book Antiqua" w:cs="Book Antiqua"/>
          <w:color w:val="000000"/>
        </w:rPr>
        <w:t xml:space="preserve"> South, Southeast and Midwest regions and the last five states with the lowest HDI are from </w:t>
      </w:r>
      <w:r w:rsidR="00006C73">
        <w:rPr>
          <w:rFonts w:ascii="Book Antiqua" w:eastAsia="Book Antiqua" w:hAnsi="Book Antiqua" w:cs="Book Antiqua"/>
          <w:color w:val="000000"/>
        </w:rPr>
        <w:t xml:space="preserve">the </w:t>
      </w:r>
      <w:r w:rsidRPr="0049490E">
        <w:rPr>
          <w:rFonts w:ascii="Book Antiqua" w:eastAsia="Book Antiqua" w:hAnsi="Book Antiqua" w:cs="Book Antiqua"/>
          <w:color w:val="000000"/>
        </w:rPr>
        <w:t>North and Northeast regions</w:t>
      </w:r>
      <w:r w:rsidRPr="0049490E">
        <w:rPr>
          <w:rFonts w:ascii="Book Antiqua" w:eastAsia="Book Antiqua" w:hAnsi="Book Antiqua" w:cs="Book Antiqua"/>
          <w:color w:val="000000"/>
          <w:vertAlign w:val="superscript"/>
        </w:rPr>
        <w:t>[16]</w:t>
      </w:r>
      <w:r w:rsidRPr="0049490E">
        <w:rPr>
          <w:rFonts w:ascii="Book Antiqua" w:eastAsia="Book Antiqua" w:hAnsi="Book Antiqua" w:cs="Book Antiqua"/>
          <w:color w:val="000000"/>
        </w:rPr>
        <w:t>. Despite the northern and northeastern regions hav</w:t>
      </w:r>
      <w:r w:rsidR="00006C73">
        <w:rPr>
          <w:rFonts w:ascii="Book Antiqua" w:eastAsia="Book Antiqua" w:hAnsi="Book Antiqua" w:cs="Book Antiqua"/>
          <w:color w:val="000000"/>
        </w:rPr>
        <w:t>ing</w:t>
      </w:r>
      <w:r w:rsidRPr="0049490E">
        <w:rPr>
          <w:rFonts w:ascii="Book Antiqua" w:eastAsia="Book Antiqua" w:hAnsi="Book Antiqua" w:cs="Book Antiqua"/>
          <w:color w:val="000000"/>
        </w:rPr>
        <w:t xml:space="preserve"> a lower prevalence of IBD patients, the significant percentage of patients </w:t>
      </w:r>
      <w:r w:rsidR="00006C73">
        <w:rPr>
          <w:rFonts w:ascii="Book Antiqua" w:eastAsia="Book Antiqua" w:hAnsi="Book Antiqua" w:cs="Book Antiqua"/>
          <w:color w:val="000000"/>
        </w:rPr>
        <w:t>at</w:t>
      </w:r>
      <w:r w:rsidRPr="0049490E">
        <w:rPr>
          <w:rFonts w:ascii="Book Antiqua" w:eastAsia="Book Antiqua" w:hAnsi="Book Antiqua" w:cs="Book Antiqua"/>
          <w:color w:val="000000"/>
        </w:rPr>
        <w:t xml:space="preserve"> highest risk for COVID-19 complications might reflect a similar healthcare system limitation, possibly with few available IBD specialists in the respective regions.</w:t>
      </w:r>
    </w:p>
    <w:p w14:paraId="06182C8B" w14:textId="78DEAC66"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lastRenderedPageBreak/>
        <w:t xml:space="preserve">It is not being an easy task for Brazilian health authorities to deal with the COVID-19 pandemic. The country is facing important economic and political challenges </w:t>
      </w:r>
      <w:r w:rsidR="00613CF6">
        <w:rPr>
          <w:rFonts w:ascii="Book Antiqua" w:eastAsia="Book Antiqua" w:hAnsi="Book Antiqua" w:cs="Book Antiqua"/>
          <w:color w:val="000000"/>
        </w:rPr>
        <w:t>that likely</w:t>
      </w:r>
      <w:r w:rsidRPr="0049490E">
        <w:rPr>
          <w:rFonts w:ascii="Book Antiqua" w:eastAsia="Book Antiqua" w:hAnsi="Book Antiqua" w:cs="Book Antiqua"/>
          <w:color w:val="000000"/>
        </w:rPr>
        <w:t xml:space="preserve"> contribute to the significant increase of the number of cases and deaths throughout the country.</w:t>
      </w:r>
      <w:r w:rsidR="00197D26" w:rsidRPr="0049490E">
        <w:rPr>
          <w:rFonts w:ascii="Book Antiqua" w:eastAsia="Book Antiqua" w:hAnsi="Book Antiqua" w:cs="Book Antiqua"/>
          <w:color w:val="000000"/>
        </w:rPr>
        <w:t xml:space="preserve"> </w:t>
      </w:r>
      <w:r w:rsidR="00613CF6">
        <w:rPr>
          <w:rFonts w:ascii="Book Antiqua" w:eastAsia="Book Antiqua" w:hAnsi="Book Antiqua" w:cs="Book Antiqua"/>
          <w:color w:val="000000"/>
        </w:rPr>
        <w:t xml:space="preserve">The </w:t>
      </w:r>
      <w:r w:rsidRPr="0049490E">
        <w:rPr>
          <w:rFonts w:ascii="Book Antiqua" w:eastAsia="Book Antiqua" w:hAnsi="Book Antiqua" w:cs="Book Antiqua"/>
          <w:color w:val="000000"/>
        </w:rPr>
        <w:t>Brazilian government has been a recurrent target for scientific and regular media worldwide</w:t>
      </w:r>
      <w:r w:rsidRPr="0049490E">
        <w:rPr>
          <w:rFonts w:ascii="Book Antiqua" w:eastAsia="Book Antiqua" w:hAnsi="Book Antiqua" w:cs="Book Antiqua"/>
          <w:color w:val="000000"/>
          <w:vertAlign w:val="superscript"/>
        </w:rPr>
        <w:t>[17]</w:t>
      </w:r>
      <w:r w:rsidRPr="0049490E">
        <w:rPr>
          <w:rFonts w:ascii="Book Antiqua" w:eastAsia="Book Antiqua" w:hAnsi="Book Antiqua" w:cs="Book Antiqua"/>
          <w:color w:val="000000"/>
        </w:rPr>
        <w:t>. We truly hope this manuscript can raise awareness and call the attention from national health authorities with respect to vulnerability of specific populations during this critical period our country is facing.</w:t>
      </w:r>
    </w:p>
    <w:p w14:paraId="68717E20" w14:textId="25203AB0" w:rsidR="00A77B3E" w:rsidRPr="0049490E" w:rsidRDefault="00521142" w:rsidP="0049490E">
      <w:pPr>
        <w:spacing w:line="360" w:lineRule="auto"/>
        <w:ind w:firstLineChars="100" w:firstLine="240"/>
        <w:jc w:val="both"/>
        <w:rPr>
          <w:rFonts w:ascii="Book Antiqua" w:hAnsi="Book Antiqua"/>
        </w:rPr>
      </w:pPr>
      <w:r w:rsidRPr="0049490E">
        <w:rPr>
          <w:rFonts w:ascii="Book Antiqua" w:eastAsia="Book Antiqua" w:hAnsi="Book Antiqua" w:cs="Book Antiqua"/>
          <w:color w:val="000000"/>
        </w:rPr>
        <w:t xml:space="preserve">The present study is associated </w:t>
      </w:r>
      <w:r w:rsidR="002A2B7F">
        <w:rPr>
          <w:rFonts w:ascii="Book Antiqua" w:eastAsia="Book Antiqua" w:hAnsi="Book Antiqua" w:cs="Book Antiqua"/>
          <w:color w:val="000000"/>
        </w:rPr>
        <w:t>with</w:t>
      </w:r>
      <w:r w:rsidR="002A2B7F"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some limitations, which must be considered for adequate interpretation of the results. First, as previously mentioned, the higher proportion of respondents coming from the southeastern and southern regions may not reflect the reality in other states, mostly from the northern and northeastern regions, which have more rural areas and lower HDI. Another important point is that the survey was simple, objective and analyzed a limited number of variables. As an example, even the simple diagnostic difference between ulcerative colitis and Crohn’s disease was not evaluated. Disease activity at the time of the survey was not captured, wh</w:t>
      </w:r>
      <w:r w:rsidR="002A2B7F">
        <w:rPr>
          <w:rFonts w:ascii="Book Antiqua" w:eastAsia="Book Antiqua" w:hAnsi="Book Antiqua" w:cs="Book Antiqua"/>
          <w:color w:val="000000"/>
        </w:rPr>
        <w:t>ich</w:t>
      </w:r>
      <w:r w:rsidRPr="0049490E">
        <w:rPr>
          <w:rFonts w:ascii="Book Antiqua" w:eastAsia="Book Antiqua" w:hAnsi="Book Antiqua" w:cs="Book Antiqua"/>
          <w:color w:val="000000"/>
        </w:rPr>
        <w:t xml:space="preserve"> could have influenced the results. Data is also derived from self-reported personal and treatment-related characteristics, which may be biased by individual intellectual issues.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Important additional limitations of our study include the absence of follow-up </w:t>
      </w:r>
      <w:r w:rsidR="0014726A">
        <w:rPr>
          <w:rFonts w:ascii="Book Antiqua" w:eastAsia="Book Antiqua" w:hAnsi="Book Antiqua" w:cs="Book Antiqua"/>
          <w:color w:val="000000"/>
        </w:rPr>
        <w:t>of the</w:t>
      </w:r>
      <w:r w:rsidRPr="0049490E">
        <w:rPr>
          <w:rFonts w:ascii="Book Antiqua" w:eastAsia="Book Antiqua" w:hAnsi="Book Antiqua" w:cs="Book Antiqua"/>
          <w:color w:val="000000"/>
        </w:rPr>
        <w:t xml:space="preserve"> patients who replied</w:t>
      </w:r>
      <w:r w:rsidR="0014726A">
        <w:rPr>
          <w:rFonts w:ascii="Book Antiqua" w:eastAsia="Book Antiqua" w:hAnsi="Book Antiqua" w:cs="Book Antiqua"/>
          <w:color w:val="000000"/>
        </w:rPr>
        <w:t xml:space="preserve"> to</w:t>
      </w:r>
      <w:r w:rsidRPr="0049490E">
        <w:rPr>
          <w:rFonts w:ascii="Book Antiqua" w:eastAsia="Book Antiqua" w:hAnsi="Book Antiqua" w:cs="Book Antiqua"/>
          <w:color w:val="000000"/>
        </w:rPr>
        <w:t xml:space="preserve"> the survey. By not having this information, we could not describe in detail if patients who had COVID-19 infection continued their medications, possible differences between </w:t>
      </w:r>
      <w:r w:rsidR="0014726A">
        <w:rPr>
          <w:rFonts w:ascii="Book Antiqua" w:eastAsia="Book Antiqua" w:hAnsi="Book Antiqua" w:cs="Book Antiqua"/>
          <w:color w:val="000000"/>
        </w:rPr>
        <w:t>ulcerative colitis and Crohn’s disease</w:t>
      </w:r>
      <w:r w:rsidRPr="0049490E">
        <w:rPr>
          <w:rFonts w:ascii="Book Antiqua" w:eastAsia="Book Antiqua" w:hAnsi="Book Antiqua" w:cs="Book Antiqua"/>
          <w:color w:val="000000"/>
        </w:rPr>
        <w:t xml:space="preserve"> or common manifestations of </w:t>
      </w:r>
      <w:r w:rsidR="008A63B7" w:rsidRPr="0049490E">
        <w:rPr>
          <w:rFonts w:ascii="Book Antiqua" w:eastAsia="Book Antiqua" w:hAnsi="Book Antiqua" w:cs="Book Antiqua"/>
          <w:color w:val="000000"/>
        </w:rPr>
        <w:t xml:space="preserve">severe acute respiratory syndrome coronavirus-2 </w:t>
      </w:r>
      <w:r w:rsidRPr="0049490E">
        <w:rPr>
          <w:rFonts w:ascii="Book Antiqua" w:eastAsia="Book Antiqua" w:hAnsi="Book Antiqua" w:cs="Book Antiqua"/>
          <w:color w:val="000000"/>
        </w:rPr>
        <w:t>among included patients due to methodological issues.</w:t>
      </w:r>
      <w:r w:rsidR="00197D26"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 xml:space="preserve">Despite these limitations, the study’s strength is based in the large number of patients who responded </w:t>
      </w:r>
      <w:r w:rsidR="001702A2">
        <w:rPr>
          <w:rFonts w:ascii="Book Antiqua" w:eastAsia="Book Antiqua" w:hAnsi="Book Antiqua" w:cs="Book Antiqua"/>
          <w:color w:val="000000"/>
        </w:rPr>
        <w:t xml:space="preserve">to </w:t>
      </w:r>
      <w:r w:rsidRPr="0049490E">
        <w:rPr>
          <w:rFonts w:ascii="Book Antiqua" w:eastAsia="Book Antiqua" w:hAnsi="Book Antiqua" w:cs="Book Antiqua"/>
          <w:color w:val="000000"/>
        </w:rPr>
        <w:t>the survey from all states of Brazil, and this represents one of the largest databases regarding COVID-19 risk for complications in IBD patients globally.</w:t>
      </w:r>
    </w:p>
    <w:p w14:paraId="65008337" w14:textId="77777777" w:rsidR="00A77B3E" w:rsidRPr="0049490E" w:rsidRDefault="00A77B3E" w:rsidP="0049490E">
      <w:pPr>
        <w:spacing w:line="360" w:lineRule="auto"/>
        <w:jc w:val="both"/>
        <w:rPr>
          <w:rFonts w:ascii="Book Antiqua" w:hAnsi="Book Antiqua"/>
        </w:rPr>
      </w:pPr>
    </w:p>
    <w:p w14:paraId="5FB6BCE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CONCLUSION</w:t>
      </w:r>
    </w:p>
    <w:p w14:paraId="0079E7A7" w14:textId="50F51D8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In summary, no correlation between the proportion of IBD patients at highest risk for COVID-19 complications and higher mortality rates was identified among Brazilian states. This can be related to the fact that the majority of </w:t>
      </w:r>
      <w:r w:rsidR="001702A2">
        <w:rPr>
          <w:rFonts w:ascii="Book Antiqua" w:eastAsia="Book Antiqua" w:hAnsi="Book Antiqua" w:cs="Book Antiqua"/>
          <w:color w:val="000000"/>
        </w:rPr>
        <w:t xml:space="preserve">the </w:t>
      </w:r>
      <w:r w:rsidRPr="0049490E">
        <w:rPr>
          <w:rFonts w:ascii="Book Antiqua" w:eastAsia="Book Antiqua" w:hAnsi="Book Antiqua" w:cs="Book Antiqua"/>
          <w:color w:val="000000"/>
        </w:rPr>
        <w:t xml:space="preserve">IBD patients </w:t>
      </w:r>
      <w:r w:rsidR="001702A2">
        <w:rPr>
          <w:rFonts w:ascii="Book Antiqua" w:eastAsia="Book Antiqua" w:hAnsi="Book Antiqua" w:cs="Book Antiqua"/>
          <w:color w:val="000000"/>
        </w:rPr>
        <w:t>are</w:t>
      </w:r>
      <w:r w:rsidRPr="0049490E">
        <w:rPr>
          <w:rFonts w:ascii="Book Antiqua" w:eastAsia="Book Antiqua" w:hAnsi="Book Antiqua" w:cs="Book Antiqua"/>
          <w:color w:val="000000"/>
        </w:rPr>
        <w:t xml:space="preserve"> at moderate </w:t>
      </w:r>
      <w:r w:rsidRPr="0049490E">
        <w:rPr>
          <w:rFonts w:ascii="Book Antiqua" w:eastAsia="Book Antiqua" w:hAnsi="Book Antiqua" w:cs="Book Antiqua"/>
          <w:color w:val="000000"/>
        </w:rPr>
        <w:lastRenderedPageBreak/>
        <w:t>risk, wh</w:t>
      </w:r>
      <w:r w:rsidR="007A61C4">
        <w:rPr>
          <w:rFonts w:ascii="Book Antiqua" w:eastAsia="Book Antiqua" w:hAnsi="Book Antiqua" w:cs="Book Antiqua"/>
          <w:color w:val="000000"/>
        </w:rPr>
        <w:t>ich</w:t>
      </w:r>
      <w:r w:rsidRPr="0049490E">
        <w:rPr>
          <w:rFonts w:ascii="Book Antiqua" w:eastAsia="Book Antiqua" w:hAnsi="Book Antiqua" w:cs="Book Antiqua"/>
          <w:color w:val="000000"/>
        </w:rPr>
        <w:t xml:space="preserve"> could possibly reflect adequate treatment and controlled disease. More epidemiological data comparing IBD and COVID-19 outcomes are suggested in large countries </w:t>
      </w:r>
      <w:r w:rsidR="007A61C4">
        <w:rPr>
          <w:rFonts w:ascii="Book Antiqua" w:eastAsia="Book Antiqua" w:hAnsi="Book Antiqua" w:cs="Book Antiqua"/>
          <w:color w:val="000000"/>
        </w:rPr>
        <w:t xml:space="preserve">such </w:t>
      </w:r>
      <w:r w:rsidRPr="0049490E">
        <w:rPr>
          <w:rFonts w:ascii="Book Antiqua" w:eastAsia="Book Antiqua" w:hAnsi="Book Antiqua" w:cs="Book Antiqua"/>
          <w:color w:val="000000"/>
        </w:rPr>
        <w:t>as Brazil to properly position which IBD patients are more vulnerable in this pandemic period.</w:t>
      </w:r>
    </w:p>
    <w:p w14:paraId="5FB89D33" w14:textId="77777777" w:rsidR="00A77B3E" w:rsidRPr="0049490E" w:rsidRDefault="00A77B3E" w:rsidP="0049490E">
      <w:pPr>
        <w:spacing w:line="360" w:lineRule="auto"/>
        <w:jc w:val="both"/>
        <w:rPr>
          <w:rFonts w:ascii="Book Antiqua" w:hAnsi="Book Antiqua"/>
        </w:rPr>
      </w:pPr>
    </w:p>
    <w:p w14:paraId="48739BD3"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aps/>
          <w:color w:val="000000"/>
          <w:u w:val="single"/>
        </w:rPr>
        <w:t>ARTICLE HIGHLIGHTS</w:t>
      </w:r>
    </w:p>
    <w:p w14:paraId="162DBAFB"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background</w:t>
      </w:r>
    </w:p>
    <w:p w14:paraId="736AF40A" w14:textId="667A033A" w:rsidR="00A77B3E" w:rsidRPr="0049490E" w:rsidRDefault="0055155C" w:rsidP="0049490E">
      <w:pPr>
        <w:spacing w:line="360" w:lineRule="auto"/>
        <w:jc w:val="both"/>
        <w:rPr>
          <w:rFonts w:ascii="Book Antiqua" w:hAnsi="Book Antiqua"/>
        </w:rPr>
      </w:pPr>
      <w:r>
        <w:rPr>
          <w:rFonts w:ascii="Book Antiqua" w:eastAsia="Book Antiqua" w:hAnsi="Book Antiqua" w:cs="Book Antiqua"/>
          <w:color w:val="000000"/>
        </w:rPr>
        <w:t>The c</w:t>
      </w:r>
      <w:r w:rsidR="00D74512" w:rsidRPr="0049490E">
        <w:rPr>
          <w:rFonts w:ascii="Book Antiqua" w:eastAsia="Book Antiqua" w:hAnsi="Book Antiqua" w:cs="Book Antiqua"/>
          <w:color w:val="000000"/>
        </w:rPr>
        <w:t>oronavirus disease 2019 (COVID-19)</w:t>
      </w:r>
      <w:r w:rsidR="00521142" w:rsidRPr="0049490E">
        <w:rPr>
          <w:rFonts w:ascii="Book Antiqua" w:eastAsia="Book Antiqua" w:hAnsi="Book Antiqua" w:cs="Book Antiqua"/>
          <w:color w:val="000000"/>
        </w:rPr>
        <w:t xml:space="preserve"> pandemic is a public health emergency of international concern</w:t>
      </w:r>
      <w:r>
        <w:rPr>
          <w:rFonts w:ascii="Book Antiqua" w:eastAsia="Book Antiqua" w:hAnsi="Book Antiqua" w:cs="Book Antiqua"/>
          <w:color w:val="000000"/>
        </w:rPr>
        <w:t>,</w:t>
      </w:r>
      <w:r w:rsidR="00521142" w:rsidRPr="0049490E">
        <w:rPr>
          <w:rFonts w:ascii="Book Antiqua" w:eastAsia="Book Antiqua" w:hAnsi="Book Antiqua" w:cs="Book Antiqua"/>
          <w:color w:val="000000"/>
        </w:rPr>
        <w:t xml:space="preserve"> and Brazil is currently one of the most affected countries.</w:t>
      </w:r>
    </w:p>
    <w:p w14:paraId="69212110" w14:textId="77777777" w:rsidR="00A77B3E" w:rsidRPr="0049490E" w:rsidRDefault="00A77B3E" w:rsidP="0049490E">
      <w:pPr>
        <w:spacing w:line="360" w:lineRule="auto"/>
        <w:jc w:val="both"/>
        <w:rPr>
          <w:rFonts w:ascii="Book Antiqua" w:hAnsi="Book Antiqua"/>
        </w:rPr>
      </w:pPr>
    </w:p>
    <w:p w14:paraId="36FE3F5A"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motivation</w:t>
      </w:r>
    </w:p>
    <w:p w14:paraId="52D11FAF" w14:textId="43EA3E94"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It is uncertain whether patients with </w:t>
      </w:r>
      <w:r w:rsidR="00D74512" w:rsidRPr="0049490E">
        <w:rPr>
          <w:rFonts w:ascii="Book Antiqua" w:eastAsia="Book Antiqua" w:hAnsi="Book Antiqua" w:cs="Book Antiqua"/>
          <w:color w:val="000000"/>
        </w:rPr>
        <w:t>inflammatory bowel disease</w:t>
      </w:r>
      <w:r w:rsidRPr="0049490E">
        <w:rPr>
          <w:rFonts w:ascii="Book Antiqua" w:eastAsia="Book Antiqua" w:hAnsi="Book Antiqua" w:cs="Book Antiqua"/>
          <w:color w:val="000000"/>
        </w:rPr>
        <w:t xml:space="preserve"> (IBD) are </w:t>
      </w:r>
      <w:r w:rsidR="0055155C">
        <w:rPr>
          <w:rFonts w:ascii="Book Antiqua" w:eastAsia="Book Antiqua" w:hAnsi="Book Antiqua" w:cs="Book Antiqua"/>
          <w:color w:val="000000"/>
        </w:rPr>
        <w:t>at</w:t>
      </w:r>
      <w:r w:rsidR="0055155C"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 greater risk for developing COVID-19 or its complications.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There are scarce data in large countries correlating IBD patients, the risk of COVID-19 complications and mortality.</w:t>
      </w:r>
    </w:p>
    <w:p w14:paraId="3BB95B0F" w14:textId="77777777" w:rsidR="00A77B3E" w:rsidRPr="0049490E" w:rsidRDefault="00A77B3E" w:rsidP="0049490E">
      <w:pPr>
        <w:spacing w:line="360" w:lineRule="auto"/>
        <w:jc w:val="both"/>
        <w:rPr>
          <w:rFonts w:ascii="Book Antiqua" w:hAnsi="Book Antiqua"/>
        </w:rPr>
      </w:pPr>
    </w:p>
    <w:p w14:paraId="50E72A2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objectives</w:t>
      </w:r>
    </w:p>
    <w:p w14:paraId="4F494D52" w14:textId="467B132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This study aimed to evaluate geographical distribution of IBD patients at highest risk and correlate these data</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with COVID-19 mortality rates in different states of Brazil.</w:t>
      </w:r>
    </w:p>
    <w:p w14:paraId="4A28283E" w14:textId="77777777" w:rsidR="00A77B3E" w:rsidRPr="0049490E" w:rsidRDefault="00A77B3E" w:rsidP="0049490E">
      <w:pPr>
        <w:spacing w:line="360" w:lineRule="auto"/>
        <w:jc w:val="both"/>
        <w:rPr>
          <w:rFonts w:ascii="Book Antiqua" w:hAnsi="Book Antiqua"/>
        </w:rPr>
      </w:pPr>
    </w:p>
    <w:p w14:paraId="019CAA1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methods</w:t>
      </w:r>
    </w:p>
    <w:p w14:paraId="72370156" w14:textId="303BF21A"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It was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a web-based survey adapted from the British Society of Gastroenterology</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guid</w:t>
      </w:r>
      <w:r w:rsidR="00CF28AE">
        <w:rPr>
          <w:rFonts w:ascii="Book Antiqua" w:eastAsia="Book Antiqua" w:hAnsi="Book Antiqua" w:cs="Book Antiqua"/>
          <w:color w:val="000000"/>
        </w:rPr>
        <w:t>elines</w:t>
      </w:r>
      <w:r w:rsidRPr="0049490E">
        <w:rPr>
          <w:rFonts w:ascii="Book Antiqua" w:eastAsia="Book Antiqua" w:hAnsi="Book Antiqua" w:cs="Book Antiqua"/>
          <w:color w:val="000000"/>
        </w:rPr>
        <w:t>. We included</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demographic data and risk factors for</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shd w:val="clear" w:color="auto" w:fill="FFFFFF"/>
        </w:rPr>
        <w:t>complications from</w:t>
      </w:r>
      <w:r w:rsidR="00D74512" w:rsidRPr="0049490E">
        <w:rPr>
          <w:rFonts w:ascii="Book Antiqua" w:eastAsia="Book Antiqua" w:hAnsi="Book Antiqua" w:cs="Book Antiqua"/>
          <w:color w:val="000000"/>
          <w:shd w:val="clear" w:color="auto" w:fill="FFFFFF"/>
        </w:rPr>
        <w:t xml:space="preserve"> </w:t>
      </w:r>
      <w:r w:rsidRPr="0049490E">
        <w:rPr>
          <w:rFonts w:ascii="Book Antiqua" w:eastAsia="Book Antiqua" w:hAnsi="Book Antiqua" w:cs="Book Antiqua"/>
          <w:color w:val="000000"/>
        </w:rPr>
        <w:t>COVID-19. Patients were categorized as highest, moderate or lowest individual risk</w:t>
      </w:r>
      <w:r w:rsidRPr="0049490E">
        <w:rPr>
          <w:rFonts w:ascii="Book Antiqua" w:eastAsia="Book Antiqua" w:hAnsi="Book Antiqua" w:cs="Book Antiqua"/>
          <w:color w:val="000000"/>
          <w:shd w:val="clear" w:color="auto" w:fill="FFFFFF"/>
        </w:rPr>
        <w:t>.</w:t>
      </w:r>
    </w:p>
    <w:p w14:paraId="433B222D" w14:textId="77777777" w:rsidR="00A77B3E" w:rsidRPr="0049490E" w:rsidRDefault="00A77B3E" w:rsidP="0049490E">
      <w:pPr>
        <w:spacing w:line="360" w:lineRule="auto"/>
        <w:jc w:val="both"/>
        <w:rPr>
          <w:rFonts w:ascii="Book Antiqua" w:hAnsi="Book Antiqua"/>
        </w:rPr>
      </w:pPr>
    </w:p>
    <w:p w14:paraId="4E9AE6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results</w:t>
      </w:r>
    </w:p>
    <w:p w14:paraId="279AC083" w14:textId="6FAA977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The proportion of IBD patients at highest risk for COVID-19 complications depends on individual aspects and can vary in specific regions.</w:t>
      </w:r>
      <w:r w:rsidR="00D7451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No correlation between patients with IBD at highest risk and COVID-related mortality rates was demonstrated in different regions of the country.</w:t>
      </w:r>
    </w:p>
    <w:p w14:paraId="76D818F5" w14:textId="77777777" w:rsidR="00A77B3E" w:rsidRPr="0049490E" w:rsidRDefault="00A77B3E" w:rsidP="0049490E">
      <w:pPr>
        <w:spacing w:line="360" w:lineRule="auto"/>
        <w:jc w:val="both"/>
        <w:rPr>
          <w:rFonts w:ascii="Book Antiqua" w:hAnsi="Book Antiqua"/>
        </w:rPr>
      </w:pPr>
    </w:p>
    <w:p w14:paraId="5B42781F"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lastRenderedPageBreak/>
        <w:t>Research conclusions</w:t>
      </w:r>
    </w:p>
    <w:p w14:paraId="200726B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This is one of the largest studies analyzing the risk of patients with IBD during COVID-19 pandemic globally.</w:t>
      </w:r>
    </w:p>
    <w:p w14:paraId="4D63F738" w14:textId="77777777" w:rsidR="00A77B3E" w:rsidRPr="0049490E" w:rsidRDefault="00A77B3E" w:rsidP="0049490E">
      <w:pPr>
        <w:spacing w:line="360" w:lineRule="auto"/>
        <w:jc w:val="both"/>
        <w:rPr>
          <w:rFonts w:ascii="Book Antiqua" w:hAnsi="Book Antiqua"/>
        </w:rPr>
      </w:pPr>
    </w:p>
    <w:p w14:paraId="0F0FEB8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i/>
          <w:color w:val="000000"/>
        </w:rPr>
        <w:t>Research perspectives</w:t>
      </w:r>
    </w:p>
    <w:p w14:paraId="70CC2948" w14:textId="79FB1B1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These data can be important to large countries </w:t>
      </w:r>
      <w:r w:rsidR="00CF28AE">
        <w:rPr>
          <w:rFonts w:ascii="Book Antiqua" w:eastAsia="Book Antiqua" w:hAnsi="Book Antiqua" w:cs="Book Antiqua"/>
          <w:color w:val="000000"/>
        </w:rPr>
        <w:t xml:space="preserve">such </w:t>
      </w:r>
      <w:r w:rsidRPr="0049490E">
        <w:rPr>
          <w:rFonts w:ascii="Book Antiqua" w:eastAsia="Book Antiqua" w:hAnsi="Book Antiqua" w:cs="Book Antiqua"/>
          <w:color w:val="000000"/>
        </w:rPr>
        <w:t xml:space="preserve">as Brazil, United </w:t>
      </w:r>
      <w:r w:rsidR="00CF28AE">
        <w:rPr>
          <w:rFonts w:ascii="Book Antiqua" w:eastAsia="Book Antiqua" w:hAnsi="Book Antiqua" w:cs="Book Antiqua"/>
          <w:color w:val="000000"/>
        </w:rPr>
        <w:t>S</w:t>
      </w:r>
      <w:r w:rsidRPr="0049490E">
        <w:rPr>
          <w:rFonts w:ascii="Book Antiqua" w:eastAsia="Book Antiqua" w:hAnsi="Book Antiqua" w:cs="Book Antiqua"/>
          <w:color w:val="000000"/>
        </w:rPr>
        <w:t xml:space="preserve">tates, Russia and India, which </w:t>
      </w:r>
      <w:r w:rsidR="005927F7">
        <w:rPr>
          <w:rFonts w:ascii="Book Antiqua" w:eastAsia="Book Antiqua" w:hAnsi="Book Antiqua" w:cs="Book Antiqua"/>
          <w:color w:val="000000"/>
        </w:rPr>
        <w:t xml:space="preserve">are </w:t>
      </w:r>
      <w:r w:rsidRPr="0049490E">
        <w:rPr>
          <w:rFonts w:ascii="Book Antiqua" w:eastAsia="Book Antiqua" w:hAnsi="Book Antiqua" w:cs="Book Antiqua"/>
          <w:color w:val="000000"/>
        </w:rPr>
        <w:t>currently fac</w:t>
      </w:r>
      <w:r w:rsidR="005927F7">
        <w:rPr>
          <w:rFonts w:ascii="Book Antiqua" w:eastAsia="Book Antiqua" w:hAnsi="Book Antiqua" w:cs="Book Antiqua"/>
          <w:color w:val="000000"/>
        </w:rPr>
        <w:t>ing</w:t>
      </w:r>
      <w:r w:rsidRPr="0049490E">
        <w:rPr>
          <w:rFonts w:ascii="Book Antiqua" w:eastAsia="Book Antiqua" w:hAnsi="Book Antiqua" w:cs="Book Antiqua"/>
          <w:color w:val="000000"/>
        </w:rPr>
        <w:t xml:space="preserve"> significant problems in terms of controlling the pandemic. Even European countries, facing a second wave of COVID-19 infection, can base future research or decisions using these data as an example.</w:t>
      </w:r>
    </w:p>
    <w:p w14:paraId="2A0806B0" w14:textId="77777777" w:rsidR="00A77B3E" w:rsidRPr="0049490E" w:rsidRDefault="00A77B3E" w:rsidP="0049490E">
      <w:pPr>
        <w:spacing w:line="360" w:lineRule="auto"/>
        <w:jc w:val="both"/>
        <w:rPr>
          <w:rFonts w:ascii="Book Antiqua" w:hAnsi="Book Antiqua"/>
        </w:rPr>
      </w:pPr>
    </w:p>
    <w:p w14:paraId="10F54A4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REFERENCES</w:t>
      </w:r>
    </w:p>
    <w:p w14:paraId="2D2E81EC" w14:textId="2F8F55B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highlight w:val="yellow"/>
        </w:rPr>
        <w:t xml:space="preserve">1 </w:t>
      </w:r>
      <w:r w:rsidR="00286CDD" w:rsidRPr="0049490E">
        <w:rPr>
          <w:rFonts w:ascii="Book Antiqua" w:eastAsia="Book Antiqua" w:hAnsi="Book Antiqua" w:cs="Book Antiqua"/>
          <w:b/>
          <w:bCs/>
          <w:color w:val="000000"/>
          <w:highlight w:val="yellow"/>
        </w:rPr>
        <w:t>Painel Coronavirus</w:t>
      </w:r>
      <w:r w:rsidR="00286CDD" w:rsidRPr="0049490E">
        <w:rPr>
          <w:rFonts w:ascii="Book Antiqua" w:eastAsia="Book Antiqua" w:hAnsi="Book Antiqua" w:cs="Book Antiqua"/>
          <w:color w:val="000000"/>
          <w:highlight w:val="yellow"/>
        </w:rPr>
        <w:t xml:space="preserve">. </w:t>
      </w:r>
      <w:r w:rsidRPr="0049490E">
        <w:rPr>
          <w:rFonts w:ascii="Book Antiqua" w:eastAsia="Book Antiqua" w:hAnsi="Book Antiqua" w:cs="Book Antiqua"/>
          <w:color w:val="000000"/>
          <w:highlight w:val="yellow"/>
        </w:rPr>
        <w:t>Ministério da Saúde</w:t>
      </w:r>
      <w:r w:rsidR="00286CDD" w:rsidRPr="0049490E">
        <w:rPr>
          <w:rFonts w:ascii="Book Antiqua" w:eastAsia="Book Antiqua" w:hAnsi="Book Antiqua" w:cs="Book Antiqua"/>
          <w:color w:val="000000"/>
          <w:highlight w:val="yellow"/>
        </w:rPr>
        <w:t xml:space="preserve">. </w:t>
      </w:r>
      <w:r w:rsidR="00286CDD" w:rsidRPr="0049490E">
        <w:rPr>
          <w:rFonts w:ascii="Book Antiqua" w:hAnsi="Book Antiqua"/>
          <w:highlight w:val="yellow"/>
        </w:rPr>
        <w:t xml:space="preserve">16 </w:t>
      </w:r>
      <w:r w:rsidR="00286CDD" w:rsidRPr="0049490E">
        <w:rPr>
          <w:rFonts w:ascii="Book Antiqua" w:eastAsia="Book Antiqua" w:hAnsi="Book Antiqua" w:cs="Book Antiqua"/>
          <w:color w:val="000000"/>
          <w:highlight w:val="yellow"/>
        </w:rPr>
        <w:t>July 2020</w:t>
      </w:r>
      <w:r w:rsidR="00971786" w:rsidRPr="0049490E">
        <w:rPr>
          <w:rFonts w:ascii="Book Antiqua" w:eastAsia="Book Antiqua" w:hAnsi="Book Antiqua" w:cs="Book Antiqua"/>
          <w:color w:val="000000"/>
          <w:highlight w:val="yellow"/>
        </w:rPr>
        <w:t>.</w:t>
      </w:r>
      <w:r w:rsidRPr="0049490E">
        <w:rPr>
          <w:rFonts w:ascii="Book Antiqua" w:eastAsia="Book Antiqua" w:hAnsi="Book Antiqua" w:cs="Book Antiqua"/>
          <w:b/>
          <w:bCs/>
          <w:color w:val="000000"/>
          <w:highlight w:val="yellow"/>
        </w:rPr>
        <w:t xml:space="preserve"> </w:t>
      </w:r>
      <w:r w:rsidR="00971786" w:rsidRPr="0049490E">
        <w:rPr>
          <w:rFonts w:ascii="Book Antiqua" w:eastAsia="Book Antiqua" w:hAnsi="Book Antiqua" w:cs="Book Antiqua"/>
          <w:color w:val="000000"/>
          <w:highlight w:val="yellow"/>
        </w:rPr>
        <w:t>[cited</w:t>
      </w:r>
      <w:r w:rsidRPr="0049490E">
        <w:rPr>
          <w:rFonts w:ascii="Book Antiqua" w:eastAsia="Book Antiqua" w:hAnsi="Book Antiqua" w:cs="Book Antiqua"/>
          <w:color w:val="000000"/>
          <w:highlight w:val="yellow"/>
        </w:rPr>
        <w:t xml:space="preserve"> </w:t>
      </w:r>
      <w:r w:rsidR="002D4C30" w:rsidRPr="0049490E">
        <w:rPr>
          <w:rFonts w:ascii="Book Antiqua" w:eastAsia="Book Antiqua" w:hAnsi="Book Antiqua" w:cs="Book Antiqua"/>
          <w:color w:val="000000"/>
          <w:highlight w:val="yellow"/>
        </w:rPr>
        <w:t>28 November 2020</w:t>
      </w:r>
      <w:r w:rsidR="00971786" w:rsidRPr="0049490E">
        <w:rPr>
          <w:rFonts w:ascii="Book Antiqua" w:eastAsia="Book Antiqua" w:hAnsi="Book Antiqua" w:cs="Book Antiqua"/>
          <w:color w:val="000000"/>
          <w:highlight w:val="yellow"/>
        </w:rPr>
        <w:t>]</w:t>
      </w:r>
      <w:r w:rsidRPr="0049490E">
        <w:rPr>
          <w:rFonts w:ascii="Book Antiqua" w:eastAsia="Book Antiqua" w:hAnsi="Book Antiqua" w:cs="Book Antiqua"/>
          <w:color w:val="000000"/>
          <w:highlight w:val="yellow"/>
        </w:rPr>
        <w:t>.</w:t>
      </w:r>
      <w:r w:rsidR="00F1352B" w:rsidRPr="0049490E">
        <w:rPr>
          <w:rFonts w:ascii="Book Antiqua" w:eastAsia="Book Antiqua" w:hAnsi="Book Antiqua" w:cs="Book Antiqua"/>
          <w:color w:val="000000"/>
          <w:highlight w:val="yellow"/>
        </w:rPr>
        <w:t xml:space="preserve"> In: Coronavirus Brasil </w:t>
      </w:r>
      <w:r w:rsidR="00F1352B" w:rsidRPr="0049490E">
        <w:rPr>
          <w:rFonts w:ascii="Book Antiqua" w:hAnsi="Book Antiqua"/>
          <w:bCs/>
          <w:color w:val="000000" w:themeColor="text1"/>
          <w:highlight w:val="yellow"/>
        </w:rPr>
        <w:t xml:space="preserve">[Internet]. </w:t>
      </w:r>
      <w:r w:rsidR="00971786" w:rsidRPr="0049490E">
        <w:rPr>
          <w:rFonts w:ascii="Book Antiqua" w:eastAsia="Book Antiqua" w:hAnsi="Book Antiqua" w:cs="Book Antiqua"/>
          <w:color w:val="000000"/>
          <w:highlight w:val="yellow"/>
        </w:rPr>
        <w:t>Available</w:t>
      </w:r>
      <w:r w:rsidRPr="0049490E">
        <w:rPr>
          <w:rFonts w:ascii="Book Antiqua" w:eastAsia="Book Antiqua" w:hAnsi="Book Antiqua" w:cs="Book Antiqua"/>
          <w:color w:val="000000"/>
          <w:highlight w:val="yellow"/>
        </w:rPr>
        <w:t xml:space="preserve"> from: https://covid.saude.gov.br/</w:t>
      </w:r>
    </w:p>
    <w:p w14:paraId="6C3AFA3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2 </w:t>
      </w:r>
      <w:r w:rsidRPr="0049490E">
        <w:rPr>
          <w:rFonts w:ascii="Book Antiqua" w:eastAsia="Book Antiqua" w:hAnsi="Book Antiqua" w:cs="Book Antiqua"/>
          <w:b/>
          <w:bCs/>
          <w:color w:val="000000"/>
        </w:rPr>
        <w:t>Allocca M</w:t>
      </w:r>
      <w:r w:rsidRPr="0049490E">
        <w:rPr>
          <w:rFonts w:ascii="Book Antiqua" w:eastAsia="Book Antiqua" w:hAnsi="Book Antiqua" w:cs="Book Antiqua"/>
          <w:color w:val="000000"/>
        </w:rPr>
        <w:t xml:space="preserve">, Fiorino G, Zallot C, Furfaro F, Gilardi D, Radice S, Danese S, Peyrin-Biroulet L. Incidence and Patterns of COVID-19 Among Inflammatory Bowel Disease Patients From the Nancy and Milan Cohorts. </w:t>
      </w:r>
      <w:r w:rsidRPr="0049490E">
        <w:rPr>
          <w:rFonts w:ascii="Book Antiqua" w:eastAsia="Book Antiqua" w:hAnsi="Book Antiqua" w:cs="Book Antiqua"/>
          <w:i/>
          <w:iCs/>
          <w:color w:val="000000"/>
        </w:rPr>
        <w:t>Clin Gastroenterol Hepatol</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18</w:t>
      </w:r>
      <w:r w:rsidRPr="0049490E">
        <w:rPr>
          <w:rFonts w:ascii="Book Antiqua" w:eastAsia="Book Antiqua" w:hAnsi="Book Antiqua" w:cs="Book Antiqua"/>
          <w:color w:val="000000"/>
        </w:rPr>
        <w:t>: 2134-2135 [PMID: 32360811 DOI: 10.1016/j.cgh.2020.04.071]</w:t>
      </w:r>
    </w:p>
    <w:p w14:paraId="2D9D4A9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3 </w:t>
      </w:r>
      <w:r w:rsidRPr="0049490E">
        <w:rPr>
          <w:rFonts w:ascii="Book Antiqua" w:eastAsia="Book Antiqua" w:hAnsi="Book Antiqua" w:cs="Book Antiqua"/>
          <w:b/>
          <w:bCs/>
          <w:color w:val="000000"/>
        </w:rPr>
        <w:t>Brenner EJ</w:t>
      </w:r>
      <w:r w:rsidRPr="0049490E">
        <w:rPr>
          <w:rFonts w:ascii="Book Antiqua" w:eastAsia="Book Antiqua" w:hAnsi="Book Antiqua" w:cs="Book Antiqua"/>
          <w:color w:val="000000"/>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sidRPr="0049490E">
        <w:rPr>
          <w:rFonts w:ascii="Book Antiqua" w:eastAsia="Book Antiqua" w:hAnsi="Book Antiqua" w:cs="Book Antiqua"/>
          <w:i/>
          <w:iCs/>
          <w:color w:val="000000"/>
        </w:rPr>
        <w:t>Gastroenterology</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159</w:t>
      </w:r>
      <w:r w:rsidRPr="0049490E">
        <w:rPr>
          <w:rFonts w:ascii="Book Antiqua" w:eastAsia="Book Antiqua" w:hAnsi="Book Antiqua" w:cs="Book Antiqua"/>
          <w:color w:val="000000"/>
        </w:rPr>
        <w:t>: 481-491.e3 [PMID: 32425234 DOI: 10.1053/j.gastro.2020.05.032]</w:t>
      </w:r>
    </w:p>
    <w:p w14:paraId="0643A1EF"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4 </w:t>
      </w:r>
      <w:r w:rsidRPr="0049490E">
        <w:rPr>
          <w:rFonts w:ascii="Book Antiqua" w:eastAsia="Book Antiqua" w:hAnsi="Book Antiqua" w:cs="Book Antiqua"/>
          <w:b/>
          <w:bCs/>
          <w:color w:val="000000"/>
        </w:rPr>
        <w:t>Ungaro RC</w:t>
      </w:r>
      <w:r w:rsidRPr="0049490E">
        <w:rPr>
          <w:rFonts w:ascii="Book Antiqua" w:eastAsia="Book Antiqua" w:hAnsi="Book Antiqua" w:cs="Book Antiqua"/>
          <w:color w:val="000000"/>
        </w:rPr>
        <w:t xml:space="preserve">, Brenner EJ, Gearry RB, Kaplan GG, Kissous-Hunt M, Lewis JD, Ng SC, Rahier JF, Reinisch W, Steinwurz F, Underwood FE, Zhang X, Colombel JF, Kappelman MD. Effect of IBD medications on COVID-19 outcomes: results from an international registry. </w:t>
      </w:r>
      <w:r w:rsidRPr="0049490E">
        <w:rPr>
          <w:rFonts w:ascii="Book Antiqua" w:eastAsia="Book Antiqua" w:hAnsi="Book Antiqua" w:cs="Book Antiqua"/>
          <w:i/>
          <w:iCs/>
          <w:color w:val="000000"/>
        </w:rPr>
        <w:t>Gut</w:t>
      </w:r>
      <w:r w:rsidRPr="0049490E">
        <w:rPr>
          <w:rFonts w:ascii="Book Antiqua" w:eastAsia="Book Antiqua" w:hAnsi="Book Antiqua" w:cs="Book Antiqua"/>
          <w:color w:val="000000"/>
        </w:rPr>
        <w:t xml:space="preserve"> 2020 [PMID: 33082265 DOI: 10.1136/gutjnl-2020-322539]</w:t>
      </w:r>
    </w:p>
    <w:p w14:paraId="6BA7F2D6"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5 </w:t>
      </w:r>
      <w:bookmarkStart w:id="0" w:name="_Hlk63714492"/>
      <w:r w:rsidRPr="0049490E">
        <w:rPr>
          <w:rFonts w:ascii="Book Antiqua" w:eastAsia="Book Antiqua" w:hAnsi="Book Antiqua" w:cs="Book Antiqua"/>
          <w:b/>
          <w:bCs/>
          <w:color w:val="000000"/>
        </w:rPr>
        <w:t>Kennedy</w:t>
      </w:r>
      <w:bookmarkEnd w:id="0"/>
      <w:r w:rsidRPr="0049490E">
        <w:rPr>
          <w:rFonts w:ascii="Book Antiqua" w:eastAsia="Book Antiqua" w:hAnsi="Book Antiqua" w:cs="Book Antiqua"/>
          <w:b/>
          <w:bCs/>
          <w:color w:val="000000"/>
        </w:rPr>
        <w:t xml:space="preserve"> NA</w:t>
      </w:r>
      <w:r w:rsidRPr="0049490E">
        <w:rPr>
          <w:rFonts w:ascii="Book Antiqua" w:eastAsia="Book Antiqua" w:hAnsi="Book Antiqua" w:cs="Book Antiqua"/>
          <w:color w:val="000000"/>
        </w:rPr>
        <w:t xml:space="preserve">, Jones GR, Lamb CA, Appleby R, Arnott I, Beattie RM, Bloom S, Brooks AJ, Cooney R, Dart RJ, Edwards C, Fraser A, Gaya DR, Ghosh S, Greveson K, Hansen R, Hart A, Hawthorne AB, Hayee B, Limdi JK, Murray CD, Parkes GC, Parkes M, Patel K, </w:t>
      </w:r>
      <w:r w:rsidRPr="0049490E">
        <w:rPr>
          <w:rFonts w:ascii="Book Antiqua" w:eastAsia="Book Antiqua" w:hAnsi="Book Antiqua" w:cs="Book Antiqua"/>
          <w:color w:val="000000"/>
        </w:rPr>
        <w:lastRenderedPageBreak/>
        <w:t xml:space="preserve">Pollok RC, Powell N, Probert CS, Raine T, Sebastian S, Selinger C, Smith PJ, Stansfield C, Younge L, Lindsay JO, Irving PM, Lees CW. British Society of Gastroenterology guidance for management of inflammatory bowel disease during the COVID-19 pandemic. </w:t>
      </w:r>
      <w:r w:rsidRPr="0049490E">
        <w:rPr>
          <w:rFonts w:ascii="Book Antiqua" w:eastAsia="Book Antiqua" w:hAnsi="Book Antiqua" w:cs="Book Antiqua"/>
          <w:i/>
          <w:iCs/>
          <w:color w:val="000000"/>
        </w:rPr>
        <w:t>Gut</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69</w:t>
      </w:r>
      <w:r w:rsidRPr="0049490E">
        <w:rPr>
          <w:rFonts w:ascii="Book Antiqua" w:eastAsia="Book Antiqua" w:hAnsi="Book Antiqua" w:cs="Book Antiqua"/>
          <w:color w:val="000000"/>
        </w:rPr>
        <w:t>: 984-990 [PMID: 32303607 DOI: 10.1136/gutjnl-2020-321244]</w:t>
      </w:r>
    </w:p>
    <w:p w14:paraId="251BF19B"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6 </w:t>
      </w:r>
      <w:r w:rsidRPr="0049490E">
        <w:rPr>
          <w:rFonts w:ascii="Book Antiqua" w:eastAsia="Book Antiqua" w:hAnsi="Book Antiqua" w:cs="Book Antiqua"/>
          <w:b/>
          <w:bCs/>
          <w:color w:val="000000"/>
        </w:rPr>
        <w:t>Queiroz NSF</w:t>
      </w:r>
      <w:r w:rsidRPr="0049490E">
        <w:rPr>
          <w:rFonts w:ascii="Book Antiqua" w:eastAsia="Book Antiqua" w:hAnsi="Book Antiqua" w:cs="Book Antiqua"/>
          <w:color w:val="000000"/>
        </w:rPr>
        <w:t xml:space="preserve">, Barros LL, Azevedo MFC, Oba J, Sobrado CW, Carlos AS, Milani LR, Sipahi AM, Damião AOMC. Management of inflammatory bowel disease patients in the COVID-19 pandemic era: a Brazilian tertiary referral center guidance. </w:t>
      </w:r>
      <w:r w:rsidRPr="0049490E">
        <w:rPr>
          <w:rFonts w:ascii="Book Antiqua" w:eastAsia="Book Antiqua" w:hAnsi="Book Antiqua" w:cs="Book Antiqua"/>
          <w:i/>
          <w:iCs/>
          <w:color w:val="000000"/>
        </w:rPr>
        <w:t>Clinics (Sao Paulo)</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75</w:t>
      </w:r>
      <w:r w:rsidRPr="0049490E">
        <w:rPr>
          <w:rFonts w:ascii="Book Antiqua" w:eastAsia="Book Antiqua" w:hAnsi="Book Antiqua" w:cs="Book Antiqua"/>
          <w:color w:val="000000"/>
        </w:rPr>
        <w:t>: e1909 [PMID: 32321117 DOI: 10.6061/clinics/2020/e1909]</w:t>
      </w:r>
    </w:p>
    <w:p w14:paraId="3C10968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7 </w:t>
      </w:r>
      <w:r w:rsidRPr="0049490E">
        <w:rPr>
          <w:rFonts w:ascii="Book Antiqua" w:eastAsia="Book Antiqua" w:hAnsi="Book Antiqua" w:cs="Book Antiqua"/>
          <w:b/>
          <w:bCs/>
          <w:color w:val="000000"/>
        </w:rPr>
        <w:t>Kotze PG</w:t>
      </w:r>
      <w:r w:rsidRPr="0049490E">
        <w:rPr>
          <w:rFonts w:ascii="Book Antiqua" w:eastAsia="Book Antiqua" w:hAnsi="Book Antiqua" w:cs="Book Antiqua"/>
          <w:color w:val="000000"/>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49490E">
        <w:rPr>
          <w:rFonts w:ascii="Book Antiqua" w:eastAsia="Book Antiqua" w:hAnsi="Book Antiqua" w:cs="Book Antiqua"/>
          <w:i/>
          <w:iCs/>
          <w:color w:val="000000"/>
        </w:rPr>
        <w:t>Clin Gastroenterol Hepatol</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18</w:t>
      </w:r>
      <w:r w:rsidRPr="0049490E">
        <w:rPr>
          <w:rFonts w:ascii="Book Antiqua" w:eastAsia="Book Antiqua" w:hAnsi="Book Antiqua" w:cs="Book Antiqua"/>
          <w:color w:val="000000"/>
        </w:rPr>
        <w:t>: 304-312 [PMID: 31252191 DOI: 10.1016/j.cgh.2019.06.030]</w:t>
      </w:r>
    </w:p>
    <w:p w14:paraId="636AD2D7"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8 </w:t>
      </w:r>
      <w:r w:rsidRPr="0049490E">
        <w:rPr>
          <w:rFonts w:ascii="Book Antiqua" w:eastAsia="Book Antiqua" w:hAnsi="Book Antiqua" w:cs="Book Antiqua"/>
          <w:b/>
          <w:bCs/>
          <w:color w:val="000000"/>
        </w:rPr>
        <w:t>Gasparini RG</w:t>
      </w:r>
      <w:r w:rsidRPr="0049490E">
        <w:rPr>
          <w:rFonts w:ascii="Book Antiqua" w:eastAsia="Book Antiqua" w:hAnsi="Book Antiqua" w:cs="Book Antiqua"/>
          <w:color w:val="000000"/>
        </w:rPr>
        <w:t xml:space="preserve">, Sassaki LY, Saad-Hossne R. Inflammatory bowel disease epidemiology in São Paulo State, Brazil. </w:t>
      </w:r>
      <w:r w:rsidRPr="0049490E">
        <w:rPr>
          <w:rFonts w:ascii="Book Antiqua" w:eastAsia="Book Antiqua" w:hAnsi="Book Antiqua" w:cs="Book Antiqua"/>
          <w:i/>
          <w:iCs/>
          <w:color w:val="000000"/>
        </w:rPr>
        <w:t>Clin Exp Gastroenterol</w:t>
      </w:r>
      <w:r w:rsidRPr="0049490E">
        <w:rPr>
          <w:rFonts w:ascii="Book Antiqua" w:eastAsia="Book Antiqua" w:hAnsi="Book Antiqua" w:cs="Book Antiqua"/>
          <w:color w:val="000000"/>
        </w:rPr>
        <w:t xml:space="preserve"> 2018; </w:t>
      </w:r>
      <w:r w:rsidRPr="0049490E">
        <w:rPr>
          <w:rFonts w:ascii="Book Antiqua" w:eastAsia="Book Antiqua" w:hAnsi="Book Antiqua" w:cs="Book Antiqua"/>
          <w:b/>
          <w:bCs/>
          <w:color w:val="000000"/>
        </w:rPr>
        <w:t>11</w:t>
      </w:r>
      <w:r w:rsidRPr="0049490E">
        <w:rPr>
          <w:rFonts w:ascii="Book Antiqua" w:eastAsia="Book Antiqua" w:hAnsi="Book Antiqua" w:cs="Book Antiqua"/>
          <w:color w:val="000000"/>
        </w:rPr>
        <w:t>: 423-429 [PMID: 30464570 DOI: 10.2147/CEG.S176583]</w:t>
      </w:r>
    </w:p>
    <w:p w14:paraId="1427653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9 </w:t>
      </w:r>
      <w:r w:rsidRPr="0049490E">
        <w:rPr>
          <w:rFonts w:ascii="Book Antiqua" w:eastAsia="Book Antiqua" w:hAnsi="Book Antiqua" w:cs="Book Antiqua"/>
          <w:b/>
          <w:bCs/>
          <w:color w:val="000000"/>
        </w:rPr>
        <w:t>Lima Martins A</w:t>
      </w:r>
      <w:r w:rsidRPr="0049490E">
        <w:rPr>
          <w:rFonts w:ascii="Book Antiqua" w:eastAsia="Book Antiqua" w:hAnsi="Book Antiqua" w:cs="Book Antiqua"/>
          <w:color w:val="000000"/>
        </w:rPr>
        <w:t xml:space="preserve">, Volpato RA, Zago-Gomes MDP. The prevalence and phenotype in Brazilian patients with inflammatory bowel disease. </w:t>
      </w:r>
      <w:r w:rsidRPr="0049490E">
        <w:rPr>
          <w:rFonts w:ascii="Book Antiqua" w:eastAsia="Book Antiqua" w:hAnsi="Book Antiqua" w:cs="Book Antiqua"/>
          <w:i/>
          <w:iCs/>
          <w:color w:val="000000"/>
        </w:rPr>
        <w:t>BMC Gastroenterol</w:t>
      </w:r>
      <w:r w:rsidRPr="0049490E">
        <w:rPr>
          <w:rFonts w:ascii="Book Antiqua" w:eastAsia="Book Antiqua" w:hAnsi="Book Antiqua" w:cs="Book Antiqua"/>
          <w:color w:val="000000"/>
        </w:rPr>
        <w:t xml:space="preserve"> 2018; </w:t>
      </w:r>
      <w:r w:rsidRPr="0049490E">
        <w:rPr>
          <w:rFonts w:ascii="Book Antiqua" w:eastAsia="Book Antiqua" w:hAnsi="Book Antiqua" w:cs="Book Antiqua"/>
          <w:b/>
          <w:bCs/>
          <w:color w:val="000000"/>
        </w:rPr>
        <w:t>18</w:t>
      </w:r>
      <w:r w:rsidRPr="0049490E">
        <w:rPr>
          <w:rFonts w:ascii="Book Antiqua" w:eastAsia="Book Antiqua" w:hAnsi="Book Antiqua" w:cs="Book Antiqua"/>
          <w:color w:val="000000"/>
        </w:rPr>
        <w:t>: 87 [PMID: 29914399 DOI: 10.1186/s12876-018-0822-y]</w:t>
      </w:r>
    </w:p>
    <w:p w14:paraId="4663948D"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10 </w:t>
      </w:r>
      <w:r w:rsidRPr="0049490E">
        <w:rPr>
          <w:rFonts w:ascii="Book Antiqua" w:eastAsia="Book Antiqua" w:hAnsi="Book Antiqua" w:cs="Book Antiqua"/>
          <w:b/>
          <w:bCs/>
          <w:color w:val="000000"/>
        </w:rPr>
        <w:t>Parente JM</w:t>
      </w:r>
      <w:r w:rsidRPr="0049490E">
        <w:rPr>
          <w:rFonts w:ascii="Book Antiqua" w:eastAsia="Book Antiqua" w:hAnsi="Book Antiqua" w:cs="Book Antiqua"/>
          <w:color w:val="000000"/>
        </w:rPr>
        <w:t xml:space="preserve">, Coy CS, Campelo V, Parente MP, Costa LA, da Silva RM, Stephan C, Zeitune JM. Inflammatory bowel disease in an underdeveloped region of Northeastern Brazil. </w:t>
      </w:r>
      <w:r w:rsidRPr="0049490E">
        <w:rPr>
          <w:rFonts w:ascii="Book Antiqua" w:eastAsia="Book Antiqua" w:hAnsi="Book Antiqua" w:cs="Book Antiqua"/>
          <w:i/>
          <w:iCs/>
          <w:color w:val="000000"/>
        </w:rPr>
        <w:t>World J Gastroenterol</w:t>
      </w:r>
      <w:r w:rsidRPr="0049490E">
        <w:rPr>
          <w:rFonts w:ascii="Book Antiqua" w:eastAsia="Book Antiqua" w:hAnsi="Book Antiqua" w:cs="Book Antiqua"/>
          <w:color w:val="000000"/>
        </w:rPr>
        <w:t xml:space="preserve"> 2015; </w:t>
      </w:r>
      <w:r w:rsidRPr="0049490E">
        <w:rPr>
          <w:rFonts w:ascii="Book Antiqua" w:eastAsia="Book Antiqua" w:hAnsi="Book Antiqua" w:cs="Book Antiqua"/>
          <w:b/>
          <w:bCs/>
          <w:color w:val="000000"/>
        </w:rPr>
        <w:t>21</w:t>
      </w:r>
      <w:r w:rsidRPr="0049490E">
        <w:rPr>
          <w:rFonts w:ascii="Book Antiqua" w:eastAsia="Book Antiqua" w:hAnsi="Book Antiqua" w:cs="Book Antiqua"/>
          <w:color w:val="000000"/>
        </w:rPr>
        <w:t>: 1197-1206 [PMID: 25632193 DOI: 10.3748/wjg.v21.i4.1197]</w:t>
      </w:r>
    </w:p>
    <w:p w14:paraId="7546B25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11 </w:t>
      </w:r>
      <w:r w:rsidRPr="0049490E">
        <w:rPr>
          <w:rFonts w:ascii="Book Antiqua" w:eastAsia="Book Antiqua" w:hAnsi="Book Antiqua" w:cs="Book Antiqua"/>
          <w:b/>
          <w:bCs/>
          <w:color w:val="000000"/>
        </w:rPr>
        <w:t>Norsa L</w:t>
      </w:r>
      <w:r w:rsidRPr="0049490E">
        <w:rPr>
          <w:rFonts w:ascii="Book Antiqua" w:eastAsia="Book Antiqua" w:hAnsi="Book Antiqua" w:cs="Book Antiqua"/>
          <w:color w:val="000000"/>
        </w:rPr>
        <w:t xml:space="preserve">, Indriolo A, Sansotta N, Cosimo P, Greco S, D'Antiga L. Uneventful Course in Patients With Inflammatory Bowel Disease During the Severe Acute Respiratory Syndrome Coronavirus 2 Outbreak in Northern Italy. </w:t>
      </w:r>
      <w:r w:rsidRPr="0049490E">
        <w:rPr>
          <w:rFonts w:ascii="Book Antiqua" w:eastAsia="Book Antiqua" w:hAnsi="Book Antiqua" w:cs="Book Antiqua"/>
          <w:i/>
          <w:iCs/>
          <w:color w:val="000000"/>
        </w:rPr>
        <w:t>Gastroenterology</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159</w:t>
      </w:r>
      <w:r w:rsidRPr="0049490E">
        <w:rPr>
          <w:rFonts w:ascii="Book Antiqua" w:eastAsia="Book Antiqua" w:hAnsi="Book Antiqua" w:cs="Book Antiqua"/>
          <w:color w:val="000000"/>
        </w:rPr>
        <w:t>: 371-372 [PMID: 32247695 DOI: 10.1053/j.gastro.2020.03.062]</w:t>
      </w:r>
    </w:p>
    <w:p w14:paraId="3433F079"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12 </w:t>
      </w:r>
      <w:r w:rsidRPr="0049490E">
        <w:rPr>
          <w:rFonts w:ascii="Book Antiqua" w:eastAsia="Book Antiqua" w:hAnsi="Book Antiqua" w:cs="Book Antiqua"/>
          <w:b/>
          <w:bCs/>
          <w:color w:val="000000"/>
        </w:rPr>
        <w:t>Rubin DT</w:t>
      </w:r>
      <w:r w:rsidRPr="0049490E">
        <w:rPr>
          <w:rFonts w:ascii="Book Antiqua" w:eastAsia="Book Antiqua" w:hAnsi="Book Antiqua" w:cs="Book Antiqua"/>
          <w:color w:val="000000"/>
        </w:rPr>
        <w:t xml:space="preserve">, Feuerstein JD, Wang AY, Cohen RD. AGA Clinical Practice Update on Management of Inflammatory Bowel Disease During the COVID-19 Pandemic: Expert </w:t>
      </w:r>
      <w:r w:rsidRPr="0049490E">
        <w:rPr>
          <w:rFonts w:ascii="Book Antiqua" w:eastAsia="Book Antiqua" w:hAnsi="Book Antiqua" w:cs="Book Antiqua"/>
          <w:color w:val="000000"/>
        </w:rPr>
        <w:lastRenderedPageBreak/>
        <w:t xml:space="preserve">Commentary. </w:t>
      </w:r>
      <w:r w:rsidRPr="0049490E">
        <w:rPr>
          <w:rFonts w:ascii="Book Antiqua" w:eastAsia="Book Antiqua" w:hAnsi="Book Antiqua" w:cs="Book Antiqua"/>
          <w:i/>
          <w:iCs/>
          <w:color w:val="000000"/>
        </w:rPr>
        <w:t>Gastroenterology</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159</w:t>
      </w:r>
      <w:r w:rsidRPr="0049490E">
        <w:rPr>
          <w:rFonts w:ascii="Book Antiqua" w:eastAsia="Book Antiqua" w:hAnsi="Book Antiqua" w:cs="Book Antiqua"/>
          <w:color w:val="000000"/>
        </w:rPr>
        <w:t>: 350-357 [PMID: 32283100 DOI: 10.1053/j.gastro.2020.04.012]</w:t>
      </w:r>
    </w:p>
    <w:p w14:paraId="479D0F06"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13 </w:t>
      </w:r>
      <w:r w:rsidRPr="0049490E">
        <w:rPr>
          <w:rFonts w:ascii="Book Antiqua" w:eastAsia="Book Antiqua" w:hAnsi="Book Antiqua" w:cs="Book Antiqua"/>
          <w:b/>
          <w:bCs/>
          <w:color w:val="000000"/>
        </w:rPr>
        <w:t>Feldmann M</w:t>
      </w:r>
      <w:r w:rsidRPr="0049490E">
        <w:rPr>
          <w:rFonts w:ascii="Book Antiqua" w:eastAsia="Book Antiqua" w:hAnsi="Book Antiqua" w:cs="Book Antiqua"/>
          <w:color w:val="000000"/>
        </w:rPr>
        <w:t xml:space="preserve">, Maini RN, Woody JN, Holgate ST, Winter G, Rowland M, Richards D, Hussell T. Trials of anti-tumour necrosis factor therapy for COVID-19 are urgently needed. </w:t>
      </w:r>
      <w:r w:rsidRPr="0049490E">
        <w:rPr>
          <w:rFonts w:ascii="Book Antiqua" w:eastAsia="Book Antiqua" w:hAnsi="Book Antiqua" w:cs="Book Antiqua"/>
          <w:i/>
          <w:iCs/>
          <w:color w:val="000000"/>
        </w:rPr>
        <w:t>Lancet</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395</w:t>
      </w:r>
      <w:r w:rsidRPr="0049490E">
        <w:rPr>
          <w:rFonts w:ascii="Book Antiqua" w:eastAsia="Book Antiqua" w:hAnsi="Book Antiqua" w:cs="Book Antiqua"/>
          <w:color w:val="000000"/>
        </w:rPr>
        <w:t>: 1407-1409 [PMID: 32278362 DOI: 10.1016/S0140-6736(20)30858-8]</w:t>
      </w:r>
    </w:p>
    <w:p w14:paraId="6F563471"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 xml:space="preserve">14 </w:t>
      </w:r>
      <w:r w:rsidRPr="0049490E">
        <w:rPr>
          <w:rFonts w:ascii="Book Antiqua" w:eastAsia="Book Antiqua" w:hAnsi="Book Antiqua" w:cs="Book Antiqua"/>
          <w:b/>
          <w:bCs/>
          <w:color w:val="000000"/>
        </w:rPr>
        <w:t>Moreira RDS</w:t>
      </w:r>
      <w:r w:rsidRPr="0049490E">
        <w:rPr>
          <w:rFonts w:ascii="Book Antiqua" w:eastAsia="Book Antiqua" w:hAnsi="Book Antiqua" w:cs="Book Antiqua"/>
          <w:color w:val="000000"/>
        </w:rPr>
        <w:t xml:space="preserve">. COVID-19: intensive care units, mechanical ventilators, and latent mortality profiles associated with case-fatality in Brazil. </w:t>
      </w:r>
      <w:r w:rsidRPr="0049490E">
        <w:rPr>
          <w:rFonts w:ascii="Book Antiqua" w:eastAsia="Book Antiqua" w:hAnsi="Book Antiqua" w:cs="Book Antiqua"/>
          <w:i/>
          <w:iCs/>
          <w:color w:val="000000"/>
        </w:rPr>
        <w:t>Cad Saude Publica</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36</w:t>
      </w:r>
      <w:r w:rsidRPr="0049490E">
        <w:rPr>
          <w:rFonts w:ascii="Book Antiqua" w:eastAsia="Book Antiqua" w:hAnsi="Book Antiqua" w:cs="Book Antiqua"/>
          <w:color w:val="000000"/>
        </w:rPr>
        <w:t>: e00080020 [PMID: 32428072 DOI: 10.1590/0102-311x00080020]</w:t>
      </w:r>
    </w:p>
    <w:p w14:paraId="5926B608" w14:textId="714DF8ED" w:rsidR="00A77B3E" w:rsidRPr="0049490E" w:rsidRDefault="00521142" w:rsidP="004549C2">
      <w:pPr>
        <w:spacing w:line="360" w:lineRule="auto"/>
        <w:jc w:val="both"/>
        <w:rPr>
          <w:rFonts w:ascii="Book Antiqua" w:hAnsi="Book Antiqua"/>
        </w:rPr>
      </w:pPr>
      <w:r w:rsidRPr="0049490E">
        <w:rPr>
          <w:rFonts w:ascii="Book Antiqua" w:eastAsia="Book Antiqua" w:hAnsi="Book Antiqua" w:cs="Book Antiqua"/>
          <w:color w:val="000000"/>
        </w:rPr>
        <w:t xml:space="preserve">15 </w:t>
      </w:r>
      <w:r w:rsidRPr="0049490E">
        <w:rPr>
          <w:rFonts w:ascii="Book Antiqua" w:eastAsia="Book Antiqua" w:hAnsi="Book Antiqua" w:cs="Book Antiqua"/>
          <w:b/>
          <w:bCs/>
          <w:color w:val="000000"/>
        </w:rPr>
        <w:t>Rache B</w:t>
      </w:r>
      <w:r w:rsidRPr="0049490E">
        <w:rPr>
          <w:rFonts w:ascii="Book Antiqua" w:eastAsia="Book Antiqua" w:hAnsi="Book Antiqua" w:cs="Book Antiqua"/>
          <w:color w:val="000000"/>
        </w:rPr>
        <w:t>, Rocha R, Nunes L, Spinola P, Malik AM MA. Necessidades de infraestrutura do SUS em preparo à COVID-19: leitos de UTI, respiradores e ocupac</w:t>
      </w:r>
      <w:r w:rsidRPr="0049490E">
        <w:rPr>
          <w:rFonts w:eastAsia="Book Antiqua"/>
          <w:color w:val="000000"/>
        </w:rPr>
        <w:t>̧</w:t>
      </w:r>
      <w:r w:rsidRPr="0049490E">
        <w:rPr>
          <w:rFonts w:ascii="Book Antiqua" w:eastAsia="Book Antiqua" w:hAnsi="Book Antiqua" w:cs="Book Antiqua"/>
          <w:color w:val="000000"/>
        </w:rPr>
        <w:t xml:space="preserve">ão hospitalar. </w:t>
      </w:r>
      <w:r w:rsidRPr="0049490E">
        <w:rPr>
          <w:rFonts w:ascii="Book Antiqua" w:eastAsia="Book Antiqua" w:hAnsi="Book Antiqua" w:cs="Book Antiqua"/>
          <w:i/>
          <w:iCs/>
          <w:color w:val="000000"/>
        </w:rPr>
        <w:t>São Paulo Inst Estud para Políticas Saúde</w:t>
      </w:r>
      <w:r w:rsidRPr="0049490E">
        <w:rPr>
          <w:rFonts w:ascii="Book Antiqua" w:eastAsia="Book Antiqua" w:hAnsi="Book Antiqua" w:cs="Book Antiqua"/>
          <w:color w:val="000000"/>
        </w:rPr>
        <w:t xml:space="preserve"> </w:t>
      </w:r>
      <w:r w:rsidR="00A40CF8" w:rsidRPr="0049490E">
        <w:rPr>
          <w:rFonts w:ascii="Book Antiqua" w:eastAsia="Book Antiqua" w:hAnsi="Book Antiqua" w:cs="Book Antiqua"/>
          <w:color w:val="000000"/>
        </w:rPr>
        <w:t>2020</w:t>
      </w:r>
    </w:p>
    <w:p w14:paraId="3D2228CC" w14:textId="0C31A889" w:rsidR="00A77B3E" w:rsidRPr="0049490E" w:rsidRDefault="00521142" w:rsidP="00E57EFF">
      <w:pPr>
        <w:spacing w:line="360" w:lineRule="auto"/>
        <w:jc w:val="both"/>
        <w:rPr>
          <w:rFonts w:ascii="Book Antiqua" w:hAnsi="Book Antiqua"/>
        </w:rPr>
      </w:pPr>
      <w:r w:rsidRPr="0049490E">
        <w:rPr>
          <w:rFonts w:ascii="Book Antiqua" w:eastAsia="Book Antiqua" w:hAnsi="Book Antiqua" w:cs="Book Antiqua"/>
          <w:color w:val="000000"/>
          <w:highlight w:val="yellow"/>
        </w:rPr>
        <w:t xml:space="preserve">16 </w:t>
      </w:r>
      <w:r w:rsidRPr="0049490E">
        <w:rPr>
          <w:rFonts w:ascii="Book Antiqua" w:eastAsia="Book Antiqua" w:hAnsi="Book Antiqua" w:cs="Book Antiqua"/>
          <w:b/>
          <w:bCs/>
          <w:color w:val="000000"/>
          <w:highlight w:val="yellow"/>
        </w:rPr>
        <w:t>Instituto Brasileiro de Geografia e Estatística</w:t>
      </w:r>
      <w:r w:rsidRPr="0049490E">
        <w:rPr>
          <w:rFonts w:ascii="Book Antiqua" w:eastAsia="Book Antiqua" w:hAnsi="Book Antiqua" w:cs="Book Antiqua"/>
          <w:color w:val="000000"/>
          <w:highlight w:val="yellow"/>
        </w:rPr>
        <w:t xml:space="preserve">. </w:t>
      </w:r>
      <w:r w:rsidR="00A40CF8" w:rsidRPr="0049490E">
        <w:rPr>
          <w:rFonts w:ascii="Book Antiqua" w:eastAsia="Book Antiqua" w:hAnsi="Book Antiqua" w:cs="Book Antiqua"/>
          <w:color w:val="000000"/>
          <w:highlight w:val="yellow"/>
        </w:rPr>
        <w:t>Índice de Desenvolvimento Humano.</w:t>
      </w:r>
      <w:r w:rsidR="00286CDD" w:rsidRPr="0049490E">
        <w:rPr>
          <w:rFonts w:ascii="Book Antiqua" w:hAnsi="Book Antiqua"/>
        </w:rPr>
        <w:t xml:space="preserve"> </w:t>
      </w:r>
      <w:r w:rsidR="00286CDD" w:rsidRPr="0049490E">
        <w:rPr>
          <w:rFonts w:ascii="Book Antiqua" w:hAnsi="Book Antiqua"/>
          <w:highlight w:val="yellow"/>
        </w:rPr>
        <w:t xml:space="preserve">16 </w:t>
      </w:r>
      <w:r w:rsidR="00286CDD" w:rsidRPr="0049490E">
        <w:rPr>
          <w:rFonts w:ascii="Book Antiqua" w:eastAsia="Book Antiqua" w:hAnsi="Book Antiqua" w:cs="Book Antiqua"/>
          <w:color w:val="000000"/>
          <w:highlight w:val="yellow"/>
        </w:rPr>
        <w:t>July 2020.</w:t>
      </w:r>
      <w:r w:rsidR="00A40CF8" w:rsidRPr="0049490E">
        <w:rPr>
          <w:rFonts w:ascii="Book Antiqua" w:eastAsia="Book Antiqua" w:hAnsi="Book Antiqua" w:cs="Book Antiqua"/>
          <w:color w:val="000000"/>
          <w:highlight w:val="yellow"/>
        </w:rPr>
        <w:t xml:space="preserve"> [cited </w:t>
      </w:r>
      <w:r w:rsidR="00286CDD" w:rsidRPr="0049490E">
        <w:rPr>
          <w:rFonts w:ascii="Book Antiqua" w:eastAsia="Book Antiqua" w:hAnsi="Book Antiqua" w:cs="Book Antiqua"/>
          <w:color w:val="000000"/>
          <w:highlight w:val="yellow"/>
        </w:rPr>
        <w:t>28 November 2020</w:t>
      </w:r>
      <w:r w:rsidR="00A40CF8" w:rsidRPr="0049490E">
        <w:rPr>
          <w:rFonts w:ascii="Book Antiqua" w:eastAsia="Book Antiqua" w:hAnsi="Book Antiqua" w:cs="Book Antiqua"/>
          <w:color w:val="000000"/>
          <w:highlight w:val="yellow"/>
        </w:rPr>
        <w:t>]</w:t>
      </w:r>
      <w:r w:rsidRPr="0049490E">
        <w:rPr>
          <w:rFonts w:ascii="Book Antiqua" w:eastAsia="Book Antiqua" w:hAnsi="Book Antiqua" w:cs="Book Antiqua"/>
          <w:color w:val="000000"/>
          <w:highlight w:val="yellow"/>
        </w:rPr>
        <w:t xml:space="preserve">. </w:t>
      </w:r>
      <w:r w:rsidR="005531A3" w:rsidRPr="0049490E">
        <w:rPr>
          <w:rFonts w:ascii="Book Antiqua" w:eastAsia="Book Antiqua" w:hAnsi="Book Antiqua" w:cs="Book Antiqua"/>
          <w:color w:val="000000"/>
          <w:highlight w:val="yellow"/>
        </w:rPr>
        <w:t>In: São Paulo. Governo.</w:t>
      </w:r>
      <w:r w:rsidR="005531A3" w:rsidRPr="0049490E">
        <w:rPr>
          <w:rFonts w:ascii="Book Antiqua" w:hAnsi="Book Antiqua"/>
          <w:bCs/>
          <w:color w:val="000000" w:themeColor="text1"/>
          <w:highlight w:val="yellow"/>
        </w:rPr>
        <w:t xml:space="preserve"> [Internet].</w:t>
      </w:r>
      <w:r w:rsidR="005531A3" w:rsidRPr="0049490E">
        <w:rPr>
          <w:rFonts w:ascii="Book Antiqua" w:eastAsia="Book Antiqua" w:hAnsi="Book Antiqua" w:cs="Book Antiqua"/>
          <w:color w:val="000000"/>
          <w:highlight w:val="yellow"/>
        </w:rPr>
        <w:t xml:space="preserve"> </w:t>
      </w:r>
      <w:r w:rsidR="00A40CF8" w:rsidRPr="0049490E">
        <w:rPr>
          <w:rFonts w:ascii="Book Antiqua" w:eastAsia="Book Antiqua" w:hAnsi="Book Antiqua" w:cs="Book Antiqua"/>
          <w:color w:val="000000"/>
          <w:highlight w:val="yellow"/>
        </w:rPr>
        <w:t>Available</w:t>
      </w:r>
      <w:r w:rsidRPr="0049490E">
        <w:rPr>
          <w:rFonts w:ascii="Book Antiqua" w:eastAsia="Book Antiqua" w:hAnsi="Book Antiqua" w:cs="Book Antiqua"/>
          <w:color w:val="000000"/>
          <w:highlight w:val="yellow"/>
        </w:rPr>
        <w:t xml:space="preserve"> from https://cidades.ibge.gov.br/brasil/sp/pesquisa/37/0?tipo=ranking</w:t>
      </w:r>
    </w:p>
    <w:p w14:paraId="12DACEF3" w14:textId="4D2262EF" w:rsidR="005927F7" w:rsidRDefault="00521142" w:rsidP="00A420E1">
      <w:pPr>
        <w:spacing w:line="360" w:lineRule="auto"/>
        <w:rPr>
          <w:rFonts w:ascii="Book Antiqua" w:eastAsia="Book Antiqua" w:hAnsi="Book Antiqua" w:cs="Book Antiqua"/>
          <w:b/>
          <w:color w:val="000000"/>
        </w:rPr>
      </w:pPr>
      <w:r w:rsidRPr="0049490E">
        <w:rPr>
          <w:rFonts w:ascii="Book Antiqua" w:eastAsia="Book Antiqua" w:hAnsi="Book Antiqua" w:cs="Book Antiqua"/>
          <w:color w:val="000000"/>
        </w:rPr>
        <w:t xml:space="preserve">17 </w:t>
      </w:r>
      <w:r w:rsidRPr="0049490E">
        <w:rPr>
          <w:rFonts w:ascii="Book Antiqua" w:eastAsia="Book Antiqua" w:hAnsi="Book Antiqua" w:cs="Book Antiqua"/>
          <w:b/>
          <w:bCs/>
          <w:color w:val="000000"/>
        </w:rPr>
        <w:t>The Lancet</w:t>
      </w:r>
      <w:r w:rsidRPr="0049490E">
        <w:rPr>
          <w:rFonts w:ascii="Book Antiqua" w:eastAsia="Book Antiqua" w:hAnsi="Book Antiqua" w:cs="Book Antiqua"/>
          <w:color w:val="000000"/>
        </w:rPr>
        <w:t xml:space="preserve">. COVID-19 in Brazil: "So what?" </w:t>
      </w:r>
      <w:r w:rsidRPr="0049490E">
        <w:rPr>
          <w:rFonts w:ascii="Book Antiqua" w:eastAsia="Book Antiqua" w:hAnsi="Book Antiqua" w:cs="Book Antiqua"/>
          <w:i/>
          <w:iCs/>
          <w:color w:val="000000"/>
        </w:rPr>
        <w:t>Lancet</w:t>
      </w:r>
      <w:r w:rsidRPr="0049490E">
        <w:rPr>
          <w:rFonts w:ascii="Book Antiqua" w:eastAsia="Book Antiqua" w:hAnsi="Book Antiqua" w:cs="Book Antiqua"/>
          <w:color w:val="000000"/>
        </w:rPr>
        <w:t xml:space="preserve"> 2020; </w:t>
      </w:r>
      <w:r w:rsidRPr="0049490E">
        <w:rPr>
          <w:rFonts w:ascii="Book Antiqua" w:eastAsia="Book Antiqua" w:hAnsi="Book Antiqua" w:cs="Book Antiqua"/>
          <w:b/>
          <w:bCs/>
          <w:color w:val="000000"/>
        </w:rPr>
        <w:t>395</w:t>
      </w:r>
      <w:r w:rsidRPr="0049490E">
        <w:rPr>
          <w:rFonts w:ascii="Book Antiqua" w:eastAsia="Book Antiqua" w:hAnsi="Book Antiqua" w:cs="Book Antiqua"/>
          <w:color w:val="000000"/>
        </w:rPr>
        <w:t>: 1461 [PMID: 32386576 DOI: 10.1016/S0140-6736(20)31095-3]</w:t>
      </w:r>
      <w:r w:rsidR="005927F7">
        <w:rPr>
          <w:rFonts w:ascii="Book Antiqua" w:eastAsia="Book Antiqua" w:hAnsi="Book Antiqua" w:cs="Book Antiqua"/>
          <w:b/>
          <w:color w:val="000000"/>
        </w:rPr>
        <w:br w:type="page"/>
      </w:r>
    </w:p>
    <w:p w14:paraId="12EA2410" w14:textId="3482A403"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lastRenderedPageBreak/>
        <w:t>Footnotes</w:t>
      </w:r>
    </w:p>
    <w:p w14:paraId="3B762E30" w14:textId="3CEE1EC5"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Institutional review board statement: </w:t>
      </w:r>
      <w:r w:rsidRPr="0049490E">
        <w:rPr>
          <w:rFonts w:ascii="Book Antiqua" w:eastAsia="Book Antiqua" w:hAnsi="Book Antiqua" w:cs="Book Antiqua"/>
          <w:color w:val="000000"/>
        </w:rPr>
        <w:t xml:space="preserve">The study was approved by the GEDIIB ethical review board under the protocol </w:t>
      </w:r>
      <w:r w:rsidR="002E73F2" w:rsidRPr="0049490E">
        <w:rPr>
          <w:rFonts w:ascii="Book Antiqua" w:eastAsia="Book Antiqua" w:hAnsi="Book Antiqua" w:cs="Book Antiqua"/>
          <w:color w:val="000000"/>
        </w:rPr>
        <w:t xml:space="preserve">No. </w:t>
      </w:r>
      <w:r w:rsidRPr="0049490E">
        <w:rPr>
          <w:rFonts w:ascii="Book Antiqua" w:eastAsia="Book Antiqua" w:hAnsi="Book Antiqua" w:cs="Book Antiqua"/>
          <w:color w:val="000000"/>
        </w:rPr>
        <w:t xml:space="preserve">002/2020 </w:t>
      </w:r>
      <w:r w:rsidR="005927F7">
        <w:rPr>
          <w:rFonts w:ascii="Book Antiqua" w:eastAsia="Book Antiqua" w:hAnsi="Book Antiqua" w:cs="Book Antiqua"/>
          <w:color w:val="000000"/>
        </w:rPr>
        <w:t>o</w:t>
      </w:r>
      <w:r w:rsidRPr="0049490E">
        <w:rPr>
          <w:rFonts w:ascii="Book Antiqua" w:eastAsia="Book Antiqua" w:hAnsi="Book Antiqua" w:cs="Book Antiqua"/>
          <w:color w:val="000000"/>
        </w:rPr>
        <w:t>n October 28</w:t>
      </w:r>
      <w:r w:rsidRPr="0049490E">
        <w:rPr>
          <w:rFonts w:ascii="Book Antiqua" w:eastAsia="Book Antiqua" w:hAnsi="Book Antiqua" w:cs="Book Antiqua"/>
          <w:color w:val="000000"/>
          <w:vertAlign w:val="superscript"/>
        </w:rPr>
        <w:t>th</w:t>
      </w:r>
      <w:r w:rsidRPr="0049490E">
        <w:rPr>
          <w:rFonts w:ascii="Book Antiqua" w:eastAsia="Book Antiqua" w:hAnsi="Book Antiqua" w:cs="Book Antiqua"/>
          <w:color w:val="000000"/>
        </w:rPr>
        <w:t xml:space="preserve">, 2020. Informed consent was waived </w:t>
      </w:r>
      <w:r w:rsidR="005927F7">
        <w:rPr>
          <w:rFonts w:ascii="Book Antiqua" w:eastAsia="Book Antiqua" w:hAnsi="Book Antiqua" w:cs="Book Antiqua"/>
          <w:color w:val="000000"/>
        </w:rPr>
        <w:t xml:space="preserve">because </w:t>
      </w:r>
      <w:r w:rsidRPr="0049490E">
        <w:rPr>
          <w:rFonts w:ascii="Book Antiqua" w:eastAsia="Book Antiqua" w:hAnsi="Book Antiqua" w:cs="Book Antiqua"/>
          <w:color w:val="000000"/>
        </w:rPr>
        <w:t>the survey recruitment was self-selective. In addition, data were de-identified</w:t>
      </w:r>
      <w:r w:rsidR="005927F7">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005927F7">
        <w:rPr>
          <w:rFonts w:ascii="Book Antiqua" w:eastAsia="Book Antiqua" w:hAnsi="Book Antiqua" w:cs="Book Antiqua"/>
          <w:color w:val="000000"/>
        </w:rPr>
        <w:t>I</w:t>
      </w:r>
      <w:r w:rsidRPr="0049490E">
        <w:rPr>
          <w:rFonts w:ascii="Book Antiqua" w:eastAsia="Book Antiqua" w:hAnsi="Book Antiqua" w:cs="Book Antiqua"/>
          <w:color w:val="000000"/>
        </w:rPr>
        <w:t>ndividual participant data were not published, which maintained confidentiality in all steps of study analysis. This study was conducted in compliance with regulations stated in the 1975 Declaration of Helsinki.</w:t>
      </w:r>
    </w:p>
    <w:p w14:paraId="3FD6C001" w14:textId="77777777" w:rsidR="00A77B3E" w:rsidRPr="0049490E" w:rsidRDefault="00A77B3E" w:rsidP="0049490E">
      <w:pPr>
        <w:spacing w:line="360" w:lineRule="auto"/>
        <w:jc w:val="both"/>
        <w:rPr>
          <w:rFonts w:ascii="Book Antiqua" w:hAnsi="Book Antiqua"/>
        </w:rPr>
      </w:pPr>
    </w:p>
    <w:p w14:paraId="2C90B4AA" w14:textId="34F1F1CC"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Informed consent statement: </w:t>
      </w:r>
      <w:r w:rsidRPr="0049490E">
        <w:rPr>
          <w:rFonts w:ascii="Book Antiqua" w:eastAsia="Book Antiqua" w:hAnsi="Book Antiqua" w:cs="Book Antiqua"/>
          <w:color w:val="000000"/>
        </w:rPr>
        <w:t>As this is a cross-sectional survey analyzing anonymous data, and information used derived from an unidentified database, informed consent from each individual was wa</w:t>
      </w:r>
      <w:r w:rsidR="008240DE">
        <w:rPr>
          <w:rFonts w:ascii="Book Antiqua" w:eastAsia="Book Antiqua" w:hAnsi="Book Antiqua" w:cs="Book Antiqua"/>
          <w:color w:val="000000"/>
        </w:rPr>
        <w:t>i</w:t>
      </w:r>
      <w:r w:rsidRPr="0049490E">
        <w:rPr>
          <w:rFonts w:ascii="Book Antiqua" w:eastAsia="Book Antiqua" w:hAnsi="Book Antiqua" w:cs="Book Antiqua"/>
          <w:color w:val="000000"/>
        </w:rPr>
        <w:t>ved.</w:t>
      </w:r>
    </w:p>
    <w:p w14:paraId="466FB07B" w14:textId="77777777" w:rsidR="00A77B3E" w:rsidRPr="0049490E" w:rsidRDefault="00A77B3E" w:rsidP="0049490E">
      <w:pPr>
        <w:spacing w:line="360" w:lineRule="auto"/>
        <w:jc w:val="both"/>
        <w:rPr>
          <w:rFonts w:ascii="Book Antiqua" w:hAnsi="Book Antiqua"/>
        </w:rPr>
      </w:pPr>
    </w:p>
    <w:p w14:paraId="45D2268A" w14:textId="65AF634F"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Conflict-of-interest statement: </w:t>
      </w:r>
      <w:r w:rsidRPr="0049490E">
        <w:rPr>
          <w:rFonts w:ascii="Book Antiqua" w:eastAsia="Book Antiqua" w:hAnsi="Book Antiqua" w:cs="Book Antiqua"/>
          <w:color w:val="000000"/>
        </w:rPr>
        <w:t xml:space="preserve">Kotze </w:t>
      </w:r>
      <w:r w:rsidR="00FF6F32" w:rsidRPr="0049490E">
        <w:rPr>
          <w:rFonts w:ascii="Book Antiqua" w:eastAsia="Book Antiqua" w:hAnsi="Book Antiqua" w:cs="Book Antiqua"/>
          <w:color w:val="000000"/>
        </w:rPr>
        <w:t xml:space="preserve">PG </w:t>
      </w:r>
      <w:r w:rsidRPr="0049490E">
        <w:rPr>
          <w:rFonts w:ascii="Book Antiqua" w:eastAsia="Book Antiqua" w:hAnsi="Book Antiqua" w:cs="Book Antiqua"/>
          <w:color w:val="000000"/>
        </w:rPr>
        <w:t>reports grants and personal fees from Takeda, grants and personal fees from Pfizer, personal fees from Janssen, personal fees from Abbvie, personal fees from Novartis, personal fees from Ferring,</w:t>
      </w:r>
      <w:r w:rsidR="00FF6F32"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outside the submitted work.</w:t>
      </w:r>
    </w:p>
    <w:p w14:paraId="2A1D5D64" w14:textId="77777777" w:rsidR="00A77B3E" w:rsidRPr="0049490E" w:rsidRDefault="00A77B3E" w:rsidP="0049490E">
      <w:pPr>
        <w:spacing w:line="360" w:lineRule="auto"/>
        <w:jc w:val="both"/>
        <w:rPr>
          <w:rFonts w:ascii="Book Antiqua" w:hAnsi="Book Antiqua"/>
        </w:rPr>
      </w:pPr>
    </w:p>
    <w:p w14:paraId="43949653" w14:textId="66747A46"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Data sharing statement: </w:t>
      </w:r>
      <w:r w:rsidRPr="0049490E">
        <w:rPr>
          <w:rFonts w:ascii="Book Antiqua" w:eastAsia="Book Antiqua" w:hAnsi="Book Antiqua" w:cs="Book Antiqua"/>
          <w:color w:val="000000"/>
        </w:rPr>
        <w:t>Study data are de-identified. Data are provided only for the approved study. Data will not be shared with anyone outside of the named members</w:t>
      </w:r>
      <w:r w:rsidR="00235435" w:rsidRPr="0049490E">
        <w:rPr>
          <w:rFonts w:ascii="Book Antiqua" w:eastAsia="Book Antiqua" w:hAnsi="Book Antiqua" w:cs="Book Antiqua"/>
          <w:color w:val="000000"/>
        </w:rPr>
        <w:t xml:space="preserve"> </w:t>
      </w:r>
      <w:r w:rsidRPr="0049490E">
        <w:rPr>
          <w:rFonts w:ascii="Book Antiqua" w:eastAsia="Book Antiqua" w:hAnsi="Book Antiqua" w:cs="Book Antiqua"/>
          <w:color w:val="000000"/>
        </w:rPr>
        <w:t>of the investigator team.</w:t>
      </w:r>
    </w:p>
    <w:p w14:paraId="3657D58E" w14:textId="77777777" w:rsidR="00A77B3E" w:rsidRPr="0049490E" w:rsidRDefault="00A77B3E" w:rsidP="0049490E">
      <w:pPr>
        <w:spacing w:line="360" w:lineRule="auto"/>
        <w:jc w:val="both"/>
        <w:rPr>
          <w:rFonts w:ascii="Book Antiqua" w:hAnsi="Book Antiqua"/>
        </w:rPr>
      </w:pPr>
    </w:p>
    <w:p w14:paraId="62A87589" w14:textId="79FCB7EE"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STROBE statement: </w:t>
      </w:r>
      <w:r w:rsidRPr="0049490E">
        <w:rPr>
          <w:rFonts w:ascii="Book Antiqua" w:eastAsia="Book Antiqua" w:hAnsi="Book Antiqua" w:cs="Book Antiqua"/>
          <w:color w:val="000000"/>
        </w:rPr>
        <w:t>The authors have read the STROBE Statement</w:t>
      </w:r>
      <w:r w:rsidR="00FF6F32" w:rsidRPr="0049490E">
        <w:rPr>
          <w:rFonts w:ascii="Book Antiqua" w:eastAsia="Book Antiqua" w:hAnsi="Book Antiqua" w:cs="Book Antiqua"/>
          <w:color w:val="000000"/>
        </w:rPr>
        <w:t>-</w:t>
      </w:r>
      <w:r w:rsidRPr="0049490E">
        <w:rPr>
          <w:rFonts w:ascii="Book Antiqua" w:eastAsia="Book Antiqua" w:hAnsi="Book Antiqua" w:cs="Book Antiqua"/>
          <w:color w:val="000000"/>
        </w:rPr>
        <w:t>checklist of items, and the manuscript was prepared and revised according to the STROBE Statement</w:t>
      </w:r>
      <w:r w:rsidR="00FF6F32" w:rsidRPr="0049490E">
        <w:rPr>
          <w:rFonts w:ascii="Book Antiqua" w:eastAsia="Book Antiqua" w:hAnsi="Book Antiqua" w:cs="Book Antiqua"/>
          <w:color w:val="000000"/>
        </w:rPr>
        <w:t>-</w:t>
      </w:r>
      <w:r w:rsidRPr="0049490E">
        <w:rPr>
          <w:rFonts w:ascii="Book Antiqua" w:eastAsia="Book Antiqua" w:hAnsi="Book Antiqua" w:cs="Book Antiqua"/>
          <w:color w:val="000000"/>
        </w:rPr>
        <w:t>checklist of items.</w:t>
      </w:r>
    </w:p>
    <w:p w14:paraId="73B1F783" w14:textId="77777777" w:rsidR="00A77B3E" w:rsidRPr="0049490E" w:rsidRDefault="00A77B3E" w:rsidP="0049490E">
      <w:pPr>
        <w:spacing w:line="360" w:lineRule="auto"/>
        <w:jc w:val="both"/>
        <w:rPr>
          <w:rFonts w:ascii="Book Antiqua" w:hAnsi="Book Antiqua"/>
        </w:rPr>
      </w:pPr>
    </w:p>
    <w:p w14:paraId="0D71484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 xml:space="preserve">Open-Access: </w:t>
      </w:r>
      <w:r w:rsidRPr="004949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49490E">
        <w:rPr>
          <w:rFonts w:ascii="Book Antiqua" w:eastAsia="Book Antiqua" w:hAnsi="Book Antiqua" w:cs="Book Antiqua"/>
          <w:color w:val="000000"/>
        </w:rPr>
        <w:lastRenderedPageBreak/>
        <w:t>their derivative works on different terms, provided the original work is properly cited and the use is non-commercial. See: http://creativecommons.org/Licenses/by-nc/4.0/</w:t>
      </w:r>
    </w:p>
    <w:p w14:paraId="4DEE0CED" w14:textId="77777777" w:rsidR="00A77B3E" w:rsidRPr="0049490E" w:rsidRDefault="00A77B3E" w:rsidP="0049490E">
      <w:pPr>
        <w:spacing w:line="360" w:lineRule="auto"/>
        <w:jc w:val="both"/>
        <w:rPr>
          <w:rFonts w:ascii="Book Antiqua" w:hAnsi="Book Antiqua"/>
        </w:rPr>
      </w:pPr>
    </w:p>
    <w:p w14:paraId="4072D117" w14:textId="607CDC8B"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Manuscript source: </w:t>
      </w:r>
      <w:r w:rsidRPr="0049490E">
        <w:rPr>
          <w:rFonts w:ascii="Book Antiqua" w:eastAsia="Book Antiqua" w:hAnsi="Book Antiqua" w:cs="Book Antiqua"/>
          <w:color w:val="000000"/>
        </w:rPr>
        <w:t>Unsolicited</w:t>
      </w:r>
      <w:r w:rsidR="00FF6F32" w:rsidRPr="0049490E">
        <w:rPr>
          <w:rFonts w:ascii="Book Antiqua" w:eastAsia="Book Antiqua" w:hAnsi="Book Antiqua" w:cs="Book Antiqua"/>
          <w:color w:val="000000"/>
        </w:rPr>
        <w:t xml:space="preserve"> m</w:t>
      </w:r>
      <w:r w:rsidRPr="0049490E">
        <w:rPr>
          <w:rFonts w:ascii="Book Antiqua" w:eastAsia="Book Antiqua" w:hAnsi="Book Antiqua" w:cs="Book Antiqua"/>
          <w:color w:val="000000"/>
        </w:rPr>
        <w:t>anuscript</w:t>
      </w:r>
    </w:p>
    <w:p w14:paraId="0FCC35E7" w14:textId="77777777" w:rsidR="00A77B3E" w:rsidRPr="0049490E" w:rsidRDefault="00A77B3E" w:rsidP="0049490E">
      <w:pPr>
        <w:spacing w:line="360" w:lineRule="auto"/>
        <w:jc w:val="both"/>
        <w:rPr>
          <w:rFonts w:ascii="Book Antiqua" w:hAnsi="Book Antiqua"/>
        </w:rPr>
      </w:pPr>
    </w:p>
    <w:p w14:paraId="283C8A87"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Peer-review started: </w:t>
      </w:r>
      <w:r w:rsidRPr="0049490E">
        <w:rPr>
          <w:rFonts w:ascii="Book Antiqua" w:eastAsia="Book Antiqua" w:hAnsi="Book Antiqua" w:cs="Book Antiqua"/>
          <w:color w:val="000000"/>
        </w:rPr>
        <w:t>December 17, 2020</w:t>
      </w:r>
    </w:p>
    <w:p w14:paraId="359B2BF2"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First decision: </w:t>
      </w:r>
      <w:r w:rsidRPr="0049490E">
        <w:rPr>
          <w:rFonts w:ascii="Book Antiqua" w:eastAsia="Book Antiqua" w:hAnsi="Book Antiqua" w:cs="Book Antiqua"/>
          <w:color w:val="000000"/>
        </w:rPr>
        <w:t>January 23, 2021</w:t>
      </w:r>
    </w:p>
    <w:p w14:paraId="1CF1A0A8"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Article in press: </w:t>
      </w:r>
    </w:p>
    <w:p w14:paraId="7CAD1A47" w14:textId="77777777" w:rsidR="00A77B3E" w:rsidRPr="0049490E" w:rsidRDefault="00A77B3E" w:rsidP="0049490E">
      <w:pPr>
        <w:spacing w:line="360" w:lineRule="auto"/>
        <w:jc w:val="both"/>
        <w:rPr>
          <w:rFonts w:ascii="Book Antiqua" w:hAnsi="Book Antiqua"/>
        </w:rPr>
      </w:pPr>
    </w:p>
    <w:p w14:paraId="17D6206A" w14:textId="0E4D7C80"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Specialty type: </w:t>
      </w:r>
      <w:r w:rsidRPr="0049490E">
        <w:rPr>
          <w:rFonts w:ascii="Book Antiqua" w:eastAsia="Book Antiqua" w:hAnsi="Book Antiqua" w:cs="Book Antiqua"/>
          <w:color w:val="000000"/>
        </w:rPr>
        <w:t>Gastroenterology an</w:t>
      </w:r>
      <w:r w:rsidR="00FF6F32" w:rsidRPr="0049490E">
        <w:rPr>
          <w:rFonts w:ascii="Book Antiqua" w:eastAsia="Book Antiqua" w:hAnsi="Book Antiqua" w:cs="Book Antiqua"/>
          <w:color w:val="000000"/>
        </w:rPr>
        <w:t>d he</w:t>
      </w:r>
      <w:r w:rsidRPr="0049490E">
        <w:rPr>
          <w:rFonts w:ascii="Book Antiqua" w:eastAsia="Book Antiqua" w:hAnsi="Book Antiqua" w:cs="Book Antiqua"/>
          <w:color w:val="000000"/>
        </w:rPr>
        <w:t>patology</w:t>
      </w:r>
    </w:p>
    <w:p w14:paraId="0CA6377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 xml:space="preserve">Country/Territory of origin: </w:t>
      </w:r>
      <w:r w:rsidRPr="0049490E">
        <w:rPr>
          <w:rFonts w:ascii="Book Antiqua" w:eastAsia="Book Antiqua" w:hAnsi="Book Antiqua" w:cs="Book Antiqua"/>
          <w:color w:val="000000"/>
        </w:rPr>
        <w:t>Brazil</w:t>
      </w:r>
    </w:p>
    <w:p w14:paraId="5FAB53A1"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color w:val="000000"/>
        </w:rPr>
        <w:t>Peer-review report’s scientific quality classification</w:t>
      </w:r>
    </w:p>
    <w:p w14:paraId="4AB4418C"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A (Excellent): 0</w:t>
      </w:r>
    </w:p>
    <w:p w14:paraId="00436D95"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B (Very good): B</w:t>
      </w:r>
    </w:p>
    <w:p w14:paraId="35CF98D0"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C (Good): 0</w:t>
      </w:r>
    </w:p>
    <w:p w14:paraId="7826396E"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D (Fair): 0</w:t>
      </w:r>
    </w:p>
    <w:p w14:paraId="6D761F54" w14:textId="77777777"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color w:val="000000"/>
        </w:rPr>
        <w:t>Grade E (Poor): 0</w:t>
      </w:r>
    </w:p>
    <w:p w14:paraId="679CC8C8" w14:textId="77777777" w:rsidR="00A77B3E" w:rsidRPr="0049490E" w:rsidRDefault="00A77B3E" w:rsidP="0049490E">
      <w:pPr>
        <w:spacing w:line="360" w:lineRule="auto"/>
        <w:jc w:val="both"/>
        <w:rPr>
          <w:rFonts w:ascii="Book Antiqua" w:hAnsi="Book Antiqua"/>
        </w:rPr>
      </w:pPr>
    </w:p>
    <w:p w14:paraId="0AA055F9" w14:textId="161F434F" w:rsidR="00BE615A" w:rsidRDefault="00521142">
      <w:pPr>
        <w:rPr>
          <w:rFonts w:ascii="Book Antiqua" w:eastAsia="Book Antiqua" w:hAnsi="Book Antiqua" w:cs="Book Antiqua"/>
          <w:b/>
          <w:color w:val="000000"/>
        </w:rPr>
      </w:pPr>
      <w:r w:rsidRPr="0049490E">
        <w:rPr>
          <w:rFonts w:ascii="Book Antiqua" w:eastAsia="Book Antiqua" w:hAnsi="Book Antiqua" w:cs="Book Antiqua"/>
          <w:b/>
          <w:color w:val="000000"/>
        </w:rPr>
        <w:t xml:space="preserve">P-Reviewer: </w:t>
      </w:r>
      <w:r w:rsidRPr="0049490E">
        <w:rPr>
          <w:rFonts w:ascii="Book Antiqua" w:eastAsia="Book Antiqua" w:hAnsi="Book Antiqua" w:cs="Book Antiqua"/>
          <w:color w:val="000000"/>
        </w:rPr>
        <w:t>Cassell III AK</w:t>
      </w:r>
      <w:r w:rsidRPr="0049490E">
        <w:rPr>
          <w:rFonts w:ascii="Book Antiqua" w:eastAsia="Book Antiqua" w:hAnsi="Book Antiqua" w:cs="Book Antiqua"/>
          <w:b/>
          <w:color w:val="000000"/>
        </w:rPr>
        <w:t xml:space="preserve"> S-Editor: </w:t>
      </w:r>
      <w:r w:rsidRPr="0049490E">
        <w:rPr>
          <w:rFonts w:ascii="Book Antiqua" w:eastAsia="Book Antiqua" w:hAnsi="Book Antiqua" w:cs="Book Antiqua"/>
          <w:color w:val="000000"/>
        </w:rPr>
        <w:t>Gao CC</w:t>
      </w:r>
      <w:r w:rsidRPr="0049490E">
        <w:rPr>
          <w:rFonts w:ascii="Book Antiqua" w:eastAsia="Book Antiqua" w:hAnsi="Book Antiqua" w:cs="Book Antiqua"/>
          <w:b/>
          <w:color w:val="000000"/>
        </w:rPr>
        <w:t xml:space="preserve"> L-Editor: </w:t>
      </w:r>
      <w:r w:rsidR="00B92DC8" w:rsidRPr="0049490E">
        <w:rPr>
          <w:rFonts w:ascii="Book Antiqua" w:eastAsia="Book Antiqua" w:hAnsi="Book Antiqua" w:cs="Book Antiqua"/>
          <w:bCs/>
          <w:color w:val="000000"/>
        </w:rPr>
        <w:t>Filipodia</w:t>
      </w:r>
      <w:r w:rsidRPr="0049490E">
        <w:rPr>
          <w:rFonts w:ascii="Book Antiqua" w:eastAsia="Book Antiqua" w:hAnsi="Book Antiqua" w:cs="Book Antiqua"/>
          <w:b/>
          <w:color w:val="000000"/>
        </w:rPr>
        <w:t xml:space="preserve"> P-Editor: </w:t>
      </w:r>
      <w:r w:rsidR="00BE615A">
        <w:rPr>
          <w:rFonts w:ascii="Book Antiqua" w:eastAsia="Book Antiqua" w:hAnsi="Book Antiqua" w:cs="Book Antiqua"/>
          <w:b/>
          <w:color w:val="000000"/>
        </w:rPr>
        <w:br w:type="page"/>
      </w:r>
    </w:p>
    <w:p w14:paraId="2AD9BAED" w14:textId="4E4365AC" w:rsidR="00A77B3E" w:rsidRPr="0049490E" w:rsidRDefault="00521142" w:rsidP="0049490E">
      <w:pPr>
        <w:spacing w:line="360" w:lineRule="auto"/>
        <w:jc w:val="both"/>
        <w:rPr>
          <w:rFonts w:ascii="Book Antiqua" w:eastAsia="Book Antiqua" w:hAnsi="Book Antiqua" w:cs="Book Antiqua"/>
          <w:b/>
          <w:color w:val="000000"/>
        </w:rPr>
      </w:pPr>
      <w:r w:rsidRPr="0049490E">
        <w:rPr>
          <w:rFonts w:ascii="Book Antiqua" w:eastAsia="Book Antiqua" w:hAnsi="Book Antiqua" w:cs="Book Antiqua"/>
          <w:b/>
          <w:color w:val="000000"/>
        </w:rPr>
        <w:lastRenderedPageBreak/>
        <w:t>Figure Legends</w:t>
      </w:r>
    </w:p>
    <w:p w14:paraId="1C986A4B" w14:textId="293683CF" w:rsidR="00286CDD" w:rsidRPr="0049490E" w:rsidRDefault="00286CDD" w:rsidP="0049490E">
      <w:pPr>
        <w:spacing w:line="360" w:lineRule="auto"/>
        <w:jc w:val="both"/>
        <w:rPr>
          <w:rFonts w:ascii="Book Antiqua" w:hAnsi="Book Antiqua"/>
        </w:rPr>
      </w:pPr>
      <w:r w:rsidRPr="0049490E">
        <w:rPr>
          <w:rFonts w:ascii="Book Antiqua" w:hAnsi="Book Antiqua"/>
          <w:noProof/>
        </w:rPr>
        <w:drawing>
          <wp:inline distT="0" distB="0" distL="0" distR="0" wp14:anchorId="2B6B707F" wp14:editId="1B4F718F">
            <wp:extent cx="5943600" cy="4289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89425"/>
                    </a:xfrm>
                    <a:prstGeom prst="rect">
                      <a:avLst/>
                    </a:prstGeom>
                  </pic:spPr>
                </pic:pic>
              </a:graphicData>
            </a:graphic>
          </wp:inline>
        </w:drawing>
      </w:r>
    </w:p>
    <w:p w14:paraId="3AE7CCD5" w14:textId="0B843E98"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Figure 1</w:t>
      </w:r>
      <w:r w:rsidR="00286CDD" w:rsidRPr="0049490E">
        <w:rPr>
          <w:rFonts w:ascii="Book Antiqua" w:eastAsia="Book Antiqua" w:hAnsi="Book Antiqua" w:cs="Book Antiqua"/>
          <w:b/>
          <w:bCs/>
          <w:color w:val="000000"/>
        </w:rPr>
        <w:t xml:space="preserve"> Inflammatory bowel disease</w:t>
      </w:r>
      <w:r w:rsidRPr="0049490E">
        <w:rPr>
          <w:rFonts w:ascii="Book Antiqua" w:eastAsia="Book Antiqua" w:hAnsi="Book Antiqua" w:cs="Book Antiqua"/>
          <w:b/>
          <w:bCs/>
          <w:color w:val="000000"/>
        </w:rPr>
        <w:t xml:space="preserve"> patients at low, moderate and high risk for complications of </w:t>
      </w:r>
      <w:r w:rsidR="00286CDD" w:rsidRPr="0049490E">
        <w:rPr>
          <w:rFonts w:ascii="Book Antiqua" w:eastAsia="Book Antiqua" w:hAnsi="Book Antiqua" w:cs="Book Antiqua"/>
          <w:b/>
          <w:bCs/>
          <w:color w:val="000000"/>
        </w:rPr>
        <w:t>coronavirus disease 2019</w:t>
      </w:r>
      <w:r w:rsidRPr="0049490E">
        <w:rPr>
          <w:rFonts w:ascii="Book Antiqua" w:eastAsia="Book Antiqua" w:hAnsi="Book Antiqua" w:cs="Book Antiqua"/>
          <w:b/>
          <w:bCs/>
          <w:color w:val="000000"/>
        </w:rPr>
        <w:t xml:space="preserve"> and </w:t>
      </w:r>
      <w:r w:rsidR="00286CDD" w:rsidRPr="0049490E">
        <w:rPr>
          <w:rFonts w:ascii="Book Antiqua" w:eastAsia="Book Antiqua" w:hAnsi="Book Antiqua" w:cs="Book Antiqua"/>
          <w:b/>
          <w:bCs/>
          <w:color w:val="000000"/>
        </w:rPr>
        <w:t>coronavirus disease</w:t>
      </w:r>
      <w:r w:rsidRPr="0049490E">
        <w:rPr>
          <w:rFonts w:ascii="Book Antiqua" w:eastAsia="Book Antiqua" w:hAnsi="Book Antiqua" w:cs="Book Antiqua"/>
          <w:b/>
          <w:bCs/>
          <w:color w:val="000000"/>
        </w:rPr>
        <w:t>-related deaths in Brazil by state (per 100000 people).</w:t>
      </w:r>
      <w:r w:rsidR="001543D3" w:rsidRPr="0049490E">
        <w:rPr>
          <w:rFonts w:ascii="Book Antiqua" w:eastAsia="Book Antiqua" w:hAnsi="Book Antiqua" w:cs="Book Antiqua"/>
          <w:color w:val="000000"/>
        </w:rPr>
        <w:t xml:space="preserve"> A: Low risk; B: Moderate risk; C: High risk; D: Coronavirus disease 2019 deaths. COVID: Coronavirus disease</w:t>
      </w:r>
      <w:r w:rsidR="00131597" w:rsidRPr="0049490E">
        <w:rPr>
          <w:rFonts w:ascii="Book Antiqua" w:eastAsia="Book Antiqua" w:hAnsi="Book Antiqua" w:cs="Book Antiqua"/>
          <w:color w:val="000000"/>
        </w:rPr>
        <w:t>; IBD: Inflammatory bowel disease.</w:t>
      </w:r>
    </w:p>
    <w:p w14:paraId="69A9D783" w14:textId="2BAB2AB0" w:rsidR="00A77B3E" w:rsidRPr="0049490E" w:rsidRDefault="001543D3" w:rsidP="0049490E">
      <w:pPr>
        <w:spacing w:line="360" w:lineRule="auto"/>
        <w:jc w:val="both"/>
        <w:rPr>
          <w:rFonts w:ascii="Book Antiqua" w:hAnsi="Book Antiqua"/>
        </w:rPr>
      </w:pPr>
      <w:r w:rsidRPr="0049490E">
        <w:rPr>
          <w:rFonts w:ascii="Book Antiqua" w:hAnsi="Book Antiqua"/>
        </w:rPr>
        <w:br w:type="page"/>
      </w:r>
      <w:r w:rsidRPr="0049490E">
        <w:rPr>
          <w:rFonts w:ascii="Book Antiqua" w:hAnsi="Book Antiqua"/>
          <w:noProof/>
        </w:rPr>
        <w:lastRenderedPageBreak/>
        <w:drawing>
          <wp:inline distT="0" distB="0" distL="0" distR="0" wp14:anchorId="60917961" wp14:editId="13236269">
            <wp:extent cx="4216778" cy="34364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8657" cy="3438025"/>
                    </a:xfrm>
                    <a:prstGeom prst="rect">
                      <a:avLst/>
                    </a:prstGeom>
                  </pic:spPr>
                </pic:pic>
              </a:graphicData>
            </a:graphic>
          </wp:inline>
        </w:drawing>
      </w:r>
    </w:p>
    <w:p w14:paraId="33BDB3BA" w14:textId="6B6210F4" w:rsidR="00A77B3E" w:rsidRPr="0049490E" w:rsidRDefault="00521142" w:rsidP="0049490E">
      <w:pPr>
        <w:spacing w:line="360" w:lineRule="auto"/>
        <w:jc w:val="both"/>
        <w:rPr>
          <w:rFonts w:ascii="Book Antiqua" w:hAnsi="Book Antiqua"/>
        </w:rPr>
      </w:pPr>
      <w:r w:rsidRPr="0049490E">
        <w:rPr>
          <w:rFonts w:ascii="Book Antiqua" w:eastAsia="Book Antiqua" w:hAnsi="Book Antiqua" w:cs="Book Antiqua"/>
          <w:b/>
          <w:bCs/>
          <w:color w:val="000000"/>
        </w:rPr>
        <w:t>Figure 2</w:t>
      </w:r>
      <w:r w:rsidR="001543D3" w:rsidRPr="0049490E">
        <w:rPr>
          <w:rFonts w:ascii="Book Antiqua" w:eastAsia="Book Antiqua" w:hAnsi="Book Antiqua" w:cs="Book Antiqua"/>
          <w:b/>
          <w:bCs/>
          <w:color w:val="000000"/>
        </w:rPr>
        <w:t xml:space="preserve"> </w:t>
      </w:r>
      <w:r w:rsidRPr="0049490E">
        <w:rPr>
          <w:rFonts w:ascii="Book Antiqua" w:eastAsia="Book Antiqua" w:hAnsi="Book Antiqua" w:cs="Book Antiqua"/>
          <w:b/>
          <w:bCs/>
          <w:color w:val="000000"/>
        </w:rPr>
        <w:t xml:space="preserve">Spearman correlation test between the 27 states and cumulative </w:t>
      </w:r>
      <w:r w:rsidR="007F0D29">
        <w:rPr>
          <w:rFonts w:ascii="Book Antiqua" w:eastAsia="Book Antiqua" w:hAnsi="Book Antiqua" w:cs="Book Antiqua"/>
          <w:b/>
          <w:bCs/>
          <w:color w:val="000000"/>
        </w:rPr>
        <w:t xml:space="preserve">coronavirus disease 2019 </w:t>
      </w:r>
      <w:r w:rsidRPr="0049490E">
        <w:rPr>
          <w:rFonts w:ascii="Book Antiqua" w:eastAsia="Book Antiqua" w:hAnsi="Book Antiqua" w:cs="Book Antiqua"/>
          <w:b/>
          <w:bCs/>
          <w:color w:val="000000"/>
        </w:rPr>
        <w:t xml:space="preserve">mortality rates. </w:t>
      </w:r>
      <w:r w:rsidRPr="0049490E">
        <w:rPr>
          <w:rFonts w:ascii="Book Antiqua" w:eastAsia="Book Antiqua" w:hAnsi="Book Antiqua" w:cs="Book Antiqua"/>
          <w:color w:val="000000"/>
        </w:rPr>
        <w:t>No significant correlation was identified (</w:t>
      </w:r>
      <w:r w:rsidRPr="0049490E">
        <w:rPr>
          <w:rFonts w:ascii="Book Antiqua" w:eastAsia="Book Antiqua" w:hAnsi="Book Antiqua" w:cs="Book Antiqua"/>
          <w:i/>
          <w:iCs/>
          <w:color w:val="000000"/>
        </w:rPr>
        <w:t>r</w:t>
      </w:r>
      <w:r w:rsidRPr="0049490E">
        <w:rPr>
          <w:rFonts w:ascii="Book Antiqua" w:eastAsia="Book Antiqua" w:hAnsi="Book Antiqua" w:cs="Book Antiqua"/>
          <w:color w:val="000000"/>
        </w:rPr>
        <w:t xml:space="preserve"> = 0.146</w:t>
      </w:r>
      <w:r w:rsidR="00131597" w:rsidRPr="0049490E">
        <w:rPr>
          <w:rFonts w:ascii="Book Antiqua" w:eastAsia="Book Antiqua" w:hAnsi="Book Antiqua" w:cs="Book Antiqua"/>
          <w:color w:val="000000"/>
        </w:rPr>
        <w:t>,</w:t>
      </w:r>
      <w:r w:rsidRPr="0049490E">
        <w:rPr>
          <w:rFonts w:ascii="Book Antiqua" w:eastAsia="Book Antiqua" w:hAnsi="Book Antiqua" w:cs="Book Antiqua"/>
          <w:color w:val="000000"/>
        </w:rPr>
        <w:t xml:space="preserve"> </w:t>
      </w:r>
      <w:r w:rsidRPr="0049490E">
        <w:rPr>
          <w:rFonts w:ascii="Book Antiqua" w:eastAsia="Book Antiqua" w:hAnsi="Book Antiqua" w:cs="Book Antiqua"/>
          <w:i/>
          <w:iCs/>
          <w:color w:val="000000"/>
        </w:rPr>
        <w:t>P</w:t>
      </w:r>
      <w:r w:rsidRPr="0049490E">
        <w:rPr>
          <w:rFonts w:ascii="Book Antiqua" w:eastAsia="Book Antiqua" w:hAnsi="Book Antiqua" w:cs="Book Antiqua"/>
          <w:color w:val="000000"/>
        </w:rPr>
        <w:t xml:space="preserve"> = 0.467).</w:t>
      </w:r>
      <w:r w:rsidR="001543D3" w:rsidRPr="0049490E">
        <w:rPr>
          <w:rFonts w:ascii="Book Antiqua" w:eastAsia="Book Antiqua" w:hAnsi="Book Antiqua" w:cs="Book Antiqua"/>
          <w:color w:val="000000"/>
        </w:rPr>
        <w:t xml:space="preserve"> COVID-19: Coronavirus disease 2019; IBD: </w:t>
      </w:r>
      <w:bookmarkStart w:id="1" w:name="_Hlk63713843"/>
      <w:r w:rsidR="001543D3" w:rsidRPr="0049490E">
        <w:rPr>
          <w:rFonts w:ascii="Book Antiqua" w:eastAsia="Book Antiqua" w:hAnsi="Book Antiqua" w:cs="Book Antiqua"/>
          <w:color w:val="000000"/>
        </w:rPr>
        <w:t>Inflammatory bowel disease</w:t>
      </w:r>
      <w:bookmarkEnd w:id="1"/>
      <w:r w:rsidR="001543D3" w:rsidRPr="0049490E">
        <w:rPr>
          <w:rFonts w:ascii="Book Antiqua" w:eastAsia="Book Antiqua" w:hAnsi="Book Antiqua" w:cs="Book Antiqua"/>
          <w:color w:val="000000"/>
        </w:rPr>
        <w:t>.</w:t>
      </w:r>
    </w:p>
    <w:p w14:paraId="3D5C9A7E" w14:textId="2C314246" w:rsidR="00A77B3E" w:rsidRPr="0049490E" w:rsidRDefault="009D327A" w:rsidP="0049490E">
      <w:pPr>
        <w:spacing w:line="360" w:lineRule="auto"/>
        <w:jc w:val="both"/>
        <w:rPr>
          <w:rFonts w:ascii="Book Antiqua" w:hAnsi="Book Antiqua"/>
          <w:b/>
          <w:bCs/>
        </w:rPr>
      </w:pPr>
      <w:r w:rsidRPr="0049490E">
        <w:rPr>
          <w:rFonts w:ascii="Book Antiqua" w:hAnsi="Book Antiqua"/>
        </w:rPr>
        <w:br w:type="page"/>
      </w:r>
      <w:r w:rsidRPr="0049490E">
        <w:rPr>
          <w:rFonts w:ascii="Book Antiqua" w:hAnsi="Book Antiqua"/>
          <w:b/>
          <w:bCs/>
        </w:rPr>
        <w:lastRenderedPageBreak/>
        <w:t>Table 1 Recommendations for inflammatory bowel disease patients according to their risk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327A" w:rsidRPr="0049490E" w14:paraId="65F937E4" w14:textId="77777777" w:rsidTr="00340396">
        <w:tc>
          <w:tcPr>
            <w:tcW w:w="0" w:type="auto"/>
            <w:tcBorders>
              <w:top w:val="single" w:sz="4" w:space="0" w:color="auto"/>
              <w:bottom w:val="single" w:sz="4" w:space="0" w:color="auto"/>
            </w:tcBorders>
            <w:shd w:val="clear" w:color="auto" w:fill="auto"/>
          </w:tcPr>
          <w:p w14:paraId="311AA358" w14:textId="77777777" w:rsidR="009D327A" w:rsidRPr="0049490E" w:rsidRDefault="009D327A" w:rsidP="0049490E">
            <w:pPr>
              <w:spacing w:line="360" w:lineRule="auto"/>
              <w:jc w:val="both"/>
              <w:rPr>
                <w:rFonts w:ascii="Book Antiqua" w:hAnsi="Book Antiqua"/>
                <w:b/>
                <w:bCs/>
              </w:rPr>
            </w:pPr>
            <w:r w:rsidRPr="0049490E">
              <w:rPr>
                <w:rFonts w:ascii="Book Antiqua" w:hAnsi="Book Antiqua"/>
                <w:b/>
                <w:bCs/>
                <w:color w:val="000000" w:themeColor="text1"/>
              </w:rPr>
              <w:t>Highest risk</w:t>
            </w:r>
          </w:p>
        </w:tc>
      </w:tr>
      <w:tr w:rsidR="009D327A" w:rsidRPr="0049490E" w14:paraId="4C9BDD68" w14:textId="77777777" w:rsidTr="00340396">
        <w:tc>
          <w:tcPr>
            <w:tcW w:w="0" w:type="auto"/>
            <w:tcBorders>
              <w:top w:val="single" w:sz="4" w:space="0" w:color="auto"/>
            </w:tcBorders>
            <w:shd w:val="clear" w:color="auto" w:fill="auto"/>
          </w:tcPr>
          <w:p w14:paraId="0EB83A29" w14:textId="78C844FA"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 xml:space="preserve">Stay home </w:t>
            </w:r>
            <w:r w:rsidR="00BB2AA0">
              <w:rPr>
                <w:rFonts w:ascii="Book Antiqua" w:hAnsi="Book Antiqua" w:cstheme="minorHAnsi"/>
                <w:lang w:val="en-US"/>
              </w:rPr>
              <w:t xml:space="preserve">at </w:t>
            </w:r>
            <w:r w:rsidRPr="0049490E">
              <w:rPr>
                <w:rFonts w:ascii="Book Antiqua" w:hAnsi="Book Antiqua" w:cstheme="minorHAnsi"/>
                <w:lang w:val="en-US"/>
              </w:rPr>
              <w:t>all times and do</w:t>
            </w:r>
            <w:r w:rsidR="00BB2AA0">
              <w:rPr>
                <w:rFonts w:ascii="Book Antiqua" w:hAnsi="Book Antiqua" w:cstheme="minorHAnsi"/>
                <w:lang w:val="en-US"/>
              </w:rPr>
              <w:t xml:space="preserve"> </w:t>
            </w:r>
            <w:r w:rsidRPr="0049490E">
              <w:rPr>
                <w:rFonts w:ascii="Book Antiqua" w:hAnsi="Book Antiqua" w:cstheme="minorHAnsi"/>
                <w:lang w:val="en-US"/>
              </w:rPr>
              <w:t>n</w:t>
            </w:r>
            <w:r w:rsidR="00BB2AA0">
              <w:rPr>
                <w:rFonts w:ascii="Book Antiqua" w:hAnsi="Book Antiqua" w:cstheme="minorHAnsi"/>
                <w:lang w:val="en-US"/>
              </w:rPr>
              <w:t>o</w:t>
            </w:r>
            <w:r w:rsidRPr="0049490E">
              <w:rPr>
                <w:rFonts w:ascii="Book Antiqua" w:hAnsi="Book Antiqua" w:cstheme="minorHAnsi"/>
                <w:lang w:val="en-US"/>
              </w:rPr>
              <w:t>t leave, even to buy food, medicine or to do exercises</w:t>
            </w:r>
          </w:p>
        </w:tc>
      </w:tr>
      <w:tr w:rsidR="009D327A" w:rsidRPr="0049490E" w14:paraId="3C69A6B5" w14:textId="77777777" w:rsidTr="00340396">
        <w:tc>
          <w:tcPr>
            <w:tcW w:w="0" w:type="auto"/>
            <w:shd w:val="clear" w:color="auto" w:fill="auto"/>
          </w:tcPr>
          <w:p w14:paraId="20A0304C" w14:textId="2CE76902"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Maintain attendance to infusions (only time to leave home) and the use of prescribed IBD medications</w:t>
            </w:r>
          </w:p>
        </w:tc>
      </w:tr>
      <w:tr w:rsidR="009D327A" w:rsidRPr="0049490E" w14:paraId="5326B911" w14:textId="77777777" w:rsidTr="00340396">
        <w:tc>
          <w:tcPr>
            <w:tcW w:w="0" w:type="auto"/>
            <w:shd w:val="clear" w:color="auto" w:fill="auto"/>
          </w:tcPr>
          <w:p w14:paraId="6FC0D134" w14:textId="62B1DBDA"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Stay at least 2 m (3 steps) from other people, including family members at home, whenever possible</w:t>
            </w:r>
          </w:p>
        </w:tc>
      </w:tr>
      <w:tr w:rsidR="009D327A" w:rsidRPr="0049490E" w14:paraId="14A17DC5" w14:textId="77777777" w:rsidTr="00340396">
        <w:tc>
          <w:tcPr>
            <w:tcW w:w="0" w:type="auto"/>
            <w:shd w:val="clear" w:color="auto" w:fill="auto"/>
          </w:tcPr>
          <w:p w14:paraId="0A0C4AE2" w14:textId="352CA194"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Delivered products must be left outside the house by the courier</w:t>
            </w:r>
          </w:p>
        </w:tc>
      </w:tr>
      <w:tr w:rsidR="009D327A" w:rsidRPr="0049490E" w14:paraId="5DC587DF" w14:textId="77777777" w:rsidTr="00340396">
        <w:tc>
          <w:tcPr>
            <w:tcW w:w="0" w:type="auto"/>
            <w:shd w:val="clear" w:color="auto" w:fill="auto"/>
          </w:tcPr>
          <w:p w14:paraId="74904575" w14:textId="5C4C2F9B"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Anyone entering home must wash their hands thoroughly with soap for at least 20 s</w:t>
            </w:r>
          </w:p>
        </w:tc>
      </w:tr>
      <w:tr w:rsidR="009D327A" w:rsidRPr="0049490E" w14:paraId="05D9A991" w14:textId="77777777" w:rsidTr="00340396">
        <w:tc>
          <w:tcPr>
            <w:tcW w:w="0" w:type="auto"/>
            <w:tcBorders>
              <w:bottom w:val="single" w:sz="4" w:space="0" w:color="auto"/>
            </w:tcBorders>
            <w:shd w:val="clear" w:color="auto" w:fill="auto"/>
          </w:tcPr>
          <w:p w14:paraId="7E0AF804" w14:textId="220CF815" w:rsidR="009D327A" w:rsidRPr="0049490E" w:rsidRDefault="009D327A" w:rsidP="0049490E">
            <w:pPr>
              <w:pStyle w:val="NormalWeb"/>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Do not receive any visitors, unless help is needed</w:t>
            </w:r>
          </w:p>
        </w:tc>
      </w:tr>
      <w:tr w:rsidR="009D327A" w:rsidRPr="0049490E" w14:paraId="4A932561" w14:textId="77777777" w:rsidTr="00340396">
        <w:tc>
          <w:tcPr>
            <w:tcW w:w="0" w:type="auto"/>
            <w:tcBorders>
              <w:top w:val="single" w:sz="4" w:space="0" w:color="auto"/>
              <w:bottom w:val="single" w:sz="4" w:space="0" w:color="auto"/>
            </w:tcBorders>
            <w:shd w:val="clear" w:color="auto" w:fill="auto"/>
          </w:tcPr>
          <w:p w14:paraId="1289C68F" w14:textId="0AAF23A7" w:rsidR="009D327A" w:rsidRPr="0049490E" w:rsidRDefault="009D327A" w:rsidP="0049490E">
            <w:pPr>
              <w:spacing w:line="360" w:lineRule="auto"/>
              <w:jc w:val="both"/>
              <w:rPr>
                <w:rFonts w:ascii="Book Antiqua" w:hAnsi="Book Antiqua"/>
                <w:b/>
                <w:bCs/>
                <w:color w:val="000000" w:themeColor="text1"/>
              </w:rPr>
            </w:pPr>
            <w:r w:rsidRPr="0049490E">
              <w:rPr>
                <w:rFonts w:ascii="Book Antiqua" w:hAnsi="Book Antiqua"/>
                <w:b/>
                <w:bCs/>
                <w:color w:val="000000" w:themeColor="text1"/>
              </w:rPr>
              <w:t xml:space="preserve">Moderate </w:t>
            </w:r>
            <w:r w:rsidR="00340396" w:rsidRPr="0049490E">
              <w:rPr>
                <w:rFonts w:ascii="Book Antiqua" w:hAnsi="Book Antiqua"/>
                <w:b/>
                <w:bCs/>
                <w:color w:val="000000" w:themeColor="text1"/>
              </w:rPr>
              <w:t>r</w:t>
            </w:r>
            <w:r w:rsidRPr="0049490E">
              <w:rPr>
                <w:rFonts w:ascii="Book Antiqua" w:hAnsi="Book Antiqua"/>
                <w:b/>
                <w:bCs/>
                <w:color w:val="000000" w:themeColor="text1"/>
              </w:rPr>
              <w:t>isk</w:t>
            </w:r>
          </w:p>
        </w:tc>
      </w:tr>
      <w:tr w:rsidR="009D327A" w:rsidRPr="0049490E" w14:paraId="6CF5DC80" w14:textId="77777777" w:rsidTr="00340396">
        <w:tc>
          <w:tcPr>
            <w:tcW w:w="0" w:type="auto"/>
            <w:tcBorders>
              <w:top w:val="single" w:sz="4" w:space="0" w:color="auto"/>
            </w:tcBorders>
            <w:shd w:val="clear" w:color="auto" w:fill="auto"/>
          </w:tcPr>
          <w:p w14:paraId="1FCF40CE" w14:textId="7FC6F15C" w:rsidR="009D327A" w:rsidRPr="0049490E" w:rsidRDefault="009D327A" w:rsidP="0049490E">
            <w:pPr>
              <w:pStyle w:val="NormalWeb"/>
              <w:adjustRightInd w:val="0"/>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Avoid contact with people with symptoms of COVID-19</w:t>
            </w:r>
          </w:p>
        </w:tc>
      </w:tr>
      <w:tr w:rsidR="009D327A" w:rsidRPr="0049490E" w14:paraId="5CEDD7A9" w14:textId="77777777" w:rsidTr="00340396">
        <w:tc>
          <w:tcPr>
            <w:tcW w:w="0" w:type="auto"/>
            <w:shd w:val="clear" w:color="auto" w:fill="auto"/>
          </w:tcPr>
          <w:p w14:paraId="68B40342" w14:textId="10D150D2" w:rsidR="009D327A" w:rsidRPr="0049490E" w:rsidRDefault="009D327A" w:rsidP="0049490E">
            <w:pPr>
              <w:pStyle w:val="NormalWeb"/>
              <w:adjustRightInd w:val="0"/>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Avoid using public transportation, crowds, public spaces and meetings with friends or family</w:t>
            </w:r>
          </w:p>
        </w:tc>
      </w:tr>
      <w:tr w:rsidR="009D327A" w:rsidRPr="0049490E" w14:paraId="03C2F276" w14:textId="77777777" w:rsidTr="00340396">
        <w:tc>
          <w:tcPr>
            <w:tcW w:w="0" w:type="auto"/>
            <w:shd w:val="clear" w:color="auto" w:fill="auto"/>
          </w:tcPr>
          <w:p w14:paraId="44AB8966" w14:textId="74A1102E" w:rsidR="009D327A" w:rsidRPr="0049490E" w:rsidRDefault="009D327A" w:rsidP="0049490E">
            <w:pPr>
              <w:pStyle w:val="NormalWeb"/>
              <w:adjustRightInd w:val="0"/>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Home office whenever possible</w:t>
            </w:r>
          </w:p>
        </w:tc>
      </w:tr>
      <w:tr w:rsidR="009D327A" w:rsidRPr="0049490E" w14:paraId="1720740C" w14:textId="77777777" w:rsidTr="00340396">
        <w:tc>
          <w:tcPr>
            <w:tcW w:w="0" w:type="auto"/>
            <w:tcBorders>
              <w:bottom w:val="single" w:sz="4" w:space="0" w:color="auto"/>
            </w:tcBorders>
            <w:shd w:val="clear" w:color="auto" w:fill="auto"/>
          </w:tcPr>
          <w:p w14:paraId="1688BF52" w14:textId="459F1C59" w:rsidR="009D327A" w:rsidRPr="0049490E" w:rsidRDefault="009D327A" w:rsidP="0049490E">
            <w:pPr>
              <w:pStyle w:val="NormalWeb"/>
              <w:adjustRightInd w:val="0"/>
              <w:snapToGrid w:val="0"/>
              <w:spacing w:before="0" w:beforeAutospacing="0" w:after="0" w:afterAutospacing="0" w:line="360" w:lineRule="auto"/>
              <w:ind w:left="57"/>
              <w:jc w:val="both"/>
              <w:rPr>
                <w:rFonts w:ascii="Book Antiqua" w:hAnsi="Book Antiqua" w:cstheme="minorHAnsi"/>
                <w:lang w:val="en-US"/>
              </w:rPr>
            </w:pPr>
            <w:r w:rsidRPr="0049490E">
              <w:rPr>
                <w:rFonts w:ascii="Book Antiqua" w:hAnsi="Book Antiqua" w:cstheme="minorHAnsi"/>
                <w:lang w:val="en-US"/>
              </w:rPr>
              <w:t>Use smartphones or virtual technology to contact physicians or other essential services</w:t>
            </w:r>
          </w:p>
        </w:tc>
      </w:tr>
      <w:tr w:rsidR="009D327A" w:rsidRPr="0049490E" w14:paraId="6E33FEF7" w14:textId="77777777" w:rsidTr="00340396">
        <w:tc>
          <w:tcPr>
            <w:tcW w:w="0" w:type="auto"/>
            <w:tcBorders>
              <w:top w:val="single" w:sz="4" w:space="0" w:color="auto"/>
              <w:bottom w:val="single" w:sz="4" w:space="0" w:color="auto"/>
            </w:tcBorders>
            <w:shd w:val="clear" w:color="auto" w:fill="auto"/>
          </w:tcPr>
          <w:p w14:paraId="2F190726" w14:textId="60FB503F" w:rsidR="009D327A" w:rsidRPr="0049490E" w:rsidRDefault="009D327A" w:rsidP="0049490E">
            <w:pPr>
              <w:spacing w:line="360" w:lineRule="auto"/>
              <w:jc w:val="both"/>
              <w:rPr>
                <w:rFonts w:ascii="Book Antiqua" w:hAnsi="Book Antiqua"/>
                <w:b/>
                <w:bCs/>
              </w:rPr>
            </w:pPr>
            <w:r w:rsidRPr="0049490E">
              <w:rPr>
                <w:rFonts w:ascii="Book Antiqua" w:hAnsi="Book Antiqua"/>
                <w:b/>
                <w:bCs/>
              </w:rPr>
              <w:t xml:space="preserve">Lowest </w:t>
            </w:r>
            <w:r w:rsidR="00340396" w:rsidRPr="0049490E">
              <w:rPr>
                <w:rFonts w:ascii="Book Antiqua" w:hAnsi="Book Antiqua"/>
                <w:b/>
                <w:bCs/>
              </w:rPr>
              <w:t>r</w:t>
            </w:r>
            <w:r w:rsidRPr="0049490E">
              <w:rPr>
                <w:rFonts w:ascii="Book Antiqua" w:hAnsi="Book Antiqua"/>
                <w:b/>
                <w:bCs/>
              </w:rPr>
              <w:t>isk</w:t>
            </w:r>
          </w:p>
        </w:tc>
      </w:tr>
      <w:tr w:rsidR="009D327A" w:rsidRPr="0049490E" w14:paraId="26B16773" w14:textId="77777777" w:rsidTr="00340396">
        <w:tc>
          <w:tcPr>
            <w:tcW w:w="0" w:type="auto"/>
            <w:tcBorders>
              <w:top w:val="single" w:sz="4" w:space="0" w:color="auto"/>
            </w:tcBorders>
            <w:shd w:val="clear" w:color="auto" w:fill="auto"/>
          </w:tcPr>
          <w:p w14:paraId="64297D1B" w14:textId="65291810" w:rsidR="009D327A" w:rsidRPr="0049490E" w:rsidRDefault="009D327A" w:rsidP="0049490E">
            <w:pPr>
              <w:pStyle w:val="NormalWeb"/>
              <w:spacing w:before="0" w:beforeAutospacing="0" w:after="0" w:afterAutospacing="0" w:line="360" w:lineRule="auto"/>
              <w:ind w:right="227"/>
              <w:jc w:val="both"/>
              <w:rPr>
                <w:rFonts w:ascii="Book Antiqua" w:hAnsi="Book Antiqua" w:cstheme="minorHAnsi"/>
                <w:lang w:val="en-US"/>
              </w:rPr>
            </w:pPr>
            <w:r w:rsidRPr="0049490E">
              <w:rPr>
                <w:rFonts w:ascii="Book Antiqua" w:hAnsi="Book Antiqua" w:cstheme="minorHAnsi"/>
                <w:lang w:val="en-US"/>
              </w:rPr>
              <w:t>All risk groups must follow the recommendations of the World Health Organization</w:t>
            </w:r>
          </w:p>
        </w:tc>
      </w:tr>
      <w:tr w:rsidR="009D327A" w:rsidRPr="0049490E" w14:paraId="7321752C" w14:textId="77777777" w:rsidTr="00340396">
        <w:tc>
          <w:tcPr>
            <w:tcW w:w="0" w:type="auto"/>
            <w:shd w:val="clear" w:color="auto" w:fill="auto"/>
          </w:tcPr>
          <w:p w14:paraId="55748BBB" w14:textId="20B2D396" w:rsidR="009D327A" w:rsidRPr="0049490E" w:rsidRDefault="00340396" w:rsidP="0049490E">
            <w:pPr>
              <w:pStyle w:val="NormalWeb"/>
              <w:spacing w:before="0" w:beforeAutospacing="0" w:after="0" w:afterAutospacing="0" w:line="360" w:lineRule="auto"/>
              <w:ind w:right="57" w:firstLineChars="100" w:firstLine="240"/>
              <w:jc w:val="both"/>
              <w:rPr>
                <w:rFonts w:ascii="Book Antiqua" w:hAnsi="Book Antiqua" w:cstheme="minorHAnsi"/>
                <w:lang w:val="en-US"/>
              </w:rPr>
            </w:pPr>
            <w:r w:rsidRPr="0049490E">
              <w:rPr>
                <w:rFonts w:ascii="Book Antiqua" w:hAnsi="Book Antiqua" w:cstheme="minorHAnsi"/>
                <w:lang w:val="en-US"/>
              </w:rPr>
              <w:t>Wash hands thoroughly with soap for at least 20 s, frequently</w:t>
            </w:r>
          </w:p>
        </w:tc>
      </w:tr>
      <w:tr w:rsidR="00340396" w:rsidRPr="0049490E" w14:paraId="68E5610E" w14:textId="77777777" w:rsidTr="00340396">
        <w:tc>
          <w:tcPr>
            <w:tcW w:w="0" w:type="auto"/>
            <w:shd w:val="clear" w:color="auto" w:fill="auto"/>
          </w:tcPr>
          <w:p w14:paraId="67C0C228" w14:textId="4110F030" w:rsidR="00340396" w:rsidRPr="0049490E" w:rsidRDefault="00340396" w:rsidP="0049490E">
            <w:pPr>
              <w:pStyle w:val="NormalWeb"/>
              <w:spacing w:line="360" w:lineRule="auto"/>
              <w:ind w:right="227" w:firstLineChars="100" w:firstLine="240"/>
              <w:jc w:val="both"/>
              <w:rPr>
                <w:rFonts w:ascii="Book Antiqua" w:hAnsi="Book Antiqua" w:cstheme="minorHAnsi"/>
                <w:lang w:val="en-US"/>
              </w:rPr>
            </w:pPr>
            <w:r w:rsidRPr="0049490E">
              <w:rPr>
                <w:rFonts w:ascii="Book Antiqua" w:hAnsi="Book Antiqua" w:cstheme="minorHAnsi"/>
                <w:lang w:val="en-US"/>
              </w:rPr>
              <w:t>Use 70% alcohol gel if soap or water is not available</w:t>
            </w:r>
          </w:p>
        </w:tc>
      </w:tr>
      <w:tr w:rsidR="00340396" w:rsidRPr="0049490E" w14:paraId="732EF6AE" w14:textId="77777777" w:rsidTr="00340396">
        <w:tc>
          <w:tcPr>
            <w:tcW w:w="0" w:type="auto"/>
            <w:shd w:val="clear" w:color="auto" w:fill="auto"/>
          </w:tcPr>
          <w:p w14:paraId="1F78AA6E" w14:textId="21B0DE5C" w:rsidR="00340396" w:rsidRPr="0049490E" w:rsidRDefault="00340396" w:rsidP="0049490E">
            <w:pPr>
              <w:pStyle w:val="NormalWeb"/>
              <w:spacing w:before="0" w:beforeAutospacing="0" w:after="0" w:afterAutospacing="0" w:line="360" w:lineRule="auto"/>
              <w:ind w:right="57" w:firstLineChars="100" w:firstLine="240"/>
              <w:jc w:val="both"/>
              <w:rPr>
                <w:rFonts w:ascii="Book Antiqua" w:hAnsi="Book Antiqua" w:cstheme="minorHAnsi"/>
                <w:lang w:val="en-US"/>
              </w:rPr>
            </w:pPr>
            <w:r w:rsidRPr="0049490E">
              <w:rPr>
                <w:rFonts w:ascii="Book Antiqua" w:hAnsi="Book Antiqua" w:cstheme="minorHAnsi"/>
                <w:lang w:val="en-US"/>
              </w:rPr>
              <w:t>Avoid touching the face</w:t>
            </w:r>
          </w:p>
        </w:tc>
      </w:tr>
      <w:tr w:rsidR="00340396" w:rsidRPr="0049490E" w14:paraId="24A14890" w14:textId="77777777" w:rsidTr="00340396">
        <w:tc>
          <w:tcPr>
            <w:tcW w:w="0" w:type="auto"/>
            <w:shd w:val="clear" w:color="auto" w:fill="auto"/>
          </w:tcPr>
          <w:p w14:paraId="53D16F22" w14:textId="194F370E" w:rsidR="00340396" w:rsidRPr="0049490E" w:rsidRDefault="00340396" w:rsidP="0049490E">
            <w:pPr>
              <w:pStyle w:val="NormalWeb"/>
              <w:spacing w:before="0" w:beforeAutospacing="0" w:after="0" w:afterAutospacing="0" w:line="360" w:lineRule="auto"/>
              <w:ind w:right="57" w:firstLineChars="100" w:firstLine="240"/>
              <w:jc w:val="both"/>
              <w:rPr>
                <w:rFonts w:ascii="Book Antiqua" w:hAnsi="Book Antiqua" w:cstheme="minorHAnsi"/>
                <w:lang w:val="en-US"/>
              </w:rPr>
            </w:pPr>
            <w:r w:rsidRPr="0049490E">
              <w:rPr>
                <w:rFonts w:ascii="Book Antiqua" w:hAnsi="Book Antiqua" w:cstheme="minorHAnsi"/>
                <w:lang w:val="en-US"/>
              </w:rPr>
              <w:t>Clean objects and surfaces that are frequently touched (such as door handles and phones)</w:t>
            </w:r>
          </w:p>
        </w:tc>
      </w:tr>
      <w:tr w:rsidR="009D327A" w:rsidRPr="0049490E" w14:paraId="6B085754" w14:textId="77777777" w:rsidTr="00340396">
        <w:tc>
          <w:tcPr>
            <w:tcW w:w="0" w:type="auto"/>
            <w:shd w:val="clear" w:color="auto" w:fill="auto"/>
          </w:tcPr>
          <w:p w14:paraId="190EE232" w14:textId="657B7721" w:rsidR="009D327A" w:rsidRPr="0049490E" w:rsidRDefault="00340396" w:rsidP="0049490E">
            <w:pPr>
              <w:pStyle w:val="NormalWeb"/>
              <w:spacing w:line="360" w:lineRule="auto"/>
              <w:ind w:right="227" w:firstLineChars="100" w:firstLine="240"/>
              <w:jc w:val="both"/>
              <w:rPr>
                <w:rFonts w:ascii="Book Antiqua" w:hAnsi="Book Antiqua" w:cstheme="minorHAnsi"/>
                <w:lang w:val="en-US"/>
              </w:rPr>
            </w:pPr>
            <w:r w:rsidRPr="0049490E">
              <w:rPr>
                <w:rFonts w:ascii="Book Antiqua" w:hAnsi="Book Antiqua" w:cstheme="minorHAnsi"/>
                <w:lang w:val="en-US"/>
              </w:rPr>
              <w:t>Stay home to help prevent the spread of the virus</w:t>
            </w:r>
          </w:p>
        </w:tc>
      </w:tr>
      <w:tr w:rsidR="009D327A" w:rsidRPr="0049490E" w14:paraId="4F63D9EC" w14:textId="77777777" w:rsidTr="00340396">
        <w:tc>
          <w:tcPr>
            <w:tcW w:w="0" w:type="auto"/>
            <w:shd w:val="clear" w:color="auto" w:fill="auto"/>
          </w:tcPr>
          <w:p w14:paraId="77674235" w14:textId="3CAE8BE8" w:rsidR="009D327A" w:rsidRPr="0049490E" w:rsidRDefault="00340396" w:rsidP="0049490E">
            <w:pPr>
              <w:pStyle w:val="NormalWeb"/>
              <w:spacing w:line="360" w:lineRule="auto"/>
              <w:ind w:right="227" w:firstLineChars="100" w:firstLine="240"/>
              <w:jc w:val="both"/>
              <w:rPr>
                <w:rFonts w:ascii="Book Antiqua" w:hAnsi="Book Antiqua" w:cstheme="minorHAnsi"/>
                <w:lang w:val="en-US"/>
              </w:rPr>
            </w:pPr>
            <w:r w:rsidRPr="0049490E">
              <w:rPr>
                <w:rFonts w:ascii="Book Antiqua" w:hAnsi="Book Antiqua" w:cstheme="minorHAnsi"/>
                <w:lang w:val="en-US"/>
              </w:rPr>
              <w:t>Leave home for very limited purposes: buying food and medication, exercise once a day (running, walking or cycling) alone or with a family member, help a vulnerable person or donate blood</w:t>
            </w:r>
          </w:p>
        </w:tc>
      </w:tr>
      <w:tr w:rsidR="009D327A" w:rsidRPr="0049490E" w14:paraId="5B865629" w14:textId="77777777" w:rsidTr="00340396">
        <w:tc>
          <w:tcPr>
            <w:tcW w:w="0" w:type="auto"/>
            <w:shd w:val="clear" w:color="auto" w:fill="auto"/>
          </w:tcPr>
          <w:p w14:paraId="7A0CE3A6" w14:textId="245858D1" w:rsidR="009D327A" w:rsidRPr="0049490E" w:rsidRDefault="00340396" w:rsidP="0049490E">
            <w:pPr>
              <w:pStyle w:val="NormalWeb"/>
              <w:spacing w:line="360" w:lineRule="auto"/>
              <w:ind w:right="227" w:firstLineChars="100" w:firstLine="240"/>
              <w:jc w:val="both"/>
              <w:rPr>
                <w:rFonts w:ascii="Book Antiqua" w:hAnsi="Book Antiqua" w:cstheme="minorHAnsi"/>
                <w:lang w:val="en-US"/>
              </w:rPr>
            </w:pPr>
            <w:r w:rsidRPr="0049490E">
              <w:rPr>
                <w:rFonts w:ascii="Book Antiqua" w:hAnsi="Book Antiqua" w:cstheme="minorHAnsi"/>
                <w:lang w:val="en-US"/>
              </w:rPr>
              <w:t>Travel for professional purposes only if strictly necessary</w:t>
            </w:r>
          </w:p>
        </w:tc>
      </w:tr>
      <w:tr w:rsidR="009D327A" w:rsidRPr="0049490E" w14:paraId="1D1D2C56" w14:textId="77777777" w:rsidTr="00340396">
        <w:tc>
          <w:tcPr>
            <w:tcW w:w="0" w:type="auto"/>
            <w:tcBorders>
              <w:bottom w:val="single" w:sz="4" w:space="0" w:color="auto"/>
            </w:tcBorders>
            <w:shd w:val="clear" w:color="auto" w:fill="auto"/>
          </w:tcPr>
          <w:p w14:paraId="6E325CC0" w14:textId="235E0F29" w:rsidR="009D327A" w:rsidRPr="0049490E" w:rsidRDefault="00340396" w:rsidP="0049490E">
            <w:pPr>
              <w:pStyle w:val="NormalWeb"/>
              <w:spacing w:line="360" w:lineRule="auto"/>
              <w:ind w:right="227" w:firstLineChars="100" w:firstLine="240"/>
              <w:jc w:val="both"/>
              <w:rPr>
                <w:rFonts w:ascii="Book Antiqua" w:hAnsi="Book Antiqua" w:cstheme="minorHAnsi"/>
                <w:lang w:val="en-US"/>
              </w:rPr>
            </w:pPr>
            <w:r w:rsidRPr="0049490E">
              <w:rPr>
                <w:rFonts w:ascii="Book Antiqua" w:hAnsi="Book Antiqua" w:cstheme="minorHAnsi"/>
                <w:lang w:val="en-US"/>
              </w:rPr>
              <w:lastRenderedPageBreak/>
              <w:t>When leaving home, minimize the time spent away and keep 2 m away from others</w:t>
            </w:r>
          </w:p>
        </w:tc>
      </w:tr>
    </w:tbl>
    <w:p w14:paraId="675AF470" w14:textId="4C96186F" w:rsidR="00B9304C" w:rsidRPr="0049490E" w:rsidRDefault="00B9304C" w:rsidP="0049490E">
      <w:pPr>
        <w:spacing w:line="360" w:lineRule="auto"/>
        <w:jc w:val="both"/>
        <w:rPr>
          <w:rFonts w:ascii="Book Antiqua" w:eastAsia="Book Antiqua" w:hAnsi="Book Antiqua" w:cs="Book Antiqua"/>
          <w:color w:val="000000"/>
        </w:rPr>
      </w:pPr>
      <w:r w:rsidRPr="0049490E">
        <w:rPr>
          <w:rFonts w:ascii="Book Antiqua" w:eastAsia="Book Antiqua" w:hAnsi="Book Antiqua" w:cs="Book Antiqua"/>
          <w:color w:val="000000"/>
        </w:rPr>
        <w:t xml:space="preserve">Adapted with permission from </w:t>
      </w:r>
      <w:r w:rsidR="005243C8" w:rsidRPr="0049490E">
        <w:rPr>
          <w:rFonts w:ascii="Book Antiqua" w:eastAsia="Book Antiqua" w:hAnsi="Book Antiqua" w:cs="Book Antiqua"/>
          <w:color w:val="000000"/>
        </w:rPr>
        <w:t xml:space="preserve">Queiroz </w:t>
      </w:r>
      <w:r w:rsidRPr="0049490E">
        <w:rPr>
          <w:rFonts w:ascii="Book Antiqua" w:eastAsia="Book Antiqua" w:hAnsi="Book Antiqua" w:cs="Book Antiqua"/>
          <w:i/>
          <w:iCs/>
          <w:color w:val="000000"/>
        </w:rPr>
        <w:t>et al</w:t>
      </w:r>
      <w:r w:rsidRPr="0049490E">
        <w:rPr>
          <w:rFonts w:ascii="Book Antiqua" w:eastAsia="Book Antiqua" w:hAnsi="Book Antiqua" w:cs="Book Antiqua"/>
          <w:color w:val="000000"/>
          <w:vertAlign w:val="superscript"/>
        </w:rPr>
        <w:t>[</w:t>
      </w:r>
      <w:r w:rsidR="005243C8" w:rsidRPr="0049490E">
        <w:rPr>
          <w:rFonts w:ascii="Book Antiqua" w:eastAsia="Book Antiqua" w:hAnsi="Book Antiqua" w:cs="Book Antiqua"/>
          <w:color w:val="000000"/>
          <w:vertAlign w:val="superscript"/>
        </w:rPr>
        <w:t>6</w:t>
      </w:r>
      <w:r w:rsidRPr="0049490E">
        <w:rPr>
          <w:rFonts w:ascii="Book Antiqua" w:eastAsia="Book Antiqua" w:hAnsi="Book Antiqua" w:cs="Book Antiqua"/>
          <w:color w:val="000000"/>
          <w:vertAlign w:val="superscript"/>
        </w:rPr>
        <w:t>]</w:t>
      </w:r>
      <w:r w:rsidRPr="0049490E">
        <w:rPr>
          <w:rFonts w:ascii="Book Antiqua" w:eastAsia="Book Antiqua" w:hAnsi="Book Antiqua" w:cs="Book Antiqua"/>
          <w:color w:val="000000"/>
        </w:rPr>
        <w:t xml:space="preserve">. </w:t>
      </w:r>
      <w:r w:rsidR="00340396" w:rsidRPr="0049490E">
        <w:rPr>
          <w:rFonts w:ascii="Book Antiqua" w:eastAsia="Book Antiqua" w:hAnsi="Book Antiqua" w:cs="Book Antiqua"/>
          <w:color w:val="000000"/>
        </w:rPr>
        <w:t>COVID-19: Coronavirus disease 2019; IBD: Inflammatory bowel disease.</w:t>
      </w:r>
    </w:p>
    <w:p w14:paraId="4310D535" w14:textId="0C0C3617" w:rsidR="009D327A" w:rsidRPr="0049490E" w:rsidRDefault="00B9304C" w:rsidP="0049490E">
      <w:pPr>
        <w:spacing w:line="360" w:lineRule="auto"/>
        <w:jc w:val="both"/>
        <w:rPr>
          <w:rFonts w:ascii="Book Antiqua" w:eastAsia="Book Antiqua" w:hAnsi="Book Antiqua" w:cs="Book Antiqua"/>
          <w:b/>
          <w:bCs/>
          <w:color w:val="000000"/>
        </w:rPr>
      </w:pPr>
      <w:r w:rsidRPr="0049490E">
        <w:rPr>
          <w:rFonts w:ascii="Book Antiqua" w:eastAsia="Book Antiqua" w:hAnsi="Book Antiqua" w:cs="Book Antiqua"/>
          <w:color w:val="000000"/>
        </w:rPr>
        <w:br w:type="page"/>
      </w:r>
      <w:r w:rsidR="00521142" w:rsidRPr="0049490E">
        <w:rPr>
          <w:rFonts w:ascii="Book Antiqua" w:eastAsia="Book Antiqua" w:hAnsi="Book Antiqua" w:cs="Book Antiqua"/>
          <w:b/>
          <w:bCs/>
          <w:color w:val="000000"/>
        </w:rPr>
        <w:lastRenderedPageBreak/>
        <w:t>Table 2 Demographic, clinical and treatment characteristics from the whole sample of patients</w:t>
      </w:r>
    </w:p>
    <w:tbl>
      <w:tblPr>
        <w:tblStyle w:val="PlainTable51"/>
        <w:tblW w:w="0" w:type="auto"/>
        <w:tblLayout w:type="fixed"/>
        <w:tblLook w:val="0400" w:firstRow="0" w:lastRow="0" w:firstColumn="0" w:lastColumn="0" w:noHBand="0" w:noVBand="1"/>
      </w:tblPr>
      <w:tblGrid>
        <w:gridCol w:w="3480"/>
        <w:gridCol w:w="2865"/>
      </w:tblGrid>
      <w:tr w:rsidR="00521142" w:rsidRPr="0049490E" w14:paraId="774D21A9"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tcBorders>
              <w:top w:val="single" w:sz="4" w:space="0" w:color="auto"/>
              <w:bottom w:val="single" w:sz="4" w:space="0" w:color="auto"/>
            </w:tcBorders>
            <w:shd w:val="clear" w:color="auto" w:fill="auto"/>
          </w:tcPr>
          <w:p w14:paraId="41822786" w14:textId="176E3BE3" w:rsidR="00521142" w:rsidRPr="0049490E" w:rsidRDefault="00521142" w:rsidP="0049490E">
            <w:pPr>
              <w:autoSpaceDE w:val="0"/>
              <w:autoSpaceDN w:val="0"/>
              <w:adjustRightInd w:val="0"/>
              <w:spacing w:beforeAutospacing="0" w:line="360" w:lineRule="auto"/>
              <w:ind w:firstLine="0"/>
              <w:rPr>
                <w:rFonts w:ascii="Book Antiqua" w:hAnsi="Book Antiqua" w:cs="Arial Narrow"/>
                <w:b/>
                <w:bCs/>
                <w:color w:val="000000"/>
                <w:lang w:val="en-US"/>
              </w:rPr>
            </w:pPr>
            <w:r w:rsidRPr="0049490E">
              <w:rPr>
                <w:rFonts w:ascii="Book Antiqua" w:hAnsi="Book Antiqua" w:cs="Arial Narrow"/>
                <w:b/>
                <w:bCs/>
                <w:color w:val="000000"/>
                <w:lang w:val="en-US"/>
              </w:rPr>
              <w:t>Characteristics</w:t>
            </w:r>
          </w:p>
        </w:tc>
        <w:tc>
          <w:tcPr>
            <w:tcW w:w="2865" w:type="dxa"/>
            <w:tcBorders>
              <w:top w:val="single" w:sz="4" w:space="0" w:color="auto"/>
              <w:bottom w:val="single" w:sz="4" w:space="0" w:color="auto"/>
            </w:tcBorders>
            <w:shd w:val="clear" w:color="auto" w:fill="auto"/>
          </w:tcPr>
          <w:p w14:paraId="3933122D" w14:textId="7FEA3801" w:rsidR="00521142" w:rsidRPr="0049490E" w:rsidRDefault="00521142" w:rsidP="0049490E">
            <w:pPr>
              <w:autoSpaceDE w:val="0"/>
              <w:autoSpaceDN w:val="0"/>
              <w:adjustRightInd w:val="0"/>
              <w:spacing w:beforeAutospacing="0" w:line="360" w:lineRule="auto"/>
              <w:ind w:firstLine="0"/>
              <w:rPr>
                <w:rFonts w:ascii="Book Antiqua" w:hAnsi="Book Antiqua" w:cs="Arial Narrow"/>
                <w:b/>
                <w:bCs/>
                <w:color w:val="000000"/>
                <w:lang w:val="en-US"/>
              </w:rPr>
            </w:pPr>
            <w:r w:rsidRPr="0049490E">
              <w:rPr>
                <w:rFonts w:ascii="Book Antiqua" w:hAnsi="Book Antiqua" w:cs="Arial Narrow"/>
                <w:b/>
                <w:bCs/>
                <w:i/>
                <w:iCs/>
                <w:color w:val="000000"/>
                <w:lang w:val="en-US"/>
              </w:rPr>
              <w:t>n</w:t>
            </w:r>
            <w:r w:rsidRPr="0049490E">
              <w:rPr>
                <w:rFonts w:ascii="Book Antiqua" w:hAnsi="Book Antiqua" w:cs="Arial Narrow"/>
                <w:b/>
                <w:bCs/>
                <w:color w:val="000000"/>
                <w:lang w:val="en-US"/>
              </w:rPr>
              <w:t xml:space="preserve"> = 3568 (%)</w:t>
            </w:r>
          </w:p>
        </w:tc>
      </w:tr>
      <w:tr w:rsidR="00521142" w:rsidRPr="0049490E" w14:paraId="43E114FD" w14:textId="77777777" w:rsidTr="008726C9">
        <w:trPr>
          <w:trHeight w:val="300"/>
        </w:trPr>
        <w:tc>
          <w:tcPr>
            <w:tcW w:w="3480" w:type="dxa"/>
            <w:tcBorders>
              <w:top w:val="single" w:sz="4" w:space="0" w:color="auto"/>
            </w:tcBorders>
            <w:shd w:val="clear" w:color="auto" w:fill="auto"/>
          </w:tcPr>
          <w:p w14:paraId="65113E03" w14:textId="7E731198"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Age (yr)</w:t>
            </w:r>
          </w:p>
        </w:tc>
        <w:tc>
          <w:tcPr>
            <w:tcW w:w="2865" w:type="dxa"/>
            <w:tcBorders>
              <w:top w:val="single" w:sz="4" w:space="0" w:color="auto"/>
            </w:tcBorders>
            <w:shd w:val="clear" w:color="auto" w:fill="auto"/>
          </w:tcPr>
          <w:p w14:paraId="6184EF66"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38.1 ± 12.3</w:t>
            </w:r>
          </w:p>
        </w:tc>
      </w:tr>
      <w:tr w:rsidR="00521142" w:rsidRPr="0049490E" w14:paraId="2A21F53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CEF0E32" w14:textId="1F76E134"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0-9</w:t>
            </w:r>
          </w:p>
        </w:tc>
        <w:tc>
          <w:tcPr>
            <w:tcW w:w="2865" w:type="dxa"/>
            <w:shd w:val="clear" w:color="auto" w:fill="auto"/>
          </w:tcPr>
          <w:p w14:paraId="6A00574C" w14:textId="50DD8DE0"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 (0.3)</w:t>
            </w:r>
          </w:p>
        </w:tc>
      </w:tr>
      <w:tr w:rsidR="00521142" w:rsidRPr="0049490E" w14:paraId="57319BC8" w14:textId="77777777" w:rsidTr="008726C9">
        <w:trPr>
          <w:trHeight w:val="300"/>
        </w:trPr>
        <w:tc>
          <w:tcPr>
            <w:tcW w:w="3480" w:type="dxa"/>
            <w:shd w:val="clear" w:color="auto" w:fill="auto"/>
          </w:tcPr>
          <w:p w14:paraId="73C953C9" w14:textId="2EAA563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10-19</w:t>
            </w:r>
          </w:p>
        </w:tc>
        <w:tc>
          <w:tcPr>
            <w:tcW w:w="2865" w:type="dxa"/>
            <w:shd w:val="clear" w:color="auto" w:fill="auto"/>
          </w:tcPr>
          <w:p w14:paraId="0DA03C2F" w14:textId="5E98A1B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120 (3.4)</w:t>
            </w:r>
          </w:p>
        </w:tc>
      </w:tr>
      <w:tr w:rsidR="00521142" w:rsidRPr="0049490E" w14:paraId="032A26FF"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5323727" w14:textId="57B96885"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20-29</w:t>
            </w:r>
          </w:p>
        </w:tc>
        <w:tc>
          <w:tcPr>
            <w:tcW w:w="2865" w:type="dxa"/>
            <w:shd w:val="clear" w:color="auto" w:fill="auto"/>
          </w:tcPr>
          <w:p w14:paraId="127A9170" w14:textId="2081C7EC"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769 (21.6)</w:t>
            </w:r>
          </w:p>
        </w:tc>
      </w:tr>
      <w:tr w:rsidR="00521142" w:rsidRPr="0049490E" w14:paraId="5C21DA8A" w14:textId="77777777" w:rsidTr="008726C9">
        <w:trPr>
          <w:trHeight w:val="300"/>
        </w:trPr>
        <w:tc>
          <w:tcPr>
            <w:tcW w:w="3480" w:type="dxa"/>
            <w:shd w:val="clear" w:color="auto" w:fill="auto"/>
          </w:tcPr>
          <w:p w14:paraId="0326A5AF" w14:textId="7EEBA488"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30-39</w:t>
            </w:r>
          </w:p>
        </w:tc>
        <w:tc>
          <w:tcPr>
            <w:tcW w:w="2865" w:type="dxa"/>
            <w:shd w:val="clear" w:color="auto" w:fill="auto"/>
          </w:tcPr>
          <w:p w14:paraId="7CAEE205" w14:textId="2DDF70A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1214 (34)</w:t>
            </w:r>
          </w:p>
        </w:tc>
      </w:tr>
      <w:tr w:rsidR="00521142" w:rsidRPr="0049490E" w14:paraId="7A0A7207"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19C9B4BB" w14:textId="3113FD0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40-49</w:t>
            </w:r>
          </w:p>
        </w:tc>
        <w:tc>
          <w:tcPr>
            <w:tcW w:w="2865" w:type="dxa"/>
            <w:shd w:val="clear" w:color="auto" w:fill="auto"/>
          </w:tcPr>
          <w:p w14:paraId="6A27202E" w14:textId="6FF211F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848 (23.8)</w:t>
            </w:r>
          </w:p>
        </w:tc>
      </w:tr>
      <w:tr w:rsidR="00521142" w:rsidRPr="0049490E" w14:paraId="35FD70E4" w14:textId="77777777" w:rsidTr="008726C9">
        <w:trPr>
          <w:trHeight w:val="300"/>
        </w:trPr>
        <w:tc>
          <w:tcPr>
            <w:tcW w:w="3480" w:type="dxa"/>
            <w:shd w:val="clear" w:color="auto" w:fill="auto"/>
          </w:tcPr>
          <w:p w14:paraId="7DC57744" w14:textId="66DEC6B0"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50-59</w:t>
            </w:r>
          </w:p>
        </w:tc>
        <w:tc>
          <w:tcPr>
            <w:tcW w:w="2865" w:type="dxa"/>
            <w:shd w:val="clear" w:color="auto" w:fill="auto"/>
          </w:tcPr>
          <w:p w14:paraId="1B7D6E4E" w14:textId="34A8BD6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379 (10.6)</w:t>
            </w:r>
          </w:p>
        </w:tc>
      </w:tr>
      <w:tr w:rsidR="00521142" w:rsidRPr="0049490E" w14:paraId="108AFB1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6E0AA67" w14:textId="0B79434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60-69</w:t>
            </w:r>
          </w:p>
        </w:tc>
        <w:tc>
          <w:tcPr>
            <w:tcW w:w="2865" w:type="dxa"/>
            <w:shd w:val="clear" w:color="auto" w:fill="auto"/>
          </w:tcPr>
          <w:p w14:paraId="03F60784" w14:textId="44CEA9AA"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177 (5</w:t>
            </w:r>
            <w:r w:rsidR="00186EE7">
              <w:rPr>
                <w:rFonts w:ascii="Book Antiqua" w:hAnsi="Book Antiqua" w:cs="Arial Narrow"/>
                <w:color w:val="000000"/>
                <w:lang w:val="en-US"/>
              </w:rPr>
              <w:t>.0</w:t>
            </w:r>
            <w:r w:rsidRPr="0049490E">
              <w:rPr>
                <w:rFonts w:ascii="Book Antiqua" w:hAnsi="Book Antiqua" w:cs="Arial Narrow"/>
                <w:color w:val="000000"/>
                <w:lang w:val="en-US"/>
              </w:rPr>
              <w:t>)</w:t>
            </w:r>
          </w:p>
        </w:tc>
      </w:tr>
      <w:tr w:rsidR="00521142" w:rsidRPr="0049490E" w14:paraId="4890FD21" w14:textId="77777777" w:rsidTr="008726C9">
        <w:trPr>
          <w:trHeight w:val="300"/>
        </w:trPr>
        <w:tc>
          <w:tcPr>
            <w:tcW w:w="3480" w:type="dxa"/>
            <w:shd w:val="clear" w:color="auto" w:fill="auto"/>
          </w:tcPr>
          <w:p w14:paraId="3ED06F29" w14:textId="4616BF8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 70</w:t>
            </w:r>
          </w:p>
        </w:tc>
        <w:tc>
          <w:tcPr>
            <w:tcW w:w="2865" w:type="dxa"/>
            <w:shd w:val="clear" w:color="auto" w:fill="auto"/>
          </w:tcPr>
          <w:p w14:paraId="5D4559C0" w14:textId="3513BC43"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51 (1.4)</w:t>
            </w:r>
          </w:p>
        </w:tc>
      </w:tr>
      <w:tr w:rsidR="00521142" w:rsidRPr="0049490E" w14:paraId="2488B1B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7D4BC7C8"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Sex</w:t>
            </w:r>
          </w:p>
        </w:tc>
        <w:tc>
          <w:tcPr>
            <w:tcW w:w="2865" w:type="dxa"/>
            <w:shd w:val="clear" w:color="auto" w:fill="auto"/>
          </w:tcPr>
          <w:p w14:paraId="5F3C39F7"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41B27CCE" w14:textId="77777777" w:rsidTr="008726C9">
        <w:trPr>
          <w:trHeight w:val="300"/>
        </w:trPr>
        <w:tc>
          <w:tcPr>
            <w:tcW w:w="3480" w:type="dxa"/>
            <w:shd w:val="clear" w:color="auto" w:fill="auto"/>
          </w:tcPr>
          <w:p w14:paraId="2B1786EA"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Male</w:t>
            </w:r>
          </w:p>
        </w:tc>
        <w:tc>
          <w:tcPr>
            <w:tcW w:w="2865" w:type="dxa"/>
            <w:shd w:val="clear" w:color="auto" w:fill="auto"/>
          </w:tcPr>
          <w:p w14:paraId="409F7E06" w14:textId="2C923CE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1238 (34.7)</w:t>
            </w:r>
          </w:p>
        </w:tc>
      </w:tr>
      <w:tr w:rsidR="00521142" w:rsidRPr="0049490E" w14:paraId="33D238E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776AAF64"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Smoking</w:t>
            </w:r>
          </w:p>
        </w:tc>
        <w:tc>
          <w:tcPr>
            <w:tcW w:w="2865" w:type="dxa"/>
            <w:shd w:val="clear" w:color="auto" w:fill="auto"/>
          </w:tcPr>
          <w:p w14:paraId="52D7973F" w14:textId="01373D8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183 (5.1)</w:t>
            </w:r>
          </w:p>
        </w:tc>
      </w:tr>
      <w:tr w:rsidR="00521142" w:rsidRPr="0049490E" w14:paraId="235F7C25" w14:textId="77777777" w:rsidTr="008726C9">
        <w:trPr>
          <w:trHeight w:val="300"/>
        </w:trPr>
        <w:tc>
          <w:tcPr>
            <w:tcW w:w="3480" w:type="dxa"/>
            <w:shd w:val="clear" w:color="auto" w:fill="auto"/>
          </w:tcPr>
          <w:p w14:paraId="22DE0123" w14:textId="2E28A546"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Clinical risk factors</w:t>
            </w:r>
          </w:p>
        </w:tc>
        <w:tc>
          <w:tcPr>
            <w:tcW w:w="2865" w:type="dxa"/>
            <w:shd w:val="clear" w:color="auto" w:fill="auto"/>
          </w:tcPr>
          <w:p w14:paraId="39DE61EC"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6061FEF3"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12A5004"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Hypertension</w:t>
            </w:r>
          </w:p>
        </w:tc>
        <w:tc>
          <w:tcPr>
            <w:tcW w:w="2865" w:type="dxa"/>
            <w:shd w:val="clear" w:color="auto" w:fill="auto"/>
          </w:tcPr>
          <w:p w14:paraId="6F4C623F" w14:textId="4A4F391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402 (11.3)</w:t>
            </w:r>
          </w:p>
        </w:tc>
      </w:tr>
      <w:tr w:rsidR="00521142" w:rsidRPr="0049490E" w14:paraId="60B21417" w14:textId="77777777" w:rsidTr="008726C9">
        <w:trPr>
          <w:trHeight w:val="300"/>
        </w:trPr>
        <w:tc>
          <w:tcPr>
            <w:tcW w:w="3480" w:type="dxa"/>
            <w:shd w:val="clear" w:color="auto" w:fill="auto"/>
          </w:tcPr>
          <w:p w14:paraId="2A7E980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Diabetes</w:t>
            </w:r>
          </w:p>
        </w:tc>
        <w:tc>
          <w:tcPr>
            <w:tcW w:w="2865" w:type="dxa"/>
            <w:shd w:val="clear" w:color="auto" w:fill="auto"/>
          </w:tcPr>
          <w:p w14:paraId="559C1A84" w14:textId="5C4D485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119 (3.3)</w:t>
            </w:r>
          </w:p>
        </w:tc>
      </w:tr>
      <w:tr w:rsidR="00521142" w:rsidRPr="0049490E" w14:paraId="3AA07760"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AB9A3E7"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Cardiovascular disease</w:t>
            </w:r>
          </w:p>
        </w:tc>
        <w:tc>
          <w:tcPr>
            <w:tcW w:w="2865" w:type="dxa"/>
            <w:shd w:val="clear" w:color="auto" w:fill="auto"/>
          </w:tcPr>
          <w:p w14:paraId="2ED19DD3" w14:textId="597D964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107 (3</w:t>
            </w:r>
            <w:r w:rsidR="00186EE7">
              <w:rPr>
                <w:rFonts w:ascii="Book Antiqua" w:hAnsi="Book Antiqua" w:cs="Arial Narrow"/>
                <w:color w:val="000000"/>
                <w:lang w:val="en-US"/>
              </w:rPr>
              <w:t>.0</w:t>
            </w:r>
            <w:r w:rsidRPr="0049490E">
              <w:rPr>
                <w:rFonts w:ascii="Book Antiqua" w:hAnsi="Book Antiqua" w:cs="Arial Narrow"/>
                <w:color w:val="000000"/>
                <w:lang w:val="en-US"/>
              </w:rPr>
              <w:t>)</w:t>
            </w:r>
          </w:p>
        </w:tc>
      </w:tr>
      <w:tr w:rsidR="00521142" w:rsidRPr="0049490E" w14:paraId="4615E7B0" w14:textId="77777777" w:rsidTr="008726C9">
        <w:trPr>
          <w:trHeight w:val="300"/>
        </w:trPr>
        <w:tc>
          <w:tcPr>
            <w:tcW w:w="3480" w:type="dxa"/>
            <w:shd w:val="clear" w:color="auto" w:fill="auto"/>
          </w:tcPr>
          <w:p w14:paraId="391081E8" w14:textId="7492517D"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Chronic pulmonary disease</w:t>
            </w:r>
          </w:p>
        </w:tc>
        <w:tc>
          <w:tcPr>
            <w:tcW w:w="2865" w:type="dxa"/>
            <w:shd w:val="clear" w:color="auto" w:fill="auto"/>
          </w:tcPr>
          <w:p w14:paraId="49546790" w14:textId="13B4F6DE"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164 (4.6)</w:t>
            </w:r>
          </w:p>
        </w:tc>
      </w:tr>
      <w:tr w:rsidR="00521142" w:rsidRPr="0049490E" w14:paraId="153AB8B4"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16625C0" w14:textId="60481629"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Recent abdominal surgery for IBD (&lt; 30 d)</w:t>
            </w:r>
          </w:p>
        </w:tc>
        <w:tc>
          <w:tcPr>
            <w:tcW w:w="2865" w:type="dxa"/>
            <w:shd w:val="clear" w:color="auto" w:fill="auto"/>
          </w:tcPr>
          <w:p w14:paraId="56C31648" w14:textId="206F6D5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136 (3.8)</w:t>
            </w:r>
          </w:p>
        </w:tc>
      </w:tr>
      <w:tr w:rsidR="00521142" w:rsidRPr="0049490E" w14:paraId="6F618B04" w14:textId="77777777" w:rsidTr="008726C9">
        <w:trPr>
          <w:trHeight w:val="300"/>
        </w:trPr>
        <w:tc>
          <w:tcPr>
            <w:tcW w:w="3480" w:type="dxa"/>
            <w:shd w:val="clear" w:color="auto" w:fill="auto"/>
          </w:tcPr>
          <w:p w14:paraId="08CC7E20" w14:textId="6AF9061A"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 xml:space="preserve">Overall IBD </w:t>
            </w:r>
            <w:r w:rsidR="001319AD" w:rsidRPr="0049490E">
              <w:rPr>
                <w:rFonts w:ascii="Book Antiqua" w:hAnsi="Book Antiqua" w:cs="Arial Narrow"/>
                <w:color w:val="000000"/>
                <w:lang w:val="en-US"/>
              </w:rPr>
              <w:t>m</w:t>
            </w:r>
            <w:r w:rsidRPr="0049490E">
              <w:rPr>
                <w:rFonts w:ascii="Book Antiqua" w:hAnsi="Book Antiqua" w:cs="Arial Narrow"/>
                <w:color w:val="000000"/>
                <w:lang w:val="en-US"/>
              </w:rPr>
              <w:t>edications</w:t>
            </w:r>
          </w:p>
        </w:tc>
        <w:tc>
          <w:tcPr>
            <w:tcW w:w="2865" w:type="dxa"/>
            <w:shd w:val="clear" w:color="auto" w:fill="auto"/>
          </w:tcPr>
          <w:p w14:paraId="280F55F6"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6D3C38B0"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0C1F11B1"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No medication</w:t>
            </w:r>
          </w:p>
        </w:tc>
        <w:tc>
          <w:tcPr>
            <w:tcW w:w="2865" w:type="dxa"/>
            <w:shd w:val="clear" w:color="auto" w:fill="auto"/>
          </w:tcPr>
          <w:p w14:paraId="1EF662E2" w14:textId="66C3DBE7"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339 (9.5)</w:t>
            </w:r>
          </w:p>
        </w:tc>
      </w:tr>
      <w:tr w:rsidR="00521142" w:rsidRPr="0049490E" w14:paraId="168F68D9" w14:textId="77777777" w:rsidTr="008726C9">
        <w:trPr>
          <w:trHeight w:val="300"/>
        </w:trPr>
        <w:tc>
          <w:tcPr>
            <w:tcW w:w="3480" w:type="dxa"/>
            <w:shd w:val="clear" w:color="auto" w:fill="auto"/>
          </w:tcPr>
          <w:p w14:paraId="3A57A7CE" w14:textId="14F1E7FE"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lastRenderedPageBreak/>
              <w:t xml:space="preserve">Oral </w:t>
            </w:r>
            <w:r w:rsidR="001319AD" w:rsidRPr="0049490E">
              <w:rPr>
                <w:rFonts w:ascii="Book Antiqua" w:hAnsi="Book Antiqua" w:cs="Arial Narrow"/>
                <w:color w:val="000000"/>
                <w:lang w:val="en-US"/>
              </w:rPr>
              <w:t>s</w:t>
            </w:r>
            <w:r w:rsidRPr="0049490E">
              <w:rPr>
                <w:rFonts w:ascii="Book Antiqua" w:hAnsi="Book Antiqua" w:cs="Arial Narrow"/>
                <w:color w:val="000000"/>
                <w:lang w:val="en-US"/>
              </w:rPr>
              <w:t>teroids</w:t>
            </w:r>
          </w:p>
        </w:tc>
        <w:tc>
          <w:tcPr>
            <w:tcW w:w="2865" w:type="dxa"/>
            <w:shd w:val="clear" w:color="auto" w:fill="auto"/>
          </w:tcPr>
          <w:p w14:paraId="4FCD6B04" w14:textId="02D82DE0"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473 (13.3)</w:t>
            </w:r>
          </w:p>
        </w:tc>
      </w:tr>
      <w:tr w:rsidR="00521142" w:rsidRPr="0049490E" w14:paraId="77CFBC18"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16B611FE" w14:textId="1F5DA65C"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5-ASA</w:t>
            </w:r>
          </w:p>
        </w:tc>
        <w:tc>
          <w:tcPr>
            <w:tcW w:w="2865" w:type="dxa"/>
            <w:shd w:val="clear" w:color="auto" w:fill="auto"/>
          </w:tcPr>
          <w:p w14:paraId="61DD09D9" w14:textId="3A648EA4"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1221 (34.2)</w:t>
            </w:r>
          </w:p>
        </w:tc>
      </w:tr>
      <w:tr w:rsidR="00521142" w:rsidRPr="0049490E" w14:paraId="0F0BF024" w14:textId="77777777" w:rsidTr="008726C9">
        <w:trPr>
          <w:trHeight w:val="300"/>
        </w:trPr>
        <w:tc>
          <w:tcPr>
            <w:tcW w:w="3480" w:type="dxa"/>
            <w:shd w:val="clear" w:color="auto" w:fill="auto"/>
          </w:tcPr>
          <w:p w14:paraId="776FE4F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AZA/6-MP/MTX</w:t>
            </w:r>
          </w:p>
        </w:tc>
        <w:tc>
          <w:tcPr>
            <w:tcW w:w="2865" w:type="dxa"/>
            <w:shd w:val="clear" w:color="auto" w:fill="auto"/>
          </w:tcPr>
          <w:p w14:paraId="1AB0E348" w14:textId="3EC1001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1169 (32.8)</w:t>
            </w:r>
          </w:p>
        </w:tc>
      </w:tr>
      <w:tr w:rsidR="00521142" w:rsidRPr="0049490E" w14:paraId="6C2AC699"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58084448" w14:textId="3534464C"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Biologics</w:t>
            </w:r>
          </w:p>
        </w:tc>
        <w:tc>
          <w:tcPr>
            <w:tcW w:w="2865" w:type="dxa"/>
            <w:shd w:val="clear" w:color="auto" w:fill="auto"/>
          </w:tcPr>
          <w:p w14:paraId="503068A1" w14:textId="0D2E8E3D"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1832 (51.3)</w:t>
            </w:r>
          </w:p>
        </w:tc>
      </w:tr>
      <w:tr w:rsidR="00521142" w:rsidRPr="0049490E" w14:paraId="321162AC" w14:textId="77777777" w:rsidTr="008726C9">
        <w:trPr>
          <w:trHeight w:val="300"/>
        </w:trPr>
        <w:tc>
          <w:tcPr>
            <w:tcW w:w="3480" w:type="dxa"/>
            <w:shd w:val="clear" w:color="auto" w:fill="auto"/>
          </w:tcPr>
          <w:p w14:paraId="4011BAD1" w14:textId="77777777" w:rsidR="00521142" w:rsidRPr="0049490E" w:rsidRDefault="00521142" w:rsidP="0049490E">
            <w:pPr>
              <w:autoSpaceDE w:val="0"/>
              <w:autoSpaceDN w:val="0"/>
              <w:adjustRightInd w:val="0"/>
              <w:spacing w:beforeAutospacing="0" w:line="360" w:lineRule="auto"/>
              <w:ind w:firstLine="0"/>
              <w:rPr>
                <w:rFonts w:ascii="Book Antiqua" w:hAnsi="Book Antiqua" w:cs="Arial Narrow"/>
                <w:color w:val="000000"/>
                <w:lang w:val="en-US"/>
              </w:rPr>
            </w:pPr>
            <w:r w:rsidRPr="0049490E">
              <w:rPr>
                <w:rFonts w:ascii="Book Antiqua" w:hAnsi="Book Antiqua" w:cs="Arial Narrow"/>
                <w:color w:val="000000"/>
                <w:lang w:val="en-US"/>
              </w:rPr>
              <w:t>Therapeutic regimen</w:t>
            </w:r>
          </w:p>
        </w:tc>
        <w:tc>
          <w:tcPr>
            <w:tcW w:w="2865" w:type="dxa"/>
            <w:shd w:val="clear" w:color="auto" w:fill="auto"/>
          </w:tcPr>
          <w:p w14:paraId="0338B8AC" w14:textId="77777777" w:rsidR="00521142" w:rsidRPr="0049490E" w:rsidRDefault="00521142" w:rsidP="0049490E">
            <w:pPr>
              <w:autoSpaceDE w:val="0"/>
              <w:autoSpaceDN w:val="0"/>
              <w:adjustRightInd w:val="0"/>
              <w:spacing w:beforeAutospacing="0" w:line="360" w:lineRule="auto"/>
              <w:ind w:firstLine="0"/>
              <w:rPr>
                <w:rFonts w:ascii="Book Antiqua" w:hAnsi="Book Antiqua" w:cs="Calibri"/>
                <w:color w:val="000000"/>
                <w:lang w:val="en-US"/>
              </w:rPr>
            </w:pPr>
          </w:p>
        </w:tc>
      </w:tr>
      <w:tr w:rsidR="00521142" w:rsidRPr="0049490E" w14:paraId="513A5AEB"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60031F33" w14:textId="0EE22233"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Oral </w:t>
            </w:r>
            <w:r w:rsidR="001319AD" w:rsidRPr="0049490E">
              <w:rPr>
                <w:rFonts w:ascii="Book Antiqua" w:hAnsi="Book Antiqua" w:cs="Arial Narrow"/>
                <w:color w:val="000000"/>
                <w:lang w:val="en-US"/>
              </w:rPr>
              <w:t>st</w:t>
            </w:r>
            <w:r w:rsidRPr="0049490E">
              <w:rPr>
                <w:rFonts w:ascii="Book Antiqua" w:hAnsi="Book Antiqua" w:cs="Arial Narrow"/>
                <w:color w:val="000000"/>
                <w:lang w:val="en-US"/>
              </w:rPr>
              <w:t>eroids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72D0D9A4" w14:textId="5A1B7A5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83 (2.3)</w:t>
            </w:r>
          </w:p>
        </w:tc>
      </w:tr>
      <w:tr w:rsidR="00521142" w:rsidRPr="0049490E" w14:paraId="456C65C7" w14:textId="77777777" w:rsidTr="008726C9">
        <w:trPr>
          <w:trHeight w:val="300"/>
        </w:trPr>
        <w:tc>
          <w:tcPr>
            <w:tcW w:w="3480" w:type="dxa"/>
            <w:shd w:val="clear" w:color="auto" w:fill="auto"/>
          </w:tcPr>
          <w:p w14:paraId="46BECA67" w14:textId="6ED6C4B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5-ASA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2067B3E0" w14:textId="6B309086"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758 (21.2)</w:t>
            </w:r>
          </w:p>
        </w:tc>
      </w:tr>
      <w:tr w:rsidR="00521142" w:rsidRPr="0049490E" w14:paraId="7E5F6D03"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6A894F1E" w14:textId="223A9D65"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 xml:space="preserve">5-ASA + </w:t>
            </w:r>
            <w:r w:rsidR="00186EE7">
              <w:rPr>
                <w:rFonts w:ascii="Book Antiqua" w:hAnsi="Book Antiqua" w:cs="Arial Narrow"/>
                <w:color w:val="000000"/>
                <w:lang w:val="en-US"/>
              </w:rPr>
              <w:t>o</w:t>
            </w:r>
            <w:r w:rsidRPr="0049490E">
              <w:rPr>
                <w:rFonts w:ascii="Book Antiqua" w:hAnsi="Book Antiqua" w:cs="Arial Narrow"/>
                <w:color w:val="000000"/>
                <w:lang w:val="en-US"/>
              </w:rPr>
              <w:t xml:space="preserve">ral </w:t>
            </w:r>
            <w:r w:rsidR="00186EE7">
              <w:rPr>
                <w:rFonts w:ascii="Book Antiqua" w:hAnsi="Book Antiqua" w:cs="Arial Narrow"/>
                <w:color w:val="000000"/>
                <w:lang w:val="en-US"/>
              </w:rPr>
              <w:t>s</w:t>
            </w:r>
            <w:r w:rsidRPr="0049490E">
              <w:rPr>
                <w:rFonts w:ascii="Book Antiqua" w:hAnsi="Book Antiqua" w:cs="Arial Narrow"/>
                <w:color w:val="000000"/>
                <w:lang w:val="en-US"/>
              </w:rPr>
              <w:t>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30AD2B35" w14:textId="412564BB"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115 (15.2)</w:t>
            </w:r>
          </w:p>
        </w:tc>
      </w:tr>
      <w:tr w:rsidR="00521142" w:rsidRPr="0049490E" w14:paraId="6B5825D8" w14:textId="77777777" w:rsidTr="008726C9">
        <w:trPr>
          <w:trHeight w:val="300"/>
        </w:trPr>
        <w:tc>
          <w:tcPr>
            <w:tcW w:w="3480" w:type="dxa"/>
            <w:shd w:val="clear" w:color="auto" w:fill="auto"/>
          </w:tcPr>
          <w:p w14:paraId="2DE60759" w14:textId="055C31B1"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AZA/6-MP/MTX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6CB4B387" w14:textId="3DB4E17E"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556 (15</w:t>
            </w:r>
            <w:r w:rsidR="00166AF7">
              <w:rPr>
                <w:rFonts w:ascii="Book Antiqua" w:hAnsi="Book Antiqua" w:cs="Arial Narrow"/>
                <w:color w:val="000000"/>
                <w:lang w:val="en-US"/>
              </w:rPr>
              <w:t>.</w:t>
            </w:r>
            <w:r w:rsidRPr="0049490E">
              <w:rPr>
                <w:rFonts w:ascii="Book Antiqua" w:hAnsi="Book Antiqua" w:cs="Arial Narrow"/>
                <w:color w:val="000000"/>
                <w:lang w:val="en-US"/>
              </w:rPr>
              <w:t>6)</w:t>
            </w:r>
          </w:p>
        </w:tc>
      </w:tr>
      <w:tr w:rsidR="00521142" w:rsidRPr="0049490E" w14:paraId="0E9CE1DB"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2FB0CD93" w14:textId="04365740"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AZA/6-MP/MTX + </w:t>
            </w:r>
            <w:r w:rsidR="00166AF7">
              <w:rPr>
                <w:rFonts w:ascii="Book Antiqua" w:hAnsi="Book Antiqua" w:cs="Arial Narrow"/>
                <w:color w:val="000000"/>
                <w:lang w:val="en-US"/>
              </w:rPr>
              <w:t>o</w:t>
            </w:r>
            <w:r w:rsidRPr="0049490E">
              <w:rPr>
                <w:rFonts w:ascii="Book Antiqua" w:hAnsi="Book Antiqua" w:cs="Arial Narrow"/>
                <w:color w:val="000000"/>
                <w:lang w:val="en-US"/>
              </w:rPr>
              <w:t xml:space="preserve">ral </w:t>
            </w:r>
            <w:r w:rsidR="00166AF7">
              <w:rPr>
                <w:rFonts w:ascii="Book Antiqua" w:hAnsi="Book Antiqua" w:cs="Arial Narrow"/>
                <w:color w:val="000000"/>
                <w:lang w:val="en-US"/>
              </w:rPr>
              <w:t>s</w:t>
            </w:r>
            <w:r w:rsidRPr="0049490E">
              <w:rPr>
                <w:rFonts w:ascii="Book Antiqua" w:hAnsi="Book Antiqua" w:cs="Arial Narrow"/>
                <w:color w:val="000000"/>
                <w:lang w:val="en-US"/>
              </w:rPr>
              <w:t>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2CCB4EDB" w14:textId="69BFA86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90 (16.2)</w:t>
            </w:r>
          </w:p>
        </w:tc>
      </w:tr>
      <w:tr w:rsidR="00521142" w:rsidRPr="0049490E" w14:paraId="4AE80D3A" w14:textId="77777777" w:rsidTr="008726C9">
        <w:trPr>
          <w:trHeight w:val="300"/>
        </w:trPr>
        <w:tc>
          <w:tcPr>
            <w:tcW w:w="3480" w:type="dxa"/>
            <w:shd w:val="clear" w:color="auto" w:fill="auto"/>
          </w:tcPr>
          <w:p w14:paraId="33914E2C" w14:textId="2221B2EE"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Biologic monotherapy</w:t>
            </w:r>
            <w:r w:rsidR="001319AD" w:rsidRPr="0049490E">
              <w:rPr>
                <w:rFonts w:ascii="Book Antiqua" w:hAnsi="Book Antiqua" w:cs="Arial Narrow"/>
                <w:color w:val="000000"/>
                <w:vertAlign w:val="superscript"/>
                <w:lang w:val="en-US"/>
              </w:rPr>
              <w:t>1</w:t>
            </w:r>
          </w:p>
        </w:tc>
        <w:tc>
          <w:tcPr>
            <w:tcW w:w="2865" w:type="dxa"/>
            <w:shd w:val="clear" w:color="auto" w:fill="auto"/>
          </w:tcPr>
          <w:p w14:paraId="6870CFFD" w14:textId="78AC8D7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1219 (34.2)</w:t>
            </w:r>
          </w:p>
        </w:tc>
      </w:tr>
      <w:tr w:rsidR="00521142" w:rsidRPr="0049490E" w14:paraId="43290A2E" w14:textId="77777777" w:rsidTr="008726C9">
        <w:trPr>
          <w:cnfStyle w:val="000000100000" w:firstRow="0" w:lastRow="0" w:firstColumn="0" w:lastColumn="0" w:oddVBand="0" w:evenVBand="0" w:oddHBand="1" w:evenHBand="0" w:firstRowFirstColumn="0" w:firstRowLastColumn="0" w:lastRowFirstColumn="0" w:lastRowLastColumn="0"/>
          <w:trHeight w:val="300"/>
        </w:trPr>
        <w:tc>
          <w:tcPr>
            <w:tcW w:w="3480" w:type="dxa"/>
            <w:shd w:val="clear" w:color="auto" w:fill="auto"/>
          </w:tcPr>
          <w:p w14:paraId="43504EA0" w14:textId="5E0C2FC8"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 xml:space="preserve">Biologic + </w:t>
            </w:r>
            <w:r w:rsidR="001319AD" w:rsidRPr="0049490E">
              <w:rPr>
                <w:rFonts w:ascii="Book Antiqua" w:hAnsi="Book Antiqua" w:cs="Arial Narrow"/>
                <w:color w:val="000000"/>
                <w:lang w:val="en-US"/>
              </w:rPr>
              <w:t>oral st</w:t>
            </w:r>
            <w:r w:rsidRPr="0049490E">
              <w:rPr>
                <w:rFonts w:ascii="Book Antiqua" w:hAnsi="Book Antiqua" w:cs="Arial Narrow"/>
                <w:color w:val="000000"/>
                <w:lang w:val="en-US"/>
              </w:rPr>
              <w:t>eroids</w:t>
            </w:r>
            <w:r w:rsidR="001319AD" w:rsidRPr="0049490E">
              <w:rPr>
                <w:rFonts w:ascii="Book Antiqua" w:hAnsi="Book Antiqua" w:cs="Arial Narrow"/>
                <w:color w:val="000000"/>
                <w:vertAlign w:val="superscript"/>
                <w:lang w:val="en-US"/>
              </w:rPr>
              <w:t>2</w:t>
            </w:r>
          </w:p>
        </w:tc>
        <w:tc>
          <w:tcPr>
            <w:tcW w:w="2865" w:type="dxa"/>
            <w:shd w:val="clear" w:color="auto" w:fill="auto"/>
          </w:tcPr>
          <w:p w14:paraId="7AE520D2" w14:textId="0EBD3AAC"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100 (8.2)</w:t>
            </w:r>
          </w:p>
        </w:tc>
      </w:tr>
      <w:tr w:rsidR="00521142" w:rsidRPr="0049490E" w14:paraId="63074F55" w14:textId="77777777" w:rsidTr="008726C9">
        <w:trPr>
          <w:trHeight w:val="300"/>
        </w:trPr>
        <w:tc>
          <w:tcPr>
            <w:tcW w:w="3480" w:type="dxa"/>
            <w:shd w:val="clear" w:color="auto" w:fill="auto"/>
          </w:tcPr>
          <w:p w14:paraId="18786426" w14:textId="3FF23EB5" w:rsidR="00521142" w:rsidRPr="0049490E" w:rsidRDefault="00521142" w:rsidP="0049490E">
            <w:pPr>
              <w:spacing w:beforeAutospacing="0" w:after="100" w:line="360" w:lineRule="auto"/>
              <w:ind w:firstLineChars="100" w:firstLine="240"/>
              <w:rPr>
                <w:rFonts w:ascii="Book Antiqua" w:hAnsi="Book Antiqua"/>
                <w:vertAlign w:val="superscript"/>
                <w:lang w:val="en-US"/>
              </w:rPr>
            </w:pPr>
            <w:r w:rsidRPr="0049490E">
              <w:rPr>
                <w:rFonts w:ascii="Book Antiqua" w:hAnsi="Book Antiqua" w:cs="Arial Narrow"/>
                <w:color w:val="000000"/>
                <w:lang w:val="en-US"/>
              </w:rPr>
              <w:t>Combo therapy</w:t>
            </w:r>
            <w:r w:rsidR="001319AD" w:rsidRPr="0049490E">
              <w:rPr>
                <w:rFonts w:ascii="Book Antiqua" w:hAnsi="Book Antiqua"/>
                <w:vertAlign w:val="superscript"/>
                <w:lang w:val="en-US"/>
              </w:rPr>
              <w:t>3</w:t>
            </w:r>
          </w:p>
        </w:tc>
        <w:tc>
          <w:tcPr>
            <w:tcW w:w="2865" w:type="dxa"/>
            <w:shd w:val="clear" w:color="auto" w:fill="auto"/>
          </w:tcPr>
          <w:p w14:paraId="5DA6CCAF" w14:textId="0C80A3F1"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613 (17.2)</w:t>
            </w:r>
          </w:p>
        </w:tc>
      </w:tr>
      <w:tr w:rsidR="00521142" w:rsidRPr="0049490E" w14:paraId="6BB76F0C"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shd w:val="clear" w:color="auto" w:fill="auto"/>
          </w:tcPr>
          <w:p w14:paraId="2A7B5017" w14:textId="455D4E7A"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vertAlign w:val="superscript"/>
                <w:lang w:val="en-US"/>
              </w:rPr>
            </w:pPr>
            <w:r w:rsidRPr="0049490E">
              <w:rPr>
                <w:rFonts w:ascii="Book Antiqua" w:hAnsi="Book Antiqua" w:cs="Arial Narrow"/>
                <w:color w:val="000000"/>
                <w:lang w:val="en-US"/>
              </w:rPr>
              <w:t>Combo therapy</w:t>
            </w:r>
            <w:r w:rsidR="001319AD" w:rsidRPr="0049490E">
              <w:rPr>
                <w:rFonts w:ascii="Book Antiqua" w:hAnsi="Book Antiqua"/>
                <w:vertAlign w:val="superscript"/>
                <w:lang w:val="en-US"/>
              </w:rPr>
              <w:t>3</w:t>
            </w:r>
            <w:r w:rsidRPr="0049490E">
              <w:rPr>
                <w:rFonts w:ascii="Book Antiqua" w:hAnsi="Book Antiqua" w:cs="Arial Narrow"/>
                <w:color w:val="000000"/>
                <w:lang w:val="en-US"/>
              </w:rPr>
              <w:t xml:space="preserve"> + </w:t>
            </w:r>
            <w:r w:rsidR="001319AD" w:rsidRPr="0049490E">
              <w:rPr>
                <w:rFonts w:ascii="Book Antiqua" w:hAnsi="Book Antiqua" w:cs="Arial Narrow"/>
                <w:color w:val="000000"/>
                <w:lang w:val="en-US"/>
              </w:rPr>
              <w:t>oral steroids</w:t>
            </w:r>
            <w:r w:rsidR="001319AD" w:rsidRPr="0049490E">
              <w:rPr>
                <w:rFonts w:ascii="Book Antiqua" w:hAnsi="Book Antiqua" w:cs="Arial Narrow"/>
                <w:color w:val="000000"/>
                <w:vertAlign w:val="superscript"/>
                <w:lang w:val="en-US"/>
              </w:rPr>
              <w:t>1</w:t>
            </w:r>
          </w:p>
        </w:tc>
        <w:tc>
          <w:tcPr>
            <w:tcW w:w="2865" w:type="dxa"/>
            <w:shd w:val="clear" w:color="auto" w:fill="auto"/>
          </w:tcPr>
          <w:p w14:paraId="57BC3E86" w14:textId="3E1E04A8"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85 (13.9)</w:t>
            </w:r>
          </w:p>
        </w:tc>
      </w:tr>
      <w:tr w:rsidR="001319AD" w:rsidRPr="0049490E" w14:paraId="76C4D28B" w14:textId="77777777" w:rsidTr="008726C9">
        <w:trPr>
          <w:trHeight w:val="320"/>
        </w:trPr>
        <w:tc>
          <w:tcPr>
            <w:tcW w:w="3480" w:type="dxa"/>
            <w:shd w:val="clear" w:color="auto" w:fill="auto"/>
          </w:tcPr>
          <w:p w14:paraId="6F18C010" w14:textId="03891FAA" w:rsidR="001319AD" w:rsidRPr="0049490E" w:rsidRDefault="001319AD" w:rsidP="0049490E">
            <w:pPr>
              <w:autoSpaceDE w:val="0"/>
              <w:autoSpaceDN w:val="0"/>
              <w:adjustRightInd w:val="0"/>
              <w:spacing w:line="360" w:lineRule="auto"/>
              <w:ind w:firstLine="0"/>
              <w:rPr>
                <w:rFonts w:ascii="Book Antiqua" w:hAnsi="Book Antiqua" w:cs="Arial Narrow"/>
                <w:color w:val="000000"/>
                <w:lang w:val="en-US"/>
              </w:rPr>
            </w:pPr>
            <w:r w:rsidRPr="0049490E">
              <w:rPr>
                <w:rFonts w:ascii="Book Antiqua" w:hAnsi="Book Antiqua" w:cs="Arial Narrow"/>
                <w:color w:val="000000"/>
                <w:lang w:val="en-US"/>
              </w:rPr>
              <w:t>COVID-related complications risk</w:t>
            </w:r>
          </w:p>
        </w:tc>
        <w:tc>
          <w:tcPr>
            <w:tcW w:w="2865" w:type="dxa"/>
            <w:shd w:val="clear" w:color="auto" w:fill="auto"/>
          </w:tcPr>
          <w:p w14:paraId="238D1755" w14:textId="77777777" w:rsidR="001319AD" w:rsidRPr="0049490E" w:rsidRDefault="001319AD" w:rsidP="0049490E">
            <w:pPr>
              <w:autoSpaceDE w:val="0"/>
              <w:autoSpaceDN w:val="0"/>
              <w:adjustRightInd w:val="0"/>
              <w:spacing w:line="360" w:lineRule="auto"/>
              <w:ind w:firstLine="0"/>
              <w:rPr>
                <w:rFonts w:ascii="Book Antiqua" w:hAnsi="Book Antiqua" w:cs="Arial Narrow"/>
                <w:color w:val="000000"/>
                <w:lang w:val="en-US"/>
              </w:rPr>
            </w:pPr>
          </w:p>
        </w:tc>
      </w:tr>
      <w:tr w:rsidR="00521142" w:rsidRPr="0049490E" w14:paraId="23CB3F6C"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shd w:val="clear" w:color="auto" w:fill="auto"/>
          </w:tcPr>
          <w:p w14:paraId="3687D22E"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Highest</w:t>
            </w:r>
          </w:p>
        </w:tc>
        <w:tc>
          <w:tcPr>
            <w:tcW w:w="2865" w:type="dxa"/>
            <w:shd w:val="clear" w:color="auto" w:fill="auto"/>
          </w:tcPr>
          <w:p w14:paraId="139705EE" w14:textId="310483D2"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768 (23.4)</w:t>
            </w:r>
          </w:p>
        </w:tc>
      </w:tr>
      <w:tr w:rsidR="00521142" w:rsidRPr="0049490E" w14:paraId="0B3592E6" w14:textId="77777777" w:rsidTr="008726C9">
        <w:trPr>
          <w:trHeight w:val="320"/>
        </w:trPr>
        <w:tc>
          <w:tcPr>
            <w:tcW w:w="3480" w:type="dxa"/>
            <w:shd w:val="clear" w:color="auto" w:fill="auto"/>
          </w:tcPr>
          <w:p w14:paraId="474CE268"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Moderate</w:t>
            </w:r>
          </w:p>
        </w:tc>
        <w:tc>
          <w:tcPr>
            <w:tcW w:w="2865" w:type="dxa"/>
            <w:shd w:val="clear" w:color="auto" w:fill="auto"/>
          </w:tcPr>
          <w:p w14:paraId="6B969741" w14:textId="1541E78F"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1965 (55.1)</w:t>
            </w:r>
          </w:p>
        </w:tc>
      </w:tr>
      <w:tr w:rsidR="00521142" w:rsidRPr="0049490E" w14:paraId="2952BFAA" w14:textId="77777777" w:rsidTr="008726C9">
        <w:trPr>
          <w:cnfStyle w:val="000000100000" w:firstRow="0" w:lastRow="0" w:firstColumn="0" w:lastColumn="0" w:oddVBand="0" w:evenVBand="0" w:oddHBand="1" w:evenHBand="0" w:firstRowFirstColumn="0" w:firstRowLastColumn="0" w:lastRowFirstColumn="0" w:lastRowLastColumn="0"/>
          <w:trHeight w:val="320"/>
        </w:trPr>
        <w:tc>
          <w:tcPr>
            <w:tcW w:w="3480" w:type="dxa"/>
            <w:tcBorders>
              <w:bottom w:val="single" w:sz="4" w:space="0" w:color="auto"/>
            </w:tcBorders>
            <w:shd w:val="clear" w:color="auto" w:fill="auto"/>
          </w:tcPr>
          <w:p w14:paraId="215145D1" w14:textId="77777777" w:rsidR="00521142" w:rsidRPr="0049490E" w:rsidRDefault="00521142" w:rsidP="0049490E">
            <w:pPr>
              <w:autoSpaceDE w:val="0"/>
              <w:autoSpaceDN w:val="0"/>
              <w:adjustRightInd w:val="0"/>
              <w:spacing w:beforeAutospacing="0" w:line="360" w:lineRule="auto"/>
              <w:ind w:firstLineChars="100" w:firstLine="240"/>
              <w:rPr>
                <w:rFonts w:ascii="Book Antiqua" w:hAnsi="Book Antiqua" w:cs="Arial Narrow"/>
                <w:color w:val="000000"/>
                <w:lang w:val="en-US"/>
              </w:rPr>
            </w:pPr>
            <w:r w:rsidRPr="0049490E">
              <w:rPr>
                <w:rFonts w:ascii="Book Antiqua" w:hAnsi="Book Antiqua" w:cs="Arial Narrow"/>
                <w:color w:val="000000"/>
                <w:lang w:val="en-US"/>
              </w:rPr>
              <w:t>Lowest</w:t>
            </w:r>
          </w:p>
        </w:tc>
        <w:tc>
          <w:tcPr>
            <w:tcW w:w="2865" w:type="dxa"/>
            <w:tcBorders>
              <w:bottom w:val="single" w:sz="4" w:space="0" w:color="auto"/>
            </w:tcBorders>
            <w:shd w:val="clear" w:color="auto" w:fill="auto"/>
          </w:tcPr>
          <w:p w14:paraId="45F0289C" w14:textId="1C5D0B61" w:rsidR="00521142" w:rsidRPr="0049490E" w:rsidRDefault="00521142" w:rsidP="0049490E">
            <w:pPr>
              <w:autoSpaceDE w:val="0"/>
              <w:autoSpaceDN w:val="0"/>
              <w:adjustRightInd w:val="0"/>
              <w:spacing w:beforeAutospacing="0" w:line="360" w:lineRule="auto"/>
              <w:ind w:firstLine="0"/>
              <w:rPr>
                <w:rFonts w:ascii="Book Antiqua" w:hAnsi="Book Antiqua" w:cs="Arial Narrow"/>
                <w:i/>
                <w:iCs/>
                <w:color w:val="000000"/>
                <w:lang w:val="en-US"/>
              </w:rPr>
            </w:pPr>
            <w:r w:rsidRPr="0049490E">
              <w:rPr>
                <w:rFonts w:ascii="Book Antiqua" w:hAnsi="Book Antiqua" w:cs="Arial Narrow"/>
                <w:color w:val="000000"/>
                <w:lang w:val="en-US"/>
              </w:rPr>
              <w:t>836 (21.5)</w:t>
            </w:r>
          </w:p>
        </w:tc>
      </w:tr>
    </w:tbl>
    <w:p w14:paraId="6C113F02" w14:textId="304E3DEA" w:rsidR="00C14D1B" w:rsidRPr="0049490E" w:rsidRDefault="001319AD" w:rsidP="0049490E">
      <w:pPr>
        <w:spacing w:line="360" w:lineRule="auto"/>
        <w:jc w:val="both"/>
        <w:rPr>
          <w:rFonts w:ascii="Book Antiqua" w:eastAsia="Book Antiqua" w:hAnsi="Book Antiqua" w:cs="Book Antiqua"/>
          <w:color w:val="000000"/>
        </w:rPr>
      </w:pPr>
      <w:r w:rsidRPr="0049490E">
        <w:rPr>
          <w:rFonts w:ascii="Book Antiqua" w:hAnsi="Book Antiqua"/>
          <w:vertAlign w:val="superscript"/>
        </w:rPr>
        <w:t>1</w:t>
      </w:r>
      <w:r w:rsidRPr="0049490E">
        <w:rPr>
          <w:rFonts w:ascii="Book Antiqua" w:hAnsi="Book Antiqua"/>
        </w:rPr>
        <w:t>Monotherapy indicates no concomitant biologics or immunomodulator</w:t>
      </w:r>
      <w:r w:rsidR="00131597" w:rsidRPr="0049490E">
        <w:rPr>
          <w:rFonts w:ascii="Book Antiqua" w:hAnsi="Book Antiqua"/>
        </w:rPr>
        <w:t>;</w:t>
      </w:r>
      <w:r w:rsidRPr="0049490E">
        <w:rPr>
          <w:rFonts w:ascii="Book Antiqua" w:hAnsi="Book Antiqua"/>
        </w:rPr>
        <w:t xml:space="preserve"> </w:t>
      </w:r>
      <w:r w:rsidRPr="0049490E">
        <w:rPr>
          <w:rFonts w:ascii="Book Antiqua" w:hAnsi="Book Antiqua"/>
          <w:vertAlign w:val="superscript"/>
        </w:rPr>
        <w:t>2</w:t>
      </w:r>
      <w:r w:rsidRPr="0049490E">
        <w:rPr>
          <w:rFonts w:ascii="Book Antiqua" w:hAnsi="Book Antiqua"/>
        </w:rPr>
        <w:t>These subcategories represent the frequency of patients in each monotherapy regimen requiring oral steroids</w:t>
      </w:r>
      <w:r w:rsidR="00131597" w:rsidRPr="0049490E">
        <w:rPr>
          <w:rFonts w:ascii="Book Antiqua" w:hAnsi="Book Antiqua"/>
        </w:rPr>
        <w:t>;</w:t>
      </w:r>
      <w:r w:rsidRPr="0049490E">
        <w:rPr>
          <w:rFonts w:ascii="Book Antiqua" w:hAnsi="Book Antiqua"/>
        </w:rPr>
        <w:t xml:space="preserve"> </w:t>
      </w:r>
      <w:r w:rsidRPr="0049490E">
        <w:rPr>
          <w:rFonts w:ascii="Book Antiqua" w:hAnsi="Book Antiqua"/>
          <w:vertAlign w:val="superscript"/>
        </w:rPr>
        <w:t>3</w:t>
      </w:r>
      <w:r w:rsidRPr="0049490E">
        <w:rPr>
          <w:rFonts w:ascii="Book Antiqua" w:hAnsi="Book Antiqua"/>
        </w:rPr>
        <w:t xml:space="preserve">Combo therapy refers to biologics plus </w:t>
      </w:r>
      <w:r w:rsidR="00131597" w:rsidRPr="0049490E">
        <w:rPr>
          <w:rFonts w:ascii="Book Antiqua" w:hAnsi="Book Antiqua"/>
        </w:rPr>
        <w:t>aminosalicylates</w:t>
      </w:r>
      <w:r w:rsidRPr="0049490E">
        <w:rPr>
          <w:rFonts w:ascii="Book Antiqua" w:hAnsi="Book Antiqua"/>
        </w:rPr>
        <w:t>/</w:t>
      </w:r>
      <w:r w:rsidR="006E3426" w:rsidRPr="0049490E">
        <w:rPr>
          <w:rFonts w:ascii="Book Antiqua" w:hAnsi="Book Antiqua"/>
        </w:rPr>
        <w:t>6-mercaptopurine</w:t>
      </w:r>
      <w:r w:rsidRPr="0049490E">
        <w:rPr>
          <w:rFonts w:ascii="Book Antiqua" w:hAnsi="Book Antiqua"/>
        </w:rPr>
        <w:t>/</w:t>
      </w:r>
      <w:r w:rsidR="006E3426" w:rsidRPr="0049490E">
        <w:rPr>
          <w:rFonts w:ascii="Book Antiqua" w:hAnsi="Book Antiqua"/>
        </w:rPr>
        <w:t>methotrexate</w:t>
      </w:r>
      <w:r w:rsidRPr="0049490E">
        <w:rPr>
          <w:rFonts w:ascii="Book Antiqua" w:hAnsi="Book Antiqua"/>
        </w:rPr>
        <w:t>. 5-ASA: Aminosalicylates; AZA: Azathioprine; 6-MP: 6-</w:t>
      </w:r>
      <w:r w:rsidRPr="0049490E">
        <w:rPr>
          <w:rFonts w:ascii="Book Antiqua" w:hAnsi="Book Antiqua"/>
        </w:rPr>
        <w:lastRenderedPageBreak/>
        <w:t xml:space="preserve">Mercaptopurine; MTX: Methotrexate; </w:t>
      </w:r>
      <w:r w:rsidRPr="0049490E">
        <w:rPr>
          <w:rFonts w:ascii="Book Antiqua" w:eastAsia="Book Antiqua" w:hAnsi="Book Antiqua" w:cs="Book Antiqua"/>
          <w:color w:val="000000"/>
        </w:rPr>
        <w:t>COVID: Coronavirus disease; IBD: Inflammatory bowel disease.</w:t>
      </w:r>
    </w:p>
    <w:p w14:paraId="74660741" w14:textId="7D882C1D" w:rsidR="00933D0A" w:rsidRPr="0049490E" w:rsidRDefault="00933D0A" w:rsidP="0049490E">
      <w:pPr>
        <w:spacing w:line="360" w:lineRule="auto"/>
        <w:jc w:val="both"/>
        <w:rPr>
          <w:rFonts w:ascii="Book Antiqua" w:eastAsia="Book Antiqua" w:hAnsi="Book Antiqua" w:cs="Book Antiqua"/>
          <w:color w:val="000000"/>
        </w:rPr>
        <w:sectPr w:rsidR="00933D0A" w:rsidRPr="0049490E" w:rsidSect="0049490E">
          <w:footerReference w:type="default" r:id="rId9"/>
          <w:type w:val="continuous"/>
          <w:pgSz w:w="12240" w:h="15840"/>
          <w:pgMar w:top="1440" w:right="1440" w:bottom="1440" w:left="1440" w:header="720" w:footer="720" w:gutter="0"/>
          <w:cols w:space="720"/>
          <w:docGrid w:linePitch="360"/>
        </w:sectPr>
      </w:pPr>
    </w:p>
    <w:p w14:paraId="75431CAA" w14:textId="368A983D" w:rsidR="00AC4FB6" w:rsidRPr="0049490E" w:rsidRDefault="00AC4FB6" w:rsidP="0049490E">
      <w:pPr>
        <w:spacing w:line="360" w:lineRule="auto"/>
        <w:jc w:val="both"/>
        <w:rPr>
          <w:rFonts w:ascii="Book Antiqua" w:hAnsi="Book Antiqua"/>
          <w:b/>
          <w:bCs/>
        </w:rPr>
      </w:pPr>
      <w:r w:rsidRPr="0049490E">
        <w:rPr>
          <w:rFonts w:ascii="Book Antiqua" w:hAnsi="Book Antiqua"/>
          <w:b/>
          <w:bCs/>
        </w:rPr>
        <w:lastRenderedPageBreak/>
        <w:t>Table 3 Demographic, clinical and treatment characteristics by states in Brazil</w:t>
      </w:r>
    </w:p>
    <w:tbl>
      <w:tblPr>
        <w:tblStyle w:val="TabelaSimples51"/>
        <w:tblW w:w="5000" w:type="pct"/>
        <w:tblLayout w:type="fixed"/>
        <w:tblLook w:val="0400" w:firstRow="0" w:lastRow="0" w:firstColumn="0" w:lastColumn="0" w:noHBand="0" w:noVBand="1"/>
      </w:tblPr>
      <w:tblGrid>
        <w:gridCol w:w="2055"/>
        <w:gridCol w:w="830"/>
        <w:gridCol w:w="830"/>
        <w:gridCol w:w="831"/>
        <w:gridCol w:w="830"/>
        <w:gridCol w:w="830"/>
        <w:gridCol w:w="830"/>
        <w:gridCol w:w="830"/>
        <w:gridCol w:w="830"/>
        <w:gridCol w:w="830"/>
        <w:gridCol w:w="830"/>
        <w:gridCol w:w="943"/>
        <w:gridCol w:w="831"/>
        <w:gridCol w:w="830"/>
      </w:tblGrid>
      <w:tr w:rsidR="00AC4FB6" w:rsidRPr="0049490E" w14:paraId="49F197F6"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vMerge w:val="restart"/>
            <w:tcBorders>
              <w:top w:val="single" w:sz="4" w:space="0" w:color="auto"/>
              <w:bottom w:val="single" w:sz="4" w:space="0" w:color="auto"/>
            </w:tcBorders>
            <w:shd w:val="clear" w:color="auto" w:fill="auto"/>
          </w:tcPr>
          <w:p w14:paraId="42BBF03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hAnsi="Book Antiqua" w:cstheme="minorHAnsi"/>
                <w:b/>
                <w:bCs/>
                <w:lang w:val="en-US"/>
              </w:rPr>
              <w:t>Characteristics</w:t>
            </w:r>
          </w:p>
        </w:tc>
        <w:tc>
          <w:tcPr>
            <w:tcW w:w="844" w:type="dxa"/>
            <w:tcBorders>
              <w:top w:val="single" w:sz="4" w:space="0" w:color="auto"/>
              <w:bottom w:val="single" w:sz="4" w:space="0" w:color="auto"/>
            </w:tcBorders>
            <w:shd w:val="clear" w:color="auto" w:fill="auto"/>
          </w:tcPr>
          <w:p w14:paraId="3EFA4B7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São Paulo</w:t>
            </w:r>
          </w:p>
        </w:tc>
        <w:tc>
          <w:tcPr>
            <w:tcW w:w="844" w:type="dxa"/>
            <w:tcBorders>
              <w:top w:val="single" w:sz="4" w:space="0" w:color="auto"/>
              <w:bottom w:val="single" w:sz="4" w:space="0" w:color="auto"/>
            </w:tcBorders>
            <w:shd w:val="clear" w:color="auto" w:fill="auto"/>
          </w:tcPr>
          <w:p w14:paraId="232DC88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Rio de Janeiro</w:t>
            </w:r>
          </w:p>
        </w:tc>
        <w:tc>
          <w:tcPr>
            <w:tcW w:w="844" w:type="dxa"/>
            <w:tcBorders>
              <w:top w:val="single" w:sz="4" w:space="0" w:color="auto"/>
              <w:bottom w:val="single" w:sz="4" w:space="0" w:color="auto"/>
            </w:tcBorders>
            <w:shd w:val="clear" w:color="auto" w:fill="auto"/>
          </w:tcPr>
          <w:p w14:paraId="2E72DB0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Minas Gerais</w:t>
            </w:r>
          </w:p>
        </w:tc>
        <w:tc>
          <w:tcPr>
            <w:tcW w:w="843" w:type="dxa"/>
            <w:tcBorders>
              <w:top w:val="single" w:sz="4" w:space="0" w:color="auto"/>
              <w:bottom w:val="single" w:sz="4" w:space="0" w:color="auto"/>
            </w:tcBorders>
            <w:shd w:val="clear" w:color="auto" w:fill="auto"/>
          </w:tcPr>
          <w:p w14:paraId="074887C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Santa Catarina</w:t>
            </w:r>
          </w:p>
        </w:tc>
        <w:tc>
          <w:tcPr>
            <w:tcW w:w="843" w:type="dxa"/>
            <w:tcBorders>
              <w:top w:val="single" w:sz="4" w:space="0" w:color="auto"/>
              <w:bottom w:val="single" w:sz="4" w:space="0" w:color="auto"/>
            </w:tcBorders>
            <w:shd w:val="clear" w:color="auto" w:fill="auto"/>
          </w:tcPr>
          <w:p w14:paraId="048DFC5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Paraná</w:t>
            </w:r>
          </w:p>
        </w:tc>
        <w:tc>
          <w:tcPr>
            <w:tcW w:w="843" w:type="dxa"/>
            <w:tcBorders>
              <w:top w:val="single" w:sz="4" w:space="0" w:color="auto"/>
              <w:bottom w:val="single" w:sz="4" w:space="0" w:color="auto"/>
            </w:tcBorders>
            <w:shd w:val="clear" w:color="auto" w:fill="auto"/>
          </w:tcPr>
          <w:p w14:paraId="56176D8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Bahia</w:t>
            </w:r>
          </w:p>
        </w:tc>
        <w:tc>
          <w:tcPr>
            <w:tcW w:w="843" w:type="dxa"/>
            <w:tcBorders>
              <w:top w:val="single" w:sz="4" w:space="0" w:color="auto"/>
              <w:bottom w:val="single" w:sz="4" w:space="0" w:color="auto"/>
            </w:tcBorders>
            <w:shd w:val="clear" w:color="auto" w:fill="auto"/>
          </w:tcPr>
          <w:p w14:paraId="5BD1A38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Distrito Federal</w:t>
            </w:r>
          </w:p>
        </w:tc>
        <w:tc>
          <w:tcPr>
            <w:tcW w:w="843" w:type="dxa"/>
            <w:tcBorders>
              <w:top w:val="single" w:sz="4" w:space="0" w:color="auto"/>
              <w:bottom w:val="single" w:sz="4" w:space="0" w:color="auto"/>
            </w:tcBorders>
            <w:shd w:val="clear" w:color="auto" w:fill="auto"/>
          </w:tcPr>
          <w:p w14:paraId="147BDAA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Rio Grande do Sul</w:t>
            </w:r>
          </w:p>
        </w:tc>
        <w:tc>
          <w:tcPr>
            <w:tcW w:w="843" w:type="dxa"/>
            <w:tcBorders>
              <w:top w:val="single" w:sz="4" w:space="0" w:color="auto"/>
              <w:bottom w:val="single" w:sz="4" w:space="0" w:color="auto"/>
            </w:tcBorders>
            <w:shd w:val="clear" w:color="auto" w:fill="auto"/>
          </w:tcPr>
          <w:p w14:paraId="6E7ED86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Espírito Santo</w:t>
            </w:r>
          </w:p>
        </w:tc>
        <w:tc>
          <w:tcPr>
            <w:tcW w:w="843" w:type="dxa"/>
            <w:tcBorders>
              <w:top w:val="single" w:sz="4" w:space="0" w:color="auto"/>
              <w:bottom w:val="single" w:sz="4" w:space="0" w:color="auto"/>
            </w:tcBorders>
            <w:shd w:val="clear" w:color="auto" w:fill="auto"/>
          </w:tcPr>
          <w:p w14:paraId="1340F50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Ceará</w:t>
            </w:r>
          </w:p>
        </w:tc>
        <w:tc>
          <w:tcPr>
            <w:tcW w:w="959" w:type="dxa"/>
            <w:tcBorders>
              <w:top w:val="single" w:sz="4" w:space="0" w:color="auto"/>
              <w:bottom w:val="single" w:sz="4" w:space="0" w:color="auto"/>
            </w:tcBorders>
            <w:shd w:val="clear" w:color="auto" w:fill="auto"/>
          </w:tcPr>
          <w:p w14:paraId="3E05196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Pernambuco</w:t>
            </w:r>
          </w:p>
        </w:tc>
        <w:tc>
          <w:tcPr>
            <w:tcW w:w="844" w:type="dxa"/>
            <w:tcBorders>
              <w:top w:val="single" w:sz="4" w:space="0" w:color="auto"/>
              <w:bottom w:val="single" w:sz="4" w:space="0" w:color="auto"/>
            </w:tcBorders>
            <w:shd w:val="clear" w:color="auto" w:fill="auto"/>
          </w:tcPr>
          <w:p w14:paraId="64AD95E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Maranhão</w:t>
            </w:r>
          </w:p>
        </w:tc>
        <w:tc>
          <w:tcPr>
            <w:tcW w:w="843" w:type="dxa"/>
            <w:tcBorders>
              <w:top w:val="single" w:sz="4" w:space="0" w:color="auto"/>
              <w:bottom w:val="single" w:sz="4" w:space="0" w:color="auto"/>
            </w:tcBorders>
            <w:shd w:val="clear" w:color="auto" w:fill="auto"/>
          </w:tcPr>
          <w:p w14:paraId="725BE1C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Goiás</w:t>
            </w:r>
          </w:p>
        </w:tc>
      </w:tr>
      <w:tr w:rsidR="00AC4FB6" w:rsidRPr="0049490E" w14:paraId="57A9C4DB" w14:textId="77777777" w:rsidTr="002D78D4">
        <w:trPr>
          <w:trHeight w:val="320"/>
        </w:trPr>
        <w:tc>
          <w:tcPr>
            <w:tcW w:w="2097" w:type="dxa"/>
            <w:vMerge/>
            <w:tcBorders>
              <w:top w:val="single" w:sz="4" w:space="0" w:color="auto"/>
              <w:bottom w:val="single" w:sz="4" w:space="0" w:color="auto"/>
            </w:tcBorders>
            <w:shd w:val="clear" w:color="auto" w:fill="auto"/>
          </w:tcPr>
          <w:p w14:paraId="545F9E32" w14:textId="77777777" w:rsidR="00AC4FB6" w:rsidRPr="0049490E" w:rsidRDefault="00AC4FB6" w:rsidP="0049490E">
            <w:pPr>
              <w:autoSpaceDE w:val="0"/>
              <w:autoSpaceDN w:val="0"/>
              <w:adjustRightInd w:val="0"/>
              <w:spacing w:beforeAutospacing="0" w:line="360" w:lineRule="auto"/>
              <w:rPr>
                <w:rFonts w:ascii="Book Antiqua" w:eastAsiaTheme="minorHAnsi" w:hAnsi="Book Antiqua" w:cs="Arial Narrow"/>
                <w:b/>
                <w:bCs/>
                <w:color w:val="000000"/>
                <w:lang w:val="en-US"/>
              </w:rPr>
            </w:pPr>
          </w:p>
        </w:tc>
        <w:tc>
          <w:tcPr>
            <w:tcW w:w="844" w:type="dxa"/>
            <w:tcBorders>
              <w:top w:val="single" w:sz="4" w:space="0" w:color="auto"/>
              <w:bottom w:val="single" w:sz="4" w:space="0" w:color="auto"/>
            </w:tcBorders>
            <w:shd w:val="clear" w:color="auto" w:fill="auto"/>
          </w:tcPr>
          <w:p w14:paraId="7344B83B" w14:textId="372A961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1057 (%)</w:t>
            </w:r>
          </w:p>
        </w:tc>
        <w:tc>
          <w:tcPr>
            <w:tcW w:w="844" w:type="dxa"/>
            <w:tcBorders>
              <w:top w:val="single" w:sz="4" w:space="0" w:color="auto"/>
              <w:bottom w:val="single" w:sz="4" w:space="0" w:color="auto"/>
            </w:tcBorders>
            <w:shd w:val="clear" w:color="auto" w:fill="auto"/>
          </w:tcPr>
          <w:p w14:paraId="2E5CA7FF" w14:textId="3F65D69B"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336 (%)</w:t>
            </w:r>
          </w:p>
        </w:tc>
        <w:tc>
          <w:tcPr>
            <w:tcW w:w="844" w:type="dxa"/>
            <w:tcBorders>
              <w:top w:val="single" w:sz="4" w:space="0" w:color="auto"/>
              <w:bottom w:val="single" w:sz="4" w:space="0" w:color="auto"/>
            </w:tcBorders>
            <w:shd w:val="clear" w:color="auto" w:fill="auto"/>
          </w:tcPr>
          <w:p w14:paraId="33A59F27" w14:textId="40E6DF7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329 (%)</w:t>
            </w:r>
          </w:p>
        </w:tc>
        <w:tc>
          <w:tcPr>
            <w:tcW w:w="843" w:type="dxa"/>
            <w:tcBorders>
              <w:top w:val="single" w:sz="4" w:space="0" w:color="auto"/>
              <w:bottom w:val="single" w:sz="4" w:space="0" w:color="auto"/>
            </w:tcBorders>
            <w:shd w:val="clear" w:color="auto" w:fill="auto"/>
          </w:tcPr>
          <w:p w14:paraId="73D779E0" w14:textId="69853B3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278 (%)</w:t>
            </w:r>
          </w:p>
        </w:tc>
        <w:tc>
          <w:tcPr>
            <w:tcW w:w="843" w:type="dxa"/>
            <w:tcBorders>
              <w:top w:val="single" w:sz="4" w:space="0" w:color="auto"/>
              <w:bottom w:val="single" w:sz="4" w:space="0" w:color="auto"/>
            </w:tcBorders>
            <w:shd w:val="clear" w:color="auto" w:fill="auto"/>
          </w:tcPr>
          <w:p w14:paraId="2C6B76FE" w14:textId="50FF7322"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277 (%)</w:t>
            </w:r>
          </w:p>
        </w:tc>
        <w:tc>
          <w:tcPr>
            <w:tcW w:w="843" w:type="dxa"/>
            <w:tcBorders>
              <w:top w:val="single" w:sz="4" w:space="0" w:color="auto"/>
              <w:bottom w:val="single" w:sz="4" w:space="0" w:color="auto"/>
            </w:tcBorders>
            <w:shd w:val="clear" w:color="auto" w:fill="auto"/>
          </w:tcPr>
          <w:p w14:paraId="31C0C86A" w14:textId="18BDF5C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217 (%)</w:t>
            </w:r>
          </w:p>
        </w:tc>
        <w:tc>
          <w:tcPr>
            <w:tcW w:w="843" w:type="dxa"/>
            <w:tcBorders>
              <w:top w:val="single" w:sz="4" w:space="0" w:color="auto"/>
              <w:bottom w:val="single" w:sz="4" w:space="0" w:color="auto"/>
            </w:tcBorders>
            <w:shd w:val="clear" w:color="auto" w:fill="auto"/>
          </w:tcPr>
          <w:p w14:paraId="4BD551B0" w14:textId="71EDFF0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190 (%)</w:t>
            </w:r>
          </w:p>
        </w:tc>
        <w:tc>
          <w:tcPr>
            <w:tcW w:w="843" w:type="dxa"/>
            <w:tcBorders>
              <w:top w:val="single" w:sz="4" w:space="0" w:color="auto"/>
              <w:bottom w:val="single" w:sz="4" w:space="0" w:color="auto"/>
            </w:tcBorders>
            <w:shd w:val="clear" w:color="auto" w:fill="auto"/>
          </w:tcPr>
          <w:p w14:paraId="51ABBC35" w14:textId="54953660"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183 (%)</w:t>
            </w:r>
          </w:p>
        </w:tc>
        <w:tc>
          <w:tcPr>
            <w:tcW w:w="843" w:type="dxa"/>
            <w:tcBorders>
              <w:top w:val="single" w:sz="4" w:space="0" w:color="auto"/>
              <w:bottom w:val="single" w:sz="4" w:space="0" w:color="auto"/>
            </w:tcBorders>
            <w:shd w:val="clear" w:color="auto" w:fill="auto"/>
          </w:tcPr>
          <w:p w14:paraId="44600CFA" w14:textId="5E1C6C12"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144 (%)</w:t>
            </w:r>
          </w:p>
        </w:tc>
        <w:tc>
          <w:tcPr>
            <w:tcW w:w="843" w:type="dxa"/>
            <w:tcBorders>
              <w:top w:val="single" w:sz="4" w:space="0" w:color="auto"/>
              <w:bottom w:val="single" w:sz="4" w:space="0" w:color="auto"/>
            </w:tcBorders>
            <w:shd w:val="clear" w:color="auto" w:fill="auto"/>
          </w:tcPr>
          <w:p w14:paraId="33DEB6DA" w14:textId="32B2C19E"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107 (%)</w:t>
            </w:r>
          </w:p>
        </w:tc>
        <w:tc>
          <w:tcPr>
            <w:tcW w:w="959" w:type="dxa"/>
            <w:tcBorders>
              <w:top w:val="single" w:sz="4" w:space="0" w:color="auto"/>
              <w:bottom w:val="single" w:sz="4" w:space="0" w:color="auto"/>
            </w:tcBorders>
            <w:shd w:val="clear" w:color="auto" w:fill="auto"/>
          </w:tcPr>
          <w:p w14:paraId="02198F7B" w14:textId="28BD0F86"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74 (%)</w:t>
            </w:r>
          </w:p>
        </w:tc>
        <w:tc>
          <w:tcPr>
            <w:tcW w:w="844" w:type="dxa"/>
            <w:tcBorders>
              <w:top w:val="single" w:sz="4" w:space="0" w:color="auto"/>
              <w:bottom w:val="single" w:sz="4" w:space="0" w:color="auto"/>
            </w:tcBorders>
            <w:shd w:val="clear" w:color="auto" w:fill="auto"/>
          </w:tcPr>
          <w:p w14:paraId="29A223B2" w14:textId="194B4FD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57 (%)</w:t>
            </w:r>
          </w:p>
        </w:tc>
        <w:tc>
          <w:tcPr>
            <w:tcW w:w="843" w:type="dxa"/>
            <w:tcBorders>
              <w:top w:val="single" w:sz="4" w:space="0" w:color="auto"/>
              <w:bottom w:val="single" w:sz="4" w:space="0" w:color="auto"/>
            </w:tcBorders>
            <w:shd w:val="clear" w:color="auto" w:fill="auto"/>
          </w:tcPr>
          <w:p w14:paraId="4C403E7B" w14:textId="3DA54D98"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49 (%)</w:t>
            </w:r>
          </w:p>
        </w:tc>
      </w:tr>
      <w:tr w:rsidR="00AC4FB6" w:rsidRPr="0049490E" w14:paraId="4AE21303"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tcBorders>
              <w:top w:val="single" w:sz="4" w:space="0" w:color="auto"/>
            </w:tcBorders>
            <w:shd w:val="clear" w:color="auto" w:fill="auto"/>
          </w:tcPr>
          <w:p w14:paraId="26F1ED09" w14:textId="6E642FD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Clinical risk factors</w:t>
            </w:r>
          </w:p>
        </w:tc>
        <w:tc>
          <w:tcPr>
            <w:tcW w:w="844" w:type="dxa"/>
            <w:tcBorders>
              <w:top w:val="single" w:sz="4" w:space="0" w:color="auto"/>
            </w:tcBorders>
            <w:shd w:val="clear" w:color="auto" w:fill="auto"/>
          </w:tcPr>
          <w:p w14:paraId="2A1F463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4" w:type="dxa"/>
            <w:tcBorders>
              <w:top w:val="single" w:sz="4" w:space="0" w:color="auto"/>
            </w:tcBorders>
            <w:shd w:val="clear" w:color="auto" w:fill="auto"/>
          </w:tcPr>
          <w:p w14:paraId="0CD48A1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4" w:type="dxa"/>
            <w:tcBorders>
              <w:top w:val="single" w:sz="4" w:space="0" w:color="auto"/>
            </w:tcBorders>
            <w:shd w:val="clear" w:color="auto" w:fill="auto"/>
          </w:tcPr>
          <w:p w14:paraId="50C14D7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22C6D82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415E3F6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57B3555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15DCEAC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5727B2C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2902580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59F704C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959" w:type="dxa"/>
            <w:tcBorders>
              <w:top w:val="single" w:sz="4" w:space="0" w:color="auto"/>
            </w:tcBorders>
            <w:shd w:val="clear" w:color="auto" w:fill="auto"/>
          </w:tcPr>
          <w:p w14:paraId="747F9ED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4" w:type="dxa"/>
            <w:tcBorders>
              <w:top w:val="single" w:sz="4" w:space="0" w:color="auto"/>
            </w:tcBorders>
            <w:shd w:val="clear" w:color="auto" w:fill="auto"/>
          </w:tcPr>
          <w:p w14:paraId="5EFD4F5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c>
          <w:tcPr>
            <w:tcW w:w="843" w:type="dxa"/>
            <w:tcBorders>
              <w:top w:val="single" w:sz="4" w:space="0" w:color="auto"/>
            </w:tcBorders>
            <w:shd w:val="clear" w:color="auto" w:fill="auto"/>
          </w:tcPr>
          <w:p w14:paraId="36D956C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b/>
                <w:bCs/>
                <w:color w:val="000000"/>
                <w:lang w:val="en-US"/>
              </w:rPr>
            </w:pPr>
          </w:p>
        </w:tc>
      </w:tr>
      <w:tr w:rsidR="00AC4FB6" w:rsidRPr="0049490E" w14:paraId="58BBB29D" w14:textId="77777777" w:rsidTr="002D78D4">
        <w:trPr>
          <w:trHeight w:val="300"/>
        </w:trPr>
        <w:tc>
          <w:tcPr>
            <w:tcW w:w="2097" w:type="dxa"/>
            <w:shd w:val="clear" w:color="auto" w:fill="auto"/>
          </w:tcPr>
          <w:p w14:paraId="5E003F51" w14:textId="4876689B"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Age ≥ 70 y</w:t>
            </w:r>
            <w:r w:rsidR="00AD58E3" w:rsidRPr="0049490E">
              <w:rPr>
                <w:rFonts w:ascii="Book Antiqua" w:eastAsiaTheme="minorHAnsi" w:hAnsi="Book Antiqua" w:cs="Arial Narrow"/>
                <w:color w:val="000000"/>
                <w:lang w:val="en-US"/>
              </w:rPr>
              <w:t>r</w:t>
            </w:r>
          </w:p>
        </w:tc>
        <w:tc>
          <w:tcPr>
            <w:tcW w:w="844" w:type="dxa"/>
            <w:shd w:val="clear" w:color="auto" w:fill="auto"/>
          </w:tcPr>
          <w:p w14:paraId="4A89EF7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(0.7)</w:t>
            </w:r>
          </w:p>
        </w:tc>
        <w:tc>
          <w:tcPr>
            <w:tcW w:w="844" w:type="dxa"/>
            <w:shd w:val="clear" w:color="auto" w:fill="auto"/>
          </w:tcPr>
          <w:p w14:paraId="28B4E82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(0.6)</w:t>
            </w:r>
          </w:p>
        </w:tc>
        <w:tc>
          <w:tcPr>
            <w:tcW w:w="844" w:type="dxa"/>
            <w:shd w:val="clear" w:color="auto" w:fill="auto"/>
          </w:tcPr>
          <w:p w14:paraId="3F39CE1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(0.6)</w:t>
            </w:r>
          </w:p>
        </w:tc>
        <w:tc>
          <w:tcPr>
            <w:tcW w:w="843" w:type="dxa"/>
            <w:shd w:val="clear" w:color="auto" w:fill="auto"/>
          </w:tcPr>
          <w:p w14:paraId="27A3561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(2.5)</w:t>
            </w:r>
          </w:p>
        </w:tc>
        <w:tc>
          <w:tcPr>
            <w:tcW w:w="843" w:type="dxa"/>
            <w:shd w:val="clear" w:color="auto" w:fill="auto"/>
          </w:tcPr>
          <w:p w14:paraId="402A8A1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(3.2)</w:t>
            </w:r>
          </w:p>
        </w:tc>
        <w:tc>
          <w:tcPr>
            <w:tcW w:w="843" w:type="dxa"/>
            <w:shd w:val="clear" w:color="auto" w:fill="auto"/>
          </w:tcPr>
          <w:p w14:paraId="3B0191F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(0.5)</w:t>
            </w:r>
          </w:p>
        </w:tc>
        <w:tc>
          <w:tcPr>
            <w:tcW w:w="843" w:type="dxa"/>
            <w:shd w:val="clear" w:color="auto" w:fill="auto"/>
          </w:tcPr>
          <w:p w14:paraId="46498E3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(1.1)</w:t>
            </w:r>
          </w:p>
        </w:tc>
        <w:tc>
          <w:tcPr>
            <w:tcW w:w="843" w:type="dxa"/>
            <w:shd w:val="clear" w:color="auto" w:fill="auto"/>
          </w:tcPr>
          <w:p w14:paraId="0EE2AE61" w14:textId="6C956DC1"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43" w:type="dxa"/>
            <w:shd w:val="clear" w:color="auto" w:fill="auto"/>
          </w:tcPr>
          <w:p w14:paraId="2948682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(5.6)</w:t>
            </w:r>
          </w:p>
        </w:tc>
        <w:tc>
          <w:tcPr>
            <w:tcW w:w="843" w:type="dxa"/>
            <w:shd w:val="clear" w:color="auto" w:fill="auto"/>
          </w:tcPr>
          <w:p w14:paraId="59D05A6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(4.7)</w:t>
            </w:r>
          </w:p>
        </w:tc>
        <w:tc>
          <w:tcPr>
            <w:tcW w:w="959" w:type="dxa"/>
            <w:shd w:val="clear" w:color="auto" w:fill="auto"/>
          </w:tcPr>
          <w:p w14:paraId="292866F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(2.7)</w:t>
            </w:r>
          </w:p>
        </w:tc>
        <w:tc>
          <w:tcPr>
            <w:tcW w:w="844" w:type="dxa"/>
            <w:shd w:val="clear" w:color="auto" w:fill="auto"/>
          </w:tcPr>
          <w:p w14:paraId="0E03449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43" w:type="dxa"/>
            <w:shd w:val="clear" w:color="auto" w:fill="auto"/>
          </w:tcPr>
          <w:p w14:paraId="2E6AF81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AC4FB6" w:rsidRPr="0049490E" w14:paraId="294E4484"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33C01657" w14:textId="1287D9F7"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Hypertension</w:t>
            </w:r>
          </w:p>
        </w:tc>
        <w:tc>
          <w:tcPr>
            <w:tcW w:w="844" w:type="dxa"/>
            <w:shd w:val="clear" w:color="auto" w:fill="auto"/>
          </w:tcPr>
          <w:p w14:paraId="6B25D142" w14:textId="5C525241"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133</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(12.6)</w:t>
            </w:r>
          </w:p>
        </w:tc>
        <w:tc>
          <w:tcPr>
            <w:tcW w:w="844" w:type="dxa"/>
            <w:shd w:val="clear" w:color="auto" w:fill="auto"/>
          </w:tcPr>
          <w:p w14:paraId="24D9C006" w14:textId="5D2A651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43</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(12.8)</w:t>
            </w:r>
          </w:p>
        </w:tc>
        <w:tc>
          <w:tcPr>
            <w:tcW w:w="844" w:type="dxa"/>
            <w:shd w:val="clear" w:color="auto" w:fill="auto"/>
          </w:tcPr>
          <w:p w14:paraId="50A8612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34 (10.3)</w:t>
            </w:r>
          </w:p>
        </w:tc>
        <w:tc>
          <w:tcPr>
            <w:tcW w:w="843" w:type="dxa"/>
            <w:shd w:val="clear" w:color="auto" w:fill="auto"/>
          </w:tcPr>
          <w:p w14:paraId="66A3C6C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27 (9.7)</w:t>
            </w:r>
          </w:p>
        </w:tc>
        <w:tc>
          <w:tcPr>
            <w:tcW w:w="843" w:type="dxa"/>
            <w:shd w:val="clear" w:color="auto" w:fill="auto"/>
          </w:tcPr>
          <w:p w14:paraId="340D56D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31 (11.2)</w:t>
            </w:r>
          </w:p>
        </w:tc>
        <w:tc>
          <w:tcPr>
            <w:tcW w:w="843" w:type="dxa"/>
            <w:shd w:val="clear" w:color="auto" w:fill="auto"/>
          </w:tcPr>
          <w:p w14:paraId="7EC9902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29 (13.4)</w:t>
            </w:r>
          </w:p>
        </w:tc>
        <w:tc>
          <w:tcPr>
            <w:tcW w:w="843" w:type="dxa"/>
            <w:shd w:val="clear" w:color="auto" w:fill="auto"/>
          </w:tcPr>
          <w:p w14:paraId="15AC39C2" w14:textId="1F378DF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19 (10</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0B307842" w14:textId="444ABDF9"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(6</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5D8238F7" w14:textId="3F82683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(9</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67D0566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(13.1)</w:t>
            </w:r>
          </w:p>
        </w:tc>
        <w:tc>
          <w:tcPr>
            <w:tcW w:w="959" w:type="dxa"/>
            <w:shd w:val="clear" w:color="auto" w:fill="auto"/>
          </w:tcPr>
          <w:p w14:paraId="3E8EFB1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(8.1)</w:t>
            </w:r>
          </w:p>
        </w:tc>
        <w:tc>
          <w:tcPr>
            <w:tcW w:w="844" w:type="dxa"/>
            <w:shd w:val="clear" w:color="auto" w:fill="auto"/>
          </w:tcPr>
          <w:p w14:paraId="0E42929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(3.5)</w:t>
            </w:r>
          </w:p>
        </w:tc>
        <w:tc>
          <w:tcPr>
            <w:tcW w:w="843" w:type="dxa"/>
            <w:shd w:val="clear" w:color="auto" w:fill="auto"/>
          </w:tcPr>
          <w:p w14:paraId="2AFF904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(8.2)</w:t>
            </w:r>
          </w:p>
        </w:tc>
      </w:tr>
      <w:tr w:rsidR="00AC4FB6" w:rsidRPr="0049490E" w14:paraId="2DA17FB3" w14:textId="77777777" w:rsidTr="002D78D4">
        <w:trPr>
          <w:trHeight w:val="300"/>
        </w:trPr>
        <w:tc>
          <w:tcPr>
            <w:tcW w:w="2097" w:type="dxa"/>
            <w:shd w:val="clear" w:color="auto" w:fill="auto"/>
          </w:tcPr>
          <w:p w14:paraId="3AA73E31" w14:textId="289C057B"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Diabetes</w:t>
            </w:r>
          </w:p>
        </w:tc>
        <w:tc>
          <w:tcPr>
            <w:tcW w:w="844" w:type="dxa"/>
            <w:shd w:val="clear" w:color="auto" w:fill="auto"/>
          </w:tcPr>
          <w:p w14:paraId="3D09A728" w14:textId="74C30DD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33</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(3.1)</w:t>
            </w:r>
          </w:p>
        </w:tc>
        <w:tc>
          <w:tcPr>
            <w:tcW w:w="844" w:type="dxa"/>
            <w:shd w:val="clear" w:color="auto" w:fill="auto"/>
          </w:tcPr>
          <w:p w14:paraId="365E7CB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(4.2)</w:t>
            </w:r>
          </w:p>
        </w:tc>
        <w:tc>
          <w:tcPr>
            <w:tcW w:w="844" w:type="dxa"/>
            <w:shd w:val="clear" w:color="auto" w:fill="auto"/>
          </w:tcPr>
          <w:p w14:paraId="61E2D0B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(2.1)</w:t>
            </w:r>
          </w:p>
        </w:tc>
        <w:tc>
          <w:tcPr>
            <w:tcW w:w="843" w:type="dxa"/>
            <w:shd w:val="clear" w:color="auto" w:fill="auto"/>
          </w:tcPr>
          <w:p w14:paraId="556D053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(2.9)</w:t>
            </w:r>
          </w:p>
        </w:tc>
        <w:tc>
          <w:tcPr>
            <w:tcW w:w="843" w:type="dxa"/>
            <w:shd w:val="clear" w:color="auto" w:fill="auto"/>
          </w:tcPr>
          <w:p w14:paraId="526D226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(4.7)</w:t>
            </w:r>
          </w:p>
        </w:tc>
        <w:tc>
          <w:tcPr>
            <w:tcW w:w="843" w:type="dxa"/>
            <w:shd w:val="clear" w:color="auto" w:fill="auto"/>
          </w:tcPr>
          <w:p w14:paraId="3FCDE86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(4.1)</w:t>
            </w:r>
          </w:p>
        </w:tc>
        <w:tc>
          <w:tcPr>
            <w:tcW w:w="843" w:type="dxa"/>
            <w:shd w:val="clear" w:color="auto" w:fill="auto"/>
          </w:tcPr>
          <w:p w14:paraId="595A154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(4.7)</w:t>
            </w:r>
          </w:p>
        </w:tc>
        <w:tc>
          <w:tcPr>
            <w:tcW w:w="843" w:type="dxa"/>
            <w:shd w:val="clear" w:color="auto" w:fill="auto"/>
          </w:tcPr>
          <w:p w14:paraId="6FEF3EC6" w14:textId="1637585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43" w:type="dxa"/>
            <w:shd w:val="clear" w:color="auto" w:fill="auto"/>
          </w:tcPr>
          <w:p w14:paraId="4848270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(5.6)</w:t>
            </w:r>
          </w:p>
        </w:tc>
        <w:tc>
          <w:tcPr>
            <w:tcW w:w="843" w:type="dxa"/>
            <w:shd w:val="clear" w:color="auto" w:fill="auto"/>
          </w:tcPr>
          <w:p w14:paraId="130EA73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(5.6)</w:t>
            </w:r>
          </w:p>
        </w:tc>
        <w:tc>
          <w:tcPr>
            <w:tcW w:w="959" w:type="dxa"/>
            <w:shd w:val="clear" w:color="auto" w:fill="auto"/>
          </w:tcPr>
          <w:p w14:paraId="3432AB9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(2.7)</w:t>
            </w:r>
          </w:p>
        </w:tc>
        <w:tc>
          <w:tcPr>
            <w:tcW w:w="844" w:type="dxa"/>
            <w:shd w:val="clear" w:color="auto" w:fill="auto"/>
          </w:tcPr>
          <w:p w14:paraId="16EED226" w14:textId="447A6A8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43" w:type="dxa"/>
            <w:shd w:val="clear" w:color="auto" w:fill="auto"/>
          </w:tcPr>
          <w:p w14:paraId="6300B80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(6.1)</w:t>
            </w:r>
          </w:p>
        </w:tc>
      </w:tr>
      <w:tr w:rsidR="00AC4FB6" w:rsidRPr="0049490E" w14:paraId="3468BCA5"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27ACB99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Cardiovascular diseases</w:t>
            </w:r>
          </w:p>
        </w:tc>
        <w:tc>
          <w:tcPr>
            <w:tcW w:w="844" w:type="dxa"/>
            <w:shd w:val="clear" w:color="auto" w:fill="auto"/>
          </w:tcPr>
          <w:p w14:paraId="28598FBB" w14:textId="73CF6D2E"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23</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(2.2)</w:t>
            </w:r>
          </w:p>
        </w:tc>
        <w:tc>
          <w:tcPr>
            <w:tcW w:w="844" w:type="dxa"/>
            <w:shd w:val="clear" w:color="auto" w:fill="auto"/>
          </w:tcPr>
          <w:p w14:paraId="0EEBCEA8" w14:textId="6E1B628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(3</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0763AEB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(1.2)</w:t>
            </w:r>
          </w:p>
        </w:tc>
        <w:tc>
          <w:tcPr>
            <w:tcW w:w="843" w:type="dxa"/>
            <w:shd w:val="clear" w:color="auto" w:fill="auto"/>
          </w:tcPr>
          <w:p w14:paraId="1632785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(3.6)</w:t>
            </w:r>
          </w:p>
        </w:tc>
        <w:tc>
          <w:tcPr>
            <w:tcW w:w="843" w:type="dxa"/>
            <w:shd w:val="clear" w:color="auto" w:fill="auto"/>
          </w:tcPr>
          <w:p w14:paraId="293FCE5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(4.3)</w:t>
            </w:r>
          </w:p>
        </w:tc>
        <w:tc>
          <w:tcPr>
            <w:tcW w:w="843" w:type="dxa"/>
            <w:shd w:val="clear" w:color="auto" w:fill="auto"/>
          </w:tcPr>
          <w:p w14:paraId="0FDAC70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(4.1)</w:t>
            </w:r>
          </w:p>
        </w:tc>
        <w:tc>
          <w:tcPr>
            <w:tcW w:w="843" w:type="dxa"/>
            <w:shd w:val="clear" w:color="auto" w:fill="auto"/>
          </w:tcPr>
          <w:p w14:paraId="57131E7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(4.7)</w:t>
            </w:r>
          </w:p>
        </w:tc>
        <w:tc>
          <w:tcPr>
            <w:tcW w:w="843" w:type="dxa"/>
            <w:shd w:val="clear" w:color="auto" w:fill="auto"/>
          </w:tcPr>
          <w:p w14:paraId="1384351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(1.6)</w:t>
            </w:r>
          </w:p>
        </w:tc>
        <w:tc>
          <w:tcPr>
            <w:tcW w:w="843" w:type="dxa"/>
            <w:shd w:val="clear" w:color="auto" w:fill="auto"/>
          </w:tcPr>
          <w:p w14:paraId="51F56AE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(5.6)</w:t>
            </w:r>
          </w:p>
        </w:tc>
        <w:tc>
          <w:tcPr>
            <w:tcW w:w="843" w:type="dxa"/>
            <w:shd w:val="clear" w:color="auto" w:fill="auto"/>
          </w:tcPr>
          <w:p w14:paraId="4F12041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(5.6)</w:t>
            </w:r>
          </w:p>
        </w:tc>
        <w:tc>
          <w:tcPr>
            <w:tcW w:w="959" w:type="dxa"/>
            <w:shd w:val="clear" w:color="auto" w:fill="auto"/>
          </w:tcPr>
          <w:p w14:paraId="0132E13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(2.7)</w:t>
            </w:r>
          </w:p>
        </w:tc>
        <w:tc>
          <w:tcPr>
            <w:tcW w:w="844" w:type="dxa"/>
            <w:shd w:val="clear" w:color="auto" w:fill="auto"/>
          </w:tcPr>
          <w:p w14:paraId="17F690B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(5.3)</w:t>
            </w:r>
          </w:p>
        </w:tc>
        <w:tc>
          <w:tcPr>
            <w:tcW w:w="843" w:type="dxa"/>
            <w:shd w:val="clear" w:color="auto" w:fill="auto"/>
          </w:tcPr>
          <w:p w14:paraId="691A6384" w14:textId="17BCE160"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r>
      <w:tr w:rsidR="00AC4FB6" w:rsidRPr="0049490E" w14:paraId="5D67BF6A" w14:textId="77777777" w:rsidTr="002D78D4">
        <w:trPr>
          <w:trHeight w:val="300"/>
        </w:trPr>
        <w:tc>
          <w:tcPr>
            <w:tcW w:w="2097" w:type="dxa"/>
            <w:shd w:val="clear" w:color="auto" w:fill="auto"/>
          </w:tcPr>
          <w:p w14:paraId="3119E780" w14:textId="57B5CFBB"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lastRenderedPageBreak/>
              <w:t>Liver diseases</w:t>
            </w:r>
          </w:p>
        </w:tc>
        <w:tc>
          <w:tcPr>
            <w:tcW w:w="844" w:type="dxa"/>
            <w:shd w:val="clear" w:color="auto" w:fill="auto"/>
          </w:tcPr>
          <w:p w14:paraId="49D2E002" w14:textId="2ECB5FC9"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52</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(4.9)</w:t>
            </w:r>
          </w:p>
        </w:tc>
        <w:tc>
          <w:tcPr>
            <w:tcW w:w="844" w:type="dxa"/>
            <w:shd w:val="clear" w:color="auto" w:fill="auto"/>
          </w:tcPr>
          <w:p w14:paraId="39E883A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(4.5)</w:t>
            </w:r>
          </w:p>
        </w:tc>
        <w:tc>
          <w:tcPr>
            <w:tcW w:w="844" w:type="dxa"/>
            <w:shd w:val="clear" w:color="auto" w:fill="auto"/>
          </w:tcPr>
          <w:p w14:paraId="280F1F6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(3.6)</w:t>
            </w:r>
          </w:p>
        </w:tc>
        <w:tc>
          <w:tcPr>
            <w:tcW w:w="843" w:type="dxa"/>
            <w:shd w:val="clear" w:color="auto" w:fill="auto"/>
          </w:tcPr>
          <w:p w14:paraId="67341FF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17 (6.1)</w:t>
            </w:r>
          </w:p>
        </w:tc>
        <w:tc>
          <w:tcPr>
            <w:tcW w:w="843" w:type="dxa"/>
            <w:shd w:val="clear" w:color="auto" w:fill="auto"/>
          </w:tcPr>
          <w:p w14:paraId="55BBEC86" w14:textId="6D3A59E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(4</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256DB2B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(3.7)</w:t>
            </w:r>
          </w:p>
        </w:tc>
        <w:tc>
          <w:tcPr>
            <w:tcW w:w="843" w:type="dxa"/>
            <w:shd w:val="clear" w:color="auto" w:fill="auto"/>
          </w:tcPr>
          <w:p w14:paraId="7C6CD3E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(5.3)</w:t>
            </w:r>
          </w:p>
        </w:tc>
        <w:tc>
          <w:tcPr>
            <w:tcW w:w="843" w:type="dxa"/>
            <w:shd w:val="clear" w:color="auto" w:fill="auto"/>
          </w:tcPr>
          <w:p w14:paraId="7609B661" w14:textId="37A4B569"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(6</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6DA69E7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(3.5)</w:t>
            </w:r>
          </w:p>
        </w:tc>
        <w:tc>
          <w:tcPr>
            <w:tcW w:w="843" w:type="dxa"/>
            <w:shd w:val="clear" w:color="auto" w:fill="auto"/>
          </w:tcPr>
          <w:p w14:paraId="2C197B5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(0.9)</w:t>
            </w:r>
          </w:p>
        </w:tc>
        <w:tc>
          <w:tcPr>
            <w:tcW w:w="959" w:type="dxa"/>
            <w:shd w:val="clear" w:color="auto" w:fill="auto"/>
          </w:tcPr>
          <w:p w14:paraId="689CAEA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(4.1)</w:t>
            </w:r>
          </w:p>
        </w:tc>
        <w:tc>
          <w:tcPr>
            <w:tcW w:w="844" w:type="dxa"/>
            <w:shd w:val="clear" w:color="auto" w:fill="auto"/>
          </w:tcPr>
          <w:p w14:paraId="5DE57A3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(3.5)</w:t>
            </w:r>
          </w:p>
        </w:tc>
        <w:tc>
          <w:tcPr>
            <w:tcW w:w="843" w:type="dxa"/>
            <w:shd w:val="clear" w:color="auto" w:fill="auto"/>
          </w:tcPr>
          <w:p w14:paraId="478F3EC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(4.1)</w:t>
            </w:r>
          </w:p>
        </w:tc>
      </w:tr>
      <w:tr w:rsidR="00AC4FB6" w:rsidRPr="0049490E" w14:paraId="4B3D5A73"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70273A05" w14:textId="0975A184"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Abdominal </w:t>
            </w:r>
            <w:r w:rsidR="00AD58E3" w:rsidRPr="0049490E">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urgery for IBD (&lt; 30 d)</w:t>
            </w:r>
          </w:p>
        </w:tc>
        <w:tc>
          <w:tcPr>
            <w:tcW w:w="844" w:type="dxa"/>
            <w:shd w:val="clear" w:color="auto" w:fill="auto"/>
          </w:tcPr>
          <w:p w14:paraId="2BE9BCF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38 (3.6)</w:t>
            </w:r>
          </w:p>
        </w:tc>
        <w:tc>
          <w:tcPr>
            <w:tcW w:w="844" w:type="dxa"/>
            <w:shd w:val="clear" w:color="auto" w:fill="auto"/>
          </w:tcPr>
          <w:p w14:paraId="41031FF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(3.6)</w:t>
            </w:r>
          </w:p>
        </w:tc>
        <w:tc>
          <w:tcPr>
            <w:tcW w:w="844" w:type="dxa"/>
            <w:shd w:val="clear" w:color="auto" w:fill="auto"/>
          </w:tcPr>
          <w:p w14:paraId="2FEEA84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(2.1)</w:t>
            </w:r>
          </w:p>
        </w:tc>
        <w:tc>
          <w:tcPr>
            <w:tcW w:w="843" w:type="dxa"/>
            <w:shd w:val="clear" w:color="auto" w:fill="auto"/>
          </w:tcPr>
          <w:p w14:paraId="71BA0880" w14:textId="08DC4541"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(4</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08E5018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(5.8)</w:t>
            </w:r>
          </w:p>
        </w:tc>
        <w:tc>
          <w:tcPr>
            <w:tcW w:w="843" w:type="dxa"/>
            <w:shd w:val="clear" w:color="auto" w:fill="auto"/>
          </w:tcPr>
          <w:p w14:paraId="54774DA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(2.3)</w:t>
            </w:r>
          </w:p>
        </w:tc>
        <w:tc>
          <w:tcPr>
            <w:tcW w:w="843" w:type="dxa"/>
            <w:shd w:val="clear" w:color="auto" w:fill="auto"/>
          </w:tcPr>
          <w:p w14:paraId="7FEB352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(4.2)</w:t>
            </w:r>
          </w:p>
        </w:tc>
        <w:tc>
          <w:tcPr>
            <w:tcW w:w="843" w:type="dxa"/>
            <w:shd w:val="clear" w:color="auto" w:fill="auto"/>
          </w:tcPr>
          <w:p w14:paraId="7D62A3B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(0.5)</w:t>
            </w:r>
          </w:p>
        </w:tc>
        <w:tc>
          <w:tcPr>
            <w:tcW w:w="843" w:type="dxa"/>
            <w:shd w:val="clear" w:color="auto" w:fill="auto"/>
          </w:tcPr>
          <w:p w14:paraId="4C302E4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(11.1)</w:t>
            </w:r>
          </w:p>
        </w:tc>
        <w:tc>
          <w:tcPr>
            <w:tcW w:w="843" w:type="dxa"/>
            <w:shd w:val="clear" w:color="auto" w:fill="auto"/>
          </w:tcPr>
          <w:p w14:paraId="6F6D131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(4.7)</w:t>
            </w:r>
          </w:p>
        </w:tc>
        <w:tc>
          <w:tcPr>
            <w:tcW w:w="959" w:type="dxa"/>
            <w:shd w:val="clear" w:color="auto" w:fill="auto"/>
          </w:tcPr>
          <w:p w14:paraId="46815DE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(5.4)</w:t>
            </w:r>
          </w:p>
        </w:tc>
        <w:tc>
          <w:tcPr>
            <w:tcW w:w="844" w:type="dxa"/>
            <w:shd w:val="clear" w:color="auto" w:fill="auto"/>
          </w:tcPr>
          <w:p w14:paraId="6BFB270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(1.8)</w:t>
            </w:r>
          </w:p>
        </w:tc>
        <w:tc>
          <w:tcPr>
            <w:tcW w:w="843" w:type="dxa"/>
            <w:shd w:val="clear" w:color="auto" w:fill="auto"/>
          </w:tcPr>
          <w:p w14:paraId="1D150A6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(4.1)</w:t>
            </w:r>
          </w:p>
        </w:tc>
      </w:tr>
      <w:tr w:rsidR="00AC4FB6" w:rsidRPr="0049490E" w14:paraId="78920605" w14:textId="77777777" w:rsidTr="002D78D4">
        <w:trPr>
          <w:trHeight w:val="300"/>
        </w:trPr>
        <w:tc>
          <w:tcPr>
            <w:tcW w:w="2097" w:type="dxa"/>
            <w:shd w:val="clear" w:color="auto" w:fill="auto"/>
          </w:tcPr>
          <w:p w14:paraId="0BC3D4BB" w14:textId="3A6BBB9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Overall IBD </w:t>
            </w:r>
            <w:r w:rsidR="00AD58E3" w:rsidRPr="0049490E">
              <w:rPr>
                <w:rFonts w:ascii="Book Antiqua" w:eastAsiaTheme="minorHAnsi" w:hAnsi="Book Antiqua" w:cs="Arial Narrow"/>
                <w:color w:val="000000"/>
                <w:lang w:val="en-US"/>
              </w:rPr>
              <w:t>m</w:t>
            </w:r>
            <w:r w:rsidRPr="0049490E">
              <w:rPr>
                <w:rFonts w:ascii="Book Antiqua" w:eastAsiaTheme="minorHAnsi" w:hAnsi="Book Antiqua" w:cs="Arial Narrow"/>
                <w:color w:val="000000"/>
                <w:lang w:val="en-US"/>
              </w:rPr>
              <w:t>edications</w:t>
            </w:r>
          </w:p>
        </w:tc>
        <w:tc>
          <w:tcPr>
            <w:tcW w:w="844" w:type="dxa"/>
            <w:shd w:val="clear" w:color="auto" w:fill="auto"/>
          </w:tcPr>
          <w:p w14:paraId="72C4D36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03F050C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3558652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1B2E124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517F86E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46741B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85084E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3407B56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6C7640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4A54FCB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959" w:type="dxa"/>
            <w:shd w:val="clear" w:color="auto" w:fill="auto"/>
          </w:tcPr>
          <w:p w14:paraId="396FDDB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139951C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7BE418A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r>
      <w:tr w:rsidR="00AC4FB6" w:rsidRPr="0049490E" w14:paraId="03F3F4AC"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14FDE1BC" w14:textId="44AA083C"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No medication</w:t>
            </w:r>
          </w:p>
        </w:tc>
        <w:tc>
          <w:tcPr>
            <w:tcW w:w="844" w:type="dxa"/>
            <w:shd w:val="clear" w:color="auto" w:fill="auto"/>
          </w:tcPr>
          <w:p w14:paraId="6AC99CC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112 (10.6)</w:t>
            </w:r>
          </w:p>
        </w:tc>
        <w:tc>
          <w:tcPr>
            <w:tcW w:w="844" w:type="dxa"/>
            <w:shd w:val="clear" w:color="auto" w:fill="auto"/>
          </w:tcPr>
          <w:p w14:paraId="5390299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40 (11.9)</w:t>
            </w:r>
          </w:p>
        </w:tc>
        <w:tc>
          <w:tcPr>
            <w:tcW w:w="844" w:type="dxa"/>
            <w:shd w:val="clear" w:color="auto" w:fill="auto"/>
          </w:tcPr>
          <w:p w14:paraId="5C98D27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26 (7.9)</w:t>
            </w:r>
          </w:p>
        </w:tc>
        <w:tc>
          <w:tcPr>
            <w:tcW w:w="843" w:type="dxa"/>
            <w:shd w:val="clear" w:color="auto" w:fill="auto"/>
          </w:tcPr>
          <w:p w14:paraId="6DCFBB3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22 (7.9)</w:t>
            </w:r>
          </w:p>
        </w:tc>
        <w:tc>
          <w:tcPr>
            <w:tcW w:w="843" w:type="dxa"/>
            <w:shd w:val="clear" w:color="auto" w:fill="auto"/>
          </w:tcPr>
          <w:p w14:paraId="554DCA2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28 (10.1)</w:t>
            </w:r>
          </w:p>
        </w:tc>
        <w:tc>
          <w:tcPr>
            <w:tcW w:w="843" w:type="dxa"/>
            <w:shd w:val="clear" w:color="auto" w:fill="auto"/>
          </w:tcPr>
          <w:p w14:paraId="245020C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(7.4)</w:t>
            </w:r>
          </w:p>
        </w:tc>
        <w:tc>
          <w:tcPr>
            <w:tcW w:w="843" w:type="dxa"/>
            <w:shd w:val="clear" w:color="auto" w:fill="auto"/>
          </w:tcPr>
          <w:p w14:paraId="3106C63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(8.4)</w:t>
            </w:r>
          </w:p>
        </w:tc>
        <w:tc>
          <w:tcPr>
            <w:tcW w:w="843" w:type="dxa"/>
            <w:shd w:val="clear" w:color="auto" w:fill="auto"/>
          </w:tcPr>
          <w:p w14:paraId="6BEE135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(8.2)</w:t>
            </w:r>
          </w:p>
        </w:tc>
        <w:tc>
          <w:tcPr>
            <w:tcW w:w="843" w:type="dxa"/>
            <w:shd w:val="clear" w:color="auto" w:fill="auto"/>
          </w:tcPr>
          <w:p w14:paraId="27693D7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(10.4)</w:t>
            </w:r>
          </w:p>
        </w:tc>
        <w:tc>
          <w:tcPr>
            <w:tcW w:w="843" w:type="dxa"/>
            <w:shd w:val="clear" w:color="auto" w:fill="auto"/>
          </w:tcPr>
          <w:p w14:paraId="0B67A2B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(5.6)</w:t>
            </w:r>
          </w:p>
        </w:tc>
        <w:tc>
          <w:tcPr>
            <w:tcW w:w="959" w:type="dxa"/>
            <w:shd w:val="clear" w:color="auto" w:fill="auto"/>
          </w:tcPr>
          <w:p w14:paraId="21DA584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(6.8)</w:t>
            </w:r>
          </w:p>
        </w:tc>
        <w:tc>
          <w:tcPr>
            <w:tcW w:w="844" w:type="dxa"/>
            <w:shd w:val="clear" w:color="auto" w:fill="auto"/>
          </w:tcPr>
          <w:p w14:paraId="5079FAD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(12.3)</w:t>
            </w:r>
          </w:p>
        </w:tc>
        <w:tc>
          <w:tcPr>
            <w:tcW w:w="843" w:type="dxa"/>
            <w:shd w:val="clear" w:color="auto" w:fill="auto"/>
          </w:tcPr>
          <w:p w14:paraId="72997394" w14:textId="3889C63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r>
      <w:tr w:rsidR="00AC4FB6" w:rsidRPr="0049490E" w14:paraId="16EFF4B1" w14:textId="77777777" w:rsidTr="002D78D4">
        <w:trPr>
          <w:trHeight w:val="300"/>
        </w:trPr>
        <w:tc>
          <w:tcPr>
            <w:tcW w:w="2097" w:type="dxa"/>
            <w:shd w:val="clear" w:color="auto" w:fill="auto"/>
          </w:tcPr>
          <w:p w14:paraId="40FE205C" w14:textId="68964535"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Oral </w:t>
            </w:r>
            <w:r w:rsidR="00AD58E3" w:rsidRPr="0049490E">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teroids</w:t>
            </w:r>
          </w:p>
        </w:tc>
        <w:tc>
          <w:tcPr>
            <w:tcW w:w="844" w:type="dxa"/>
            <w:shd w:val="clear" w:color="auto" w:fill="auto"/>
          </w:tcPr>
          <w:p w14:paraId="702C33E6" w14:textId="4E81C78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137 (13</w:t>
            </w:r>
            <w:r w:rsidR="00DD09DE">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6ACFED8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50 (14.9)</w:t>
            </w:r>
          </w:p>
        </w:tc>
        <w:tc>
          <w:tcPr>
            <w:tcW w:w="844" w:type="dxa"/>
            <w:shd w:val="clear" w:color="auto" w:fill="auto"/>
          </w:tcPr>
          <w:p w14:paraId="45D807F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52 (15.8)</w:t>
            </w:r>
          </w:p>
        </w:tc>
        <w:tc>
          <w:tcPr>
            <w:tcW w:w="843" w:type="dxa"/>
            <w:shd w:val="clear" w:color="auto" w:fill="auto"/>
          </w:tcPr>
          <w:p w14:paraId="0BB68A4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32 (11.5)</w:t>
            </w:r>
          </w:p>
        </w:tc>
        <w:tc>
          <w:tcPr>
            <w:tcW w:w="843" w:type="dxa"/>
            <w:shd w:val="clear" w:color="auto" w:fill="auto"/>
          </w:tcPr>
          <w:p w14:paraId="74E4008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30 (10.8)</w:t>
            </w:r>
          </w:p>
        </w:tc>
        <w:tc>
          <w:tcPr>
            <w:tcW w:w="843" w:type="dxa"/>
            <w:shd w:val="clear" w:color="auto" w:fill="auto"/>
          </w:tcPr>
          <w:p w14:paraId="69F4944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34 (15.7)</w:t>
            </w:r>
          </w:p>
        </w:tc>
        <w:tc>
          <w:tcPr>
            <w:tcW w:w="843" w:type="dxa"/>
            <w:shd w:val="clear" w:color="auto" w:fill="auto"/>
          </w:tcPr>
          <w:p w14:paraId="66EA51C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27 (14.2)</w:t>
            </w:r>
          </w:p>
        </w:tc>
        <w:tc>
          <w:tcPr>
            <w:tcW w:w="843" w:type="dxa"/>
            <w:shd w:val="clear" w:color="auto" w:fill="auto"/>
          </w:tcPr>
          <w:p w14:paraId="464FDFD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23 (12.6)</w:t>
            </w:r>
          </w:p>
        </w:tc>
        <w:tc>
          <w:tcPr>
            <w:tcW w:w="843" w:type="dxa"/>
            <w:shd w:val="clear" w:color="auto" w:fill="auto"/>
          </w:tcPr>
          <w:p w14:paraId="014A01F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(6.9)</w:t>
            </w:r>
          </w:p>
        </w:tc>
        <w:tc>
          <w:tcPr>
            <w:tcW w:w="843" w:type="dxa"/>
            <w:shd w:val="clear" w:color="auto" w:fill="auto"/>
          </w:tcPr>
          <w:p w14:paraId="0F39F437" w14:textId="47E492EA"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(15</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959" w:type="dxa"/>
            <w:shd w:val="clear" w:color="auto" w:fill="auto"/>
          </w:tcPr>
          <w:p w14:paraId="3D5A9E2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(14.9)</w:t>
            </w:r>
          </w:p>
        </w:tc>
        <w:tc>
          <w:tcPr>
            <w:tcW w:w="844" w:type="dxa"/>
            <w:shd w:val="clear" w:color="auto" w:fill="auto"/>
          </w:tcPr>
          <w:p w14:paraId="5871F7A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(10.5)</w:t>
            </w:r>
          </w:p>
        </w:tc>
        <w:tc>
          <w:tcPr>
            <w:tcW w:w="843" w:type="dxa"/>
            <w:shd w:val="clear" w:color="auto" w:fill="auto"/>
          </w:tcPr>
          <w:p w14:paraId="27377E2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(14.3)</w:t>
            </w:r>
          </w:p>
        </w:tc>
      </w:tr>
      <w:tr w:rsidR="00AC4FB6" w:rsidRPr="0049490E" w14:paraId="59F4D482"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0E8ADF34" w14:textId="67EA0287"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5-ASA</w:t>
            </w:r>
          </w:p>
        </w:tc>
        <w:tc>
          <w:tcPr>
            <w:tcW w:w="844" w:type="dxa"/>
            <w:shd w:val="clear" w:color="auto" w:fill="auto"/>
          </w:tcPr>
          <w:p w14:paraId="00A18A8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357 (33.8)</w:t>
            </w:r>
          </w:p>
        </w:tc>
        <w:tc>
          <w:tcPr>
            <w:tcW w:w="844" w:type="dxa"/>
            <w:shd w:val="clear" w:color="auto" w:fill="auto"/>
          </w:tcPr>
          <w:p w14:paraId="504B750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90 (26.8)</w:t>
            </w:r>
          </w:p>
        </w:tc>
        <w:tc>
          <w:tcPr>
            <w:tcW w:w="844" w:type="dxa"/>
            <w:shd w:val="clear" w:color="auto" w:fill="auto"/>
          </w:tcPr>
          <w:p w14:paraId="79D5FC5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124 (37.7)</w:t>
            </w:r>
          </w:p>
        </w:tc>
        <w:tc>
          <w:tcPr>
            <w:tcW w:w="843" w:type="dxa"/>
            <w:shd w:val="clear" w:color="auto" w:fill="auto"/>
          </w:tcPr>
          <w:p w14:paraId="213E76A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110 (39.6)</w:t>
            </w:r>
          </w:p>
        </w:tc>
        <w:tc>
          <w:tcPr>
            <w:tcW w:w="843" w:type="dxa"/>
            <w:shd w:val="clear" w:color="auto" w:fill="auto"/>
          </w:tcPr>
          <w:p w14:paraId="745A2DB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90 (32.5)</w:t>
            </w:r>
          </w:p>
        </w:tc>
        <w:tc>
          <w:tcPr>
            <w:tcW w:w="843" w:type="dxa"/>
            <w:shd w:val="clear" w:color="auto" w:fill="auto"/>
          </w:tcPr>
          <w:p w14:paraId="4299CCC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88 (40.6)</w:t>
            </w:r>
          </w:p>
        </w:tc>
        <w:tc>
          <w:tcPr>
            <w:tcW w:w="843" w:type="dxa"/>
            <w:shd w:val="clear" w:color="auto" w:fill="auto"/>
          </w:tcPr>
          <w:p w14:paraId="2150F65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68 (35.8)</w:t>
            </w:r>
          </w:p>
        </w:tc>
        <w:tc>
          <w:tcPr>
            <w:tcW w:w="843" w:type="dxa"/>
            <w:shd w:val="clear" w:color="auto" w:fill="auto"/>
          </w:tcPr>
          <w:p w14:paraId="3A06FC2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73 (39.9)</w:t>
            </w:r>
          </w:p>
        </w:tc>
        <w:tc>
          <w:tcPr>
            <w:tcW w:w="843" w:type="dxa"/>
            <w:shd w:val="clear" w:color="auto" w:fill="auto"/>
          </w:tcPr>
          <w:p w14:paraId="39039BB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20 (13.9)</w:t>
            </w:r>
          </w:p>
        </w:tc>
        <w:tc>
          <w:tcPr>
            <w:tcW w:w="843" w:type="dxa"/>
            <w:shd w:val="clear" w:color="auto" w:fill="auto"/>
          </w:tcPr>
          <w:p w14:paraId="5A797C8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 (19.6)</w:t>
            </w:r>
          </w:p>
        </w:tc>
        <w:tc>
          <w:tcPr>
            <w:tcW w:w="959" w:type="dxa"/>
            <w:shd w:val="clear" w:color="auto" w:fill="auto"/>
          </w:tcPr>
          <w:p w14:paraId="01AAC746" w14:textId="380DC07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37 (50</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0FAB6A7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18 (31.6)</w:t>
            </w:r>
          </w:p>
        </w:tc>
        <w:tc>
          <w:tcPr>
            <w:tcW w:w="843" w:type="dxa"/>
            <w:shd w:val="clear" w:color="auto" w:fill="auto"/>
          </w:tcPr>
          <w:p w14:paraId="3E1F831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19 (38.8)</w:t>
            </w:r>
          </w:p>
        </w:tc>
      </w:tr>
      <w:tr w:rsidR="00AC4FB6" w:rsidRPr="0049490E" w14:paraId="3CF39DFA" w14:textId="77777777" w:rsidTr="002D78D4">
        <w:trPr>
          <w:trHeight w:val="300"/>
        </w:trPr>
        <w:tc>
          <w:tcPr>
            <w:tcW w:w="2097" w:type="dxa"/>
            <w:shd w:val="clear" w:color="auto" w:fill="auto"/>
          </w:tcPr>
          <w:p w14:paraId="20896030" w14:textId="77777777"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AZA/6-MP/MTX</w:t>
            </w:r>
          </w:p>
        </w:tc>
        <w:tc>
          <w:tcPr>
            <w:tcW w:w="844" w:type="dxa"/>
            <w:shd w:val="clear" w:color="auto" w:fill="auto"/>
          </w:tcPr>
          <w:p w14:paraId="513BC690" w14:textId="3AEEDAA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308</w:t>
            </w:r>
            <w:r w:rsidR="00AD58E3"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(29.1)</w:t>
            </w:r>
          </w:p>
        </w:tc>
        <w:tc>
          <w:tcPr>
            <w:tcW w:w="844" w:type="dxa"/>
            <w:shd w:val="clear" w:color="auto" w:fill="auto"/>
          </w:tcPr>
          <w:p w14:paraId="7D3D53D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101 (30.1)</w:t>
            </w:r>
          </w:p>
        </w:tc>
        <w:tc>
          <w:tcPr>
            <w:tcW w:w="844" w:type="dxa"/>
            <w:shd w:val="clear" w:color="auto" w:fill="auto"/>
          </w:tcPr>
          <w:p w14:paraId="34C6043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130 (39.5)</w:t>
            </w:r>
          </w:p>
        </w:tc>
        <w:tc>
          <w:tcPr>
            <w:tcW w:w="843" w:type="dxa"/>
            <w:shd w:val="clear" w:color="auto" w:fill="auto"/>
          </w:tcPr>
          <w:p w14:paraId="2B9BC8B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93 (33.5)</w:t>
            </w:r>
          </w:p>
        </w:tc>
        <w:tc>
          <w:tcPr>
            <w:tcW w:w="843" w:type="dxa"/>
            <w:shd w:val="clear" w:color="auto" w:fill="auto"/>
          </w:tcPr>
          <w:p w14:paraId="126F99B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95 (34.3)</w:t>
            </w:r>
          </w:p>
        </w:tc>
        <w:tc>
          <w:tcPr>
            <w:tcW w:w="843" w:type="dxa"/>
            <w:shd w:val="clear" w:color="auto" w:fill="auto"/>
          </w:tcPr>
          <w:p w14:paraId="5E69437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71 (32.7)</w:t>
            </w:r>
          </w:p>
        </w:tc>
        <w:tc>
          <w:tcPr>
            <w:tcW w:w="843" w:type="dxa"/>
            <w:shd w:val="clear" w:color="auto" w:fill="auto"/>
          </w:tcPr>
          <w:p w14:paraId="074E36B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51 (26.8)</w:t>
            </w:r>
          </w:p>
        </w:tc>
        <w:tc>
          <w:tcPr>
            <w:tcW w:w="843" w:type="dxa"/>
            <w:shd w:val="clear" w:color="auto" w:fill="auto"/>
          </w:tcPr>
          <w:p w14:paraId="5E953E4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68 (37.2)</w:t>
            </w:r>
          </w:p>
        </w:tc>
        <w:tc>
          <w:tcPr>
            <w:tcW w:w="843" w:type="dxa"/>
            <w:shd w:val="clear" w:color="auto" w:fill="auto"/>
          </w:tcPr>
          <w:p w14:paraId="1E830E0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62 (43.1)</w:t>
            </w:r>
          </w:p>
        </w:tc>
        <w:tc>
          <w:tcPr>
            <w:tcW w:w="843" w:type="dxa"/>
            <w:shd w:val="clear" w:color="auto" w:fill="auto"/>
          </w:tcPr>
          <w:p w14:paraId="24BEBD8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52 (48.6)</w:t>
            </w:r>
          </w:p>
        </w:tc>
        <w:tc>
          <w:tcPr>
            <w:tcW w:w="959" w:type="dxa"/>
            <w:shd w:val="clear" w:color="auto" w:fill="auto"/>
          </w:tcPr>
          <w:p w14:paraId="447A7FD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27 (36.5)</w:t>
            </w:r>
          </w:p>
        </w:tc>
        <w:tc>
          <w:tcPr>
            <w:tcW w:w="844" w:type="dxa"/>
            <w:shd w:val="clear" w:color="auto" w:fill="auto"/>
          </w:tcPr>
          <w:p w14:paraId="2A8869F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17 (29.8)</w:t>
            </w:r>
          </w:p>
        </w:tc>
        <w:tc>
          <w:tcPr>
            <w:tcW w:w="843" w:type="dxa"/>
            <w:shd w:val="clear" w:color="auto" w:fill="auto"/>
          </w:tcPr>
          <w:p w14:paraId="4E55643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 (42.9)</w:t>
            </w:r>
          </w:p>
        </w:tc>
      </w:tr>
      <w:tr w:rsidR="00AC4FB6" w:rsidRPr="0049490E" w14:paraId="149C4CA6"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69005889" w14:textId="4A0AB18D"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Biologic</w:t>
            </w:r>
            <w:r w:rsidR="00392E8C">
              <w:rPr>
                <w:rFonts w:ascii="Book Antiqua" w:eastAsiaTheme="minorHAnsi" w:hAnsi="Book Antiqua" w:cs="Arial Narrow"/>
                <w:color w:val="000000"/>
                <w:lang w:val="en-US"/>
              </w:rPr>
              <w:t>s</w:t>
            </w:r>
          </w:p>
        </w:tc>
        <w:tc>
          <w:tcPr>
            <w:tcW w:w="844" w:type="dxa"/>
            <w:shd w:val="clear" w:color="auto" w:fill="auto"/>
          </w:tcPr>
          <w:p w14:paraId="4D515C0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575 (54.4)</w:t>
            </w:r>
          </w:p>
        </w:tc>
        <w:tc>
          <w:tcPr>
            <w:tcW w:w="844" w:type="dxa"/>
            <w:shd w:val="clear" w:color="auto" w:fill="auto"/>
          </w:tcPr>
          <w:p w14:paraId="4543833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164 (48.8)</w:t>
            </w:r>
          </w:p>
        </w:tc>
        <w:tc>
          <w:tcPr>
            <w:tcW w:w="844" w:type="dxa"/>
            <w:shd w:val="clear" w:color="auto" w:fill="auto"/>
          </w:tcPr>
          <w:p w14:paraId="4A0D50D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156 (47.4)</w:t>
            </w:r>
          </w:p>
        </w:tc>
        <w:tc>
          <w:tcPr>
            <w:tcW w:w="843" w:type="dxa"/>
            <w:shd w:val="clear" w:color="auto" w:fill="auto"/>
          </w:tcPr>
          <w:p w14:paraId="7BE3E22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145 (52.2)</w:t>
            </w:r>
          </w:p>
        </w:tc>
        <w:tc>
          <w:tcPr>
            <w:tcW w:w="843" w:type="dxa"/>
            <w:shd w:val="clear" w:color="auto" w:fill="auto"/>
          </w:tcPr>
          <w:p w14:paraId="706726D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153 (55.2)</w:t>
            </w:r>
          </w:p>
        </w:tc>
        <w:tc>
          <w:tcPr>
            <w:tcW w:w="843" w:type="dxa"/>
            <w:shd w:val="clear" w:color="auto" w:fill="auto"/>
          </w:tcPr>
          <w:p w14:paraId="404AD78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95 (43.8)</w:t>
            </w:r>
          </w:p>
        </w:tc>
        <w:tc>
          <w:tcPr>
            <w:tcW w:w="843" w:type="dxa"/>
            <w:shd w:val="clear" w:color="auto" w:fill="auto"/>
          </w:tcPr>
          <w:p w14:paraId="123A6D5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93 (48.9)</w:t>
            </w:r>
          </w:p>
        </w:tc>
        <w:tc>
          <w:tcPr>
            <w:tcW w:w="843" w:type="dxa"/>
            <w:shd w:val="clear" w:color="auto" w:fill="auto"/>
          </w:tcPr>
          <w:p w14:paraId="6682928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87 (47.5)</w:t>
            </w:r>
          </w:p>
        </w:tc>
        <w:tc>
          <w:tcPr>
            <w:tcW w:w="843" w:type="dxa"/>
            <w:shd w:val="clear" w:color="auto" w:fill="auto"/>
          </w:tcPr>
          <w:p w14:paraId="3A3B332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92 (63.9)</w:t>
            </w:r>
          </w:p>
        </w:tc>
        <w:tc>
          <w:tcPr>
            <w:tcW w:w="843" w:type="dxa"/>
            <w:shd w:val="clear" w:color="auto" w:fill="auto"/>
          </w:tcPr>
          <w:p w14:paraId="0C266CA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64 (59.8)</w:t>
            </w:r>
          </w:p>
        </w:tc>
        <w:tc>
          <w:tcPr>
            <w:tcW w:w="959" w:type="dxa"/>
            <w:shd w:val="clear" w:color="auto" w:fill="auto"/>
          </w:tcPr>
          <w:p w14:paraId="39225A4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28 (37.8)</w:t>
            </w:r>
          </w:p>
        </w:tc>
        <w:tc>
          <w:tcPr>
            <w:tcW w:w="844" w:type="dxa"/>
            <w:shd w:val="clear" w:color="auto" w:fill="auto"/>
          </w:tcPr>
          <w:p w14:paraId="75EEC81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29 (50.9)</w:t>
            </w:r>
          </w:p>
        </w:tc>
        <w:tc>
          <w:tcPr>
            <w:tcW w:w="843" w:type="dxa"/>
            <w:shd w:val="clear" w:color="auto" w:fill="auto"/>
          </w:tcPr>
          <w:p w14:paraId="647FC45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29 (59.2)</w:t>
            </w:r>
          </w:p>
        </w:tc>
      </w:tr>
      <w:tr w:rsidR="00AC4FB6" w:rsidRPr="0049490E" w14:paraId="5EC2611B" w14:textId="77777777" w:rsidTr="002D78D4">
        <w:trPr>
          <w:trHeight w:val="300"/>
        </w:trPr>
        <w:tc>
          <w:tcPr>
            <w:tcW w:w="2097" w:type="dxa"/>
            <w:shd w:val="clear" w:color="auto" w:fill="auto"/>
          </w:tcPr>
          <w:p w14:paraId="4B35264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Therapeutic regimen</w:t>
            </w:r>
          </w:p>
        </w:tc>
        <w:tc>
          <w:tcPr>
            <w:tcW w:w="844" w:type="dxa"/>
            <w:shd w:val="clear" w:color="auto" w:fill="auto"/>
          </w:tcPr>
          <w:p w14:paraId="5109CDC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002730C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7A87A0C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402EF11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63E4EE6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609BC65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5314729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527CB7D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15A47FC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62C7C21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959" w:type="dxa"/>
            <w:shd w:val="clear" w:color="auto" w:fill="auto"/>
          </w:tcPr>
          <w:p w14:paraId="246F199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5536B3F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EA3D8D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r>
      <w:tr w:rsidR="00AC4FB6" w:rsidRPr="0049490E" w14:paraId="5F5AABE5"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62144111" w14:textId="174A3A34"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lastRenderedPageBreak/>
              <w:t xml:space="preserve">Oral </w:t>
            </w:r>
            <w:r w:rsidR="00AD58E3" w:rsidRPr="0049490E">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teroid monotherapy</w:t>
            </w:r>
            <w:r w:rsidR="00AD58E3" w:rsidRPr="0049490E">
              <w:rPr>
                <w:rFonts w:ascii="Book Antiqua" w:eastAsiaTheme="minorHAnsi" w:hAnsi="Book Antiqua" w:cs="Arial Narrow"/>
                <w:color w:val="000000"/>
                <w:vertAlign w:val="superscript"/>
                <w:lang w:val="en-US"/>
              </w:rPr>
              <w:t>1</w:t>
            </w:r>
          </w:p>
        </w:tc>
        <w:tc>
          <w:tcPr>
            <w:tcW w:w="844" w:type="dxa"/>
            <w:shd w:val="clear" w:color="auto" w:fill="auto"/>
          </w:tcPr>
          <w:p w14:paraId="3E11177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17 (1.6)</w:t>
            </w:r>
          </w:p>
        </w:tc>
        <w:tc>
          <w:tcPr>
            <w:tcW w:w="844" w:type="dxa"/>
            <w:shd w:val="clear" w:color="auto" w:fill="auto"/>
          </w:tcPr>
          <w:p w14:paraId="30BE3ED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(4.2)</w:t>
            </w:r>
          </w:p>
        </w:tc>
        <w:tc>
          <w:tcPr>
            <w:tcW w:w="844" w:type="dxa"/>
            <w:shd w:val="clear" w:color="auto" w:fill="auto"/>
          </w:tcPr>
          <w:p w14:paraId="0D7CCB2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(2.4)</w:t>
            </w:r>
          </w:p>
        </w:tc>
        <w:tc>
          <w:tcPr>
            <w:tcW w:w="843" w:type="dxa"/>
            <w:shd w:val="clear" w:color="auto" w:fill="auto"/>
          </w:tcPr>
          <w:p w14:paraId="078AF20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(1.8)</w:t>
            </w:r>
          </w:p>
        </w:tc>
        <w:tc>
          <w:tcPr>
            <w:tcW w:w="843" w:type="dxa"/>
            <w:shd w:val="clear" w:color="auto" w:fill="auto"/>
          </w:tcPr>
          <w:p w14:paraId="78740CB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(0.7)</w:t>
            </w:r>
          </w:p>
        </w:tc>
        <w:tc>
          <w:tcPr>
            <w:tcW w:w="843" w:type="dxa"/>
            <w:shd w:val="clear" w:color="auto" w:fill="auto"/>
          </w:tcPr>
          <w:p w14:paraId="1718092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(3.7)</w:t>
            </w:r>
          </w:p>
        </w:tc>
        <w:tc>
          <w:tcPr>
            <w:tcW w:w="843" w:type="dxa"/>
            <w:shd w:val="clear" w:color="auto" w:fill="auto"/>
          </w:tcPr>
          <w:p w14:paraId="10247DE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(6.3)</w:t>
            </w:r>
          </w:p>
        </w:tc>
        <w:tc>
          <w:tcPr>
            <w:tcW w:w="843" w:type="dxa"/>
            <w:shd w:val="clear" w:color="auto" w:fill="auto"/>
          </w:tcPr>
          <w:p w14:paraId="62FDF09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(2.2)</w:t>
            </w:r>
          </w:p>
        </w:tc>
        <w:tc>
          <w:tcPr>
            <w:tcW w:w="843" w:type="dxa"/>
            <w:shd w:val="clear" w:color="auto" w:fill="auto"/>
          </w:tcPr>
          <w:p w14:paraId="430482A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(0.7)</w:t>
            </w:r>
          </w:p>
        </w:tc>
        <w:tc>
          <w:tcPr>
            <w:tcW w:w="843" w:type="dxa"/>
            <w:shd w:val="clear" w:color="auto" w:fill="auto"/>
          </w:tcPr>
          <w:p w14:paraId="1F148B9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(0.9)</w:t>
            </w:r>
          </w:p>
        </w:tc>
        <w:tc>
          <w:tcPr>
            <w:tcW w:w="959" w:type="dxa"/>
            <w:shd w:val="clear" w:color="auto" w:fill="auto"/>
          </w:tcPr>
          <w:p w14:paraId="723D158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(4.1)</w:t>
            </w:r>
          </w:p>
        </w:tc>
        <w:tc>
          <w:tcPr>
            <w:tcW w:w="844" w:type="dxa"/>
            <w:shd w:val="clear" w:color="auto" w:fill="auto"/>
          </w:tcPr>
          <w:p w14:paraId="2C6F8973" w14:textId="57F89DB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43" w:type="dxa"/>
            <w:shd w:val="clear" w:color="auto" w:fill="auto"/>
          </w:tcPr>
          <w:p w14:paraId="4DF8DD9D" w14:textId="014F2E5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AC4FB6" w:rsidRPr="0049490E" w14:paraId="6644C366" w14:textId="77777777" w:rsidTr="002D78D4">
        <w:trPr>
          <w:trHeight w:val="300"/>
        </w:trPr>
        <w:tc>
          <w:tcPr>
            <w:tcW w:w="2097" w:type="dxa"/>
            <w:shd w:val="clear" w:color="auto" w:fill="auto"/>
          </w:tcPr>
          <w:p w14:paraId="3481648E" w14:textId="4EF5183A"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5-ASA monotherapy</w:t>
            </w:r>
            <w:r w:rsidR="00AD58E3" w:rsidRPr="0049490E">
              <w:rPr>
                <w:rFonts w:ascii="Book Antiqua" w:eastAsiaTheme="minorHAnsi" w:hAnsi="Book Antiqua" w:cs="Arial Narrow"/>
                <w:color w:val="000000"/>
                <w:vertAlign w:val="superscript"/>
                <w:lang w:val="en-US"/>
              </w:rPr>
              <w:t>1</w:t>
            </w:r>
          </w:p>
        </w:tc>
        <w:tc>
          <w:tcPr>
            <w:tcW w:w="844" w:type="dxa"/>
            <w:shd w:val="clear" w:color="auto" w:fill="auto"/>
          </w:tcPr>
          <w:p w14:paraId="62FB78C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212 (20.1)</w:t>
            </w:r>
          </w:p>
        </w:tc>
        <w:tc>
          <w:tcPr>
            <w:tcW w:w="844" w:type="dxa"/>
            <w:shd w:val="clear" w:color="auto" w:fill="auto"/>
          </w:tcPr>
          <w:p w14:paraId="64560273" w14:textId="5B14228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57 (17</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52A8D58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67 (20.4)</w:t>
            </w:r>
          </w:p>
        </w:tc>
        <w:tc>
          <w:tcPr>
            <w:tcW w:w="843" w:type="dxa"/>
            <w:shd w:val="clear" w:color="auto" w:fill="auto"/>
          </w:tcPr>
          <w:p w14:paraId="3214C7D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67 (24.1)</w:t>
            </w:r>
          </w:p>
        </w:tc>
        <w:tc>
          <w:tcPr>
            <w:tcW w:w="843" w:type="dxa"/>
            <w:shd w:val="clear" w:color="auto" w:fill="auto"/>
          </w:tcPr>
          <w:p w14:paraId="6243E34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49 (17.7)</w:t>
            </w:r>
          </w:p>
        </w:tc>
        <w:tc>
          <w:tcPr>
            <w:tcW w:w="843" w:type="dxa"/>
            <w:shd w:val="clear" w:color="auto" w:fill="auto"/>
          </w:tcPr>
          <w:p w14:paraId="617379B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68 (31.3)</w:t>
            </w:r>
          </w:p>
        </w:tc>
        <w:tc>
          <w:tcPr>
            <w:tcW w:w="843" w:type="dxa"/>
            <w:shd w:val="clear" w:color="auto" w:fill="auto"/>
          </w:tcPr>
          <w:p w14:paraId="2610D6D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45 (23.7)</w:t>
            </w:r>
          </w:p>
        </w:tc>
        <w:tc>
          <w:tcPr>
            <w:tcW w:w="843" w:type="dxa"/>
            <w:shd w:val="clear" w:color="auto" w:fill="auto"/>
          </w:tcPr>
          <w:p w14:paraId="6F0ED7E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46 (25.1)</w:t>
            </w:r>
          </w:p>
        </w:tc>
        <w:tc>
          <w:tcPr>
            <w:tcW w:w="843" w:type="dxa"/>
            <w:shd w:val="clear" w:color="auto" w:fill="auto"/>
          </w:tcPr>
          <w:p w14:paraId="277CFAE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(7.6)</w:t>
            </w:r>
          </w:p>
        </w:tc>
        <w:tc>
          <w:tcPr>
            <w:tcW w:w="843" w:type="dxa"/>
            <w:shd w:val="clear" w:color="auto" w:fill="auto"/>
          </w:tcPr>
          <w:p w14:paraId="00B1544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(11.2)</w:t>
            </w:r>
          </w:p>
        </w:tc>
        <w:tc>
          <w:tcPr>
            <w:tcW w:w="959" w:type="dxa"/>
            <w:shd w:val="clear" w:color="auto" w:fill="auto"/>
          </w:tcPr>
          <w:p w14:paraId="2DFB90D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23 (31.1)</w:t>
            </w:r>
          </w:p>
        </w:tc>
        <w:tc>
          <w:tcPr>
            <w:tcW w:w="844" w:type="dxa"/>
            <w:shd w:val="clear" w:color="auto" w:fill="auto"/>
          </w:tcPr>
          <w:p w14:paraId="26EF9E6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(21.1)</w:t>
            </w:r>
          </w:p>
        </w:tc>
        <w:tc>
          <w:tcPr>
            <w:tcW w:w="843" w:type="dxa"/>
            <w:shd w:val="clear" w:color="auto" w:fill="auto"/>
          </w:tcPr>
          <w:p w14:paraId="519BEFA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(28.6)</w:t>
            </w:r>
          </w:p>
        </w:tc>
      </w:tr>
      <w:tr w:rsidR="00AC4FB6" w:rsidRPr="0049490E" w14:paraId="4775A20F"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7709025C" w14:textId="61485CE3"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 xml:space="preserve">5-ASA + </w:t>
            </w:r>
            <w:r w:rsidR="006E3426" w:rsidRPr="0049490E">
              <w:rPr>
                <w:rFonts w:ascii="Book Antiqua" w:eastAsiaTheme="minorHAnsi" w:hAnsi="Book Antiqua" w:cs="Arial Narrow"/>
                <w:color w:val="000000"/>
                <w:lang w:val="en-US"/>
              </w:rPr>
              <w:t>oral steroids</w:t>
            </w:r>
            <w:r w:rsidR="006E3426" w:rsidRPr="0049490E">
              <w:rPr>
                <w:rFonts w:ascii="Book Antiqua" w:eastAsiaTheme="minorHAnsi" w:hAnsi="Book Antiqua" w:cs="Arial Narrow"/>
                <w:color w:val="000000"/>
                <w:vertAlign w:val="superscript"/>
                <w:lang w:val="en-US"/>
              </w:rPr>
              <w:t>2</w:t>
            </w:r>
          </w:p>
        </w:tc>
        <w:tc>
          <w:tcPr>
            <w:tcW w:w="844" w:type="dxa"/>
            <w:shd w:val="clear" w:color="auto" w:fill="auto"/>
          </w:tcPr>
          <w:p w14:paraId="2FAC694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39 (18.4)</w:t>
            </w:r>
          </w:p>
        </w:tc>
        <w:tc>
          <w:tcPr>
            <w:tcW w:w="844" w:type="dxa"/>
            <w:shd w:val="clear" w:color="auto" w:fill="auto"/>
          </w:tcPr>
          <w:p w14:paraId="044E9066" w14:textId="05400F36"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(7</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55064BD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(13.4)</w:t>
            </w:r>
          </w:p>
        </w:tc>
        <w:tc>
          <w:tcPr>
            <w:tcW w:w="843" w:type="dxa"/>
            <w:shd w:val="clear" w:color="auto" w:fill="auto"/>
          </w:tcPr>
          <w:p w14:paraId="6D98F03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(17.9)</w:t>
            </w:r>
          </w:p>
        </w:tc>
        <w:tc>
          <w:tcPr>
            <w:tcW w:w="843" w:type="dxa"/>
            <w:shd w:val="clear" w:color="auto" w:fill="auto"/>
          </w:tcPr>
          <w:p w14:paraId="1F4552A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(10.2)</w:t>
            </w:r>
          </w:p>
        </w:tc>
        <w:tc>
          <w:tcPr>
            <w:tcW w:w="843" w:type="dxa"/>
            <w:shd w:val="clear" w:color="auto" w:fill="auto"/>
          </w:tcPr>
          <w:p w14:paraId="4180286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(16.2)</w:t>
            </w:r>
          </w:p>
        </w:tc>
        <w:tc>
          <w:tcPr>
            <w:tcW w:w="843" w:type="dxa"/>
            <w:shd w:val="clear" w:color="auto" w:fill="auto"/>
          </w:tcPr>
          <w:p w14:paraId="6C9BEF6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(11.1)</w:t>
            </w:r>
          </w:p>
        </w:tc>
        <w:tc>
          <w:tcPr>
            <w:tcW w:w="843" w:type="dxa"/>
            <w:shd w:val="clear" w:color="auto" w:fill="auto"/>
          </w:tcPr>
          <w:p w14:paraId="353C54C1" w14:textId="2167242E"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(13</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668C403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(9.1)</w:t>
            </w:r>
          </w:p>
        </w:tc>
        <w:tc>
          <w:tcPr>
            <w:tcW w:w="843" w:type="dxa"/>
            <w:shd w:val="clear" w:color="auto" w:fill="auto"/>
          </w:tcPr>
          <w:p w14:paraId="2D88382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p>
        </w:tc>
        <w:tc>
          <w:tcPr>
            <w:tcW w:w="959" w:type="dxa"/>
            <w:shd w:val="clear" w:color="auto" w:fill="auto"/>
          </w:tcPr>
          <w:p w14:paraId="5DDDFBA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(4.3)</w:t>
            </w:r>
          </w:p>
        </w:tc>
        <w:tc>
          <w:tcPr>
            <w:tcW w:w="844" w:type="dxa"/>
            <w:shd w:val="clear" w:color="auto" w:fill="auto"/>
          </w:tcPr>
          <w:p w14:paraId="280C930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p>
        </w:tc>
        <w:tc>
          <w:tcPr>
            <w:tcW w:w="843" w:type="dxa"/>
            <w:shd w:val="clear" w:color="auto" w:fill="auto"/>
          </w:tcPr>
          <w:p w14:paraId="05707CE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(42.9)</w:t>
            </w:r>
          </w:p>
        </w:tc>
      </w:tr>
      <w:tr w:rsidR="00AC4FB6" w:rsidRPr="0049490E" w14:paraId="4C1E0D25" w14:textId="77777777" w:rsidTr="002D78D4">
        <w:trPr>
          <w:trHeight w:val="300"/>
        </w:trPr>
        <w:tc>
          <w:tcPr>
            <w:tcW w:w="2097" w:type="dxa"/>
            <w:shd w:val="clear" w:color="auto" w:fill="auto"/>
          </w:tcPr>
          <w:p w14:paraId="06D6ED00" w14:textId="38D602D6"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lang w:val="en-US"/>
              </w:rPr>
            </w:pPr>
            <w:r w:rsidRPr="0049490E">
              <w:rPr>
                <w:rFonts w:ascii="Book Antiqua" w:eastAsiaTheme="minorHAnsi" w:hAnsi="Book Antiqua" w:cs="Arial Narrow"/>
                <w:color w:val="000000"/>
                <w:lang w:val="en-US"/>
              </w:rPr>
              <w:t>AZA/6-MP/MTX monotherapy</w:t>
            </w:r>
            <w:r w:rsidR="00AD58E3" w:rsidRPr="0049490E">
              <w:rPr>
                <w:rFonts w:ascii="Book Antiqua" w:eastAsiaTheme="minorHAnsi" w:hAnsi="Book Antiqua" w:cs="Arial Narrow"/>
                <w:color w:val="000000"/>
                <w:vertAlign w:val="superscript"/>
                <w:lang w:val="en-US"/>
              </w:rPr>
              <w:t>1</w:t>
            </w:r>
          </w:p>
        </w:tc>
        <w:tc>
          <w:tcPr>
            <w:tcW w:w="844" w:type="dxa"/>
            <w:shd w:val="clear" w:color="auto" w:fill="auto"/>
          </w:tcPr>
          <w:p w14:paraId="7E4EBA6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141 (13.3)</w:t>
            </w:r>
          </w:p>
        </w:tc>
        <w:tc>
          <w:tcPr>
            <w:tcW w:w="844" w:type="dxa"/>
            <w:shd w:val="clear" w:color="auto" w:fill="auto"/>
          </w:tcPr>
          <w:p w14:paraId="2D52752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61 (18.2)</w:t>
            </w:r>
          </w:p>
        </w:tc>
        <w:tc>
          <w:tcPr>
            <w:tcW w:w="844" w:type="dxa"/>
            <w:shd w:val="clear" w:color="auto" w:fill="auto"/>
          </w:tcPr>
          <w:p w14:paraId="4F657B1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72 (21.9)</w:t>
            </w:r>
          </w:p>
        </w:tc>
        <w:tc>
          <w:tcPr>
            <w:tcW w:w="843" w:type="dxa"/>
            <w:shd w:val="clear" w:color="auto" w:fill="auto"/>
          </w:tcPr>
          <w:p w14:paraId="032FE8FE" w14:textId="17C1430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39 (14</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6009FE4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45 (16.2)</w:t>
            </w:r>
          </w:p>
        </w:tc>
        <w:tc>
          <w:tcPr>
            <w:tcW w:w="843" w:type="dxa"/>
            <w:shd w:val="clear" w:color="auto" w:fill="auto"/>
          </w:tcPr>
          <w:p w14:paraId="7A6C2DB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30 (13.8)</w:t>
            </w:r>
          </w:p>
        </w:tc>
        <w:tc>
          <w:tcPr>
            <w:tcW w:w="843" w:type="dxa"/>
            <w:shd w:val="clear" w:color="auto" w:fill="auto"/>
          </w:tcPr>
          <w:p w14:paraId="2322294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24 (12.6)</w:t>
            </w:r>
          </w:p>
        </w:tc>
        <w:tc>
          <w:tcPr>
            <w:tcW w:w="843" w:type="dxa"/>
            <w:shd w:val="clear" w:color="auto" w:fill="auto"/>
          </w:tcPr>
          <w:p w14:paraId="70978A2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31 (16.9)</w:t>
            </w:r>
          </w:p>
        </w:tc>
        <w:tc>
          <w:tcPr>
            <w:tcW w:w="843" w:type="dxa"/>
            <w:shd w:val="clear" w:color="auto" w:fill="auto"/>
          </w:tcPr>
          <w:p w14:paraId="009BB47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25 (17.4)</w:t>
            </w:r>
          </w:p>
        </w:tc>
        <w:tc>
          <w:tcPr>
            <w:tcW w:w="843" w:type="dxa"/>
            <w:shd w:val="clear" w:color="auto" w:fill="auto"/>
          </w:tcPr>
          <w:p w14:paraId="7066F8F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24 (22.4)</w:t>
            </w:r>
          </w:p>
        </w:tc>
        <w:tc>
          <w:tcPr>
            <w:tcW w:w="959" w:type="dxa"/>
            <w:shd w:val="clear" w:color="auto" w:fill="auto"/>
          </w:tcPr>
          <w:p w14:paraId="396B183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(20.3)</w:t>
            </w:r>
          </w:p>
        </w:tc>
        <w:tc>
          <w:tcPr>
            <w:tcW w:w="844" w:type="dxa"/>
            <w:shd w:val="clear" w:color="auto" w:fill="auto"/>
          </w:tcPr>
          <w:p w14:paraId="5C8CE99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(15.8)</w:t>
            </w:r>
          </w:p>
        </w:tc>
        <w:tc>
          <w:tcPr>
            <w:tcW w:w="843" w:type="dxa"/>
            <w:shd w:val="clear" w:color="auto" w:fill="auto"/>
          </w:tcPr>
          <w:p w14:paraId="24EA507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(10.2)</w:t>
            </w:r>
          </w:p>
        </w:tc>
      </w:tr>
      <w:tr w:rsidR="00AC4FB6" w:rsidRPr="0049490E" w14:paraId="729EEB1A"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37EB2074" w14:textId="13854221"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AZA/6-MP/MTX +</w:t>
            </w:r>
            <w:r w:rsidR="006E3426" w:rsidRPr="0049490E">
              <w:rPr>
                <w:rFonts w:ascii="Book Antiqua" w:eastAsiaTheme="minorHAnsi" w:hAnsi="Book Antiqua" w:cs="Arial Narrow"/>
                <w:color w:val="000000"/>
                <w:lang w:val="en-US"/>
              </w:rPr>
              <w:t xml:space="preserve"> oral steroids</w:t>
            </w:r>
            <w:r w:rsidR="006E3426" w:rsidRPr="0049490E">
              <w:rPr>
                <w:rFonts w:ascii="Book Antiqua" w:eastAsiaTheme="minorHAnsi" w:hAnsi="Book Antiqua" w:cs="Arial Narrow"/>
                <w:color w:val="000000"/>
                <w:vertAlign w:val="superscript"/>
                <w:lang w:val="en-US"/>
              </w:rPr>
              <w:t>2</w:t>
            </w:r>
          </w:p>
        </w:tc>
        <w:tc>
          <w:tcPr>
            <w:tcW w:w="844" w:type="dxa"/>
            <w:shd w:val="clear" w:color="auto" w:fill="auto"/>
          </w:tcPr>
          <w:p w14:paraId="5248DE1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28 (19.9)</w:t>
            </w:r>
          </w:p>
        </w:tc>
        <w:tc>
          <w:tcPr>
            <w:tcW w:w="844" w:type="dxa"/>
            <w:shd w:val="clear" w:color="auto" w:fill="auto"/>
          </w:tcPr>
          <w:p w14:paraId="507C7A3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(19.7)</w:t>
            </w:r>
          </w:p>
        </w:tc>
        <w:tc>
          <w:tcPr>
            <w:tcW w:w="844" w:type="dxa"/>
            <w:shd w:val="clear" w:color="auto" w:fill="auto"/>
          </w:tcPr>
          <w:p w14:paraId="526A28E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(15.3)</w:t>
            </w:r>
          </w:p>
        </w:tc>
        <w:tc>
          <w:tcPr>
            <w:tcW w:w="843" w:type="dxa"/>
            <w:shd w:val="clear" w:color="auto" w:fill="auto"/>
          </w:tcPr>
          <w:p w14:paraId="4DAF652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(5.1)</w:t>
            </w:r>
          </w:p>
        </w:tc>
        <w:tc>
          <w:tcPr>
            <w:tcW w:w="843" w:type="dxa"/>
            <w:shd w:val="clear" w:color="auto" w:fill="auto"/>
          </w:tcPr>
          <w:p w14:paraId="5CC971F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(22.2)</w:t>
            </w:r>
          </w:p>
        </w:tc>
        <w:tc>
          <w:tcPr>
            <w:tcW w:w="843" w:type="dxa"/>
            <w:shd w:val="clear" w:color="auto" w:fill="auto"/>
          </w:tcPr>
          <w:p w14:paraId="372541C2" w14:textId="6C651489"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(20</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2B58781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(12.5)</w:t>
            </w:r>
          </w:p>
        </w:tc>
        <w:tc>
          <w:tcPr>
            <w:tcW w:w="843" w:type="dxa"/>
            <w:shd w:val="clear" w:color="auto" w:fill="auto"/>
          </w:tcPr>
          <w:p w14:paraId="7C0397D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(6.5)</w:t>
            </w:r>
          </w:p>
        </w:tc>
        <w:tc>
          <w:tcPr>
            <w:tcW w:w="843" w:type="dxa"/>
            <w:shd w:val="clear" w:color="auto" w:fill="auto"/>
          </w:tcPr>
          <w:p w14:paraId="30E5079F" w14:textId="15E7341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(8</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5D62239F" w14:textId="049F4BA0"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(25</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959" w:type="dxa"/>
            <w:shd w:val="clear" w:color="auto" w:fill="auto"/>
          </w:tcPr>
          <w:p w14:paraId="18FD61D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(13.3)</w:t>
            </w:r>
          </w:p>
        </w:tc>
        <w:tc>
          <w:tcPr>
            <w:tcW w:w="844" w:type="dxa"/>
            <w:shd w:val="clear" w:color="auto" w:fill="auto"/>
          </w:tcPr>
          <w:p w14:paraId="4B9EDE6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(22.2)</w:t>
            </w:r>
          </w:p>
        </w:tc>
        <w:tc>
          <w:tcPr>
            <w:tcW w:w="843" w:type="dxa"/>
            <w:shd w:val="clear" w:color="auto" w:fill="auto"/>
          </w:tcPr>
          <w:p w14:paraId="28C6EDD6" w14:textId="1BAA687E"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AC4FB6" w:rsidRPr="0049490E" w14:paraId="14754C5A" w14:textId="77777777" w:rsidTr="002D78D4">
        <w:trPr>
          <w:trHeight w:val="300"/>
        </w:trPr>
        <w:tc>
          <w:tcPr>
            <w:tcW w:w="2097" w:type="dxa"/>
            <w:shd w:val="clear" w:color="auto" w:fill="auto"/>
          </w:tcPr>
          <w:p w14:paraId="55AE45C5" w14:textId="46078900"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Biologic monotherapy</w:t>
            </w:r>
            <w:r w:rsidR="00F81494" w:rsidRPr="0049490E">
              <w:rPr>
                <w:rFonts w:ascii="Book Antiqua" w:eastAsiaTheme="minorHAnsi" w:hAnsi="Book Antiqua" w:cs="Arial Narrow"/>
                <w:color w:val="000000"/>
                <w:vertAlign w:val="superscript"/>
                <w:lang w:val="en-US"/>
              </w:rPr>
              <w:t>1</w:t>
            </w:r>
          </w:p>
        </w:tc>
        <w:tc>
          <w:tcPr>
            <w:tcW w:w="844" w:type="dxa"/>
            <w:shd w:val="clear" w:color="auto" w:fill="auto"/>
          </w:tcPr>
          <w:p w14:paraId="19B7843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408 (38.6)</w:t>
            </w:r>
          </w:p>
        </w:tc>
        <w:tc>
          <w:tcPr>
            <w:tcW w:w="844" w:type="dxa"/>
            <w:shd w:val="clear" w:color="auto" w:fill="auto"/>
          </w:tcPr>
          <w:p w14:paraId="3056F55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124 (36.9)</w:t>
            </w:r>
          </w:p>
        </w:tc>
        <w:tc>
          <w:tcPr>
            <w:tcW w:w="844" w:type="dxa"/>
            <w:shd w:val="clear" w:color="auto" w:fill="auto"/>
          </w:tcPr>
          <w:p w14:paraId="130DC9A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98 (29.8)</w:t>
            </w:r>
          </w:p>
        </w:tc>
        <w:tc>
          <w:tcPr>
            <w:tcW w:w="843" w:type="dxa"/>
            <w:shd w:val="clear" w:color="auto" w:fill="auto"/>
          </w:tcPr>
          <w:p w14:paraId="12FE632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91 (32.7)</w:t>
            </w:r>
          </w:p>
        </w:tc>
        <w:tc>
          <w:tcPr>
            <w:tcW w:w="843" w:type="dxa"/>
            <w:shd w:val="clear" w:color="auto" w:fill="auto"/>
          </w:tcPr>
          <w:p w14:paraId="442F050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103 (37.2)</w:t>
            </w:r>
          </w:p>
        </w:tc>
        <w:tc>
          <w:tcPr>
            <w:tcW w:w="843" w:type="dxa"/>
            <w:shd w:val="clear" w:color="auto" w:fill="auto"/>
          </w:tcPr>
          <w:p w14:paraId="5AE0649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54 (24.9)</w:t>
            </w:r>
          </w:p>
        </w:tc>
        <w:tc>
          <w:tcPr>
            <w:tcW w:w="843" w:type="dxa"/>
            <w:shd w:val="clear" w:color="auto" w:fill="auto"/>
          </w:tcPr>
          <w:p w14:paraId="6D7FAB2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66 (34.7)</w:t>
            </w:r>
          </w:p>
        </w:tc>
        <w:tc>
          <w:tcPr>
            <w:tcW w:w="843" w:type="dxa"/>
            <w:shd w:val="clear" w:color="auto" w:fill="auto"/>
          </w:tcPr>
          <w:p w14:paraId="55D6D1A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50 (27.3)</w:t>
            </w:r>
          </w:p>
        </w:tc>
        <w:tc>
          <w:tcPr>
            <w:tcW w:w="843" w:type="dxa"/>
            <w:shd w:val="clear" w:color="auto" w:fill="auto"/>
          </w:tcPr>
          <w:p w14:paraId="2D35307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55 (38.2)</w:t>
            </w:r>
          </w:p>
        </w:tc>
        <w:tc>
          <w:tcPr>
            <w:tcW w:w="843" w:type="dxa"/>
            <w:shd w:val="clear" w:color="auto" w:fill="auto"/>
          </w:tcPr>
          <w:p w14:paraId="6C90D4F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36 (33.6)</w:t>
            </w:r>
          </w:p>
        </w:tc>
        <w:tc>
          <w:tcPr>
            <w:tcW w:w="959" w:type="dxa"/>
            <w:shd w:val="clear" w:color="auto" w:fill="auto"/>
          </w:tcPr>
          <w:p w14:paraId="0B46E71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(21.6)</w:t>
            </w:r>
          </w:p>
        </w:tc>
        <w:tc>
          <w:tcPr>
            <w:tcW w:w="844" w:type="dxa"/>
            <w:shd w:val="clear" w:color="auto" w:fill="auto"/>
          </w:tcPr>
          <w:p w14:paraId="3A1D263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 (36.8)</w:t>
            </w:r>
          </w:p>
        </w:tc>
        <w:tc>
          <w:tcPr>
            <w:tcW w:w="843" w:type="dxa"/>
            <w:shd w:val="clear" w:color="auto" w:fill="auto"/>
          </w:tcPr>
          <w:p w14:paraId="0B4FEE4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(26.5)</w:t>
            </w:r>
          </w:p>
        </w:tc>
      </w:tr>
      <w:tr w:rsidR="00AC4FB6" w:rsidRPr="0049490E" w14:paraId="49EE2ED0"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72FEC666" w14:textId="2BACDE52"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 xml:space="preserve">Biologic + </w:t>
            </w:r>
            <w:r w:rsidR="006E3426" w:rsidRPr="0049490E">
              <w:rPr>
                <w:rFonts w:ascii="Book Antiqua" w:eastAsiaTheme="minorHAnsi" w:hAnsi="Book Antiqua" w:cs="Arial Narrow"/>
                <w:color w:val="000000"/>
                <w:lang w:val="en-US"/>
              </w:rPr>
              <w:t>o</w:t>
            </w:r>
            <w:r w:rsidRPr="0049490E">
              <w:rPr>
                <w:rFonts w:ascii="Book Antiqua" w:eastAsiaTheme="minorHAnsi" w:hAnsi="Book Antiqua" w:cs="Arial Narrow"/>
                <w:color w:val="000000"/>
                <w:lang w:val="en-US"/>
              </w:rPr>
              <w:t xml:space="preserve">ral </w:t>
            </w:r>
            <w:r w:rsidR="006E3426" w:rsidRPr="0049490E">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teroids</w:t>
            </w:r>
            <w:r w:rsidR="00F81494" w:rsidRPr="0049490E">
              <w:rPr>
                <w:rFonts w:ascii="Book Antiqua" w:eastAsiaTheme="minorHAnsi" w:hAnsi="Book Antiqua" w:cs="Arial Narrow"/>
                <w:color w:val="000000"/>
                <w:vertAlign w:val="superscript"/>
                <w:lang w:val="en-US"/>
              </w:rPr>
              <w:t>2</w:t>
            </w:r>
          </w:p>
        </w:tc>
        <w:tc>
          <w:tcPr>
            <w:tcW w:w="844" w:type="dxa"/>
            <w:shd w:val="clear" w:color="auto" w:fill="auto"/>
          </w:tcPr>
          <w:p w14:paraId="330E2F9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 (5.1)</w:t>
            </w:r>
          </w:p>
        </w:tc>
        <w:tc>
          <w:tcPr>
            <w:tcW w:w="844" w:type="dxa"/>
            <w:shd w:val="clear" w:color="auto" w:fill="auto"/>
          </w:tcPr>
          <w:p w14:paraId="42457DE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17 (13.7)</w:t>
            </w:r>
          </w:p>
        </w:tc>
        <w:tc>
          <w:tcPr>
            <w:tcW w:w="844" w:type="dxa"/>
            <w:shd w:val="clear" w:color="auto" w:fill="auto"/>
          </w:tcPr>
          <w:p w14:paraId="7EFC58B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18 (18.4)</w:t>
            </w:r>
          </w:p>
        </w:tc>
        <w:tc>
          <w:tcPr>
            <w:tcW w:w="843" w:type="dxa"/>
            <w:shd w:val="clear" w:color="auto" w:fill="auto"/>
          </w:tcPr>
          <w:p w14:paraId="31E4551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(6.6)</w:t>
            </w:r>
          </w:p>
        </w:tc>
        <w:tc>
          <w:tcPr>
            <w:tcW w:w="843" w:type="dxa"/>
            <w:shd w:val="clear" w:color="auto" w:fill="auto"/>
          </w:tcPr>
          <w:p w14:paraId="1FA17A3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(8.7)</w:t>
            </w:r>
          </w:p>
        </w:tc>
        <w:tc>
          <w:tcPr>
            <w:tcW w:w="843" w:type="dxa"/>
            <w:shd w:val="clear" w:color="auto" w:fill="auto"/>
          </w:tcPr>
          <w:p w14:paraId="10DAA3E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(3.7)</w:t>
            </w:r>
          </w:p>
        </w:tc>
        <w:tc>
          <w:tcPr>
            <w:tcW w:w="843" w:type="dxa"/>
            <w:shd w:val="clear" w:color="auto" w:fill="auto"/>
          </w:tcPr>
          <w:p w14:paraId="2ECE2AB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(7.6)</w:t>
            </w:r>
          </w:p>
        </w:tc>
        <w:tc>
          <w:tcPr>
            <w:tcW w:w="843" w:type="dxa"/>
            <w:shd w:val="clear" w:color="auto" w:fill="auto"/>
          </w:tcPr>
          <w:p w14:paraId="364A3E06" w14:textId="1939A5C2"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(10</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593A29D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(7.3)</w:t>
            </w:r>
          </w:p>
        </w:tc>
        <w:tc>
          <w:tcPr>
            <w:tcW w:w="843" w:type="dxa"/>
            <w:shd w:val="clear" w:color="auto" w:fill="auto"/>
          </w:tcPr>
          <w:p w14:paraId="2764301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(5.6)</w:t>
            </w:r>
          </w:p>
        </w:tc>
        <w:tc>
          <w:tcPr>
            <w:tcW w:w="959" w:type="dxa"/>
            <w:shd w:val="clear" w:color="auto" w:fill="auto"/>
          </w:tcPr>
          <w:p w14:paraId="4996B0E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(18.8)</w:t>
            </w:r>
          </w:p>
        </w:tc>
        <w:tc>
          <w:tcPr>
            <w:tcW w:w="844" w:type="dxa"/>
            <w:shd w:val="clear" w:color="auto" w:fill="auto"/>
          </w:tcPr>
          <w:p w14:paraId="350DB57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(4.8)</w:t>
            </w:r>
          </w:p>
        </w:tc>
        <w:tc>
          <w:tcPr>
            <w:tcW w:w="843" w:type="dxa"/>
            <w:shd w:val="clear" w:color="auto" w:fill="auto"/>
          </w:tcPr>
          <w:p w14:paraId="69F7290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(7.7)</w:t>
            </w:r>
          </w:p>
        </w:tc>
      </w:tr>
      <w:tr w:rsidR="00AC4FB6" w:rsidRPr="0049490E" w14:paraId="55242346" w14:textId="77777777" w:rsidTr="002D78D4">
        <w:trPr>
          <w:trHeight w:val="300"/>
        </w:trPr>
        <w:tc>
          <w:tcPr>
            <w:tcW w:w="2097" w:type="dxa"/>
            <w:shd w:val="clear" w:color="auto" w:fill="auto"/>
          </w:tcPr>
          <w:p w14:paraId="5186B4A8" w14:textId="34BFE519"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Combo therapy</w:t>
            </w:r>
            <w:r w:rsidR="00F81494" w:rsidRPr="0049490E">
              <w:rPr>
                <w:rFonts w:ascii="Book Antiqua" w:eastAsiaTheme="minorHAnsi" w:hAnsi="Book Antiqua" w:cs="Arial Narrow"/>
                <w:color w:val="000000"/>
                <w:vertAlign w:val="superscript"/>
                <w:lang w:val="en-US"/>
              </w:rPr>
              <w:t>3</w:t>
            </w:r>
          </w:p>
        </w:tc>
        <w:tc>
          <w:tcPr>
            <w:tcW w:w="844" w:type="dxa"/>
            <w:shd w:val="clear" w:color="auto" w:fill="auto"/>
          </w:tcPr>
          <w:p w14:paraId="37CD7BB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167 (15.8)</w:t>
            </w:r>
          </w:p>
        </w:tc>
        <w:tc>
          <w:tcPr>
            <w:tcW w:w="844" w:type="dxa"/>
            <w:shd w:val="clear" w:color="auto" w:fill="auto"/>
          </w:tcPr>
          <w:p w14:paraId="6110819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40 (11.9)</w:t>
            </w:r>
          </w:p>
        </w:tc>
        <w:tc>
          <w:tcPr>
            <w:tcW w:w="844" w:type="dxa"/>
            <w:shd w:val="clear" w:color="auto" w:fill="auto"/>
          </w:tcPr>
          <w:p w14:paraId="51482A5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58 (17.6)</w:t>
            </w:r>
          </w:p>
        </w:tc>
        <w:tc>
          <w:tcPr>
            <w:tcW w:w="843" w:type="dxa"/>
            <w:shd w:val="clear" w:color="auto" w:fill="auto"/>
          </w:tcPr>
          <w:p w14:paraId="588E079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54 (19.4)</w:t>
            </w:r>
          </w:p>
        </w:tc>
        <w:tc>
          <w:tcPr>
            <w:tcW w:w="843" w:type="dxa"/>
            <w:shd w:val="clear" w:color="auto" w:fill="auto"/>
          </w:tcPr>
          <w:p w14:paraId="5BC591C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50 (18.1)</w:t>
            </w:r>
          </w:p>
        </w:tc>
        <w:tc>
          <w:tcPr>
            <w:tcW w:w="843" w:type="dxa"/>
            <w:shd w:val="clear" w:color="auto" w:fill="auto"/>
          </w:tcPr>
          <w:p w14:paraId="4576776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41 (18.9)</w:t>
            </w:r>
          </w:p>
        </w:tc>
        <w:tc>
          <w:tcPr>
            <w:tcW w:w="843" w:type="dxa"/>
            <w:shd w:val="clear" w:color="auto" w:fill="auto"/>
          </w:tcPr>
          <w:p w14:paraId="6CCF8AC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27 (14.2)</w:t>
            </w:r>
          </w:p>
        </w:tc>
        <w:tc>
          <w:tcPr>
            <w:tcW w:w="843" w:type="dxa"/>
            <w:shd w:val="clear" w:color="auto" w:fill="auto"/>
          </w:tcPr>
          <w:p w14:paraId="710BBE6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37 (20.2)</w:t>
            </w:r>
          </w:p>
        </w:tc>
        <w:tc>
          <w:tcPr>
            <w:tcW w:w="843" w:type="dxa"/>
            <w:shd w:val="clear" w:color="auto" w:fill="auto"/>
          </w:tcPr>
          <w:p w14:paraId="6A941B4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37 (25.7)</w:t>
            </w:r>
          </w:p>
        </w:tc>
        <w:tc>
          <w:tcPr>
            <w:tcW w:w="843" w:type="dxa"/>
            <w:shd w:val="clear" w:color="auto" w:fill="auto"/>
          </w:tcPr>
          <w:p w14:paraId="4EE6827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28 (26.2)</w:t>
            </w:r>
          </w:p>
        </w:tc>
        <w:tc>
          <w:tcPr>
            <w:tcW w:w="959" w:type="dxa"/>
            <w:shd w:val="clear" w:color="auto" w:fill="auto"/>
          </w:tcPr>
          <w:p w14:paraId="7C28517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(16.2)</w:t>
            </w:r>
          </w:p>
        </w:tc>
        <w:tc>
          <w:tcPr>
            <w:tcW w:w="844" w:type="dxa"/>
            <w:shd w:val="clear" w:color="auto" w:fill="auto"/>
          </w:tcPr>
          <w:p w14:paraId="31C95510" w14:textId="2727E3DD"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(14</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13D107C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(32.7)</w:t>
            </w:r>
          </w:p>
        </w:tc>
      </w:tr>
      <w:tr w:rsidR="00AC4FB6" w:rsidRPr="0049490E" w14:paraId="3250B011"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666A274B" w14:textId="6015C648"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lastRenderedPageBreak/>
              <w:t>Combo therapy</w:t>
            </w:r>
            <w:r w:rsidR="00F81494" w:rsidRPr="0049490E">
              <w:rPr>
                <w:rFonts w:ascii="Book Antiqua" w:eastAsiaTheme="minorHAnsi" w:hAnsi="Book Antiqua" w:cs="Arial Narrow"/>
                <w:color w:val="000000"/>
                <w:vertAlign w:val="superscript"/>
                <w:lang w:val="en-US"/>
              </w:rPr>
              <w:t>3</w:t>
            </w:r>
            <w:r w:rsidRPr="0049490E">
              <w:rPr>
                <w:rFonts w:ascii="Book Antiqua" w:eastAsiaTheme="minorHAnsi" w:hAnsi="Book Antiqua" w:cs="Arial Narrow"/>
                <w:color w:val="000000"/>
                <w:lang w:val="en-US"/>
              </w:rPr>
              <w:t xml:space="preserve"> + </w:t>
            </w:r>
            <w:bookmarkStart w:id="2" w:name="OLE_LINK8"/>
            <w:r w:rsidR="006E3426" w:rsidRPr="0049490E">
              <w:rPr>
                <w:rFonts w:ascii="Book Antiqua" w:eastAsiaTheme="minorHAnsi" w:hAnsi="Book Antiqua" w:cs="Arial Narrow"/>
                <w:color w:val="000000"/>
                <w:lang w:val="en-US"/>
              </w:rPr>
              <w:t>oral steroids</w:t>
            </w:r>
            <w:bookmarkEnd w:id="2"/>
            <w:r w:rsidR="00F81494" w:rsidRPr="0049490E">
              <w:rPr>
                <w:rFonts w:ascii="Book Antiqua" w:eastAsiaTheme="minorHAnsi" w:hAnsi="Book Antiqua" w:cs="Arial Narrow"/>
                <w:color w:val="000000"/>
                <w:vertAlign w:val="superscript"/>
                <w:lang w:val="en-US"/>
              </w:rPr>
              <w:t>2</w:t>
            </w:r>
          </w:p>
        </w:tc>
        <w:tc>
          <w:tcPr>
            <w:tcW w:w="844" w:type="dxa"/>
            <w:shd w:val="clear" w:color="auto" w:fill="auto"/>
          </w:tcPr>
          <w:p w14:paraId="1172538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32 (19.2)</w:t>
            </w:r>
          </w:p>
        </w:tc>
        <w:tc>
          <w:tcPr>
            <w:tcW w:w="844" w:type="dxa"/>
            <w:shd w:val="clear" w:color="auto" w:fill="auto"/>
          </w:tcPr>
          <w:p w14:paraId="69FBD98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(7.5)</w:t>
            </w:r>
          </w:p>
        </w:tc>
        <w:tc>
          <w:tcPr>
            <w:tcW w:w="844" w:type="dxa"/>
            <w:shd w:val="clear" w:color="auto" w:fill="auto"/>
          </w:tcPr>
          <w:p w14:paraId="7DD50EA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(10.3)</w:t>
            </w:r>
          </w:p>
        </w:tc>
        <w:tc>
          <w:tcPr>
            <w:tcW w:w="843" w:type="dxa"/>
            <w:shd w:val="clear" w:color="auto" w:fill="auto"/>
          </w:tcPr>
          <w:p w14:paraId="71A0B546" w14:textId="57C85AF9"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(13</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3D5721B6" w14:textId="6DD2044F"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(8</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52B51084"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(17.1)</w:t>
            </w:r>
          </w:p>
        </w:tc>
        <w:tc>
          <w:tcPr>
            <w:tcW w:w="843" w:type="dxa"/>
            <w:shd w:val="clear" w:color="auto" w:fill="auto"/>
          </w:tcPr>
          <w:p w14:paraId="07478A2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(7.4)</w:t>
            </w:r>
          </w:p>
        </w:tc>
        <w:tc>
          <w:tcPr>
            <w:tcW w:w="843" w:type="dxa"/>
            <w:shd w:val="clear" w:color="auto" w:fill="auto"/>
          </w:tcPr>
          <w:p w14:paraId="5E8B806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(16.2)</w:t>
            </w:r>
          </w:p>
        </w:tc>
        <w:tc>
          <w:tcPr>
            <w:tcW w:w="843" w:type="dxa"/>
            <w:shd w:val="clear" w:color="auto" w:fill="auto"/>
          </w:tcPr>
          <w:p w14:paraId="28C932B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(5.4)</w:t>
            </w:r>
          </w:p>
        </w:tc>
        <w:tc>
          <w:tcPr>
            <w:tcW w:w="843" w:type="dxa"/>
            <w:shd w:val="clear" w:color="auto" w:fill="auto"/>
          </w:tcPr>
          <w:p w14:paraId="49ABDE7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(21.4)</w:t>
            </w:r>
          </w:p>
        </w:tc>
        <w:tc>
          <w:tcPr>
            <w:tcW w:w="959" w:type="dxa"/>
            <w:shd w:val="clear" w:color="auto" w:fill="auto"/>
          </w:tcPr>
          <w:p w14:paraId="61824D5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p>
        </w:tc>
        <w:tc>
          <w:tcPr>
            <w:tcW w:w="844" w:type="dxa"/>
            <w:shd w:val="clear" w:color="auto" w:fill="auto"/>
          </w:tcPr>
          <w:p w14:paraId="5EDE528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(12.5)</w:t>
            </w:r>
          </w:p>
        </w:tc>
        <w:tc>
          <w:tcPr>
            <w:tcW w:w="843" w:type="dxa"/>
            <w:shd w:val="clear" w:color="auto" w:fill="auto"/>
          </w:tcPr>
          <w:p w14:paraId="12110745" w14:textId="7637C00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AC4FB6" w:rsidRPr="0049490E" w14:paraId="3560EC1E" w14:textId="77777777" w:rsidTr="002D78D4">
        <w:trPr>
          <w:trHeight w:val="300"/>
        </w:trPr>
        <w:tc>
          <w:tcPr>
            <w:tcW w:w="2097" w:type="dxa"/>
            <w:shd w:val="clear" w:color="auto" w:fill="auto"/>
          </w:tcPr>
          <w:p w14:paraId="5C7F5963" w14:textId="35218FC8"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Risk </w:t>
            </w:r>
            <w:r w:rsidR="00F81494" w:rsidRPr="0049490E">
              <w:rPr>
                <w:rFonts w:ascii="Book Antiqua" w:eastAsiaTheme="minorHAnsi" w:hAnsi="Book Antiqua" w:cs="Arial Narrow"/>
                <w:color w:val="000000"/>
                <w:lang w:val="en-US"/>
              </w:rPr>
              <w:t>c</w:t>
            </w:r>
            <w:r w:rsidRPr="0049490E">
              <w:rPr>
                <w:rFonts w:ascii="Book Antiqua" w:eastAsiaTheme="minorHAnsi" w:hAnsi="Book Antiqua" w:cs="Arial Narrow"/>
                <w:color w:val="000000"/>
                <w:lang w:val="en-US"/>
              </w:rPr>
              <w:t>lassification</w:t>
            </w:r>
          </w:p>
        </w:tc>
        <w:tc>
          <w:tcPr>
            <w:tcW w:w="844" w:type="dxa"/>
            <w:shd w:val="clear" w:color="auto" w:fill="auto"/>
          </w:tcPr>
          <w:p w14:paraId="1C95034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1BACA71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499322C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CAAFF9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371B498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CDF759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13AEDD4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366BA1D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5A2CA60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7DEA03C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959" w:type="dxa"/>
            <w:shd w:val="clear" w:color="auto" w:fill="auto"/>
          </w:tcPr>
          <w:p w14:paraId="159ED93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4" w:type="dxa"/>
            <w:shd w:val="clear" w:color="auto" w:fill="auto"/>
          </w:tcPr>
          <w:p w14:paraId="09FF94D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c>
          <w:tcPr>
            <w:tcW w:w="843" w:type="dxa"/>
            <w:shd w:val="clear" w:color="auto" w:fill="auto"/>
          </w:tcPr>
          <w:p w14:paraId="2CFE5DC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p>
        </w:tc>
      </w:tr>
      <w:tr w:rsidR="00AC4FB6" w:rsidRPr="0049490E" w14:paraId="6B156383"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97" w:type="dxa"/>
            <w:shd w:val="clear" w:color="auto" w:fill="auto"/>
          </w:tcPr>
          <w:p w14:paraId="624F1DA7" w14:textId="3CBFC73F"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Low</w:t>
            </w:r>
          </w:p>
        </w:tc>
        <w:tc>
          <w:tcPr>
            <w:tcW w:w="844" w:type="dxa"/>
            <w:shd w:val="clear" w:color="auto" w:fill="auto"/>
          </w:tcPr>
          <w:p w14:paraId="103178F2" w14:textId="65651694"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221 (21</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54F9974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71 (21.1)</w:t>
            </w:r>
          </w:p>
        </w:tc>
        <w:tc>
          <w:tcPr>
            <w:tcW w:w="844" w:type="dxa"/>
            <w:shd w:val="clear" w:color="auto" w:fill="auto"/>
          </w:tcPr>
          <w:p w14:paraId="062C936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67 (20.4)</w:t>
            </w:r>
          </w:p>
        </w:tc>
        <w:tc>
          <w:tcPr>
            <w:tcW w:w="843" w:type="dxa"/>
            <w:shd w:val="clear" w:color="auto" w:fill="auto"/>
          </w:tcPr>
          <w:p w14:paraId="772064E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65 (23.4)</w:t>
            </w:r>
          </w:p>
        </w:tc>
        <w:tc>
          <w:tcPr>
            <w:tcW w:w="843" w:type="dxa"/>
            <w:shd w:val="clear" w:color="auto" w:fill="auto"/>
          </w:tcPr>
          <w:p w14:paraId="30CC0DD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53 (19.1)</w:t>
            </w:r>
          </w:p>
        </w:tc>
        <w:tc>
          <w:tcPr>
            <w:tcW w:w="843" w:type="dxa"/>
            <w:shd w:val="clear" w:color="auto" w:fill="auto"/>
          </w:tcPr>
          <w:p w14:paraId="1F3BF129"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51 (23.5)</w:t>
            </w:r>
          </w:p>
        </w:tc>
        <w:tc>
          <w:tcPr>
            <w:tcW w:w="843" w:type="dxa"/>
            <w:shd w:val="clear" w:color="auto" w:fill="auto"/>
          </w:tcPr>
          <w:p w14:paraId="599F75A1"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50 (26.3)</w:t>
            </w:r>
          </w:p>
        </w:tc>
        <w:tc>
          <w:tcPr>
            <w:tcW w:w="843" w:type="dxa"/>
            <w:shd w:val="clear" w:color="auto" w:fill="auto"/>
          </w:tcPr>
          <w:p w14:paraId="5570831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46 (25.1)</w:t>
            </w:r>
          </w:p>
        </w:tc>
        <w:tc>
          <w:tcPr>
            <w:tcW w:w="843" w:type="dxa"/>
            <w:shd w:val="clear" w:color="auto" w:fill="auto"/>
          </w:tcPr>
          <w:p w14:paraId="586309B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(10.4)</w:t>
            </w:r>
          </w:p>
        </w:tc>
        <w:tc>
          <w:tcPr>
            <w:tcW w:w="843" w:type="dxa"/>
            <w:shd w:val="clear" w:color="auto" w:fill="auto"/>
          </w:tcPr>
          <w:p w14:paraId="6A796A74" w14:textId="52F6AC4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(15</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959" w:type="dxa"/>
            <w:shd w:val="clear" w:color="auto" w:fill="auto"/>
          </w:tcPr>
          <w:p w14:paraId="4EF5D954" w14:textId="2166B9A8"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20 (27</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4" w:type="dxa"/>
            <w:shd w:val="clear" w:color="auto" w:fill="auto"/>
          </w:tcPr>
          <w:p w14:paraId="489F48A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(19.3)</w:t>
            </w:r>
          </w:p>
        </w:tc>
        <w:tc>
          <w:tcPr>
            <w:tcW w:w="843" w:type="dxa"/>
            <w:shd w:val="clear" w:color="auto" w:fill="auto"/>
          </w:tcPr>
          <w:p w14:paraId="21B3000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(22.4)</w:t>
            </w:r>
          </w:p>
        </w:tc>
      </w:tr>
      <w:tr w:rsidR="00AC4FB6" w:rsidRPr="0049490E" w14:paraId="4B0C855E" w14:textId="77777777" w:rsidTr="002D78D4">
        <w:trPr>
          <w:trHeight w:val="300"/>
        </w:trPr>
        <w:tc>
          <w:tcPr>
            <w:tcW w:w="2097" w:type="dxa"/>
            <w:shd w:val="clear" w:color="auto" w:fill="auto"/>
          </w:tcPr>
          <w:p w14:paraId="2E97774D" w14:textId="0E25E7CB"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Medium</w:t>
            </w:r>
          </w:p>
        </w:tc>
        <w:tc>
          <w:tcPr>
            <w:tcW w:w="844" w:type="dxa"/>
            <w:shd w:val="clear" w:color="auto" w:fill="auto"/>
          </w:tcPr>
          <w:p w14:paraId="03C88F3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579 (54.8)</w:t>
            </w:r>
          </w:p>
        </w:tc>
        <w:tc>
          <w:tcPr>
            <w:tcW w:w="844" w:type="dxa"/>
            <w:shd w:val="clear" w:color="auto" w:fill="auto"/>
          </w:tcPr>
          <w:p w14:paraId="402B7E2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184 (54.8)</w:t>
            </w:r>
          </w:p>
        </w:tc>
        <w:tc>
          <w:tcPr>
            <w:tcW w:w="844" w:type="dxa"/>
            <w:shd w:val="clear" w:color="auto" w:fill="auto"/>
          </w:tcPr>
          <w:p w14:paraId="5F92C4E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193 (58.7)</w:t>
            </w:r>
          </w:p>
        </w:tc>
        <w:tc>
          <w:tcPr>
            <w:tcW w:w="843" w:type="dxa"/>
            <w:shd w:val="clear" w:color="auto" w:fill="auto"/>
          </w:tcPr>
          <w:p w14:paraId="1C99AB7D" w14:textId="324D00A3"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139 (50</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4E54A9C2"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156 (56.3)</w:t>
            </w:r>
          </w:p>
        </w:tc>
        <w:tc>
          <w:tcPr>
            <w:tcW w:w="843" w:type="dxa"/>
            <w:shd w:val="clear" w:color="auto" w:fill="auto"/>
          </w:tcPr>
          <w:p w14:paraId="21015F08"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118 (54.4)</w:t>
            </w:r>
          </w:p>
        </w:tc>
        <w:tc>
          <w:tcPr>
            <w:tcW w:w="843" w:type="dxa"/>
            <w:shd w:val="clear" w:color="auto" w:fill="auto"/>
          </w:tcPr>
          <w:p w14:paraId="4CA76A6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91 (47.9)</w:t>
            </w:r>
          </w:p>
        </w:tc>
        <w:tc>
          <w:tcPr>
            <w:tcW w:w="843" w:type="dxa"/>
            <w:shd w:val="clear" w:color="auto" w:fill="auto"/>
          </w:tcPr>
          <w:p w14:paraId="4DAAE476" w14:textId="5417DE1B"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108 (59</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shd w:val="clear" w:color="auto" w:fill="auto"/>
          </w:tcPr>
          <w:p w14:paraId="300B6F4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86 (59.7)</w:t>
            </w:r>
          </w:p>
        </w:tc>
        <w:tc>
          <w:tcPr>
            <w:tcW w:w="843" w:type="dxa"/>
            <w:shd w:val="clear" w:color="auto" w:fill="auto"/>
          </w:tcPr>
          <w:p w14:paraId="41B93D5A"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62 (57.9)</w:t>
            </w:r>
          </w:p>
        </w:tc>
        <w:tc>
          <w:tcPr>
            <w:tcW w:w="959" w:type="dxa"/>
            <w:shd w:val="clear" w:color="auto" w:fill="auto"/>
          </w:tcPr>
          <w:p w14:paraId="7A738CDE"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40 (54.1)</w:t>
            </w:r>
          </w:p>
        </w:tc>
        <w:tc>
          <w:tcPr>
            <w:tcW w:w="844" w:type="dxa"/>
            <w:shd w:val="clear" w:color="auto" w:fill="auto"/>
          </w:tcPr>
          <w:p w14:paraId="3DF0256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40 (70.2)</w:t>
            </w:r>
          </w:p>
        </w:tc>
        <w:tc>
          <w:tcPr>
            <w:tcW w:w="843" w:type="dxa"/>
            <w:shd w:val="clear" w:color="auto" w:fill="auto"/>
          </w:tcPr>
          <w:p w14:paraId="40D874FB" w14:textId="3CCFCF9C"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24 (49</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r>
      <w:tr w:rsidR="00AC4FB6" w:rsidRPr="0049490E" w14:paraId="552299F0" w14:textId="77777777" w:rsidTr="002D78D4">
        <w:trPr>
          <w:cnfStyle w:val="000000100000" w:firstRow="0" w:lastRow="0" w:firstColumn="0" w:lastColumn="0" w:oddVBand="0" w:evenVBand="0" w:oddHBand="1" w:evenHBand="0" w:firstRowFirstColumn="0" w:firstRowLastColumn="0" w:lastRowFirstColumn="0" w:lastRowLastColumn="0"/>
          <w:trHeight w:val="320"/>
        </w:trPr>
        <w:tc>
          <w:tcPr>
            <w:tcW w:w="2097" w:type="dxa"/>
            <w:tcBorders>
              <w:bottom w:val="single" w:sz="4" w:space="0" w:color="auto"/>
            </w:tcBorders>
            <w:shd w:val="clear" w:color="auto" w:fill="auto"/>
          </w:tcPr>
          <w:p w14:paraId="3A654C3A" w14:textId="77777777" w:rsidR="00AC4FB6" w:rsidRPr="0049490E" w:rsidRDefault="00AC4FB6" w:rsidP="0049490E">
            <w:pPr>
              <w:autoSpaceDE w:val="0"/>
              <w:autoSpaceDN w:val="0"/>
              <w:adjustRightInd w:val="0"/>
              <w:spacing w:before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High</w:t>
            </w:r>
          </w:p>
        </w:tc>
        <w:tc>
          <w:tcPr>
            <w:tcW w:w="844" w:type="dxa"/>
            <w:tcBorders>
              <w:bottom w:val="single" w:sz="4" w:space="0" w:color="auto"/>
            </w:tcBorders>
            <w:shd w:val="clear" w:color="auto" w:fill="auto"/>
          </w:tcPr>
          <w:p w14:paraId="5B2A282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256 (24.8)</w:t>
            </w:r>
          </w:p>
        </w:tc>
        <w:tc>
          <w:tcPr>
            <w:tcW w:w="844" w:type="dxa"/>
            <w:tcBorders>
              <w:bottom w:val="single" w:sz="4" w:space="0" w:color="auto"/>
            </w:tcBorders>
            <w:shd w:val="clear" w:color="auto" w:fill="auto"/>
          </w:tcPr>
          <w:p w14:paraId="7B54681D"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81 (24.1)</w:t>
            </w:r>
          </w:p>
        </w:tc>
        <w:tc>
          <w:tcPr>
            <w:tcW w:w="844" w:type="dxa"/>
            <w:tcBorders>
              <w:bottom w:val="single" w:sz="4" w:space="0" w:color="auto"/>
            </w:tcBorders>
            <w:shd w:val="clear" w:color="auto" w:fill="auto"/>
          </w:tcPr>
          <w:p w14:paraId="702B26F4" w14:textId="75747A2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69 (21</w:t>
            </w:r>
            <w:r w:rsidR="00215C27">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43" w:type="dxa"/>
            <w:tcBorders>
              <w:bottom w:val="single" w:sz="4" w:space="0" w:color="auto"/>
            </w:tcBorders>
            <w:shd w:val="clear" w:color="auto" w:fill="auto"/>
          </w:tcPr>
          <w:p w14:paraId="428259BF"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74 (26.6)</w:t>
            </w:r>
          </w:p>
        </w:tc>
        <w:tc>
          <w:tcPr>
            <w:tcW w:w="843" w:type="dxa"/>
            <w:tcBorders>
              <w:bottom w:val="single" w:sz="4" w:space="0" w:color="auto"/>
            </w:tcBorders>
            <w:shd w:val="clear" w:color="auto" w:fill="auto"/>
          </w:tcPr>
          <w:p w14:paraId="1DB9DF0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68 (24.5)</w:t>
            </w:r>
          </w:p>
        </w:tc>
        <w:tc>
          <w:tcPr>
            <w:tcW w:w="843" w:type="dxa"/>
            <w:tcBorders>
              <w:bottom w:val="single" w:sz="4" w:space="0" w:color="auto"/>
            </w:tcBorders>
            <w:shd w:val="clear" w:color="auto" w:fill="auto"/>
          </w:tcPr>
          <w:p w14:paraId="7EAD3BC5"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48 (22.1)</w:t>
            </w:r>
          </w:p>
        </w:tc>
        <w:tc>
          <w:tcPr>
            <w:tcW w:w="843" w:type="dxa"/>
            <w:tcBorders>
              <w:bottom w:val="single" w:sz="4" w:space="0" w:color="auto"/>
            </w:tcBorders>
            <w:shd w:val="clear" w:color="auto" w:fill="auto"/>
          </w:tcPr>
          <w:p w14:paraId="56DAF1EC"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49 (25.8)</w:t>
            </w:r>
          </w:p>
        </w:tc>
        <w:tc>
          <w:tcPr>
            <w:tcW w:w="843" w:type="dxa"/>
            <w:tcBorders>
              <w:bottom w:val="single" w:sz="4" w:space="0" w:color="auto"/>
            </w:tcBorders>
            <w:shd w:val="clear" w:color="auto" w:fill="auto"/>
          </w:tcPr>
          <w:p w14:paraId="287FC03B"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29 (15.8)</w:t>
            </w:r>
          </w:p>
        </w:tc>
        <w:tc>
          <w:tcPr>
            <w:tcW w:w="843" w:type="dxa"/>
            <w:tcBorders>
              <w:bottom w:val="single" w:sz="4" w:space="0" w:color="auto"/>
            </w:tcBorders>
            <w:shd w:val="clear" w:color="auto" w:fill="auto"/>
          </w:tcPr>
          <w:p w14:paraId="47FE549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43 (29.9)</w:t>
            </w:r>
          </w:p>
        </w:tc>
        <w:tc>
          <w:tcPr>
            <w:tcW w:w="843" w:type="dxa"/>
            <w:tcBorders>
              <w:bottom w:val="single" w:sz="4" w:space="0" w:color="auto"/>
            </w:tcBorders>
            <w:shd w:val="clear" w:color="auto" w:fill="auto"/>
          </w:tcPr>
          <w:p w14:paraId="02FF6DA3"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29 (27.1)</w:t>
            </w:r>
          </w:p>
        </w:tc>
        <w:tc>
          <w:tcPr>
            <w:tcW w:w="959" w:type="dxa"/>
            <w:tcBorders>
              <w:bottom w:val="single" w:sz="4" w:space="0" w:color="auto"/>
            </w:tcBorders>
            <w:shd w:val="clear" w:color="auto" w:fill="auto"/>
          </w:tcPr>
          <w:p w14:paraId="1C1DBEB7"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(18.9)</w:t>
            </w:r>
          </w:p>
        </w:tc>
        <w:tc>
          <w:tcPr>
            <w:tcW w:w="844" w:type="dxa"/>
            <w:tcBorders>
              <w:bottom w:val="single" w:sz="4" w:space="0" w:color="auto"/>
            </w:tcBorders>
            <w:shd w:val="clear" w:color="auto" w:fill="auto"/>
          </w:tcPr>
          <w:p w14:paraId="3C2A2450"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(10.5)</w:t>
            </w:r>
          </w:p>
        </w:tc>
        <w:tc>
          <w:tcPr>
            <w:tcW w:w="843" w:type="dxa"/>
            <w:tcBorders>
              <w:bottom w:val="single" w:sz="4" w:space="0" w:color="auto"/>
            </w:tcBorders>
            <w:shd w:val="clear" w:color="auto" w:fill="auto"/>
          </w:tcPr>
          <w:p w14:paraId="37BFD386" w14:textId="77777777" w:rsidR="00AC4FB6" w:rsidRPr="0049490E" w:rsidRDefault="00AC4FB6" w:rsidP="0049490E">
            <w:pPr>
              <w:autoSpaceDE w:val="0"/>
              <w:autoSpaceDN w:val="0"/>
              <w:adjustRightInd w:val="0"/>
              <w:spacing w:before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(28.6)</w:t>
            </w:r>
          </w:p>
        </w:tc>
      </w:tr>
    </w:tbl>
    <w:p w14:paraId="7DFF35B2" w14:textId="08F10FF3" w:rsidR="00AC4FB6" w:rsidRPr="0049490E" w:rsidRDefault="00F81494" w:rsidP="0049490E">
      <w:pPr>
        <w:spacing w:line="360" w:lineRule="auto"/>
        <w:jc w:val="both"/>
        <w:rPr>
          <w:rFonts w:ascii="Book Antiqua" w:eastAsia="Book Antiqua" w:hAnsi="Book Antiqua" w:cs="Book Antiqua"/>
          <w:color w:val="000000"/>
        </w:rPr>
      </w:pPr>
      <w:r w:rsidRPr="0049490E">
        <w:rPr>
          <w:rFonts w:ascii="Book Antiqua" w:hAnsi="Book Antiqua"/>
          <w:vertAlign w:val="superscript"/>
        </w:rPr>
        <w:t>1</w:t>
      </w:r>
      <w:r w:rsidRPr="0049490E">
        <w:rPr>
          <w:rFonts w:ascii="Book Antiqua" w:hAnsi="Book Antiqua"/>
        </w:rPr>
        <w:t xml:space="preserve">Monotherapy indicates no concomitant biologics or </w:t>
      </w:r>
      <w:r w:rsidR="006E3426" w:rsidRPr="0049490E">
        <w:rPr>
          <w:rFonts w:ascii="Book Antiqua" w:hAnsi="Book Antiqua"/>
        </w:rPr>
        <w:t>aminosalicylates/6-mercaptopurine/methotrexate;</w:t>
      </w:r>
      <w:r w:rsidRPr="0049490E">
        <w:rPr>
          <w:rFonts w:ascii="Book Antiqua" w:hAnsi="Book Antiqua"/>
        </w:rPr>
        <w:t xml:space="preserve"> </w:t>
      </w:r>
      <w:r w:rsidRPr="0049490E">
        <w:rPr>
          <w:rFonts w:ascii="Book Antiqua" w:hAnsi="Book Antiqua"/>
          <w:vertAlign w:val="superscript"/>
          <w:lang w:eastAsia="zh-CN"/>
        </w:rPr>
        <w:t>2</w:t>
      </w:r>
      <w:r w:rsidRPr="0049490E">
        <w:rPr>
          <w:rFonts w:ascii="Book Antiqua" w:hAnsi="Book Antiqua"/>
        </w:rPr>
        <w:t xml:space="preserve">These subcategories represent the frequency of patients in each therapeutic regimen requiring oral steroids. </w:t>
      </w:r>
      <w:r w:rsidRPr="0049490E">
        <w:rPr>
          <w:rFonts w:ascii="Book Antiqua" w:hAnsi="Book Antiqua"/>
          <w:vertAlign w:val="superscript"/>
          <w:lang w:eastAsia="zh-CN"/>
        </w:rPr>
        <w:t>3</w:t>
      </w:r>
      <w:r w:rsidRPr="0049490E">
        <w:rPr>
          <w:rFonts w:ascii="Book Antiqua" w:hAnsi="Book Antiqua"/>
        </w:rPr>
        <w:t xml:space="preserve">Combo therapy refers to biologics plus </w:t>
      </w:r>
      <w:r w:rsidR="005F5264" w:rsidRPr="0049490E">
        <w:rPr>
          <w:rFonts w:ascii="Book Antiqua" w:hAnsi="Book Antiqua"/>
        </w:rPr>
        <w:t>aminosalicylates/6-mercaptopurine/methotrexate</w:t>
      </w:r>
      <w:r w:rsidRPr="0049490E">
        <w:rPr>
          <w:rFonts w:ascii="Book Antiqua" w:hAnsi="Book Antiqua"/>
        </w:rPr>
        <w:t>. 5-ASA: Aminosalic</w:t>
      </w:r>
      <w:r w:rsidR="005F5264">
        <w:rPr>
          <w:rFonts w:ascii="Book Antiqua" w:hAnsi="Book Antiqua"/>
        </w:rPr>
        <w:t>y</w:t>
      </w:r>
      <w:r w:rsidRPr="0049490E">
        <w:rPr>
          <w:rFonts w:ascii="Book Antiqua" w:hAnsi="Book Antiqua"/>
        </w:rPr>
        <w:t>lates; AZA: Azathioprine; 6-MP: 6-Mercaptopurine; MTX: Methotrexate</w:t>
      </w:r>
      <w:r w:rsidR="006E3426" w:rsidRPr="0049490E">
        <w:rPr>
          <w:rFonts w:ascii="Book Antiqua" w:hAnsi="Book Antiqua"/>
        </w:rPr>
        <w:t xml:space="preserve">; </w:t>
      </w:r>
      <w:r w:rsidR="006E3426" w:rsidRPr="0049490E">
        <w:rPr>
          <w:rFonts w:ascii="Book Antiqua" w:eastAsia="Book Antiqua" w:hAnsi="Book Antiqua" w:cs="Book Antiqua"/>
          <w:color w:val="000000"/>
        </w:rPr>
        <w:t>IBD: Inflammatory bowel disease.</w:t>
      </w:r>
    </w:p>
    <w:p w14:paraId="4B83C9E6" w14:textId="22FD85E4" w:rsidR="00521142" w:rsidRPr="0049490E" w:rsidRDefault="00AC4FB6" w:rsidP="0049490E">
      <w:pPr>
        <w:spacing w:line="360" w:lineRule="auto"/>
        <w:jc w:val="both"/>
        <w:rPr>
          <w:rFonts w:ascii="Book Antiqua" w:hAnsi="Book Antiqua"/>
          <w:b/>
          <w:bCs/>
        </w:rPr>
      </w:pPr>
      <w:r w:rsidRPr="0049490E">
        <w:rPr>
          <w:rFonts w:ascii="Book Antiqua" w:hAnsi="Book Antiqua"/>
        </w:rPr>
        <w:br w:type="page"/>
      </w:r>
      <w:r w:rsidR="00C14D1B" w:rsidRPr="0049490E">
        <w:rPr>
          <w:rFonts w:ascii="Book Antiqua" w:hAnsi="Book Antiqua"/>
          <w:b/>
          <w:bCs/>
        </w:rPr>
        <w:lastRenderedPageBreak/>
        <w:t xml:space="preserve">Table </w:t>
      </w:r>
      <w:r w:rsidRPr="0049490E">
        <w:rPr>
          <w:rFonts w:ascii="Book Antiqua" w:hAnsi="Book Antiqua"/>
          <w:b/>
          <w:bCs/>
        </w:rPr>
        <w:t>4</w:t>
      </w:r>
      <w:r w:rsidR="00C14D1B" w:rsidRPr="0049490E">
        <w:rPr>
          <w:rFonts w:ascii="Book Antiqua" w:hAnsi="Book Antiqua"/>
          <w:b/>
          <w:bCs/>
        </w:rPr>
        <w:t xml:space="preserve"> Demographic, clinical and treatment characteristics by states in Brazil</w:t>
      </w:r>
      <w:r w:rsidR="002D78D4" w:rsidRPr="0049490E">
        <w:rPr>
          <w:rFonts w:ascii="Book Antiqua" w:hAnsi="Book Antiqua"/>
          <w:b/>
          <w:bCs/>
        </w:rPr>
        <w:t xml:space="preserve"> (continuation of Table 3)</w:t>
      </w:r>
    </w:p>
    <w:tbl>
      <w:tblPr>
        <w:tblStyle w:val="TabelaSimples51"/>
        <w:tblW w:w="5000" w:type="pct"/>
        <w:tblLayout w:type="fixed"/>
        <w:tblLook w:val="0400" w:firstRow="0" w:lastRow="0" w:firstColumn="0" w:lastColumn="0" w:noHBand="0" w:noVBand="1"/>
      </w:tblPr>
      <w:tblGrid>
        <w:gridCol w:w="2021"/>
        <w:gridCol w:w="717"/>
        <w:gridCol w:w="819"/>
        <w:gridCol w:w="812"/>
        <w:gridCol w:w="819"/>
        <w:gridCol w:w="819"/>
        <w:gridCol w:w="820"/>
        <w:gridCol w:w="825"/>
        <w:gridCol w:w="703"/>
        <w:gridCol w:w="820"/>
        <w:gridCol w:w="928"/>
        <w:gridCol w:w="709"/>
        <w:gridCol w:w="710"/>
        <w:gridCol w:w="709"/>
        <w:gridCol w:w="729"/>
      </w:tblGrid>
      <w:tr w:rsidR="00C14D1B" w:rsidRPr="0049490E" w14:paraId="0D54D86A" w14:textId="77777777" w:rsidTr="002D78D4">
        <w:trPr>
          <w:cnfStyle w:val="000000100000" w:firstRow="0" w:lastRow="0" w:firstColumn="0" w:lastColumn="0" w:oddVBand="0" w:evenVBand="0" w:oddHBand="1" w:evenHBand="0" w:firstRowFirstColumn="0" w:firstRowLastColumn="0" w:lastRowFirstColumn="0" w:lastRowLastColumn="0"/>
          <w:trHeight w:val="440"/>
        </w:trPr>
        <w:tc>
          <w:tcPr>
            <w:tcW w:w="2063" w:type="dxa"/>
            <w:vMerge w:val="restart"/>
            <w:tcBorders>
              <w:top w:val="single" w:sz="4" w:space="0" w:color="auto"/>
              <w:bottom w:val="single" w:sz="4" w:space="0" w:color="auto"/>
            </w:tcBorders>
            <w:shd w:val="clear" w:color="auto" w:fill="auto"/>
          </w:tcPr>
          <w:p w14:paraId="389B9074"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hAnsi="Book Antiqua" w:cstheme="minorHAnsi"/>
                <w:b/>
                <w:bCs/>
                <w:lang w:val="en-US"/>
              </w:rPr>
              <w:t>Characteristics</w:t>
            </w:r>
          </w:p>
        </w:tc>
        <w:tc>
          <w:tcPr>
            <w:tcW w:w="729" w:type="dxa"/>
            <w:tcBorders>
              <w:top w:val="single" w:sz="4" w:space="0" w:color="auto"/>
              <w:bottom w:val="single" w:sz="4" w:space="0" w:color="auto"/>
            </w:tcBorders>
            <w:shd w:val="clear" w:color="auto" w:fill="auto"/>
          </w:tcPr>
          <w:p w14:paraId="43017EB8" w14:textId="10F79319"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Piauí</w:t>
            </w:r>
          </w:p>
        </w:tc>
        <w:tc>
          <w:tcPr>
            <w:tcW w:w="832" w:type="dxa"/>
            <w:tcBorders>
              <w:top w:val="single" w:sz="4" w:space="0" w:color="auto"/>
              <w:bottom w:val="single" w:sz="4" w:space="0" w:color="auto"/>
            </w:tcBorders>
            <w:shd w:val="clear" w:color="auto" w:fill="auto"/>
          </w:tcPr>
          <w:p w14:paraId="2B6724BF" w14:textId="0296BBD0"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Amazonas</w:t>
            </w:r>
          </w:p>
        </w:tc>
        <w:tc>
          <w:tcPr>
            <w:tcW w:w="825" w:type="dxa"/>
            <w:tcBorders>
              <w:top w:val="single" w:sz="4" w:space="0" w:color="auto"/>
              <w:bottom w:val="single" w:sz="4" w:space="0" w:color="auto"/>
            </w:tcBorders>
            <w:shd w:val="clear" w:color="auto" w:fill="auto"/>
          </w:tcPr>
          <w:p w14:paraId="2EF98D4D" w14:textId="4795EC1C"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Pará</w:t>
            </w:r>
          </w:p>
        </w:tc>
        <w:tc>
          <w:tcPr>
            <w:tcW w:w="832" w:type="dxa"/>
            <w:tcBorders>
              <w:top w:val="single" w:sz="4" w:space="0" w:color="auto"/>
              <w:bottom w:val="single" w:sz="4" w:space="0" w:color="auto"/>
            </w:tcBorders>
            <w:shd w:val="clear" w:color="auto" w:fill="auto"/>
          </w:tcPr>
          <w:p w14:paraId="36AE9B9D"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Alagoas</w:t>
            </w:r>
          </w:p>
        </w:tc>
        <w:tc>
          <w:tcPr>
            <w:tcW w:w="832" w:type="dxa"/>
            <w:tcBorders>
              <w:top w:val="single" w:sz="4" w:space="0" w:color="auto"/>
              <w:bottom w:val="single" w:sz="4" w:space="0" w:color="auto"/>
            </w:tcBorders>
            <w:shd w:val="clear" w:color="auto" w:fill="auto"/>
          </w:tcPr>
          <w:p w14:paraId="6394AB4D"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Rio Grande do Norte</w:t>
            </w:r>
          </w:p>
        </w:tc>
        <w:tc>
          <w:tcPr>
            <w:tcW w:w="833" w:type="dxa"/>
            <w:tcBorders>
              <w:top w:val="single" w:sz="4" w:space="0" w:color="auto"/>
              <w:bottom w:val="single" w:sz="4" w:space="0" w:color="auto"/>
            </w:tcBorders>
            <w:shd w:val="clear" w:color="auto" w:fill="auto"/>
          </w:tcPr>
          <w:p w14:paraId="597C9DEF"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Mato Grosso</w:t>
            </w:r>
          </w:p>
        </w:tc>
        <w:tc>
          <w:tcPr>
            <w:tcW w:w="838" w:type="dxa"/>
            <w:tcBorders>
              <w:top w:val="single" w:sz="4" w:space="0" w:color="auto"/>
              <w:bottom w:val="single" w:sz="4" w:space="0" w:color="auto"/>
            </w:tcBorders>
            <w:shd w:val="clear" w:color="auto" w:fill="auto"/>
          </w:tcPr>
          <w:p w14:paraId="1CC3C86C"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Paraíba</w:t>
            </w:r>
          </w:p>
        </w:tc>
        <w:tc>
          <w:tcPr>
            <w:tcW w:w="714" w:type="dxa"/>
            <w:tcBorders>
              <w:top w:val="single" w:sz="4" w:space="0" w:color="auto"/>
              <w:bottom w:val="single" w:sz="4" w:space="0" w:color="auto"/>
            </w:tcBorders>
            <w:shd w:val="clear" w:color="auto" w:fill="auto"/>
          </w:tcPr>
          <w:p w14:paraId="1DEC8E9C"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Acre</w:t>
            </w:r>
          </w:p>
        </w:tc>
        <w:tc>
          <w:tcPr>
            <w:tcW w:w="833" w:type="dxa"/>
            <w:tcBorders>
              <w:top w:val="single" w:sz="4" w:space="0" w:color="auto"/>
              <w:bottom w:val="single" w:sz="4" w:space="0" w:color="auto"/>
            </w:tcBorders>
            <w:shd w:val="clear" w:color="auto" w:fill="auto"/>
          </w:tcPr>
          <w:p w14:paraId="1727B311"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Sergipe</w:t>
            </w:r>
          </w:p>
        </w:tc>
        <w:tc>
          <w:tcPr>
            <w:tcW w:w="944" w:type="dxa"/>
            <w:tcBorders>
              <w:top w:val="single" w:sz="4" w:space="0" w:color="auto"/>
              <w:bottom w:val="single" w:sz="4" w:space="0" w:color="auto"/>
            </w:tcBorders>
            <w:shd w:val="clear" w:color="auto" w:fill="auto"/>
          </w:tcPr>
          <w:p w14:paraId="690D5616"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Mato Grosso do Sul</w:t>
            </w:r>
          </w:p>
        </w:tc>
        <w:tc>
          <w:tcPr>
            <w:tcW w:w="720" w:type="dxa"/>
            <w:tcBorders>
              <w:top w:val="single" w:sz="4" w:space="0" w:color="auto"/>
              <w:bottom w:val="single" w:sz="4" w:space="0" w:color="auto"/>
            </w:tcBorders>
            <w:shd w:val="clear" w:color="auto" w:fill="auto"/>
          </w:tcPr>
          <w:p w14:paraId="3FAC6BB3"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Tocantins</w:t>
            </w:r>
          </w:p>
        </w:tc>
        <w:tc>
          <w:tcPr>
            <w:tcW w:w="721" w:type="dxa"/>
            <w:tcBorders>
              <w:top w:val="single" w:sz="4" w:space="0" w:color="auto"/>
              <w:bottom w:val="single" w:sz="4" w:space="0" w:color="auto"/>
            </w:tcBorders>
            <w:shd w:val="clear" w:color="auto" w:fill="auto"/>
          </w:tcPr>
          <w:p w14:paraId="54AC8678"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Rondônia</w:t>
            </w:r>
          </w:p>
        </w:tc>
        <w:tc>
          <w:tcPr>
            <w:tcW w:w="720" w:type="dxa"/>
            <w:tcBorders>
              <w:top w:val="single" w:sz="4" w:space="0" w:color="auto"/>
              <w:bottom w:val="single" w:sz="4" w:space="0" w:color="auto"/>
            </w:tcBorders>
            <w:shd w:val="clear" w:color="auto" w:fill="auto"/>
          </w:tcPr>
          <w:p w14:paraId="79AF9EA1"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Roraima</w:t>
            </w:r>
          </w:p>
        </w:tc>
        <w:tc>
          <w:tcPr>
            <w:tcW w:w="740" w:type="dxa"/>
            <w:tcBorders>
              <w:top w:val="single" w:sz="4" w:space="0" w:color="auto"/>
              <w:bottom w:val="single" w:sz="4" w:space="0" w:color="auto"/>
            </w:tcBorders>
            <w:shd w:val="clear" w:color="auto" w:fill="auto"/>
          </w:tcPr>
          <w:p w14:paraId="61657C0D"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color w:val="000000"/>
                <w:lang w:val="en-US"/>
              </w:rPr>
              <w:t>Amapá</w:t>
            </w:r>
          </w:p>
        </w:tc>
      </w:tr>
      <w:tr w:rsidR="00C14D1B" w:rsidRPr="0049490E" w14:paraId="0E3ADABD" w14:textId="77777777" w:rsidTr="002D78D4">
        <w:trPr>
          <w:trHeight w:val="320"/>
        </w:trPr>
        <w:tc>
          <w:tcPr>
            <w:tcW w:w="2063" w:type="dxa"/>
            <w:vMerge/>
            <w:tcBorders>
              <w:top w:val="single" w:sz="4" w:space="0" w:color="auto"/>
              <w:bottom w:val="single" w:sz="4" w:space="0" w:color="auto"/>
            </w:tcBorders>
            <w:shd w:val="clear" w:color="auto" w:fill="auto"/>
          </w:tcPr>
          <w:p w14:paraId="0AFF1E3F" w14:textId="77777777" w:rsidR="00C14D1B" w:rsidRPr="0049490E" w:rsidRDefault="00C14D1B" w:rsidP="0049490E">
            <w:pPr>
              <w:autoSpaceDE w:val="0"/>
              <w:autoSpaceDN w:val="0"/>
              <w:adjustRightInd w:val="0"/>
              <w:spacing w:beforeAutospacing="0" w:afterAutospacing="0" w:line="360" w:lineRule="auto"/>
              <w:rPr>
                <w:rFonts w:ascii="Book Antiqua" w:eastAsiaTheme="minorHAnsi" w:hAnsi="Book Antiqua" w:cs="Arial Narrow"/>
                <w:b/>
                <w:bCs/>
                <w:color w:val="000000"/>
                <w:lang w:val="en-US"/>
              </w:rPr>
            </w:pPr>
          </w:p>
        </w:tc>
        <w:tc>
          <w:tcPr>
            <w:tcW w:w="729" w:type="dxa"/>
            <w:tcBorders>
              <w:top w:val="single" w:sz="4" w:space="0" w:color="auto"/>
              <w:bottom w:val="single" w:sz="4" w:space="0" w:color="auto"/>
            </w:tcBorders>
            <w:shd w:val="clear" w:color="auto" w:fill="auto"/>
          </w:tcPr>
          <w:p w14:paraId="78381227" w14:textId="658D6DAB"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00C0546A" w:rsidRPr="0049490E">
              <w:rPr>
                <w:rFonts w:ascii="Book Antiqua" w:eastAsiaTheme="minorHAnsi" w:hAnsi="Book Antiqua" w:cs="Arial Narrow"/>
                <w:b/>
                <w:bCs/>
                <w:color w:val="000000"/>
                <w:lang w:val="en-US"/>
              </w:rPr>
              <w:t xml:space="preserve"> </w:t>
            </w:r>
            <w:r w:rsidRPr="0049490E">
              <w:rPr>
                <w:rFonts w:ascii="Book Antiqua" w:eastAsiaTheme="minorHAnsi" w:hAnsi="Book Antiqua" w:cs="Arial Narrow"/>
                <w:b/>
                <w:bCs/>
                <w:color w:val="000000"/>
                <w:lang w:val="en-US"/>
              </w:rPr>
              <w:t>=</w:t>
            </w:r>
            <w:r w:rsidR="00C0546A" w:rsidRPr="0049490E">
              <w:rPr>
                <w:rFonts w:ascii="Book Antiqua" w:eastAsiaTheme="minorHAnsi" w:hAnsi="Book Antiqua" w:cs="Arial Narrow"/>
                <w:b/>
                <w:bCs/>
                <w:color w:val="000000"/>
                <w:lang w:val="en-US"/>
              </w:rPr>
              <w:t xml:space="preserve"> </w:t>
            </w:r>
            <w:r w:rsidRPr="0049490E">
              <w:rPr>
                <w:rFonts w:ascii="Book Antiqua" w:eastAsiaTheme="minorHAnsi" w:hAnsi="Book Antiqua" w:cs="Arial Narrow"/>
                <w:b/>
                <w:bCs/>
                <w:color w:val="000000"/>
                <w:lang w:val="en-US"/>
              </w:rPr>
              <w:t>41</w:t>
            </w:r>
            <w:r w:rsidR="00C0546A" w:rsidRPr="0049490E">
              <w:rPr>
                <w:rFonts w:ascii="Book Antiqua" w:eastAsiaTheme="minorHAnsi" w:hAnsi="Book Antiqua" w:cs="Arial Narrow"/>
                <w:b/>
                <w:bCs/>
                <w:color w:val="000000"/>
                <w:lang w:val="en-US"/>
              </w:rPr>
              <w:t xml:space="preserve"> (%</w:t>
            </w:r>
            <w:r w:rsidRPr="0049490E">
              <w:rPr>
                <w:rFonts w:ascii="Book Antiqua" w:eastAsiaTheme="minorHAnsi" w:hAnsi="Book Antiqua" w:cs="Arial Narrow"/>
                <w:b/>
                <w:bCs/>
                <w:color w:val="000000"/>
                <w:lang w:val="en-US"/>
              </w:rPr>
              <w:t>)</w:t>
            </w:r>
          </w:p>
        </w:tc>
        <w:tc>
          <w:tcPr>
            <w:tcW w:w="832" w:type="dxa"/>
            <w:tcBorders>
              <w:top w:val="single" w:sz="4" w:space="0" w:color="auto"/>
              <w:bottom w:val="single" w:sz="4" w:space="0" w:color="auto"/>
            </w:tcBorders>
            <w:shd w:val="clear" w:color="auto" w:fill="auto"/>
          </w:tcPr>
          <w:p w14:paraId="1A1D5602" w14:textId="4218D915"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38</w:t>
            </w:r>
            <w:r w:rsidRPr="0049490E">
              <w:rPr>
                <w:rFonts w:ascii="Book Antiqua" w:eastAsiaTheme="minorHAnsi" w:hAnsi="Book Antiqua" w:cs="Arial Narrow"/>
                <w:b/>
                <w:bCs/>
                <w:color w:val="000000"/>
                <w:lang w:val="en-US"/>
              </w:rPr>
              <w:t xml:space="preserve"> (%)</w:t>
            </w:r>
          </w:p>
        </w:tc>
        <w:tc>
          <w:tcPr>
            <w:tcW w:w="825" w:type="dxa"/>
            <w:tcBorders>
              <w:top w:val="single" w:sz="4" w:space="0" w:color="auto"/>
              <w:bottom w:val="single" w:sz="4" w:space="0" w:color="auto"/>
            </w:tcBorders>
            <w:shd w:val="clear" w:color="auto" w:fill="auto"/>
          </w:tcPr>
          <w:p w14:paraId="72795DAB" w14:textId="73B69A51"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32</w:t>
            </w:r>
            <w:r w:rsidRPr="0049490E">
              <w:rPr>
                <w:rFonts w:ascii="Book Antiqua" w:eastAsiaTheme="minorHAnsi" w:hAnsi="Book Antiqua" w:cs="Arial Narrow"/>
                <w:b/>
                <w:bCs/>
                <w:color w:val="000000"/>
                <w:lang w:val="en-US"/>
              </w:rPr>
              <w:t xml:space="preserve"> (%)</w:t>
            </w:r>
          </w:p>
        </w:tc>
        <w:tc>
          <w:tcPr>
            <w:tcW w:w="832" w:type="dxa"/>
            <w:tcBorders>
              <w:top w:val="single" w:sz="4" w:space="0" w:color="auto"/>
              <w:bottom w:val="single" w:sz="4" w:space="0" w:color="auto"/>
            </w:tcBorders>
            <w:shd w:val="clear" w:color="auto" w:fill="auto"/>
          </w:tcPr>
          <w:p w14:paraId="350B6C3F" w14:textId="3BB533D3"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31</w:t>
            </w:r>
            <w:r w:rsidRPr="0049490E">
              <w:rPr>
                <w:rFonts w:ascii="Book Antiqua" w:eastAsiaTheme="minorHAnsi" w:hAnsi="Book Antiqua" w:cs="Arial Narrow"/>
                <w:b/>
                <w:bCs/>
                <w:color w:val="000000"/>
                <w:lang w:val="en-US"/>
              </w:rPr>
              <w:t xml:space="preserve"> (%)</w:t>
            </w:r>
          </w:p>
        </w:tc>
        <w:tc>
          <w:tcPr>
            <w:tcW w:w="832" w:type="dxa"/>
            <w:tcBorders>
              <w:top w:val="single" w:sz="4" w:space="0" w:color="auto"/>
              <w:bottom w:val="single" w:sz="4" w:space="0" w:color="auto"/>
            </w:tcBorders>
            <w:shd w:val="clear" w:color="auto" w:fill="auto"/>
          </w:tcPr>
          <w:p w14:paraId="124481EF" w14:textId="4A64E68A"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25</w:t>
            </w:r>
            <w:r w:rsidRPr="0049490E">
              <w:rPr>
                <w:rFonts w:ascii="Book Antiqua" w:eastAsiaTheme="minorHAnsi" w:hAnsi="Book Antiqua" w:cs="Arial Narrow"/>
                <w:b/>
                <w:bCs/>
                <w:color w:val="000000"/>
                <w:lang w:val="en-US"/>
              </w:rPr>
              <w:t xml:space="preserve"> (%)</w:t>
            </w:r>
          </w:p>
        </w:tc>
        <w:tc>
          <w:tcPr>
            <w:tcW w:w="833" w:type="dxa"/>
            <w:tcBorders>
              <w:top w:val="single" w:sz="4" w:space="0" w:color="auto"/>
              <w:bottom w:val="single" w:sz="4" w:space="0" w:color="auto"/>
            </w:tcBorders>
            <w:shd w:val="clear" w:color="auto" w:fill="auto"/>
          </w:tcPr>
          <w:p w14:paraId="69396784" w14:textId="70263200"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22</w:t>
            </w:r>
            <w:r w:rsidRPr="0049490E">
              <w:rPr>
                <w:rFonts w:ascii="Book Antiqua" w:eastAsiaTheme="minorHAnsi" w:hAnsi="Book Antiqua" w:cs="Arial Narrow"/>
                <w:b/>
                <w:bCs/>
                <w:color w:val="000000"/>
                <w:lang w:val="en-US"/>
              </w:rPr>
              <w:t xml:space="preserve"> (%)</w:t>
            </w:r>
          </w:p>
        </w:tc>
        <w:tc>
          <w:tcPr>
            <w:tcW w:w="838" w:type="dxa"/>
            <w:tcBorders>
              <w:top w:val="single" w:sz="4" w:space="0" w:color="auto"/>
              <w:bottom w:val="single" w:sz="4" w:space="0" w:color="auto"/>
            </w:tcBorders>
            <w:shd w:val="clear" w:color="auto" w:fill="auto"/>
          </w:tcPr>
          <w:p w14:paraId="5A452DE9" w14:textId="67EC2A4B"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18</w:t>
            </w:r>
            <w:r w:rsidRPr="0049490E">
              <w:rPr>
                <w:rFonts w:ascii="Book Antiqua" w:eastAsiaTheme="minorHAnsi" w:hAnsi="Book Antiqua" w:cs="Arial Narrow"/>
                <w:b/>
                <w:bCs/>
                <w:color w:val="000000"/>
                <w:lang w:val="en-US"/>
              </w:rPr>
              <w:t xml:space="preserve"> (%)</w:t>
            </w:r>
          </w:p>
        </w:tc>
        <w:tc>
          <w:tcPr>
            <w:tcW w:w="714" w:type="dxa"/>
            <w:tcBorders>
              <w:top w:val="single" w:sz="4" w:space="0" w:color="auto"/>
              <w:bottom w:val="single" w:sz="4" w:space="0" w:color="auto"/>
            </w:tcBorders>
            <w:shd w:val="clear" w:color="auto" w:fill="auto"/>
          </w:tcPr>
          <w:p w14:paraId="2AFF2042" w14:textId="52D6EE10"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16</w:t>
            </w:r>
            <w:r w:rsidRPr="0049490E">
              <w:rPr>
                <w:rFonts w:ascii="Book Antiqua" w:eastAsiaTheme="minorHAnsi" w:hAnsi="Book Antiqua" w:cs="Arial Narrow"/>
                <w:b/>
                <w:bCs/>
                <w:color w:val="000000"/>
                <w:lang w:val="en-US"/>
              </w:rPr>
              <w:t xml:space="preserve"> (%)</w:t>
            </w:r>
          </w:p>
        </w:tc>
        <w:tc>
          <w:tcPr>
            <w:tcW w:w="833" w:type="dxa"/>
            <w:tcBorders>
              <w:top w:val="single" w:sz="4" w:space="0" w:color="auto"/>
              <w:bottom w:val="single" w:sz="4" w:space="0" w:color="auto"/>
            </w:tcBorders>
            <w:shd w:val="clear" w:color="auto" w:fill="auto"/>
          </w:tcPr>
          <w:p w14:paraId="18854AF0" w14:textId="00E1D26B"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13</w:t>
            </w:r>
            <w:r w:rsidRPr="0049490E">
              <w:rPr>
                <w:rFonts w:ascii="Book Antiqua" w:eastAsiaTheme="minorHAnsi" w:hAnsi="Book Antiqua" w:cs="Arial Narrow"/>
                <w:b/>
                <w:bCs/>
                <w:color w:val="000000"/>
                <w:lang w:val="en-US"/>
              </w:rPr>
              <w:t xml:space="preserve"> (%)</w:t>
            </w:r>
          </w:p>
        </w:tc>
        <w:tc>
          <w:tcPr>
            <w:tcW w:w="944" w:type="dxa"/>
            <w:tcBorders>
              <w:top w:val="single" w:sz="4" w:space="0" w:color="auto"/>
              <w:bottom w:val="single" w:sz="4" w:space="0" w:color="auto"/>
            </w:tcBorders>
            <w:shd w:val="clear" w:color="auto" w:fill="auto"/>
          </w:tcPr>
          <w:p w14:paraId="4C988D30" w14:textId="4DCD8CE5"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12</w:t>
            </w:r>
            <w:r w:rsidRPr="0049490E">
              <w:rPr>
                <w:rFonts w:ascii="Book Antiqua" w:eastAsiaTheme="minorHAnsi" w:hAnsi="Book Antiqua" w:cs="Arial Narrow"/>
                <w:b/>
                <w:bCs/>
                <w:color w:val="000000"/>
                <w:lang w:val="en-US"/>
              </w:rPr>
              <w:t xml:space="preserve"> (%)</w:t>
            </w:r>
          </w:p>
        </w:tc>
        <w:tc>
          <w:tcPr>
            <w:tcW w:w="720" w:type="dxa"/>
            <w:tcBorders>
              <w:top w:val="single" w:sz="4" w:space="0" w:color="auto"/>
              <w:bottom w:val="single" w:sz="4" w:space="0" w:color="auto"/>
            </w:tcBorders>
            <w:shd w:val="clear" w:color="auto" w:fill="auto"/>
          </w:tcPr>
          <w:p w14:paraId="136D4687" w14:textId="4811FB67"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7</w:t>
            </w:r>
            <w:r w:rsidRPr="0049490E">
              <w:rPr>
                <w:rFonts w:ascii="Book Antiqua" w:eastAsiaTheme="minorHAnsi" w:hAnsi="Book Antiqua" w:cs="Arial Narrow"/>
                <w:b/>
                <w:bCs/>
                <w:color w:val="000000"/>
                <w:lang w:val="en-US"/>
              </w:rPr>
              <w:t xml:space="preserve"> (%)</w:t>
            </w:r>
          </w:p>
        </w:tc>
        <w:tc>
          <w:tcPr>
            <w:tcW w:w="721" w:type="dxa"/>
            <w:tcBorders>
              <w:top w:val="single" w:sz="4" w:space="0" w:color="auto"/>
              <w:bottom w:val="single" w:sz="4" w:space="0" w:color="auto"/>
            </w:tcBorders>
            <w:shd w:val="clear" w:color="auto" w:fill="auto"/>
          </w:tcPr>
          <w:p w14:paraId="62376595" w14:textId="49F37E63"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6</w:t>
            </w:r>
            <w:r w:rsidRPr="0049490E">
              <w:rPr>
                <w:rFonts w:ascii="Book Antiqua" w:eastAsiaTheme="minorHAnsi" w:hAnsi="Book Antiqua" w:cs="Arial Narrow"/>
                <w:b/>
                <w:bCs/>
                <w:color w:val="000000"/>
                <w:lang w:val="en-US"/>
              </w:rPr>
              <w:t xml:space="preserve"> (%)</w:t>
            </w:r>
          </w:p>
        </w:tc>
        <w:tc>
          <w:tcPr>
            <w:tcW w:w="720" w:type="dxa"/>
            <w:tcBorders>
              <w:top w:val="single" w:sz="4" w:space="0" w:color="auto"/>
              <w:bottom w:val="single" w:sz="4" w:space="0" w:color="auto"/>
            </w:tcBorders>
            <w:shd w:val="clear" w:color="auto" w:fill="auto"/>
          </w:tcPr>
          <w:p w14:paraId="0240FC58" w14:textId="68341CD0"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6</w:t>
            </w:r>
            <w:r w:rsidRPr="0049490E">
              <w:rPr>
                <w:rFonts w:ascii="Book Antiqua" w:eastAsiaTheme="minorHAnsi" w:hAnsi="Book Antiqua" w:cs="Arial Narrow"/>
                <w:b/>
                <w:bCs/>
                <w:color w:val="000000"/>
                <w:lang w:val="en-US"/>
              </w:rPr>
              <w:t xml:space="preserve"> (%)</w:t>
            </w:r>
          </w:p>
        </w:tc>
        <w:tc>
          <w:tcPr>
            <w:tcW w:w="740" w:type="dxa"/>
            <w:tcBorders>
              <w:top w:val="single" w:sz="4" w:space="0" w:color="auto"/>
              <w:bottom w:val="single" w:sz="4" w:space="0" w:color="auto"/>
            </w:tcBorders>
            <w:shd w:val="clear" w:color="auto" w:fill="auto"/>
          </w:tcPr>
          <w:p w14:paraId="121D6F13" w14:textId="35089911" w:rsidR="00C14D1B"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r w:rsidRPr="0049490E">
              <w:rPr>
                <w:rFonts w:ascii="Book Antiqua" w:eastAsiaTheme="minorHAnsi" w:hAnsi="Book Antiqua" w:cs="Arial Narrow"/>
                <w:b/>
                <w:bCs/>
                <w:i/>
                <w:iCs/>
                <w:color w:val="000000"/>
                <w:lang w:val="en-US"/>
              </w:rPr>
              <w:t>n</w:t>
            </w:r>
            <w:r w:rsidRPr="0049490E">
              <w:rPr>
                <w:rFonts w:ascii="Book Antiqua" w:eastAsiaTheme="minorHAnsi" w:hAnsi="Book Antiqua" w:cs="Arial Narrow"/>
                <w:b/>
                <w:bCs/>
                <w:color w:val="000000"/>
                <w:lang w:val="en-US"/>
              </w:rPr>
              <w:t xml:space="preserve"> = </w:t>
            </w:r>
            <w:r w:rsidR="00C14D1B" w:rsidRPr="0049490E">
              <w:rPr>
                <w:rFonts w:ascii="Book Antiqua" w:eastAsiaTheme="minorHAnsi" w:hAnsi="Book Antiqua" w:cs="Arial Narrow"/>
                <w:b/>
                <w:bCs/>
                <w:color w:val="000000"/>
                <w:lang w:val="en-US"/>
              </w:rPr>
              <w:t>3</w:t>
            </w:r>
            <w:r w:rsidRPr="0049490E">
              <w:rPr>
                <w:rFonts w:ascii="Book Antiqua" w:eastAsiaTheme="minorHAnsi" w:hAnsi="Book Antiqua" w:cs="Arial Narrow"/>
                <w:b/>
                <w:bCs/>
                <w:color w:val="000000"/>
                <w:lang w:val="en-US"/>
              </w:rPr>
              <w:t xml:space="preserve"> (%)</w:t>
            </w:r>
          </w:p>
        </w:tc>
      </w:tr>
      <w:tr w:rsidR="00C14D1B" w:rsidRPr="0049490E" w14:paraId="19C42CDA"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tcBorders>
              <w:top w:val="single" w:sz="4" w:space="0" w:color="auto"/>
            </w:tcBorders>
            <w:shd w:val="clear" w:color="auto" w:fill="auto"/>
          </w:tcPr>
          <w:p w14:paraId="02E63CEF" w14:textId="1AF577EE"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Clinical </w:t>
            </w:r>
            <w:r w:rsidR="00C0546A" w:rsidRPr="0049490E">
              <w:rPr>
                <w:rFonts w:ascii="Book Antiqua" w:eastAsiaTheme="minorHAnsi" w:hAnsi="Book Antiqua" w:cs="Arial Narrow"/>
                <w:color w:val="000000"/>
                <w:lang w:val="en-US"/>
              </w:rPr>
              <w:t>risk factors</w:t>
            </w:r>
          </w:p>
        </w:tc>
        <w:tc>
          <w:tcPr>
            <w:tcW w:w="729" w:type="dxa"/>
            <w:tcBorders>
              <w:top w:val="single" w:sz="4" w:space="0" w:color="auto"/>
            </w:tcBorders>
            <w:shd w:val="clear" w:color="auto" w:fill="auto"/>
          </w:tcPr>
          <w:p w14:paraId="55BC601C"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2" w:type="dxa"/>
            <w:tcBorders>
              <w:top w:val="single" w:sz="4" w:space="0" w:color="auto"/>
            </w:tcBorders>
            <w:shd w:val="clear" w:color="auto" w:fill="auto"/>
          </w:tcPr>
          <w:p w14:paraId="36BFF05C"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25" w:type="dxa"/>
            <w:tcBorders>
              <w:top w:val="single" w:sz="4" w:space="0" w:color="auto"/>
            </w:tcBorders>
            <w:shd w:val="clear" w:color="auto" w:fill="auto"/>
          </w:tcPr>
          <w:p w14:paraId="7C74D043"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2" w:type="dxa"/>
            <w:tcBorders>
              <w:top w:val="single" w:sz="4" w:space="0" w:color="auto"/>
            </w:tcBorders>
            <w:shd w:val="clear" w:color="auto" w:fill="auto"/>
          </w:tcPr>
          <w:p w14:paraId="28668830"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2" w:type="dxa"/>
            <w:tcBorders>
              <w:top w:val="single" w:sz="4" w:space="0" w:color="auto"/>
            </w:tcBorders>
            <w:shd w:val="clear" w:color="auto" w:fill="auto"/>
          </w:tcPr>
          <w:p w14:paraId="00835802"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3" w:type="dxa"/>
            <w:tcBorders>
              <w:top w:val="single" w:sz="4" w:space="0" w:color="auto"/>
            </w:tcBorders>
            <w:shd w:val="clear" w:color="auto" w:fill="auto"/>
          </w:tcPr>
          <w:p w14:paraId="49D3EB8A"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8" w:type="dxa"/>
            <w:tcBorders>
              <w:top w:val="single" w:sz="4" w:space="0" w:color="auto"/>
            </w:tcBorders>
            <w:shd w:val="clear" w:color="auto" w:fill="auto"/>
          </w:tcPr>
          <w:p w14:paraId="61FFEA6B"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714" w:type="dxa"/>
            <w:tcBorders>
              <w:top w:val="single" w:sz="4" w:space="0" w:color="auto"/>
            </w:tcBorders>
            <w:shd w:val="clear" w:color="auto" w:fill="auto"/>
          </w:tcPr>
          <w:p w14:paraId="31D0F5A5"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833" w:type="dxa"/>
            <w:tcBorders>
              <w:top w:val="single" w:sz="4" w:space="0" w:color="auto"/>
            </w:tcBorders>
            <w:shd w:val="clear" w:color="auto" w:fill="auto"/>
          </w:tcPr>
          <w:p w14:paraId="386C8E90"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944" w:type="dxa"/>
            <w:tcBorders>
              <w:top w:val="single" w:sz="4" w:space="0" w:color="auto"/>
            </w:tcBorders>
            <w:shd w:val="clear" w:color="auto" w:fill="auto"/>
          </w:tcPr>
          <w:p w14:paraId="37A5F910"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720" w:type="dxa"/>
            <w:tcBorders>
              <w:top w:val="single" w:sz="4" w:space="0" w:color="auto"/>
            </w:tcBorders>
            <w:shd w:val="clear" w:color="auto" w:fill="auto"/>
          </w:tcPr>
          <w:p w14:paraId="7550B0FA"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721" w:type="dxa"/>
            <w:tcBorders>
              <w:top w:val="single" w:sz="4" w:space="0" w:color="auto"/>
            </w:tcBorders>
            <w:shd w:val="clear" w:color="auto" w:fill="auto"/>
          </w:tcPr>
          <w:p w14:paraId="33A262AE"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720" w:type="dxa"/>
            <w:tcBorders>
              <w:top w:val="single" w:sz="4" w:space="0" w:color="auto"/>
            </w:tcBorders>
            <w:shd w:val="clear" w:color="auto" w:fill="auto"/>
          </w:tcPr>
          <w:p w14:paraId="77B06A6D"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c>
          <w:tcPr>
            <w:tcW w:w="740" w:type="dxa"/>
            <w:tcBorders>
              <w:top w:val="single" w:sz="4" w:space="0" w:color="auto"/>
            </w:tcBorders>
            <w:shd w:val="clear" w:color="auto" w:fill="auto"/>
          </w:tcPr>
          <w:p w14:paraId="45EFC0CC" w14:textId="77777777" w:rsidR="00C14D1B" w:rsidRPr="0049490E" w:rsidRDefault="00C14D1B" w:rsidP="0049490E">
            <w:pPr>
              <w:autoSpaceDE w:val="0"/>
              <w:autoSpaceDN w:val="0"/>
              <w:adjustRightInd w:val="0"/>
              <w:spacing w:beforeAutospacing="0" w:afterAutospacing="0" w:line="360" w:lineRule="auto"/>
              <w:ind w:firstLine="0"/>
              <w:rPr>
                <w:rFonts w:ascii="Book Antiqua" w:eastAsiaTheme="minorHAnsi" w:hAnsi="Book Antiqua" w:cs="Arial Narrow"/>
                <w:b/>
                <w:bCs/>
                <w:color w:val="000000"/>
                <w:lang w:val="en-US"/>
              </w:rPr>
            </w:pPr>
          </w:p>
        </w:tc>
      </w:tr>
      <w:tr w:rsidR="00C0546A" w:rsidRPr="0049490E" w14:paraId="3D8111B2" w14:textId="77777777" w:rsidTr="002D78D4">
        <w:trPr>
          <w:trHeight w:val="300"/>
        </w:trPr>
        <w:tc>
          <w:tcPr>
            <w:tcW w:w="2063" w:type="dxa"/>
            <w:shd w:val="clear" w:color="auto" w:fill="auto"/>
          </w:tcPr>
          <w:p w14:paraId="15F95966" w14:textId="73064089"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Age ≥ 70 yr</w:t>
            </w:r>
          </w:p>
        </w:tc>
        <w:tc>
          <w:tcPr>
            <w:tcW w:w="729" w:type="dxa"/>
            <w:shd w:val="clear" w:color="auto" w:fill="auto"/>
          </w:tcPr>
          <w:p w14:paraId="19E76C5B" w14:textId="57E4CC0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832" w:type="dxa"/>
            <w:shd w:val="clear" w:color="auto" w:fill="auto"/>
          </w:tcPr>
          <w:p w14:paraId="5E34B1C7" w14:textId="35D925F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825" w:type="dxa"/>
            <w:shd w:val="clear" w:color="auto" w:fill="auto"/>
          </w:tcPr>
          <w:p w14:paraId="26950D84" w14:textId="7495080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832" w:type="dxa"/>
            <w:shd w:val="clear" w:color="auto" w:fill="auto"/>
          </w:tcPr>
          <w:p w14:paraId="3F343BD9" w14:textId="0F303B8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51E8C4D4" w14:textId="6C05AD5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833" w:type="dxa"/>
            <w:shd w:val="clear" w:color="auto" w:fill="auto"/>
          </w:tcPr>
          <w:p w14:paraId="69D3E06A" w14:textId="0A5264D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005535D4" w14:textId="25E4F8E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(16.7)</w:t>
            </w:r>
          </w:p>
        </w:tc>
        <w:tc>
          <w:tcPr>
            <w:tcW w:w="714" w:type="dxa"/>
            <w:shd w:val="clear" w:color="auto" w:fill="auto"/>
          </w:tcPr>
          <w:p w14:paraId="5FFEA808" w14:textId="5C2E1DB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p>
        </w:tc>
        <w:tc>
          <w:tcPr>
            <w:tcW w:w="833" w:type="dxa"/>
            <w:shd w:val="clear" w:color="auto" w:fill="auto"/>
          </w:tcPr>
          <w:p w14:paraId="47812694" w14:textId="4F0AAE1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944" w:type="dxa"/>
            <w:shd w:val="clear" w:color="auto" w:fill="auto"/>
          </w:tcPr>
          <w:p w14:paraId="40B1E4AA" w14:textId="7038021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p>
        </w:tc>
        <w:tc>
          <w:tcPr>
            <w:tcW w:w="720" w:type="dxa"/>
            <w:shd w:val="clear" w:color="auto" w:fill="auto"/>
          </w:tcPr>
          <w:p w14:paraId="039E32FD" w14:textId="285633C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721" w:type="dxa"/>
            <w:shd w:val="clear" w:color="auto" w:fill="auto"/>
          </w:tcPr>
          <w:p w14:paraId="6716D698" w14:textId="0CC5323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720" w:type="dxa"/>
            <w:shd w:val="clear" w:color="auto" w:fill="auto"/>
          </w:tcPr>
          <w:p w14:paraId="72337861" w14:textId="7A4C318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c>
          <w:tcPr>
            <w:tcW w:w="740" w:type="dxa"/>
            <w:shd w:val="clear" w:color="auto" w:fill="auto"/>
          </w:tcPr>
          <w:p w14:paraId="3B9E2869" w14:textId="195181F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 -</w:t>
            </w:r>
          </w:p>
        </w:tc>
      </w:tr>
      <w:tr w:rsidR="00C0546A" w:rsidRPr="0049490E" w14:paraId="0AAA2336"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1B90B36E" w14:textId="04C99E57"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Hypertension</w:t>
            </w:r>
          </w:p>
        </w:tc>
        <w:tc>
          <w:tcPr>
            <w:tcW w:w="729" w:type="dxa"/>
            <w:shd w:val="clear" w:color="auto" w:fill="auto"/>
          </w:tcPr>
          <w:p w14:paraId="19404DAB" w14:textId="55BA1E4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(12.2)</w:t>
            </w:r>
          </w:p>
        </w:tc>
        <w:tc>
          <w:tcPr>
            <w:tcW w:w="832" w:type="dxa"/>
            <w:shd w:val="clear" w:color="auto" w:fill="auto"/>
          </w:tcPr>
          <w:p w14:paraId="52F05044" w14:textId="78074D5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(10.5)</w:t>
            </w:r>
          </w:p>
        </w:tc>
        <w:tc>
          <w:tcPr>
            <w:tcW w:w="825" w:type="dxa"/>
            <w:shd w:val="clear" w:color="auto" w:fill="auto"/>
          </w:tcPr>
          <w:p w14:paraId="684434EA" w14:textId="11B7D42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(3.1)</w:t>
            </w:r>
          </w:p>
        </w:tc>
        <w:tc>
          <w:tcPr>
            <w:tcW w:w="832" w:type="dxa"/>
            <w:shd w:val="clear" w:color="auto" w:fill="auto"/>
          </w:tcPr>
          <w:p w14:paraId="1BAEEAA6" w14:textId="29E5E93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(12.9)</w:t>
            </w:r>
          </w:p>
        </w:tc>
        <w:tc>
          <w:tcPr>
            <w:tcW w:w="832" w:type="dxa"/>
            <w:shd w:val="clear" w:color="auto" w:fill="auto"/>
          </w:tcPr>
          <w:p w14:paraId="206C9C87" w14:textId="7CDA118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w:t>
            </w:r>
            <w:r w:rsidR="00964C84">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833" w:type="dxa"/>
            <w:shd w:val="clear" w:color="auto" w:fill="auto"/>
          </w:tcPr>
          <w:p w14:paraId="01BD9FB1" w14:textId="0B2440E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(9.1)</w:t>
            </w:r>
          </w:p>
        </w:tc>
        <w:tc>
          <w:tcPr>
            <w:tcW w:w="838" w:type="dxa"/>
            <w:shd w:val="clear" w:color="auto" w:fill="auto"/>
          </w:tcPr>
          <w:p w14:paraId="62A40910" w14:textId="463C080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(27.8)</w:t>
            </w:r>
          </w:p>
        </w:tc>
        <w:tc>
          <w:tcPr>
            <w:tcW w:w="714" w:type="dxa"/>
            <w:shd w:val="clear" w:color="auto" w:fill="auto"/>
          </w:tcPr>
          <w:p w14:paraId="49FC9AC2" w14:textId="5CB5625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(18.8)</w:t>
            </w:r>
          </w:p>
        </w:tc>
        <w:tc>
          <w:tcPr>
            <w:tcW w:w="833" w:type="dxa"/>
            <w:shd w:val="clear" w:color="auto" w:fill="auto"/>
          </w:tcPr>
          <w:p w14:paraId="7AC9DD30" w14:textId="786BF52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(7.7)</w:t>
            </w:r>
          </w:p>
        </w:tc>
        <w:tc>
          <w:tcPr>
            <w:tcW w:w="944" w:type="dxa"/>
            <w:shd w:val="clear" w:color="auto" w:fill="auto"/>
          </w:tcPr>
          <w:p w14:paraId="2D377D0A" w14:textId="13E3CD5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(25</w:t>
            </w:r>
            <w:r w:rsidR="00964C84">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720" w:type="dxa"/>
            <w:shd w:val="clear" w:color="auto" w:fill="auto"/>
          </w:tcPr>
          <w:p w14:paraId="44C4B330" w14:textId="7DC835E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491B0803" w14:textId="305D3E1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(50</w:t>
            </w:r>
            <w:r w:rsidR="00964C84">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720" w:type="dxa"/>
            <w:shd w:val="clear" w:color="auto" w:fill="auto"/>
          </w:tcPr>
          <w:p w14:paraId="2D0F312F" w14:textId="7311B6F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(50</w:t>
            </w:r>
            <w:r w:rsidR="00964C84">
              <w:rPr>
                <w:rFonts w:ascii="Book Antiqua" w:eastAsiaTheme="minorHAnsi" w:hAnsi="Book Antiqua" w:cs="Arial Narrow"/>
                <w:color w:val="000000"/>
                <w:lang w:val="en-US"/>
              </w:rPr>
              <w:t>.0</w:t>
            </w:r>
            <w:r w:rsidRPr="0049490E">
              <w:rPr>
                <w:rFonts w:ascii="Book Antiqua" w:eastAsiaTheme="minorHAnsi" w:hAnsi="Book Antiqua" w:cs="Arial Narrow"/>
                <w:color w:val="000000"/>
                <w:lang w:val="en-US"/>
              </w:rPr>
              <w:t>)</w:t>
            </w:r>
          </w:p>
        </w:tc>
        <w:tc>
          <w:tcPr>
            <w:tcW w:w="740" w:type="dxa"/>
            <w:shd w:val="clear" w:color="auto" w:fill="auto"/>
          </w:tcPr>
          <w:p w14:paraId="3ADEA69A" w14:textId="2CB02D5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p>
        </w:tc>
      </w:tr>
      <w:tr w:rsidR="00C0546A" w:rsidRPr="0049490E" w14:paraId="1D1DA599" w14:textId="77777777" w:rsidTr="002D78D4">
        <w:trPr>
          <w:trHeight w:val="300"/>
        </w:trPr>
        <w:tc>
          <w:tcPr>
            <w:tcW w:w="2063" w:type="dxa"/>
            <w:shd w:val="clear" w:color="auto" w:fill="auto"/>
          </w:tcPr>
          <w:p w14:paraId="3C158A1C" w14:textId="6D5F1EC0"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Diabetes</w:t>
            </w:r>
          </w:p>
        </w:tc>
        <w:tc>
          <w:tcPr>
            <w:tcW w:w="729" w:type="dxa"/>
            <w:shd w:val="clear" w:color="auto" w:fill="auto"/>
          </w:tcPr>
          <w:p w14:paraId="2160368E" w14:textId="47B43D7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0319AC06" w14:textId="560D09E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(5.3</w:t>
            </w:r>
            <w:r w:rsidR="00727D4A" w:rsidRPr="0049490E">
              <w:rPr>
                <w:rFonts w:ascii="Book Antiqua" w:eastAsiaTheme="minorHAnsi" w:hAnsi="Book Antiqua" w:cs="Arial Narrow"/>
                <w:color w:val="000000"/>
                <w:lang w:val="en-US"/>
              </w:rPr>
              <w:t>)</w:t>
            </w:r>
          </w:p>
        </w:tc>
        <w:tc>
          <w:tcPr>
            <w:tcW w:w="825" w:type="dxa"/>
            <w:shd w:val="clear" w:color="auto" w:fill="auto"/>
          </w:tcPr>
          <w:p w14:paraId="0AE90BC5"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297530C7" w14:textId="1773522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(3.2</w:t>
            </w:r>
            <w:r w:rsidR="00727D4A" w:rsidRPr="0049490E">
              <w:rPr>
                <w:rFonts w:ascii="Book Antiqua" w:eastAsiaTheme="minorHAnsi" w:hAnsi="Book Antiqua" w:cs="Arial Narrow"/>
                <w:color w:val="000000"/>
                <w:lang w:val="en-US"/>
              </w:rPr>
              <w:t>)</w:t>
            </w:r>
          </w:p>
        </w:tc>
        <w:tc>
          <w:tcPr>
            <w:tcW w:w="832" w:type="dxa"/>
            <w:shd w:val="clear" w:color="auto" w:fill="auto"/>
          </w:tcPr>
          <w:p w14:paraId="0FDD1336" w14:textId="7492693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2F36A971" w14:textId="200CC31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5F0F1353" w14:textId="7D9968C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(5.6</w:t>
            </w:r>
            <w:r w:rsidR="00727D4A" w:rsidRPr="0049490E">
              <w:rPr>
                <w:rFonts w:ascii="Book Antiqua" w:eastAsiaTheme="minorHAnsi" w:hAnsi="Book Antiqua" w:cs="Arial Narrow"/>
                <w:color w:val="000000"/>
                <w:lang w:val="en-US"/>
              </w:rPr>
              <w:t>)</w:t>
            </w:r>
          </w:p>
        </w:tc>
        <w:tc>
          <w:tcPr>
            <w:tcW w:w="714" w:type="dxa"/>
            <w:shd w:val="clear" w:color="auto" w:fill="auto"/>
          </w:tcPr>
          <w:p w14:paraId="60655358" w14:textId="7C1822E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r w:rsidR="00727D4A" w:rsidRPr="0049490E">
              <w:rPr>
                <w:rFonts w:ascii="Book Antiqua" w:eastAsiaTheme="minorHAnsi" w:hAnsi="Book Antiqua" w:cs="Arial Narrow"/>
                <w:color w:val="000000"/>
                <w:lang w:val="en-US"/>
              </w:rPr>
              <w:t>)</w:t>
            </w:r>
          </w:p>
        </w:tc>
        <w:tc>
          <w:tcPr>
            <w:tcW w:w="833" w:type="dxa"/>
            <w:shd w:val="clear" w:color="auto" w:fill="auto"/>
          </w:tcPr>
          <w:p w14:paraId="2A3B469D" w14:textId="377A00E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3F10C13D" w14:textId="0D2B908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r w:rsidR="00727D4A" w:rsidRPr="0049490E">
              <w:rPr>
                <w:rFonts w:ascii="Book Antiqua" w:eastAsiaTheme="minorHAnsi" w:hAnsi="Book Antiqua" w:cs="Arial Narrow"/>
                <w:color w:val="000000"/>
                <w:lang w:val="en-US"/>
              </w:rPr>
              <w:t>)</w:t>
            </w:r>
          </w:p>
        </w:tc>
        <w:tc>
          <w:tcPr>
            <w:tcW w:w="720" w:type="dxa"/>
            <w:shd w:val="clear" w:color="auto" w:fill="auto"/>
          </w:tcPr>
          <w:p w14:paraId="00D21097" w14:textId="44040DD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15D312A7" w14:textId="6F25463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5D7F4112" w14:textId="7C45628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75F041EA" w14:textId="1856FE1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75B9430F"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15668E2A" w14:textId="77777777"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lastRenderedPageBreak/>
              <w:t>Cardiovascular diseases</w:t>
            </w:r>
          </w:p>
        </w:tc>
        <w:tc>
          <w:tcPr>
            <w:tcW w:w="729" w:type="dxa"/>
            <w:shd w:val="clear" w:color="auto" w:fill="auto"/>
          </w:tcPr>
          <w:p w14:paraId="1A68A1D9" w14:textId="6175570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(2.4</w:t>
            </w:r>
            <w:r w:rsidR="00727D4A" w:rsidRPr="0049490E">
              <w:rPr>
                <w:rFonts w:ascii="Book Antiqua" w:eastAsiaTheme="minorHAnsi" w:hAnsi="Book Antiqua" w:cs="Arial Narrow"/>
                <w:color w:val="000000"/>
                <w:lang w:val="en-US"/>
              </w:rPr>
              <w:t>)</w:t>
            </w:r>
          </w:p>
        </w:tc>
        <w:tc>
          <w:tcPr>
            <w:tcW w:w="832" w:type="dxa"/>
            <w:shd w:val="clear" w:color="auto" w:fill="auto"/>
          </w:tcPr>
          <w:p w14:paraId="3B15CB56" w14:textId="2FA5A4A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25" w:type="dxa"/>
            <w:shd w:val="clear" w:color="auto" w:fill="auto"/>
          </w:tcPr>
          <w:p w14:paraId="4E268359" w14:textId="5E37E1D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3689D6C2" w14:textId="0CB1214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610099C1" w14:textId="276B5F8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6F1773AD" w14:textId="0889EB0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(4.5</w:t>
            </w:r>
            <w:r w:rsidR="00727D4A" w:rsidRPr="0049490E">
              <w:rPr>
                <w:rFonts w:ascii="Book Antiqua" w:eastAsiaTheme="minorHAnsi" w:hAnsi="Book Antiqua" w:cs="Arial Narrow"/>
                <w:color w:val="000000"/>
                <w:lang w:val="en-US"/>
              </w:rPr>
              <w:t>)</w:t>
            </w:r>
          </w:p>
        </w:tc>
        <w:tc>
          <w:tcPr>
            <w:tcW w:w="838" w:type="dxa"/>
            <w:shd w:val="clear" w:color="auto" w:fill="auto"/>
          </w:tcPr>
          <w:p w14:paraId="71BDA9A2" w14:textId="0397BBE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14219A60" w14:textId="2F38CB6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(6.3</w:t>
            </w:r>
            <w:r w:rsidR="00727D4A" w:rsidRPr="0049490E">
              <w:rPr>
                <w:rFonts w:ascii="Book Antiqua" w:eastAsiaTheme="minorHAnsi" w:hAnsi="Book Antiqua" w:cs="Arial Narrow"/>
                <w:color w:val="000000"/>
                <w:lang w:val="en-US"/>
              </w:rPr>
              <w:t>)</w:t>
            </w:r>
          </w:p>
        </w:tc>
        <w:tc>
          <w:tcPr>
            <w:tcW w:w="833" w:type="dxa"/>
            <w:shd w:val="clear" w:color="auto" w:fill="auto"/>
          </w:tcPr>
          <w:p w14:paraId="682C055A" w14:textId="43A1D66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7BD63B89" w14:textId="37FB6E8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r w:rsidR="00727D4A" w:rsidRPr="0049490E">
              <w:rPr>
                <w:rFonts w:ascii="Book Antiqua" w:eastAsiaTheme="minorHAnsi" w:hAnsi="Book Antiqua" w:cs="Arial Narrow"/>
                <w:color w:val="000000"/>
                <w:lang w:val="en-US"/>
              </w:rPr>
              <w:t>)</w:t>
            </w:r>
          </w:p>
        </w:tc>
        <w:tc>
          <w:tcPr>
            <w:tcW w:w="720" w:type="dxa"/>
            <w:shd w:val="clear" w:color="auto" w:fill="auto"/>
          </w:tcPr>
          <w:p w14:paraId="64B701E9"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5BD12D52" w14:textId="46AE389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02C48F4A" w14:textId="6A25502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40" w:type="dxa"/>
            <w:shd w:val="clear" w:color="auto" w:fill="auto"/>
          </w:tcPr>
          <w:p w14:paraId="49B9BDF5" w14:textId="76C7B89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6B96DCE0" w14:textId="77777777" w:rsidTr="002D78D4">
        <w:trPr>
          <w:trHeight w:val="300"/>
        </w:trPr>
        <w:tc>
          <w:tcPr>
            <w:tcW w:w="2063" w:type="dxa"/>
            <w:shd w:val="clear" w:color="auto" w:fill="auto"/>
          </w:tcPr>
          <w:p w14:paraId="5F4E8C3C" w14:textId="3D262C66"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Liver diseases</w:t>
            </w:r>
          </w:p>
        </w:tc>
        <w:tc>
          <w:tcPr>
            <w:tcW w:w="729" w:type="dxa"/>
            <w:shd w:val="clear" w:color="auto" w:fill="auto"/>
          </w:tcPr>
          <w:p w14:paraId="6366C850" w14:textId="6A04AEC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(4.9</w:t>
            </w:r>
            <w:r w:rsidR="00727D4A" w:rsidRPr="0049490E">
              <w:rPr>
                <w:rFonts w:ascii="Book Antiqua" w:eastAsiaTheme="minorHAnsi" w:hAnsi="Book Antiqua" w:cs="Arial Narrow"/>
                <w:color w:val="000000"/>
                <w:lang w:val="en-US"/>
              </w:rPr>
              <w:t>)</w:t>
            </w:r>
          </w:p>
        </w:tc>
        <w:tc>
          <w:tcPr>
            <w:tcW w:w="832" w:type="dxa"/>
            <w:shd w:val="clear" w:color="auto" w:fill="auto"/>
          </w:tcPr>
          <w:p w14:paraId="791FA231" w14:textId="79648C9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(5.3</w:t>
            </w:r>
            <w:r w:rsidR="00727D4A" w:rsidRPr="0049490E">
              <w:rPr>
                <w:rFonts w:ascii="Book Antiqua" w:eastAsiaTheme="minorHAnsi" w:hAnsi="Book Antiqua" w:cs="Arial Narrow"/>
                <w:color w:val="000000"/>
                <w:lang w:val="en-US"/>
              </w:rPr>
              <w:t>)</w:t>
            </w:r>
          </w:p>
        </w:tc>
        <w:tc>
          <w:tcPr>
            <w:tcW w:w="825" w:type="dxa"/>
            <w:shd w:val="clear" w:color="auto" w:fill="auto"/>
          </w:tcPr>
          <w:p w14:paraId="4D9E18AD" w14:textId="2347C75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(15.6</w:t>
            </w:r>
            <w:r w:rsidR="00727D4A" w:rsidRPr="0049490E">
              <w:rPr>
                <w:rFonts w:ascii="Book Antiqua" w:eastAsiaTheme="minorHAnsi" w:hAnsi="Book Antiqua" w:cs="Arial Narrow"/>
                <w:color w:val="000000"/>
                <w:lang w:val="en-US"/>
              </w:rPr>
              <w:t>)</w:t>
            </w:r>
          </w:p>
        </w:tc>
        <w:tc>
          <w:tcPr>
            <w:tcW w:w="832" w:type="dxa"/>
            <w:shd w:val="clear" w:color="auto" w:fill="auto"/>
          </w:tcPr>
          <w:p w14:paraId="45258DD2" w14:textId="74D9C47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(3.2</w:t>
            </w:r>
            <w:r w:rsidR="00727D4A" w:rsidRPr="0049490E">
              <w:rPr>
                <w:rFonts w:ascii="Book Antiqua" w:eastAsiaTheme="minorHAnsi" w:hAnsi="Book Antiqua" w:cs="Arial Narrow"/>
                <w:color w:val="000000"/>
                <w:lang w:val="en-US"/>
              </w:rPr>
              <w:t>)</w:t>
            </w:r>
          </w:p>
        </w:tc>
        <w:tc>
          <w:tcPr>
            <w:tcW w:w="832" w:type="dxa"/>
            <w:shd w:val="clear" w:color="auto" w:fill="auto"/>
          </w:tcPr>
          <w:p w14:paraId="4CBE9D7C" w14:textId="23F037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47AC82FA" w14:textId="08C4C6E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(9.1</w:t>
            </w:r>
            <w:r w:rsidR="00727D4A" w:rsidRPr="0049490E">
              <w:rPr>
                <w:rFonts w:ascii="Book Antiqua" w:eastAsiaTheme="minorHAnsi" w:hAnsi="Book Antiqua" w:cs="Arial Narrow"/>
                <w:color w:val="000000"/>
                <w:lang w:val="en-US"/>
              </w:rPr>
              <w:t>)</w:t>
            </w:r>
          </w:p>
        </w:tc>
        <w:tc>
          <w:tcPr>
            <w:tcW w:w="838" w:type="dxa"/>
            <w:shd w:val="clear" w:color="auto" w:fill="auto"/>
          </w:tcPr>
          <w:p w14:paraId="40297DFF" w14:textId="43CEAA2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(11.1</w:t>
            </w:r>
            <w:r w:rsidR="00727D4A" w:rsidRPr="0049490E">
              <w:rPr>
                <w:rFonts w:ascii="Book Antiqua" w:eastAsiaTheme="minorHAnsi" w:hAnsi="Book Antiqua" w:cs="Arial Narrow"/>
                <w:color w:val="000000"/>
                <w:lang w:val="en-US"/>
              </w:rPr>
              <w:t>)</w:t>
            </w:r>
          </w:p>
        </w:tc>
        <w:tc>
          <w:tcPr>
            <w:tcW w:w="714" w:type="dxa"/>
            <w:shd w:val="clear" w:color="auto" w:fill="auto"/>
          </w:tcPr>
          <w:p w14:paraId="12D37CED" w14:textId="0763C1B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566C490B" w14:textId="43A0B01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133B06A3" w14:textId="068F6CD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5A7A544F" w14:textId="52E9A61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22014446" w14:textId="47FA8E3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25A508A6" w14:textId="04F528C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47498C44" w14:textId="062A7F6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74E233EC"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15A464DB" w14:textId="51E6B743"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Abdominal </w:t>
            </w:r>
            <w:r w:rsidR="00392E8C">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urgery for IBD (&lt; 30 d)</w:t>
            </w:r>
          </w:p>
        </w:tc>
        <w:tc>
          <w:tcPr>
            <w:tcW w:w="729" w:type="dxa"/>
            <w:shd w:val="clear" w:color="auto" w:fill="auto"/>
          </w:tcPr>
          <w:p w14:paraId="5EBDD330" w14:textId="4C9938E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(4.9</w:t>
            </w:r>
            <w:r w:rsidR="00727D4A" w:rsidRPr="0049490E">
              <w:rPr>
                <w:rFonts w:ascii="Book Antiqua" w:eastAsiaTheme="minorHAnsi" w:hAnsi="Book Antiqua" w:cs="Arial Narrow"/>
                <w:color w:val="000000"/>
                <w:lang w:val="en-US"/>
              </w:rPr>
              <w:t>)</w:t>
            </w:r>
          </w:p>
        </w:tc>
        <w:tc>
          <w:tcPr>
            <w:tcW w:w="832" w:type="dxa"/>
            <w:shd w:val="clear" w:color="auto" w:fill="auto"/>
          </w:tcPr>
          <w:p w14:paraId="335BCA08" w14:textId="6E7DCCD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(10.5</w:t>
            </w:r>
            <w:r w:rsidR="00727D4A" w:rsidRPr="0049490E">
              <w:rPr>
                <w:rFonts w:ascii="Book Antiqua" w:eastAsiaTheme="minorHAnsi" w:hAnsi="Book Antiqua" w:cs="Arial Narrow"/>
                <w:color w:val="000000"/>
                <w:lang w:val="en-US"/>
              </w:rPr>
              <w:t>)</w:t>
            </w:r>
          </w:p>
        </w:tc>
        <w:tc>
          <w:tcPr>
            <w:tcW w:w="825" w:type="dxa"/>
            <w:shd w:val="clear" w:color="auto" w:fill="auto"/>
          </w:tcPr>
          <w:p w14:paraId="63625677" w14:textId="050C0E5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(6.3</w:t>
            </w:r>
            <w:r w:rsidR="00727D4A" w:rsidRPr="0049490E">
              <w:rPr>
                <w:rFonts w:ascii="Book Antiqua" w:eastAsiaTheme="minorHAnsi" w:hAnsi="Book Antiqua" w:cs="Arial Narrow"/>
                <w:color w:val="000000"/>
                <w:lang w:val="en-US"/>
              </w:rPr>
              <w:t>)</w:t>
            </w:r>
          </w:p>
        </w:tc>
        <w:tc>
          <w:tcPr>
            <w:tcW w:w="832" w:type="dxa"/>
            <w:shd w:val="clear" w:color="auto" w:fill="auto"/>
          </w:tcPr>
          <w:p w14:paraId="4E9C10F6" w14:textId="6F7BC5F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(3.2</w:t>
            </w:r>
            <w:r w:rsidR="00727D4A" w:rsidRPr="0049490E">
              <w:rPr>
                <w:rFonts w:ascii="Book Antiqua" w:eastAsiaTheme="minorHAnsi" w:hAnsi="Book Antiqua" w:cs="Arial Narrow"/>
                <w:color w:val="000000"/>
                <w:lang w:val="en-US"/>
              </w:rPr>
              <w:t>)</w:t>
            </w:r>
          </w:p>
        </w:tc>
        <w:tc>
          <w:tcPr>
            <w:tcW w:w="832" w:type="dxa"/>
            <w:shd w:val="clear" w:color="auto" w:fill="auto"/>
          </w:tcPr>
          <w:p w14:paraId="54437F43" w14:textId="5741908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3C761BA3" w14:textId="095313F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1A0EFE14" w14:textId="564727F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4C361224" w14:textId="519C6AD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(6.3</w:t>
            </w:r>
            <w:r w:rsidR="00727D4A" w:rsidRPr="0049490E">
              <w:rPr>
                <w:rFonts w:ascii="Book Antiqua" w:eastAsiaTheme="minorHAnsi" w:hAnsi="Book Antiqua" w:cs="Arial Narrow"/>
                <w:color w:val="000000"/>
                <w:lang w:val="en-US"/>
              </w:rPr>
              <w:t>)</w:t>
            </w:r>
          </w:p>
        </w:tc>
        <w:tc>
          <w:tcPr>
            <w:tcW w:w="833" w:type="dxa"/>
            <w:shd w:val="clear" w:color="auto" w:fill="auto"/>
          </w:tcPr>
          <w:p w14:paraId="5162D6DA" w14:textId="3ECFE1F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57D958FD" w14:textId="15F114A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4837BC0C" w14:textId="5CB15C8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1D3605E8" w14:textId="7042D96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3C8D5E30" w14:textId="724494E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1663272A" w14:textId="6CBE749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6238C028" w14:textId="77777777" w:rsidTr="002D78D4">
        <w:trPr>
          <w:trHeight w:val="300"/>
        </w:trPr>
        <w:tc>
          <w:tcPr>
            <w:tcW w:w="2063" w:type="dxa"/>
            <w:shd w:val="clear" w:color="auto" w:fill="auto"/>
          </w:tcPr>
          <w:p w14:paraId="24EED162" w14:textId="29405BE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Overall IBD medications</w:t>
            </w:r>
          </w:p>
        </w:tc>
        <w:tc>
          <w:tcPr>
            <w:tcW w:w="729" w:type="dxa"/>
            <w:shd w:val="clear" w:color="auto" w:fill="auto"/>
          </w:tcPr>
          <w:p w14:paraId="78E35EC3"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45B7479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25" w:type="dxa"/>
            <w:shd w:val="clear" w:color="auto" w:fill="auto"/>
          </w:tcPr>
          <w:p w14:paraId="2342434D"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401C937A"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23527322"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2D17A19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8" w:type="dxa"/>
            <w:shd w:val="clear" w:color="auto" w:fill="auto"/>
          </w:tcPr>
          <w:p w14:paraId="7E9EE735"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14" w:type="dxa"/>
            <w:shd w:val="clear" w:color="auto" w:fill="auto"/>
          </w:tcPr>
          <w:p w14:paraId="3118D5CA"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20CE71D6"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944" w:type="dxa"/>
            <w:shd w:val="clear" w:color="auto" w:fill="auto"/>
          </w:tcPr>
          <w:p w14:paraId="2AF1F536"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1F58E39F"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1" w:type="dxa"/>
            <w:shd w:val="clear" w:color="auto" w:fill="auto"/>
          </w:tcPr>
          <w:p w14:paraId="30211DC9"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01806564"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40" w:type="dxa"/>
            <w:shd w:val="clear" w:color="auto" w:fill="auto"/>
          </w:tcPr>
          <w:p w14:paraId="35BE57BD"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r>
      <w:tr w:rsidR="00C0546A" w:rsidRPr="0049490E" w14:paraId="053873C2"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3630A350" w14:textId="1B1169F9"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No medication</w:t>
            </w:r>
          </w:p>
        </w:tc>
        <w:tc>
          <w:tcPr>
            <w:tcW w:w="729" w:type="dxa"/>
            <w:shd w:val="clear" w:color="auto" w:fill="auto"/>
          </w:tcPr>
          <w:p w14:paraId="02F5F34E" w14:textId="3587E3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(12.2</w:t>
            </w:r>
            <w:r w:rsidR="00727D4A" w:rsidRPr="0049490E">
              <w:rPr>
                <w:rFonts w:ascii="Book Antiqua" w:eastAsiaTheme="minorHAnsi" w:hAnsi="Book Antiqua" w:cs="Arial Narrow"/>
                <w:color w:val="000000"/>
                <w:lang w:val="en-US"/>
              </w:rPr>
              <w:t>)</w:t>
            </w:r>
          </w:p>
        </w:tc>
        <w:tc>
          <w:tcPr>
            <w:tcW w:w="832" w:type="dxa"/>
            <w:shd w:val="clear" w:color="auto" w:fill="auto"/>
          </w:tcPr>
          <w:p w14:paraId="3083B680" w14:textId="1F9F409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(13.2</w:t>
            </w:r>
            <w:r w:rsidR="00727D4A" w:rsidRPr="0049490E">
              <w:rPr>
                <w:rFonts w:ascii="Book Antiqua" w:eastAsiaTheme="minorHAnsi" w:hAnsi="Book Antiqua" w:cs="Arial Narrow"/>
                <w:color w:val="000000"/>
                <w:lang w:val="en-US"/>
              </w:rPr>
              <w:t>)</w:t>
            </w:r>
          </w:p>
        </w:tc>
        <w:tc>
          <w:tcPr>
            <w:tcW w:w="825" w:type="dxa"/>
            <w:shd w:val="clear" w:color="auto" w:fill="auto"/>
          </w:tcPr>
          <w:p w14:paraId="47FD2B10" w14:textId="04953B8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(15.6</w:t>
            </w:r>
            <w:r w:rsidR="00727D4A" w:rsidRPr="0049490E">
              <w:rPr>
                <w:rFonts w:ascii="Book Antiqua" w:eastAsiaTheme="minorHAnsi" w:hAnsi="Book Antiqua" w:cs="Arial Narrow"/>
                <w:color w:val="000000"/>
                <w:lang w:val="en-US"/>
              </w:rPr>
              <w:t>)</w:t>
            </w:r>
          </w:p>
        </w:tc>
        <w:tc>
          <w:tcPr>
            <w:tcW w:w="832" w:type="dxa"/>
            <w:shd w:val="clear" w:color="auto" w:fill="auto"/>
          </w:tcPr>
          <w:p w14:paraId="5669D822" w14:textId="453F8BB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(3.2</w:t>
            </w:r>
            <w:r w:rsidR="00727D4A" w:rsidRPr="0049490E">
              <w:rPr>
                <w:rFonts w:ascii="Book Antiqua" w:eastAsiaTheme="minorHAnsi" w:hAnsi="Book Antiqua" w:cs="Arial Narrow"/>
                <w:color w:val="000000"/>
                <w:lang w:val="en-US"/>
              </w:rPr>
              <w:t>)</w:t>
            </w:r>
          </w:p>
        </w:tc>
        <w:tc>
          <w:tcPr>
            <w:tcW w:w="832" w:type="dxa"/>
            <w:shd w:val="clear" w:color="auto" w:fill="auto"/>
          </w:tcPr>
          <w:p w14:paraId="35956998" w14:textId="09B3059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4000AC82" w14:textId="0F2C4CB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(9.1</w:t>
            </w:r>
            <w:r w:rsidR="00727D4A" w:rsidRPr="0049490E">
              <w:rPr>
                <w:rFonts w:ascii="Book Antiqua" w:eastAsiaTheme="minorHAnsi" w:hAnsi="Book Antiqua" w:cs="Arial Narrow"/>
                <w:color w:val="000000"/>
                <w:lang w:val="en-US"/>
              </w:rPr>
              <w:t>)</w:t>
            </w:r>
          </w:p>
        </w:tc>
        <w:tc>
          <w:tcPr>
            <w:tcW w:w="838" w:type="dxa"/>
            <w:shd w:val="clear" w:color="auto" w:fill="auto"/>
          </w:tcPr>
          <w:p w14:paraId="74E6CB38" w14:textId="115FF23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550F14EF" w14:textId="271E4DB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r w:rsidR="00727D4A" w:rsidRPr="0049490E">
              <w:rPr>
                <w:rFonts w:ascii="Book Antiqua" w:eastAsiaTheme="minorHAnsi" w:hAnsi="Book Antiqua" w:cs="Arial Narrow"/>
                <w:color w:val="000000"/>
                <w:lang w:val="en-US"/>
              </w:rPr>
              <w:t>)</w:t>
            </w:r>
          </w:p>
        </w:tc>
        <w:tc>
          <w:tcPr>
            <w:tcW w:w="833" w:type="dxa"/>
            <w:shd w:val="clear" w:color="auto" w:fill="auto"/>
          </w:tcPr>
          <w:p w14:paraId="3EA2FCC0" w14:textId="0CB0BB7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(7.7</w:t>
            </w:r>
            <w:r w:rsidR="00727D4A" w:rsidRPr="0049490E">
              <w:rPr>
                <w:rFonts w:ascii="Book Antiqua" w:eastAsiaTheme="minorHAnsi" w:hAnsi="Book Antiqua" w:cs="Arial Narrow"/>
                <w:color w:val="000000"/>
                <w:lang w:val="en-US"/>
              </w:rPr>
              <w:t>)</w:t>
            </w:r>
          </w:p>
        </w:tc>
        <w:tc>
          <w:tcPr>
            <w:tcW w:w="944" w:type="dxa"/>
            <w:shd w:val="clear" w:color="auto" w:fill="auto"/>
          </w:tcPr>
          <w:p w14:paraId="0DC7291F" w14:textId="291D195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2C8135CC" w14:textId="1EECEAD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721" w:type="dxa"/>
            <w:shd w:val="clear" w:color="auto" w:fill="auto"/>
          </w:tcPr>
          <w:p w14:paraId="73F99B0A" w14:textId="65540CE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shd w:val="clear" w:color="auto" w:fill="auto"/>
          </w:tcPr>
          <w:p w14:paraId="49BDB6DC" w14:textId="2F9FE2F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40" w:type="dxa"/>
            <w:shd w:val="clear" w:color="auto" w:fill="auto"/>
          </w:tcPr>
          <w:p w14:paraId="0E1CE2E0" w14:textId="7E2FEE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223DAEBD" w14:textId="77777777" w:rsidTr="002D78D4">
        <w:trPr>
          <w:trHeight w:val="300"/>
        </w:trPr>
        <w:tc>
          <w:tcPr>
            <w:tcW w:w="2063" w:type="dxa"/>
            <w:shd w:val="clear" w:color="auto" w:fill="auto"/>
          </w:tcPr>
          <w:p w14:paraId="61BD9EC9" w14:textId="71C5C9C4"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Oral steroids</w:t>
            </w:r>
          </w:p>
        </w:tc>
        <w:tc>
          <w:tcPr>
            <w:tcW w:w="729" w:type="dxa"/>
            <w:shd w:val="clear" w:color="auto" w:fill="auto"/>
          </w:tcPr>
          <w:p w14:paraId="42815F88" w14:textId="79A774E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(19.5</w:t>
            </w:r>
            <w:r w:rsidR="00727D4A" w:rsidRPr="0049490E">
              <w:rPr>
                <w:rFonts w:ascii="Book Antiqua" w:eastAsiaTheme="minorHAnsi" w:hAnsi="Book Antiqua" w:cs="Arial Narrow"/>
                <w:color w:val="000000"/>
                <w:lang w:val="en-US"/>
              </w:rPr>
              <w:t>)</w:t>
            </w:r>
          </w:p>
        </w:tc>
        <w:tc>
          <w:tcPr>
            <w:tcW w:w="832" w:type="dxa"/>
            <w:shd w:val="clear" w:color="auto" w:fill="auto"/>
          </w:tcPr>
          <w:p w14:paraId="783ACE6D" w14:textId="2527EE5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(18.4</w:t>
            </w:r>
            <w:r w:rsidR="00727D4A" w:rsidRPr="0049490E">
              <w:rPr>
                <w:rFonts w:ascii="Book Antiqua" w:eastAsiaTheme="minorHAnsi" w:hAnsi="Book Antiqua" w:cs="Arial Narrow"/>
                <w:color w:val="000000"/>
                <w:lang w:val="en-US"/>
              </w:rPr>
              <w:t>)</w:t>
            </w:r>
          </w:p>
        </w:tc>
        <w:tc>
          <w:tcPr>
            <w:tcW w:w="825" w:type="dxa"/>
            <w:shd w:val="clear" w:color="auto" w:fill="auto"/>
          </w:tcPr>
          <w:p w14:paraId="030E2CA1" w14:textId="1BAACEB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(18.8</w:t>
            </w:r>
            <w:r w:rsidR="00727D4A" w:rsidRPr="0049490E">
              <w:rPr>
                <w:rFonts w:ascii="Book Antiqua" w:eastAsiaTheme="minorHAnsi" w:hAnsi="Book Antiqua" w:cs="Arial Narrow"/>
                <w:color w:val="000000"/>
                <w:lang w:val="en-US"/>
              </w:rPr>
              <w:t>)</w:t>
            </w:r>
          </w:p>
        </w:tc>
        <w:tc>
          <w:tcPr>
            <w:tcW w:w="832" w:type="dxa"/>
            <w:shd w:val="clear" w:color="auto" w:fill="auto"/>
          </w:tcPr>
          <w:p w14:paraId="51D2C7DF" w14:textId="34A055F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1E4A9660" w14:textId="08A5AB6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(12</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2E779B9F" w14:textId="512FF8A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(22.7</w:t>
            </w:r>
            <w:r w:rsidR="00727D4A" w:rsidRPr="0049490E">
              <w:rPr>
                <w:rFonts w:ascii="Book Antiqua" w:eastAsiaTheme="minorHAnsi" w:hAnsi="Book Antiqua" w:cs="Arial Narrow"/>
                <w:color w:val="000000"/>
                <w:lang w:val="en-US"/>
              </w:rPr>
              <w:t>)</w:t>
            </w:r>
          </w:p>
        </w:tc>
        <w:tc>
          <w:tcPr>
            <w:tcW w:w="838" w:type="dxa"/>
            <w:shd w:val="clear" w:color="auto" w:fill="auto"/>
          </w:tcPr>
          <w:p w14:paraId="3D99E5D3" w14:textId="5729B50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(16.7</w:t>
            </w:r>
            <w:r w:rsidR="00727D4A" w:rsidRPr="0049490E">
              <w:rPr>
                <w:rFonts w:ascii="Book Antiqua" w:eastAsiaTheme="minorHAnsi" w:hAnsi="Book Antiqua" w:cs="Arial Narrow"/>
                <w:color w:val="000000"/>
                <w:lang w:val="en-US"/>
              </w:rPr>
              <w:t>)</w:t>
            </w:r>
          </w:p>
        </w:tc>
        <w:tc>
          <w:tcPr>
            <w:tcW w:w="714" w:type="dxa"/>
            <w:shd w:val="clear" w:color="auto" w:fill="auto"/>
          </w:tcPr>
          <w:p w14:paraId="541298EE" w14:textId="32D1B9E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(18.8</w:t>
            </w:r>
            <w:r w:rsidR="00727D4A" w:rsidRPr="0049490E">
              <w:rPr>
                <w:rFonts w:ascii="Book Antiqua" w:eastAsiaTheme="minorHAnsi" w:hAnsi="Book Antiqua" w:cs="Arial Narrow"/>
                <w:color w:val="000000"/>
                <w:lang w:val="en-US"/>
              </w:rPr>
              <w:t>)</w:t>
            </w:r>
          </w:p>
        </w:tc>
        <w:tc>
          <w:tcPr>
            <w:tcW w:w="833" w:type="dxa"/>
            <w:shd w:val="clear" w:color="auto" w:fill="auto"/>
          </w:tcPr>
          <w:p w14:paraId="6881D506" w14:textId="491AEE1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(7.7</w:t>
            </w:r>
            <w:r w:rsidR="00727D4A" w:rsidRPr="0049490E">
              <w:rPr>
                <w:rFonts w:ascii="Book Antiqua" w:eastAsiaTheme="minorHAnsi" w:hAnsi="Book Antiqua" w:cs="Arial Narrow"/>
                <w:color w:val="000000"/>
                <w:lang w:val="en-US"/>
              </w:rPr>
              <w:t>)</w:t>
            </w:r>
          </w:p>
        </w:tc>
        <w:tc>
          <w:tcPr>
            <w:tcW w:w="944" w:type="dxa"/>
            <w:shd w:val="clear" w:color="auto" w:fill="auto"/>
          </w:tcPr>
          <w:p w14:paraId="57D63CF7" w14:textId="5B05557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r w:rsidR="00727D4A" w:rsidRPr="0049490E">
              <w:rPr>
                <w:rFonts w:ascii="Book Antiqua" w:eastAsiaTheme="minorHAnsi" w:hAnsi="Book Antiqua" w:cs="Arial Narrow"/>
                <w:color w:val="000000"/>
                <w:lang w:val="en-US"/>
              </w:rPr>
              <w:t>)</w:t>
            </w:r>
          </w:p>
        </w:tc>
        <w:tc>
          <w:tcPr>
            <w:tcW w:w="720" w:type="dxa"/>
            <w:shd w:val="clear" w:color="auto" w:fill="auto"/>
          </w:tcPr>
          <w:p w14:paraId="50EDBE40"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4BA87404" w14:textId="7AC322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shd w:val="clear" w:color="auto" w:fill="auto"/>
          </w:tcPr>
          <w:p w14:paraId="1877A455" w14:textId="067D175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40E8136A" w14:textId="1F31339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466AF27E"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33654B59" w14:textId="7D2C5253"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5-ASA</w:t>
            </w:r>
          </w:p>
        </w:tc>
        <w:tc>
          <w:tcPr>
            <w:tcW w:w="729" w:type="dxa"/>
            <w:shd w:val="clear" w:color="auto" w:fill="auto"/>
          </w:tcPr>
          <w:p w14:paraId="50086222" w14:textId="3E300371" w:rsidR="00C0546A" w:rsidRPr="0049490E" w:rsidRDefault="00727D4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w:t>
            </w:r>
            <w:r w:rsidR="00C0546A" w:rsidRPr="0049490E">
              <w:rPr>
                <w:rFonts w:ascii="Book Antiqua" w:eastAsiaTheme="minorHAnsi" w:hAnsi="Book Antiqua" w:cs="Arial Narrow"/>
                <w:color w:val="000000"/>
                <w:lang w:val="en-US"/>
              </w:rPr>
              <w:t>1 (26.8</w:t>
            </w:r>
            <w:r w:rsidRPr="0049490E">
              <w:rPr>
                <w:rFonts w:ascii="Book Antiqua" w:eastAsiaTheme="minorHAnsi" w:hAnsi="Book Antiqua" w:cs="Arial Narrow"/>
                <w:color w:val="000000"/>
                <w:lang w:val="en-US"/>
              </w:rPr>
              <w:t>)</w:t>
            </w:r>
          </w:p>
        </w:tc>
        <w:tc>
          <w:tcPr>
            <w:tcW w:w="832" w:type="dxa"/>
            <w:shd w:val="clear" w:color="auto" w:fill="auto"/>
          </w:tcPr>
          <w:p w14:paraId="6CA99328" w14:textId="6301A65A" w:rsidR="00C0546A" w:rsidRPr="0049490E" w:rsidRDefault="00727D4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w:t>
            </w:r>
            <w:r w:rsidR="00C0546A" w:rsidRPr="0049490E">
              <w:rPr>
                <w:rFonts w:ascii="Book Antiqua" w:eastAsiaTheme="minorHAnsi" w:hAnsi="Book Antiqua" w:cs="Arial Narrow"/>
                <w:color w:val="000000"/>
                <w:lang w:val="en-US"/>
              </w:rPr>
              <w:t>5 (39.5</w:t>
            </w:r>
            <w:r w:rsidRPr="0049490E">
              <w:rPr>
                <w:rFonts w:ascii="Book Antiqua" w:eastAsiaTheme="minorHAnsi" w:hAnsi="Book Antiqua" w:cs="Arial Narrow"/>
                <w:color w:val="000000"/>
                <w:lang w:val="en-US"/>
              </w:rPr>
              <w:t>)</w:t>
            </w:r>
          </w:p>
        </w:tc>
        <w:tc>
          <w:tcPr>
            <w:tcW w:w="825" w:type="dxa"/>
            <w:shd w:val="clear" w:color="auto" w:fill="auto"/>
          </w:tcPr>
          <w:p w14:paraId="407F5972" w14:textId="2E3B204F" w:rsidR="00C0546A" w:rsidRPr="0049490E" w:rsidRDefault="00727D4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w:t>
            </w:r>
            <w:r w:rsidR="00C0546A" w:rsidRPr="0049490E">
              <w:rPr>
                <w:rFonts w:ascii="Book Antiqua" w:eastAsiaTheme="minorHAnsi" w:hAnsi="Book Antiqua" w:cs="Arial Narrow"/>
                <w:color w:val="000000"/>
                <w:lang w:val="en-US"/>
              </w:rPr>
              <w:t>1 (65.6</w:t>
            </w:r>
            <w:r w:rsidRPr="0049490E">
              <w:rPr>
                <w:rFonts w:ascii="Book Antiqua" w:eastAsiaTheme="minorHAnsi" w:hAnsi="Book Antiqua" w:cs="Arial Narrow"/>
                <w:color w:val="000000"/>
                <w:lang w:val="en-US"/>
              </w:rPr>
              <w:t>)</w:t>
            </w:r>
          </w:p>
        </w:tc>
        <w:tc>
          <w:tcPr>
            <w:tcW w:w="832" w:type="dxa"/>
            <w:shd w:val="clear" w:color="auto" w:fill="auto"/>
          </w:tcPr>
          <w:p w14:paraId="70974440" w14:textId="6D62D10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(25.8</w:t>
            </w:r>
            <w:r w:rsidR="00727D4A" w:rsidRPr="0049490E">
              <w:rPr>
                <w:rFonts w:ascii="Book Antiqua" w:eastAsiaTheme="minorHAnsi" w:hAnsi="Book Antiqua" w:cs="Arial Narrow"/>
                <w:color w:val="000000"/>
                <w:lang w:val="en-US"/>
              </w:rPr>
              <w:t>)</w:t>
            </w:r>
          </w:p>
        </w:tc>
        <w:tc>
          <w:tcPr>
            <w:tcW w:w="832" w:type="dxa"/>
            <w:shd w:val="clear" w:color="auto" w:fill="auto"/>
          </w:tcPr>
          <w:p w14:paraId="76224348" w14:textId="2C4778A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(24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1B7C2110" w14:textId="1BC5C8D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12 (54.5</w:t>
            </w:r>
            <w:r w:rsidR="00727D4A" w:rsidRPr="0049490E">
              <w:rPr>
                <w:rFonts w:ascii="Book Antiqua" w:eastAsiaTheme="minorHAnsi" w:hAnsi="Book Antiqua" w:cs="Arial Narrow"/>
                <w:color w:val="000000"/>
                <w:lang w:val="en-US"/>
              </w:rPr>
              <w:t>)</w:t>
            </w:r>
          </w:p>
        </w:tc>
        <w:tc>
          <w:tcPr>
            <w:tcW w:w="838" w:type="dxa"/>
            <w:shd w:val="clear" w:color="auto" w:fill="auto"/>
          </w:tcPr>
          <w:p w14:paraId="040D18B1" w14:textId="0A54C1E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(55.6</w:t>
            </w:r>
            <w:r w:rsidR="00727D4A" w:rsidRPr="0049490E">
              <w:rPr>
                <w:rFonts w:ascii="Book Antiqua" w:eastAsiaTheme="minorHAnsi" w:hAnsi="Book Antiqua" w:cs="Arial Narrow"/>
                <w:color w:val="000000"/>
                <w:lang w:val="en-US"/>
              </w:rPr>
              <w:t>)</w:t>
            </w:r>
          </w:p>
        </w:tc>
        <w:tc>
          <w:tcPr>
            <w:tcW w:w="714" w:type="dxa"/>
            <w:shd w:val="clear" w:color="auto" w:fill="auto"/>
          </w:tcPr>
          <w:p w14:paraId="0578E26C" w14:textId="357F1C2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0992EB7B" w14:textId="61DEA22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(53.8</w:t>
            </w:r>
            <w:r w:rsidR="00727D4A" w:rsidRPr="0049490E">
              <w:rPr>
                <w:rFonts w:ascii="Book Antiqua" w:eastAsiaTheme="minorHAnsi" w:hAnsi="Book Antiqua" w:cs="Arial Narrow"/>
                <w:color w:val="000000"/>
                <w:lang w:val="en-US"/>
              </w:rPr>
              <w:t>)</w:t>
            </w:r>
          </w:p>
        </w:tc>
        <w:tc>
          <w:tcPr>
            <w:tcW w:w="944" w:type="dxa"/>
            <w:shd w:val="clear" w:color="auto" w:fill="auto"/>
          </w:tcPr>
          <w:p w14:paraId="64608188" w14:textId="501BFEC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655632EB" w14:textId="109CC60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721" w:type="dxa"/>
            <w:shd w:val="clear" w:color="auto" w:fill="auto"/>
          </w:tcPr>
          <w:p w14:paraId="36EC4C85" w14:textId="7BE3323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(66.7</w:t>
            </w:r>
            <w:r w:rsidR="00727D4A" w:rsidRPr="0049490E">
              <w:rPr>
                <w:rFonts w:ascii="Book Antiqua" w:eastAsiaTheme="minorHAnsi" w:hAnsi="Book Antiqua" w:cs="Arial Narrow"/>
                <w:color w:val="000000"/>
                <w:lang w:val="en-US"/>
              </w:rPr>
              <w:t>)</w:t>
            </w:r>
          </w:p>
        </w:tc>
        <w:tc>
          <w:tcPr>
            <w:tcW w:w="720" w:type="dxa"/>
            <w:shd w:val="clear" w:color="auto" w:fill="auto"/>
          </w:tcPr>
          <w:p w14:paraId="22405A6B" w14:textId="6D7E890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(33.3</w:t>
            </w:r>
            <w:r w:rsidR="00727D4A" w:rsidRPr="0049490E">
              <w:rPr>
                <w:rFonts w:ascii="Book Antiqua" w:eastAsiaTheme="minorHAnsi" w:hAnsi="Book Antiqua" w:cs="Arial Narrow"/>
                <w:color w:val="000000"/>
                <w:lang w:val="en-US"/>
              </w:rPr>
              <w:t>)</w:t>
            </w:r>
          </w:p>
        </w:tc>
        <w:tc>
          <w:tcPr>
            <w:tcW w:w="740" w:type="dxa"/>
            <w:shd w:val="clear" w:color="auto" w:fill="auto"/>
          </w:tcPr>
          <w:p w14:paraId="19D97505" w14:textId="0C14DE5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r w:rsidR="00727D4A" w:rsidRPr="0049490E">
              <w:rPr>
                <w:rFonts w:ascii="Book Antiqua" w:eastAsiaTheme="minorHAnsi" w:hAnsi="Book Antiqua" w:cs="Arial Narrow"/>
                <w:color w:val="000000"/>
                <w:lang w:val="en-US"/>
              </w:rPr>
              <w:t>)</w:t>
            </w:r>
          </w:p>
        </w:tc>
      </w:tr>
      <w:tr w:rsidR="00C0546A" w:rsidRPr="0049490E" w14:paraId="2F80618E" w14:textId="77777777" w:rsidTr="002D78D4">
        <w:trPr>
          <w:trHeight w:val="300"/>
        </w:trPr>
        <w:tc>
          <w:tcPr>
            <w:tcW w:w="2063" w:type="dxa"/>
            <w:shd w:val="clear" w:color="auto" w:fill="auto"/>
          </w:tcPr>
          <w:p w14:paraId="0FE5B606" w14:textId="77777777"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lastRenderedPageBreak/>
              <w:t>AZA/6-MP/MTX</w:t>
            </w:r>
          </w:p>
        </w:tc>
        <w:tc>
          <w:tcPr>
            <w:tcW w:w="729" w:type="dxa"/>
            <w:shd w:val="clear" w:color="auto" w:fill="auto"/>
          </w:tcPr>
          <w:p w14:paraId="7A84CD62" w14:textId="386E0E4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(22</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2" w:type="dxa"/>
            <w:shd w:val="clear" w:color="auto" w:fill="auto"/>
          </w:tcPr>
          <w:p w14:paraId="53C81433" w14:textId="023628B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(28.9</w:t>
            </w:r>
            <w:r w:rsidR="00727D4A" w:rsidRPr="0049490E">
              <w:rPr>
                <w:rFonts w:ascii="Book Antiqua" w:eastAsiaTheme="minorHAnsi" w:hAnsi="Book Antiqua" w:cs="Arial Narrow"/>
                <w:color w:val="000000"/>
                <w:lang w:val="en-US"/>
              </w:rPr>
              <w:t>)</w:t>
            </w:r>
          </w:p>
        </w:tc>
        <w:tc>
          <w:tcPr>
            <w:tcW w:w="825" w:type="dxa"/>
            <w:shd w:val="clear" w:color="auto" w:fill="auto"/>
          </w:tcPr>
          <w:p w14:paraId="3DBBBC13" w14:textId="74BE37A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(21.9</w:t>
            </w:r>
            <w:r w:rsidR="00727D4A" w:rsidRPr="0049490E">
              <w:rPr>
                <w:rFonts w:ascii="Book Antiqua" w:eastAsiaTheme="minorHAnsi" w:hAnsi="Book Antiqua" w:cs="Arial Narrow"/>
                <w:color w:val="000000"/>
                <w:lang w:val="en-US"/>
              </w:rPr>
              <w:t>)</w:t>
            </w:r>
          </w:p>
        </w:tc>
        <w:tc>
          <w:tcPr>
            <w:tcW w:w="832" w:type="dxa"/>
            <w:shd w:val="clear" w:color="auto" w:fill="auto"/>
          </w:tcPr>
          <w:p w14:paraId="662AECAF" w14:textId="302F370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(41.9</w:t>
            </w:r>
            <w:r w:rsidR="00727D4A" w:rsidRPr="0049490E">
              <w:rPr>
                <w:rFonts w:ascii="Book Antiqua" w:eastAsiaTheme="minorHAnsi" w:hAnsi="Book Antiqua" w:cs="Arial Narrow"/>
                <w:color w:val="000000"/>
                <w:lang w:val="en-US"/>
              </w:rPr>
              <w:t>)</w:t>
            </w:r>
          </w:p>
        </w:tc>
        <w:tc>
          <w:tcPr>
            <w:tcW w:w="832" w:type="dxa"/>
            <w:shd w:val="clear" w:color="auto" w:fill="auto"/>
          </w:tcPr>
          <w:p w14:paraId="17C6CFDE" w14:textId="586EAEB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41212667" w14:textId="5E547D9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(22.7</w:t>
            </w:r>
            <w:r w:rsidR="00727D4A" w:rsidRPr="0049490E">
              <w:rPr>
                <w:rFonts w:ascii="Book Antiqua" w:eastAsiaTheme="minorHAnsi" w:hAnsi="Book Antiqua" w:cs="Arial Narrow"/>
                <w:color w:val="000000"/>
                <w:lang w:val="en-US"/>
              </w:rPr>
              <w:t>)</w:t>
            </w:r>
          </w:p>
        </w:tc>
        <w:tc>
          <w:tcPr>
            <w:tcW w:w="838" w:type="dxa"/>
            <w:shd w:val="clear" w:color="auto" w:fill="auto"/>
          </w:tcPr>
          <w:p w14:paraId="2FCB2472" w14:textId="7058633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(38.9</w:t>
            </w:r>
            <w:r w:rsidR="00727D4A" w:rsidRPr="0049490E">
              <w:rPr>
                <w:rFonts w:ascii="Book Antiqua" w:eastAsiaTheme="minorHAnsi" w:hAnsi="Book Antiqua" w:cs="Arial Narrow"/>
                <w:color w:val="000000"/>
                <w:lang w:val="en-US"/>
              </w:rPr>
              <w:t>)</w:t>
            </w:r>
          </w:p>
        </w:tc>
        <w:tc>
          <w:tcPr>
            <w:tcW w:w="714" w:type="dxa"/>
            <w:shd w:val="clear" w:color="auto" w:fill="auto"/>
          </w:tcPr>
          <w:p w14:paraId="1F41F9E4" w14:textId="71B0946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411C5673" w14:textId="754E799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(30.8</w:t>
            </w:r>
            <w:r w:rsidR="00727D4A" w:rsidRPr="0049490E">
              <w:rPr>
                <w:rFonts w:ascii="Book Antiqua" w:eastAsiaTheme="minorHAnsi" w:hAnsi="Book Antiqua" w:cs="Arial Narrow"/>
                <w:color w:val="000000"/>
                <w:lang w:val="en-US"/>
              </w:rPr>
              <w:t>)</w:t>
            </w:r>
          </w:p>
        </w:tc>
        <w:tc>
          <w:tcPr>
            <w:tcW w:w="944" w:type="dxa"/>
            <w:shd w:val="clear" w:color="auto" w:fill="auto"/>
          </w:tcPr>
          <w:p w14:paraId="772D6393" w14:textId="068431C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r w:rsidR="00727D4A" w:rsidRPr="0049490E">
              <w:rPr>
                <w:rFonts w:ascii="Book Antiqua" w:eastAsiaTheme="minorHAnsi" w:hAnsi="Book Antiqua" w:cs="Arial Narrow"/>
                <w:color w:val="000000"/>
                <w:lang w:val="en-US"/>
              </w:rPr>
              <w:t>)</w:t>
            </w:r>
          </w:p>
        </w:tc>
        <w:tc>
          <w:tcPr>
            <w:tcW w:w="720" w:type="dxa"/>
            <w:shd w:val="clear" w:color="auto" w:fill="auto"/>
          </w:tcPr>
          <w:p w14:paraId="2351EA87" w14:textId="7B94991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(42.9</w:t>
            </w:r>
            <w:r w:rsidR="00727D4A" w:rsidRPr="0049490E">
              <w:rPr>
                <w:rFonts w:ascii="Book Antiqua" w:eastAsiaTheme="minorHAnsi" w:hAnsi="Book Antiqua" w:cs="Arial Narrow"/>
                <w:color w:val="000000"/>
                <w:lang w:val="en-US"/>
              </w:rPr>
              <w:t>)</w:t>
            </w:r>
          </w:p>
        </w:tc>
        <w:tc>
          <w:tcPr>
            <w:tcW w:w="721" w:type="dxa"/>
            <w:shd w:val="clear" w:color="auto" w:fill="auto"/>
          </w:tcPr>
          <w:p w14:paraId="189EF4B8" w14:textId="34FEDF0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shd w:val="clear" w:color="auto" w:fill="auto"/>
          </w:tcPr>
          <w:p w14:paraId="251EE8BF"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2DD3C02E" w14:textId="2BE30E8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(66.7</w:t>
            </w:r>
            <w:r w:rsidR="00727D4A" w:rsidRPr="0049490E">
              <w:rPr>
                <w:rFonts w:ascii="Book Antiqua" w:eastAsiaTheme="minorHAnsi" w:hAnsi="Book Antiqua" w:cs="Arial Narrow"/>
                <w:color w:val="000000"/>
                <w:lang w:val="en-US"/>
              </w:rPr>
              <w:t>)</w:t>
            </w:r>
          </w:p>
        </w:tc>
      </w:tr>
      <w:tr w:rsidR="00C0546A" w:rsidRPr="0049490E" w14:paraId="76BA9E9F"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6B2B4AF1" w14:textId="061B26C4"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Biologic</w:t>
            </w:r>
            <w:r w:rsidR="00964C84">
              <w:rPr>
                <w:rFonts w:ascii="Book Antiqua" w:eastAsiaTheme="minorHAnsi" w:hAnsi="Book Antiqua" w:cs="Arial Narrow"/>
                <w:color w:val="000000"/>
                <w:lang w:val="en-US"/>
              </w:rPr>
              <w:t>s</w:t>
            </w:r>
          </w:p>
        </w:tc>
        <w:tc>
          <w:tcPr>
            <w:tcW w:w="729" w:type="dxa"/>
            <w:shd w:val="clear" w:color="auto" w:fill="auto"/>
          </w:tcPr>
          <w:p w14:paraId="76E6EEE4" w14:textId="717D61E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20 (48.8</w:t>
            </w:r>
            <w:r w:rsidR="00727D4A" w:rsidRPr="0049490E">
              <w:rPr>
                <w:rFonts w:ascii="Book Antiqua" w:eastAsiaTheme="minorHAnsi" w:hAnsi="Book Antiqua" w:cs="Arial Narrow"/>
                <w:color w:val="000000"/>
                <w:lang w:val="en-US"/>
              </w:rPr>
              <w:t>)</w:t>
            </w:r>
          </w:p>
        </w:tc>
        <w:tc>
          <w:tcPr>
            <w:tcW w:w="832" w:type="dxa"/>
            <w:shd w:val="clear" w:color="auto" w:fill="auto"/>
          </w:tcPr>
          <w:p w14:paraId="14679E09" w14:textId="2D5EC66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19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25" w:type="dxa"/>
            <w:shd w:val="clear" w:color="auto" w:fill="auto"/>
          </w:tcPr>
          <w:p w14:paraId="662686D3" w14:textId="629265F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(18.8</w:t>
            </w:r>
            <w:r w:rsidR="00727D4A" w:rsidRPr="0049490E">
              <w:rPr>
                <w:rFonts w:ascii="Book Antiqua" w:eastAsiaTheme="minorHAnsi" w:hAnsi="Book Antiqua" w:cs="Arial Narrow"/>
                <w:color w:val="000000"/>
                <w:lang w:val="en-US"/>
              </w:rPr>
              <w:t>)</w:t>
            </w:r>
          </w:p>
        </w:tc>
        <w:tc>
          <w:tcPr>
            <w:tcW w:w="832" w:type="dxa"/>
            <w:shd w:val="clear" w:color="auto" w:fill="auto"/>
          </w:tcPr>
          <w:p w14:paraId="6F0F3866" w14:textId="2839B95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19 (61.3</w:t>
            </w:r>
            <w:r w:rsidR="00727D4A" w:rsidRPr="0049490E">
              <w:rPr>
                <w:rFonts w:ascii="Book Antiqua" w:eastAsiaTheme="minorHAnsi" w:hAnsi="Book Antiqua" w:cs="Arial Narrow"/>
                <w:color w:val="000000"/>
                <w:lang w:val="en-US"/>
              </w:rPr>
              <w:t>)</w:t>
            </w:r>
          </w:p>
        </w:tc>
        <w:tc>
          <w:tcPr>
            <w:tcW w:w="832" w:type="dxa"/>
            <w:shd w:val="clear" w:color="auto" w:fill="auto"/>
          </w:tcPr>
          <w:p w14:paraId="35F3828A" w14:textId="029AFF9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21 (84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59E3A7BF" w14:textId="0E2C27F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(22.7</w:t>
            </w:r>
            <w:r w:rsidR="00727D4A" w:rsidRPr="0049490E">
              <w:rPr>
                <w:rFonts w:ascii="Book Antiqua" w:eastAsiaTheme="minorHAnsi" w:hAnsi="Book Antiqua" w:cs="Arial Narrow"/>
                <w:color w:val="000000"/>
                <w:lang w:val="en-US"/>
              </w:rPr>
              <w:t>)</w:t>
            </w:r>
          </w:p>
        </w:tc>
        <w:tc>
          <w:tcPr>
            <w:tcW w:w="838" w:type="dxa"/>
            <w:shd w:val="clear" w:color="auto" w:fill="auto"/>
          </w:tcPr>
          <w:p w14:paraId="0DA72C65" w14:textId="3E0C386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(44.4</w:t>
            </w:r>
            <w:r w:rsidR="00727D4A" w:rsidRPr="0049490E">
              <w:rPr>
                <w:rFonts w:ascii="Book Antiqua" w:eastAsiaTheme="minorHAnsi" w:hAnsi="Book Antiqua" w:cs="Arial Narrow"/>
                <w:color w:val="000000"/>
                <w:lang w:val="en-US"/>
              </w:rPr>
              <w:t>)</w:t>
            </w:r>
          </w:p>
        </w:tc>
        <w:tc>
          <w:tcPr>
            <w:tcW w:w="714" w:type="dxa"/>
            <w:shd w:val="clear" w:color="auto" w:fill="auto"/>
          </w:tcPr>
          <w:p w14:paraId="615EE8A5" w14:textId="4AE1908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(37.5</w:t>
            </w:r>
            <w:r w:rsidR="00727D4A" w:rsidRPr="0049490E">
              <w:rPr>
                <w:rFonts w:ascii="Book Antiqua" w:eastAsiaTheme="minorHAnsi" w:hAnsi="Book Antiqua" w:cs="Arial Narrow"/>
                <w:color w:val="000000"/>
                <w:lang w:val="en-US"/>
              </w:rPr>
              <w:t>)</w:t>
            </w:r>
          </w:p>
        </w:tc>
        <w:tc>
          <w:tcPr>
            <w:tcW w:w="833" w:type="dxa"/>
            <w:shd w:val="clear" w:color="auto" w:fill="auto"/>
          </w:tcPr>
          <w:p w14:paraId="110FE680" w14:textId="490FBD1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(53.8</w:t>
            </w:r>
            <w:r w:rsidR="00727D4A" w:rsidRPr="0049490E">
              <w:rPr>
                <w:rFonts w:ascii="Book Antiqua" w:eastAsiaTheme="minorHAnsi" w:hAnsi="Book Antiqua" w:cs="Arial Narrow"/>
                <w:color w:val="000000"/>
                <w:lang w:val="en-US"/>
              </w:rPr>
              <w:t>)</w:t>
            </w:r>
          </w:p>
        </w:tc>
        <w:tc>
          <w:tcPr>
            <w:tcW w:w="944" w:type="dxa"/>
            <w:shd w:val="clear" w:color="auto" w:fill="auto"/>
          </w:tcPr>
          <w:p w14:paraId="2A0A66D6" w14:textId="1EEFB11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6C17EB44" w14:textId="1B743D4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721" w:type="dxa"/>
            <w:shd w:val="clear" w:color="auto" w:fill="auto"/>
          </w:tcPr>
          <w:p w14:paraId="6CA99380" w14:textId="50BF2F9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shd w:val="clear" w:color="auto" w:fill="auto"/>
          </w:tcPr>
          <w:p w14:paraId="408C82D2" w14:textId="43E21E9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40" w:type="dxa"/>
            <w:shd w:val="clear" w:color="auto" w:fill="auto"/>
          </w:tcPr>
          <w:p w14:paraId="69838CBA" w14:textId="3D6DE58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r w:rsidR="00727D4A" w:rsidRPr="0049490E">
              <w:rPr>
                <w:rFonts w:ascii="Book Antiqua" w:eastAsiaTheme="minorHAnsi" w:hAnsi="Book Antiqua" w:cs="Arial Narrow"/>
                <w:color w:val="000000"/>
                <w:lang w:val="en-US"/>
              </w:rPr>
              <w:t>)</w:t>
            </w:r>
          </w:p>
        </w:tc>
      </w:tr>
      <w:tr w:rsidR="00C0546A" w:rsidRPr="0049490E" w14:paraId="41313CDA" w14:textId="77777777" w:rsidTr="002D78D4">
        <w:trPr>
          <w:trHeight w:val="300"/>
        </w:trPr>
        <w:tc>
          <w:tcPr>
            <w:tcW w:w="2063" w:type="dxa"/>
            <w:shd w:val="clear" w:color="auto" w:fill="auto"/>
          </w:tcPr>
          <w:p w14:paraId="70643EE8"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Therapeutic regimen</w:t>
            </w:r>
          </w:p>
        </w:tc>
        <w:tc>
          <w:tcPr>
            <w:tcW w:w="729" w:type="dxa"/>
            <w:shd w:val="clear" w:color="auto" w:fill="auto"/>
          </w:tcPr>
          <w:p w14:paraId="50CE41F1"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13C4978A"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25" w:type="dxa"/>
            <w:shd w:val="clear" w:color="auto" w:fill="auto"/>
          </w:tcPr>
          <w:p w14:paraId="77F64C91"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3EE442CC"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55E36A25"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106BE5B6"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8" w:type="dxa"/>
            <w:shd w:val="clear" w:color="auto" w:fill="auto"/>
          </w:tcPr>
          <w:p w14:paraId="1658298C"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14" w:type="dxa"/>
            <w:shd w:val="clear" w:color="auto" w:fill="auto"/>
          </w:tcPr>
          <w:p w14:paraId="4F3E9CB3"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300E6BC0"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944" w:type="dxa"/>
            <w:shd w:val="clear" w:color="auto" w:fill="auto"/>
          </w:tcPr>
          <w:p w14:paraId="34486DBB"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59A675A0"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1" w:type="dxa"/>
            <w:shd w:val="clear" w:color="auto" w:fill="auto"/>
          </w:tcPr>
          <w:p w14:paraId="61FB5B08"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02E02EEE"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40" w:type="dxa"/>
            <w:shd w:val="clear" w:color="auto" w:fill="auto"/>
          </w:tcPr>
          <w:p w14:paraId="6D751EF3"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r>
      <w:tr w:rsidR="00C0546A" w:rsidRPr="0049490E" w14:paraId="385E9DF6"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18F8493F" w14:textId="5AAACE3F"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 xml:space="preserve">Oral </w:t>
            </w:r>
            <w:r w:rsidR="006E3426" w:rsidRPr="0049490E">
              <w:rPr>
                <w:rFonts w:ascii="Book Antiqua" w:eastAsiaTheme="minorHAnsi" w:hAnsi="Book Antiqua" w:cs="Arial Narrow"/>
                <w:color w:val="000000"/>
                <w:lang w:val="en-US"/>
              </w:rPr>
              <w:t>s</w:t>
            </w:r>
            <w:r w:rsidRPr="0049490E">
              <w:rPr>
                <w:rFonts w:ascii="Book Antiqua" w:eastAsiaTheme="minorHAnsi" w:hAnsi="Book Antiqua" w:cs="Arial Narrow"/>
                <w:color w:val="000000"/>
                <w:lang w:val="en-US"/>
              </w:rPr>
              <w:t>teroid monotherapy</w:t>
            </w:r>
            <w:r w:rsidRPr="0049490E">
              <w:rPr>
                <w:rFonts w:ascii="Book Antiqua" w:eastAsiaTheme="minorHAnsi" w:hAnsi="Book Antiqua" w:cs="Arial Narrow"/>
                <w:color w:val="000000"/>
                <w:vertAlign w:val="superscript"/>
                <w:lang w:val="en-US"/>
              </w:rPr>
              <w:t>1</w:t>
            </w:r>
          </w:p>
        </w:tc>
        <w:tc>
          <w:tcPr>
            <w:tcW w:w="729" w:type="dxa"/>
            <w:shd w:val="clear" w:color="auto" w:fill="auto"/>
          </w:tcPr>
          <w:p w14:paraId="081EA565" w14:textId="1BEB8E1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(12.2</w:t>
            </w:r>
            <w:r w:rsidR="00727D4A" w:rsidRPr="0049490E">
              <w:rPr>
                <w:rFonts w:ascii="Book Antiqua" w:eastAsiaTheme="minorHAnsi" w:hAnsi="Book Antiqua" w:cs="Arial Narrow"/>
                <w:color w:val="000000"/>
                <w:lang w:val="en-US"/>
              </w:rPr>
              <w:t>)</w:t>
            </w:r>
          </w:p>
        </w:tc>
        <w:tc>
          <w:tcPr>
            <w:tcW w:w="832" w:type="dxa"/>
            <w:shd w:val="clear" w:color="auto" w:fill="auto"/>
          </w:tcPr>
          <w:p w14:paraId="1ABBCD50" w14:textId="6A9428D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25" w:type="dxa"/>
            <w:shd w:val="clear" w:color="auto" w:fill="auto"/>
          </w:tcPr>
          <w:p w14:paraId="31C043B0" w14:textId="0F1EF88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(3.1</w:t>
            </w:r>
            <w:r w:rsidR="00727D4A" w:rsidRPr="0049490E">
              <w:rPr>
                <w:rFonts w:ascii="Book Antiqua" w:eastAsiaTheme="minorHAnsi" w:hAnsi="Book Antiqua" w:cs="Arial Narrow"/>
                <w:color w:val="000000"/>
                <w:lang w:val="en-US"/>
              </w:rPr>
              <w:t>)</w:t>
            </w:r>
          </w:p>
        </w:tc>
        <w:tc>
          <w:tcPr>
            <w:tcW w:w="832" w:type="dxa"/>
            <w:shd w:val="clear" w:color="auto" w:fill="auto"/>
          </w:tcPr>
          <w:p w14:paraId="37F197AC" w14:textId="6970FDF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4A546811" w14:textId="2ECC997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23293210" w14:textId="2461AA1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7E725A23"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03F8F81D" w14:textId="7950128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r w:rsidR="00727D4A" w:rsidRPr="0049490E">
              <w:rPr>
                <w:rFonts w:ascii="Book Antiqua" w:eastAsiaTheme="minorHAnsi" w:hAnsi="Book Antiqua" w:cs="Arial Narrow"/>
                <w:color w:val="000000"/>
                <w:lang w:val="en-US"/>
              </w:rPr>
              <w:t>)</w:t>
            </w:r>
          </w:p>
        </w:tc>
        <w:tc>
          <w:tcPr>
            <w:tcW w:w="833" w:type="dxa"/>
            <w:shd w:val="clear" w:color="auto" w:fill="auto"/>
          </w:tcPr>
          <w:p w14:paraId="01532CB5" w14:textId="04CB74F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6EE6C9C2" w14:textId="48B9BB5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26D7058D" w14:textId="18544CC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21FCAACC"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75310CE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75C8EDFB" w14:textId="1262B6E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40701FC4" w14:textId="77777777" w:rsidTr="002D78D4">
        <w:trPr>
          <w:trHeight w:val="300"/>
        </w:trPr>
        <w:tc>
          <w:tcPr>
            <w:tcW w:w="2063" w:type="dxa"/>
            <w:shd w:val="clear" w:color="auto" w:fill="auto"/>
          </w:tcPr>
          <w:p w14:paraId="20DEAFE0" w14:textId="21AF1362"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5-ASA monotherapy</w:t>
            </w:r>
            <w:r w:rsidRPr="0049490E">
              <w:rPr>
                <w:rFonts w:ascii="Book Antiqua" w:eastAsiaTheme="minorHAnsi" w:hAnsi="Book Antiqua" w:cs="Arial Narrow"/>
                <w:color w:val="000000"/>
                <w:vertAlign w:val="superscript"/>
                <w:lang w:val="en-US"/>
              </w:rPr>
              <w:t>1</w:t>
            </w:r>
          </w:p>
        </w:tc>
        <w:tc>
          <w:tcPr>
            <w:tcW w:w="729" w:type="dxa"/>
            <w:shd w:val="clear" w:color="auto" w:fill="auto"/>
          </w:tcPr>
          <w:p w14:paraId="1A0DDF1F" w14:textId="46E879A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(22</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2" w:type="dxa"/>
            <w:shd w:val="clear" w:color="auto" w:fill="auto"/>
          </w:tcPr>
          <w:p w14:paraId="21356B53" w14:textId="442B284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(23.7</w:t>
            </w:r>
            <w:r w:rsidR="00727D4A" w:rsidRPr="0049490E">
              <w:rPr>
                <w:rFonts w:ascii="Book Antiqua" w:eastAsiaTheme="minorHAnsi" w:hAnsi="Book Antiqua" w:cs="Arial Narrow"/>
                <w:color w:val="000000"/>
                <w:lang w:val="en-US"/>
              </w:rPr>
              <w:t>)</w:t>
            </w:r>
          </w:p>
        </w:tc>
        <w:tc>
          <w:tcPr>
            <w:tcW w:w="825" w:type="dxa"/>
            <w:shd w:val="clear" w:color="auto" w:fill="auto"/>
          </w:tcPr>
          <w:p w14:paraId="1963186F" w14:textId="2BF8EEC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15 (46.9</w:t>
            </w:r>
            <w:r w:rsidR="00727D4A" w:rsidRPr="0049490E">
              <w:rPr>
                <w:rFonts w:ascii="Book Antiqua" w:eastAsiaTheme="minorHAnsi" w:hAnsi="Book Antiqua" w:cs="Arial Narrow"/>
                <w:color w:val="000000"/>
                <w:lang w:val="en-US"/>
              </w:rPr>
              <w:t>)</w:t>
            </w:r>
          </w:p>
        </w:tc>
        <w:tc>
          <w:tcPr>
            <w:tcW w:w="832" w:type="dxa"/>
            <w:shd w:val="clear" w:color="auto" w:fill="auto"/>
          </w:tcPr>
          <w:p w14:paraId="09AD2688" w14:textId="0B57C1B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(12.9</w:t>
            </w:r>
            <w:r w:rsidR="00727D4A" w:rsidRPr="0049490E">
              <w:rPr>
                <w:rFonts w:ascii="Book Antiqua" w:eastAsiaTheme="minorHAnsi" w:hAnsi="Book Antiqua" w:cs="Arial Narrow"/>
                <w:color w:val="000000"/>
                <w:lang w:val="en-US"/>
              </w:rPr>
              <w:t>)</w:t>
            </w:r>
          </w:p>
        </w:tc>
        <w:tc>
          <w:tcPr>
            <w:tcW w:w="832" w:type="dxa"/>
            <w:shd w:val="clear" w:color="auto" w:fill="auto"/>
          </w:tcPr>
          <w:p w14:paraId="52ABD877" w14:textId="0E9380B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(12</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259C3BC0" w14:textId="783374C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(45.5</w:t>
            </w:r>
            <w:r w:rsidR="00727D4A" w:rsidRPr="0049490E">
              <w:rPr>
                <w:rFonts w:ascii="Book Antiqua" w:eastAsiaTheme="minorHAnsi" w:hAnsi="Book Antiqua" w:cs="Arial Narrow"/>
                <w:color w:val="000000"/>
                <w:lang w:val="en-US"/>
              </w:rPr>
              <w:t>)</w:t>
            </w:r>
          </w:p>
        </w:tc>
        <w:tc>
          <w:tcPr>
            <w:tcW w:w="838" w:type="dxa"/>
            <w:shd w:val="clear" w:color="auto" w:fill="auto"/>
          </w:tcPr>
          <w:p w14:paraId="75AD0B84" w14:textId="380A9B5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(44.4</w:t>
            </w:r>
            <w:r w:rsidR="00727D4A" w:rsidRPr="0049490E">
              <w:rPr>
                <w:rFonts w:ascii="Book Antiqua" w:eastAsiaTheme="minorHAnsi" w:hAnsi="Book Antiqua" w:cs="Arial Narrow"/>
                <w:color w:val="000000"/>
                <w:lang w:val="en-US"/>
              </w:rPr>
              <w:t>)</w:t>
            </w:r>
          </w:p>
        </w:tc>
        <w:tc>
          <w:tcPr>
            <w:tcW w:w="714" w:type="dxa"/>
            <w:shd w:val="clear" w:color="auto" w:fill="auto"/>
          </w:tcPr>
          <w:p w14:paraId="0A9FADD5" w14:textId="63EB23E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2ADC86FE" w14:textId="4C51F11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(23.1</w:t>
            </w:r>
            <w:r w:rsidR="00727D4A" w:rsidRPr="0049490E">
              <w:rPr>
                <w:rFonts w:ascii="Book Antiqua" w:eastAsiaTheme="minorHAnsi" w:hAnsi="Book Antiqua" w:cs="Arial Narrow"/>
                <w:color w:val="000000"/>
                <w:lang w:val="en-US"/>
              </w:rPr>
              <w:t>)</w:t>
            </w:r>
          </w:p>
        </w:tc>
        <w:tc>
          <w:tcPr>
            <w:tcW w:w="944" w:type="dxa"/>
            <w:shd w:val="clear" w:color="auto" w:fill="auto"/>
          </w:tcPr>
          <w:p w14:paraId="6933841B" w14:textId="6B6A0A1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r w:rsidR="00727D4A" w:rsidRPr="0049490E">
              <w:rPr>
                <w:rFonts w:ascii="Book Antiqua" w:eastAsiaTheme="minorHAnsi" w:hAnsi="Book Antiqua" w:cs="Arial Narrow"/>
                <w:color w:val="000000"/>
                <w:lang w:val="en-US"/>
              </w:rPr>
              <w:t>)</w:t>
            </w:r>
          </w:p>
        </w:tc>
        <w:tc>
          <w:tcPr>
            <w:tcW w:w="720" w:type="dxa"/>
            <w:shd w:val="clear" w:color="auto" w:fill="auto"/>
          </w:tcPr>
          <w:p w14:paraId="785FE4BC" w14:textId="4EA6D09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(14.3</w:t>
            </w:r>
            <w:r w:rsidR="00727D4A" w:rsidRPr="0049490E">
              <w:rPr>
                <w:rFonts w:ascii="Book Antiqua" w:eastAsiaTheme="minorHAnsi" w:hAnsi="Book Antiqua" w:cs="Arial Narrow"/>
                <w:color w:val="000000"/>
                <w:lang w:val="en-US"/>
              </w:rPr>
              <w:t>)</w:t>
            </w:r>
          </w:p>
        </w:tc>
        <w:tc>
          <w:tcPr>
            <w:tcW w:w="721" w:type="dxa"/>
            <w:shd w:val="clear" w:color="auto" w:fill="auto"/>
          </w:tcPr>
          <w:p w14:paraId="11D6F3D7" w14:textId="764E319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(66.7</w:t>
            </w:r>
            <w:r w:rsidR="00727D4A" w:rsidRPr="0049490E">
              <w:rPr>
                <w:rFonts w:ascii="Book Antiqua" w:eastAsiaTheme="minorHAnsi" w:hAnsi="Book Antiqua" w:cs="Arial Narrow"/>
                <w:color w:val="000000"/>
                <w:lang w:val="en-US"/>
              </w:rPr>
              <w:t>)</w:t>
            </w:r>
          </w:p>
        </w:tc>
        <w:tc>
          <w:tcPr>
            <w:tcW w:w="720" w:type="dxa"/>
            <w:shd w:val="clear" w:color="auto" w:fill="auto"/>
          </w:tcPr>
          <w:p w14:paraId="7E55362D" w14:textId="1A5C422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(33.3</w:t>
            </w:r>
            <w:r w:rsidR="00727D4A" w:rsidRPr="0049490E">
              <w:rPr>
                <w:rFonts w:ascii="Book Antiqua" w:eastAsiaTheme="minorHAnsi" w:hAnsi="Book Antiqua" w:cs="Arial Narrow"/>
                <w:color w:val="000000"/>
                <w:lang w:val="en-US"/>
              </w:rPr>
              <w:t>)</w:t>
            </w:r>
          </w:p>
        </w:tc>
        <w:tc>
          <w:tcPr>
            <w:tcW w:w="740" w:type="dxa"/>
            <w:shd w:val="clear" w:color="auto" w:fill="auto"/>
          </w:tcPr>
          <w:p w14:paraId="260C4998" w14:textId="42B00E7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r w:rsidR="00727D4A" w:rsidRPr="0049490E">
              <w:rPr>
                <w:rFonts w:ascii="Book Antiqua" w:eastAsiaTheme="minorHAnsi" w:hAnsi="Book Antiqua" w:cs="Arial Narrow"/>
                <w:color w:val="000000"/>
                <w:lang w:val="en-US"/>
              </w:rPr>
              <w:t>)</w:t>
            </w:r>
          </w:p>
        </w:tc>
      </w:tr>
      <w:tr w:rsidR="00C0546A" w:rsidRPr="0049490E" w14:paraId="5819F1AD"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287F69FC" w14:textId="3D5FD5C3"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 xml:space="preserve">5-ASA + </w:t>
            </w:r>
            <w:r w:rsidR="006E3426" w:rsidRPr="0049490E">
              <w:rPr>
                <w:rFonts w:ascii="Book Antiqua" w:eastAsiaTheme="minorHAnsi" w:hAnsi="Book Antiqua" w:cs="Arial Narrow"/>
                <w:color w:val="000000"/>
                <w:lang w:val="en-US"/>
              </w:rPr>
              <w:t>oral steroids</w:t>
            </w:r>
            <w:r w:rsidR="006E3426" w:rsidRPr="0049490E">
              <w:rPr>
                <w:rFonts w:ascii="Book Antiqua" w:eastAsiaTheme="minorHAnsi" w:hAnsi="Book Antiqua" w:cs="Arial Narrow"/>
                <w:color w:val="000000"/>
                <w:vertAlign w:val="superscript"/>
                <w:lang w:val="en-US"/>
              </w:rPr>
              <w:t>2</w:t>
            </w:r>
          </w:p>
        </w:tc>
        <w:tc>
          <w:tcPr>
            <w:tcW w:w="729" w:type="dxa"/>
            <w:shd w:val="clear" w:color="auto" w:fill="auto"/>
          </w:tcPr>
          <w:p w14:paraId="3B11C2D6" w14:textId="471923A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336C60DD" w14:textId="2CED983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(33.3</w:t>
            </w:r>
            <w:r w:rsidR="00727D4A" w:rsidRPr="0049490E">
              <w:rPr>
                <w:rFonts w:ascii="Book Antiqua" w:eastAsiaTheme="minorHAnsi" w:hAnsi="Book Antiqua" w:cs="Arial Narrow"/>
                <w:color w:val="000000"/>
                <w:lang w:val="en-US"/>
              </w:rPr>
              <w:t>)</w:t>
            </w:r>
          </w:p>
        </w:tc>
        <w:tc>
          <w:tcPr>
            <w:tcW w:w="825" w:type="dxa"/>
            <w:shd w:val="clear" w:color="auto" w:fill="auto"/>
          </w:tcPr>
          <w:p w14:paraId="5FCCBEF2" w14:textId="247B083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(26.7</w:t>
            </w:r>
            <w:r w:rsidR="00727D4A" w:rsidRPr="0049490E">
              <w:rPr>
                <w:rFonts w:ascii="Book Antiqua" w:eastAsiaTheme="minorHAnsi" w:hAnsi="Book Antiqua" w:cs="Arial Narrow"/>
                <w:color w:val="000000"/>
                <w:lang w:val="en-US"/>
              </w:rPr>
              <w:t>)</w:t>
            </w:r>
          </w:p>
        </w:tc>
        <w:tc>
          <w:tcPr>
            <w:tcW w:w="832" w:type="dxa"/>
            <w:shd w:val="clear" w:color="auto" w:fill="auto"/>
          </w:tcPr>
          <w:p w14:paraId="4CC640C0" w14:textId="17A0E7C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6CAEE2BC"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0C3D3019" w14:textId="2017577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(40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8" w:type="dxa"/>
            <w:shd w:val="clear" w:color="auto" w:fill="auto"/>
          </w:tcPr>
          <w:p w14:paraId="226AF4D8" w14:textId="3E54F6D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(12.5</w:t>
            </w:r>
            <w:r w:rsidR="00727D4A" w:rsidRPr="0049490E">
              <w:rPr>
                <w:rFonts w:ascii="Book Antiqua" w:eastAsiaTheme="minorHAnsi" w:hAnsi="Book Antiqua" w:cs="Arial Narrow"/>
                <w:color w:val="000000"/>
                <w:lang w:val="en-US"/>
              </w:rPr>
              <w:t>)</w:t>
            </w:r>
          </w:p>
        </w:tc>
        <w:tc>
          <w:tcPr>
            <w:tcW w:w="714" w:type="dxa"/>
            <w:shd w:val="clear" w:color="auto" w:fill="auto"/>
          </w:tcPr>
          <w:p w14:paraId="7C3FBA10" w14:textId="20D0900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33D1EF79" w14:textId="4720266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17DCD1F2" w14:textId="757C832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0D6EF45A" w14:textId="14513EA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74A0E673" w14:textId="72320C8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5BB5CE19" w14:textId="4E15CC8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68B08CE4" w14:textId="20E6554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11BF2369" w14:textId="77777777" w:rsidTr="002D78D4">
        <w:trPr>
          <w:trHeight w:val="300"/>
        </w:trPr>
        <w:tc>
          <w:tcPr>
            <w:tcW w:w="2063" w:type="dxa"/>
            <w:shd w:val="clear" w:color="auto" w:fill="auto"/>
          </w:tcPr>
          <w:p w14:paraId="7659546F" w14:textId="34580049"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lang w:val="en-US"/>
              </w:rPr>
            </w:pPr>
            <w:r w:rsidRPr="0049490E">
              <w:rPr>
                <w:rFonts w:ascii="Book Antiqua" w:eastAsiaTheme="minorHAnsi" w:hAnsi="Book Antiqua" w:cs="Arial Narrow"/>
                <w:color w:val="000000"/>
                <w:lang w:val="en-US"/>
              </w:rPr>
              <w:lastRenderedPageBreak/>
              <w:t>AZA/6-MP/MTX monotherapy</w:t>
            </w:r>
            <w:r w:rsidRPr="0049490E">
              <w:rPr>
                <w:rFonts w:ascii="Book Antiqua" w:eastAsiaTheme="minorHAnsi" w:hAnsi="Book Antiqua" w:cs="Arial Narrow"/>
                <w:color w:val="000000"/>
                <w:vertAlign w:val="superscript"/>
                <w:lang w:val="en-US"/>
              </w:rPr>
              <w:t>1</w:t>
            </w:r>
          </w:p>
        </w:tc>
        <w:tc>
          <w:tcPr>
            <w:tcW w:w="729" w:type="dxa"/>
            <w:shd w:val="clear" w:color="auto" w:fill="auto"/>
          </w:tcPr>
          <w:p w14:paraId="5C091751" w14:textId="421E218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(4.9</w:t>
            </w:r>
            <w:r w:rsidR="00727D4A" w:rsidRPr="0049490E">
              <w:rPr>
                <w:rFonts w:ascii="Book Antiqua" w:eastAsiaTheme="minorHAnsi" w:hAnsi="Book Antiqua" w:cs="Arial Narrow"/>
                <w:color w:val="000000"/>
                <w:lang w:val="en-US"/>
              </w:rPr>
              <w:t>)</w:t>
            </w:r>
          </w:p>
        </w:tc>
        <w:tc>
          <w:tcPr>
            <w:tcW w:w="832" w:type="dxa"/>
            <w:shd w:val="clear" w:color="auto" w:fill="auto"/>
          </w:tcPr>
          <w:p w14:paraId="63D054F7" w14:textId="242A740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(13.2</w:t>
            </w:r>
            <w:r w:rsidR="00727D4A" w:rsidRPr="0049490E">
              <w:rPr>
                <w:rFonts w:ascii="Book Antiqua" w:eastAsiaTheme="minorHAnsi" w:hAnsi="Book Antiqua" w:cs="Arial Narrow"/>
                <w:color w:val="000000"/>
                <w:lang w:val="en-US"/>
              </w:rPr>
              <w:t>)</w:t>
            </w:r>
          </w:p>
        </w:tc>
        <w:tc>
          <w:tcPr>
            <w:tcW w:w="825" w:type="dxa"/>
            <w:shd w:val="clear" w:color="auto" w:fill="auto"/>
          </w:tcPr>
          <w:p w14:paraId="4A588011" w14:textId="6CA0C08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(15.6</w:t>
            </w:r>
            <w:r w:rsidR="00727D4A" w:rsidRPr="0049490E">
              <w:rPr>
                <w:rFonts w:ascii="Book Antiqua" w:eastAsiaTheme="minorHAnsi" w:hAnsi="Book Antiqua" w:cs="Arial Narrow"/>
                <w:color w:val="000000"/>
                <w:lang w:val="en-US"/>
              </w:rPr>
              <w:t>)</w:t>
            </w:r>
          </w:p>
        </w:tc>
        <w:tc>
          <w:tcPr>
            <w:tcW w:w="832" w:type="dxa"/>
            <w:shd w:val="clear" w:color="auto" w:fill="auto"/>
          </w:tcPr>
          <w:p w14:paraId="4035DB13" w14:textId="06C8702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(22.6</w:t>
            </w:r>
            <w:r w:rsidR="00727D4A" w:rsidRPr="0049490E">
              <w:rPr>
                <w:rFonts w:ascii="Book Antiqua" w:eastAsiaTheme="minorHAnsi" w:hAnsi="Book Antiqua" w:cs="Arial Narrow"/>
                <w:color w:val="000000"/>
                <w:lang w:val="en-US"/>
              </w:rPr>
              <w:t>)</w:t>
            </w:r>
          </w:p>
        </w:tc>
        <w:tc>
          <w:tcPr>
            <w:tcW w:w="832" w:type="dxa"/>
            <w:shd w:val="clear" w:color="auto" w:fill="auto"/>
          </w:tcPr>
          <w:p w14:paraId="6D224C01" w14:textId="00B417A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57CAB5FA" w14:textId="15F1A20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(22.7</w:t>
            </w:r>
            <w:r w:rsidR="00727D4A" w:rsidRPr="0049490E">
              <w:rPr>
                <w:rFonts w:ascii="Book Antiqua" w:eastAsiaTheme="minorHAnsi" w:hAnsi="Book Antiqua" w:cs="Arial Narrow"/>
                <w:color w:val="000000"/>
                <w:lang w:val="en-US"/>
              </w:rPr>
              <w:t>)</w:t>
            </w:r>
          </w:p>
        </w:tc>
        <w:tc>
          <w:tcPr>
            <w:tcW w:w="838" w:type="dxa"/>
            <w:shd w:val="clear" w:color="auto" w:fill="auto"/>
          </w:tcPr>
          <w:p w14:paraId="16B41C27" w14:textId="7984E4F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(11.1</w:t>
            </w:r>
            <w:r w:rsidR="00727D4A" w:rsidRPr="0049490E">
              <w:rPr>
                <w:rFonts w:ascii="Book Antiqua" w:eastAsiaTheme="minorHAnsi" w:hAnsi="Book Antiqua" w:cs="Arial Narrow"/>
                <w:color w:val="000000"/>
                <w:lang w:val="en-US"/>
              </w:rPr>
              <w:t>)</w:t>
            </w:r>
          </w:p>
        </w:tc>
        <w:tc>
          <w:tcPr>
            <w:tcW w:w="714" w:type="dxa"/>
            <w:shd w:val="clear" w:color="auto" w:fill="auto"/>
          </w:tcPr>
          <w:p w14:paraId="16A8BFF7" w14:textId="0867D55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r w:rsidR="00727D4A" w:rsidRPr="0049490E">
              <w:rPr>
                <w:rFonts w:ascii="Book Antiqua" w:eastAsiaTheme="minorHAnsi" w:hAnsi="Book Antiqua" w:cs="Arial Narrow"/>
                <w:color w:val="000000"/>
                <w:lang w:val="en-US"/>
              </w:rPr>
              <w:t>)</w:t>
            </w:r>
          </w:p>
        </w:tc>
        <w:tc>
          <w:tcPr>
            <w:tcW w:w="833" w:type="dxa"/>
            <w:shd w:val="clear" w:color="auto" w:fill="auto"/>
          </w:tcPr>
          <w:p w14:paraId="62D91842" w14:textId="1FE0CFB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(15.4</w:t>
            </w:r>
            <w:r w:rsidR="00727D4A" w:rsidRPr="0049490E">
              <w:rPr>
                <w:rFonts w:ascii="Book Antiqua" w:eastAsiaTheme="minorHAnsi" w:hAnsi="Book Antiqua" w:cs="Arial Narrow"/>
                <w:color w:val="000000"/>
                <w:lang w:val="en-US"/>
              </w:rPr>
              <w:t>)</w:t>
            </w:r>
          </w:p>
        </w:tc>
        <w:tc>
          <w:tcPr>
            <w:tcW w:w="944" w:type="dxa"/>
            <w:shd w:val="clear" w:color="auto" w:fill="auto"/>
          </w:tcPr>
          <w:p w14:paraId="3D84784A" w14:textId="6CA6720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r w:rsidR="00727D4A" w:rsidRPr="0049490E">
              <w:rPr>
                <w:rFonts w:ascii="Book Antiqua" w:eastAsiaTheme="minorHAnsi" w:hAnsi="Book Antiqua" w:cs="Arial Narrow"/>
                <w:color w:val="000000"/>
                <w:lang w:val="en-US"/>
              </w:rPr>
              <w:t>)</w:t>
            </w:r>
          </w:p>
        </w:tc>
        <w:tc>
          <w:tcPr>
            <w:tcW w:w="720" w:type="dxa"/>
            <w:shd w:val="clear" w:color="auto" w:fill="auto"/>
          </w:tcPr>
          <w:p w14:paraId="1E078055" w14:textId="63EB5E4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721" w:type="dxa"/>
            <w:shd w:val="clear" w:color="auto" w:fill="auto"/>
          </w:tcPr>
          <w:p w14:paraId="20D3015E"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59E8275F" w14:textId="5268D69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3A3B5881" w14:textId="650AB18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r w:rsidR="00727D4A" w:rsidRPr="0049490E">
              <w:rPr>
                <w:rFonts w:ascii="Book Antiqua" w:eastAsiaTheme="minorHAnsi" w:hAnsi="Book Antiqua" w:cs="Arial Narrow"/>
                <w:color w:val="000000"/>
                <w:lang w:val="en-US"/>
              </w:rPr>
              <w:t>)</w:t>
            </w:r>
          </w:p>
        </w:tc>
      </w:tr>
      <w:tr w:rsidR="00C0546A" w:rsidRPr="0049490E" w14:paraId="06853037"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6CBE1EC0" w14:textId="70C56625"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 xml:space="preserve">AZA/6-MP/MTX + </w:t>
            </w:r>
            <w:r w:rsidR="006E3426" w:rsidRPr="0049490E">
              <w:rPr>
                <w:rFonts w:ascii="Book Antiqua" w:eastAsiaTheme="minorHAnsi" w:hAnsi="Book Antiqua" w:cs="Arial Narrow"/>
                <w:color w:val="000000"/>
                <w:lang w:val="en-US"/>
              </w:rPr>
              <w:t>oral steroids</w:t>
            </w:r>
            <w:r w:rsidR="006E3426" w:rsidRPr="0049490E">
              <w:rPr>
                <w:rFonts w:ascii="Book Antiqua" w:eastAsiaTheme="minorHAnsi" w:hAnsi="Book Antiqua" w:cs="Arial Narrow"/>
                <w:color w:val="000000"/>
                <w:vertAlign w:val="superscript"/>
                <w:lang w:val="en-US"/>
              </w:rPr>
              <w:t>2</w:t>
            </w:r>
          </w:p>
        </w:tc>
        <w:tc>
          <w:tcPr>
            <w:tcW w:w="729" w:type="dxa"/>
            <w:shd w:val="clear" w:color="auto" w:fill="auto"/>
          </w:tcPr>
          <w:p w14:paraId="54AEA103" w14:textId="73289D3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4A63D445" w14:textId="41D463C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25" w:type="dxa"/>
            <w:shd w:val="clear" w:color="auto" w:fill="auto"/>
          </w:tcPr>
          <w:p w14:paraId="72D32F48" w14:textId="5B874F4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2AC9E3A7" w14:textId="4A592FA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1E2F594F" w14:textId="5A8502D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1981E4CC" w14:textId="394814E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8" w:type="dxa"/>
            <w:shd w:val="clear" w:color="auto" w:fill="auto"/>
          </w:tcPr>
          <w:p w14:paraId="27332952" w14:textId="190E7FE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70C50601" w14:textId="04AF753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51843EB0" w14:textId="7BA5761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5965B62F" w14:textId="32AD7FD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(100</w:t>
            </w:r>
            <w:r w:rsidR="00727D4A" w:rsidRPr="0049490E">
              <w:rPr>
                <w:rFonts w:ascii="Book Antiqua" w:eastAsiaTheme="minorHAnsi" w:hAnsi="Book Antiqua" w:cs="Arial Narrow"/>
                <w:color w:val="000000"/>
                <w:lang w:val="en-US"/>
              </w:rPr>
              <w:t>)</w:t>
            </w:r>
          </w:p>
        </w:tc>
        <w:tc>
          <w:tcPr>
            <w:tcW w:w="720" w:type="dxa"/>
            <w:shd w:val="clear" w:color="auto" w:fill="auto"/>
          </w:tcPr>
          <w:p w14:paraId="2E0B1785" w14:textId="344FF42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7A92191D"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51DA5888"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408341EE" w14:textId="26C4F193"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71BCAD90" w14:textId="77777777" w:rsidTr="002D78D4">
        <w:trPr>
          <w:trHeight w:val="300"/>
        </w:trPr>
        <w:tc>
          <w:tcPr>
            <w:tcW w:w="2063" w:type="dxa"/>
            <w:shd w:val="clear" w:color="auto" w:fill="auto"/>
          </w:tcPr>
          <w:p w14:paraId="3E975EE9" w14:textId="32E001F4"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Biologic monotherapy</w:t>
            </w:r>
            <w:r w:rsidRPr="0049490E">
              <w:rPr>
                <w:rFonts w:ascii="Book Antiqua" w:eastAsiaTheme="minorHAnsi" w:hAnsi="Book Antiqua" w:cs="Arial Narrow"/>
                <w:color w:val="000000"/>
                <w:vertAlign w:val="superscript"/>
                <w:lang w:val="en-US"/>
              </w:rPr>
              <w:t>1</w:t>
            </w:r>
          </w:p>
        </w:tc>
        <w:tc>
          <w:tcPr>
            <w:tcW w:w="729" w:type="dxa"/>
            <w:shd w:val="clear" w:color="auto" w:fill="auto"/>
          </w:tcPr>
          <w:p w14:paraId="5020DB92" w14:textId="23A036E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(31.7</w:t>
            </w:r>
            <w:r w:rsidR="00727D4A" w:rsidRPr="0049490E">
              <w:rPr>
                <w:rFonts w:ascii="Book Antiqua" w:eastAsiaTheme="minorHAnsi" w:hAnsi="Book Antiqua" w:cs="Arial Narrow"/>
                <w:color w:val="000000"/>
                <w:lang w:val="en-US"/>
              </w:rPr>
              <w:t>)</w:t>
            </w:r>
          </w:p>
        </w:tc>
        <w:tc>
          <w:tcPr>
            <w:tcW w:w="832" w:type="dxa"/>
            <w:shd w:val="clear" w:color="auto" w:fill="auto"/>
          </w:tcPr>
          <w:p w14:paraId="17946275" w14:textId="36FEF7E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(34.2</w:t>
            </w:r>
            <w:r w:rsidR="00727D4A" w:rsidRPr="0049490E">
              <w:rPr>
                <w:rFonts w:ascii="Book Antiqua" w:eastAsiaTheme="minorHAnsi" w:hAnsi="Book Antiqua" w:cs="Arial Narrow"/>
                <w:color w:val="000000"/>
                <w:lang w:val="en-US"/>
              </w:rPr>
              <w:t>)</w:t>
            </w:r>
          </w:p>
        </w:tc>
        <w:tc>
          <w:tcPr>
            <w:tcW w:w="825" w:type="dxa"/>
            <w:shd w:val="clear" w:color="auto" w:fill="auto"/>
          </w:tcPr>
          <w:p w14:paraId="3291E3FE" w14:textId="4E7A095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(12.5</w:t>
            </w:r>
            <w:r w:rsidR="00727D4A" w:rsidRPr="0049490E">
              <w:rPr>
                <w:rFonts w:ascii="Book Antiqua" w:eastAsiaTheme="minorHAnsi" w:hAnsi="Book Antiqua" w:cs="Arial Narrow"/>
                <w:color w:val="000000"/>
                <w:lang w:val="en-US"/>
              </w:rPr>
              <w:t>)</w:t>
            </w:r>
          </w:p>
        </w:tc>
        <w:tc>
          <w:tcPr>
            <w:tcW w:w="832" w:type="dxa"/>
            <w:shd w:val="clear" w:color="auto" w:fill="auto"/>
          </w:tcPr>
          <w:p w14:paraId="21E457AC" w14:textId="6671DFF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(41.9</w:t>
            </w:r>
            <w:r w:rsidR="00727D4A" w:rsidRPr="0049490E">
              <w:rPr>
                <w:rFonts w:ascii="Book Antiqua" w:eastAsiaTheme="minorHAnsi" w:hAnsi="Book Antiqua" w:cs="Arial Narrow"/>
                <w:color w:val="000000"/>
                <w:lang w:val="en-US"/>
              </w:rPr>
              <w:t>)</w:t>
            </w:r>
          </w:p>
        </w:tc>
        <w:tc>
          <w:tcPr>
            <w:tcW w:w="832" w:type="dxa"/>
            <w:shd w:val="clear" w:color="auto" w:fill="auto"/>
          </w:tcPr>
          <w:p w14:paraId="50043780" w14:textId="3E42AB3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17 (68</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4CD2176B" w14:textId="3B43653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(22.7</w:t>
            </w:r>
            <w:r w:rsidR="00727D4A" w:rsidRPr="0049490E">
              <w:rPr>
                <w:rFonts w:ascii="Book Antiqua" w:eastAsiaTheme="minorHAnsi" w:hAnsi="Book Antiqua" w:cs="Arial Narrow"/>
                <w:color w:val="000000"/>
                <w:lang w:val="en-US"/>
              </w:rPr>
              <w:t>)</w:t>
            </w:r>
          </w:p>
        </w:tc>
        <w:tc>
          <w:tcPr>
            <w:tcW w:w="838" w:type="dxa"/>
            <w:shd w:val="clear" w:color="auto" w:fill="auto"/>
          </w:tcPr>
          <w:p w14:paraId="32D94F9E" w14:textId="1C32AF1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(16.7</w:t>
            </w:r>
            <w:r w:rsidR="00727D4A" w:rsidRPr="0049490E">
              <w:rPr>
                <w:rFonts w:ascii="Book Antiqua" w:eastAsiaTheme="minorHAnsi" w:hAnsi="Book Antiqua" w:cs="Arial Narrow"/>
                <w:color w:val="000000"/>
                <w:lang w:val="en-US"/>
              </w:rPr>
              <w:t>)</w:t>
            </w:r>
          </w:p>
        </w:tc>
        <w:tc>
          <w:tcPr>
            <w:tcW w:w="714" w:type="dxa"/>
            <w:shd w:val="clear" w:color="auto" w:fill="auto"/>
          </w:tcPr>
          <w:p w14:paraId="55D041E1" w14:textId="42AEA9C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317C3AA4" w14:textId="014940D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(38.5</w:t>
            </w:r>
            <w:r w:rsidR="00727D4A" w:rsidRPr="0049490E">
              <w:rPr>
                <w:rFonts w:ascii="Book Antiqua" w:eastAsiaTheme="minorHAnsi" w:hAnsi="Book Antiqua" w:cs="Arial Narrow"/>
                <w:color w:val="000000"/>
                <w:lang w:val="en-US"/>
              </w:rPr>
              <w:t>)</w:t>
            </w:r>
          </w:p>
        </w:tc>
        <w:tc>
          <w:tcPr>
            <w:tcW w:w="944" w:type="dxa"/>
            <w:shd w:val="clear" w:color="auto" w:fill="auto"/>
          </w:tcPr>
          <w:p w14:paraId="05E2809F" w14:textId="6D7B2D2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(41.7</w:t>
            </w:r>
            <w:r w:rsidR="00727D4A" w:rsidRPr="0049490E">
              <w:rPr>
                <w:rFonts w:ascii="Book Antiqua" w:eastAsiaTheme="minorHAnsi" w:hAnsi="Book Antiqua" w:cs="Arial Narrow"/>
                <w:color w:val="000000"/>
                <w:lang w:val="en-US"/>
              </w:rPr>
              <w:t>)</w:t>
            </w:r>
          </w:p>
        </w:tc>
        <w:tc>
          <w:tcPr>
            <w:tcW w:w="720" w:type="dxa"/>
            <w:shd w:val="clear" w:color="auto" w:fill="auto"/>
          </w:tcPr>
          <w:p w14:paraId="5D6CFB79" w14:textId="5F1141A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(14.3</w:t>
            </w:r>
            <w:r w:rsidR="00727D4A" w:rsidRPr="0049490E">
              <w:rPr>
                <w:rFonts w:ascii="Book Antiqua" w:eastAsiaTheme="minorHAnsi" w:hAnsi="Book Antiqua" w:cs="Arial Narrow"/>
                <w:color w:val="000000"/>
                <w:lang w:val="en-US"/>
              </w:rPr>
              <w:t>)</w:t>
            </w:r>
          </w:p>
        </w:tc>
        <w:tc>
          <w:tcPr>
            <w:tcW w:w="721" w:type="dxa"/>
            <w:shd w:val="clear" w:color="auto" w:fill="auto"/>
          </w:tcPr>
          <w:p w14:paraId="38F83523"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251B53F0" w14:textId="0D771AE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40" w:type="dxa"/>
            <w:shd w:val="clear" w:color="auto" w:fill="auto"/>
          </w:tcPr>
          <w:p w14:paraId="246FD7F6" w14:textId="5309D30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3724FDBE"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6E5B6C2A" w14:textId="214151E5"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 xml:space="preserve">Biologic + </w:t>
            </w:r>
            <w:r w:rsidR="006E3426" w:rsidRPr="0049490E">
              <w:rPr>
                <w:rFonts w:ascii="Book Antiqua" w:eastAsiaTheme="minorHAnsi" w:hAnsi="Book Antiqua" w:cs="Arial Narrow"/>
                <w:color w:val="000000"/>
                <w:lang w:val="en-US"/>
              </w:rPr>
              <w:t>oral steroids</w:t>
            </w:r>
            <w:r w:rsidR="006E3426" w:rsidRPr="0049490E">
              <w:rPr>
                <w:rFonts w:ascii="Book Antiqua" w:eastAsiaTheme="minorHAnsi" w:hAnsi="Book Antiqua" w:cs="Arial Narrow"/>
                <w:color w:val="000000"/>
                <w:vertAlign w:val="superscript"/>
                <w:lang w:val="en-US"/>
              </w:rPr>
              <w:t>2</w:t>
            </w:r>
          </w:p>
        </w:tc>
        <w:tc>
          <w:tcPr>
            <w:tcW w:w="729" w:type="dxa"/>
            <w:shd w:val="clear" w:color="auto" w:fill="auto"/>
          </w:tcPr>
          <w:p w14:paraId="44517507" w14:textId="484F58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(7.7</w:t>
            </w:r>
            <w:r w:rsidR="00727D4A" w:rsidRPr="0049490E">
              <w:rPr>
                <w:rFonts w:ascii="Book Antiqua" w:eastAsiaTheme="minorHAnsi" w:hAnsi="Book Antiqua" w:cs="Arial Narrow"/>
                <w:color w:val="000000"/>
                <w:lang w:val="en-US"/>
              </w:rPr>
              <w:t>)</w:t>
            </w:r>
          </w:p>
        </w:tc>
        <w:tc>
          <w:tcPr>
            <w:tcW w:w="832" w:type="dxa"/>
            <w:shd w:val="clear" w:color="auto" w:fill="auto"/>
          </w:tcPr>
          <w:p w14:paraId="04036B6F" w14:textId="6C80E7C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(23.1</w:t>
            </w:r>
            <w:r w:rsidR="00727D4A" w:rsidRPr="0049490E">
              <w:rPr>
                <w:rFonts w:ascii="Book Antiqua" w:eastAsiaTheme="minorHAnsi" w:hAnsi="Book Antiqua" w:cs="Arial Narrow"/>
                <w:color w:val="000000"/>
                <w:lang w:val="en-US"/>
              </w:rPr>
              <w:t>)</w:t>
            </w:r>
          </w:p>
        </w:tc>
        <w:tc>
          <w:tcPr>
            <w:tcW w:w="825" w:type="dxa"/>
            <w:shd w:val="clear" w:color="auto" w:fill="auto"/>
          </w:tcPr>
          <w:p w14:paraId="123D254B" w14:textId="357DD7B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4ECC68EA" w14:textId="37C998F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12E1BB77" w14:textId="66DFB2F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(5.9</w:t>
            </w:r>
            <w:r w:rsidR="00727D4A" w:rsidRPr="0049490E">
              <w:rPr>
                <w:rFonts w:ascii="Book Antiqua" w:eastAsiaTheme="minorHAnsi" w:hAnsi="Book Antiqua" w:cs="Arial Narrow"/>
                <w:color w:val="000000"/>
                <w:lang w:val="en-US"/>
              </w:rPr>
              <w:t>)</w:t>
            </w:r>
          </w:p>
        </w:tc>
        <w:tc>
          <w:tcPr>
            <w:tcW w:w="833" w:type="dxa"/>
            <w:shd w:val="clear" w:color="auto" w:fill="auto"/>
          </w:tcPr>
          <w:p w14:paraId="78E191A1" w14:textId="53B21F3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009CBFAF"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14" w:type="dxa"/>
            <w:shd w:val="clear" w:color="auto" w:fill="auto"/>
          </w:tcPr>
          <w:p w14:paraId="18724929" w14:textId="1C0F324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736D604A" w14:textId="2B56FAD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(20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944" w:type="dxa"/>
            <w:shd w:val="clear" w:color="auto" w:fill="auto"/>
          </w:tcPr>
          <w:p w14:paraId="4613FDA4" w14:textId="6317131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07F65D77" w14:textId="7B8CFC6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116C4C64"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02BB479D" w14:textId="19B6D19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65B6F6C0" w14:textId="361017E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7CC9292A" w14:textId="77777777" w:rsidTr="002D78D4">
        <w:trPr>
          <w:trHeight w:val="300"/>
        </w:trPr>
        <w:tc>
          <w:tcPr>
            <w:tcW w:w="2063" w:type="dxa"/>
            <w:shd w:val="clear" w:color="auto" w:fill="auto"/>
          </w:tcPr>
          <w:p w14:paraId="21273246" w14:textId="65DB0E6F"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Combo therapy</w:t>
            </w:r>
            <w:r w:rsidR="00727D4A" w:rsidRPr="0049490E">
              <w:rPr>
                <w:rFonts w:ascii="Book Antiqua" w:eastAsiaTheme="minorHAnsi" w:hAnsi="Book Antiqua" w:cs="Arial Narrow"/>
                <w:color w:val="000000"/>
                <w:vertAlign w:val="superscript"/>
                <w:lang w:val="en-US"/>
              </w:rPr>
              <w:t>3</w:t>
            </w:r>
          </w:p>
        </w:tc>
        <w:tc>
          <w:tcPr>
            <w:tcW w:w="729" w:type="dxa"/>
            <w:shd w:val="clear" w:color="auto" w:fill="auto"/>
          </w:tcPr>
          <w:p w14:paraId="77C06F82" w14:textId="70E9F8B1"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(17.1</w:t>
            </w:r>
            <w:r w:rsidR="00727D4A" w:rsidRPr="0049490E">
              <w:rPr>
                <w:rFonts w:ascii="Book Antiqua" w:eastAsiaTheme="minorHAnsi" w:hAnsi="Book Antiqua" w:cs="Arial Narrow"/>
                <w:color w:val="000000"/>
                <w:lang w:val="en-US"/>
              </w:rPr>
              <w:t>)</w:t>
            </w:r>
          </w:p>
        </w:tc>
        <w:tc>
          <w:tcPr>
            <w:tcW w:w="832" w:type="dxa"/>
            <w:shd w:val="clear" w:color="auto" w:fill="auto"/>
          </w:tcPr>
          <w:p w14:paraId="2C82C464" w14:textId="42A7272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(15.8</w:t>
            </w:r>
            <w:r w:rsidR="00727D4A" w:rsidRPr="0049490E">
              <w:rPr>
                <w:rFonts w:ascii="Book Antiqua" w:eastAsiaTheme="minorHAnsi" w:hAnsi="Book Antiqua" w:cs="Arial Narrow"/>
                <w:color w:val="000000"/>
                <w:lang w:val="en-US"/>
              </w:rPr>
              <w:t>)</w:t>
            </w:r>
          </w:p>
        </w:tc>
        <w:tc>
          <w:tcPr>
            <w:tcW w:w="825" w:type="dxa"/>
            <w:shd w:val="clear" w:color="auto" w:fill="auto"/>
          </w:tcPr>
          <w:p w14:paraId="2FB4F50A" w14:textId="6384689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(6.3</w:t>
            </w:r>
            <w:r w:rsidR="00727D4A" w:rsidRPr="0049490E">
              <w:rPr>
                <w:rFonts w:ascii="Book Antiqua" w:eastAsiaTheme="minorHAnsi" w:hAnsi="Book Antiqua" w:cs="Arial Narrow"/>
                <w:color w:val="000000"/>
                <w:lang w:val="en-US"/>
              </w:rPr>
              <w:t>)</w:t>
            </w:r>
          </w:p>
        </w:tc>
        <w:tc>
          <w:tcPr>
            <w:tcW w:w="832" w:type="dxa"/>
            <w:shd w:val="clear" w:color="auto" w:fill="auto"/>
          </w:tcPr>
          <w:p w14:paraId="4C2949C3" w14:textId="63305A2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(19.4</w:t>
            </w:r>
            <w:r w:rsidR="00727D4A" w:rsidRPr="0049490E">
              <w:rPr>
                <w:rFonts w:ascii="Book Antiqua" w:eastAsiaTheme="minorHAnsi" w:hAnsi="Book Antiqua" w:cs="Arial Narrow"/>
                <w:color w:val="000000"/>
                <w:lang w:val="en-US"/>
              </w:rPr>
              <w:t>)</w:t>
            </w:r>
          </w:p>
        </w:tc>
        <w:tc>
          <w:tcPr>
            <w:tcW w:w="832" w:type="dxa"/>
            <w:shd w:val="clear" w:color="auto" w:fill="auto"/>
          </w:tcPr>
          <w:p w14:paraId="66FFA277" w14:textId="10F844B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(16</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7808AD42"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7FEBAABE" w14:textId="269675B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(27.8</w:t>
            </w:r>
            <w:r w:rsidR="00727D4A" w:rsidRPr="0049490E">
              <w:rPr>
                <w:rFonts w:ascii="Book Antiqua" w:eastAsiaTheme="minorHAnsi" w:hAnsi="Book Antiqua" w:cs="Arial Narrow"/>
                <w:color w:val="000000"/>
                <w:lang w:val="en-US"/>
              </w:rPr>
              <w:t>)</w:t>
            </w:r>
          </w:p>
        </w:tc>
        <w:tc>
          <w:tcPr>
            <w:tcW w:w="714" w:type="dxa"/>
            <w:shd w:val="clear" w:color="auto" w:fill="auto"/>
          </w:tcPr>
          <w:p w14:paraId="0F023F46" w14:textId="0C4B59A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(12.5</w:t>
            </w:r>
            <w:r w:rsidR="00727D4A" w:rsidRPr="0049490E">
              <w:rPr>
                <w:rFonts w:ascii="Book Antiqua" w:eastAsiaTheme="minorHAnsi" w:hAnsi="Book Antiqua" w:cs="Arial Narrow"/>
                <w:color w:val="000000"/>
                <w:lang w:val="en-US"/>
              </w:rPr>
              <w:t>)</w:t>
            </w:r>
          </w:p>
        </w:tc>
        <w:tc>
          <w:tcPr>
            <w:tcW w:w="833" w:type="dxa"/>
            <w:shd w:val="clear" w:color="auto" w:fill="auto"/>
          </w:tcPr>
          <w:p w14:paraId="64422AD5" w14:textId="429C74F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(15.4</w:t>
            </w:r>
            <w:r w:rsidR="00727D4A" w:rsidRPr="0049490E">
              <w:rPr>
                <w:rFonts w:ascii="Book Antiqua" w:eastAsiaTheme="minorHAnsi" w:hAnsi="Book Antiqua" w:cs="Arial Narrow"/>
                <w:color w:val="000000"/>
                <w:lang w:val="en-US"/>
              </w:rPr>
              <w:t>)</w:t>
            </w:r>
          </w:p>
        </w:tc>
        <w:tc>
          <w:tcPr>
            <w:tcW w:w="944" w:type="dxa"/>
            <w:shd w:val="clear" w:color="auto" w:fill="auto"/>
          </w:tcPr>
          <w:p w14:paraId="59721561" w14:textId="2EC239E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(8.3</w:t>
            </w:r>
            <w:r w:rsidR="00727D4A" w:rsidRPr="0049490E">
              <w:rPr>
                <w:rFonts w:ascii="Book Antiqua" w:eastAsiaTheme="minorHAnsi" w:hAnsi="Book Antiqua" w:cs="Arial Narrow"/>
                <w:color w:val="000000"/>
                <w:lang w:val="en-US"/>
              </w:rPr>
              <w:t>)</w:t>
            </w:r>
          </w:p>
        </w:tc>
        <w:tc>
          <w:tcPr>
            <w:tcW w:w="720" w:type="dxa"/>
            <w:shd w:val="clear" w:color="auto" w:fill="auto"/>
          </w:tcPr>
          <w:p w14:paraId="08AB0894" w14:textId="2AB1089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(14.3</w:t>
            </w:r>
            <w:r w:rsidR="00727D4A" w:rsidRPr="0049490E">
              <w:rPr>
                <w:rFonts w:ascii="Book Antiqua" w:eastAsiaTheme="minorHAnsi" w:hAnsi="Book Antiqua" w:cs="Arial Narrow"/>
                <w:color w:val="000000"/>
                <w:lang w:val="en-US"/>
              </w:rPr>
              <w:t>)</w:t>
            </w:r>
          </w:p>
        </w:tc>
        <w:tc>
          <w:tcPr>
            <w:tcW w:w="721" w:type="dxa"/>
            <w:shd w:val="clear" w:color="auto" w:fill="auto"/>
          </w:tcPr>
          <w:p w14:paraId="2474BD2E" w14:textId="0A50B04C"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shd w:val="clear" w:color="auto" w:fill="auto"/>
          </w:tcPr>
          <w:p w14:paraId="2D8A5605" w14:textId="596FFA1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2F12BC28" w14:textId="01176D9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(33.3</w:t>
            </w:r>
            <w:r w:rsidR="00727D4A" w:rsidRPr="0049490E">
              <w:rPr>
                <w:rFonts w:ascii="Book Antiqua" w:eastAsiaTheme="minorHAnsi" w:hAnsi="Book Antiqua" w:cs="Arial Narrow"/>
                <w:color w:val="000000"/>
                <w:lang w:val="en-US"/>
              </w:rPr>
              <w:t>)</w:t>
            </w:r>
          </w:p>
        </w:tc>
      </w:tr>
      <w:tr w:rsidR="00C0546A" w:rsidRPr="0049490E" w14:paraId="1A466DE2"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4C3D19E8" w14:textId="193F2CE5"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b/>
                <w:bCs/>
                <w:color w:val="000000"/>
                <w:vertAlign w:val="superscript"/>
                <w:lang w:val="en-US"/>
              </w:rPr>
            </w:pPr>
            <w:r w:rsidRPr="0049490E">
              <w:rPr>
                <w:rFonts w:ascii="Book Antiqua" w:eastAsiaTheme="minorHAnsi" w:hAnsi="Book Antiqua" w:cs="Arial Narrow"/>
                <w:color w:val="000000"/>
                <w:lang w:val="en-US"/>
              </w:rPr>
              <w:t>Combo therapy</w:t>
            </w:r>
            <w:r w:rsidR="00727D4A" w:rsidRPr="0049490E">
              <w:rPr>
                <w:rFonts w:ascii="Book Antiqua" w:eastAsiaTheme="minorHAnsi" w:hAnsi="Book Antiqua" w:cs="Arial Narrow"/>
                <w:color w:val="000000"/>
                <w:vertAlign w:val="superscript"/>
                <w:lang w:val="en-US"/>
              </w:rPr>
              <w:t>3</w:t>
            </w:r>
            <w:r w:rsidR="00727D4A" w:rsidRPr="0049490E">
              <w:rPr>
                <w:rFonts w:ascii="Book Antiqua" w:eastAsiaTheme="minorHAnsi" w:hAnsi="Book Antiqua" w:cs="Arial Narrow"/>
                <w:color w:val="000000"/>
                <w:lang w:val="en-US"/>
              </w:rPr>
              <w:t xml:space="preserve"> </w:t>
            </w:r>
            <w:r w:rsidRPr="0049490E">
              <w:rPr>
                <w:rFonts w:ascii="Book Antiqua" w:eastAsiaTheme="minorHAnsi" w:hAnsi="Book Antiqua" w:cs="Arial Narrow"/>
                <w:color w:val="000000"/>
                <w:lang w:val="en-US"/>
              </w:rPr>
              <w:t xml:space="preserve">+ </w:t>
            </w:r>
            <w:r w:rsidR="006E3426" w:rsidRPr="0049490E">
              <w:rPr>
                <w:rFonts w:ascii="Book Antiqua" w:eastAsiaTheme="minorHAnsi" w:hAnsi="Book Antiqua" w:cs="Arial Narrow"/>
                <w:color w:val="000000"/>
                <w:lang w:val="en-US"/>
              </w:rPr>
              <w:t>oral steroids</w:t>
            </w:r>
            <w:r w:rsidR="006E3426" w:rsidRPr="0049490E">
              <w:rPr>
                <w:rFonts w:ascii="Book Antiqua" w:eastAsiaTheme="minorHAnsi" w:hAnsi="Book Antiqua" w:cs="Arial Narrow"/>
                <w:color w:val="000000"/>
                <w:vertAlign w:val="superscript"/>
                <w:lang w:val="en-US"/>
              </w:rPr>
              <w:t>2</w:t>
            </w:r>
          </w:p>
        </w:tc>
        <w:tc>
          <w:tcPr>
            <w:tcW w:w="729" w:type="dxa"/>
            <w:shd w:val="clear" w:color="auto" w:fill="auto"/>
          </w:tcPr>
          <w:p w14:paraId="5F17B79D" w14:textId="242CA75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832" w:type="dxa"/>
            <w:shd w:val="clear" w:color="auto" w:fill="auto"/>
          </w:tcPr>
          <w:p w14:paraId="2BEBF62D" w14:textId="26E30E5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25" w:type="dxa"/>
            <w:shd w:val="clear" w:color="auto" w:fill="auto"/>
          </w:tcPr>
          <w:p w14:paraId="164FE4A8" w14:textId="605F05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2" w:type="dxa"/>
            <w:shd w:val="clear" w:color="auto" w:fill="auto"/>
          </w:tcPr>
          <w:p w14:paraId="1203BF60" w14:textId="44064F4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2" w:type="dxa"/>
            <w:shd w:val="clear" w:color="auto" w:fill="auto"/>
          </w:tcPr>
          <w:p w14:paraId="34D17E26" w14:textId="76B99A8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63E13B1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8" w:type="dxa"/>
            <w:shd w:val="clear" w:color="auto" w:fill="auto"/>
          </w:tcPr>
          <w:p w14:paraId="52A4BF8A" w14:textId="3258435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(40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14" w:type="dxa"/>
            <w:shd w:val="clear" w:color="auto" w:fill="auto"/>
          </w:tcPr>
          <w:p w14:paraId="1554F75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833" w:type="dxa"/>
            <w:shd w:val="clear" w:color="auto" w:fill="auto"/>
          </w:tcPr>
          <w:p w14:paraId="77A16EC9" w14:textId="33423AE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944" w:type="dxa"/>
            <w:shd w:val="clear" w:color="auto" w:fill="auto"/>
          </w:tcPr>
          <w:p w14:paraId="07241F57" w14:textId="7C76232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0FD30C13" w14:textId="0C3F24C4"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1" w:type="dxa"/>
            <w:shd w:val="clear" w:color="auto" w:fill="auto"/>
          </w:tcPr>
          <w:p w14:paraId="2E82E29C"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20" w:type="dxa"/>
            <w:shd w:val="clear" w:color="auto" w:fill="auto"/>
          </w:tcPr>
          <w:p w14:paraId="6E3C4CDE"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c>
          <w:tcPr>
            <w:tcW w:w="740" w:type="dxa"/>
            <w:shd w:val="clear" w:color="auto" w:fill="auto"/>
          </w:tcPr>
          <w:p w14:paraId="1A5DC475" w14:textId="0116462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7FE3964B" w14:textId="77777777" w:rsidTr="002D78D4">
        <w:trPr>
          <w:trHeight w:val="300"/>
        </w:trPr>
        <w:tc>
          <w:tcPr>
            <w:tcW w:w="2063" w:type="dxa"/>
            <w:shd w:val="clear" w:color="auto" w:fill="auto"/>
          </w:tcPr>
          <w:p w14:paraId="1AF2457B" w14:textId="2B5B210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Risk</w:t>
            </w:r>
            <w:r w:rsidR="00727D4A" w:rsidRPr="0049490E">
              <w:rPr>
                <w:rFonts w:ascii="Book Antiqua" w:eastAsiaTheme="minorHAnsi" w:hAnsi="Book Antiqua" w:cs="Arial Narrow"/>
                <w:color w:val="000000"/>
                <w:lang w:val="en-US"/>
              </w:rPr>
              <w:t xml:space="preserve"> c</w:t>
            </w:r>
            <w:r w:rsidRPr="0049490E">
              <w:rPr>
                <w:rFonts w:ascii="Book Antiqua" w:eastAsiaTheme="minorHAnsi" w:hAnsi="Book Antiqua" w:cs="Arial Narrow"/>
                <w:color w:val="000000"/>
                <w:lang w:val="en-US"/>
              </w:rPr>
              <w:t>lassification</w:t>
            </w:r>
          </w:p>
        </w:tc>
        <w:tc>
          <w:tcPr>
            <w:tcW w:w="729" w:type="dxa"/>
            <w:shd w:val="clear" w:color="auto" w:fill="auto"/>
          </w:tcPr>
          <w:p w14:paraId="5B603302"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1491BDD4"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25" w:type="dxa"/>
            <w:shd w:val="clear" w:color="auto" w:fill="auto"/>
          </w:tcPr>
          <w:p w14:paraId="362C2949"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5738A2FF"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2" w:type="dxa"/>
            <w:shd w:val="clear" w:color="auto" w:fill="auto"/>
          </w:tcPr>
          <w:p w14:paraId="32D1E36F"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390EE826"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8" w:type="dxa"/>
            <w:shd w:val="clear" w:color="auto" w:fill="auto"/>
          </w:tcPr>
          <w:p w14:paraId="0BECD6F2"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14" w:type="dxa"/>
            <w:shd w:val="clear" w:color="auto" w:fill="auto"/>
          </w:tcPr>
          <w:p w14:paraId="17FEACED"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833" w:type="dxa"/>
            <w:shd w:val="clear" w:color="auto" w:fill="auto"/>
          </w:tcPr>
          <w:p w14:paraId="203CBD9E"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944" w:type="dxa"/>
            <w:shd w:val="clear" w:color="auto" w:fill="auto"/>
          </w:tcPr>
          <w:p w14:paraId="55430EBE"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08997FA5"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1" w:type="dxa"/>
            <w:shd w:val="clear" w:color="auto" w:fill="auto"/>
          </w:tcPr>
          <w:p w14:paraId="03C290A5"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20" w:type="dxa"/>
            <w:shd w:val="clear" w:color="auto" w:fill="auto"/>
          </w:tcPr>
          <w:p w14:paraId="5A33CA27"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c>
          <w:tcPr>
            <w:tcW w:w="740" w:type="dxa"/>
            <w:shd w:val="clear" w:color="auto" w:fill="auto"/>
          </w:tcPr>
          <w:p w14:paraId="0FDF2D90" w14:textId="7777777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p>
        </w:tc>
      </w:tr>
      <w:tr w:rsidR="00C0546A" w:rsidRPr="0049490E" w14:paraId="32057E73" w14:textId="77777777" w:rsidTr="002D78D4">
        <w:trPr>
          <w:cnfStyle w:val="000000100000" w:firstRow="0" w:lastRow="0" w:firstColumn="0" w:lastColumn="0" w:oddVBand="0" w:evenVBand="0" w:oddHBand="1" w:evenHBand="0" w:firstRowFirstColumn="0" w:firstRowLastColumn="0" w:lastRowFirstColumn="0" w:lastRowLastColumn="0"/>
          <w:trHeight w:val="300"/>
        </w:trPr>
        <w:tc>
          <w:tcPr>
            <w:tcW w:w="2063" w:type="dxa"/>
            <w:shd w:val="clear" w:color="auto" w:fill="auto"/>
          </w:tcPr>
          <w:p w14:paraId="5909C929" w14:textId="56F94E90"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lastRenderedPageBreak/>
              <w:t>Low</w:t>
            </w:r>
          </w:p>
        </w:tc>
        <w:tc>
          <w:tcPr>
            <w:tcW w:w="729" w:type="dxa"/>
            <w:shd w:val="clear" w:color="auto" w:fill="auto"/>
          </w:tcPr>
          <w:p w14:paraId="677704EE" w14:textId="5F0F8F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10 (24.4</w:t>
            </w:r>
            <w:r w:rsidR="00727D4A" w:rsidRPr="0049490E">
              <w:rPr>
                <w:rFonts w:ascii="Book Antiqua" w:eastAsiaTheme="minorHAnsi" w:hAnsi="Book Antiqua" w:cs="Arial Narrow"/>
                <w:color w:val="000000"/>
                <w:lang w:val="en-US"/>
              </w:rPr>
              <w:t>)</w:t>
            </w:r>
          </w:p>
        </w:tc>
        <w:tc>
          <w:tcPr>
            <w:tcW w:w="832" w:type="dxa"/>
            <w:shd w:val="clear" w:color="auto" w:fill="auto"/>
          </w:tcPr>
          <w:p w14:paraId="5C0512E6" w14:textId="3860B54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(18.4</w:t>
            </w:r>
            <w:r w:rsidR="00727D4A" w:rsidRPr="0049490E">
              <w:rPr>
                <w:rFonts w:ascii="Book Antiqua" w:eastAsiaTheme="minorHAnsi" w:hAnsi="Book Antiqua" w:cs="Arial Narrow"/>
                <w:color w:val="000000"/>
                <w:lang w:val="en-US"/>
              </w:rPr>
              <w:t>)</w:t>
            </w:r>
          </w:p>
        </w:tc>
        <w:tc>
          <w:tcPr>
            <w:tcW w:w="825" w:type="dxa"/>
            <w:shd w:val="clear" w:color="auto" w:fill="auto"/>
          </w:tcPr>
          <w:p w14:paraId="49B2E5BC" w14:textId="259689D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13 (40.6</w:t>
            </w:r>
            <w:r w:rsidR="00727D4A" w:rsidRPr="0049490E">
              <w:rPr>
                <w:rFonts w:ascii="Book Antiqua" w:eastAsiaTheme="minorHAnsi" w:hAnsi="Book Antiqua" w:cs="Arial Narrow"/>
                <w:color w:val="000000"/>
                <w:lang w:val="en-US"/>
              </w:rPr>
              <w:t>)</w:t>
            </w:r>
          </w:p>
        </w:tc>
        <w:tc>
          <w:tcPr>
            <w:tcW w:w="832" w:type="dxa"/>
            <w:shd w:val="clear" w:color="auto" w:fill="auto"/>
          </w:tcPr>
          <w:p w14:paraId="6F243184" w14:textId="7BCDE4F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(12.9</w:t>
            </w:r>
            <w:r w:rsidR="00727D4A" w:rsidRPr="0049490E">
              <w:rPr>
                <w:rFonts w:ascii="Book Antiqua" w:eastAsiaTheme="minorHAnsi" w:hAnsi="Book Antiqua" w:cs="Arial Narrow"/>
                <w:color w:val="000000"/>
                <w:lang w:val="en-US"/>
              </w:rPr>
              <w:t>)</w:t>
            </w:r>
          </w:p>
        </w:tc>
        <w:tc>
          <w:tcPr>
            <w:tcW w:w="832" w:type="dxa"/>
            <w:shd w:val="clear" w:color="auto" w:fill="auto"/>
          </w:tcPr>
          <w:p w14:paraId="5A8C7516" w14:textId="7274E43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(12</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5974A8A1" w14:textId="790B521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(40.9</w:t>
            </w:r>
            <w:r w:rsidR="00727D4A" w:rsidRPr="0049490E">
              <w:rPr>
                <w:rFonts w:ascii="Book Antiqua" w:eastAsiaTheme="minorHAnsi" w:hAnsi="Book Antiqua" w:cs="Arial Narrow"/>
                <w:color w:val="000000"/>
                <w:lang w:val="en-US"/>
              </w:rPr>
              <w:t>)</w:t>
            </w:r>
          </w:p>
        </w:tc>
        <w:tc>
          <w:tcPr>
            <w:tcW w:w="838" w:type="dxa"/>
            <w:shd w:val="clear" w:color="auto" w:fill="auto"/>
          </w:tcPr>
          <w:p w14:paraId="6B7607F2" w14:textId="763E173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(33.3</w:t>
            </w:r>
            <w:r w:rsidR="00727D4A" w:rsidRPr="0049490E">
              <w:rPr>
                <w:rFonts w:ascii="Book Antiqua" w:eastAsiaTheme="minorHAnsi" w:hAnsi="Book Antiqua" w:cs="Arial Narrow"/>
                <w:color w:val="000000"/>
                <w:lang w:val="en-US"/>
              </w:rPr>
              <w:t>)</w:t>
            </w:r>
          </w:p>
        </w:tc>
        <w:tc>
          <w:tcPr>
            <w:tcW w:w="714" w:type="dxa"/>
            <w:shd w:val="clear" w:color="auto" w:fill="auto"/>
          </w:tcPr>
          <w:p w14:paraId="2A1BB87D" w14:textId="672A49F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04816AB5" w14:textId="2BF61A0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(30.8</w:t>
            </w:r>
            <w:r w:rsidR="00727D4A" w:rsidRPr="0049490E">
              <w:rPr>
                <w:rFonts w:ascii="Book Antiqua" w:eastAsiaTheme="minorHAnsi" w:hAnsi="Book Antiqua" w:cs="Arial Narrow"/>
                <w:color w:val="000000"/>
                <w:lang w:val="en-US"/>
              </w:rPr>
              <w:t>)</w:t>
            </w:r>
          </w:p>
        </w:tc>
        <w:tc>
          <w:tcPr>
            <w:tcW w:w="944" w:type="dxa"/>
            <w:shd w:val="clear" w:color="auto" w:fill="auto"/>
          </w:tcPr>
          <w:p w14:paraId="73E74651" w14:textId="1262AA0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(25</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0A8183D8" w14:textId="587219FE"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(28.6</w:t>
            </w:r>
            <w:r w:rsidR="00727D4A" w:rsidRPr="0049490E">
              <w:rPr>
                <w:rFonts w:ascii="Book Antiqua" w:eastAsiaTheme="minorHAnsi" w:hAnsi="Book Antiqua" w:cs="Arial Narrow"/>
                <w:color w:val="000000"/>
                <w:lang w:val="en-US"/>
              </w:rPr>
              <w:t>)</w:t>
            </w:r>
          </w:p>
        </w:tc>
        <w:tc>
          <w:tcPr>
            <w:tcW w:w="721" w:type="dxa"/>
            <w:shd w:val="clear" w:color="auto" w:fill="auto"/>
          </w:tcPr>
          <w:p w14:paraId="25ABB708" w14:textId="6CBDCC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20" w:type="dxa"/>
            <w:shd w:val="clear" w:color="auto" w:fill="auto"/>
          </w:tcPr>
          <w:p w14:paraId="47998546" w14:textId="333835E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(33.3</w:t>
            </w:r>
            <w:r w:rsidR="00727D4A" w:rsidRPr="0049490E">
              <w:rPr>
                <w:rFonts w:ascii="Book Antiqua" w:eastAsiaTheme="minorHAnsi" w:hAnsi="Book Antiqua" w:cs="Arial Narrow"/>
                <w:color w:val="000000"/>
                <w:lang w:val="en-US"/>
              </w:rPr>
              <w:t>)</w:t>
            </w:r>
          </w:p>
        </w:tc>
        <w:tc>
          <w:tcPr>
            <w:tcW w:w="740" w:type="dxa"/>
            <w:shd w:val="clear" w:color="auto" w:fill="auto"/>
          </w:tcPr>
          <w:p w14:paraId="679AA053" w14:textId="5BEA7FF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r w:rsidR="00C0546A" w:rsidRPr="0049490E" w14:paraId="2A1C0C13" w14:textId="77777777" w:rsidTr="002D78D4">
        <w:trPr>
          <w:trHeight w:val="300"/>
        </w:trPr>
        <w:tc>
          <w:tcPr>
            <w:tcW w:w="2063" w:type="dxa"/>
            <w:shd w:val="clear" w:color="auto" w:fill="auto"/>
          </w:tcPr>
          <w:p w14:paraId="17D0C3A4" w14:textId="6FB509C9"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Medium</w:t>
            </w:r>
          </w:p>
        </w:tc>
        <w:tc>
          <w:tcPr>
            <w:tcW w:w="729" w:type="dxa"/>
            <w:shd w:val="clear" w:color="auto" w:fill="auto"/>
          </w:tcPr>
          <w:p w14:paraId="3EEE3774" w14:textId="73FFA53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24 (58.5</w:t>
            </w:r>
            <w:r w:rsidR="00727D4A" w:rsidRPr="0049490E">
              <w:rPr>
                <w:rFonts w:ascii="Book Antiqua" w:eastAsiaTheme="minorHAnsi" w:hAnsi="Book Antiqua" w:cs="Arial Narrow"/>
                <w:color w:val="000000"/>
                <w:lang w:val="en-US"/>
              </w:rPr>
              <w:t>)</w:t>
            </w:r>
          </w:p>
        </w:tc>
        <w:tc>
          <w:tcPr>
            <w:tcW w:w="832" w:type="dxa"/>
            <w:shd w:val="clear" w:color="auto" w:fill="auto"/>
          </w:tcPr>
          <w:p w14:paraId="53D244EA" w14:textId="6914CC1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22 (57.9</w:t>
            </w:r>
            <w:r w:rsidR="00727D4A" w:rsidRPr="0049490E">
              <w:rPr>
                <w:rFonts w:ascii="Book Antiqua" w:eastAsiaTheme="minorHAnsi" w:hAnsi="Book Antiqua" w:cs="Arial Narrow"/>
                <w:color w:val="000000"/>
                <w:lang w:val="en-US"/>
              </w:rPr>
              <w:t>)</w:t>
            </w:r>
          </w:p>
        </w:tc>
        <w:tc>
          <w:tcPr>
            <w:tcW w:w="825" w:type="dxa"/>
            <w:shd w:val="clear" w:color="auto" w:fill="auto"/>
          </w:tcPr>
          <w:p w14:paraId="44AAB4CD" w14:textId="76B4B38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14 (43.8</w:t>
            </w:r>
            <w:r w:rsidR="00727D4A" w:rsidRPr="0049490E">
              <w:rPr>
                <w:rFonts w:ascii="Book Antiqua" w:eastAsiaTheme="minorHAnsi" w:hAnsi="Book Antiqua" w:cs="Arial Narrow"/>
                <w:color w:val="000000"/>
                <w:lang w:val="en-US"/>
              </w:rPr>
              <w:t>)</w:t>
            </w:r>
          </w:p>
        </w:tc>
        <w:tc>
          <w:tcPr>
            <w:tcW w:w="832" w:type="dxa"/>
            <w:shd w:val="clear" w:color="auto" w:fill="auto"/>
          </w:tcPr>
          <w:p w14:paraId="63E6F69C" w14:textId="2050CB2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22 (71</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2" w:type="dxa"/>
            <w:shd w:val="clear" w:color="auto" w:fill="auto"/>
          </w:tcPr>
          <w:p w14:paraId="2E8FAC38" w14:textId="2D733AD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16 (64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shd w:val="clear" w:color="auto" w:fill="auto"/>
          </w:tcPr>
          <w:p w14:paraId="58CEA93F" w14:textId="517E063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11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8" w:type="dxa"/>
            <w:shd w:val="clear" w:color="auto" w:fill="auto"/>
          </w:tcPr>
          <w:p w14:paraId="0B3FCBFA" w14:textId="6278FF6F"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(22.2</w:t>
            </w:r>
            <w:r w:rsidR="00727D4A" w:rsidRPr="0049490E">
              <w:rPr>
                <w:rFonts w:ascii="Book Antiqua" w:eastAsiaTheme="minorHAnsi" w:hAnsi="Book Antiqua" w:cs="Arial Narrow"/>
                <w:color w:val="000000"/>
                <w:lang w:val="en-US"/>
              </w:rPr>
              <w:t>)</w:t>
            </w:r>
          </w:p>
        </w:tc>
        <w:tc>
          <w:tcPr>
            <w:tcW w:w="714" w:type="dxa"/>
            <w:shd w:val="clear" w:color="auto" w:fill="auto"/>
          </w:tcPr>
          <w:p w14:paraId="2980F37D" w14:textId="3D2C2C2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(37.5</w:t>
            </w:r>
            <w:r w:rsidR="00727D4A" w:rsidRPr="0049490E">
              <w:rPr>
                <w:rFonts w:ascii="Book Antiqua" w:eastAsiaTheme="minorHAnsi" w:hAnsi="Book Antiqua" w:cs="Arial Narrow"/>
                <w:color w:val="000000"/>
                <w:lang w:val="en-US"/>
              </w:rPr>
              <w:t>)</w:t>
            </w:r>
          </w:p>
        </w:tc>
        <w:tc>
          <w:tcPr>
            <w:tcW w:w="833" w:type="dxa"/>
            <w:shd w:val="clear" w:color="auto" w:fill="auto"/>
          </w:tcPr>
          <w:p w14:paraId="5309C8B1" w14:textId="215C967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(53.8</w:t>
            </w:r>
            <w:r w:rsidR="00727D4A" w:rsidRPr="0049490E">
              <w:rPr>
                <w:rFonts w:ascii="Book Antiqua" w:eastAsiaTheme="minorHAnsi" w:hAnsi="Book Antiqua" w:cs="Arial Narrow"/>
                <w:color w:val="000000"/>
                <w:lang w:val="en-US"/>
              </w:rPr>
              <w:t>)</w:t>
            </w:r>
          </w:p>
        </w:tc>
        <w:tc>
          <w:tcPr>
            <w:tcW w:w="944" w:type="dxa"/>
            <w:shd w:val="clear" w:color="auto" w:fill="auto"/>
          </w:tcPr>
          <w:p w14:paraId="396516AD" w14:textId="5A81A39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(58.3</w:t>
            </w:r>
            <w:r w:rsidR="00727D4A" w:rsidRPr="0049490E">
              <w:rPr>
                <w:rFonts w:ascii="Book Antiqua" w:eastAsiaTheme="minorHAnsi" w:hAnsi="Book Antiqua" w:cs="Arial Narrow"/>
                <w:color w:val="000000"/>
                <w:lang w:val="en-US"/>
              </w:rPr>
              <w:t>)</w:t>
            </w:r>
          </w:p>
        </w:tc>
        <w:tc>
          <w:tcPr>
            <w:tcW w:w="720" w:type="dxa"/>
            <w:shd w:val="clear" w:color="auto" w:fill="auto"/>
          </w:tcPr>
          <w:p w14:paraId="7623C5A8" w14:textId="044DEAF6"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4 (57.1</w:t>
            </w:r>
            <w:r w:rsidR="00727D4A" w:rsidRPr="0049490E">
              <w:rPr>
                <w:rFonts w:ascii="Book Antiqua" w:eastAsiaTheme="minorHAnsi" w:hAnsi="Book Antiqua" w:cs="Arial Narrow"/>
                <w:color w:val="000000"/>
                <w:lang w:val="en-US"/>
              </w:rPr>
              <w:t>)</w:t>
            </w:r>
          </w:p>
        </w:tc>
        <w:tc>
          <w:tcPr>
            <w:tcW w:w="721" w:type="dxa"/>
            <w:shd w:val="clear" w:color="auto" w:fill="auto"/>
          </w:tcPr>
          <w:p w14:paraId="5562C3ED" w14:textId="53E2012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(33.3</w:t>
            </w:r>
            <w:r w:rsidR="00727D4A" w:rsidRPr="0049490E">
              <w:rPr>
                <w:rFonts w:ascii="Book Antiqua" w:eastAsiaTheme="minorHAnsi" w:hAnsi="Book Antiqua" w:cs="Arial Narrow"/>
                <w:color w:val="000000"/>
                <w:lang w:val="en-US"/>
              </w:rPr>
              <w:t>)</w:t>
            </w:r>
          </w:p>
        </w:tc>
        <w:tc>
          <w:tcPr>
            <w:tcW w:w="720" w:type="dxa"/>
            <w:shd w:val="clear" w:color="auto" w:fill="auto"/>
          </w:tcPr>
          <w:p w14:paraId="49034BB7" w14:textId="20FA213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(50</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740" w:type="dxa"/>
            <w:shd w:val="clear" w:color="auto" w:fill="auto"/>
          </w:tcPr>
          <w:p w14:paraId="1E7C858C" w14:textId="41976A0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3 (100</w:t>
            </w:r>
            <w:r w:rsidR="00727D4A" w:rsidRPr="0049490E">
              <w:rPr>
                <w:rFonts w:ascii="Book Antiqua" w:eastAsiaTheme="minorHAnsi" w:hAnsi="Book Antiqua" w:cs="Arial Narrow"/>
                <w:color w:val="000000"/>
                <w:lang w:val="en-US"/>
              </w:rPr>
              <w:t>)</w:t>
            </w:r>
          </w:p>
        </w:tc>
      </w:tr>
      <w:tr w:rsidR="00C0546A" w:rsidRPr="0049490E" w14:paraId="4C52F54A" w14:textId="77777777" w:rsidTr="002D78D4">
        <w:trPr>
          <w:cnfStyle w:val="000000100000" w:firstRow="0" w:lastRow="0" w:firstColumn="0" w:lastColumn="0" w:oddVBand="0" w:evenVBand="0" w:oddHBand="1" w:evenHBand="0" w:firstRowFirstColumn="0" w:firstRowLastColumn="0" w:lastRowFirstColumn="0" w:lastRowLastColumn="0"/>
          <w:trHeight w:val="320"/>
        </w:trPr>
        <w:tc>
          <w:tcPr>
            <w:tcW w:w="2063" w:type="dxa"/>
            <w:tcBorders>
              <w:bottom w:val="single" w:sz="4" w:space="0" w:color="auto"/>
            </w:tcBorders>
            <w:shd w:val="clear" w:color="auto" w:fill="auto"/>
          </w:tcPr>
          <w:p w14:paraId="110801EF" w14:textId="77777777" w:rsidR="00C0546A" w:rsidRPr="0049490E" w:rsidRDefault="00C0546A" w:rsidP="0049490E">
            <w:pPr>
              <w:autoSpaceDE w:val="0"/>
              <w:autoSpaceDN w:val="0"/>
              <w:adjustRightInd w:val="0"/>
              <w:spacing w:beforeAutospacing="0" w:afterAutospacing="0" w:line="360" w:lineRule="auto"/>
              <w:ind w:firstLineChars="100" w:firstLine="24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High</w:t>
            </w:r>
          </w:p>
        </w:tc>
        <w:tc>
          <w:tcPr>
            <w:tcW w:w="729" w:type="dxa"/>
            <w:tcBorders>
              <w:bottom w:val="single" w:sz="4" w:space="0" w:color="auto"/>
            </w:tcBorders>
            <w:shd w:val="clear" w:color="auto" w:fill="auto"/>
          </w:tcPr>
          <w:p w14:paraId="7B3ED6CF" w14:textId="5BD5674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7 (17.1</w:t>
            </w:r>
            <w:r w:rsidR="00727D4A" w:rsidRPr="0049490E">
              <w:rPr>
                <w:rFonts w:ascii="Book Antiqua" w:eastAsiaTheme="minorHAnsi" w:hAnsi="Book Antiqua" w:cs="Arial Narrow"/>
                <w:color w:val="000000"/>
                <w:lang w:val="en-US"/>
              </w:rPr>
              <w:t>)</w:t>
            </w:r>
          </w:p>
        </w:tc>
        <w:tc>
          <w:tcPr>
            <w:tcW w:w="832" w:type="dxa"/>
            <w:tcBorders>
              <w:bottom w:val="single" w:sz="4" w:space="0" w:color="auto"/>
            </w:tcBorders>
            <w:shd w:val="clear" w:color="auto" w:fill="auto"/>
          </w:tcPr>
          <w:p w14:paraId="34C3AAC0" w14:textId="6F50267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9 (23.7</w:t>
            </w:r>
            <w:r w:rsidR="00727D4A" w:rsidRPr="0049490E">
              <w:rPr>
                <w:rFonts w:ascii="Book Antiqua" w:eastAsiaTheme="minorHAnsi" w:hAnsi="Book Antiqua" w:cs="Arial Narrow"/>
                <w:color w:val="000000"/>
                <w:lang w:val="en-US"/>
              </w:rPr>
              <w:t>)</w:t>
            </w:r>
          </w:p>
        </w:tc>
        <w:tc>
          <w:tcPr>
            <w:tcW w:w="825" w:type="dxa"/>
            <w:tcBorders>
              <w:bottom w:val="single" w:sz="4" w:space="0" w:color="auto"/>
            </w:tcBorders>
            <w:shd w:val="clear" w:color="auto" w:fill="auto"/>
          </w:tcPr>
          <w:p w14:paraId="517A62CA" w14:textId="7A42ED82"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(15.6</w:t>
            </w:r>
            <w:r w:rsidR="00727D4A" w:rsidRPr="0049490E">
              <w:rPr>
                <w:rFonts w:ascii="Book Antiqua" w:eastAsiaTheme="minorHAnsi" w:hAnsi="Book Antiqua" w:cs="Arial Narrow"/>
                <w:color w:val="000000"/>
                <w:lang w:val="en-US"/>
              </w:rPr>
              <w:t>)</w:t>
            </w:r>
          </w:p>
        </w:tc>
        <w:tc>
          <w:tcPr>
            <w:tcW w:w="832" w:type="dxa"/>
            <w:tcBorders>
              <w:bottom w:val="single" w:sz="4" w:space="0" w:color="auto"/>
            </w:tcBorders>
            <w:shd w:val="clear" w:color="auto" w:fill="auto"/>
          </w:tcPr>
          <w:p w14:paraId="5F2CAD75" w14:textId="02EA8F2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5 (16.1</w:t>
            </w:r>
            <w:r w:rsidR="00727D4A" w:rsidRPr="0049490E">
              <w:rPr>
                <w:rFonts w:ascii="Book Antiqua" w:eastAsiaTheme="minorHAnsi" w:hAnsi="Book Antiqua" w:cs="Arial Narrow"/>
                <w:color w:val="000000"/>
                <w:lang w:val="en-US"/>
              </w:rPr>
              <w:t>)</w:t>
            </w:r>
          </w:p>
        </w:tc>
        <w:tc>
          <w:tcPr>
            <w:tcW w:w="832" w:type="dxa"/>
            <w:tcBorders>
              <w:bottom w:val="single" w:sz="4" w:space="0" w:color="auto"/>
            </w:tcBorders>
            <w:shd w:val="clear" w:color="auto" w:fill="auto"/>
          </w:tcPr>
          <w:p w14:paraId="500745AF" w14:textId="200629C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(24</w:t>
            </w:r>
            <w:r w:rsidR="00964C84">
              <w:rPr>
                <w:rFonts w:ascii="Book Antiqua" w:eastAsiaTheme="minorHAnsi" w:hAnsi="Book Antiqua" w:cs="Arial Narrow"/>
                <w:color w:val="000000"/>
                <w:lang w:val="en-US"/>
              </w:rPr>
              <w:t>.0</w:t>
            </w:r>
            <w:r w:rsidR="00727D4A" w:rsidRPr="0049490E">
              <w:rPr>
                <w:rFonts w:ascii="Book Antiqua" w:eastAsiaTheme="minorHAnsi" w:hAnsi="Book Antiqua" w:cs="Arial Narrow"/>
                <w:color w:val="000000"/>
                <w:lang w:val="en-US"/>
              </w:rPr>
              <w:t>)</w:t>
            </w:r>
          </w:p>
        </w:tc>
        <w:tc>
          <w:tcPr>
            <w:tcW w:w="833" w:type="dxa"/>
            <w:tcBorders>
              <w:bottom w:val="single" w:sz="4" w:space="0" w:color="auto"/>
            </w:tcBorders>
            <w:shd w:val="clear" w:color="auto" w:fill="auto"/>
          </w:tcPr>
          <w:p w14:paraId="42091ECB" w14:textId="4F4FE0B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(9.1</w:t>
            </w:r>
            <w:r w:rsidR="00727D4A" w:rsidRPr="0049490E">
              <w:rPr>
                <w:rFonts w:ascii="Book Antiqua" w:eastAsiaTheme="minorHAnsi" w:hAnsi="Book Antiqua" w:cs="Arial Narrow"/>
                <w:color w:val="000000"/>
                <w:lang w:val="en-US"/>
              </w:rPr>
              <w:t>)</w:t>
            </w:r>
          </w:p>
        </w:tc>
        <w:tc>
          <w:tcPr>
            <w:tcW w:w="838" w:type="dxa"/>
            <w:tcBorders>
              <w:bottom w:val="single" w:sz="4" w:space="0" w:color="auto"/>
            </w:tcBorders>
            <w:shd w:val="clear" w:color="auto" w:fill="auto"/>
          </w:tcPr>
          <w:p w14:paraId="72EF31E0" w14:textId="48455067"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8 (44.4</w:t>
            </w:r>
            <w:r w:rsidR="00727D4A" w:rsidRPr="0049490E">
              <w:rPr>
                <w:rFonts w:ascii="Book Antiqua" w:eastAsiaTheme="minorHAnsi" w:hAnsi="Book Antiqua" w:cs="Arial Narrow"/>
                <w:color w:val="000000"/>
                <w:lang w:val="en-US"/>
              </w:rPr>
              <w:t>)</w:t>
            </w:r>
          </w:p>
        </w:tc>
        <w:tc>
          <w:tcPr>
            <w:tcW w:w="714" w:type="dxa"/>
            <w:tcBorders>
              <w:bottom w:val="single" w:sz="4" w:space="0" w:color="auto"/>
            </w:tcBorders>
            <w:shd w:val="clear" w:color="auto" w:fill="auto"/>
          </w:tcPr>
          <w:p w14:paraId="5D59604D" w14:textId="448929CD"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6 (37.5</w:t>
            </w:r>
            <w:r w:rsidR="00727D4A" w:rsidRPr="0049490E">
              <w:rPr>
                <w:rFonts w:ascii="Book Antiqua" w:eastAsiaTheme="minorHAnsi" w:hAnsi="Book Antiqua" w:cs="Arial Narrow"/>
                <w:color w:val="000000"/>
                <w:lang w:val="en-US"/>
              </w:rPr>
              <w:t>)</w:t>
            </w:r>
          </w:p>
        </w:tc>
        <w:tc>
          <w:tcPr>
            <w:tcW w:w="833" w:type="dxa"/>
            <w:tcBorders>
              <w:bottom w:val="single" w:sz="4" w:space="0" w:color="auto"/>
            </w:tcBorders>
            <w:shd w:val="clear" w:color="auto" w:fill="auto"/>
          </w:tcPr>
          <w:p w14:paraId="48D0429D" w14:textId="19DA1D65"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(15.4</w:t>
            </w:r>
            <w:r w:rsidR="00727D4A" w:rsidRPr="0049490E">
              <w:rPr>
                <w:rFonts w:ascii="Book Antiqua" w:eastAsiaTheme="minorHAnsi" w:hAnsi="Book Antiqua" w:cs="Arial Narrow"/>
                <w:color w:val="000000"/>
                <w:lang w:val="en-US"/>
              </w:rPr>
              <w:t>)</w:t>
            </w:r>
          </w:p>
        </w:tc>
        <w:tc>
          <w:tcPr>
            <w:tcW w:w="944" w:type="dxa"/>
            <w:tcBorders>
              <w:bottom w:val="single" w:sz="4" w:space="0" w:color="auto"/>
            </w:tcBorders>
            <w:shd w:val="clear" w:color="auto" w:fill="auto"/>
          </w:tcPr>
          <w:p w14:paraId="7898564D" w14:textId="0E6F7158"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2 (16.7</w:t>
            </w:r>
            <w:r w:rsidR="00727D4A" w:rsidRPr="0049490E">
              <w:rPr>
                <w:rFonts w:ascii="Book Antiqua" w:eastAsiaTheme="minorHAnsi" w:hAnsi="Book Antiqua" w:cs="Arial Narrow"/>
                <w:color w:val="000000"/>
                <w:lang w:val="en-US"/>
              </w:rPr>
              <w:t>)</w:t>
            </w:r>
          </w:p>
        </w:tc>
        <w:tc>
          <w:tcPr>
            <w:tcW w:w="720" w:type="dxa"/>
            <w:tcBorders>
              <w:bottom w:val="single" w:sz="4" w:space="0" w:color="auto"/>
            </w:tcBorders>
            <w:shd w:val="clear" w:color="auto" w:fill="auto"/>
          </w:tcPr>
          <w:p w14:paraId="0733BCF1" w14:textId="3982704A"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(14.3</w:t>
            </w:r>
            <w:r w:rsidR="00727D4A" w:rsidRPr="0049490E">
              <w:rPr>
                <w:rFonts w:ascii="Book Antiqua" w:eastAsiaTheme="minorHAnsi" w:hAnsi="Book Antiqua" w:cs="Arial Narrow"/>
                <w:color w:val="000000"/>
                <w:lang w:val="en-US"/>
              </w:rPr>
              <w:t>)</w:t>
            </w:r>
          </w:p>
        </w:tc>
        <w:tc>
          <w:tcPr>
            <w:tcW w:w="721" w:type="dxa"/>
            <w:tcBorders>
              <w:bottom w:val="single" w:sz="4" w:space="0" w:color="auto"/>
            </w:tcBorders>
            <w:shd w:val="clear" w:color="auto" w:fill="auto"/>
          </w:tcPr>
          <w:p w14:paraId="66E40B7E" w14:textId="0335FAA9"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20" w:type="dxa"/>
            <w:tcBorders>
              <w:bottom w:val="single" w:sz="4" w:space="0" w:color="auto"/>
            </w:tcBorders>
            <w:shd w:val="clear" w:color="auto" w:fill="auto"/>
          </w:tcPr>
          <w:p w14:paraId="5599C57A" w14:textId="025FAE7B"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1 (16.7</w:t>
            </w:r>
            <w:r w:rsidR="00727D4A" w:rsidRPr="0049490E">
              <w:rPr>
                <w:rFonts w:ascii="Book Antiqua" w:eastAsiaTheme="minorHAnsi" w:hAnsi="Book Antiqua" w:cs="Arial Narrow"/>
                <w:color w:val="000000"/>
                <w:lang w:val="en-US"/>
              </w:rPr>
              <w:t>)</w:t>
            </w:r>
          </w:p>
        </w:tc>
        <w:tc>
          <w:tcPr>
            <w:tcW w:w="740" w:type="dxa"/>
            <w:tcBorders>
              <w:bottom w:val="single" w:sz="4" w:space="0" w:color="auto"/>
            </w:tcBorders>
            <w:shd w:val="clear" w:color="auto" w:fill="auto"/>
          </w:tcPr>
          <w:p w14:paraId="0739B7F5" w14:textId="50783090" w:rsidR="00C0546A" w:rsidRPr="0049490E" w:rsidRDefault="00C0546A" w:rsidP="0049490E">
            <w:pPr>
              <w:autoSpaceDE w:val="0"/>
              <w:autoSpaceDN w:val="0"/>
              <w:adjustRightInd w:val="0"/>
              <w:spacing w:beforeAutospacing="0" w:afterAutospacing="0" w:line="360" w:lineRule="auto"/>
              <w:ind w:firstLine="0"/>
              <w:rPr>
                <w:rFonts w:ascii="Book Antiqua" w:eastAsiaTheme="minorHAnsi" w:hAnsi="Book Antiqua" w:cs="Arial Narrow"/>
                <w:color w:val="000000"/>
                <w:lang w:val="en-US"/>
              </w:rPr>
            </w:pPr>
            <w:r w:rsidRPr="0049490E">
              <w:rPr>
                <w:rFonts w:ascii="Book Antiqua" w:eastAsiaTheme="minorHAnsi" w:hAnsi="Book Antiqua" w:cs="Arial Narrow"/>
                <w:color w:val="000000"/>
                <w:lang w:val="en-US"/>
              </w:rPr>
              <w:t>-</w:t>
            </w:r>
          </w:p>
        </w:tc>
      </w:tr>
    </w:tbl>
    <w:p w14:paraId="4AD07BB9" w14:textId="193A2299" w:rsidR="00C14D1B" w:rsidRPr="0049490E" w:rsidRDefault="00027B10" w:rsidP="0049490E">
      <w:pPr>
        <w:spacing w:line="360" w:lineRule="auto"/>
        <w:jc w:val="both"/>
        <w:rPr>
          <w:rFonts w:ascii="Book Antiqua" w:eastAsia="Book Antiqua" w:hAnsi="Book Antiqua" w:cs="Book Antiqua"/>
          <w:color w:val="000000"/>
        </w:rPr>
      </w:pPr>
      <w:r w:rsidRPr="0049490E">
        <w:rPr>
          <w:rFonts w:ascii="Book Antiqua" w:hAnsi="Book Antiqua"/>
          <w:vertAlign w:val="superscript"/>
        </w:rPr>
        <w:t>1</w:t>
      </w:r>
      <w:r w:rsidRPr="0049490E">
        <w:rPr>
          <w:rFonts w:ascii="Book Antiqua" w:hAnsi="Book Antiqua"/>
        </w:rPr>
        <w:t xml:space="preserve">Monotherapy indicates no concomitant biologics or </w:t>
      </w:r>
      <w:r w:rsidR="006E3426" w:rsidRPr="0049490E">
        <w:rPr>
          <w:rFonts w:ascii="Book Antiqua" w:hAnsi="Book Antiqua"/>
        </w:rPr>
        <w:t xml:space="preserve">aminosalicylates/6-mercaptopurine/methotrexate; </w:t>
      </w:r>
      <w:r w:rsidRPr="0049490E">
        <w:rPr>
          <w:rFonts w:ascii="Book Antiqua" w:hAnsi="Book Antiqua"/>
          <w:vertAlign w:val="superscript"/>
          <w:lang w:eastAsia="zh-CN"/>
        </w:rPr>
        <w:t>2</w:t>
      </w:r>
      <w:r w:rsidRPr="0049490E">
        <w:rPr>
          <w:rFonts w:ascii="Book Antiqua" w:hAnsi="Book Antiqua"/>
        </w:rPr>
        <w:t xml:space="preserve">These subcategories represent the frequency of patients in each therapeutic regimen requiring oral steroids. </w:t>
      </w:r>
      <w:r w:rsidRPr="0049490E">
        <w:rPr>
          <w:rFonts w:ascii="Book Antiqua" w:hAnsi="Book Antiqua"/>
          <w:vertAlign w:val="superscript"/>
          <w:lang w:eastAsia="zh-CN"/>
        </w:rPr>
        <w:t>3</w:t>
      </w:r>
      <w:r w:rsidRPr="0049490E">
        <w:rPr>
          <w:rFonts w:ascii="Book Antiqua" w:hAnsi="Book Antiqua"/>
        </w:rPr>
        <w:t xml:space="preserve">Combo therapy refers to biologics plus </w:t>
      </w:r>
      <w:r w:rsidR="00964C84" w:rsidRPr="0049490E">
        <w:rPr>
          <w:rFonts w:ascii="Book Antiqua" w:hAnsi="Book Antiqua"/>
        </w:rPr>
        <w:t>aminosalicylates/6-mercaptopurine/methotrexate</w:t>
      </w:r>
      <w:r w:rsidRPr="0049490E">
        <w:rPr>
          <w:rFonts w:ascii="Book Antiqua" w:hAnsi="Book Antiqua"/>
        </w:rPr>
        <w:t>. 5-ASA: Aminosalic</w:t>
      </w:r>
      <w:r w:rsidR="00392E8C">
        <w:rPr>
          <w:rFonts w:ascii="Book Antiqua" w:hAnsi="Book Antiqua"/>
        </w:rPr>
        <w:t>y</w:t>
      </w:r>
      <w:r w:rsidRPr="0049490E">
        <w:rPr>
          <w:rFonts w:ascii="Book Antiqua" w:hAnsi="Book Antiqua"/>
        </w:rPr>
        <w:t>lates; AZA: Azathioprine; 6-MP: 6-Mercaptopurine; MTX: Methotrexate</w:t>
      </w:r>
      <w:r w:rsidR="006E3426" w:rsidRPr="0049490E">
        <w:rPr>
          <w:rFonts w:ascii="Book Antiqua" w:hAnsi="Book Antiqua"/>
        </w:rPr>
        <w:t xml:space="preserve">; </w:t>
      </w:r>
      <w:r w:rsidR="006E3426" w:rsidRPr="0049490E">
        <w:rPr>
          <w:rFonts w:ascii="Book Antiqua" w:eastAsia="Book Antiqua" w:hAnsi="Book Antiqua" w:cs="Book Antiqua"/>
          <w:color w:val="000000"/>
        </w:rPr>
        <w:t>IBD: Inflammatory bowel disease.</w:t>
      </w:r>
    </w:p>
    <w:sectPr w:rsidR="00C14D1B" w:rsidRPr="0049490E" w:rsidSect="0049490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9AED" w14:textId="77777777" w:rsidR="0016343A" w:rsidRDefault="0016343A" w:rsidP="005B5A29">
      <w:r>
        <w:separator/>
      </w:r>
    </w:p>
  </w:endnote>
  <w:endnote w:type="continuationSeparator" w:id="0">
    <w:p w14:paraId="32B5A34A" w14:textId="77777777" w:rsidR="0016343A" w:rsidRDefault="0016343A" w:rsidP="005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536975"/>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090168DB" w14:textId="72F2A483" w:rsidR="0049490E" w:rsidRPr="005B5A29" w:rsidRDefault="0049490E" w:rsidP="005B5A29">
            <w:pPr>
              <w:pStyle w:val="Footer"/>
              <w:jc w:val="right"/>
              <w:rPr>
                <w:rFonts w:ascii="Book Antiqua" w:hAnsi="Book Antiqua"/>
              </w:rPr>
            </w:pPr>
            <w:r w:rsidRPr="005B5A29">
              <w:rPr>
                <w:rFonts w:ascii="Book Antiqua" w:hAnsi="Book Antiqua"/>
                <w:lang w:val="zh-CN" w:eastAsia="zh-CN"/>
              </w:rPr>
              <w:t xml:space="preserve"> </w:t>
            </w:r>
            <w:r w:rsidRPr="005B5A29">
              <w:rPr>
                <w:rFonts w:ascii="Book Antiqua" w:hAnsi="Book Antiqua"/>
              </w:rPr>
              <w:fldChar w:fldCharType="begin"/>
            </w:r>
            <w:r w:rsidRPr="005B5A29">
              <w:rPr>
                <w:rFonts w:ascii="Book Antiqua" w:hAnsi="Book Antiqua"/>
              </w:rPr>
              <w:instrText>PAGE</w:instrText>
            </w:r>
            <w:r w:rsidRPr="005B5A29">
              <w:rPr>
                <w:rFonts w:ascii="Book Antiqua" w:hAnsi="Book Antiqua"/>
              </w:rPr>
              <w:fldChar w:fldCharType="separate"/>
            </w:r>
            <w:r>
              <w:rPr>
                <w:rFonts w:ascii="Book Antiqua" w:hAnsi="Book Antiqua"/>
                <w:noProof/>
              </w:rPr>
              <w:t>32</w:t>
            </w:r>
            <w:r w:rsidRPr="005B5A29">
              <w:rPr>
                <w:rFonts w:ascii="Book Antiqua" w:hAnsi="Book Antiqua"/>
              </w:rPr>
              <w:fldChar w:fldCharType="end"/>
            </w:r>
            <w:r w:rsidRPr="005B5A29">
              <w:rPr>
                <w:rFonts w:ascii="Book Antiqua" w:hAnsi="Book Antiqua"/>
                <w:lang w:val="zh-CN" w:eastAsia="zh-CN"/>
              </w:rPr>
              <w:t xml:space="preserve"> / </w:t>
            </w:r>
            <w:r w:rsidRPr="005B5A29">
              <w:rPr>
                <w:rFonts w:ascii="Book Antiqua" w:hAnsi="Book Antiqua"/>
              </w:rPr>
              <w:fldChar w:fldCharType="begin"/>
            </w:r>
            <w:r w:rsidRPr="005B5A29">
              <w:rPr>
                <w:rFonts w:ascii="Book Antiqua" w:hAnsi="Book Antiqua"/>
              </w:rPr>
              <w:instrText>NUMPAGES</w:instrText>
            </w:r>
            <w:r w:rsidRPr="005B5A29">
              <w:rPr>
                <w:rFonts w:ascii="Book Antiqua" w:hAnsi="Book Antiqua"/>
              </w:rPr>
              <w:fldChar w:fldCharType="separate"/>
            </w:r>
            <w:r>
              <w:rPr>
                <w:rFonts w:ascii="Book Antiqua" w:hAnsi="Book Antiqua"/>
                <w:noProof/>
              </w:rPr>
              <w:t>36</w:t>
            </w:r>
            <w:r w:rsidRPr="005B5A29">
              <w:rPr>
                <w:rFonts w:ascii="Book Antiqua" w:hAnsi="Book Antiqua"/>
              </w:rPr>
              <w:fldChar w:fldCharType="end"/>
            </w:r>
          </w:p>
        </w:sdtContent>
      </w:sdt>
    </w:sdtContent>
  </w:sdt>
  <w:p w14:paraId="3BA62DDE" w14:textId="77777777" w:rsidR="0049490E" w:rsidRPr="005B5A29" w:rsidRDefault="0049490E" w:rsidP="005B5A29">
    <w:pPr>
      <w:pStyle w:val="Footer"/>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61E2" w14:textId="77777777" w:rsidR="0016343A" w:rsidRDefault="0016343A" w:rsidP="005B5A29">
      <w:r>
        <w:separator/>
      </w:r>
    </w:p>
  </w:footnote>
  <w:footnote w:type="continuationSeparator" w:id="0">
    <w:p w14:paraId="02379FB3" w14:textId="77777777" w:rsidR="0016343A" w:rsidRDefault="0016343A" w:rsidP="005B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160C3"/>
    <w:multiLevelType w:val="multilevel"/>
    <w:tmpl w:val="C50041E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83D7B"/>
    <w:multiLevelType w:val="hybridMultilevel"/>
    <w:tmpl w:val="D376FC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9657FB"/>
    <w:multiLevelType w:val="multilevel"/>
    <w:tmpl w:val="E45892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D17677A"/>
    <w:multiLevelType w:val="multilevel"/>
    <w:tmpl w:val="051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73"/>
    <w:rsid w:val="00027B10"/>
    <w:rsid w:val="000D0CD3"/>
    <w:rsid w:val="00107F58"/>
    <w:rsid w:val="00127DBC"/>
    <w:rsid w:val="00130B18"/>
    <w:rsid w:val="00131597"/>
    <w:rsid w:val="001319AD"/>
    <w:rsid w:val="00133C1E"/>
    <w:rsid w:val="0014726A"/>
    <w:rsid w:val="001543D3"/>
    <w:rsid w:val="0016343A"/>
    <w:rsid w:val="00166AF7"/>
    <w:rsid w:val="001702A2"/>
    <w:rsid w:val="00186EE7"/>
    <w:rsid w:val="00197D26"/>
    <w:rsid w:val="00215C27"/>
    <w:rsid w:val="00227CCA"/>
    <w:rsid w:val="00235435"/>
    <w:rsid w:val="00286CDD"/>
    <w:rsid w:val="002A2B7F"/>
    <w:rsid w:val="002D4C30"/>
    <w:rsid w:val="002D78D4"/>
    <w:rsid w:val="002E73F2"/>
    <w:rsid w:val="003001DC"/>
    <w:rsid w:val="00324DF8"/>
    <w:rsid w:val="00332A9E"/>
    <w:rsid w:val="00340396"/>
    <w:rsid w:val="00360F03"/>
    <w:rsid w:val="00377371"/>
    <w:rsid w:val="00384BD7"/>
    <w:rsid w:val="00392E8C"/>
    <w:rsid w:val="003D1354"/>
    <w:rsid w:val="004549C2"/>
    <w:rsid w:val="0049490E"/>
    <w:rsid w:val="005078D9"/>
    <w:rsid w:val="00521142"/>
    <w:rsid w:val="005243C8"/>
    <w:rsid w:val="00550544"/>
    <w:rsid w:val="0055155C"/>
    <w:rsid w:val="005531A3"/>
    <w:rsid w:val="005832E5"/>
    <w:rsid w:val="005874E8"/>
    <w:rsid w:val="005927F7"/>
    <w:rsid w:val="005B5A29"/>
    <w:rsid w:val="005B5D8A"/>
    <w:rsid w:val="005B646A"/>
    <w:rsid w:val="005F5264"/>
    <w:rsid w:val="00613CF6"/>
    <w:rsid w:val="00617BC7"/>
    <w:rsid w:val="006E3426"/>
    <w:rsid w:val="00727D4A"/>
    <w:rsid w:val="00795F0E"/>
    <w:rsid w:val="007A61C4"/>
    <w:rsid w:val="007F0D29"/>
    <w:rsid w:val="00807E06"/>
    <w:rsid w:val="008240DE"/>
    <w:rsid w:val="008726C9"/>
    <w:rsid w:val="008A285A"/>
    <w:rsid w:val="008A63B7"/>
    <w:rsid w:val="008B2F30"/>
    <w:rsid w:val="008C1090"/>
    <w:rsid w:val="008D0859"/>
    <w:rsid w:val="008F7B5B"/>
    <w:rsid w:val="0093185E"/>
    <w:rsid w:val="00933D0A"/>
    <w:rsid w:val="00964432"/>
    <w:rsid w:val="00964C84"/>
    <w:rsid w:val="00971786"/>
    <w:rsid w:val="0098288F"/>
    <w:rsid w:val="009D327A"/>
    <w:rsid w:val="00A05BAD"/>
    <w:rsid w:val="00A169D0"/>
    <w:rsid w:val="00A16E64"/>
    <w:rsid w:val="00A40CF8"/>
    <w:rsid w:val="00A420E1"/>
    <w:rsid w:val="00A77B3E"/>
    <w:rsid w:val="00AC4FB6"/>
    <w:rsid w:val="00AD01B0"/>
    <w:rsid w:val="00AD58E3"/>
    <w:rsid w:val="00AE7193"/>
    <w:rsid w:val="00B3294E"/>
    <w:rsid w:val="00B53566"/>
    <w:rsid w:val="00B561F7"/>
    <w:rsid w:val="00B92DC8"/>
    <w:rsid w:val="00B9304C"/>
    <w:rsid w:val="00BA0F0F"/>
    <w:rsid w:val="00BB2AA0"/>
    <w:rsid w:val="00BE615A"/>
    <w:rsid w:val="00C0546A"/>
    <w:rsid w:val="00C14D1B"/>
    <w:rsid w:val="00C45C78"/>
    <w:rsid w:val="00C703C4"/>
    <w:rsid w:val="00CA2A55"/>
    <w:rsid w:val="00CE2A73"/>
    <w:rsid w:val="00CF28AE"/>
    <w:rsid w:val="00D46BCB"/>
    <w:rsid w:val="00D645FB"/>
    <w:rsid w:val="00D74512"/>
    <w:rsid w:val="00DD09DE"/>
    <w:rsid w:val="00E46A3F"/>
    <w:rsid w:val="00E561D1"/>
    <w:rsid w:val="00E56E12"/>
    <w:rsid w:val="00E57EFF"/>
    <w:rsid w:val="00E8694D"/>
    <w:rsid w:val="00EC363F"/>
    <w:rsid w:val="00F1016A"/>
    <w:rsid w:val="00F1352B"/>
    <w:rsid w:val="00F36B24"/>
    <w:rsid w:val="00F81494"/>
    <w:rsid w:val="00FB606C"/>
    <w:rsid w:val="00FB7E35"/>
    <w:rsid w:val="00FE519D"/>
    <w:rsid w:val="00FF349E"/>
    <w:rsid w:val="00FF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B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unhideWhenUsed/>
    <w:rsid w:val="009D327A"/>
    <w:pPr>
      <w:spacing w:before="100" w:beforeAutospacing="1" w:after="100" w:afterAutospacing="1"/>
    </w:pPr>
    <w:rPr>
      <w:rFonts w:eastAsia="Times New Roman"/>
      <w:lang w:val="pt-BR" w:eastAsia="pt-BR"/>
    </w:rPr>
  </w:style>
  <w:style w:type="table" w:styleId="TableGrid">
    <w:name w:val="Table Grid"/>
    <w:basedOn w:val="TableNormal"/>
    <w:uiPriority w:val="39"/>
    <w:rsid w:val="009D327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521142"/>
    <w:pPr>
      <w:spacing w:before="100" w:beforeAutospacing="1" w:afterAutospacing="1"/>
      <w:ind w:firstLine="709"/>
      <w:jc w:val="both"/>
    </w:pPr>
    <w:rPr>
      <w:rFonts w:asciiTheme="minorHAnsi" w:eastAsia="SimSun"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51">
    <w:name w:val="Tabela Simples 51"/>
    <w:basedOn w:val="TableNormal"/>
    <w:uiPriority w:val="45"/>
    <w:rsid w:val="00C14D1B"/>
    <w:pPr>
      <w:spacing w:before="100" w:beforeAutospacing="1" w:afterAutospacing="1"/>
      <w:ind w:firstLine="709"/>
      <w:jc w:val="both"/>
    </w:pPr>
    <w:rPr>
      <w:rFonts w:asciiTheme="minorHAnsi" w:eastAsia="SimSun" w:hAnsiTheme="minorHAnsi" w:cstheme="minorBidi"/>
      <w:sz w:val="24"/>
      <w:szCs w:val="24"/>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lloonTextChar">
    <w:name w:val="Balloon Text Char"/>
    <w:basedOn w:val="DefaultParagraphFont"/>
    <w:link w:val="BalloonText"/>
    <w:uiPriority w:val="99"/>
    <w:rsid w:val="00AC4FB6"/>
    <w:rPr>
      <w:rFonts w:eastAsia="Times New Roman"/>
      <w:sz w:val="18"/>
      <w:szCs w:val="18"/>
      <w:lang w:val="pt-BR" w:eastAsia="pt-BR"/>
    </w:rPr>
  </w:style>
  <w:style w:type="paragraph" w:styleId="BalloonText">
    <w:name w:val="Balloon Text"/>
    <w:basedOn w:val="Normal"/>
    <w:link w:val="BalloonTextChar"/>
    <w:uiPriority w:val="99"/>
    <w:unhideWhenUsed/>
    <w:rsid w:val="00AC4FB6"/>
    <w:rPr>
      <w:rFonts w:eastAsia="Times New Roman"/>
      <w:sz w:val="18"/>
      <w:szCs w:val="18"/>
      <w:lang w:val="pt-BR" w:eastAsia="pt-BR"/>
    </w:rPr>
  </w:style>
  <w:style w:type="character" w:customStyle="1" w:styleId="HeaderChar">
    <w:name w:val="Header Char"/>
    <w:basedOn w:val="DefaultParagraphFont"/>
    <w:link w:val="Header"/>
    <w:uiPriority w:val="99"/>
    <w:rsid w:val="00AC4FB6"/>
    <w:rPr>
      <w:rFonts w:eastAsia="Times New Roman"/>
      <w:sz w:val="24"/>
      <w:szCs w:val="24"/>
      <w:lang w:val="pt-BR" w:eastAsia="pt-BR"/>
    </w:rPr>
  </w:style>
  <w:style w:type="paragraph" w:styleId="Header">
    <w:name w:val="header"/>
    <w:basedOn w:val="Normal"/>
    <w:link w:val="HeaderChar"/>
    <w:uiPriority w:val="99"/>
    <w:unhideWhenUsed/>
    <w:rsid w:val="00AC4FB6"/>
    <w:pPr>
      <w:tabs>
        <w:tab w:val="center" w:pos="4252"/>
        <w:tab w:val="right" w:pos="8504"/>
      </w:tabs>
    </w:pPr>
    <w:rPr>
      <w:rFonts w:eastAsia="Times New Roman"/>
      <w:lang w:val="pt-BR" w:eastAsia="pt-BR"/>
    </w:rPr>
  </w:style>
  <w:style w:type="character" w:customStyle="1" w:styleId="FooterChar">
    <w:name w:val="Footer Char"/>
    <w:basedOn w:val="DefaultParagraphFont"/>
    <w:link w:val="Footer"/>
    <w:uiPriority w:val="99"/>
    <w:rsid w:val="00AC4FB6"/>
    <w:rPr>
      <w:rFonts w:eastAsia="Times New Roman"/>
      <w:sz w:val="24"/>
      <w:szCs w:val="24"/>
      <w:lang w:val="pt-BR" w:eastAsia="pt-BR"/>
    </w:rPr>
  </w:style>
  <w:style w:type="paragraph" w:styleId="Footer">
    <w:name w:val="footer"/>
    <w:basedOn w:val="Normal"/>
    <w:link w:val="FooterChar"/>
    <w:uiPriority w:val="99"/>
    <w:unhideWhenUsed/>
    <w:rsid w:val="00AC4FB6"/>
    <w:pPr>
      <w:tabs>
        <w:tab w:val="center" w:pos="4252"/>
        <w:tab w:val="right" w:pos="8504"/>
      </w:tabs>
    </w:pPr>
    <w:rPr>
      <w:rFonts w:eastAsia="Times New Roman"/>
      <w:lang w:val="pt-BR" w:eastAsia="pt-BR"/>
    </w:rPr>
  </w:style>
  <w:style w:type="character" w:styleId="CommentReference">
    <w:name w:val="annotation reference"/>
    <w:basedOn w:val="DefaultParagraphFont"/>
    <w:semiHidden/>
    <w:unhideWhenUsed/>
    <w:rsid w:val="00795F0E"/>
    <w:rPr>
      <w:sz w:val="18"/>
      <w:szCs w:val="18"/>
    </w:rPr>
  </w:style>
  <w:style w:type="paragraph" w:styleId="CommentText">
    <w:name w:val="annotation text"/>
    <w:basedOn w:val="Normal"/>
    <w:link w:val="CommentTextChar"/>
    <w:semiHidden/>
    <w:unhideWhenUsed/>
    <w:rsid w:val="00795F0E"/>
  </w:style>
  <w:style w:type="character" w:customStyle="1" w:styleId="CommentTextChar">
    <w:name w:val="Comment Text Char"/>
    <w:basedOn w:val="DefaultParagraphFont"/>
    <w:link w:val="CommentText"/>
    <w:semiHidden/>
    <w:rsid w:val="00795F0E"/>
    <w:rPr>
      <w:sz w:val="24"/>
      <w:szCs w:val="24"/>
    </w:rPr>
  </w:style>
  <w:style w:type="paragraph" w:styleId="CommentSubject">
    <w:name w:val="annotation subject"/>
    <w:basedOn w:val="CommentText"/>
    <w:next w:val="CommentText"/>
    <w:link w:val="CommentSubjectChar"/>
    <w:semiHidden/>
    <w:unhideWhenUsed/>
    <w:rsid w:val="00795F0E"/>
    <w:rPr>
      <w:b/>
      <w:bCs/>
      <w:sz w:val="20"/>
      <w:szCs w:val="20"/>
    </w:rPr>
  </w:style>
  <w:style w:type="character" w:customStyle="1" w:styleId="CommentSubjectChar">
    <w:name w:val="Comment Subject Char"/>
    <w:basedOn w:val="CommentTextChar"/>
    <w:link w:val="CommentSubject"/>
    <w:semiHidden/>
    <w:rsid w:val="00795F0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64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7020</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2021-03-01T23:19:00Z</dcterms:created>
  <dcterms:modified xsi:type="dcterms:W3CDTF">2021-03-01T23:19:00Z</dcterms:modified>
</cp:coreProperties>
</file>