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7B" w:rsidRPr="003C3796" w:rsidRDefault="00147B7B" w:rsidP="009350E9">
      <w:pPr>
        <w:spacing w:after="0"/>
        <w:jc w:val="both"/>
        <w:rPr>
          <w:rFonts w:eastAsia="Times New Roman" w:cs="Tahoma"/>
          <w:b/>
          <w:szCs w:val="24"/>
        </w:rPr>
      </w:pPr>
      <w:bookmarkStart w:id="0" w:name="OLE_LINK328"/>
      <w:bookmarkStart w:id="1" w:name="OLE_LINK329"/>
      <w:r w:rsidRPr="003C3796">
        <w:rPr>
          <w:rFonts w:eastAsia="Times New Roman" w:cs="Tahoma"/>
          <w:b/>
          <w:szCs w:val="24"/>
        </w:rPr>
        <w:t>Name of journal: World Journal of Gastroenterology</w:t>
      </w:r>
    </w:p>
    <w:p w:rsidR="00147B7B" w:rsidRPr="003C3796" w:rsidRDefault="00147B7B" w:rsidP="009350E9">
      <w:pPr>
        <w:spacing w:after="0"/>
        <w:jc w:val="both"/>
        <w:rPr>
          <w:rFonts w:cs="Tahoma"/>
          <w:b/>
          <w:szCs w:val="24"/>
          <w:lang w:eastAsia="zh-CN"/>
        </w:rPr>
      </w:pPr>
      <w:r w:rsidRPr="003C3796">
        <w:rPr>
          <w:rFonts w:eastAsia="Times New Roman" w:cs="Tahoma"/>
          <w:b/>
          <w:szCs w:val="24"/>
        </w:rPr>
        <w:t xml:space="preserve">ESPS Manuscript NO: </w:t>
      </w:r>
      <w:r w:rsidRPr="003C3796">
        <w:rPr>
          <w:rFonts w:cs="Tahoma"/>
          <w:b/>
          <w:szCs w:val="24"/>
          <w:lang w:eastAsia="zh-CN"/>
        </w:rPr>
        <w:t>6175</w:t>
      </w:r>
    </w:p>
    <w:p w:rsidR="00147B7B" w:rsidRPr="003C3796" w:rsidRDefault="00147B7B" w:rsidP="009350E9">
      <w:pPr>
        <w:spacing w:after="0"/>
        <w:jc w:val="both"/>
        <w:rPr>
          <w:rFonts w:cs="Arial"/>
          <w:b/>
          <w:bCs/>
          <w:szCs w:val="24"/>
          <w:lang w:eastAsia="zh-CN"/>
        </w:rPr>
      </w:pPr>
      <w:r w:rsidRPr="003C3796">
        <w:rPr>
          <w:rFonts w:eastAsia="Times New Roman" w:cs="Tahoma"/>
          <w:b/>
          <w:szCs w:val="24"/>
        </w:rPr>
        <w:t xml:space="preserve">Columns: </w:t>
      </w:r>
      <w:r w:rsidRPr="00986B90">
        <w:rPr>
          <w:rFonts w:eastAsia="Times New Roman" w:cs="Arial"/>
          <w:b/>
          <w:bCs/>
          <w:szCs w:val="24"/>
        </w:rPr>
        <w:t>PROSPECTIVE STUDY</w:t>
      </w:r>
    </w:p>
    <w:p w:rsidR="00147B7B" w:rsidRPr="003C3796" w:rsidRDefault="00147B7B" w:rsidP="009350E9">
      <w:pPr>
        <w:spacing w:after="0"/>
        <w:jc w:val="both"/>
        <w:rPr>
          <w:rFonts w:cs="Arial"/>
          <w:b/>
          <w:bCs/>
          <w:szCs w:val="24"/>
          <w:lang w:eastAsia="zh-CN"/>
        </w:rPr>
      </w:pPr>
    </w:p>
    <w:bookmarkEnd w:id="0"/>
    <w:bookmarkEnd w:id="1"/>
    <w:p w:rsidR="00147B7B" w:rsidRPr="00EA187A" w:rsidRDefault="00147B7B" w:rsidP="009350E9">
      <w:pPr>
        <w:spacing w:after="0"/>
        <w:jc w:val="both"/>
        <w:rPr>
          <w:rStyle w:val="apple-converted-space"/>
          <w:rFonts w:cs="Helvetica"/>
          <w:szCs w:val="24"/>
          <w:shd w:val="clear" w:color="auto" w:fill="FFFFFF"/>
          <w:lang w:eastAsia="zh-CN"/>
        </w:rPr>
      </w:pPr>
      <w:r w:rsidRPr="00EA187A">
        <w:rPr>
          <w:rFonts w:eastAsia="Times New Roman" w:cs="Helvetica"/>
          <w:szCs w:val="24"/>
          <w:shd w:val="clear" w:color="auto" w:fill="FFFFFF"/>
        </w:rPr>
        <w:t>Prognostic factors in patients with middle and distal bile duct cancers</w:t>
      </w:r>
    </w:p>
    <w:p w:rsidR="00147B7B" w:rsidRPr="003C3796" w:rsidRDefault="00147B7B" w:rsidP="009350E9">
      <w:pPr>
        <w:spacing w:after="0"/>
        <w:jc w:val="both"/>
        <w:rPr>
          <w:b/>
          <w:szCs w:val="24"/>
          <w:lang w:eastAsia="zh-CN"/>
        </w:rPr>
      </w:pPr>
    </w:p>
    <w:p w:rsidR="00147B7B" w:rsidRPr="00CA7837" w:rsidRDefault="00147B7B" w:rsidP="009350E9">
      <w:pPr>
        <w:spacing w:after="0"/>
        <w:jc w:val="both"/>
        <w:rPr>
          <w:rFonts w:cs="Helvetica"/>
          <w:szCs w:val="24"/>
          <w:shd w:val="clear" w:color="auto" w:fill="FFFFFF"/>
          <w:lang w:eastAsia="zh-CN"/>
        </w:rPr>
      </w:pPr>
      <w:r w:rsidRPr="00CA7837">
        <w:rPr>
          <w:rStyle w:val="Name"/>
          <w:rFonts w:eastAsia="Times New Roman"/>
          <w:color w:val="auto"/>
          <w:szCs w:val="24"/>
        </w:rPr>
        <w:t>Kwon</w:t>
      </w:r>
      <w:r w:rsidRPr="00CA7837">
        <w:rPr>
          <w:rFonts w:eastAsia="Times New Roman" w:cs="Helvetica"/>
          <w:szCs w:val="24"/>
          <w:shd w:val="clear" w:color="auto" w:fill="FFFFFF"/>
        </w:rPr>
        <w:t xml:space="preserve"> </w:t>
      </w:r>
      <w:r w:rsidRPr="00CA7837">
        <w:rPr>
          <w:rFonts w:cs="Helvetica"/>
          <w:szCs w:val="24"/>
          <w:shd w:val="clear" w:color="auto" w:fill="FFFFFF"/>
          <w:lang w:eastAsia="zh-CN"/>
        </w:rPr>
        <w:t xml:space="preserve">HJ </w:t>
      </w:r>
      <w:r w:rsidRPr="00CA7837">
        <w:rPr>
          <w:rFonts w:cs="Helvetica"/>
          <w:i/>
          <w:szCs w:val="24"/>
          <w:shd w:val="clear" w:color="auto" w:fill="FFFFFF"/>
          <w:lang w:eastAsia="zh-CN"/>
        </w:rPr>
        <w:t>et al</w:t>
      </w:r>
      <w:r w:rsidRPr="00CA7837">
        <w:rPr>
          <w:rFonts w:cs="Helvetica"/>
          <w:szCs w:val="24"/>
          <w:shd w:val="clear" w:color="auto" w:fill="FFFFFF"/>
          <w:lang w:eastAsia="zh-CN"/>
        </w:rPr>
        <w:t xml:space="preserve">. </w:t>
      </w:r>
      <w:r w:rsidRPr="00CA7837">
        <w:rPr>
          <w:rFonts w:eastAsia="Times New Roman" w:cs="Helvetica"/>
          <w:szCs w:val="24"/>
          <w:shd w:val="clear" w:color="auto" w:fill="FFFFFF"/>
        </w:rPr>
        <w:t xml:space="preserve">Prognostic factors in </w:t>
      </w:r>
      <w:proofErr w:type="spellStart"/>
      <w:r w:rsidRPr="00CA7837">
        <w:rPr>
          <w:rFonts w:eastAsia="Times New Roman" w:cs="Helvetica"/>
          <w:szCs w:val="24"/>
          <w:shd w:val="clear" w:color="auto" w:fill="FFFFFF"/>
        </w:rPr>
        <w:t>extrahepatic</w:t>
      </w:r>
      <w:proofErr w:type="spellEnd"/>
      <w:r w:rsidRPr="00CA7837">
        <w:rPr>
          <w:rFonts w:eastAsia="Times New Roman" w:cs="Helvetica"/>
          <w:szCs w:val="24"/>
          <w:shd w:val="clear" w:color="auto" w:fill="FFFFFF"/>
        </w:rPr>
        <w:t xml:space="preserve"> biliary cancer</w:t>
      </w:r>
    </w:p>
    <w:p w:rsidR="00147B7B" w:rsidRPr="003C3796" w:rsidRDefault="00147B7B" w:rsidP="009350E9">
      <w:pPr>
        <w:spacing w:after="0"/>
        <w:jc w:val="both"/>
        <w:rPr>
          <w:b/>
          <w:szCs w:val="24"/>
          <w:lang w:eastAsia="zh-CN"/>
        </w:rPr>
      </w:pPr>
    </w:p>
    <w:p w:rsidR="00147B7B" w:rsidRPr="003C3796" w:rsidRDefault="00147B7B" w:rsidP="009350E9">
      <w:pPr>
        <w:pStyle w:val="ab"/>
        <w:spacing w:before="0" w:after="0"/>
        <w:jc w:val="both"/>
        <w:rPr>
          <w:b w:val="0"/>
          <w:szCs w:val="24"/>
        </w:rPr>
      </w:pPr>
      <w:proofErr w:type="spellStart"/>
      <w:r w:rsidRPr="003C3796">
        <w:rPr>
          <w:rStyle w:val="NameGiven"/>
          <w:b w:val="0"/>
          <w:color w:val="auto"/>
          <w:szCs w:val="24"/>
        </w:rPr>
        <w:t>Hyung</w:t>
      </w:r>
      <w:proofErr w:type="spellEnd"/>
      <w:r w:rsidRPr="003C3796">
        <w:rPr>
          <w:rStyle w:val="NameGiven"/>
          <w:b w:val="0"/>
          <w:color w:val="auto"/>
          <w:szCs w:val="24"/>
          <w:lang w:eastAsia="ko-KR"/>
        </w:rPr>
        <w:t xml:space="preserve"> Jun</w:t>
      </w:r>
      <w:r w:rsidRPr="003C3796">
        <w:rPr>
          <w:b w:val="0"/>
          <w:szCs w:val="24"/>
        </w:rPr>
        <w:t xml:space="preserve"> </w:t>
      </w:r>
      <w:r w:rsidRPr="003C3796">
        <w:rPr>
          <w:rStyle w:val="Name"/>
          <w:b w:val="0"/>
          <w:color w:val="auto"/>
          <w:szCs w:val="24"/>
        </w:rPr>
        <w:t>Kwon</w:t>
      </w:r>
      <w:r w:rsidRPr="003C3796">
        <w:rPr>
          <w:b w:val="0"/>
          <w:szCs w:val="24"/>
        </w:rPr>
        <w:t xml:space="preserve">, </w:t>
      </w:r>
      <w:r w:rsidRPr="003C3796">
        <w:rPr>
          <w:rStyle w:val="NameGiven"/>
          <w:b w:val="0"/>
          <w:color w:val="auto"/>
          <w:szCs w:val="24"/>
        </w:rPr>
        <w:t>Sang</w:t>
      </w:r>
      <w:r w:rsidRPr="003C3796">
        <w:rPr>
          <w:rStyle w:val="NameGiven"/>
          <w:b w:val="0"/>
          <w:color w:val="auto"/>
          <w:szCs w:val="24"/>
          <w:lang w:eastAsia="ko-KR"/>
        </w:rPr>
        <w:t xml:space="preserve"> </w:t>
      </w:r>
      <w:proofErr w:type="spellStart"/>
      <w:r w:rsidRPr="003C3796">
        <w:rPr>
          <w:rStyle w:val="NameGiven"/>
          <w:b w:val="0"/>
          <w:color w:val="auto"/>
          <w:szCs w:val="24"/>
          <w:lang w:eastAsia="ko-KR"/>
        </w:rPr>
        <w:t>G</w:t>
      </w:r>
      <w:r w:rsidRPr="003C3796">
        <w:rPr>
          <w:rStyle w:val="NameGiven"/>
          <w:b w:val="0"/>
          <w:color w:val="auto"/>
          <w:szCs w:val="24"/>
        </w:rPr>
        <w:t>eol</w:t>
      </w:r>
      <w:proofErr w:type="spellEnd"/>
      <w:r w:rsidRPr="003C3796">
        <w:rPr>
          <w:b w:val="0"/>
          <w:szCs w:val="24"/>
        </w:rPr>
        <w:t xml:space="preserve"> </w:t>
      </w:r>
      <w:r w:rsidRPr="003C3796">
        <w:rPr>
          <w:rStyle w:val="Name"/>
          <w:b w:val="0"/>
          <w:color w:val="auto"/>
          <w:szCs w:val="24"/>
        </w:rPr>
        <w:t>Kim</w:t>
      </w:r>
      <w:r w:rsidRPr="003C3796">
        <w:rPr>
          <w:b w:val="0"/>
          <w:szCs w:val="24"/>
        </w:rPr>
        <w:t xml:space="preserve">, </w:t>
      </w:r>
      <w:r w:rsidRPr="003C3796">
        <w:rPr>
          <w:rStyle w:val="NameGiven"/>
          <w:b w:val="0"/>
          <w:color w:val="auto"/>
          <w:szCs w:val="24"/>
        </w:rPr>
        <w:t>Jae</w:t>
      </w:r>
      <w:r w:rsidRPr="003C3796">
        <w:rPr>
          <w:rStyle w:val="NameGiven"/>
          <w:b w:val="0"/>
          <w:color w:val="auto"/>
          <w:szCs w:val="24"/>
          <w:lang w:eastAsia="ko-KR"/>
        </w:rPr>
        <w:t xml:space="preserve"> M</w:t>
      </w:r>
      <w:r w:rsidRPr="003C3796">
        <w:rPr>
          <w:rStyle w:val="NameGiven"/>
          <w:b w:val="0"/>
          <w:color w:val="auto"/>
          <w:szCs w:val="24"/>
        </w:rPr>
        <w:t>in</w:t>
      </w:r>
      <w:r w:rsidRPr="003C3796">
        <w:rPr>
          <w:b w:val="0"/>
          <w:szCs w:val="24"/>
        </w:rPr>
        <w:t xml:space="preserve"> </w:t>
      </w:r>
      <w:r w:rsidRPr="003C3796">
        <w:rPr>
          <w:rStyle w:val="Name"/>
          <w:b w:val="0"/>
          <w:color w:val="auto"/>
          <w:szCs w:val="24"/>
        </w:rPr>
        <w:t>Chun</w:t>
      </w:r>
      <w:r w:rsidRPr="003C3796">
        <w:rPr>
          <w:b w:val="0"/>
          <w:szCs w:val="24"/>
        </w:rPr>
        <w:t xml:space="preserve">, </w:t>
      </w:r>
      <w:r w:rsidRPr="003C3796">
        <w:rPr>
          <w:b w:val="0"/>
          <w:szCs w:val="24"/>
          <w:lang w:eastAsia="ko-KR"/>
        </w:rPr>
        <w:t xml:space="preserve">Won </w:t>
      </w:r>
      <w:proofErr w:type="spellStart"/>
      <w:r w:rsidRPr="003C3796">
        <w:rPr>
          <w:b w:val="0"/>
          <w:szCs w:val="24"/>
          <w:lang w:eastAsia="ko-KR"/>
        </w:rPr>
        <w:t>Kee</w:t>
      </w:r>
      <w:proofErr w:type="spellEnd"/>
      <w:r w:rsidRPr="003C3796">
        <w:rPr>
          <w:b w:val="0"/>
          <w:szCs w:val="24"/>
          <w:lang w:eastAsia="ko-KR"/>
        </w:rPr>
        <w:t xml:space="preserve"> Lee, </w:t>
      </w:r>
      <w:r w:rsidRPr="003C3796">
        <w:rPr>
          <w:rStyle w:val="NameGiven"/>
          <w:b w:val="0"/>
          <w:color w:val="auto"/>
          <w:szCs w:val="24"/>
        </w:rPr>
        <w:t>Yoon</w:t>
      </w:r>
      <w:r w:rsidRPr="003C3796">
        <w:rPr>
          <w:rStyle w:val="NameGiven"/>
          <w:b w:val="0"/>
          <w:color w:val="auto"/>
          <w:szCs w:val="24"/>
          <w:lang w:eastAsia="ko-KR"/>
        </w:rPr>
        <w:t xml:space="preserve"> J</w:t>
      </w:r>
      <w:r w:rsidRPr="003C3796">
        <w:rPr>
          <w:rStyle w:val="NameGiven"/>
          <w:b w:val="0"/>
          <w:color w:val="auto"/>
          <w:szCs w:val="24"/>
        </w:rPr>
        <w:t>in</w:t>
      </w:r>
      <w:r w:rsidRPr="003C3796">
        <w:rPr>
          <w:b w:val="0"/>
          <w:szCs w:val="24"/>
        </w:rPr>
        <w:t xml:space="preserve"> </w:t>
      </w:r>
      <w:r w:rsidRPr="003C3796">
        <w:rPr>
          <w:rStyle w:val="Name"/>
          <w:b w:val="0"/>
          <w:color w:val="auto"/>
          <w:szCs w:val="24"/>
        </w:rPr>
        <w:t>Hwang</w:t>
      </w:r>
    </w:p>
    <w:p w:rsidR="00147B7B" w:rsidRPr="003C3796" w:rsidRDefault="00147B7B" w:rsidP="009350E9">
      <w:pPr>
        <w:pStyle w:val="ab"/>
        <w:spacing w:before="0" w:after="0"/>
        <w:jc w:val="both"/>
        <w:rPr>
          <w:b w:val="0"/>
          <w:szCs w:val="24"/>
        </w:rPr>
      </w:pPr>
      <w:r w:rsidRPr="003C3796">
        <w:rPr>
          <w:b w:val="0"/>
          <w:szCs w:val="24"/>
        </w:rPr>
        <w:t xml:space="preserve"> </w:t>
      </w:r>
    </w:p>
    <w:p w:rsidR="00147B7B" w:rsidRDefault="00147B7B" w:rsidP="009350E9">
      <w:pPr>
        <w:pStyle w:val="Address"/>
        <w:spacing w:after="0" w:line="360" w:lineRule="auto"/>
        <w:ind w:left="0"/>
        <w:jc w:val="both"/>
        <w:rPr>
          <w:color w:val="auto"/>
          <w:sz w:val="24"/>
          <w:szCs w:val="24"/>
          <w:lang w:eastAsia="zh-CN"/>
        </w:rPr>
      </w:pPr>
      <w:proofErr w:type="spellStart"/>
      <w:r w:rsidRPr="003C3796">
        <w:rPr>
          <w:rStyle w:val="Cross-reference"/>
          <w:b/>
          <w:color w:val="auto"/>
          <w:sz w:val="24"/>
          <w:szCs w:val="24"/>
        </w:rPr>
        <w:t>Hyung</w:t>
      </w:r>
      <w:proofErr w:type="spellEnd"/>
      <w:r w:rsidRPr="003C3796">
        <w:rPr>
          <w:rStyle w:val="Cross-reference"/>
          <w:rFonts w:eastAsia="Malgun Gothic"/>
          <w:b/>
          <w:color w:val="auto"/>
          <w:sz w:val="24"/>
          <w:szCs w:val="24"/>
          <w:lang w:eastAsia="ko-KR"/>
        </w:rPr>
        <w:t xml:space="preserve"> J</w:t>
      </w:r>
      <w:r w:rsidRPr="003C3796">
        <w:rPr>
          <w:rStyle w:val="Cross-reference"/>
          <w:b/>
          <w:color w:val="auto"/>
          <w:sz w:val="24"/>
          <w:szCs w:val="24"/>
        </w:rPr>
        <w:t>un Kwon, Sang</w:t>
      </w:r>
      <w:r w:rsidRPr="003C3796">
        <w:rPr>
          <w:rStyle w:val="Cross-reference"/>
          <w:rFonts w:eastAsia="Malgun Gothic"/>
          <w:b/>
          <w:color w:val="auto"/>
          <w:sz w:val="24"/>
          <w:szCs w:val="24"/>
          <w:lang w:eastAsia="ko-KR"/>
        </w:rPr>
        <w:t xml:space="preserve"> </w:t>
      </w:r>
      <w:proofErr w:type="spellStart"/>
      <w:r w:rsidRPr="003C3796">
        <w:rPr>
          <w:rStyle w:val="Cross-reference"/>
          <w:rFonts w:eastAsia="Malgun Gothic"/>
          <w:b/>
          <w:color w:val="auto"/>
          <w:sz w:val="24"/>
          <w:szCs w:val="24"/>
          <w:lang w:eastAsia="ko-KR"/>
        </w:rPr>
        <w:t>G</w:t>
      </w:r>
      <w:r w:rsidRPr="003C3796">
        <w:rPr>
          <w:rStyle w:val="Cross-reference"/>
          <w:b/>
          <w:color w:val="auto"/>
          <w:sz w:val="24"/>
          <w:szCs w:val="24"/>
        </w:rPr>
        <w:t>eol</w:t>
      </w:r>
      <w:proofErr w:type="spellEnd"/>
      <w:r w:rsidRPr="003C3796">
        <w:rPr>
          <w:rStyle w:val="Cross-reference"/>
          <w:b/>
          <w:color w:val="auto"/>
          <w:sz w:val="24"/>
          <w:szCs w:val="24"/>
        </w:rPr>
        <w:t xml:space="preserve"> Kim, Yoon</w:t>
      </w:r>
      <w:r w:rsidRPr="003C3796">
        <w:rPr>
          <w:rStyle w:val="Cross-reference"/>
          <w:rFonts w:eastAsia="Malgun Gothic"/>
          <w:b/>
          <w:color w:val="auto"/>
          <w:sz w:val="24"/>
          <w:szCs w:val="24"/>
          <w:lang w:eastAsia="ko-KR"/>
        </w:rPr>
        <w:t xml:space="preserve"> J</w:t>
      </w:r>
      <w:r w:rsidRPr="003C3796">
        <w:rPr>
          <w:rStyle w:val="Cross-reference"/>
          <w:b/>
          <w:color w:val="auto"/>
          <w:sz w:val="24"/>
          <w:szCs w:val="24"/>
        </w:rPr>
        <w:t>in Hwang,</w:t>
      </w:r>
      <w:r w:rsidRPr="003C3796">
        <w:rPr>
          <w:rStyle w:val="Cross-reference"/>
          <w:color w:val="auto"/>
          <w:sz w:val="24"/>
          <w:szCs w:val="24"/>
        </w:rPr>
        <w:t xml:space="preserve"> </w:t>
      </w:r>
      <w:r w:rsidRPr="003C3796">
        <w:rPr>
          <w:color w:val="auto"/>
          <w:sz w:val="24"/>
          <w:szCs w:val="24"/>
        </w:rPr>
        <w:t xml:space="preserve">Department of Surgery, </w:t>
      </w:r>
      <w:proofErr w:type="spellStart"/>
      <w:r w:rsidRPr="003C3796">
        <w:rPr>
          <w:color w:val="auto"/>
          <w:sz w:val="24"/>
          <w:szCs w:val="24"/>
        </w:rPr>
        <w:t>Kyungpook</w:t>
      </w:r>
      <w:proofErr w:type="spellEnd"/>
      <w:r w:rsidRPr="003C3796">
        <w:rPr>
          <w:color w:val="auto"/>
          <w:sz w:val="24"/>
          <w:szCs w:val="24"/>
        </w:rPr>
        <w:t xml:space="preserve"> National University Medical </w:t>
      </w:r>
      <w:proofErr w:type="spellStart"/>
      <w:r w:rsidRPr="003C3796">
        <w:rPr>
          <w:color w:val="auto"/>
          <w:sz w:val="24"/>
          <w:szCs w:val="24"/>
        </w:rPr>
        <w:t>Center</w:t>
      </w:r>
      <w:proofErr w:type="spellEnd"/>
      <w:r w:rsidRPr="003C3796">
        <w:rPr>
          <w:color w:val="auto"/>
          <w:sz w:val="24"/>
          <w:szCs w:val="24"/>
        </w:rPr>
        <w:t>, Daegu</w:t>
      </w:r>
      <w:r>
        <w:rPr>
          <w:color w:val="auto"/>
          <w:sz w:val="24"/>
          <w:szCs w:val="24"/>
          <w:lang w:eastAsia="zh-CN"/>
        </w:rPr>
        <w:t xml:space="preserve"> </w:t>
      </w:r>
      <w:r w:rsidRPr="003C3796">
        <w:rPr>
          <w:rFonts w:eastAsia="Malgun Gothic"/>
          <w:color w:val="auto"/>
          <w:sz w:val="24"/>
          <w:szCs w:val="24"/>
          <w:lang w:eastAsia="ko-KR"/>
        </w:rPr>
        <w:t>700-422</w:t>
      </w:r>
      <w:r w:rsidRPr="003C3796">
        <w:rPr>
          <w:color w:val="auto"/>
          <w:sz w:val="24"/>
          <w:szCs w:val="24"/>
        </w:rPr>
        <w:t xml:space="preserve">, </w:t>
      </w:r>
      <w:r>
        <w:rPr>
          <w:color w:val="auto"/>
          <w:sz w:val="24"/>
          <w:szCs w:val="24"/>
          <w:lang w:eastAsia="zh-CN"/>
        </w:rPr>
        <w:t>South</w:t>
      </w:r>
      <w:r w:rsidRPr="003C3796">
        <w:rPr>
          <w:color w:val="auto"/>
          <w:sz w:val="24"/>
          <w:szCs w:val="24"/>
        </w:rPr>
        <w:t xml:space="preserve"> Korea</w:t>
      </w:r>
    </w:p>
    <w:p w:rsidR="00147B7B" w:rsidRPr="003C3796" w:rsidRDefault="00147B7B" w:rsidP="009350E9">
      <w:pPr>
        <w:pStyle w:val="Address"/>
        <w:spacing w:after="0" w:line="360" w:lineRule="auto"/>
        <w:ind w:left="0"/>
        <w:jc w:val="both"/>
        <w:rPr>
          <w:color w:val="auto"/>
          <w:sz w:val="24"/>
          <w:szCs w:val="24"/>
        </w:rPr>
      </w:pPr>
      <w:r w:rsidRPr="003C3796">
        <w:rPr>
          <w:color w:val="auto"/>
          <w:sz w:val="24"/>
          <w:szCs w:val="24"/>
        </w:rPr>
        <w:t xml:space="preserve"> </w:t>
      </w:r>
    </w:p>
    <w:p w:rsidR="00147B7B" w:rsidRDefault="00147B7B" w:rsidP="009350E9">
      <w:pPr>
        <w:pStyle w:val="Address"/>
        <w:spacing w:after="0" w:line="360" w:lineRule="auto"/>
        <w:ind w:left="0"/>
        <w:jc w:val="both"/>
        <w:rPr>
          <w:color w:val="auto"/>
          <w:sz w:val="24"/>
          <w:szCs w:val="24"/>
          <w:lang w:eastAsia="zh-CN"/>
        </w:rPr>
      </w:pPr>
      <w:r w:rsidRPr="003C3796">
        <w:rPr>
          <w:rStyle w:val="Cross-reference"/>
          <w:b/>
          <w:color w:val="auto"/>
          <w:sz w:val="24"/>
          <w:szCs w:val="24"/>
        </w:rPr>
        <w:t>Jae</w:t>
      </w:r>
      <w:r w:rsidRPr="003C3796">
        <w:rPr>
          <w:rStyle w:val="Cross-reference"/>
          <w:rFonts w:eastAsia="Malgun Gothic"/>
          <w:b/>
          <w:color w:val="auto"/>
          <w:sz w:val="24"/>
          <w:szCs w:val="24"/>
          <w:lang w:eastAsia="ko-KR"/>
        </w:rPr>
        <w:t xml:space="preserve"> M</w:t>
      </w:r>
      <w:r w:rsidRPr="003C3796">
        <w:rPr>
          <w:rStyle w:val="Cross-reference"/>
          <w:b/>
          <w:color w:val="auto"/>
          <w:sz w:val="24"/>
          <w:szCs w:val="24"/>
        </w:rPr>
        <w:t>in Chun,</w:t>
      </w:r>
      <w:r w:rsidRPr="003C3796">
        <w:rPr>
          <w:rStyle w:val="Cross-reference"/>
          <w:color w:val="auto"/>
          <w:sz w:val="24"/>
          <w:szCs w:val="24"/>
          <w:vertAlign w:val="superscript"/>
        </w:rPr>
        <w:t xml:space="preserve"> </w:t>
      </w:r>
      <w:r w:rsidRPr="003C3796">
        <w:rPr>
          <w:color w:val="auto"/>
          <w:sz w:val="24"/>
          <w:szCs w:val="24"/>
        </w:rPr>
        <w:t xml:space="preserve">Department of Surgery, School of Medicine, </w:t>
      </w:r>
      <w:proofErr w:type="spellStart"/>
      <w:r w:rsidRPr="003C3796">
        <w:rPr>
          <w:color w:val="auto"/>
          <w:sz w:val="24"/>
          <w:szCs w:val="24"/>
        </w:rPr>
        <w:t>Kyungpook</w:t>
      </w:r>
      <w:proofErr w:type="spellEnd"/>
      <w:r w:rsidRPr="003C3796">
        <w:rPr>
          <w:color w:val="auto"/>
          <w:sz w:val="24"/>
          <w:szCs w:val="24"/>
        </w:rPr>
        <w:t xml:space="preserve"> National University,</w:t>
      </w:r>
      <w:r>
        <w:rPr>
          <w:color w:val="auto"/>
          <w:sz w:val="24"/>
          <w:szCs w:val="24"/>
          <w:lang w:eastAsia="zh-CN"/>
        </w:rPr>
        <w:t xml:space="preserve"> </w:t>
      </w:r>
      <w:r w:rsidRPr="003C3796">
        <w:rPr>
          <w:color w:val="auto"/>
          <w:sz w:val="24"/>
          <w:szCs w:val="24"/>
        </w:rPr>
        <w:t>Daegu</w:t>
      </w:r>
      <w:r>
        <w:rPr>
          <w:color w:val="auto"/>
          <w:sz w:val="24"/>
          <w:szCs w:val="24"/>
          <w:lang w:eastAsia="zh-CN"/>
        </w:rPr>
        <w:t xml:space="preserve"> </w:t>
      </w:r>
      <w:r w:rsidRPr="003C3796">
        <w:rPr>
          <w:rFonts w:eastAsia="Malgun Gothic"/>
          <w:color w:val="auto"/>
          <w:sz w:val="24"/>
          <w:szCs w:val="24"/>
          <w:lang w:eastAsia="ko-KR"/>
        </w:rPr>
        <w:t>700-422</w:t>
      </w:r>
      <w:r w:rsidRPr="003C3796">
        <w:rPr>
          <w:color w:val="auto"/>
          <w:sz w:val="24"/>
          <w:szCs w:val="24"/>
        </w:rPr>
        <w:t xml:space="preserve">, </w:t>
      </w:r>
      <w:r>
        <w:rPr>
          <w:color w:val="auto"/>
          <w:sz w:val="24"/>
          <w:szCs w:val="24"/>
          <w:lang w:eastAsia="zh-CN"/>
        </w:rPr>
        <w:t>South</w:t>
      </w:r>
      <w:r w:rsidRPr="003C3796">
        <w:rPr>
          <w:color w:val="auto"/>
          <w:sz w:val="24"/>
          <w:szCs w:val="24"/>
        </w:rPr>
        <w:t xml:space="preserve"> Korea</w:t>
      </w:r>
    </w:p>
    <w:p w:rsidR="00147B7B" w:rsidRPr="00A063C7" w:rsidRDefault="00147B7B" w:rsidP="009350E9">
      <w:pPr>
        <w:pStyle w:val="Address"/>
        <w:spacing w:after="0" w:line="360" w:lineRule="auto"/>
        <w:ind w:left="0"/>
        <w:jc w:val="both"/>
        <w:rPr>
          <w:color w:val="auto"/>
          <w:sz w:val="24"/>
          <w:szCs w:val="24"/>
          <w:lang w:eastAsia="zh-CN"/>
        </w:rPr>
      </w:pPr>
    </w:p>
    <w:p w:rsidR="00147B7B" w:rsidRPr="003C3796" w:rsidRDefault="00147B7B" w:rsidP="009350E9">
      <w:pPr>
        <w:pStyle w:val="Address"/>
        <w:spacing w:after="0" w:line="360" w:lineRule="auto"/>
        <w:ind w:left="0"/>
        <w:jc w:val="both"/>
        <w:rPr>
          <w:rFonts w:eastAsia="Malgun Gothic"/>
          <w:color w:val="auto"/>
          <w:sz w:val="24"/>
          <w:szCs w:val="24"/>
          <w:lang w:eastAsia="ko-KR"/>
        </w:rPr>
      </w:pPr>
      <w:r w:rsidRPr="003C3796">
        <w:rPr>
          <w:rFonts w:eastAsia="Malgun Gothic"/>
          <w:b/>
          <w:color w:val="auto"/>
          <w:sz w:val="24"/>
          <w:szCs w:val="24"/>
          <w:lang w:eastAsia="ko-KR"/>
        </w:rPr>
        <w:t xml:space="preserve">Won </w:t>
      </w:r>
      <w:proofErr w:type="spellStart"/>
      <w:r w:rsidRPr="003C3796">
        <w:rPr>
          <w:rFonts w:eastAsia="Malgun Gothic"/>
          <w:b/>
          <w:color w:val="auto"/>
          <w:sz w:val="24"/>
          <w:szCs w:val="24"/>
          <w:lang w:eastAsia="ko-KR"/>
        </w:rPr>
        <w:t>Kee</w:t>
      </w:r>
      <w:proofErr w:type="spellEnd"/>
      <w:r w:rsidRPr="003C3796">
        <w:rPr>
          <w:rFonts w:eastAsia="Malgun Gothic"/>
          <w:b/>
          <w:color w:val="auto"/>
          <w:sz w:val="24"/>
          <w:szCs w:val="24"/>
          <w:lang w:eastAsia="ko-KR"/>
        </w:rPr>
        <w:t xml:space="preserve"> Lee</w:t>
      </w:r>
      <w:r w:rsidRPr="003C3796">
        <w:rPr>
          <w:rFonts w:eastAsia="Malgun Gothic"/>
          <w:color w:val="auto"/>
          <w:sz w:val="24"/>
          <w:szCs w:val="24"/>
          <w:lang w:eastAsia="ko-KR"/>
        </w:rPr>
        <w:t xml:space="preserve">, Department of Preventive Medicine, School of Medicine, </w:t>
      </w:r>
      <w:proofErr w:type="spellStart"/>
      <w:r w:rsidRPr="003C3796">
        <w:rPr>
          <w:rFonts w:eastAsia="Malgun Gothic"/>
          <w:color w:val="auto"/>
          <w:sz w:val="24"/>
          <w:szCs w:val="24"/>
          <w:lang w:eastAsia="ko-KR"/>
        </w:rPr>
        <w:t>Kyungpook</w:t>
      </w:r>
      <w:proofErr w:type="spellEnd"/>
      <w:r w:rsidRPr="003C3796">
        <w:rPr>
          <w:rFonts w:eastAsia="Malgun Gothic"/>
          <w:color w:val="auto"/>
          <w:sz w:val="24"/>
          <w:szCs w:val="24"/>
          <w:lang w:eastAsia="ko-KR"/>
        </w:rPr>
        <w:t xml:space="preserve"> National University, Daegu 700-422, </w:t>
      </w:r>
      <w:r>
        <w:rPr>
          <w:color w:val="auto"/>
          <w:sz w:val="24"/>
          <w:szCs w:val="24"/>
          <w:lang w:eastAsia="zh-CN"/>
        </w:rPr>
        <w:t>South</w:t>
      </w:r>
      <w:r w:rsidRPr="003C3796">
        <w:rPr>
          <w:color w:val="auto"/>
          <w:sz w:val="24"/>
          <w:szCs w:val="24"/>
        </w:rPr>
        <w:t xml:space="preserve"> Korea</w:t>
      </w:r>
    </w:p>
    <w:p w:rsidR="00147B7B" w:rsidRPr="003C3796" w:rsidRDefault="00147B7B" w:rsidP="009350E9">
      <w:pPr>
        <w:pStyle w:val="Address"/>
        <w:spacing w:after="0" w:line="360" w:lineRule="auto"/>
        <w:ind w:left="0"/>
        <w:jc w:val="both"/>
        <w:rPr>
          <w:rFonts w:eastAsia="Malgun Gothic"/>
          <w:color w:val="auto"/>
          <w:sz w:val="24"/>
          <w:szCs w:val="24"/>
          <w:lang w:eastAsia="ko-KR"/>
        </w:rPr>
      </w:pPr>
    </w:p>
    <w:p w:rsidR="00147B7B" w:rsidRPr="003C3796" w:rsidRDefault="00147B7B" w:rsidP="009350E9">
      <w:pPr>
        <w:pStyle w:val="Address"/>
        <w:spacing w:after="0" w:line="360" w:lineRule="auto"/>
        <w:ind w:left="0"/>
        <w:jc w:val="both"/>
        <w:rPr>
          <w:rStyle w:val="apple-converted-space"/>
          <w:color w:val="auto"/>
          <w:sz w:val="24"/>
          <w:szCs w:val="24"/>
          <w:shd w:val="clear" w:color="auto" w:fill="FFFFFF"/>
          <w:lang w:eastAsia="zh-CN"/>
        </w:rPr>
      </w:pPr>
      <w:r w:rsidRPr="003C3796">
        <w:rPr>
          <w:b/>
          <w:color w:val="auto"/>
          <w:sz w:val="24"/>
          <w:szCs w:val="24"/>
        </w:rPr>
        <w:t xml:space="preserve">Author contributions: </w:t>
      </w:r>
      <w:r w:rsidRPr="003C3796">
        <w:rPr>
          <w:color w:val="auto"/>
          <w:sz w:val="24"/>
          <w:szCs w:val="24"/>
          <w:shd w:val="clear" w:color="auto" w:fill="FFFFFF"/>
        </w:rPr>
        <w:t>Kwon HJ is the first author and composed the majority of the manuscript; Chun JM prepared the literature review; Hwang YJ designed and coordinated the study and helped to draft the manuscript; Lee W</w:t>
      </w:r>
      <w:r w:rsidRPr="003C3796">
        <w:rPr>
          <w:rFonts w:eastAsia="Malgun Gothic"/>
          <w:color w:val="auto"/>
          <w:sz w:val="24"/>
          <w:szCs w:val="24"/>
          <w:shd w:val="clear" w:color="auto" w:fill="FFFFFF"/>
          <w:lang w:eastAsia="ko-KR"/>
        </w:rPr>
        <w:t>K</w:t>
      </w:r>
      <w:r w:rsidRPr="003C3796">
        <w:rPr>
          <w:color w:val="auto"/>
          <w:sz w:val="24"/>
          <w:szCs w:val="24"/>
          <w:shd w:val="clear" w:color="auto" w:fill="FFFFFF"/>
        </w:rPr>
        <w:t xml:space="preserve"> a statistician and </w:t>
      </w:r>
      <w:proofErr w:type="spellStart"/>
      <w:r w:rsidRPr="003C3796">
        <w:rPr>
          <w:color w:val="auto"/>
          <w:sz w:val="24"/>
          <w:szCs w:val="24"/>
          <w:shd w:val="clear" w:color="auto" w:fill="FFFFFF"/>
        </w:rPr>
        <w:t>analyzed</w:t>
      </w:r>
      <w:proofErr w:type="spellEnd"/>
      <w:r w:rsidRPr="003C3796">
        <w:rPr>
          <w:color w:val="auto"/>
          <w:sz w:val="24"/>
          <w:szCs w:val="24"/>
          <w:shd w:val="clear" w:color="auto" w:fill="FFFFFF"/>
        </w:rPr>
        <w:t xml:space="preserve"> the data; and Kim SG is the corresponding author and performed the surgery in addition to initiating and guiding the program of identifying the prognostic factors of </w:t>
      </w:r>
      <w:proofErr w:type="spellStart"/>
      <w:r w:rsidRPr="003C3796">
        <w:rPr>
          <w:color w:val="auto"/>
          <w:sz w:val="24"/>
          <w:szCs w:val="24"/>
          <w:shd w:val="clear" w:color="auto" w:fill="FFFFFF"/>
        </w:rPr>
        <w:t>extrahepatic</w:t>
      </w:r>
      <w:proofErr w:type="spellEnd"/>
      <w:r w:rsidRPr="003C3796">
        <w:rPr>
          <w:color w:val="auto"/>
          <w:sz w:val="24"/>
          <w:szCs w:val="24"/>
          <w:shd w:val="clear" w:color="auto" w:fill="FFFFFF"/>
        </w:rPr>
        <w:t xml:space="preserve"> bile duct cancer. All authors have read and approved the final manuscript.</w:t>
      </w:r>
    </w:p>
    <w:p w:rsidR="00147B7B" w:rsidRPr="003C3796" w:rsidRDefault="00147B7B" w:rsidP="009350E9">
      <w:pPr>
        <w:pStyle w:val="Address"/>
        <w:spacing w:after="0" w:line="360" w:lineRule="auto"/>
        <w:ind w:left="0"/>
        <w:jc w:val="both"/>
        <w:rPr>
          <w:color w:val="auto"/>
          <w:sz w:val="24"/>
          <w:szCs w:val="24"/>
          <w:lang w:eastAsia="zh-CN"/>
        </w:rPr>
      </w:pPr>
    </w:p>
    <w:p w:rsidR="00147B7B" w:rsidRPr="003C3796" w:rsidRDefault="00147B7B" w:rsidP="009350E9">
      <w:pPr>
        <w:spacing w:after="0"/>
        <w:jc w:val="both"/>
        <w:rPr>
          <w:szCs w:val="24"/>
          <w:shd w:val="clear" w:color="auto" w:fill="FFFFFF"/>
          <w:lang w:eastAsia="zh-CN"/>
        </w:rPr>
      </w:pPr>
      <w:r w:rsidRPr="006412F8">
        <w:rPr>
          <w:b/>
          <w:szCs w:val="24"/>
          <w:shd w:val="clear" w:color="auto" w:fill="FFFFFF"/>
        </w:rPr>
        <w:t>Supported by</w:t>
      </w:r>
      <w:r w:rsidRPr="003C3796">
        <w:rPr>
          <w:szCs w:val="24"/>
          <w:shd w:val="clear" w:color="auto" w:fill="FFFFFF"/>
        </w:rPr>
        <w:t xml:space="preserve"> </w:t>
      </w:r>
      <w:proofErr w:type="gramStart"/>
      <w:r w:rsidRPr="003C3796">
        <w:rPr>
          <w:szCs w:val="24"/>
          <w:shd w:val="clear" w:color="auto" w:fill="FFFFFF"/>
        </w:rPr>
        <w:t>The</w:t>
      </w:r>
      <w:proofErr w:type="gramEnd"/>
      <w:r w:rsidRPr="003C3796">
        <w:rPr>
          <w:szCs w:val="24"/>
          <w:shd w:val="clear" w:color="auto" w:fill="FFFFFF"/>
        </w:rPr>
        <w:t xml:space="preserve"> </w:t>
      </w:r>
      <w:proofErr w:type="spellStart"/>
      <w:r w:rsidRPr="003C3796">
        <w:rPr>
          <w:szCs w:val="24"/>
          <w:shd w:val="clear" w:color="auto" w:fill="FFFFFF"/>
        </w:rPr>
        <w:t>Kyungpook</w:t>
      </w:r>
      <w:proofErr w:type="spellEnd"/>
      <w:r w:rsidRPr="003C3796">
        <w:rPr>
          <w:szCs w:val="24"/>
          <w:shd w:val="clear" w:color="auto" w:fill="FFFFFF"/>
        </w:rPr>
        <w:t xml:space="preserve"> National University Research Fund, 2012</w:t>
      </w:r>
    </w:p>
    <w:p w:rsidR="00147B7B" w:rsidRPr="003C3796" w:rsidRDefault="00147B7B" w:rsidP="009350E9">
      <w:pPr>
        <w:spacing w:after="0"/>
        <w:jc w:val="both"/>
        <w:rPr>
          <w:b/>
          <w:szCs w:val="24"/>
          <w:lang w:eastAsia="zh-CN"/>
        </w:rPr>
      </w:pPr>
    </w:p>
    <w:p w:rsidR="00147B7B" w:rsidRDefault="00147B7B" w:rsidP="009350E9">
      <w:pPr>
        <w:pStyle w:val="Correspondence"/>
        <w:spacing w:after="0" w:line="360" w:lineRule="auto"/>
        <w:ind w:left="0" w:firstLine="0"/>
        <w:jc w:val="both"/>
        <w:rPr>
          <w:color w:val="auto"/>
          <w:sz w:val="24"/>
          <w:szCs w:val="24"/>
          <w:lang w:eastAsia="zh-CN"/>
        </w:rPr>
      </w:pPr>
      <w:r w:rsidRPr="003C3796">
        <w:rPr>
          <w:rStyle w:val="Heading"/>
          <w:color w:val="auto"/>
          <w:sz w:val="24"/>
          <w:szCs w:val="24"/>
        </w:rPr>
        <w:lastRenderedPageBreak/>
        <w:t xml:space="preserve">Correspondence to: </w:t>
      </w:r>
      <w:r w:rsidRPr="003C3796">
        <w:rPr>
          <w:b/>
          <w:color w:val="auto"/>
          <w:sz w:val="24"/>
          <w:szCs w:val="24"/>
        </w:rPr>
        <w:t xml:space="preserve">Sang </w:t>
      </w:r>
      <w:proofErr w:type="spellStart"/>
      <w:r w:rsidRPr="003C3796">
        <w:rPr>
          <w:b/>
          <w:color w:val="auto"/>
          <w:sz w:val="24"/>
          <w:szCs w:val="24"/>
        </w:rPr>
        <w:t>Geol</w:t>
      </w:r>
      <w:proofErr w:type="spellEnd"/>
      <w:r w:rsidRPr="003C3796">
        <w:rPr>
          <w:b/>
          <w:color w:val="auto"/>
          <w:sz w:val="24"/>
          <w:szCs w:val="24"/>
        </w:rPr>
        <w:t xml:space="preserve"> Kim, MD</w:t>
      </w:r>
      <w:r w:rsidRPr="003C3796">
        <w:rPr>
          <w:b/>
          <w:color w:val="auto"/>
          <w:sz w:val="24"/>
          <w:szCs w:val="24"/>
          <w:lang w:eastAsia="zh-CN"/>
        </w:rPr>
        <w:t>,</w:t>
      </w:r>
      <w:r w:rsidRPr="003C3796">
        <w:rPr>
          <w:color w:val="auto"/>
          <w:sz w:val="24"/>
          <w:szCs w:val="24"/>
        </w:rPr>
        <w:t xml:space="preserve"> Department of Surgery, </w:t>
      </w:r>
      <w:proofErr w:type="spellStart"/>
      <w:r w:rsidRPr="003C3796">
        <w:rPr>
          <w:color w:val="auto"/>
          <w:sz w:val="24"/>
          <w:szCs w:val="24"/>
        </w:rPr>
        <w:t>Kyungpook</w:t>
      </w:r>
      <w:proofErr w:type="spellEnd"/>
      <w:r w:rsidRPr="003C3796">
        <w:rPr>
          <w:color w:val="auto"/>
          <w:sz w:val="24"/>
          <w:szCs w:val="24"/>
        </w:rPr>
        <w:t xml:space="preserve"> National University Medical </w:t>
      </w:r>
      <w:proofErr w:type="spellStart"/>
      <w:r w:rsidRPr="003C3796">
        <w:rPr>
          <w:color w:val="auto"/>
          <w:sz w:val="24"/>
          <w:szCs w:val="24"/>
        </w:rPr>
        <w:t>Center</w:t>
      </w:r>
      <w:proofErr w:type="spellEnd"/>
      <w:r>
        <w:rPr>
          <w:color w:val="auto"/>
          <w:sz w:val="24"/>
          <w:szCs w:val="24"/>
        </w:rPr>
        <w:t xml:space="preserve">, 807 </w:t>
      </w:r>
      <w:proofErr w:type="spellStart"/>
      <w:r>
        <w:rPr>
          <w:color w:val="auto"/>
          <w:sz w:val="24"/>
          <w:szCs w:val="24"/>
        </w:rPr>
        <w:t>Hogukno</w:t>
      </w:r>
      <w:proofErr w:type="spellEnd"/>
      <w:r>
        <w:rPr>
          <w:color w:val="auto"/>
          <w:sz w:val="24"/>
          <w:szCs w:val="24"/>
        </w:rPr>
        <w:t xml:space="preserve">, </w:t>
      </w:r>
      <w:proofErr w:type="spellStart"/>
      <w:r>
        <w:rPr>
          <w:color w:val="auto"/>
          <w:sz w:val="24"/>
          <w:szCs w:val="24"/>
        </w:rPr>
        <w:t>Buk-gu</w:t>
      </w:r>
      <w:proofErr w:type="spellEnd"/>
      <w:r>
        <w:rPr>
          <w:color w:val="auto"/>
          <w:sz w:val="24"/>
          <w:szCs w:val="24"/>
        </w:rPr>
        <w:t>, Daegu</w:t>
      </w:r>
      <w:r w:rsidRPr="003C3796">
        <w:rPr>
          <w:color w:val="auto"/>
          <w:sz w:val="24"/>
          <w:szCs w:val="24"/>
        </w:rPr>
        <w:t xml:space="preserve"> 702-210, </w:t>
      </w:r>
      <w:proofErr w:type="gramStart"/>
      <w:r>
        <w:rPr>
          <w:color w:val="auto"/>
          <w:sz w:val="24"/>
          <w:szCs w:val="24"/>
        </w:rPr>
        <w:t>South</w:t>
      </w:r>
      <w:proofErr w:type="gramEnd"/>
      <w:r w:rsidRPr="003C3796">
        <w:rPr>
          <w:color w:val="auto"/>
          <w:sz w:val="24"/>
          <w:szCs w:val="24"/>
        </w:rPr>
        <w:t xml:space="preserve"> Korea. </w:t>
      </w:r>
      <w:r w:rsidRPr="002229CA">
        <w:rPr>
          <w:color w:val="auto"/>
          <w:sz w:val="24"/>
          <w:szCs w:val="24"/>
        </w:rPr>
        <w:t>ksg@knu.ac.kr</w:t>
      </w:r>
    </w:p>
    <w:p w:rsidR="00147B7B" w:rsidRDefault="00147B7B" w:rsidP="009350E9">
      <w:pPr>
        <w:pStyle w:val="Correspondence"/>
        <w:spacing w:after="0" w:line="360" w:lineRule="auto"/>
        <w:ind w:left="0" w:firstLine="0"/>
        <w:jc w:val="both"/>
        <w:rPr>
          <w:color w:val="auto"/>
          <w:sz w:val="24"/>
          <w:szCs w:val="24"/>
          <w:lang w:eastAsia="zh-CN"/>
        </w:rPr>
      </w:pPr>
      <w:r w:rsidRPr="002229CA">
        <w:rPr>
          <w:b/>
          <w:color w:val="auto"/>
          <w:sz w:val="24"/>
          <w:szCs w:val="24"/>
        </w:rPr>
        <w:t>Telephone</w:t>
      </w:r>
      <w:r w:rsidRPr="003C3796">
        <w:rPr>
          <w:color w:val="auto"/>
          <w:sz w:val="24"/>
          <w:szCs w:val="24"/>
        </w:rPr>
        <w:t>: +82-53-2002703</w:t>
      </w:r>
      <w:r>
        <w:rPr>
          <w:color w:val="auto"/>
          <w:sz w:val="24"/>
          <w:szCs w:val="24"/>
        </w:rPr>
        <w:t xml:space="preserve"> </w:t>
      </w:r>
      <w:r>
        <w:rPr>
          <w:color w:val="auto"/>
          <w:sz w:val="24"/>
          <w:szCs w:val="24"/>
          <w:lang w:eastAsia="zh-CN"/>
        </w:rPr>
        <w:t xml:space="preserve">   </w:t>
      </w:r>
      <w:r w:rsidRPr="002229CA">
        <w:rPr>
          <w:b/>
          <w:color w:val="auto"/>
          <w:sz w:val="24"/>
          <w:szCs w:val="24"/>
        </w:rPr>
        <w:t>Fax</w:t>
      </w:r>
      <w:r w:rsidRPr="003C3796">
        <w:rPr>
          <w:color w:val="auto"/>
          <w:sz w:val="24"/>
          <w:szCs w:val="24"/>
        </w:rPr>
        <w:t>: +82-53-2002027</w:t>
      </w:r>
    </w:p>
    <w:p w:rsidR="00147B7B" w:rsidRDefault="00147B7B" w:rsidP="009350E9">
      <w:pPr>
        <w:pStyle w:val="Correspondence"/>
        <w:spacing w:after="0" w:line="360" w:lineRule="auto"/>
        <w:ind w:left="0" w:firstLine="0"/>
        <w:jc w:val="both"/>
        <w:rPr>
          <w:color w:val="auto"/>
          <w:sz w:val="24"/>
          <w:szCs w:val="24"/>
          <w:lang w:eastAsia="zh-CN"/>
        </w:rPr>
      </w:pPr>
    </w:p>
    <w:p w:rsidR="00147B7B" w:rsidRPr="001A540C" w:rsidRDefault="00147B7B" w:rsidP="009350E9">
      <w:pPr>
        <w:spacing w:after="0"/>
        <w:rPr>
          <w:b/>
          <w:color w:val="000000"/>
          <w:lang w:eastAsia="zh-CN"/>
        </w:rPr>
      </w:pPr>
      <w:r w:rsidRPr="005C6A5F">
        <w:rPr>
          <w:b/>
          <w:color w:val="000000"/>
        </w:rPr>
        <w:t xml:space="preserve">Received: </w:t>
      </w:r>
      <w:r w:rsidRPr="00421E83">
        <w:rPr>
          <w:szCs w:val="24"/>
        </w:rPr>
        <w:t>October</w:t>
      </w:r>
      <w:r>
        <w:rPr>
          <w:szCs w:val="24"/>
          <w:lang w:eastAsia="zh-CN"/>
        </w:rPr>
        <w:t xml:space="preserve"> 7, 2013      </w:t>
      </w:r>
      <w:r w:rsidRPr="005C6A5F">
        <w:rPr>
          <w:b/>
          <w:color w:val="000000"/>
        </w:rPr>
        <w:t xml:space="preserve">Revised: </w:t>
      </w:r>
      <w:bookmarkStart w:id="2" w:name="OLE_LINK59"/>
      <w:bookmarkStart w:id="3" w:name="OLE_LINK60"/>
      <w:bookmarkStart w:id="4" w:name="OLE_LINK12"/>
      <w:bookmarkStart w:id="5" w:name="OLE_LINK13"/>
      <w:bookmarkStart w:id="6" w:name="OLE_LINK81"/>
      <w:bookmarkStart w:id="7" w:name="OLE_LINK106"/>
      <w:r w:rsidRPr="00421E83">
        <w:rPr>
          <w:szCs w:val="24"/>
        </w:rPr>
        <w:t>February</w:t>
      </w:r>
      <w:bookmarkEnd w:id="2"/>
      <w:bookmarkEnd w:id="3"/>
      <w:bookmarkEnd w:id="4"/>
      <w:bookmarkEnd w:id="5"/>
      <w:bookmarkEnd w:id="6"/>
      <w:bookmarkEnd w:id="7"/>
      <w:r>
        <w:rPr>
          <w:szCs w:val="24"/>
          <w:lang w:eastAsia="zh-CN"/>
        </w:rPr>
        <w:t xml:space="preserve"> 25, 2014</w:t>
      </w:r>
    </w:p>
    <w:p w:rsidR="00147B7B" w:rsidRPr="00EB767B" w:rsidRDefault="00147B7B" w:rsidP="00EB767B">
      <w:pPr>
        <w:rPr>
          <w:rFonts w:hint="eastAsia"/>
          <w:color w:val="000000"/>
          <w:szCs w:val="24"/>
          <w:lang w:eastAsia="zh-CN"/>
        </w:rPr>
      </w:pPr>
      <w:r w:rsidRPr="005C6A5F">
        <w:rPr>
          <w:b/>
          <w:color w:val="000000"/>
        </w:rPr>
        <w:t xml:space="preserve">Accepted: </w:t>
      </w:r>
      <w:bookmarkStart w:id="8" w:name="OLE_LINK8"/>
      <w:bookmarkStart w:id="9" w:name="OLE_LINK9"/>
      <w:bookmarkStart w:id="10" w:name="OLE_LINK1"/>
      <w:bookmarkStart w:id="11" w:name="OLE_LINK2"/>
      <w:r w:rsidR="00EB767B" w:rsidRPr="00EB767B">
        <w:rPr>
          <w:color w:val="000000"/>
          <w:szCs w:val="24"/>
        </w:rPr>
        <w:t>March 12, 2014</w:t>
      </w:r>
      <w:bookmarkStart w:id="12" w:name="_GoBack"/>
      <w:bookmarkEnd w:id="8"/>
      <w:bookmarkEnd w:id="9"/>
      <w:bookmarkEnd w:id="10"/>
      <w:bookmarkEnd w:id="11"/>
      <w:bookmarkEnd w:id="12"/>
    </w:p>
    <w:p w:rsidR="00147B7B" w:rsidRPr="005C6A5F" w:rsidRDefault="00147B7B" w:rsidP="009350E9">
      <w:pPr>
        <w:spacing w:after="0"/>
        <w:rPr>
          <w:color w:val="000000"/>
        </w:rPr>
      </w:pPr>
      <w:r w:rsidRPr="005C6A5F">
        <w:rPr>
          <w:b/>
          <w:color w:val="000000"/>
        </w:rPr>
        <w:t xml:space="preserve">Published online: </w:t>
      </w:r>
    </w:p>
    <w:p w:rsidR="00147B7B" w:rsidRPr="002229CA" w:rsidRDefault="00147B7B" w:rsidP="009350E9">
      <w:pPr>
        <w:pStyle w:val="Correspondence"/>
        <w:spacing w:after="0" w:line="360" w:lineRule="auto"/>
        <w:ind w:left="0" w:firstLine="0"/>
        <w:jc w:val="both"/>
        <w:rPr>
          <w:color w:val="auto"/>
          <w:sz w:val="24"/>
          <w:szCs w:val="24"/>
          <w:lang w:eastAsia="zh-CN"/>
        </w:rPr>
      </w:pPr>
    </w:p>
    <w:p w:rsidR="00147B7B" w:rsidRPr="003C3796" w:rsidRDefault="00147B7B" w:rsidP="009350E9">
      <w:pPr>
        <w:spacing w:after="0"/>
        <w:jc w:val="both"/>
        <w:rPr>
          <w:b/>
          <w:szCs w:val="24"/>
        </w:rPr>
      </w:pPr>
      <w:r w:rsidRPr="003C3796">
        <w:rPr>
          <w:rStyle w:val="NameGiven"/>
          <w:color w:val="auto"/>
          <w:szCs w:val="24"/>
        </w:rPr>
        <w:br w:type="page"/>
      </w:r>
      <w:r w:rsidRPr="003C3796">
        <w:rPr>
          <w:rStyle w:val="NameGiven"/>
          <w:b/>
          <w:color w:val="auto"/>
          <w:szCs w:val="24"/>
        </w:rPr>
        <w:lastRenderedPageBreak/>
        <w:t>Abstract</w:t>
      </w:r>
    </w:p>
    <w:p w:rsidR="00147B7B" w:rsidRDefault="00147B7B" w:rsidP="009350E9">
      <w:pPr>
        <w:spacing w:after="0"/>
        <w:jc w:val="both"/>
        <w:rPr>
          <w:rStyle w:val="apple-converted-space"/>
          <w:rFonts w:cs="Helvetica"/>
          <w:szCs w:val="24"/>
          <w:shd w:val="clear" w:color="auto" w:fill="FFFFFF"/>
          <w:lang w:eastAsia="zh-CN"/>
        </w:rPr>
      </w:pPr>
      <w:r w:rsidRPr="003C3796">
        <w:rPr>
          <w:rStyle w:val="NameGiven"/>
          <w:b/>
          <w:color w:val="auto"/>
          <w:szCs w:val="24"/>
        </w:rPr>
        <w:t>AIM</w:t>
      </w:r>
      <w:r w:rsidRPr="003C3796">
        <w:rPr>
          <w:b/>
          <w:szCs w:val="24"/>
        </w:rPr>
        <w:t>:</w:t>
      </w:r>
      <w:r w:rsidRPr="003C3796">
        <w:rPr>
          <w:szCs w:val="24"/>
        </w:rPr>
        <w:t xml:space="preserve"> </w:t>
      </w:r>
      <w:r w:rsidRPr="003C3796">
        <w:rPr>
          <w:rFonts w:cs="Helvetica"/>
          <w:szCs w:val="24"/>
          <w:shd w:val="clear" w:color="auto" w:fill="FFFFFF"/>
        </w:rPr>
        <w:t xml:space="preserve">To identify the </w:t>
      </w:r>
      <w:r w:rsidRPr="003C3796">
        <w:rPr>
          <w:szCs w:val="24"/>
          <w:shd w:val="clear" w:color="auto" w:fill="FFFFFF"/>
        </w:rPr>
        <w:t xml:space="preserve">influence of </w:t>
      </w:r>
      <w:r w:rsidRPr="003C3796">
        <w:rPr>
          <w:rFonts w:cs="Helvetica"/>
          <w:szCs w:val="24"/>
          <w:shd w:val="clear" w:color="auto" w:fill="FFFFFF"/>
        </w:rPr>
        <w:t xml:space="preserve">the surgery </w:t>
      </w:r>
      <w:r w:rsidRPr="003C3796">
        <w:rPr>
          <w:szCs w:val="24"/>
          <w:shd w:val="clear" w:color="auto" w:fill="FFFFFF"/>
        </w:rPr>
        <w:t xml:space="preserve">type </w:t>
      </w:r>
      <w:r w:rsidRPr="003C3796">
        <w:rPr>
          <w:rFonts w:cs="Helvetica"/>
          <w:szCs w:val="24"/>
          <w:shd w:val="clear" w:color="auto" w:fill="FFFFFF"/>
        </w:rPr>
        <w:t>and prognostic factors in middle and distal bile duct cancers.</w:t>
      </w:r>
      <w:r w:rsidRPr="003C3796">
        <w:rPr>
          <w:rStyle w:val="apple-converted-space"/>
          <w:rFonts w:cs="Helvetica"/>
          <w:szCs w:val="24"/>
          <w:shd w:val="clear" w:color="auto" w:fill="FFFFFF"/>
        </w:rPr>
        <w:t> </w:t>
      </w:r>
    </w:p>
    <w:p w:rsidR="00147B7B" w:rsidRPr="00EE315B" w:rsidRDefault="00147B7B" w:rsidP="009350E9">
      <w:pPr>
        <w:spacing w:after="0"/>
        <w:jc w:val="both"/>
        <w:rPr>
          <w:szCs w:val="24"/>
          <w:lang w:eastAsia="zh-CN"/>
        </w:rPr>
      </w:pPr>
    </w:p>
    <w:p w:rsidR="00147B7B" w:rsidRDefault="00147B7B" w:rsidP="009350E9">
      <w:pPr>
        <w:spacing w:after="0"/>
        <w:jc w:val="both"/>
        <w:rPr>
          <w:szCs w:val="24"/>
          <w:lang w:eastAsia="zh-CN"/>
        </w:rPr>
      </w:pPr>
      <w:r w:rsidRPr="003C3796">
        <w:rPr>
          <w:b/>
          <w:szCs w:val="24"/>
        </w:rPr>
        <w:t>METHODS</w:t>
      </w:r>
      <w:r w:rsidRPr="003C3796">
        <w:rPr>
          <w:szCs w:val="24"/>
        </w:rPr>
        <w:t xml:space="preserve">: Between August 1990 and June 2011, data regarding the </w:t>
      </w:r>
      <w:proofErr w:type="spellStart"/>
      <w:r w:rsidRPr="003C3796">
        <w:rPr>
          <w:szCs w:val="24"/>
        </w:rPr>
        <w:t>clinicopathological</w:t>
      </w:r>
      <w:proofErr w:type="spellEnd"/>
      <w:r w:rsidRPr="003C3796">
        <w:rPr>
          <w:szCs w:val="24"/>
        </w:rPr>
        <w:t xml:space="preserve"> factors of 194 patients with surgical and pathological confirmation were collected. A total of 133 patients underwent resections (R0, R1, R2; </w:t>
      </w:r>
      <w:r w:rsidRPr="005A0922">
        <w:rPr>
          <w:i/>
          <w:szCs w:val="24"/>
        </w:rPr>
        <w:t xml:space="preserve">n = </w:t>
      </w:r>
      <w:r w:rsidRPr="003C3796">
        <w:rPr>
          <w:szCs w:val="24"/>
        </w:rPr>
        <w:t xml:space="preserve">102247), whereas 61 patients underwent </w:t>
      </w:r>
      <w:proofErr w:type="spellStart"/>
      <w:r w:rsidRPr="003C3796">
        <w:rPr>
          <w:szCs w:val="24"/>
        </w:rPr>
        <w:t>nonresectional</w:t>
      </w:r>
      <w:proofErr w:type="spellEnd"/>
      <w:r w:rsidRPr="003C3796">
        <w:rPr>
          <w:szCs w:val="24"/>
        </w:rPr>
        <w:t xml:space="preserve"> surgery. </w:t>
      </w:r>
      <w:r w:rsidRPr="003C3796">
        <w:rPr>
          <w:rFonts w:eastAsia="Malgun Gothic"/>
          <w:szCs w:val="24"/>
          <w:lang w:eastAsia="ko-KR"/>
        </w:rPr>
        <w:t xml:space="preserve">Either </w:t>
      </w:r>
      <w:proofErr w:type="spellStart"/>
      <w:r w:rsidRPr="003C3796">
        <w:rPr>
          <w:szCs w:val="24"/>
        </w:rPr>
        <w:t>pancreaticoduodenectomy</w:t>
      </w:r>
      <w:proofErr w:type="spellEnd"/>
      <w:r w:rsidRPr="003C3796">
        <w:rPr>
          <w:szCs w:val="24"/>
        </w:rPr>
        <w:t xml:space="preserve"> (PD</w:t>
      </w:r>
      <w:r w:rsidRPr="003C3796">
        <w:rPr>
          <w:rFonts w:eastAsia="Malgun Gothic"/>
          <w:szCs w:val="24"/>
          <w:lang w:eastAsia="ko-KR"/>
        </w:rPr>
        <w:t xml:space="preserve">) or bile duct resection (BDR) was selected according to the sites of </w:t>
      </w:r>
      <w:proofErr w:type="spellStart"/>
      <w:r w:rsidRPr="003C3796">
        <w:rPr>
          <w:rFonts w:eastAsia="Malgun Gothic"/>
          <w:szCs w:val="24"/>
          <w:lang w:eastAsia="ko-KR"/>
        </w:rPr>
        <w:t>tumors</w:t>
      </w:r>
      <w:proofErr w:type="spellEnd"/>
      <w:r w:rsidRPr="003C3796">
        <w:rPr>
          <w:rFonts w:eastAsia="Malgun Gothic"/>
          <w:szCs w:val="24"/>
          <w:lang w:eastAsia="ko-KR"/>
        </w:rPr>
        <w:t xml:space="preserve"> and co-morbidities of the patients after confirming resection margin by the frozen histology in all cases. </w:t>
      </w:r>
      <w:proofErr w:type="spellStart"/>
      <w:r w:rsidRPr="003C3796">
        <w:rPr>
          <w:szCs w:val="24"/>
        </w:rPr>
        <w:t>Univariate</w:t>
      </w:r>
      <w:proofErr w:type="spellEnd"/>
      <w:r w:rsidRPr="003C3796">
        <w:rPr>
          <w:szCs w:val="24"/>
        </w:rPr>
        <w:t xml:space="preserve"> and multivariate analyses of </w:t>
      </w:r>
      <w:proofErr w:type="spellStart"/>
      <w:r w:rsidRPr="003C3796">
        <w:rPr>
          <w:szCs w:val="24"/>
        </w:rPr>
        <w:t>clinicopathologic</w:t>
      </w:r>
      <w:proofErr w:type="spellEnd"/>
      <w:r w:rsidRPr="003C3796">
        <w:rPr>
          <w:szCs w:val="24"/>
        </w:rPr>
        <w:t xml:space="preserve"> factors were performed, utilizing the Kaplan-Meyer method and Cox hazard regression analysis. </w:t>
      </w:r>
    </w:p>
    <w:p w:rsidR="00147B7B" w:rsidRPr="005A0922" w:rsidRDefault="00147B7B" w:rsidP="009350E9">
      <w:pPr>
        <w:spacing w:after="0"/>
        <w:jc w:val="both"/>
        <w:rPr>
          <w:szCs w:val="24"/>
          <w:lang w:eastAsia="zh-CN"/>
        </w:rPr>
      </w:pPr>
    </w:p>
    <w:p w:rsidR="00147B7B" w:rsidRPr="003C3796" w:rsidRDefault="00147B7B" w:rsidP="009350E9">
      <w:pPr>
        <w:spacing w:after="0"/>
        <w:jc w:val="both"/>
        <w:rPr>
          <w:rFonts w:eastAsia="Malgun Gothic"/>
          <w:szCs w:val="24"/>
          <w:lang w:eastAsia="ko-KR"/>
        </w:rPr>
      </w:pPr>
      <w:r w:rsidRPr="003C3796">
        <w:rPr>
          <w:b/>
          <w:szCs w:val="24"/>
        </w:rPr>
        <w:t>RESULTS</w:t>
      </w:r>
      <w:r w:rsidRPr="003C3796">
        <w:rPr>
          <w:szCs w:val="24"/>
        </w:rPr>
        <w:t>: The overall 5-year survival rate for the 133 patients who underwent resection (R0, R1, and R2) w</w:t>
      </w:r>
      <w:r w:rsidRPr="003C3796">
        <w:rPr>
          <w:rFonts w:eastAsia="Malgun Gothic"/>
          <w:szCs w:val="24"/>
          <w:lang w:eastAsia="ko-KR"/>
        </w:rPr>
        <w:t>as</w:t>
      </w:r>
      <w:r w:rsidRPr="003C3796">
        <w:rPr>
          <w:szCs w:val="24"/>
        </w:rPr>
        <w:t xml:space="preserve"> 41.2%, whereas no patients survived longer than 3 years among the 61 patient who underwent </w:t>
      </w:r>
      <w:proofErr w:type="spellStart"/>
      <w:r w:rsidRPr="003C3796">
        <w:rPr>
          <w:rFonts w:eastAsia="Malgun Gothic"/>
          <w:szCs w:val="24"/>
          <w:lang w:eastAsia="ko-KR"/>
        </w:rPr>
        <w:t>nonresectional</w:t>
      </w:r>
      <w:proofErr w:type="spellEnd"/>
      <w:r w:rsidRPr="003C3796">
        <w:rPr>
          <w:rFonts w:eastAsia="Malgun Gothic"/>
          <w:szCs w:val="24"/>
          <w:lang w:eastAsia="ko-KR"/>
        </w:rPr>
        <w:t xml:space="preserve"> surgeries. </w:t>
      </w:r>
      <w:r w:rsidRPr="003C3796">
        <w:rPr>
          <w:szCs w:val="24"/>
        </w:rPr>
        <w:t xml:space="preserve">The 5-year survival rate of the patients who underwent a PD </w:t>
      </w:r>
      <w:r w:rsidRPr="003C3796">
        <w:rPr>
          <w:rFonts w:eastAsia="Malgun Gothic"/>
          <w:szCs w:val="24"/>
          <w:lang w:eastAsia="ko-KR"/>
        </w:rPr>
        <w:t>(</w:t>
      </w:r>
      <w:r w:rsidRPr="005A0922">
        <w:rPr>
          <w:i/>
          <w:szCs w:val="24"/>
        </w:rPr>
        <w:t xml:space="preserve">n = </w:t>
      </w:r>
      <w:r w:rsidRPr="003C3796">
        <w:rPr>
          <w:szCs w:val="24"/>
        </w:rPr>
        <w:t xml:space="preserve">90) was higher than the rate of those who underwent BDR </w:t>
      </w:r>
      <w:r w:rsidRPr="003C3796">
        <w:rPr>
          <w:rFonts w:eastAsia="Malgun Gothic"/>
          <w:szCs w:val="24"/>
          <w:lang w:eastAsia="ko-KR"/>
        </w:rPr>
        <w:t>(</w:t>
      </w:r>
      <w:r w:rsidRPr="005A0922">
        <w:rPr>
          <w:i/>
          <w:szCs w:val="24"/>
        </w:rPr>
        <w:t xml:space="preserve">n = </w:t>
      </w:r>
      <w:r w:rsidRPr="003C3796">
        <w:rPr>
          <w:szCs w:val="24"/>
        </w:rPr>
        <w:t xml:space="preserve">43), although the difference was not statistically significant (46.6% </w:t>
      </w:r>
      <w:r w:rsidRPr="009030B3">
        <w:rPr>
          <w:i/>
          <w:szCs w:val="24"/>
        </w:rPr>
        <w:t>vs</w:t>
      </w:r>
      <w:r>
        <w:rPr>
          <w:i/>
          <w:szCs w:val="24"/>
        </w:rPr>
        <w:t xml:space="preserve"> </w:t>
      </w:r>
      <w:r w:rsidRPr="003C3796">
        <w:rPr>
          <w:szCs w:val="24"/>
        </w:rPr>
        <w:t xml:space="preserve">30.0% </w:t>
      </w:r>
      <w:r w:rsidRPr="00AB631A">
        <w:rPr>
          <w:i/>
          <w:szCs w:val="24"/>
        </w:rPr>
        <w:t xml:space="preserve">P = </w:t>
      </w:r>
      <w:r w:rsidRPr="003C3796">
        <w:rPr>
          <w:szCs w:val="24"/>
        </w:rPr>
        <w:t xml:space="preserve">0.105). However, PD had a higher rate of R0 resection than BDR (90.0% </w:t>
      </w:r>
      <w:r w:rsidRPr="009030B3">
        <w:rPr>
          <w:i/>
          <w:szCs w:val="24"/>
        </w:rPr>
        <w:t>vs</w:t>
      </w:r>
      <w:r>
        <w:rPr>
          <w:i/>
          <w:szCs w:val="24"/>
        </w:rPr>
        <w:t xml:space="preserve"> </w:t>
      </w:r>
      <w:r w:rsidRPr="003C3796">
        <w:rPr>
          <w:szCs w:val="24"/>
        </w:rPr>
        <w:t xml:space="preserve">48.8%, </w:t>
      </w:r>
      <w:r w:rsidRPr="00AB631A">
        <w:rPr>
          <w:i/>
          <w:szCs w:val="24"/>
        </w:rPr>
        <w:t xml:space="preserve">P &lt; </w:t>
      </w:r>
      <w:r w:rsidRPr="003C3796">
        <w:rPr>
          <w:szCs w:val="24"/>
        </w:rPr>
        <w:t xml:space="preserve">0.0001). If R0 resection was achieved, PD and BDR showed similar survival rates (49.4% </w:t>
      </w:r>
      <w:r w:rsidRPr="009030B3">
        <w:rPr>
          <w:i/>
          <w:szCs w:val="24"/>
        </w:rPr>
        <w:t>vs</w:t>
      </w:r>
      <w:r>
        <w:rPr>
          <w:i/>
          <w:szCs w:val="24"/>
        </w:rPr>
        <w:t xml:space="preserve"> </w:t>
      </w:r>
      <w:r w:rsidRPr="003C3796">
        <w:rPr>
          <w:szCs w:val="24"/>
        </w:rPr>
        <w:t xml:space="preserve">46.5% </w:t>
      </w:r>
      <w:r w:rsidRPr="00AB631A">
        <w:rPr>
          <w:i/>
          <w:szCs w:val="24"/>
        </w:rPr>
        <w:t xml:space="preserve">P = </w:t>
      </w:r>
      <w:r w:rsidRPr="003C3796">
        <w:rPr>
          <w:szCs w:val="24"/>
        </w:rPr>
        <w:t xml:space="preserve">0.762). The 5-year survival rates of R0 and R1 resections were not significantly different (49.0% </w:t>
      </w:r>
      <w:r w:rsidRPr="009030B3">
        <w:rPr>
          <w:i/>
          <w:szCs w:val="24"/>
        </w:rPr>
        <w:t>vs</w:t>
      </w:r>
      <w:r>
        <w:rPr>
          <w:i/>
          <w:szCs w:val="24"/>
        </w:rPr>
        <w:t xml:space="preserve"> </w:t>
      </w:r>
      <w:r w:rsidRPr="003C3796">
        <w:rPr>
          <w:szCs w:val="24"/>
        </w:rPr>
        <w:t xml:space="preserve">21.0% </w:t>
      </w:r>
      <w:r w:rsidRPr="00AB631A">
        <w:rPr>
          <w:i/>
          <w:szCs w:val="24"/>
        </w:rPr>
        <w:t xml:space="preserve">P = </w:t>
      </w:r>
      <w:r w:rsidRPr="003C3796">
        <w:rPr>
          <w:szCs w:val="24"/>
        </w:rPr>
        <w:t xml:space="preserve">0.132), but R2 resections had lower survival (0%, </w:t>
      </w:r>
      <w:r w:rsidRPr="00AB631A">
        <w:rPr>
          <w:i/>
          <w:szCs w:val="24"/>
        </w:rPr>
        <w:t xml:space="preserve">P &lt; </w:t>
      </w:r>
      <w:r w:rsidRPr="003C3796">
        <w:rPr>
          <w:szCs w:val="24"/>
        </w:rPr>
        <w:t xml:space="preserve">0.0001). Although </w:t>
      </w:r>
      <w:r w:rsidRPr="003C3796">
        <w:rPr>
          <w:rFonts w:eastAsia="Malgun Gothic"/>
          <w:szCs w:val="24"/>
          <w:lang w:eastAsia="ko-KR"/>
        </w:rPr>
        <w:t xml:space="preserve">positive </w:t>
      </w:r>
      <w:r w:rsidRPr="003C3796">
        <w:rPr>
          <w:szCs w:val="24"/>
        </w:rPr>
        <w:t>lymph node,</w:t>
      </w:r>
      <w:r w:rsidRPr="003C3796">
        <w:rPr>
          <w:rFonts w:eastAsia="Malgun Gothic"/>
          <w:szCs w:val="24"/>
          <w:lang w:eastAsia="ko-KR"/>
        </w:rPr>
        <w:t xml:space="preserve"> presence of </w:t>
      </w:r>
      <w:proofErr w:type="spellStart"/>
      <w:r w:rsidRPr="003C3796">
        <w:rPr>
          <w:szCs w:val="24"/>
        </w:rPr>
        <w:t>perineural</w:t>
      </w:r>
      <w:proofErr w:type="spellEnd"/>
      <w:r w:rsidRPr="003C3796">
        <w:rPr>
          <w:szCs w:val="24"/>
        </w:rPr>
        <w:t xml:space="preserve"> invasion, </w:t>
      </w:r>
      <w:r w:rsidRPr="003C3796">
        <w:rPr>
          <w:rFonts w:eastAsia="Malgun Gothic"/>
          <w:szCs w:val="24"/>
          <w:lang w:eastAsia="ko-KR"/>
        </w:rPr>
        <w:t>presence of</w:t>
      </w:r>
      <w:r w:rsidRPr="003C3796">
        <w:rPr>
          <w:szCs w:val="24"/>
        </w:rPr>
        <w:t xml:space="preserve"> </w:t>
      </w:r>
      <w:proofErr w:type="spellStart"/>
      <w:r w:rsidRPr="003C3796">
        <w:rPr>
          <w:szCs w:val="24"/>
        </w:rPr>
        <w:t>lymphovascular</w:t>
      </w:r>
      <w:proofErr w:type="spellEnd"/>
      <w:r w:rsidRPr="003C3796">
        <w:rPr>
          <w:szCs w:val="24"/>
        </w:rPr>
        <w:t xml:space="preserve"> invasion</w:t>
      </w:r>
      <w:r w:rsidRPr="003C3796">
        <w:rPr>
          <w:rFonts w:eastAsia="Malgun Gothic"/>
          <w:szCs w:val="24"/>
          <w:lang w:eastAsia="ko-KR"/>
        </w:rPr>
        <w:t xml:space="preserve"> (LVI)</w:t>
      </w:r>
      <w:r w:rsidRPr="003C3796">
        <w:rPr>
          <w:szCs w:val="24"/>
        </w:rPr>
        <w:t xml:space="preserve">, </w:t>
      </w:r>
      <w:r w:rsidRPr="003C3796">
        <w:rPr>
          <w:rFonts w:eastAsia="Malgun Gothic"/>
          <w:szCs w:val="24"/>
          <w:lang w:eastAsia="ko-KR"/>
        </w:rPr>
        <w:t>7</w:t>
      </w:r>
      <w:r w:rsidRPr="003C3796">
        <w:rPr>
          <w:rFonts w:eastAsia="Malgun Gothic"/>
          <w:szCs w:val="24"/>
          <w:vertAlign w:val="superscript"/>
          <w:lang w:eastAsia="ko-KR"/>
        </w:rPr>
        <w:t xml:space="preserve">th </w:t>
      </w:r>
      <w:r w:rsidRPr="003C3796">
        <w:rPr>
          <w:rFonts w:eastAsia="Malgun Gothic"/>
          <w:szCs w:val="24"/>
          <w:lang w:eastAsia="ko-KR"/>
        </w:rPr>
        <w:t>AJCC-UICC</w:t>
      </w:r>
      <w:r w:rsidRPr="003C3796">
        <w:rPr>
          <w:szCs w:val="24"/>
        </w:rPr>
        <w:t xml:space="preserve"> </w:t>
      </w:r>
      <w:proofErr w:type="spellStart"/>
      <w:r w:rsidRPr="00420F2B">
        <w:rPr>
          <w:szCs w:val="24"/>
        </w:rPr>
        <w:t>tumor</w:t>
      </w:r>
      <w:proofErr w:type="spellEnd"/>
      <w:r w:rsidRPr="00420F2B">
        <w:rPr>
          <w:szCs w:val="24"/>
        </w:rPr>
        <w:t xml:space="preserve"> node metastasis</w:t>
      </w:r>
      <w:r w:rsidRPr="003C3796">
        <w:rPr>
          <w:szCs w:val="24"/>
        </w:rPr>
        <w:t xml:space="preserve"> </w:t>
      </w:r>
      <w:r>
        <w:rPr>
          <w:szCs w:val="24"/>
          <w:lang w:eastAsia="zh-CN"/>
        </w:rPr>
        <w:t>(</w:t>
      </w:r>
      <w:r w:rsidRPr="003C3796">
        <w:rPr>
          <w:szCs w:val="24"/>
        </w:rPr>
        <w:t>TNM</w:t>
      </w:r>
      <w:r>
        <w:rPr>
          <w:szCs w:val="24"/>
          <w:lang w:eastAsia="zh-CN"/>
        </w:rPr>
        <w:t>)</w:t>
      </w:r>
      <w:r w:rsidRPr="003C3796">
        <w:rPr>
          <w:szCs w:val="24"/>
        </w:rPr>
        <w:t xml:space="preserve"> stage, and </w:t>
      </w:r>
      <w:r w:rsidRPr="003C3796">
        <w:rPr>
          <w:rFonts w:eastAsia="Malgun Gothic"/>
          <w:szCs w:val="24"/>
          <w:lang w:eastAsia="ko-KR"/>
        </w:rPr>
        <w:t xml:space="preserve">involvement of </w:t>
      </w:r>
      <w:r w:rsidRPr="003C3796">
        <w:rPr>
          <w:szCs w:val="24"/>
        </w:rPr>
        <w:t xml:space="preserve">resection margin were significant prognostic factors in </w:t>
      </w:r>
      <w:proofErr w:type="spellStart"/>
      <w:r w:rsidRPr="003C3796">
        <w:rPr>
          <w:szCs w:val="24"/>
        </w:rPr>
        <w:t>univariate</w:t>
      </w:r>
      <w:proofErr w:type="spellEnd"/>
      <w:r w:rsidRPr="003C3796">
        <w:rPr>
          <w:szCs w:val="24"/>
        </w:rPr>
        <w:t xml:space="preserve"> analysis, multivariate analysis identified only TNM stage and LVI as independent prognostic factors.</w:t>
      </w:r>
    </w:p>
    <w:p w:rsidR="00147B7B" w:rsidRDefault="00147B7B" w:rsidP="009350E9">
      <w:pPr>
        <w:spacing w:after="0"/>
        <w:jc w:val="both"/>
        <w:rPr>
          <w:szCs w:val="24"/>
          <w:lang w:eastAsia="zh-CN"/>
        </w:rPr>
      </w:pPr>
      <w:r w:rsidRPr="003C3796">
        <w:rPr>
          <w:b/>
          <w:szCs w:val="24"/>
        </w:rPr>
        <w:lastRenderedPageBreak/>
        <w:t>CONCLUSION</w:t>
      </w:r>
      <w:r w:rsidRPr="003C3796">
        <w:rPr>
          <w:szCs w:val="24"/>
        </w:rPr>
        <w:t>: PD had a greater likelihood of curative resection</w:t>
      </w:r>
      <w:r w:rsidRPr="003C3796">
        <w:rPr>
          <w:rFonts w:eastAsia="Malgun Gothic"/>
          <w:szCs w:val="24"/>
          <w:lang w:eastAsia="ko-KR"/>
        </w:rPr>
        <w:t xml:space="preserve"> and </w:t>
      </w:r>
      <w:r w:rsidRPr="003C3796">
        <w:rPr>
          <w:szCs w:val="24"/>
        </w:rPr>
        <w:t xml:space="preserve">R1 resection might have some positive impact. The TNM stage and LVI were independent prognostic factors. </w:t>
      </w:r>
    </w:p>
    <w:p w:rsidR="00147B7B" w:rsidRDefault="00147B7B" w:rsidP="009350E9">
      <w:pPr>
        <w:spacing w:after="0"/>
        <w:jc w:val="both"/>
        <w:rPr>
          <w:szCs w:val="24"/>
          <w:lang w:eastAsia="zh-CN"/>
        </w:rPr>
      </w:pPr>
    </w:p>
    <w:p w:rsidR="00147B7B" w:rsidRDefault="00147B7B" w:rsidP="009350E9">
      <w:pPr>
        <w:spacing w:after="0"/>
      </w:pPr>
      <w:r w:rsidRPr="00A7393F">
        <w:t>©</w:t>
      </w:r>
      <w:r>
        <w:t xml:space="preserve"> </w:t>
      </w:r>
      <w:r w:rsidRPr="000116DB">
        <w:t>201</w:t>
      </w:r>
      <w:r>
        <w:t>4</w:t>
      </w:r>
      <w:r w:rsidRPr="000116DB">
        <w:t xml:space="preserve"> </w:t>
      </w:r>
      <w:proofErr w:type="spellStart"/>
      <w:r w:rsidRPr="000116DB">
        <w:t>Baishideng</w:t>
      </w:r>
      <w:proofErr w:type="spellEnd"/>
      <w:r w:rsidRPr="000116DB">
        <w:t xml:space="preserve"> Publishing Group Co., Limited. All rights reserved.</w:t>
      </w:r>
    </w:p>
    <w:p w:rsidR="00147B7B" w:rsidRPr="00C62F86" w:rsidRDefault="00147B7B" w:rsidP="009350E9">
      <w:pPr>
        <w:spacing w:after="0"/>
        <w:jc w:val="both"/>
        <w:rPr>
          <w:szCs w:val="24"/>
          <w:lang w:eastAsia="zh-CN"/>
        </w:rPr>
      </w:pPr>
    </w:p>
    <w:p w:rsidR="00147B7B" w:rsidRPr="003C3796" w:rsidRDefault="00147B7B" w:rsidP="009350E9">
      <w:pPr>
        <w:pStyle w:val="Keywords"/>
        <w:spacing w:after="0" w:line="360" w:lineRule="auto"/>
        <w:ind w:left="0"/>
        <w:jc w:val="both"/>
        <w:rPr>
          <w:sz w:val="24"/>
          <w:szCs w:val="24"/>
        </w:rPr>
      </w:pPr>
      <w:r w:rsidRPr="003C3796">
        <w:rPr>
          <w:rStyle w:val="Heading"/>
          <w:color w:val="auto"/>
          <w:sz w:val="24"/>
          <w:szCs w:val="24"/>
        </w:rPr>
        <w:t xml:space="preserve">Key words: </w:t>
      </w:r>
      <w:r w:rsidRPr="003C3796">
        <w:rPr>
          <w:sz w:val="24"/>
          <w:szCs w:val="24"/>
        </w:rPr>
        <w:t xml:space="preserve">Distal </w:t>
      </w:r>
      <w:proofErr w:type="spellStart"/>
      <w:r w:rsidRPr="003C3796">
        <w:rPr>
          <w:sz w:val="24"/>
          <w:szCs w:val="24"/>
        </w:rPr>
        <w:t>extrahepatic</w:t>
      </w:r>
      <w:proofErr w:type="spellEnd"/>
      <w:r w:rsidRPr="003C3796">
        <w:rPr>
          <w:sz w:val="24"/>
          <w:szCs w:val="24"/>
        </w:rPr>
        <w:t xml:space="preserve"> bile duct cancer; </w:t>
      </w:r>
      <w:proofErr w:type="spellStart"/>
      <w:r w:rsidRPr="003C3796">
        <w:rPr>
          <w:sz w:val="24"/>
          <w:szCs w:val="24"/>
        </w:rPr>
        <w:t>Lymphovascular</w:t>
      </w:r>
      <w:proofErr w:type="spellEnd"/>
      <w:r w:rsidRPr="003C3796">
        <w:rPr>
          <w:sz w:val="24"/>
          <w:szCs w:val="24"/>
        </w:rPr>
        <w:t xml:space="preserve"> invasion; </w:t>
      </w:r>
      <w:proofErr w:type="spellStart"/>
      <w:r w:rsidRPr="00420F2B">
        <w:rPr>
          <w:sz w:val="24"/>
          <w:szCs w:val="24"/>
        </w:rPr>
        <w:t>Tumor</w:t>
      </w:r>
      <w:proofErr w:type="spellEnd"/>
      <w:r w:rsidRPr="00420F2B">
        <w:rPr>
          <w:sz w:val="24"/>
          <w:szCs w:val="24"/>
        </w:rPr>
        <w:t xml:space="preserve"> node metastasis</w:t>
      </w:r>
      <w:r w:rsidRPr="003C3796">
        <w:rPr>
          <w:rFonts w:eastAsia="Malgun Gothic"/>
          <w:sz w:val="24"/>
          <w:szCs w:val="24"/>
          <w:lang w:eastAsia="ko-KR"/>
        </w:rPr>
        <w:t xml:space="preserve">; </w:t>
      </w:r>
      <w:proofErr w:type="spellStart"/>
      <w:r w:rsidRPr="003C3796">
        <w:rPr>
          <w:rFonts w:eastAsia="Malgun Gothic"/>
          <w:sz w:val="24"/>
          <w:szCs w:val="24"/>
          <w:lang w:eastAsia="ko-KR"/>
        </w:rPr>
        <w:t>P</w:t>
      </w:r>
      <w:r w:rsidRPr="003C3796">
        <w:rPr>
          <w:sz w:val="24"/>
          <w:szCs w:val="24"/>
        </w:rPr>
        <w:t>ancreaticoduodenectomy</w:t>
      </w:r>
      <w:proofErr w:type="spellEnd"/>
      <w:r w:rsidRPr="003C3796">
        <w:rPr>
          <w:rFonts w:eastAsia="Malgun Gothic"/>
          <w:sz w:val="24"/>
          <w:szCs w:val="24"/>
          <w:lang w:eastAsia="ko-KR"/>
        </w:rPr>
        <w:t>;</w:t>
      </w:r>
      <w:r w:rsidRPr="003C3796">
        <w:rPr>
          <w:sz w:val="24"/>
          <w:szCs w:val="24"/>
        </w:rPr>
        <w:t xml:space="preserve"> </w:t>
      </w:r>
      <w:r w:rsidRPr="003C3796">
        <w:rPr>
          <w:rFonts w:eastAsia="Malgun Gothic"/>
          <w:sz w:val="24"/>
          <w:szCs w:val="24"/>
          <w:lang w:eastAsia="ko-KR"/>
        </w:rPr>
        <w:t xml:space="preserve">Bile duct resection; </w:t>
      </w:r>
      <w:r w:rsidRPr="003C3796">
        <w:rPr>
          <w:sz w:val="24"/>
          <w:szCs w:val="24"/>
        </w:rPr>
        <w:t>Prognostic factor;</w:t>
      </w:r>
      <w:r>
        <w:rPr>
          <w:rFonts w:eastAsia="Malgun Gothic"/>
          <w:sz w:val="24"/>
          <w:szCs w:val="24"/>
          <w:lang w:eastAsia="ko-KR"/>
        </w:rPr>
        <w:t xml:space="preserve"> </w:t>
      </w:r>
    </w:p>
    <w:p w:rsidR="00147B7B" w:rsidRPr="007C3548" w:rsidRDefault="00147B7B" w:rsidP="009350E9">
      <w:pPr>
        <w:spacing w:after="0"/>
        <w:jc w:val="both"/>
        <w:rPr>
          <w:rFonts w:eastAsia="Malgun Gothic"/>
          <w:b/>
          <w:szCs w:val="24"/>
          <w:lang w:eastAsia="ko-KR"/>
        </w:rPr>
      </w:pPr>
    </w:p>
    <w:p w:rsidR="00147B7B" w:rsidRDefault="00147B7B" w:rsidP="009350E9">
      <w:pPr>
        <w:spacing w:after="0"/>
        <w:jc w:val="both"/>
        <w:rPr>
          <w:szCs w:val="24"/>
          <w:lang w:eastAsia="zh-CN"/>
        </w:rPr>
      </w:pPr>
      <w:r w:rsidRPr="003C3796">
        <w:rPr>
          <w:b/>
          <w:szCs w:val="24"/>
        </w:rPr>
        <w:t>Core tip:</w:t>
      </w:r>
      <w:r>
        <w:rPr>
          <w:b/>
          <w:szCs w:val="24"/>
          <w:lang w:eastAsia="zh-CN"/>
        </w:rPr>
        <w:t xml:space="preserve"> </w:t>
      </w:r>
      <w:r w:rsidRPr="003C3796">
        <w:rPr>
          <w:szCs w:val="24"/>
        </w:rPr>
        <w:t xml:space="preserve">The prognosis in bile duct cancer is </w:t>
      </w:r>
      <w:proofErr w:type="spellStart"/>
      <w:r w:rsidRPr="003C3796">
        <w:rPr>
          <w:szCs w:val="24"/>
        </w:rPr>
        <w:t>unfavorable</w:t>
      </w:r>
      <w:proofErr w:type="spellEnd"/>
      <w:r w:rsidRPr="003C3796">
        <w:rPr>
          <w:szCs w:val="24"/>
        </w:rPr>
        <w:t xml:space="preserve"> and varies according to the type of surgery, curability, and pathological factors. We </w:t>
      </w:r>
      <w:proofErr w:type="spellStart"/>
      <w:r w:rsidRPr="003C3796">
        <w:rPr>
          <w:szCs w:val="24"/>
        </w:rPr>
        <w:t>analyzed</w:t>
      </w:r>
      <w:proofErr w:type="spellEnd"/>
      <w:r w:rsidRPr="003C3796">
        <w:rPr>
          <w:szCs w:val="24"/>
        </w:rPr>
        <w:t xml:space="preserve"> data collected over a period of 22 years that provide valuable information regarding the prognosis. We show that </w:t>
      </w:r>
      <w:proofErr w:type="spellStart"/>
      <w:r w:rsidRPr="003C3796">
        <w:rPr>
          <w:szCs w:val="24"/>
        </w:rPr>
        <w:t>pancreaticoduodenectomy</w:t>
      </w:r>
      <w:proofErr w:type="spellEnd"/>
      <w:r w:rsidRPr="003C3796">
        <w:rPr>
          <w:szCs w:val="24"/>
        </w:rPr>
        <w:t xml:space="preserve"> (PD) has a higher chance of curative resection and suggest that BDR should be applied only to </w:t>
      </w:r>
      <w:proofErr w:type="spellStart"/>
      <w:r w:rsidRPr="003C3796">
        <w:rPr>
          <w:szCs w:val="24"/>
        </w:rPr>
        <w:t>tumors</w:t>
      </w:r>
      <w:proofErr w:type="spellEnd"/>
      <w:r w:rsidRPr="003C3796">
        <w:rPr>
          <w:szCs w:val="24"/>
        </w:rPr>
        <w:t xml:space="preserve"> located around the cystic duct or in patients with comorbidity precluding PD. </w:t>
      </w:r>
      <w:proofErr w:type="spellStart"/>
      <w:r w:rsidRPr="00420F2B">
        <w:rPr>
          <w:szCs w:val="24"/>
        </w:rPr>
        <w:t>Tumor</w:t>
      </w:r>
      <w:proofErr w:type="spellEnd"/>
      <w:r w:rsidRPr="00420F2B">
        <w:rPr>
          <w:szCs w:val="24"/>
        </w:rPr>
        <w:t xml:space="preserve"> node metastasis</w:t>
      </w:r>
      <w:r w:rsidRPr="003C3796">
        <w:rPr>
          <w:szCs w:val="24"/>
        </w:rPr>
        <w:t xml:space="preserve"> stage and </w:t>
      </w:r>
      <w:proofErr w:type="spellStart"/>
      <w:r w:rsidRPr="003C3796">
        <w:rPr>
          <w:szCs w:val="24"/>
        </w:rPr>
        <w:t>lymphovascular</w:t>
      </w:r>
      <w:proofErr w:type="spellEnd"/>
      <w:r w:rsidRPr="003C3796">
        <w:rPr>
          <w:szCs w:val="24"/>
        </w:rPr>
        <w:t xml:space="preserve"> invasion are independent prognostic factors. We believe this study to be of great value for the physician and surgeon treating patients with these rare </w:t>
      </w:r>
      <w:proofErr w:type="spellStart"/>
      <w:r w:rsidRPr="003C3796">
        <w:rPr>
          <w:szCs w:val="24"/>
        </w:rPr>
        <w:t>tumors</w:t>
      </w:r>
      <w:proofErr w:type="spellEnd"/>
      <w:r w:rsidRPr="003C3796">
        <w:rPr>
          <w:szCs w:val="24"/>
        </w:rPr>
        <w:t>.</w:t>
      </w:r>
    </w:p>
    <w:p w:rsidR="00147B7B" w:rsidRDefault="00147B7B" w:rsidP="009350E9">
      <w:pPr>
        <w:spacing w:after="0"/>
        <w:jc w:val="both"/>
        <w:rPr>
          <w:szCs w:val="24"/>
          <w:lang w:eastAsia="zh-CN"/>
        </w:rPr>
      </w:pPr>
    </w:p>
    <w:p w:rsidR="00147B7B" w:rsidRPr="00F9600C" w:rsidRDefault="00147B7B" w:rsidP="009350E9">
      <w:pPr>
        <w:pStyle w:val="ab"/>
        <w:spacing w:before="0" w:after="0"/>
        <w:jc w:val="both"/>
        <w:rPr>
          <w:rFonts w:eastAsia="宋体" w:cs="Helvetica"/>
          <w:b w:val="0"/>
          <w:szCs w:val="24"/>
          <w:shd w:val="clear" w:color="auto" w:fill="FFFFFF"/>
        </w:rPr>
      </w:pPr>
      <w:r w:rsidRPr="003C3796">
        <w:rPr>
          <w:rStyle w:val="Name"/>
          <w:b w:val="0"/>
          <w:color w:val="auto"/>
          <w:szCs w:val="24"/>
        </w:rPr>
        <w:t>Kwon</w:t>
      </w:r>
      <w:r>
        <w:rPr>
          <w:rStyle w:val="Name"/>
          <w:rFonts w:eastAsia="宋体"/>
          <w:b w:val="0"/>
          <w:color w:val="auto"/>
          <w:szCs w:val="24"/>
        </w:rPr>
        <w:t xml:space="preserve"> HJ</w:t>
      </w:r>
      <w:r w:rsidRPr="003C3796">
        <w:rPr>
          <w:b w:val="0"/>
          <w:szCs w:val="24"/>
        </w:rPr>
        <w:t xml:space="preserve">, </w:t>
      </w:r>
      <w:r w:rsidRPr="003C3796">
        <w:rPr>
          <w:rStyle w:val="Name"/>
          <w:b w:val="0"/>
          <w:color w:val="auto"/>
          <w:szCs w:val="24"/>
        </w:rPr>
        <w:t>Kim</w:t>
      </w:r>
      <w:r>
        <w:rPr>
          <w:rStyle w:val="Name"/>
          <w:rFonts w:eastAsia="宋体"/>
          <w:b w:val="0"/>
          <w:color w:val="auto"/>
          <w:szCs w:val="24"/>
        </w:rPr>
        <w:t xml:space="preserve"> SG</w:t>
      </w:r>
      <w:r w:rsidRPr="003C3796">
        <w:rPr>
          <w:b w:val="0"/>
          <w:szCs w:val="24"/>
        </w:rPr>
        <w:t xml:space="preserve">, </w:t>
      </w:r>
      <w:r w:rsidRPr="003C3796">
        <w:rPr>
          <w:rStyle w:val="Name"/>
          <w:b w:val="0"/>
          <w:color w:val="auto"/>
          <w:szCs w:val="24"/>
        </w:rPr>
        <w:t>Chun</w:t>
      </w:r>
      <w:r>
        <w:rPr>
          <w:rStyle w:val="Name"/>
          <w:rFonts w:eastAsia="宋体"/>
          <w:b w:val="0"/>
          <w:color w:val="auto"/>
          <w:szCs w:val="24"/>
        </w:rPr>
        <w:t xml:space="preserve"> JM</w:t>
      </w:r>
      <w:r w:rsidRPr="003C3796">
        <w:rPr>
          <w:b w:val="0"/>
          <w:szCs w:val="24"/>
        </w:rPr>
        <w:t xml:space="preserve">, </w:t>
      </w:r>
      <w:r w:rsidRPr="003C3796">
        <w:rPr>
          <w:b w:val="0"/>
          <w:szCs w:val="24"/>
          <w:lang w:eastAsia="ko-KR"/>
        </w:rPr>
        <w:t>Lee</w:t>
      </w:r>
      <w:r>
        <w:rPr>
          <w:rFonts w:eastAsia="宋体"/>
          <w:b w:val="0"/>
          <w:szCs w:val="24"/>
        </w:rPr>
        <w:t xml:space="preserve"> WK</w:t>
      </w:r>
      <w:r w:rsidRPr="003C3796">
        <w:rPr>
          <w:b w:val="0"/>
          <w:szCs w:val="24"/>
          <w:lang w:eastAsia="ko-KR"/>
        </w:rPr>
        <w:t xml:space="preserve">, </w:t>
      </w:r>
      <w:r w:rsidRPr="003C3796">
        <w:rPr>
          <w:rStyle w:val="Name"/>
          <w:b w:val="0"/>
          <w:color w:val="auto"/>
          <w:szCs w:val="24"/>
        </w:rPr>
        <w:t>Hwang</w:t>
      </w:r>
      <w:r>
        <w:rPr>
          <w:rStyle w:val="Name"/>
          <w:rFonts w:eastAsia="宋体"/>
          <w:b w:val="0"/>
          <w:color w:val="auto"/>
          <w:szCs w:val="24"/>
        </w:rPr>
        <w:t xml:space="preserve"> YJ</w:t>
      </w:r>
      <w:r>
        <w:rPr>
          <w:rFonts w:eastAsia="宋体"/>
          <w:b w:val="0"/>
          <w:szCs w:val="24"/>
        </w:rPr>
        <w:t>.</w:t>
      </w:r>
      <w:r w:rsidRPr="00F9600C">
        <w:rPr>
          <w:rFonts w:eastAsia="宋体"/>
          <w:b w:val="0"/>
          <w:szCs w:val="24"/>
        </w:rPr>
        <w:t xml:space="preserve"> </w:t>
      </w:r>
      <w:proofErr w:type="gramStart"/>
      <w:r w:rsidRPr="00F9600C">
        <w:rPr>
          <w:rFonts w:cs="Helvetica"/>
          <w:b w:val="0"/>
          <w:szCs w:val="24"/>
          <w:shd w:val="clear" w:color="auto" w:fill="FFFFFF"/>
        </w:rPr>
        <w:t>Prognostic factors in patients with middle and distal bile duct cancers</w:t>
      </w:r>
      <w:r w:rsidRPr="00F9600C">
        <w:rPr>
          <w:rFonts w:eastAsia="宋体" w:cs="Helvetica"/>
          <w:b w:val="0"/>
          <w:szCs w:val="24"/>
          <w:shd w:val="clear" w:color="auto" w:fill="FFFFFF"/>
        </w:rPr>
        <w:t>.</w:t>
      </w:r>
      <w:proofErr w:type="gramEnd"/>
    </w:p>
    <w:p w:rsidR="00147B7B" w:rsidRPr="00F9600C" w:rsidRDefault="00147B7B" w:rsidP="009350E9">
      <w:pPr>
        <w:spacing w:after="0"/>
        <w:rPr>
          <w:lang w:eastAsia="zh-CN"/>
        </w:rPr>
      </w:pPr>
    </w:p>
    <w:p w:rsidR="00147B7B" w:rsidRPr="001A6525" w:rsidRDefault="00147B7B" w:rsidP="009350E9">
      <w:pPr>
        <w:spacing w:after="0"/>
        <w:rPr>
          <w:b/>
          <w:szCs w:val="24"/>
        </w:rPr>
      </w:pPr>
      <w:r w:rsidRPr="001A6525">
        <w:rPr>
          <w:b/>
          <w:szCs w:val="24"/>
        </w:rPr>
        <w:t xml:space="preserve">Available from: URL: </w:t>
      </w:r>
    </w:p>
    <w:p w:rsidR="00147B7B" w:rsidRDefault="00147B7B" w:rsidP="009350E9">
      <w:pPr>
        <w:spacing w:after="0"/>
        <w:rPr>
          <w:b/>
          <w:szCs w:val="24"/>
        </w:rPr>
      </w:pPr>
      <w:r w:rsidRPr="001A6525">
        <w:rPr>
          <w:b/>
          <w:szCs w:val="24"/>
        </w:rPr>
        <w:t>DOI:</w:t>
      </w:r>
    </w:p>
    <w:p w:rsidR="00147B7B" w:rsidRDefault="00147B7B" w:rsidP="009350E9">
      <w:pPr>
        <w:spacing w:after="0"/>
        <w:jc w:val="both"/>
        <w:rPr>
          <w:szCs w:val="24"/>
          <w:lang w:eastAsia="zh-CN"/>
        </w:rPr>
      </w:pPr>
    </w:p>
    <w:p w:rsidR="00147B7B" w:rsidRPr="0038584A" w:rsidRDefault="00147B7B" w:rsidP="009350E9">
      <w:pPr>
        <w:spacing w:after="0"/>
        <w:jc w:val="both"/>
        <w:rPr>
          <w:b/>
          <w:szCs w:val="24"/>
        </w:rPr>
      </w:pPr>
      <w:r w:rsidRPr="003C3796">
        <w:rPr>
          <w:b/>
          <w:szCs w:val="24"/>
        </w:rPr>
        <w:br w:type="page"/>
      </w:r>
      <w:r w:rsidRPr="0038584A">
        <w:rPr>
          <w:b/>
          <w:szCs w:val="24"/>
        </w:rPr>
        <w:lastRenderedPageBreak/>
        <w:t>INTRODUCTION</w:t>
      </w:r>
    </w:p>
    <w:p w:rsidR="00147B7B" w:rsidRPr="003C3796" w:rsidRDefault="00147B7B" w:rsidP="009350E9">
      <w:pPr>
        <w:spacing w:after="0"/>
        <w:jc w:val="both"/>
        <w:rPr>
          <w:szCs w:val="24"/>
        </w:rPr>
      </w:pPr>
      <w:proofErr w:type="spellStart"/>
      <w:r w:rsidRPr="003C3796">
        <w:rPr>
          <w:szCs w:val="24"/>
        </w:rPr>
        <w:t>Cholangiocarcinoma</w:t>
      </w:r>
      <w:proofErr w:type="spellEnd"/>
      <w:r w:rsidRPr="003C3796">
        <w:rPr>
          <w:szCs w:val="24"/>
        </w:rPr>
        <w:t xml:space="preserve"> is a rare malignant </w:t>
      </w:r>
      <w:proofErr w:type="spellStart"/>
      <w:r w:rsidRPr="003C3796">
        <w:rPr>
          <w:szCs w:val="24"/>
        </w:rPr>
        <w:t>tumor</w:t>
      </w:r>
      <w:proofErr w:type="spellEnd"/>
      <w:r w:rsidRPr="003C3796">
        <w:rPr>
          <w:szCs w:val="24"/>
        </w:rPr>
        <w:t xml:space="preserve"> of the biliary tree that can arise anywhere from the intrahepatic to the </w:t>
      </w:r>
      <w:proofErr w:type="spellStart"/>
      <w:r w:rsidRPr="003C3796">
        <w:rPr>
          <w:szCs w:val="24"/>
        </w:rPr>
        <w:t>extrahepatic</w:t>
      </w:r>
      <w:proofErr w:type="spellEnd"/>
      <w:r w:rsidRPr="003C3796">
        <w:rPr>
          <w:szCs w:val="24"/>
        </w:rPr>
        <w:t xml:space="preserve"> bile duct just proximal to the duodenal ampulla, excluding the gallbladder. </w:t>
      </w:r>
      <w:proofErr w:type="spellStart"/>
      <w:r w:rsidRPr="003C3796">
        <w:rPr>
          <w:szCs w:val="24"/>
        </w:rPr>
        <w:t>Extrahepatic</w:t>
      </w:r>
      <w:proofErr w:type="spellEnd"/>
      <w:r w:rsidRPr="003C3796">
        <w:rPr>
          <w:szCs w:val="24"/>
        </w:rPr>
        <w:t xml:space="preserve"> bile duct cancer, defined as the presence of malignant </w:t>
      </w:r>
      <w:proofErr w:type="spellStart"/>
      <w:r w:rsidRPr="003C3796">
        <w:rPr>
          <w:szCs w:val="24"/>
        </w:rPr>
        <w:t>tumors</w:t>
      </w:r>
      <w:proofErr w:type="spellEnd"/>
      <w:r w:rsidRPr="003C3796">
        <w:rPr>
          <w:szCs w:val="24"/>
        </w:rPr>
        <w:t xml:space="preserve"> arising at the biliary tree distal to second-order branches, accounts for 80% to 90% of all </w:t>
      </w:r>
      <w:proofErr w:type="spellStart"/>
      <w:r w:rsidRPr="003C3796">
        <w:rPr>
          <w:szCs w:val="24"/>
        </w:rPr>
        <w:t>cholangiocarcinomas</w:t>
      </w:r>
      <w:proofErr w:type="spellEnd"/>
      <w:r w:rsidRPr="003C3796">
        <w:rPr>
          <w:szCs w:val="24"/>
        </w:rPr>
        <w:t xml:space="preserve">. </w:t>
      </w:r>
      <w:proofErr w:type="spellStart"/>
      <w:r w:rsidRPr="003C3796">
        <w:rPr>
          <w:szCs w:val="24"/>
        </w:rPr>
        <w:t>Extrahepatic</w:t>
      </w:r>
      <w:proofErr w:type="spellEnd"/>
      <w:r w:rsidRPr="003C3796">
        <w:rPr>
          <w:szCs w:val="24"/>
        </w:rPr>
        <w:t xml:space="preserve"> bile duct cancer can be further divided into </w:t>
      </w:r>
      <w:proofErr w:type="spellStart"/>
      <w:r w:rsidRPr="003C3796">
        <w:rPr>
          <w:szCs w:val="24"/>
        </w:rPr>
        <w:t>hilar</w:t>
      </w:r>
      <w:proofErr w:type="spellEnd"/>
      <w:r w:rsidRPr="003C3796">
        <w:rPr>
          <w:szCs w:val="24"/>
        </w:rPr>
        <w:t xml:space="preserve"> or middle/distal bile duct cancers. Among these </w:t>
      </w:r>
      <w:proofErr w:type="spellStart"/>
      <w:r w:rsidRPr="003C3796">
        <w:rPr>
          <w:szCs w:val="24"/>
        </w:rPr>
        <w:t>extrahepatic</w:t>
      </w:r>
      <w:proofErr w:type="spellEnd"/>
      <w:r w:rsidRPr="003C3796">
        <w:rPr>
          <w:szCs w:val="24"/>
        </w:rPr>
        <w:t xml:space="preserve"> bile duct cancers, middle and distal bile duct cancers comprise approximately 20% to 30</w:t>
      </w:r>
      <w:proofErr w:type="gramStart"/>
      <w:r w:rsidRPr="003C3796">
        <w:rPr>
          <w:szCs w:val="24"/>
        </w:rPr>
        <w:t>%</w:t>
      </w:r>
      <w:r w:rsidRPr="003C3796">
        <w:rPr>
          <w:rStyle w:val="Cross-reference"/>
          <w:color w:val="auto"/>
          <w:szCs w:val="24"/>
          <w:vertAlign w:val="superscript"/>
        </w:rPr>
        <w:t>[</w:t>
      </w:r>
      <w:proofErr w:type="gramEnd"/>
      <w:r w:rsidRPr="003C3796">
        <w:rPr>
          <w:rStyle w:val="Cross-reference"/>
          <w:color w:val="auto"/>
          <w:szCs w:val="24"/>
          <w:vertAlign w:val="superscript"/>
        </w:rPr>
        <w:t>1–4]</w:t>
      </w:r>
      <w:r w:rsidRPr="003C3796">
        <w:rPr>
          <w:szCs w:val="24"/>
        </w:rPr>
        <w:t xml:space="preserve">.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The site of an </w:t>
      </w:r>
      <w:proofErr w:type="spellStart"/>
      <w:r w:rsidRPr="003C3796">
        <w:rPr>
          <w:rFonts w:ascii="Book Antiqua" w:hAnsi="Book Antiqua"/>
          <w:sz w:val="24"/>
          <w:szCs w:val="24"/>
        </w:rPr>
        <w:t>extrahepatic</w:t>
      </w:r>
      <w:proofErr w:type="spellEnd"/>
      <w:r w:rsidRPr="003C3796">
        <w:rPr>
          <w:rFonts w:ascii="Book Antiqua" w:hAnsi="Book Antiqua"/>
          <w:sz w:val="24"/>
          <w:szCs w:val="24"/>
        </w:rPr>
        <w:t xml:space="preserve"> bile duct cancer has clinical importance because it affects the selection of the appropriate type of surgical resection and the outcomes after surgery. Compared to </w:t>
      </w:r>
      <w:proofErr w:type="spellStart"/>
      <w:r w:rsidRPr="003C3796">
        <w:rPr>
          <w:rFonts w:ascii="Book Antiqua" w:hAnsi="Book Antiqua"/>
          <w:sz w:val="24"/>
          <w:szCs w:val="24"/>
        </w:rPr>
        <w:t>hilar</w:t>
      </w:r>
      <w:proofErr w:type="spellEnd"/>
      <w:r w:rsidRPr="003C3796">
        <w:rPr>
          <w:rFonts w:ascii="Book Antiqua" w:hAnsi="Book Antiqua"/>
          <w:sz w:val="24"/>
          <w:szCs w:val="24"/>
        </w:rPr>
        <w:t xml:space="preserve"> bile duct cancer, which requires concomitant bile duct and liver resection, the surgical resection for a middle and distal bile duct cancer requires either segmental bile duct resection or </w:t>
      </w:r>
      <w:proofErr w:type="spellStart"/>
      <w:r w:rsidRPr="003C3796">
        <w:rPr>
          <w:rFonts w:ascii="Book Antiqua" w:hAnsi="Book Antiqua"/>
          <w:sz w:val="24"/>
          <w:szCs w:val="24"/>
        </w:rPr>
        <w:t>pancreaticoduodenectomy</w:t>
      </w:r>
      <w:proofErr w:type="spellEnd"/>
      <w:r w:rsidRPr="003C3796">
        <w:rPr>
          <w:rFonts w:ascii="Book Antiqua" w:hAnsi="Book Antiqua"/>
          <w:sz w:val="24"/>
          <w:szCs w:val="24"/>
        </w:rPr>
        <w:t xml:space="preserve"> with lymph node dissection. The type of surgery selected depends on the possibility of achieving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-free resection margins, and the prognostic influence of the type of resection on long-term prognosis has been </w:t>
      </w:r>
      <w:proofErr w:type="gramStart"/>
      <w:r w:rsidRPr="003C3796">
        <w:rPr>
          <w:rFonts w:ascii="Book Antiqua" w:hAnsi="Book Antiqua"/>
          <w:sz w:val="24"/>
          <w:szCs w:val="24"/>
        </w:rPr>
        <w:t>controversial</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5,6]</w:t>
      </w:r>
      <w:r w:rsidRPr="003C3796">
        <w:rPr>
          <w:rFonts w:ascii="Book Antiqua" w:hAnsi="Book Antiqua"/>
          <w:sz w:val="24"/>
          <w:szCs w:val="24"/>
        </w:rPr>
        <w:t xml:space="preserve">.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In some patients, the superficial spreading nature of the disease, as well as comorbid diseases, can make it hard to achieve R0 resection, inevitably resulting in R1 resection. Because such cases have been anecdotal, the effect of R1 resection on long-term prognoses must be investigated.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Factors such as TNM stage,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and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have been reported to affect survival, but their influences on prognosis have not always been universal.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with higher T stages tend to run a greater risk of distant metastasis and poorer prognosis, but in some cases,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are confined to the bile duct without lymph node metastasis, showing early recurrence in distant areas, such as the liver, lungs, or multiple bones. The unpredictable prognoses of such cases might be explained by bile duct cancer progressing not only by directly invading into the depths </w:t>
      </w:r>
      <w:r w:rsidRPr="003C3796">
        <w:rPr>
          <w:rFonts w:ascii="Book Antiqua" w:hAnsi="Book Antiqua"/>
          <w:sz w:val="24"/>
          <w:szCs w:val="24"/>
        </w:rPr>
        <w:lastRenderedPageBreak/>
        <w:t xml:space="preserve">of the bile duct wall but also into the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vascular, and lymphatic </w:t>
      </w:r>
      <w:proofErr w:type="gramStart"/>
      <w:r w:rsidRPr="003C3796">
        <w:rPr>
          <w:rFonts w:ascii="Book Antiqua" w:hAnsi="Book Antiqua"/>
          <w:sz w:val="24"/>
          <w:szCs w:val="24"/>
        </w:rPr>
        <w:t>spaces</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7]</w:t>
      </w:r>
      <w:r w:rsidRPr="003C3796">
        <w:rPr>
          <w:rFonts w:ascii="Book Antiqua" w:hAnsi="Book Antiqua"/>
          <w:sz w:val="24"/>
          <w:szCs w:val="24"/>
        </w:rPr>
        <w:t xml:space="preserve">. </w:t>
      </w:r>
      <w:proofErr w:type="spellStart"/>
      <w:r w:rsidRPr="003C3796">
        <w:rPr>
          <w:rFonts w:ascii="Book Antiqua" w:hAnsi="Book Antiqua"/>
          <w:sz w:val="24"/>
          <w:szCs w:val="24"/>
        </w:rPr>
        <w:t>Nagahashi</w:t>
      </w:r>
      <w:proofErr w:type="spellEnd"/>
      <w:r w:rsidRPr="003C3796">
        <w:rPr>
          <w:rFonts w:ascii="Book Antiqua" w:hAnsi="Book Antiqua"/>
          <w:sz w:val="24"/>
          <w:szCs w:val="24"/>
        </w:rPr>
        <w:t xml:space="preserve"> </w:t>
      </w:r>
      <w:r w:rsidRPr="00AC001A">
        <w:rPr>
          <w:rFonts w:ascii="Book Antiqua" w:hAnsi="Book Antiqua"/>
          <w:i/>
          <w:sz w:val="24"/>
          <w:szCs w:val="24"/>
        </w:rPr>
        <w:t xml:space="preserve">et </w:t>
      </w:r>
      <w:proofErr w:type="gramStart"/>
      <w:r w:rsidRPr="00AC001A">
        <w:rPr>
          <w:rFonts w:ascii="Book Antiqua" w:hAnsi="Book Antiqua"/>
          <w:i/>
          <w:sz w:val="24"/>
          <w:szCs w:val="24"/>
        </w:rPr>
        <w:t>al</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8]</w:t>
      </w:r>
      <w:r w:rsidRPr="003C3796">
        <w:rPr>
          <w:rFonts w:ascii="Book Antiqua" w:hAnsi="Book Antiqua"/>
          <w:sz w:val="24"/>
          <w:szCs w:val="24"/>
        </w:rPr>
        <w:t xml:space="preserve"> recently insisted that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resulted in poor prognosis, comparing a pT1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 invading the </w:t>
      </w:r>
      <w:proofErr w:type="spellStart"/>
      <w:r w:rsidRPr="003C3796">
        <w:rPr>
          <w:rFonts w:ascii="Book Antiqua" w:hAnsi="Book Antiqua"/>
          <w:sz w:val="24"/>
          <w:szCs w:val="24"/>
        </w:rPr>
        <w:t>fibromuscular</w:t>
      </w:r>
      <w:proofErr w:type="spellEnd"/>
      <w:r w:rsidRPr="003C3796">
        <w:rPr>
          <w:rFonts w:ascii="Book Antiqua" w:hAnsi="Book Antiqua"/>
          <w:sz w:val="24"/>
          <w:szCs w:val="24"/>
        </w:rPr>
        <w:t xml:space="preserve"> layer to a pT1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 confined to the mucosa. The role of such factors as PNI and LVI must be investigated. </w:t>
      </w:r>
    </w:p>
    <w:p w:rsidR="00147B7B" w:rsidRDefault="00147B7B" w:rsidP="009350E9">
      <w:pPr>
        <w:pStyle w:val="ac"/>
        <w:spacing w:after="0" w:line="360" w:lineRule="auto"/>
        <w:ind w:firstLine="871"/>
        <w:rPr>
          <w:rFonts w:ascii="Book Antiqua" w:hAnsi="Book Antiqua"/>
          <w:sz w:val="24"/>
          <w:szCs w:val="24"/>
          <w:lang w:eastAsia="zh-CN"/>
        </w:rPr>
      </w:pPr>
      <w:r w:rsidRPr="003C3796">
        <w:rPr>
          <w:rFonts w:ascii="Book Antiqua" w:hAnsi="Book Antiqua"/>
          <w:sz w:val="24"/>
          <w:szCs w:val="24"/>
        </w:rPr>
        <w:t xml:space="preserve">In this study, we </w:t>
      </w:r>
      <w:proofErr w:type="spellStart"/>
      <w:r w:rsidRPr="003C3796">
        <w:rPr>
          <w:rFonts w:ascii="Book Antiqua" w:hAnsi="Book Antiqua"/>
          <w:sz w:val="24"/>
          <w:szCs w:val="24"/>
        </w:rPr>
        <w:t>analyzed</w:t>
      </w:r>
      <w:proofErr w:type="spellEnd"/>
      <w:r w:rsidRPr="003C3796">
        <w:rPr>
          <w:rFonts w:ascii="Book Antiqua" w:hAnsi="Book Antiqua"/>
          <w:sz w:val="24"/>
          <w:szCs w:val="24"/>
        </w:rPr>
        <w:t xml:space="preserve"> the </w:t>
      </w:r>
      <w:proofErr w:type="spellStart"/>
      <w:r w:rsidRPr="003C3796">
        <w:rPr>
          <w:rFonts w:ascii="Book Antiqua" w:hAnsi="Book Antiqua"/>
          <w:sz w:val="24"/>
          <w:szCs w:val="24"/>
        </w:rPr>
        <w:t>clinicopathological</w:t>
      </w:r>
      <w:proofErr w:type="spellEnd"/>
      <w:r w:rsidRPr="003C3796">
        <w:rPr>
          <w:rFonts w:ascii="Book Antiqua" w:hAnsi="Book Antiqua"/>
          <w:sz w:val="24"/>
          <w:szCs w:val="24"/>
        </w:rPr>
        <w:t xml:space="preserve"> data of 133 patients who underwent surgical resection for middle and distal bile duct cancers, to identify the influence of the type of surgery selected and of </w:t>
      </w:r>
      <w:proofErr w:type="spellStart"/>
      <w:r w:rsidRPr="003C3796">
        <w:rPr>
          <w:rFonts w:ascii="Book Antiqua" w:hAnsi="Book Antiqua"/>
          <w:sz w:val="24"/>
          <w:szCs w:val="24"/>
        </w:rPr>
        <w:t>clinicopathological</w:t>
      </w:r>
      <w:proofErr w:type="spellEnd"/>
      <w:r w:rsidRPr="003C3796">
        <w:rPr>
          <w:rFonts w:ascii="Book Antiqua" w:hAnsi="Book Antiqua"/>
          <w:sz w:val="24"/>
          <w:szCs w:val="24"/>
        </w:rPr>
        <w:t xml:space="preserve"> factors on the long-term prognoses of the patients. </w:t>
      </w:r>
    </w:p>
    <w:p w:rsidR="00147B7B" w:rsidRDefault="00147B7B" w:rsidP="009350E9">
      <w:pPr>
        <w:pStyle w:val="ac"/>
        <w:spacing w:after="0" w:line="360" w:lineRule="auto"/>
        <w:ind w:firstLine="871"/>
        <w:rPr>
          <w:rFonts w:ascii="Book Antiqua" w:hAnsi="Book Antiqua"/>
          <w:sz w:val="24"/>
          <w:szCs w:val="24"/>
          <w:lang w:eastAsia="zh-CN"/>
        </w:rPr>
      </w:pPr>
    </w:p>
    <w:p w:rsidR="00147B7B" w:rsidRPr="00D26319" w:rsidRDefault="00147B7B" w:rsidP="009350E9">
      <w:pPr>
        <w:spacing w:after="0"/>
        <w:rPr>
          <w:b/>
        </w:rPr>
      </w:pPr>
      <w:r w:rsidRPr="00D26319">
        <w:rPr>
          <w:b/>
        </w:rPr>
        <w:t xml:space="preserve">MATERIALS AND </w:t>
      </w:r>
      <w:bookmarkStart w:id="13" w:name="OLE_LINK120"/>
      <w:bookmarkStart w:id="14" w:name="OLE_LINK173"/>
      <w:r w:rsidRPr="00D26319">
        <w:rPr>
          <w:b/>
        </w:rPr>
        <w:t>METHODS</w:t>
      </w:r>
      <w:bookmarkEnd w:id="13"/>
      <w:bookmarkEnd w:id="14"/>
    </w:p>
    <w:p w:rsidR="00147B7B" w:rsidRPr="003C3796" w:rsidRDefault="00147B7B" w:rsidP="009350E9">
      <w:pPr>
        <w:spacing w:after="0"/>
        <w:jc w:val="both"/>
        <w:rPr>
          <w:b/>
          <w:i/>
          <w:szCs w:val="24"/>
        </w:rPr>
      </w:pPr>
      <w:r w:rsidRPr="003C3796">
        <w:rPr>
          <w:b/>
          <w:i/>
          <w:szCs w:val="24"/>
        </w:rPr>
        <w:t>Patient population and diagnosis of middle and distal bile duct carcinoma</w:t>
      </w:r>
    </w:p>
    <w:p w:rsidR="00147B7B" w:rsidRPr="003C3796" w:rsidRDefault="00147B7B" w:rsidP="009350E9">
      <w:pPr>
        <w:pStyle w:val="ac"/>
        <w:spacing w:after="0" w:line="360" w:lineRule="auto"/>
        <w:ind w:firstLine="0"/>
        <w:rPr>
          <w:rFonts w:ascii="Book Antiqua" w:hAnsi="Book Antiqua"/>
          <w:sz w:val="24"/>
          <w:szCs w:val="24"/>
        </w:rPr>
      </w:pPr>
      <w:r w:rsidRPr="003C3796">
        <w:rPr>
          <w:rFonts w:ascii="Book Antiqua" w:hAnsi="Book Antiqua"/>
          <w:sz w:val="24"/>
          <w:szCs w:val="24"/>
        </w:rPr>
        <w:t xml:space="preserve">Between August 1990 and June 2011, a total of 194 patients with middle and distal bile duct cancers underwent surgery and were pathologically diagnosed in the Department of Surgery, </w:t>
      </w:r>
      <w:proofErr w:type="spellStart"/>
      <w:r w:rsidRPr="003C3796">
        <w:rPr>
          <w:rFonts w:ascii="Book Antiqua" w:hAnsi="Book Antiqua"/>
          <w:sz w:val="24"/>
          <w:szCs w:val="24"/>
        </w:rPr>
        <w:t>Kyungpook</w:t>
      </w:r>
      <w:proofErr w:type="spellEnd"/>
      <w:r w:rsidRPr="003C3796">
        <w:rPr>
          <w:rFonts w:ascii="Book Antiqua" w:hAnsi="Book Antiqua"/>
          <w:sz w:val="24"/>
          <w:szCs w:val="24"/>
        </w:rPr>
        <w:t xml:space="preserve"> National University Hospital, Daegu, </w:t>
      </w:r>
      <w:proofErr w:type="gramStart"/>
      <w:r w:rsidRPr="003C3796">
        <w:rPr>
          <w:rFonts w:ascii="Book Antiqua" w:hAnsi="Book Antiqua"/>
          <w:sz w:val="24"/>
          <w:szCs w:val="24"/>
        </w:rPr>
        <w:t>Republic</w:t>
      </w:r>
      <w:proofErr w:type="gramEnd"/>
      <w:r w:rsidRPr="003C3796">
        <w:rPr>
          <w:rFonts w:ascii="Book Antiqua" w:hAnsi="Book Antiqua"/>
          <w:sz w:val="24"/>
          <w:szCs w:val="24"/>
        </w:rPr>
        <w:t xml:space="preserve"> of Korea. Data regarding the </w:t>
      </w:r>
      <w:proofErr w:type="spellStart"/>
      <w:r w:rsidRPr="003C3796">
        <w:rPr>
          <w:rFonts w:ascii="Book Antiqua" w:hAnsi="Book Antiqua"/>
          <w:sz w:val="24"/>
          <w:szCs w:val="24"/>
        </w:rPr>
        <w:t>clinicopathological</w:t>
      </w:r>
      <w:proofErr w:type="spellEnd"/>
      <w:r w:rsidRPr="003C3796">
        <w:rPr>
          <w:rFonts w:ascii="Book Antiqua" w:hAnsi="Book Antiqua"/>
          <w:sz w:val="24"/>
          <w:szCs w:val="24"/>
        </w:rPr>
        <w:t xml:space="preserve"> factors of the patients were obtained by retrospective review of medical records.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The preoperative diagnosis of middle and distal bile duct cancer was made by imaging studies, including an abdominal CT scan, magnetic resonance imaging, and positron emission tomography. Preoperative ERCP was performed to decompress jaundice and to obtain tissue diagnosis whenever possible. The sites of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were determined by imaging studies. Middle and distal bile duct cancer was defined by imaging studies and by the operative findings of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with the main lesions located at</w:t>
      </w:r>
      <w:r w:rsidRPr="003C3796">
        <w:rPr>
          <w:rFonts w:ascii="Book Antiqua" w:eastAsia="Malgun Gothic" w:hAnsi="Book Antiqua"/>
          <w:sz w:val="24"/>
          <w:szCs w:val="24"/>
          <w:lang w:eastAsia="ko-KR"/>
        </w:rPr>
        <w:t xml:space="preserve"> middle and distal third of </w:t>
      </w:r>
      <w:proofErr w:type="spellStart"/>
      <w:r w:rsidRPr="003C3796">
        <w:rPr>
          <w:rFonts w:ascii="Book Antiqua" w:eastAsia="Malgun Gothic" w:hAnsi="Book Antiqua"/>
          <w:sz w:val="24"/>
          <w:szCs w:val="24"/>
          <w:lang w:eastAsia="ko-KR"/>
        </w:rPr>
        <w:t>extrahepatic</w:t>
      </w:r>
      <w:proofErr w:type="spellEnd"/>
      <w:r w:rsidRPr="003C3796">
        <w:rPr>
          <w:rFonts w:ascii="Book Antiqua" w:eastAsia="Malgun Gothic" w:hAnsi="Book Antiqua"/>
          <w:sz w:val="24"/>
          <w:szCs w:val="24"/>
          <w:lang w:eastAsia="ko-KR"/>
        </w:rPr>
        <w:t xml:space="preserve"> bile duct.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that were grossly identified to extend toward the </w:t>
      </w:r>
      <w:proofErr w:type="spellStart"/>
      <w:r w:rsidRPr="003C3796">
        <w:rPr>
          <w:rFonts w:ascii="Book Antiqua" w:hAnsi="Book Antiqua"/>
          <w:sz w:val="24"/>
          <w:szCs w:val="24"/>
        </w:rPr>
        <w:t>hilar</w:t>
      </w:r>
      <w:proofErr w:type="spellEnd"/>
      <w:r w:rsidRPr="003C3796">
        <w:rPr>
          <w:rFonts w:ascii="Book Antiqua" w:hAnsi="Book Antiqua"/>
          <w:sz w:val="24"/>
          <w:szCs w:val="24"/>
        </w:rPr>
        <w:t xml:space="preserve"> bifurcation during surgery were excluded from this study.</w:t>
      </w:r>
    </w:p>
    <w:p w:rsidR="00147B7B" w:rsidRDefault="00147B7B" w:rsidP="009350E9">
      <w:pPr>
        <w:pStyle w:val="ac"/>
        <w:spacing w:after="0" w:line="360" w:lineRule="auto"/>
        <w:ind w:firstLine="0"/>
        <w:rPr>
          <w:rFonts w:ascii="Book Antiqua" w:hAnsi="Book Antiqua"/>
          <w:b/>
          <w:i/>
          <w:sz w:val="24"/>
          <w:szCs w:val="24"/>
          <w:lang w:eastAsia="zh-CN"/>
        </w:rPr>
      </w:pPr>
    </w:p>
    <w:p w:rsidR="00147B7B" w:rsidRPr="003C3796" w:rsidRDefault="00147B7B" w:rsidP="009350E9">
      <w:pPr>
        <w:pStyle w:val="ac"/>
        <w:spacing w:after="0" w:line="360" w:lineRule="auto"/>
        <w:ind w:firstLine="0"/>
        <w:rPr>
          <w:rFonts w:ascii="Book Antiqua" w:hAnsi="Book Antiqua"/>
          <w:b/>
          <w:i/>
          <w:sz w:val="24"/>
          <w:szCs w:val="24"/>
        </w:rPr>
      </w:pPr>
      <w:r w:rsidRPr="003C3796">
        <w:rPr>
          <w:rFonts w:ascii="Book Antiqua" w:hAnsi="Book Antiqua"/>
          <w:b/>
          <w:i/>
          <w:sz w:val="24"/>
          <w:szCs w:val="24"/>
        </w:rPr>
        <w:t xml:space="preserve">Definition of margin status and selection of type of surgery </w:t>
      </w:r>
    </w:p>
    <w:p w:rsidR="00147B7B" w:rsidRPr="003C3796" w:rsidRDefault="00147B7B" w:rsidP="009350E9">
      <w:pPr>
        <w:pStyle w:val="ac"/>
        <w:spacing w:after="0" w:line="360" w:lineRule="auto"/>
        <w:ind w:firstLine="0"/>
        <w:rPr>
          <w:rFonts w:ascii="Book Antiqua" w:hAnsi="Book Antiqua"/>
          <w:sz w:val="24"/>
          <w:szCs w:val="24"/>
        </w:rPr>
      </w:pPr>
      <w:r w:rsidRPr="003C3796">
        <w:rPr>
          <w:rFonts w:ascii="Book Antiqua" w:hAnsi="Book Antiqua"/>
          <w:sz w:val="24"/>
          <w:szCs w:val="24"/>
        </w:rPr>
        <w:lastRenderedPageBreak/>
        <w:t xml:space="preserve">In all of the cases, the resection margins were sent for frozen biopsy. Resection of the remnant tissue with microscopic involvement of carcinoma in situ or with invasive carcinoma was defined as R1 resection, and resection of remnant tissue with gross involvement was defined as R2 resection. </w:t>
      </w:r>
    </w:p>
    <w:p w:rsidR="00147B7B" w:rsidRPr="003C3796" w:rsidRDefault="00147B7B" w:rsidP="009350E9">
      <w:pPr>
        <w:pStyle w:val="ac"/>
        <w:spacing w:after="0" w:line="360" w:lineRule="auto"/>
        <w:rPr>
          <w:rFonts w:ascii="Book Antiqua" w:hAnsi="Book Antiqua"/>
          <w:sz w:val="24"/>
          <w:szCs w:val="24"/>
        </w:rPr>
      </w:pPr>
      <w:proofErr w:type="spellStart"/>
      <w:r w:rsidRPr="003C3796">
        <w:rPr>
          <w:rFonts w:ascii="Book Antiqua" w:hAnsi="Book Antiqua"/>
          <w:sz w:val="24"/>
          <w:szCs w:val="24"/>
        </w:rPr>
        <w:t>Pancreaticoduodenectomy</w:t>
      </w:r>
      <w:proofErr w:type="spellEnd"/>
      <w:r w:rsidRPr="003C3796">
        <w:rPr>
          <w:rFonts w:ascii="Book Antiqua" w:hAnsi="Book Antiqua"/>
          <w:sz w:val="24"/>
          <w:szCs w:val="24"/>
        </w:rPr>
        <w:t xml:space="preserve"> was performed for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located in the distal third of the </w:t>
      </w:r>
      <w:proofErr w:type="spellStart"/>
      <w:r w:rsidRPr="003C3796">
        <w:rPr>
          <w:rFonts w:ascii="Book Antiqua" w:hAnsi="Book Antiqua"/>
          <w:sz w:val="24"/>
          <w:szCs w:val="24"/>
        </w:rPr>
        <w:t>extrahepatic</w:t>
      </w:r>
      <w:proofErr w:type="spellEnd"/>
      <w:r w:rsidRPr="003C3796">
        <w:rPr>
          <w:rFonts w:ascii="Book Antiqua" w:hAnsi="Book Antiqua"/>
          <w:sz w:val="24"/>
          <w:szCs w:val="24"/>
        </w:rPr>
        <w:t xml:space="preserve"> bile duct. When proximal resection margins were microscopically negative, we proceeded to perform PD. If positive, the proximal bile duct was repeatedly resected until a negative margin was achieved. If a negative margin could not be achieved from the uppermost bile duct, we tried to perform an R1 or R2 PD in selected cases.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Either PD or BDR was performed for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in the middle third of </w:t>
      </w:r>
      <w:proofErr w:type="spellStart"/>
      <w:r w:rsidRPr="003C3796">
        <w:rPr>
          <w:rFonts w:ascii="Book Antiqua" w:hAnsi="Book Antiqua"/>
          <w:sz w:val="24"/>
          <w:szCs w:val="24"/>
        </w:rPr>
        <w:t>extrahepatic</w:t>
      </w:r>
      <w:proofErr w:type="spellEnd"/>
      <w:r w:rsidRPr="003C3796">
        <w:rPr>
          <w:rFonts w:ascii="Book Antiqua" w:hAnsi="Book Antiqua"/>
          <w:sz w:val="24"/>
          <w:szCs w:val="24"/>
        </w:rPr>
        <w:t xml:space="preserve"> bile duct. When the proximal resection margin was microscopically negative, we proceeded to </w:t>
      </w:r>
      <w:proofErr w:type="spellStart"/>
      <w:r w:rsidRPr="003C3796">
        <w:rPr>
          <w:rFonts w:ascii="Book Antiqua" w:hAnsi="Book Antiqua"/>
          <w:sz w:val="24"/>
          <w:szCs w:val="24"/>
        </w:rPr>
        <w:t>resect</w:t>
      </w:r>
      <w:proofErr w:type="spellEnd"/>
      <w:r w:rsidRPr="003C3796">
        <w:rPr>
          <w:rFonts w:ascii="Book Antiqua" w:hAnsi="Book Antiqua"/>
          <w:sz w:val="24"/>
          <w:szCs w:val="24"/>
        </w:rPr>
        <w:t xml:space="preserve"> the bile duct, including the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 If the lowest distal resection margin was negative after BDR, no additional resection was performed; however, if the lowest resection margin was positive, PD was added unless the patient had a serious comorbidity precluding an additional PD. When the proximal resection margin was microscopically positive, the proximal bile duct was repeatedly resected until a negative margin was achieved. If a negative margin could not be achieved from the uppermost bile duct, we performed R1 or R2 BDR. Lymph node dissection was routinely performed around the </w:t>
      </w:r>
      <w:proofErr w:type="spellStart"/>
      <w:r w:rsidRPr="003C3796">
        <w:rPr>
          <w:rFonts w:ascii="Book Antiqua" w:hAnsi="Book Antiqua"/>
          <w:sz w:val="24"/>
          <w:szCs w:val="24"/>
        </w:rPr>
        <w:t>hepatoduodenal</w:t>
      </w:r>
      <w:proofErr w:type="spellEnd"/>
      <w:r w:rsidRPr="003C3796">
        <w:rPr>
          <w:rFonts w:ascii="Book Antiqua" w:hAnsi="Book Antiqua"/>
          <w:sz w:val="24"/>
          <w:szCs w:val="24"/>
        </w:rPr>
        <w:t xml:space="preserve"> ligament, common hepatic artery, and </w:t>
      </w:r>
      <w:proofErr w:type="spellStart"/>
      <w:r w:rsidRPr="003C3796">
        <w:rPr>
          <w:rFonts w:ascii="Book Antiqua" w:hAnsi="Book Antiqua"/>
          <w:sz w:val="24"/>
          <w:szCs w:val="24"/>
        </w:rPr>
        <w:t>retropancreas</w:t>
      </w:r>
      <w:proofErr w:type="spellEnd"/>
      <w:r w:rsidRPr="003C3796">
        <w:rPr>
          <w:rFonts w:ascii="Book Antiqua" w:hAnsi="Book Antiqua"/>
          <w:sz w:val="24"/>
          <w:szCs w:val="24"/>
        </w:rPr>
        <w:t xml:space="preserve"> when resection was possible. </w:t>
      </w:r>
    </w:p>
    <w:p w:rsidR="00147B7B" w:rsidRPr="003C3796" w:rsidRDefault="00147B7B" w:rsidP="009350E9">
      <w:pPr>
        <w:pStyle w:val="ac"/>
        <w:spacing w:after="0" w:line="360" w:lineRule="auto"/>
        <w:rPr>
          <w:rFonts w:ascii="Book Antiqua" w:hAnsi="Book Antiqua"/>
          <w:sz w:val="24"/>
          <w:szCs w:val="24"/>
        </w:rPr>
      </w:pPr>
      <w:proofErr w:type="spellStart"/>
      <w:r w:rsidRPr="003C3796">
        <w:rPr>
          <w:rFonts w:ascii="Book Antiqua" w:hAnsi="Book Antiqua"/>
          <w:sz w:val="24"/>
          <w:szCs w:val="24"/>
        </w:rPr>
        <w:t>Nonresectional</w:t>
      </w:r>
      <w:proofErr w:type="spellEnd"/>
      <w:r w:rsidRPr="003C3796">
        <w:rPr>
          <w:rFonts w:ascii="Book Antiqua" w:hAnsi="Book Antiqua"/>
          <w:sz w:val="24"/>
          <w:szCs w:val="24"/>
        </w:rPr>
        <w:t xml:space="preserve"> surgeries, including exploration only, simple cholecystectomy, and bypass surgery, were indicated for patients with very advanced bile duct carcinoma. These cases included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directly invading the common hepatic artery, superior mesenteric artery, inferior vena cava, long segment, or more than half the circumference of the portal vein, as well as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with peritoneal or liver metastases. </w:t>
      </w:r>
    </w:p>
    <w:p w:rsidR="00147B7B" w:rsidRDefault="00147B7B" w:rsidP="009350E9">
      <w:pPr>
        <w:pStyle w:val="ac"/>
        <w:spacing w:after="0" w:line="360" w:lineRule="auto"/>
        <w:ind w:firstLine="0"/>
        <w:rPr>
          <w:rFonts w:ascii="Book Antiqua" w:hAnsi="Book Antiqua"/>
          <w:b/>
          <w:i/>
          <w:sz w:val="24"/>
          <w:szCs w:val="24"/>
          <w:lang w:eastAsia="zh-CN"/>
        </w:rPr>
      </w:pPr>
    </w:p>
    <w:p w:rsidR="00147B7B" w:rsidRPr="003C3796" w:rsidRDefault="00147B7B" w:rsidP="009350E9">
      <w:pPr>
        <w:pStyle w:val="ac"/>
        <w:spacing w:after="0" w:line="360" w:lineRule="auto"/>
        <w:ind w:firstLine="0"/>
        <w:rPr>
          <w:rFonts w:ascii="Book Antiqua" w:hAnsi="Book Antiqua"/>
          <w:b/>
          <w:i/>
          <w:sz w:val="24"/>
          <w:szCs w:val="24"/>
        </w:rPr>
      </w:pPr>
      <w:r w:rsidRPr="003C3796">
        <w:rPr>
          <w:rFonts w:ascii="Book Antiqua" w:hAnsi="Book Antiqua"/>
          <w:b/>
          <w:i/>
          <w:sz w:val="24"/>
          <w:szCs w:val="24"/>
        </w:rPr>
        <w:t>Patient follow-up after surgery</w:t>
      </w:r>
    </w:p>
    <w:p w:rsidR="00147B7B" w:rsidRPr="003C3796" w:rsidRDefault="00147B7B" w:rsidP="009350E9">
      <w:pPr>
        <w:pStyle w:val="ac"/>
        <w:spacing w:after="0" w:line="360" w:lineRule="auto"/>
        <w:ind w:firstLine="0"/>
        <w:rPr>
          <w:rFonts w:ascii="Book Antiqua" w:hAnsi="Book Antiqua"/>
          <w:sz w:val="24"/>
          <w:szCs w:val="24"/>
        </w:rPr>
      </w:pPr>
      <w:r w:rsidRPr="003C3796">
        <w:rPr>
          <w:rFonts w:ascii="Book Antiqua" w:hAnsi="Book Antiqua"/>
          <w:sz w:val="24"/>
          <w:szCs w:val="24"/>
        </w:rPr>
        <w:lastRenderedPageBreak/>
        <w:t xml:space="preserve">Follow-up examinations were performed based on abdominal ultrasonography, computed tomography, and measurement of the serum </w:t>
      </w:r>
      <w:proofErr w:type="spellStart"/>
      <w:r w:rsidRPr="003C3796">
        <w:rPr>
          <w:rFonts w:ascii="Book Antiqua" w:hAnsi="Book Antiqua"/>
          <w:sz w:val="24"/>
          <w:szCs w:val="24"/>
        </w:rPr>
        <w:t>carcinoembryonic</w:t>
      </w:r>
      <w:proofErr w:type="spellEnd"/>
      <w:r w:rsidRPr="003C3796">
        <w:rPr>
          <w:rFonts w:ascii="Book Antiqua" w:hAnsi="Book Antiqua"/>
          <w:sz w:val="24"/>
          <w:szCs w:val="24"/>
        </w:rPr>
        <w:t xml:space="preserve"> antigen (CEA) and carbohydrate antigen 19-9 (CA19-9) levels every 3 to 6 </w:t>
      </w:r>
      <w:proofErr w:type="spellStart"/>
      <w:r>
        <w:rPr>
          <w:rFonts w:ascii="Book Antiqua" w:hAnsi="Book Antiqua"/>
          <w:sz w:val="24"/>
          <w:szCs w:val="24"/>
        </w:rPr>
        <w:t>mo</w:t>
      </w:r>
      <w:proofErr w:type="spellEnd"/>
      <w:r>
        <w:rPr>
          <w:rFonts w:ascii="Book Antiqua" w:hAnsi="Book Antiqua"/>
          <w:sz w:val="24"/>
          <w:szCs w:val="24"/>
        </w:rPr>
        <w:t xml:space="preserve"> </w:t>
      </w:r>
      <w:proofErr w:type="gramStart"/>
      <w:r w:rsidRPr="003C3796">
        <w:rPr>
          <w:rFonts w:ascii="Book Antiqua" w:eastAsia="Malgun Gothic" w:hAnsi="Book Antiqua" w:cs="Arial"/>
          <w:sz w:val="24"/>
          <w:szCs w:val="24"/>
          <w:lang w:eastAsia="ko-KR"/>
        </w:rPr>
        <w:t>None</w:t>
      </w:r>
      <w:proofErr w:type="gramEnd"/>
      <w:r w:rsidRPr="003C3796">
        <w:rPr>
          <w:rFonts w:ascii="Book Antiqua" w:eastAsia="Malgun Gothic" w:hAnsi="Book Antiqua" w:cs="Arial"/>
          <w:sz w:val="24"/>
          <w:szCs w:val="24"/>
          <w:lang w:eastAsia="ko-KR"/>
        </w:rPr>
        <w:t xml:space="preserve"> of the patients received chemotherapy before or after surgery. </w:t>
      </w:r>
      <w:r w:rsidRPr="003C3796">
        <w:rPr>
          <w:rFonts w:ascii="Book Antiqua" w:hAnsi="Book Antiqua"/>
          <w:sz w:val="24"/>
          <w:szCs w:val="24"/>
        </w:rPr>
        <w:t xml:space="preserve">Information on long-term outcomes after surgery was collected by personal interview or on the telephone. If a patient died, we recorded the survival time after surgery and the cause of death. For surviving patients, the postoperative length of survival and status of recurrence were recorded. </w:t>
      </w:r>
    </w:p>
    <w:p w:rsidR="00147B7B" w:rsidRDefault="00147B7B" w:rsidP="009350E9">
      <w:pPr>
        <w:pStyle w:val="ac"/>
        <w:spacing w:after="0" w:line="360" w:lineRule="auto"/>
        <w:ind w:firstLine="0"/>
        <w:rPr>
          <w:rFonts w:ascii="Book Antiqua" w:hAnsi="Book Antiqua"/>
          <w:b/>
          <w:i/>
          <w:sz w:val="24"/>
          <w:szCs w:val="24"/>
          <w:lang w:eastAsia="zh-CN"/>
        </w:rPr>
      </w:pPr>
    </w:p>
    <w:p w:rsidR="00147B7B" w:rsidRPr="003C3796" w:rsidRDefault="00147B7B" w:rsidP="009350E9">
      <w:pPr>
        <w:pStyle w:val="ac"/>
        <w:spacing w:after="0" w:line="360" w:lineRule="auto"/>
        <w:ind w:firstLine="0"/>
        <w:rPr>
          <w:rFonts w:ascii="Book Antiqua" w:hAnsi="Book Antiqua"/>
          <w:b/>
          <w:i/>
          <w:sz w:val="24"/>
          <w:szCs w:val="24"/>
        </w:rPr>
      </w:pPr>
      <w:r w:rsidRPr="003C3796">
        <w:rPr>
          <w:rFonts w:ascii="Book Antiqua" w:hAnsi="Book Antiqua"/>
          <w:b/>
          <w:i/>
          <w:sz w:val="24"/>
          <w:szCs w:val="24"/>
        </w:rPr>
        <w:t xml:space="preserve">Statistical analysis </w:t>
      </w:r>
    </w:p>
    <w:p w:rsidR="00147B7B" w:rsidRDefault="00147B7B" w:rsidP="009350E9">
      <w:pPr>
        <w:pStyle w:val="ac"/>
        <w:spacing w:after="0" w:line="360" w:lineRule="auto"/>
        <w:ind w:firstLine="0"/>
        <w:rPr>
          <w:rFonts w:ascii="Book Antiqua" w:hAnsi="Book Antiqua"/>
          <w:sz w:val="24"/>
          <w:szCs w:val="24"/>
          <w:lang w:eastAsia="zh-CN"/>
        </w:rPr>
      </w:pPr>
      <w:r w:rsidRPr="003C3796">
        <w:rPr>
          <w:rFonts w:ascii="Book Antiqua" w:hAnsi="Book Antiqua"/>
          <w:sz w:val="24"/>
          <w:szCs w:val="24"/>
        </w:rPr>
        <w:t>A prognostic analysis was performed using the data from 133 patients</w:t>
      </w:r>
      <w:r w:rsidRPr="003C3796">
        <w:rPr>
          <w:rFonts w:ascii="Book Antiqua" w:eastAsia="Malgun Gothic" w:hAnsi="Book Antiqua"/>
          <w:sz w:val="24"/>
          <w:szCs w:val="24"/>
          <w:lang w:eastAsia="ko-KR"/>
        </w:rPr>
        <w:t xml:space="preserve"> who underwent </w:t>
      </w:r>
      <w:proofErr w:type="spellStart"/>
      <w:r w:rsidRPr="003C3796">
        <w:rPr>
          <w:rFonts w:ascii="Book Antiqua" w:eastAsia="Malgun Gothic" w:hAnsi="Book Antiqua"/>
          <w:sz w:val="24"/>
          <w:szCs w:val="24"/>
          <w:lang w:eastAsia="ko-KR"/>
        </w:rPr>
        <w:t>resectional</w:t>
      </w:r>
      <w:proofErr w:type="spellEnd"/>
      <w:r w:rsidRPr="003C3796">
        <w:rPr>
          <w:rFonts w:ascii="Book Antiqua" w:eastAsia="Malgun Gothic" w:hAnsi="Book Antiqua"/>
          <w:sz w:val="24"/>
          <w:szCs w:val="24"/>
          <w:lang w:eastAsia="ko-KR"/>
        </w:rPr>
        <w:t xml:space="preserve"> surgery including R0, R1 and R2 resection</w:t>
      </w:r>
      <w:r w:rsidRPr="003C3796">
        <w:rPr>
          <w:rFonts w:ascii="Book Antiqua" w:hAnsi="Book Antiqua"/>
          <w:sz w:val="24"/>
          <w:szCs w:val="24"/>
        </w:rPr>
        <w:t>.</w:t>
      </w:r>
      <w:r w:rsidRPr="003C3796">
        <w:rPr>
          <w:rFonts w:ascii="Book Antiqua" w:eastAsia="Malgun Gothic" w:hAnsi="Book Antiqua"/>
          <w:sz w:val="24"/>
          <w:szCs w:val="24"/>
          <w:lang w:eastAsia="ko-KR"/>
        </w:rPr>
        <w:t xml:space="preserve"> For the survival analysis after surgical resection, the patients with non-</w:t>
      </w:r>
      <w:proofErr w:type="spellStart"/>
      <w:r w:rsidRPr="003C3796">
        <w:rPr>
          <w:rFonts w:ascii="Book Antiqua" w:eastAsia="Malgun Gothic" w:hAnsi="Book Antiqua"/>
          <w:sz w:val="24"/>
          <w:szCs w:val="24"/>
          <w:lang w:eastAsia="ko-KR"/>
        </w:rPr>
        <w:t>resectional</w:t>
      </w:r>
      <w:proofErr w:type="spellEnd"/>
      <w:r w:rsidRPr="003C3796">
        <w:rPr>
          <w:rFonts w:ascii="Book Antiqua" w:eastAsia="Malgun Gothic" w:hAnsi="Book Antiqua"/>
          <w:sz w:val="24"/>
          <w:szCs w:val="24"/>
          <w:lang w:eastAsia="ko-KR"/>
        </w:rPr>
        <w:t xml:space="preserve"> surgery or mortality cases were excluded from this study. </w:t>
      </w:r>
      <w:r w:rsidRPr="003C3796">
        <w:rPr>
          <w:rFonts w:ascii="Book Antiqua" w:hAnsi="Book Antiqua"/>
          <w:sz w:val="24"/>
          <w:szCs w:val="24"/>
        </w:rPr>
        <w:t xml:space="preserve">The survival data were processed using the Kaplan-Meier method and were compared using the log-rank test. A </w:t>
      </w:r>
      <w:r w:rsidRPr="00F96D92">
        <w:rPr>
          <w:rFonts w:ascii="Book Antiqua" w:hAnsi="Book Antiqua"/>
          <w:i/>
          <w:sz w:val="24"/>
          <w:szCs w:val="24"/>
        </w:rPr>
        <w:t>P</w:t>
      </w:r>
      <w:r w:rsidRPr="003C3796">
        <w:rPr>
          <w:rFonts w:ascii="Book Antiqua" w:hAnsi="Book Antiqua"/>
          <w:sz w:val="24"/>
          <w:szCs w:val="24"/>
        </w:rPr>
        <w:t xml:space="preserve"> value less than 0.05 was considered statistically significant. Multivariate analysis was performed using the </w:t>
      </w:r>
      <w:proofErr w:type="spellStart"/>
      <w:r w:rsidRPr="003C3796">
        <w:rPr>
          <w:rFonts w:ascii="Book Antiqua" w:hAnsi="Book Antiqua"/>
          <w:sz w:val="24"/>
          <w:szCs w:val="24"/>
        </w:rPr>
        <w:t>clinicopathologic</w:t>
      </w:r>
      <w:proofErr w:type="spellEnd"/>
      <w:r w:rsidRPr="003C3796">
        <w:rPr>
          <w:rFonts w:ascii="Book Antiqua" w:hAnsi="Book Antiqua"/>
          <w:sz w:val="24"/>
          <w:szCs w:val="24"/>
        </w:rPr>
        <w:t xml:space="preserve"> factors that were statistically significant in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or other marginal predictors, which were obtained using Cox proportional hazards regression.</w:t>
      </w:r>
    </w:p>
    <w:p w:rsidR="00147B7B" w:rsidRDefault="00147B7B" w:rsidP="009350E9">
      <w:pPr>
        <w:pStyle w:val="ac"/>
        <w:spacing w:after="0" w:line="360" w:lineRule="auto"/>
        <w:ind w:firstLine="0"/>
        <w:rPr>
          <w:rFonts w:ascii="Book Antiqua" w:hAnsi="Book Antiqua"/>
          <w:sz w:val="24"/>
          <w:szCs w:val="24"/>
          <w:lang w:eastAsia="zh-CN"/>
        </w:rPr>
      </w:pPr>
    </w:p>
    <w:p w:rsidR="00147B7B" w:rsidRPr="003C3796" w:rsidRDefault="00147B7B" w:rsidP="009350E9">
      <w:pPr>
        <w:pStyle w:val="ac"/>
        <w:spacing w:after="0" w:line="360" w:lineRule="auto"/>
        <w:ind w:firstLine="0"/>
        <w:rPr>
          <w:rFonts w:ascii="Book Antiqua" w:hAnsi="Book Antiqua"/>
          <w:b/>
          <w:sz w:val="24"/>
          <w:szCs w:val="24"/>
        </w:rPr>
      </w:pPr>
      <w:r w:rsidRPr="003C3796">
        <w:rPr>
          <w:rFonts w:ascii="Book Antiqua" w:hAnsi="Book Antiqua"/>
          <w:b/>
          <w:sz w:val="24"/>
          <w:szCs w:val="24"/>
        </w:rPr>
        <w:t>RESULTS</w:t>
      </w:r>
    </w:p>
    <w:p w:rsidR="00147B7B" w:rsidRPr="003C3796" w:rsidRDefault="00147B7B" w:rsidP="009350E9">
      <w:pPr>
        <w:spacing w:after="0"/>
        <w:jc w:val="both"/>
        <w:rPr>
          <w:b/>
          <w:i/>
          <w:szCs w:val="24"/>
        </w:rPr>
      </w:pPr>
      <w:proofErr w:type="spellStart"/>
      <w:r w:rsidRPr="003C3796">
        <w:rPr>
          <w:b/>
          <w:i/>
          <w:szCs w:val="24"/>
        </w:rPr>
        <w:t>Clinicopathological</w:t>
      </w:r>
      <w:proofErr w:type="spellEnd"/>
      <w:r w:rsidRPr="003C3796">
        <w:rPr>
          <w:b/>
          <w:i/>
          <w:szCs w:val="24"/>
        </w:rPr>
        <w:t xml:space="preserve"> features and types of surgery of patients who underwent surgery </w:t>
      </w:r>
    </w:p>
    <w:p w:rsidR="00147B7B" w:rsidRPr="003C3796" w:rsidRDefault="00147B7B" w:rsidP="009350E9">
      <w:pPr>
        <w:pStyle w:val="ac"/>
        <w:spacing w:after="0" w:line="360" w:lineRule="auto"/>
        <w:ind w:firstLine="0"/>
        <w:rPr>
          <w:rFonts w:ascii="Book Antiqua" w:hAnsi="Book Antiqua"/>
          <w:sz w:val="24"/>
          <w:szCs w:val="24"/>
        </w:rPr>
      </w:pPr>
      <w:r w:rsidRPr="003C3796">
        <w:rPr>
          <w:rFonts w:ascii="Book Antiqua" w:hAnsi="Book Antiqua"/>
          <w:sz w:val="24"/>
          <w:szCs w:val="24"/>
        </w:rPr>
        <w:t>In total, the study enrolled 120 men and 74 women, and the mean age was 66.4</w:t>
      </w:r>
      <w:r>
        <w:rPr>
          <w:rFonts w:ascii="Book Antiqua" w:hAnsi="Book Antiqua"/>
          <w:sz w:val="24"/>
          <w:szCs w:val="24"/>
        </w:rPr>
        <w:t xml:space="preserve"> ± </w:t>
      </w:r>
      <w:r w:rsidRPr="003C3796">
        <w:rPr>
          <w:rFonts w:ascii="Book Antiqua" w:hAnsi="Book Antiqua"/>
          <w:sz w:val="24"/>
          <w:szCs w:val="24"/>
        </w:rPr>
        <w:t xml:space="preserve">8.6 years old. Among these 194 patients, 133 patients received resection, and the resection rate was 68.6%. </w:t>
      </w:r>
      <w:r w:rsidRPr="003C3796">
        <w:rPr>
          <w:rFonts w:ascii="Book Antiqua" w:eastAsia="Malgun Gothic" w:hAnsi="Book Antiqua"/>
          <w:sz w:val="24"/>
          <w:szCs w:val="24"/>
          <w:lang w:eastAsia="ko-KR"/>
        </w:rPr>
        <w:t xml:space="preserve">Ninety </w:t>
      </w:r>
      <w:r w:rsidRPr="003C3796">
        <w:rPr>
          <w:rFonts w:ascii="Book Antiqua" w:hAnsi="Book Antiqua"/>
          <w:sz w:val="24"/>
          <w:szCs w:val="24"/>
        </w:rPr>
        <w:t xml:space="preserve">patients (67.7%, 90/133) underwent PD, and 43 (32.3%) patients underwent BDR. The remaining 61 patients underwent </w:t>
      </w:r>
      <w:proofErr w:type="spellStart"/>
      <w:r w:rsidRPr="003C3796">
        <w:rPr>
          <w:rFonts w:ascii="Book Antiqua" w:hAnsi="Book Antiqua"/>
          <w:sz w:val="24"/>
          <w:szCs w:val="24"/>
        </w:rPr>
        <w:t>nonresection</w:t>
      </w:r>
      <w:r w:rsidRPr="003C3796">
        <w:rPr>
          <w:rFonts w:ascii="Book Antiqua" w:eastAsia="Malgun Gothic" w:hAnsi="Book Antiqua"/>
          <w:sz w:val="24"/>
          <w:szCs w:val="24"/>
          <w:lang w:eastAsia="ko-KR"/>
        </w:rPr>
        <w:t>al</w:t>
      </w:r>
      <w:proofErr w:type="spellEnd"/>
      <w:r w:rsidRPr="003C3796">
        <w:rPr>
          <w:rFonts w:ascii="Book Antiqua" w:hAnsi="Book Antiqua"/>
          <w:sz w:val="24"/>
          <w:szCs w:val="24"/>
        </w:rPr>
        <w:t xml:space="preserve"> surgeries, such as bypass, cholecystectomy, or exploration only.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The numbers of patients with R0, R1, and R2 resections were 102, 24, and seven, respectively. The PD group had a higher rate of R0 resection than the BDR group </w:t>
      </w:r>
      <w:r w:rsidRPr="003C3796">
        <w:rPr>
          <w:rFonts w:ascii="Book Antiqua" w:hAnsi="Book Antiqua"/>
          <w:sz w:val="24"/>
          <w:szCs w:val="24"/>
        </w:rPr>
        <w:lastRenderedPageBreak/>
        <w:t xml:space="preserve">(90.0%, 89/90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48.8%, 21/43 </w:t>
      </w:r>
      <w:r w:rsidRPr="00AB631A">
        <w:rPr>
          <w:rFonts w:ascii="Book Antiqua" w:hAnsi="Book Antiqua"/>
          <w:i/>
          <w:sz w:val="24"/>
          <w:szCs w:val="24"/>
        </w:rPr>
        <w:t xml:space="preserve">P &lt; </w:t>
      </w:r>
      <w:r w:rsidRPr="003C3796">
        <w:rPr>
          <w:rFonts w:ascii="Book Antiqua" w:hAnsi="Book Antiqua"/>
          <w:sz w:val="24"/>
          <w:szCs w:val="24"/>
        </w:rPr>
        <w:t xml:space="preserve">0.0001). In detail, the PD group included eight patients with R1 and one patient with R2 PD, whereas the patients who underwent BDR included 16 patients with R1 and six patients with R2 BDR. The reason for R1 PD and R1 BDR was a microscopic positive margin at the uppermost resection margin in eight and 12 patients, respectively. The remaining four patients with R1 BDR had positive margins at their lowermost resection margins, but the co-morbidity of the patients precluded an additional PD. In one patient with portal vein invasion, a combined portal vein wedge resection was performed.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According to the 7</w:t>
      </w:r>
      <w:r w:rsidRPr="003C3796">
        <w:rPr>
          <w:rFonts w:ascii="Book Antiqua" w:hAnsi="Book Antiqua"/>
          <w:sz w:val="24"/>
          <w:szCs w:val="24"/>
          <w:vertAlign w:val="superscript"/>
        </w:rPr>
        <w:t>th</w:t>
      </w:r>
      <w:r w:rsidRPr="003C3796">
        <w:rPr>
          <w:rFonts w:ascii="Book Antiqua" w:hAnsi="Book Antiqua"/>
          <w:sz w:val="24"/>
          <w:szCs w:val="24"/>
        </w:rPr>
        <w:t xml:space="preserve"> AJCC-UICC classification, the frequencies of TIS, T1, T2, and T3 were 1.6%, 28.1%, 19.5%, and 50.8%, respectively. Lymph node dissection was performed routinely whenever R0 or R1 resection was possible</w:t>
      </w:r>
      <w:r w:rsidRPr="003C3796">
        <w:rPr>
          <w:rFonts w:ascii="Book Antiqua" w:eastAsia="Malgun Gothic" w:hAnsi="Book Antiqua"/>
          <w:sz w:val="24"/>
          <w:szCs w:val="24"/>
          <w:lang w:eastAsia="ko-KR"/>
        </w:rPr>
        <w:t xml:space="preserve">. The </w:t>
      </w:r>
      <w:r w:rsidRPr="003C3796">
        <w:rPr>
          <w:rFonts w:ascii="Book Antiqua" w:hAnsi="Book Antiqua"/>
          <w:sz w:val="24"/>
          <w:szCs w:val="24"/>
        </w:rPr>
        <w:t xml:space="preserve">average </w:t>
      </w:r>
      <w:r w:rsidRPr="003C3796">
        <w:rPr>
          <w:rFonts w:ascii="Book Antiqua" w:eastAsia="Malgun Gothic" w:hAnsi="Book Antiqua"/>
          <w:sz w:val="24"/>
          <w:szCs w:val="24"/>
          <w:lang w:eastAsia="ko-KR"/>
        </w:rPr>
        <w:t xml:space="preserve">number of lymph nodes which were harvested was </w:t>
      </w:r>
      <w:r w:rsidRPr="003C3796">
        <w:rPr>
          <w:rFonts w:ascii="Book Antiqua" w:hAnsi="Book Antiqua"/>
          <w:sz w:val="24"/>
          <w:szCs w:val="24"/>
        </w:rPr>
        <w:t>10.9</w:t>
      </w:r>
      <w:r>
        <w:rPr>
          <w:rFonts w:ascii="Book Antiqua" w:hAnsi="Book Antiqua"/>
          <w:sz w:val="24"/>
          <w:szCs w:val="24"/>
        </w:rPr>
        <w:t xml:space="preserve"> ± </w:t>
      </w:r>
      <w:r w:rsidRPr="003C3796">
        <w:rPr>
          <w:rFonts w:ascii="Book Antiqua" w:hAnsi="Book Antiqua"/>
          <w:sz w:val="24"/>
          <w:szCs w:val="24"/>
        </w:rPr>
        <w:t xml:space="preserve">4.5. Lymph node metastasis was present in 25%, and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was present in 41.4%. The rates of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for T1, T2, and T3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were 18.4%, 60%, and 46.2%, respectively, showing significant associations (</w:t>
      </w:r>
      <w:r w:rsidRPr="00AB631A">
        <w:rPr>
          <w:rFonts w:ascii="Book Antiqua" w:hAnsi="Book Antiqua"/>
          <w:i/>
          <w:sz w:val="24"/>
          <w:szCs w:val="24"/>
        </w:rPr>
        <w:t xml:space="preserve">P = </w:t>
      </w:r>
      <w:r w:rsidRPr="003C3796">
        <w:rPr>
          <w:rFonts w:ascii="Book Antiqua" w:hAnsi="Book Antiqua"/>
          <w:sz w:val="24"/>
          <w:szCs w:val="24"/>
        </w:rPr>
        <w:t xml:space="preserve">0.017). </w:t>
      </w:r>
    </w:p>
    <w:p w:rsidR="00147B7B" w:rsidRPr="003C3796" w:rsidRDefault="00147B7B" w:rsidP="009350E9">
      <w:pPr>
        <w:pStyle w:val="ac"/>
        <w:spacing w:after="0" w:line="360" w:lineRule="auto"/>
        <w:ind w:firstLine="871"/>
        <w:rPr>
          <w:rFonts w:ascii="Book Antiqua" w:hAnsi="Book Antiqua"/>
          <w:sz w:val="24"/>
          <w:szCs w:val="24"/>
        </w:rPr>
      </w:pP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present in 25 of 128 </w:t>
      </w:r>
      <w:r w:rsidRPr="003C3796">
        <w:rPr>
          <w:rFonts w:ascii="Book Antiqua" w:eastAsia="Malgun Gothic" w:hAnsi="Book Antiqua"/>
          <w:sz w:val="24"/>
          <w:szCs w:val="24"/>
          <w:lang w:eastAsia="ko-KR"/>
        </w:rPr>
        <w:t>(</w:t>
      </w:r>
      <w:r w:rsidRPr="003C3796">
        <w:rPr>
          <w:rFonts w:ascii="Book Antiqua" w:hAnsi="Book Antiqua"/>
          <w:sz w:val="24"/>
          <w:szCs w:val="24"/>
        </w:rPr>
        <w:t>19.5%</w:t>
      </w:r>
      <w:r w:rsidRPr="003C3796">
        <w:rPr>
          <w:rFonts w:ascii="Book Antiqua" w:eastAsia="Malgun Gothic" w:hAnsi="Book Antiqua"/>
          <w:sz w:val="24"/>
          <w:szCs w:val="24"/>
          <w:lang w:eastAsia="ko-KR"/>
        </w:rPr>
        <w:t>).</w:t>
      </w:r>
      <w:r w:rsidRPr="003C3796">
        <w:rPr>
          <w:rFonts w:ascii="Book Antiqua" w:hAnsi="Book Antiqua"/>
          <w:sz w:val="24"/>
          <w:szCs w:val="24"/>
        </w:rPr>
        <w:t xml:space="preserve"> The frequencies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in T1, T2, and T3 were 5.3%, 20.0%, and 26.2%, respectively; invasion was associated with T staging at a statistically significant level (</w:t>
      </w:r>
      <w:r w:rsidRPr="00AB631A">
        <w:rPr>
          <w:rFonts w:ascii="Book Antiqua" w:hAnsi="Book Antiqua"/>
          <w:i/>
          <w:sz w:val="24"/>
          <w:szCs w:val="24"/>
        </w:rPr>
        <w:t xml:space="preserve">P = </w:t>
      </w:r>
      <w:r w:rsidRPr="003C3796">
        <w:rPr>
          <w:rFonts w:ascii="Book Antiqua" w:hAnsi="Book Antiqua"/>
          <w:sz w:val="24"/>
          <w:szCs w:val="24"/>
        </w:rPr>
        <w:t xml:space="preserve">0.013).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not significantly associated with nodal metastasis (</w:t>
      </w:r>
      <w:r w:rsidRPr="00AB631A">
        <w:rPr>
          <w:rFonts w:ascii="Book Antiqua" w:hAnsi="Book Antiqua"/>
          <w:i/>
          <w:sz w:val="24"/>
          <w:szCs w:val="24"/>
        </w:rPr>
        <w:t xml:space="preserve">P = </w:t>
      </w:r>
      <w:r w:rsidRPr="003C3796">
        <w:rPr>
          <w:rFonts w:ascii="Book Antiqua" w:hAnsi="Book Antiqua"/>
          <w:sz w:val="24"/>
          <w:szCs w:val="24"/>
        </w:rPr>
        <w:t>0.071).</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Well, moderately, and poorly differentiated cases were found in 33.6%, 55.5%, and 10.9% of patients, respectively.</w:t>
      </w:r>
    </w:p>
    <w:p w:rsidR="00147B7B" w:rsidRDefault="00147B7B" w:rsidP="009350E9">
      <w:pPr>
        <w:pStyle w:val="ac"/>
        <w:spacing w:after="0" w:line="360" w:lineRule="auto"/>
        <w:ind w:firstLine="0"/>
        <w:rPr>
          <w:rFonts w:ascii="Book Antiqua" w:hAnsi="Book Antiqua"/>
          <w:b/>
          <w:i/>
          <w:sz w:val="24"/>
          <w:szCs w:val="24"/>
          <w:lang w:eastAsia="zh-CN"/>
        </w:rPr>
      </w:pPr>
    </w:p>
    <w:p w:rsidR="00147B7B" w:rsidRPr="003C3796" w:rsidRDefault="00147B7B" w:rsidP="009350E9">
      <w:pPr>
        <w:pStyle w:val="ac"/>
        <w:spacing w:after="0" w:line="360" w:lineRule="auto"/>
        <w:ind w:firstLine="0"/>
        <w:rPr>
          <w:rFonts w:ascii="Book Antiqua" w:hAnsi="Book Antiqua"/>
          <w:b/>
          <w:i/>
          <w:sz w:val="24"/>
          <w:szCs w:val="24"/>
        </w:rPr>
      </w:pPr>
      <w:r w:rsidRPr="003C3796">
        <w:rPr>
          <w:rFonts w:ascii="Book Antiqua" w:hAnsi="Book Antiqua"/>
          <w:b/>
          <w:i/>
          <w:sz w:val="24"/>
          <w:szCs w:val="24"/>
        </w:rPr>
        <w:t xml:space="preserve">Long-term survival of all patients with resections and </w:t>
      </w:r>
      <w:proofErr w:type="spellStart"/>
      <w:r w:rsidRPr="003C3796">
        <w:rPr>
          <w:rFonts w:ascii="Book Antiqua" w:hAnsi="Book Antiqua"/>
          <w:b/>
          <w:i/>
          <w:sz w:val="24"/>
          <w:szCs w:val="24"/>
        </w:rPr>
        <w:t>univariate</w:t>
      </w:r>
      <w:proofErr w:type="spellEnd"/>
      <w:r w:rsidRPr="003C3796">
        <w:rPr>
          <w:rFonts w:ascii="Book Antiqua" w:hAnsi="Book Antiqua"/>
          <w:b/>
          <w:i/>
          <w:sz w:val="24"/>
          <w:szCs w:val="24"/>
        </w:rPr>
        <w:t xml:space="preserve"> analysis of their </w:t>
      </w:r>
      <w:proofErr w:type="spellStart"/>
      <w:r w:rsidRPr="003C3796">
        <w:rPr>
          <w:rFonts w:ascii="Book Antiqua" w:hAnsi="Book Antiqua"/>
          <w:b/>
          <w:i/>
          <w:sz w:val="24"/>
          <w:szCs w:val="24"/>
        </w:rPr>
        <w:t>clinicopathologic</w:t>
      </w:r>
      <w:proofErr w:type="spellEnd"/>
      <w:r w:rsidRPr="003C3796">
        <w:rPr>
          <w:rFonts w:ascii="Book Antiqua" w:hAnsi="Book Antiqua"/>
          <w:b/>
          <w:i/>
          <w:sz w:val="24"/>
          <w:szCs w:val="24"/>
        </w:rPr>
        <w:t xml:space="preserve"> factors </w:t>
      </w:r>
    </w:p>
    <w:p w:rsidR="00147B7B" w:rsidRPr="003C3796" w:rsidRDefault="00147B7B" w:rsidP="009350E9">
      <w:pPr>
        <w:pStyle w:val="ac"/>
        <w:spacing w:after="0" w:line="360" w:lineRule="auto"/>
        <w:ind w:firstLine="0"/>
        <w:rPr>
          <w:rFonts w:ascii="Book Antiqua" w:hAnsi="Book Antiqua"/>
          <w:sz w:val="24"/>
          <w:szCs w:val="24"/>
        </w:rPr>
      </w:pPr>
      <w:r w:rsidRPr="003C3796">
        <w:rPr>
          <w:rFonts w:ascii="Book Antiqua" w:hAnsi="Book Antiqua"/>
          <w:sz w:val="24"/>
          <w:szCs w:val="24"/>
        </w:rPr>
        <w:t xml:space="preserve">The overall 1-, 3-, and 5-year survival rates for the 133 patients who underwent resection (R0, R1, and R2) were 86.8%, 54.4%, and 41.2%, respectively, whereas no </w:t>
      </w:r>
      <w:r w:rsidRPr="003C3796">
        <w:rPr>
          <w:rFonts w:ascii="Book Antiqua" w:hAnsi="Book Antiqua"/>
          <w:sz w:val="24"/>
          <w:szCs w:val="24"/>
        </w:rPr>
        <w:lastRenderedPageBreak/>
        <w:t xml:space="preserve">patients survived longer than 3 years among the 61 who underwent </w:t>
      </w:r>
      <w:proofErr w:type="spellStart"/>
      <w:r w:rsidRPr="003C3796">
        <w:rPr>
          <w:rFonts w:ascii="Book Antiqua" w:eastAsia="Malgun Gothic" w:hAnsi="Book Antiqua"/>
          <w:sz w:val="24"/>
          <w:szCs w:val="24"/>
          <w:lang w:eastAsia="ko-KR"/>
        </w:rPr>
        <w:t>nonresectional</w:t>
      </w:r>
      <w:proofErr w:type="spellEnd"/>
      <w:r w:rsidRPr="003C3796">
        <w:rPr>
          <w:rFonts w:ascii="Book Antiqua" w:eastAsia="Malgun Gothic" w:hAnsi="Book Antiqua"/>
          <w:sz w:val="24"/>
          <w:szCs w:val="24"/>
          <w:lang w:eastAsia="ko-KR"/>
        </w:rPr>
        <w:t xml:space="preserve"> surgeries</w:t>
      </w:r>
      <w:r w:rsidRPr="003C3796">
        <w:rPr>
          <w:rFonts w:ascii="Book Antiqua" w:hAnsi="Book Antiqua"/>
          <w:sz w:val="24"/>
          <w:szCs w:val="24"/>
        </w:rPr>
        <w:t xml:space="preserve"> (</w:t>
      </w:r>
      <w:r>
        <w:rPr>
          <w:rStyle w:val="Cross-reference"/>
          <w:rFonts w:ascii="Book Antiqua" w:hAnsi="Book Antiqua"/>
          <w:color w:val="auto"/>
          <w:sz w:val="24"/>
          <w:szCs w:val="24"/>
        </w:rPr>
        <w:t xml:space="preserve">Figure </w:t>
      </w:r>
      <w:r w:rsidRPr="003C3796">
        <w:rPr>
          <w:rStyle w:val="Cross-reference"/>
          <w:rFonts w:ascii="Book Antiqua" w:hAnsi="Book Antiqua"/>
          <w:color w:val="auto"/>
          <w:sz w:val="24"/>
          <w:szCs w:val="24"/>
        </w:rPr>
        <w:t>1</w:t>
      </w:r>
      <w:r w:rsidRPr="003C3796">
        <w:rPr>
          <w:rFonts w:ascii="Book Antiqua" w:hAnsi="Book Antiqua"/>
          <w:sz w:val="24"/>
          <w:szCs w:val="24"/>
        </w:rPr>
        <w:t xml:space="preserve">). </w:t>
      </w:r>
    </w:p>
    <w:p w:rsidR="00147B7B" w:rsidRPr="003C3796" w:rsidRDefault="00147B7B" w:rsidP="009350E9">
      <w:pPr>
        <w:pStyle w:val="ac"/>
        <w:spacing w:after="0" w:line="360" w:lineRule="auto"/>
        <w:ind w:firstLineChars="150" w:firstLine="360"/>
        <w:rPr>
          <w:rFonts w:ascii="Book Antiqua" w:hAnsi="Book Antiqua"/>
          <w:sz w:val="24"/>
          <w:szCs w:val="24"/>
        </w:rPr>
      </w:pPr>
      <w:r w:rsidRPr="003C3796">
        <w:rPr>
          <w:rFonts w:ascii="Book Antiqua" w:hAnsi="Book Antiqua"/>
          <w:sz w:val="24"/>
          <w:szCs w:val="24"/>
        </w:rPr>
        <w:t xml:space="preserve">To elucidate the factors influencing long-term survival after resection, 10 </w:t>
      </w:r>
      <w:proofErr w:type="spellStart"/>
      <w:r w:rsidRPr="003C3796">
        <w:rPr>
          <w:rFonts w:ascii="Book Antiqua" w:hAnsi="Book Antiqua"/>
          <w:sz w:val="24"/>
          <w:szCs w:val="24"/>
        </w:rPr>
        <w:t>clinicopathologic</w:t>
      </w:r>
      <w:proofErr w:type="spellEnd"/>
      <w:r w:rsidRPr="003C3796">
        <w:rPr>
          <w:rFonts w:ascii="Book Antiqua" w:hAnsi="Book Antiqua"/>
          <w:sz w:val="24"/>
          <w:szCs w:val="24"/>
        </w:rPr>
        <w:t xml:space="preserve"> factors for 133 patients who underwent R0, R1, and R2 resection were entered into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w:t>
      </w:r>
      <w:r w:rsidRPr="003C3796">
        <w:rPr>
          <w:rStyle w:val="Cross-reference"/>
          <w:rFonts w:ascii="Book Antiqua" w:hAnsi="Book Antiqua"/>
          <w:color w:val="auto"/>
          <w:sz w:val="24"/>
          <w:szCs w:val="24"/>
        </w:rPr>
        <w:t xml:space="preserve">Table </w:t>
      </w:r>
      <w:r>
        <w:rPr>
          <w:rStyle w:val="Cross-reference"/>
          <w:rFonts w:ascii="Book Antiqua" w:hAnsi="Book Antiqua"/>
          <w:color w:val="auto"/>
          <w:sz w:val="24"/>
          <w:szCs w:val="24"/>
          <w:lang w:eastAsia="zh-CN"/>
        </w:rPr>
        <w:t>1</w:t>
      </w:r>
      <w:r w:rsidRPr="003C3796">
        <w:rPr>
          <w:rFonts w:ascii="Book Antiqua" w:hAnsi="Book Antiqua"/>
          <w:sz w:val="24"/>
          <w:szCs w:val="24"/>
        </w:rPr>
        <w:t>). The 5-year survival rates, according to the type of resection, were 46.6% for PD and 30.0% for BDR, although the differences between the two groups did not reach statistical significance (</w:t>
      </w:r>
      <w:r w:rsidRPr="00AB631A">
        <w:rPr>
          <w:rFonts w:ascii="Book Antiqua" w:hAnsi="Book Antiqua"/>
          <w:i/>
          <w:sz w:val="24"/>
          <w:szCs w:val="24"/>
        </w:rPr>
        <w:t xml:space="preserve">P = </w:t>
      </w:r>
      <w:r w:rsidRPr="003C3796">
        <w:rPr>
          <w:rFonts w:ascii="Book Antiqua" w:hAnsi="Book Antiqua"/>
          <w:sz w:val="24"/>
          <w:szCs w:val="24"/>
        </w:rPr>
        <w:t>0.105). The 5-year survival rates according to margin status were 49.0% for R0 resections (</w:t>
      </w:r>
      <w:r w:rsidRPr="005A0922">
        <w:rPr>
          <w:rFonts w:ascii="Book Antiqua" w:hAnsi="Book Antiqua"/>
          <w:i/>
          <w:sz w:val="24"/>
          <w:szCs w:val="24"/>
        </w:rPr>
        <w:t xml:space="preserve">n = </w:t>
      </w:r>
      <w:r w:rsidRPr="003C3796">
        <w:rPr>
          <w:rFonts w:ascii="Book Antiqua" w:hAnsi="Book Antiqua"/>
          <w:sz w:val="24"/>
          <w:szCs w:val="24"/>
        </w:rPr>
        <w:t>102), 21.0% for R1 resections (</w:t>
      </w:r>
      <w:r w:rsidRPr="005A0922">
        <w:rPr>
          <w:rFonts w:ascii="Book Antiqua" w:hAnsi="Book Antiqua"/>
          <w:i/>
          <w:sz w:val="24"/>
          <w:szCs w:val="24"/>
        </w:rPr>
        <w:t xml:space="preserve">n = </w:t>
      </w:r>
      <w:r w:rsidRPr="003C3796">
        <w:rPr>
          <w:rFonts w:ascii="Book Antiqua" w:hAnsi="Book Antiqua"/>
          <w:sz w:val="24"/>
          <w:szCs w:val="24"/>
        </w:rPr>
        <w:t>24), and 0% for R2 resections (</w:t>
      </w:r>
      <w:r w:rsidRPr="005A0922">
        <w:rPr>
          <w:rFonts w:ascii="Book Antiqua" w:hAnsi="Book Antiqua"/>
          <w:i/>
          <w:sz w:val="24"/>
          <w:szCs w:val="24"/>
        </w:rPr>
        <w:t xml:space="preserve">n = </w:t>
      </w:r>
      <w:r w:rsidRPr="003C3796">
        <w:rPr>
          <w:rFonts w:ascii="Book Antiqua" w:hAnsi="Book Antiqua"/>
          <w:sz w:val="24"/>
          <w:szCs w:val="24"/>
        </w:rPr>
        <w:t>7) (</w:t>
      </w:r>
      <w:r w:rsidRPr="00AB631A">
        <w:rPr>
          <w:rFonts w:ascii="Book Antiqua" w:hAnsi="Book Antiqua"/>
          <w:i/>
          <w:sz w:val="24"/>
          <w:szCs w:val="24"/>
        </w:rPr>
        <w:t xml:space="preserve">P &lt; </w:t>
      </w:r>
      <w:r w:rsidRPr="003C3796">
        <w:rPr>
          <w:rFonts w:ascii="Book Antiqua" w:hAnsi="Book Antiqua"/>
          <w:sz w:val="24"/>
          <w:szCs w:val="24"/>
        </w:rPr>
        <w:t>0.0001) (</w:t>
      </w:r>
      <w:r>
        <w:rPr>
          <w:rStyle w:val="Cross-reference"/>
          <w:rFonts w:ascii="Book Antiqua" w:hAnsi="Book Antiqua"/>
          <w:color w:val="auto"/>
          <w:sz w:val="24"/>
          <w:szCs w:val="24"/>
        </w:rPr>
        <w:t xml:space="preserve">Figure </w:t>
      </w:r>
      <w:r w:rsidRPr="003C3796">
        <w:rPr>
          <w:rStyle w:val="Cross-reference"/>
          <w:rFonts w:ascii="Book Antiqua" w:hAnsi="Book Antiqua"/>
          <w:color w:val="auto"/>
          <w:sz w:val="24"/>
          <w:szCs w:val="24"/>
        </w:rPr>
        <w:t>2</w:t>
      </w:r>
      <w:r w:rsidRPr="003C3796">
        <w:rPr>
          <w:rFonts w:ascii="Book Antiqua" w:hAnsi="Book Antiqua"/>
          <w:sz w:val="24"/>
          <w:szCs w:val="24"/>
        </w:rPr>
        <w:t xml:space="preserve">). When an R0 resection was achieved, the 5-year survival rates after PD and BDR were similar (49.4%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46.5%, </w:t>
      </w:r>
      <w:r w:rsidRPr="00AB631A">
        <w:rPr>
          <w:rFonts w:ascii="Book Antiqua" w:hAnsi="Book Antiqua"/>
          <w:i/>
          <w:sz w:val="24"/>
          <w:szCs w:val="24"/>
        </w:rPr>
        <w:t xml:space="preserve">P = </w:t>
      </w:r>
      <w:r w:rsidRPr="003C3796">
        <w:rPr>
          <w:rFonts w:ascii="Book Antiqua" w:hAnsi="Book Antiqua"/>
          <w:sz w:val="24"/>
          <w:szCs w:val="24"/>
        </w:rPr>
        <w:t>0.762) (</w:t>
      </w:r>
      <w:r>
        <w:rPr>
          <w:rStyle w:val="Cross-reference"/>
          <w:rFonts w:ascii="Book Antiqua" w:hAnsi="Book Antiqua"/>
          <w:color w:val="auto"/>
          <w:sz w:val="24"/>
          <w:szCs w:val="24"/>
        </w:rPr>
        <w:t xml:space="preserve">Figure </w:t>
      </w:r>
      <w:r w:rsidRPr="003C3796">
        <w:rPr>
          <w:rStyle w:val="Cross-reference"/>
          <w:rFonts w:ascii="Book Antiqua" w:hAnsi="Book Antiqua"/>
          <w:color w:val="auto"/>
          <w:sz w:val="24"/>
          <w:szCs w:val="24"/>
        </w:rPr>
        <w:t>3</w:t>
      </w:r>
      <w:r w:rsidRPr="003C3796">
        <w:rPr>
          <w:rStyle w:val="Cross-reference"/>
          <w:rFonts w:ascii="Book Antiqua" w:eastAsia="Malgun Gothic" w:hAnsi="Book Antiqua"/>
          <w:color w:val="auto"/>
          <w:sz w:val="24"/>
          <w:szCs w:val="24"/>
          <w:lang w:eastAsia="ko-KR"/>
        </w:rPr>
        <w:t>A</w:t>
      </w:r>
      <w:r w:rsidRPr="003C3796">
        <w:rPr>
          <w:rFonts w:ascii="Book Antiqua" w:hAnsi="Book Antiqua"/>
          <w:sz w:val="24"/>
          <w:szCs w:val="24"/>
        </w:rPr>
        <w:t>).</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According to the 7th edition of the AJCC T-staging system, the 5-year survival rates of Tis</w:t>
      </w:r>
      <w:r w:rsidRPr="003C3796">
        <w:rPr>
          <w:rFonts w:ascii="Book Antiqua" w:eastAsia="Arial Unicode MS" w:hAnsi="Book Antiqua"/>
          <w:sz w:val="24"/>
          <w:szCs w:val="24"/>
        </w:rPr>
        <w:t>/</w:t>
      </w:r>
      <w:r w:rsidRPr="003C3796">
        <w:rPr>
          <w:rFonts w:ascii="Book Antiqua" w:hAnsi="Book Antiqua"/>
          <w:sz w:val="24"/>
          <w:szCs w:val="24"/>
        </w:rPr>
        <w:t>T1, T2, and T3 were 52.3%, 56.8%, and 34.1%, respectively (</w:t>
      </w:r>
      <w:r w:rsidRPr="00AB631A">
        <w:rPr>
          <w:rFonts w:ascii="Book Antiqua" w:hAnsi="Book Antiqua"/>
          <w:i/>
          <w:sz w:val="24"/>
          <w:szCs w:val="24"/>
        </w:rPr>
        <w:t xml:space="preserve">P = </w:t>
      </w:r>
      <w:r w:rsidRPr="003C3796">
        <w:rPr>
          <w:rFonts w:ascii="Book Antiqua" w:hAnsi="Book Antiqua"/>
          <w:sz w:val="24"/>
          <w:szCs w:val="24"/>
        </w:rPr>
        <w:t xml:space="preserve">0.144).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The 5-year survival rate of patients without lymph node metastasis was higher than that of patients with lymph node metastasis (51.3%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17.0%, </w:t>
      </w:r>
      <w:r w:rsidRPr="00AB631A">
        <w:rPr>
          <w:rFonts w:ascii="Book Antiqua" w:hAnsi="Book Antiqua"/>
          <w:i/>
          <w:sz w:val="24"/>
          <w:szCs w:val="24"/>
        </w:rPr>
        <w:t xml:space="preserve">P = </w:t>
      </w:r>
      <w:r w:rsidRPr="003C3796">
        <w:rPr>
          <w:rFonts w:ascii="Book Antiqua" w:hAnsi="Book Antiqua"/>
          <w:sz w:val="24"/>
          <w:szCs w:val="24"/>
        </w:rPr>
        <w:t xml:space="preserve">0.033).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The five-year survival rates of </w:t>
      </w:r>
      <w:r w:rsidRPr="003C3796">
        <w:rPr>
          <w:rFonts w:ascii="Book Antiqua" w:eastAsia="Malgun Gothic" w:hAnsi="Book Antiqua"/>
          <w:sz w:val="24"/>
          <w:szCs w:val="24"/>
          <w:lang w:eastAsia="ko-KR"/>
        </w:rPr>
        <w:t xml:space="preserve">the </w:t>
      </w:r>
      <w:r w:rsidRPr="003C3796">
        <w:rPr>
          <w:rFonts w:ascii="Book Antiqua" w:hAnsi="Book Antiqua"/>
          <w:sz w:val="24"/>
          <w:szCs w:val="24"/>
        </w:rPr>
        <w:t xml:space="preserve">patients at TNM stage 0 </w:t>
      </w:r>
      <w:r w:rsidRPr="003C3796">
        <w:rPr>
          <w:rFonts w:ascii="Book Antiqua" w:eastAsia="Malgun Gothic" w:hAnsi="Book Antiqua"/>
          <w:sz w:val="24"/>
          <w:szCs w:val="24"/>
          <w:lang w:eastAsia="ko-KR"/>
        </w:rPr>
        <w:t>and</w:t>
      </w:r>
      <w:r w:rsidRPr="003C3796">
        <w:rPr>
          <w:rFonts w:ascii="Book Antiqua" w:hAnsi="Book Antiqua"/>
          <w:sz w:val="24"/>
          <w:szCs w:val="24"/>
        </w:rPr>
        <w:t xml:space="preserve"> 1 were higher than those of patients with TNM stage 2 </w:t>
      </w:r>
      <w:r w:rsidRPr="003C3796">
        <w:rPr>
          <w:rFonts w:ascii="Book Antiqua" w:eastAsia="Malgun Gothic" w:hAnsi="Book Antiqua"/>
          <w:sz w:val="24"/>
          <w:szCs w:val="24"/>
          <w:lang w:eastAsia="ko-KR"/>
        </w:rPr>
        <w:t>and</w:t>
      </w:r>
      <w:r w:rsidRPr="003C3796">
        <w:rPr>
          <w:rFonts w:ascii="Book Antiqua" w:hAnsi="Book Antiqua"/>
          <w:sz w:val="24"/>
          <w:szCs w:val="24"/>
        </w:rPr>
        <w:t xml:space="preserve"> 4 </w:t>
      </w:r>
      <w:r w:rsidRPr="003C3796">
        <w:rPr>
          <w:rFonts w:ascii="Book Antiqua" w:eastAsia="Malgun Gothic" w:hAnsi="Book Antiqua"/>
          <w:sz w:val="24"/>
          <w:szCs w:val="24"/>
          <w:lang w:eastAsia="ko-KR"/>
        </w:rPr>
        <w:t xml:space="preserve">respectively </w:t>
      </w:r>
      <w:r w:rsidRPr="003C3796">
        <w:rPr>
          <w:rFonts w:ascii="Book Antiqua" w:hAnsi="Book Antiqua"/>
          <w:sz w:val="24"/>
          <w:szCs w:val="24"/>
        </w:rPr>
        <w:t>(64.5%</w:t>
      </w:r>
      <w:r w:rsidRPr="003C3796">
        <w:rPr>
          <w:rFonts w:ascii="Book Antiqua" w:eastAsia="Malgun Gothic" w:hAnsi="Book Antiqua"/>
          <w:sz w:val="24"/>
          <w:szCs w:val="24"/>
          <w:lang w:eastAsia="ko-KR"/>
        </w:rPr>
        <w:t xml:space="preserve"> </w:t>
      </w:r>
      <w:r w:rsidRPr="009030B3">
        <w:rPr>
          <w:rFonts w:ascii="Book Antiqua" w:eastAsia="Malgun Gothic" w:hAnsi="Book Antiqua"/>
          <w:i/>
          <w:sz w:val="24"/>
          <w:szCs w:val="24"/>
          <w:lang w:eastAsia="ko-KR"/>
        </w:rPr>
        <w:t>vs</w:t>
      </w:r>
      <w:r>
        <w:rPr>
          <w:rFonts w:ascii="Book Antiqua" w:eastAsia="Malgun Gothic" w:hAnsi="Book Antiqua"/>
          <w:i/>
          <w:sz w:val="24"/>
          <w:szCs w:val="24"/>
          <w:lang w:eastAsia="ko-KR"/>
        </w:rPr>
        <w:t xml:space="preserve"> </w:t>
      </w:r>
      <w:r w:rsidRPr="003C3796">
        <w:rPr>
          <w:rFonts w:ascii="Book Antiqua" w:hAnsi="Book Antiqua"/>
          <w:sz w:val="24"/>
          <w:szCs w:val="24"/>
        </w:rPr>
        <w:t xml:space="preserve">30.1%, and 0%; </w:t>
      </w:r>
      <w:r w:rsidRPr="00AB631A">
        <w:rPr>
          <w:rFonts w:ascii="Book Antiqua" w:hAnsi="Book Antiqua"/>
          <w:i/>
          <w:sz w:val="24"/>
          <w:szCs w:val="24"/>
        </w:rPr>
        <w:t xml:space="preserve">P = </w:t>
      </w:r>
      <w:r w:rsidRPr="003C3796">
        <w:rPr>
          <w:rFonts w:ascii="Book Antiqua" w:hAnsi="Book Antiqua"/>
          <w:sz w:val="24"/>
          <w:szCs w:val="24"/>
        </w:rPr>
        <w:t xml:space="preserve">0.006).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 xml:space="preserve">The 5-year survival rate for patients with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invasions was worse than that for patients without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in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(17.5%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55.8%; </w:t>
      </w:r>
      <w:r w:rsidRPr="00AB631A">
        <w:rPr>
          <w:rFonts w:ascii="Book Antiqua" w:hAnsi="Book Antiqua"/>
          <w:i/>
          <w:sz w:val="24"/>
          <w:szCs w:val="24"/>
        </w:rPr>
        <w:t xml:space="preserve">P = </w:t>
      </w:r>
      <w:r w:rsidRPr="003C3796">
        <w:rPr>
          <w:rFonts w:ascii="Book Antiqua" w:hAnsi="Book Antiqua"/>
          <w:sz w:val="24"/>
          <w:szCs w:val="24"/>
        </w:rPr>
        <w:t>0.022).</w:t>
      </w:r>
    </w:p>
    <w:p w:rsidR="00147B7B" w:rsidRPr="003C3796" w:rsidRDefault="00147B7B" w:rsidP="009350E9">
      <w:pPr>
        <w:pStyle w:val="ac"/>
        <w:spacing w:after="0" w:line="360" w:lineRule="auto"/>
        <w:rPr>
          <w:rFonts w:ascii="Book Antiqua" w:hAnsi="Book Antiqua"/>
          <w:sz w:val="24"/>
          <w:szCs w:val="24"/>
        </w:rPr>
      </w:pP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present in 25 patients (19.5%).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t>
      </w:r>
      <w:proofErr w:type="spellStart"/>
      <w:r w:rsidRPr="003C3796">
        <w:rPr>
          <w:rFonts w:ascii="Book Antiqua" w:hAnsi="Book Antiqua"/>
          <w:sz w:val="24"/>
          <w:szCs w:val="24"/>
        </w:rPr>
        <w:t>unfavorably</w:t>
      </w:r>
      <w:proofErr w:type="spellEnd"/>
      <w:r w:rsidRPr="003C3796">
        <w:rPr>
          <w:rFonts w:ascii="Book Antiqua" w:hAnsi="Book Antiqua"/>
          <w:sz w:val="24"/>
          <w:szCs w:val="24"/>
        </w:rPr>
        <w:t xml:space="preserve"> affected long-term survival. The 5-year survival rate of the 103 patients without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52.3%, compared to 6.7% for the 25 patients with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t>
      </w:r>
    </w:p>
    <w:p w:rsidR="00147B7B" w:rsidRPr="003C3796" w:rsidRDefault="00147B7B" w:rsidP="009350E9">
      <w:pPr>
        <w:pStyle w:val="ac"/>
        <w:spacing w:after="0" w:line="360" w:lineRule="auto"/>
        <w:rPr>
          <w:rFonts w:ascii="Book Antiqua" w:hAnsi="Book Antiqua"/>
          <w:sz w:val="24"/>
          <w:szCs w:val="24"/>
        </w:rPr>
      </w:pPr>
      <w:r w:rsidRPr="003C3796">
        <w:rPr>
          <w:rFonts w:ascii="Book Antiqua" w:hAnsi="Book Antiqua"/>
          <w:sz w:val="24"/>
          <w:szCs w:val="24"/>
        </w:rPr>
        <w:t>The pathological grading of differentiation was not associated with prognosis in this study (</w:t>
      </w:r>
      <w:r w:rsidRPr="00AB631A">
        <w:rPr>
          <w:rFonts w:ascii="Book Antiqua" w:hAnsi="Book Antiqua"/>
          <w:i/>
          <w:sz w:val="24"/>
          <w:szCs w:val="24"/>
        </w:rPr>
        <w:t xml:space="preserve">P = </w:t>
      </w:r>
      <w:r w:rsidRPr="003C3796">
        <w:rPr>
          <w:rFonts w:ascii="Book Antiqua" w:hAnsi="Book Antiqua"/>
          <w:sz w:val="24"/>
          <w:szCs w:val="24"/>
        </w:rPr>
        <w:t xml:space="preserve">0.409). </w:t>
      </w:r>
    </w:p>
    <w:p w:rsidR="00147B7B" w:rsidRPr="003C3796" w:rsidRDefault="00147B7B" w:rsidP="009350E9">
      <w:pPr>
        <w:pStyle w:val="ac"/>
        <w:spacing w:after="0" w:line="360" w:lineRule="auto"/>
        <w:ind w:firstLine="871"/>
        <w:rPr>
          <w:rFonts w:ascii="Book Antiqua" w:eastAsia="Malgun Gothic" w:hAnsi="Book Antiqua"/>
          <w:sz w:val="24"/>
          <w:szCs w:val="24"/>
          <w:lang w:eastAsia="ko-KR"/>
        </w:rPr>
      </w:pPr>
      <w:r w:rsidRPr="003C3796">
        <w:rPr>
          <w:rFonts w:ascii="Book Antiqua" w:eastAsia="Malgun Gothic" w:hAnsi="Book Antiqua"/>
          <w:sz w:val="24"/>
          <w:szCs w:val="24"/>
          <w:lang w:eastAsia="ko-KR"/>
        </w:rPr>
        <w:lastRenderedPageBreak/>
        <w:t xml:space="preserve">Recurrence after surgery occurred in 58.8% (60/102) of the patients with R0 resection during the period of follow up. The most common site of first recurrence was abdominal lymph nodes only (38.3%, </w:t>
      </w:r>
      <w:proofErr w:type="spellStart"/>
      <w:r w:rsidRPr="003C3796">
        <w:rPr>
          <w:rFonts w:ascii="Book Antiqua" w:eastAsia="Malgun Gothic" w:hAnsi="Book Antiqua"/>
          <w:sz w:val="24"/>
          <w:szCs w:val="24"/>
          <w:lang w:eastAsia="ko-KR"/>
        </w:rPr>
        <w:t>periportal</w:t>
      </w:r>
      <w:proofErr w:type="spellEnd"/>
      <w:r w:rsidRPr="003C3796">
        <w:rPr>
          <w:rFonts w:ascii="Book Antiqua" w:eastAsia="Malgun Gothic" w:hAnsi="Book Antiqua"/>
          <w:sz w:val="24"/>
          <w:szCs w:val="24"/>
          <w:lang w:eastAsia="ko-KR"/>
        </w:rPr>
        <w:t xml:space="preserve">, around Superior mesenteric artery, </w:t>
      </w:r>
      <w:proofErr w:type="spellStart"/>
      <w:r w:rsidRPr="003C3796">
        <w:rPr>
          <w:rFonts w:ascii="Book Antiqua" w:eastAsia="Malgun Gothic" w:hAnsi="Book Antiqua"/>
          <w:sz w:val="24"/>
          <w:szCs w:val="24"/>
          <w:lang w:eastAsia="ko-KR"/>
        </w:rPr>
        <w:t>paraaortic</w:t>
      </w:r>
      <w:proofErr w:type="spellEnd"/>
      <w:r w:rsidRPr="003C3796">
        <w:rPr>
          <w:rFonts w:ascii="Book Antiqua" w:eastAsia="Malgun Gothic" w:hAnsi="Book Antiqua"/>
          <w:sz w:val="24"/>
          <w:szCs w:val="24"/>
          <w:lang w:eastAsia="ko-KR"/>
        </w:rPr>
        <w:t>) followed by liver only (35%), anastomosis site (8.3%), and lung (1.7%). The abdominal lymph node metastasis was present in combination with local recurrence and liver metastasis at the time of first recurrence in 5% and 1.7% respectively. Lymph node metastases were found in 55.0% of the patients with first recurrence in the pattern of lymph node metastasis only (38.3%) or combination with other organ metastases (16.7%). The long term disease free survival of R0 PD was similar to R0 BDR (</w:t>
      </w:r>
      <w:r>
        <w:rPr>
          <w:rFonts w:ascii="Book Antiqua" w:eastAsia="Malgun Gothic" w:hAnsi="Book Antiqua"/>
          <w:sz w:val="24"/>
          <w:szCs w:val="24"/>
          <w:lang w:eastAsia="ko-KR"/>
        </w:rPr>
        <w:t xml:space="preserve">Figure </w:t>
      </w:r>
      <w:r w:rsidRPr="003C3796">
        <w:rPr>
          <w:rFonts w:ascii="Book Antiqua" w:eastAsia="Malgun Gothic" w:hAnsi="Book Antiqua"/>
          <w:sz w:val="24"/>
          <w:szCs w:val="24"/>
          <w:lang w:eastAsia="ko-KR"/>
        </w:rPr>
        <w:t>3 b).</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In summary,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revealed that lymph node metastasis (</w:t>
      </w:r>
      <w:r w:rsidRPr="00AB631A">
        <w:rPr>
          <w:rFonts w:ascii="Book Antiqua" w:hAnsi="Book Antiqua"/>
          <w:i/>
          <w:sz w:val="24"/>
          <w:szCs w:val="24"/>
        </w:rPr>
        <w:t xml:space="preserve">P = </w:t>
      </w:r>
      <w:r w:rsidRPr="003C3796">
        <w:rPr>
          <w:rFonts w:ascii="Book Antiqua" w:hAnsi="Book Antiqua"/>
          <w:sz w:val="24"/>
          <w:szCs w:val="24"/>
        </w:rPr>
        <w:t>0.033), TNM stage (</w:t>
      </w:r>
      <w:r w:rsidRPr="00AB631A">
        <w:rPr>
          <w:rFonts w:ascii="Book Antiqua" w:hAnsi="Book Antiqua"/>
          <w:i/>
          <w:sz w:val="24"/>
          <w:szCs w:val="24"/>
        </w:rPr>
        <w:t xml:space="preserve">P = </w:t>
      </w:r>
      <w:r w:rsidRPr="003C3796">
        <w:rPr>
          <w:rFonts w:ascii="Book Antiqua" w:hAnsi="Book Antiqua"/>
          <w:sz w:val="24"/>
          <w:szCs w:val="24"/>
        </w:rPr>
        <w:t xml:space="preserve">0.006),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w:t>
      </w:r>
      <w:r w:rsidRPr="00AB631A">
        <w:rPr>
          <w:rFonts w:ascii="Book Antiqua" w:hAnsi="Book Antiqua"/>
          <w:i/>
          <w:sz w:val="24"/>
          <w:szCs w:val="24"/>
        </w:rPr>
        <w:t xml:space="preserve">P = </w:t>
      </w:r>
      <w:r w:rsidRPr="003C3796">
        <w:rPr>
          <w:rFonts w:ascii="Book Antiqua" w:hAnsi="Book Antiqua"/>
          <w:sz w:val="24"/>
          <w:szCs w:val="24"/>
        </w:rPr>
        <w:t xml:space="preserve">0.022),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t>
      </w:r>
      <w:r w:rsidRPr="00AB631A">
        <w:rPr>
          <w:rFonts w:ascii="Book Antiqua" w:hAnsi="Book Antiqua"/>
          <w:i/>
          <w:sz w:val="24"/>
          <w:szCs w:val="24"/>
        </w:rPr>
        <w:t xml:space="preserve">P &lt; </w:t>
      </w:r>
      <w:r w:rsidRPr="003C3796">
        <w:rPr>
          <w:rFonts w:ascii="Book Antiqua" w:hAnsi="Book Antiqua"/>
          <w:sz w:val="24"/>
          <w:szCs w:val="24"/>
        </w:rPr>
        <w:t>0.0001), and resection margins (</w:t>
      </w:r>
      <w:r w:rsidRPr="00AB631A">
        <w:rPr>
          <w:rFonts w:ascii="Book Antiqua" w:hAnsi="Book Antiqua"/>
          <w:i/>
          <w:sz w:val="24"/>
          <w:szCs w:val="24"/>
        </w:rPr>
        <w:t xml:space="preserve">P &lt; </w:t>
      </w:r>
      <w:r w:rsidRPr="003C3796">
        <w:rPr>
          <w:rFonts w:ascii="Book Antiqua" w:hAnsi="Book Antiqua"/>
          <w:sz w:val="24"/>
          <w:szCs w:val="24"/>
        </w:rPr>
        <w:t xml:space="preserve">0.0001) were significant factors for long-term survival. </w:t>
      </w:r>
    </w:p>
    <w:p w:rsidR="00147B7B" w:rsidRPr="003C3796" w:rsidRDefault="00147B7B" w:rsidP="009350E9">
      <w:pPr>
        <w:pStyle w:val="ac"/>
        <w:spacing w:after="0" w:line="360" w:lineRule="auto"/>
        <w:rPr>
          <w:rFonts w:ascii="Book Antiqua" w:eastAsia="Malgun Gothic" w:hAnsi="Book Antiqua"/>
          <w:i/>
          <w:sz w:val="24"/>
          <w:szCs w:val="24"/>
          <w:lang w:eastAsia="ko-KR"/>
        </w:rPr>
      </w:pPr>
    </w:p>
    <w:p w:rsidR="00147B7B" w:rsidRPr="003C3796" w:rsidRDefault="00147B7B" w:rsidP="009350E9">
      <w:pPr>
        <w:pStyle w:val="ac"/>
        <w:spacing w:after="0" w:line="360" w:lineRule="auto"/>
        <w:ind w:firstLine="0"/>
        <w:rPr>
          <w:rFonts w:ascii="Book Antiqua" w:hAnsi="Book Antiqua"/>
          <w:b/>
          <w:i/>
          <w:sz w:val="24"/>
          <w:szCs w:val="24"/>
        </w:rPr>
      </w:pPr>
      <w:r w:rsidRPr="003C3796">
        <w:rPr>
          <w:rFonts w:ascii="Book Antiqua" w:hAnsi="Book Antiqua"/>
          <w:b/>
          <w:i/>
          <w:sz w:val="24"/>
          <w:szCs w:val="24"/>
        </w:rPr>
        <w:t xml:space="preserve">Multivariate analysis of </w:t>
      </w:r>
      <w:proofErr w:type="spellStart"/>
      <w:r w:rsidRPr="003C3796">
        <w:rPr>
          <w:rFonts w:ascii="Book Antiqua" w:hAnsi="Book Antiqua"/>
          <w:b/>
          <w:i/>
          <w:sz w:val="24"/>
          <w:szCs w:val="24"/>
        </w:rPr>
        <w:t>clinicopathologic</w:t>
      </w:r>
      <w:proofErr w:type="spellEnd"/>
      <w:r w:rsidRPr="003C3796">
        <w:rPr>
          <w:rFonts w:ascii="Book Antiqua" w:hAnsi="Book Antiqua"/>
          <w:b/>
          <w:i/>
          <w:sz w:val="24"/>
          <w:szCs w:val="24"/>
        </w:rPr>
        <w:t xml:space="preserve"> factors</w:t>
      </w:r>
    </w:p>
    <w:p w:rsidR="00147B7B" w:rsidRPr="003C3796" w:rsidRDefault="00147B7B" w:rsidP="009350E9">
      <w:pPr>
        <w:pStyle w:val="ac"/>
        <w:spacing w:after="0" w:line="360" w:lineRule="auto"/>
        <w:ind w:firstLine="0"/>
        <w:rPr>
          <w:rFonts w:ascii="Book Antiqua" w:hAnsi="Book Antiqua"/>
          <w:sz w:val="24"/>
          <w:szCs w:val="24"/>
        </w:rPr>
      </w:pPr>
      <w:r w:rsidRPr="003C3796">
        <w:rPr>
          <w:rFonts w:ascii="Book Antiqua" w:hAnsi="Book Antiqua"/>
          <w:sz w:val="24"/>
          <w:szCs w:val="24"/>
        </w:rPr>
        <w:t xml:space="preserve">A multivariate analysis was performed using the seven </w:t>
      </w:r>
      <w:proofErr w:type="spellStart"/>
      <w:r w:rsidRPr="003C3796">
        <w:rPr>
          <w:rFonts w:ascii="Book Antiqua" w:hAnsi="Book Antiqua"/>
          <w:sz w:val="24"/>
          <w:szCs w:val="24"/>
        </w:rPr>
        <w:t>clinicopathologic</w:t>
      </w:r>
      <w:proofErr w:type="spellEnd"/>
      <w:r w:rsidRPr="003C3796">
        <w:rPr>
          <w:rFonts w:ascii="Book Antiqua" w:hAnsi="Book Antiqua"/>
          <w:sz w:val="24"/>
          <w:szCs w:val="24"/>
        </w:rPr>
        <w:t xml:space="preserve"> factors that had been proved to be significant, or at least marginally predictive, in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type of resection; T classification; N classification; TNM stage;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and resection margin. In multivariate analysis, the TNM stage and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were identified as independent prognostic factors associated with poor survival (</w:t>
      </w:r>
      <w:r w:rsidRPr="003C3796">
        <w:rPr>
          <w:rStyle w:val="Cross-reference"/>
          <w:rFonts w:ascii="Book Antiqua" w:hAnsi="Book Antiqua"/>
          <w:color w:val="auto"/>
          <w:sz w:val="24"/>
          <w:szCs w:val="24"/>
        </w:rPr>
        <w:t>Table</w:t>
      </w:r>
      <w:r>
        <w:rPr>
          <w:rStyle w:val="Cross-reference"/>
          <w:rFonts w:ascii="Book Antiqua" w:hAnsi="Book Antiqua"/>
          <w:color w:val="auto"/>
          <w:sz w:val="24"/>
          <w:szCs w:val="24"/>
          <w:lang w:eastAsia="zh-CN"/>
        </w:rPr>
        <w:t xml:space="preserve"> 2</w:t>
      </w:r>
      <w:r w:rsidRPr="003C3796">
        <w:rPr>
          <w:rFonts w:ascii="Book Antiqua" w:hAnsi="Book Antiqua"/>
          <w:sz w:val="24"/>
          <w:szCs w:val="24"/>
        </w:rPr>
        <w:t xml:space="preserve">). </w:t>
      </w:r>
    </w:p>
    <w:p w:rsidR="00147B7B" w:rsidRDefault="00147B7B" w:rsidP="009350E9">
      <w:pPr>
        <w:pStyle w:val="ac"/>
        <w:spacing w:after="0" w:line="360" w:lineRule="auto"/>
        <w:ind w:firstLine="0"/>
        <w:rPr>
          <w:rFonts w:ascii="Book Antiqua" w:hAnsi="Book Antiqua"/>
          <w:b/>
          <w:i/>
          <w:sz w:val="24"/>
          <w:szCs w:val="24"/>
          <w:lang w:eastAsia="zh-CN"/>
        </w:rPr>
      </w:pPr>
    </w:p>
    <w:p w:rsidR="00147B7B" w:rsidRPr="003C3796" w:rsidRDefault="00147B7B" w:rsidP="009350E9">
      <w:pPr>
        <w:pStyle w:val="ac"/>
        <w:spacing w:after="0" w:line="360" w:lineRule="auto"/>
        <w:ind w:firstLine="0"/>
        <w:rPr>
          <w:rFonts w:ascii="Book Antiqua" w:hAnsi="Book Antiqua"/>
          <w:b/>
          <w:i/>
          <w:sz w:val="24"/>
          <w:szCs w:val="24"/>
        </w:rPr>
      </w:pPr>
      <w:r w:rsidRPr="003C3796">
        <w:rPr>
          <w:rFonts w:ascii="Book Antiqua" w:hAnsi="Book Antiqua"/>
          <w:b/>
          <w:i/>
          <w:sz w:val="24"/>
          <w:szCs w:val="24"/>
        </w:rPr>
        <w:t xml:space="preserve">Influence of </w:t>
      </w:r>
      <w:proofErr w:type="spellStart"/>
      <w:r w:rsidRPr="003C3796">
        <w:rPr>
          <w:rFonts w:ascii="Book Antiqua" w:hAnsi="Book Antiqua"/>
          <w:b/>
          <w:i/>
          <w:sz w:val="24"/>
          <w:szCs w:val="24"/>
        </w:rPr>
        <w:t>lymphovascular</w:t>
      </w:r>
      <w:proofErr w:type="spellEnd"/>
      <w:r w:rsidRPr="003C3796">
        <w:rPr>
          <w:rFonts w:ascii="Book Antiqua" w:hAnsi="Book Antiqua"/>
          <w:b/>
          <w:i/>
          <w:sz w:val="24"/>
          <w:szCs w:val="24"/>
        </w:rPr>
        <w:t xml:space="preserve"> invasion on survival, according to T and N stage </w:t>
      </w:r>
    </w:p>
    <w:p w:rsidR="00147B7B" w:rsidRPr="003C3796" w:rsidRDefault="00147B7B" w:rsidP="009350E9">
      <w:pPr>
        <w:pStyle w:val="ac"/>
        <w:spacing w:after="0" w:line="360" w:lineRule="auto"/>
        <w:ind w:firstLine="0"/>
        <w:rPr>
          <w:rFonts w:ascii="Book Antiqua" w:hAnsi="Book Antiqua"/>
          <w:sz w:val="24"/>
          <w:szCs w:val="24"/>
        </w:rPr>
      </w:pP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present in 25 of 128 cases (19.5%), </w:t>
      </w:r>
      <w:proofErr w:type="spellStart"/>
      <w:r w:rsidRPr="003C3796">
        <w:rPr>
          <w:rFonts w:ascii="Book Antiqua" w:hAnsi="Book Antiqua"/>
          <w:sz w:val="24"/>
          <w:szCs w:val="24"/>
        </w:rPr>
        <w:t>unfavorably</w:t>
      </w:r>
      <w:proofErr w:type="spellEnd"/>
      <w:r w:rsidRPr="003C3796">
        <w:rPr>
          <w:rFonts w:ascii="Book Antiqua" w:hAnsi="Book Antiqua"/>
          <w:sz w:val="24"/>
          <w:szCs w:val="24"/>
        </w:rPr>
        <w:t xml:space="preserve"> affecting the 5-year survival rate (52.3%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6.7%, </w:t>
      </w:r>
      <w:r w:rsidRPr="00AB631A">
        <w:rPr>
          <w:rFonts w:ascii="Book Antiqua" w:hAnsi="Book Antiqua"/>
          <w:i/>
          <w:sz w:val="24"/>
          <w:szCs w:val="24"/>
        </w:rPr>
        <w:t xml:space="preserve">P &lt; </w:t>
      </w:r>
      <w:r w:rsidRPr="003C3796">
        <w:rPr>
          <w:rFonts w:ascii="Book Antiqua" w:hAnsi="Book Antiqua"/>
          <w:sz w:val="24"/>
          <w:szCs w:val="24"/>
        </w:rPr>
        <w:t xml:space="preserve">0.0001). pT1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without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showed significantly better survival, compared to pT1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with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(5-year survival rate, 57.40%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0%; </w:t>
      </w:r>
      <w:r w:rsidRPr="00AB631A">
        <w:rPr>
          <w:rFonts w:ascii="Book Antiqua" w:hAnsi="Book Antiqua"/>
          <w:i/>
          <w:sz w:val="24"/>
          <w:szCs w:val="24"/>
        </w:rPr>
        <w:t xml:space="preserve">P &lt; </w:t>
      </w:r>
      <w:r w:rsidRPr="003C3796">
        <w:rPr>
          <w:rFonts w:ascii="Book Antiqua" w:hAnsi="Book Antiqua"/>
          <w:sz w:val="24"/>
          <w:szCs w:val="24"/>
        </w:rPr>
        <w:t>0.0001).</w:t>
      </w:r>
    </w:p>
    <w:p w:rsidR="00147B7B" w:rsidRDefault="00147B7B" w:rsidP="009350E9">
      <w:pPr>
        <w:pStyle w:val="ac"/>
        <w:spacing w:after="0" w:line="360" w:lineRule="auto"/>
        <w:ind w:firstLine="871"/>
        <w:rPr>
          <w:rFonts w:ascii="Book Antiqua" w:hAnsi="Book Antiqua"/>
          <w:sz w:val="24"/>
          <w:szCs w:val="24"/>
          <w:lang w:eastAsia="zh-CN"/>
        </w:rPr>
      </w:pPr>
      <w:r w:rsidRPr="003C3796">
        <w:rPr>
          <w:rFonts w:ascii="Book Antiqua" w:hAnsi="Book Antiqua"/>
          <w:sz w:val="24"/>
          <w:szCs w:val="24"/>
        </w:rPr>
        <w:lastRenderedPageBreak/>
        <w:t xml:space="preserve">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in patients with nodal metastasis did not affect survival, whereas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in patients without nodal metastasis strongly affected the 5-year survival rate (0%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60.4%; </w:t>
      </w:r>
      <w:r w:rsidRPr="00AB631A">
        <w:rPr>
          <w:rFonts w:ascii="Book Antiqua" w:hAnsi="Book Antiqua"/>
          <w:i/>
          <w:sz w:val="24"/>
          <w:szCs w:val="24"/>
        </w:rPr>
        <w:t xml:space="preserve">P &lt; </w:t>
      </w:r>
      <w:r w:rsidRPr="003C3796">
        <w:rPr>
          <w:rFonts w:ascii="Book Antiqua" w:hAnsi="Book Antiqua"/>
          <w:sz w:val="24"/>
          <w:szCs w:val="24"/>
        </w:rPr>
        <w:t>0.0001)</w:t>
      </w:r>
      <w:r>
        <w:rPr>
          <w:rFonts w:ascii="Book Antiqua" w:hAnsi="Book Antiqua"/>
          <w:sz w:val="24"/>
          <w:szCs w:val="24"/>
          <w:lang w:eastAsia="zh-CN"/>
        </w:rPr>
        <w:t>.</w:t>
      </w:r>
    </w:p>
    <w:p w:rsidR="00147B7B" w:rsidRPr="00FF2C0A" w:rsidRDefault="00147B7B" w:rsidP="009350E9">
      <w:pPr>
        <w:pStyle w:val="ac"/>
        <w:spacing w:after="0" w:line="360" w:lineRule="auto"/>
        <w:ind w:firstLine="871"/>
        <w:rPr>
          <w:rFonts w:ascii="Book Antiqua" w:hAnsi="Book Antiqua"/>
          <w:sz w:val="24"/>
          <w:szCs w:val="24"/>
          <w:lang w:eastAsia="zh-CN"/>
        </w:rPr>
      </w:pPr>
    </w:p>
    <w:p w:rsidR="00147B7B" w:rsidRPr="003C3796" w:rsidRDefault="00147B7B" w:rsidP="009350E9">
      <w:pPr>
        <w:pStyle w:val="ac"/>
        <w:spacing w:after="0" w:line="360" w:lineRule="auto"/>
        <w:ind w:firstLine="0"/>
        <w:rPr>
          <w:rFonts w:ascii="Book Antiqua" w:hAnsi="Book Antiqua"/>
          <w:b/>
          <w:sz w:val="24"/>
          <w:szCs w:val="24"/>
        </w:rPr>
      </w:pPr>
      <w:r w:rsidRPr="003C3796">
        <w:rPr>
          <w:rFonts w:ascii="Book Antiqua" w:hAnsi="Book Antiqua"/>
          <w:b/>
          <w:sz w:val="24"/>
          <w:szCs w:val="24"/>
        </w:rPr>
        <w:t>DISCUSSION</w:t>
      </w:r>
    </w:p>
    <w:p w:rsidR="00147B7B" w:rsidRPr="003C3796" w:rsidRDefault="00147B7B" w:rsidP="009350E9">
      <w:pPr>
        <w:spacing w:after="0"/>
        <w:jc w:val="both"/>
        <w:rPr>
          <w:szCs w:val="24"/>
        </w:rPr>
      </w:pPr>
      <w:r w:rsidRPr="003C3796">
        <w:rPr>
          <w:szCs w:val="24"/>
        </w:rPr>
        <w:t xml:space="preserve">Middle and distal bile duct cancers are rare malignancies with poor prognoses, and only complete surgical resection of bile duct cancer offers a chance for long-term survival. The prognosis of middle and distal bile duct cancers remains poor, even with radical resection, due to the high incidence of recurrence. Furthermore, it is difficult to determine the optimal extent of resection and to identify the prognostic factors. Although several prognostic factors, such as surgical </w:t>
      </w:r>
      <w:proofErr w:type="spellStart"/>
      <w:r w:rsidRPr="003C3796">
        <w:rPr>
          <w:szCs w:val="24"/>
        </w:rPr>
        <w:t>radicality</w:t>
      </w:r>
      <w:proofErr w:type="spellEnd"/>
      <w:r w:rsidRPr="003C3796">
        <w:rPr>
          <w:szCs w:val="24"/>
        </w:rPr>
        <w:t xml:space="preserve">, nodal status, depth of invasion, differentiation, </w:t>
      </w:r>
      <w:proofErr w:type="spellStart"/>
      <w:r w:rsidRPr="003C3796">
        <w:rPr>
          <w:szCs w:val="24"/>
        </w:rPr>
        <w:t>perineural</w:t>
      </w:r>
      <w:proofErr w:type="spellEnd"/>
      <w:r w:rsidRPr="003C3796">
        <w:rPr>
          <w:szCs w:val="24"/>
        </w:rPr>
        <w:t xml:space="preserve"> invasion, and </w:t>
      </w:r>
      <w:proofErr w:type="spellStart"/>
      <w:r w:rsidRPr="003C3796">
        <w:rPr>
          <w:szCs w:val="24"/>
        </w:rPr>
        <w:t>lymphovascular</w:t>
      </w:r>
      <w:proofErr w:type="spellEnd"/>
      <w:r w:rsidRPr="003C3796">
        <w:rPr>
          <w:szCs w:val="24"/>
        </w:rPr>
        <w:t xml:space="preserve"> invasion, have been reported for middle and distal </w:t>
      </w:r>
      <w:proofErr w:type="spellStart"/>
      <w:r w:rsidRPr="003C3796">
        <w:rPr>
          <w:szCs w:val="24"/>
        </w:rPr>
        <w:t>extrahepatic</w:t>
      </w:r>
      <w:proofErr w:type="spellEnd"/>
      <w:r w:rsidRPr="003C3796">
        <w:rPr>
          <w:szCs w:val="24"/>
        </w:rPr>
        <w:t xml:space="preserve"> bile duct </w:t>
      </w:r>
      <w:proofErr w:type="gramStart"/>
      <w:r w:rsidRPr="003C3796">
        <w:rPr>
          <w:szCs w:val="24"/>
        </w:rPr>
        <w:t>cancers</w:t>
      </w:r>
      <w:r w:rsidRPr="003C3796">
        <w:rPr>
          <w:rStyle w:val="Cross-reference"/>
          <w:color w:val="auto"/>
          <w:szCs w:val="24"/>
          <w:vertAlign w:val="superscript"/>
        </w:rPr>
        <w:t>[</w:t>
      </w:r>
      <w:proofErr w:type="gramEnd"/>
      <w:r w:rsidRPr="003C3796">
        <w:rPr>
          <w:rStyle w:val="Cross-reference"/>
          <w:color w:val="auto"/>
          <w:szCs w:val="24"/>
          <w:vertAlign w:val="superscript"/>
        </w:rPr>
        <w:t>9–13]</w:t>
      </w:r>
      <w:r w:rsidRPr="003C3796">
        <w:rPr>
          <w:szCs w:val="24"/>
        </w:rPr>
        <w:t xml:space="preserve">, the prognostic values of these factors have not been consistent. Among the aforementioned factors, nodal metastasis, differentiation, and R0 resection have been widely recognized to be associated with long-term </w:t>
      </w:r>
      <w:proofErr w:type="gramStart"/>
      <w:r w:rsidRPr="003C3796">
        <w:rPr>
          <w:szCs w:val="24"/>
        </w:rPr>
        <w:t>survival</w:t>
      </w:r>
      <w:r w:rsidRPr="003C3796">
        <w:rPr>
          <w:rStyle w:val="Cross-reference"/>
          <w:color w:val="auto"/>
          <w:szCs w:val="24"/>
          <w:vertAlign w:val="superscript"/>
        </w:rPr>
        <w:t>[</w:t>
      </w:r>
      <w:proofErr w:type="gramEnd"/>
      <w:r w:rsidRPr="003C3796">
        <w:rPr>
          <w:rStyle w:val="Cross-reference"/>
          <w:color w:val="auto"/>
          <w:szCs w:val="24"/>
          <w:vertAlign w:val="superscript"/>
        </w:rPr>
        <w:t>3,14–17]</w:t>
      </w:r>
      <w:r w:rsidRPr="003C3796">
        <w:rPr>
          <w:szCs w:val="24"/>
        </w:rPr>
        <w:t>.</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In this study, the overall survival was longer in patients with resection, compared to patients without resection. However, the prognosis of patients with R2 resection was much poorer compared that of patients with R0 or R1 resection. As shown in the results, patients with R0 and R1 resections showed 5-year survival rates of 49.0% and 21.0%, respectively, whereas none of the patients with </w:t>
      </w:r>
      <w:proofErr w:type="spellStart"/>
      <w:r w:rsidRPr="003C3796">
        <w:rPr>
          <w:rFonts w:ascii="Book Antiqua" w:hAnsi="Book Antiqua"/>
          <w:sz w:val="24"/>
          <w:szCs w:val="24"/>
        </w:rPr>
        <w:t>nonresection</w:t>
      </w:r>
      <w:proofErr w:type="spellEnd"/>
      <w:r w:rsidRPr="003C3796">
        <w:rPr>
          <w:rFonts w:ascii="Book Antiqua" w:hAnsi="Book Antiqua"/>
          <w:sz w:val="24"/>
          <w:szCs w:val="24"/>
        </w:rPr>
        <w:t xml:space="preserve"> or R2 resection survived longer than 3 years (medians of 10 </w:t>
      </w:r>
      <w:proofErr w:type="spellStart"/>
      <w:r>
        <w:rPr>
          <w:rFonts w:ascii="Book Antiqua" w:hAnsi="Book Antiqua"/>
          <w:sz w:val="24"/>
          <w:szCs w:val="24"/>
        </w:rPr>
        <w:t>mo</w:t>
      </w:r>
      <w:proofErr w:type="spellEnd"/>
      <w:r>
        <w:rPr>
          <w:rFonts w:ascii="Book Antiqua" w:hAnsi="Book Antiqua"/>
          <w:sz w:val="24"/>
          <w:szCs w:val="24"/>
        </w:rPr>
        <w:t xml:space="preserve"> </w:t>
      </w:r>
      <w:r w:rsidRPr="003C3796">
        <w:rPr>
          <w:rFonts w:ascii="Book Antiqua" w:hAnsi="Book Antiqua"/>
          <w:sz w:val="24"/>
          <w:szCs w:val="24"/>
        </w:rPr>
        <w:t xml:space="preserve">and 12 </w:t>
      </w:r>
      <w:proofErr w:type="spellStart"/>
      <w:proofErr w:type="gramStart"/>
      <w:r>
        <w:rPr>
          <w:rFonts w:ascii="Book Antiqua" w:hAnsi="Book Antiqua"/>
          <w:sz w:val="24"/>
          <w:szCs w:val="24"/>
        </w:rPr>
        <w:t>mo</w:t>
      </w:r>
      <w:proofErr w:type="spellEnd"/>
      <w:r>
        <w:rPr>
          <w:rFonts w:ascii="Book Antiqua" w:hAnsi="Book Antiqua"/>
          <w:sz w:val="24"/>
          <w:szCs w:val="24"/>
        </w:rPr>
        <w:t xml:space="preserve"> </w:t>
      </w:r>
      <w:r w:rsidRPr="003C3796">
        <w:rPr>
          <w:rFonts w:ascii="Book Antiqua" w:hAnsi="Book Antiqua"/>
          <w:sz w:val="24"/>
          <w:szCs w:val="24"/>
        </w:rPr>
        <w:t>,</w:t>
      </w:r>
      <w:proofErr w:type="gramEnd"/>
      <w:r w:rsidRPr="003C3796">
        <w:rPr>
          <w:rFonts w:ascii="Book Antiqua" w:hAnsi="Book Antiqua"/>
          <w:sz w:val="24"/>
          <w:szCs w:val="24"/>
        </w:rPr>
        <w:t xml:space="preserve"> respectively).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Many studies have reported that R0 resection is necessary for long-term </w:t>
      </w:r>
      <w:proofErr w:type="gramStart"/>
      <w:r w:rsidRPr="003C3796">
        <w:rPr>
          <w:rFonts w:ascii="Book Antiqua" w:hAnsi="Book Antiqua"/>
          <w:sz w:val="24"/>
          <w:szCs w:val="24"/>
        </w:rPr>
        <w:t>survival</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5,17–19]</w:t>
      </w:r>
      <w:r w:rsidRPr="003C3796">
        <w:rPr>
          <w:rFonts w:ascii="Book Antiqua" w:hAnsi="Book Antiqua"/>
          <w:sz w:val="24"/>
          <w:szCs w:val="24"/>
        </w:rPr>
        <w:t xml:space="preserve">. However, it is sometimes very difficult to achieve a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-free margin of the bile duct due to superficial microscopic spreading and multifocal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In such cases, R1 resection is inevitable, and some authors have reported that patients with R1 resections have survived longer than </w:t>
      </w:r>
      <w:proofErr w:type="gramStart"/>
      <w:r w:rsidRPr="003C3796">
        <w:rPr>
          <w:rFonts w:ascii="Book Antiqua" w:hAnsi="Book Antiqua"/>
          <w:sz w:val="24"/>
          <w:szCs w:val="24"/>
        </w:rPr>
        <w:t>expected</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3,5,6,20]</w:t>
      </w:r>
      <w:r w:rsidRPr="003C3796">
        <w:rPr>
          <w:rFonts w:ascii="Book Antiqua" w:hAnsi="Book Antiqua"/>
          <w:sz w:val="24"/>
          <w:szCs w:val="24"/>
        </w:rPr>
        <w:t xml:space="preserve">.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lastRenderedPageBreak/>
        <w:t xml:space="preserve">In our study, R1 resection was performed in 24 patients, including eight patients with R1 PD and 16 patients with R1 BDR. Positive uppermost bile duct margins accounted for the 20 patients with R1 resections (8 PD and 12 BDR), and positive lowermost bile duct margins accounted for the four patients with R1 BDR resections, for whom the addition of further PD was precluded by the presence of co-morbidities. The 5-year survival rates after R0-resection were higher than those after R1-resection, but the difference did not reach statistical significance (49.0%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21.0%; </w:t>
      </w:r>
      <w:r w:rsidRPr="00AB631A">
        <w:rPr>
          <w:rFonts w:ascii="Book Antiqua" w:hAnsi="Book Antiqua"/>
          <w:i/>
          <w:sz w:val="24"/>
          <w:szCs w:val="24"/>
        </w:rPr>
        <w:t xml:space="preserve">P = </w:t>
      </w:r>
      <w:r w:rsidRPr="003C3796">
        <w:rPr>
          <w:rFonts w:ascii="Book Antiqua" w:hAnsi="Book Antiqua"/>
          <w:sz w:val="24"/>
          <w:szCs w:val="24"/>
        </w:rPr>
        <w:t>0.132) (</w:t>
      </w:r>
      <w:proofErr w:type="spellStart"/>
      <w:r w:rsidRPr="003C3796">
        <w:rPr>
          <w:rFonts w:ascii="Book Antiqua" w:eastAsia="Malgun Gothic" w:hAnsi="Book Antiqua" w:cs="Arial"/>
          <w:sz w:val="24"/>
          <w:szCs w:val="24"/>
          <w:lang w:eastAsia="ko-KR"/>
        </w:rPr>
        <w:t>Lymphovascular</w:t>
      </w:r>
      <w:proofErr w:type="spellEnd"/>
      <w:r w:rsidRPr="003C3796">
        <w:rPr>
          <w:rStyle w:val="Cross-reference"/>
          <w:rFonts w:ascii="Book Antiqua" w:hAnsi="Book Antiqua"/>
          <w:color w:val="auto"/>
          <w:sz w:val="24"/>
          <w:szCs w:val="24"/>
        </w:rPr>
        <w:t>. 2</w:t>
      </w:r>
      <w:r w:rsidRPr="003C3796">
        <w:rPr>
          <w:rFonts w:ascii="Book Antiqua" w:hAnsi="Book Antiqua"/>
          <w:sz w:val="24"/>
          <w:szCs w:val="24"/>
        </w:rPr>
        <w:t xml:space="preserve">). Thus, it can be assumed that R1 resection, if inevitable, should be recognized as prolonging survival, according to our data, which reflected that no patients with R2 resections or </w:t>
      </w:r>
      <w:proofErr w:type="spellStart"/>
      <w:r w:rsidRPr="003C3796">
        <w:rPr>
          <w:rFonts w:ascii="Book Antiqua" w:hAnsi="Book Antiqua"/>
          <w:sz w:val="24"/>
          <w:szCs w:val="24"/>
        </w:rPr>
        <w:t>nonresections</w:t>
      </w:r>
      <w:proofErr w:type="spellEnd"/>
      <w:r w:rsidRPr="003C3796">
        <w:rPr>
          <w:rFonts w:ascii="Book Antiqua" w:hAnsi="Book Antiqua"/>
          <w:sz w:val="24"/>
          <w:szCs w:val="24"/>
        </w:rPr>
        <w:t xml:space="preserve"> survived longer than 36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w:t>
      </w:r>
      <w:r w:rsidRPr="003C3796">
        <w:rPr>
          <w:rFonts w:ascii="Book Antiqua" w:hAnsi="Book Antiqua"/>
          <w:sz w:val="24"/>
          <w:szCs w:val="24"/>
        </w:rPr>
        <w:t xml:space="preserve">The definition of RI resection in this study was a microscopically positive margin of the resected bile duct. The major drawbacks of this study were that the pathological description was not made by a single pathologist and that the invasiveness of the positive margin was not sub-classified into carcinoma in situ or invasive carcinoma. These means of analysis will be further investigated in the near future.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According to the primary site and the extent of the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 different surgical procedures can be applied. PD is most commonly performed for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because bile duct resection is sometimes not sufficient to achieve adequate surgical margins, compared to </w:t>
      </w:r>
      <w:proofErr w:type="gramStart"/>
      <w:r w:rsidRPr="003C3796">
        <w:rPr>
          <w:rFonts w:ascii="Book Antiqua" w:hAnsi="Book Antiqua"/>
          <w:sz w:val="24"/>
          <w:szCs w:val="24"/>
        </w:rPr>
        <w:t>PD</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5,6]</w:t>
      </w:r>
      <w:r w:rsidRPr="003C3796">
        <w:rPr>
          <w:rFonts w:ascii="Book Antiqua" w:hAnsi="Book Antiqua"/>
          <w:sz w:val="24"/>
          <w:szCs w:val="24"/>
        </w:rPr>
        <w:t xml:space="preserve">. In our study as well, the microscopic involvement of margins was more frequent after bile duct resection, compared to PD (37.2%, 16/43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8.9%, 8/90; </w:t>
      </w:r>
      <w:r w:rsidRPr="00AB631A">
        <w:rPr>
          <w:rFonts w:ascii="Book Antiqua" w:hAnsi="Book Antiqua"/>
          <w:i/>
          <w:sz w:val="24"/>
          <w:szCs w:val="24"/>
        </w:rPr>
        <w:t xml:space="preserve">P &lt; </w:t>
      </w:r>
      <w:r w:rsidRPr="003C3796">
        <w:rPr>
          <w:rFonts w:ascii="Book Antiqua" w:hAnsi="Book Antiqua"/>
          <w:sz w:val="24"/>
          <w:szCs w:val="24"/>
        </w:rPr>
        <w:t>0.0001). The 5-year survival rates of patients with PD and BDR were 46.6% and 30.0% (</w:t>
      </w:r>
      <w:r w:rsidRPr="00AB631A">
        <w:rPr>
          <w:rFonts w:ascii="Book Antiqua" w:hAnsi="Book Antiqua"/>
          <w:i/>
          <w:sz w:val="24"/>
          <w:szCs w:val="24"/>
        </w:rPr>
        <w:t xml:space="preserve">P = </w:t>
      </w:r>
      <w:r w:rsidRPr="003C3796">
        <w:rPr>
          <w:rFonts w:ascii="Book Antiqua" w:hAnsi="Book Antiqua"/>
          <w:sz w:val="24"/>
          <w:szCs w:val="24"/>
        </w:rPr>
        <w:t xml:space="preserve">0.105), respectively; this difference, although not statistically significant, can be attributed to a higher rate of positive resection margins in patients with bile duct resection. The lack of statistical significance in the difference between the two groups might have been due to the limited number of patients. However, if R0 resection had been achieved, the 5-year survival rates after bile duct resection would have been similar after PD (46.5%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49.4%; </w:t>
      </w:r>
      <w:r w:rsidRPr="00AB631A">
        <w:rPr>
          <w:rFonts w:ascii="Book Antiqua" w:hAnsi="Book Antiqua"/>
          <w:i/>
          <w:sz w:val="24"/>
          <w:szCs w:val="24"/>
        </w:rPr>
        <w:t xml:space="preserve">P = </w:t>
      </w:r>
      <w:r w:rsidRPr="003C3796">
        <w:rPr>
          <w:rFonts w:ascii="Book Antiqua" w:hAnsi="Book Antiqua"/>
          <w:sz w:val="24"/>
          <w:szCs w:val="24"/>
        </w:rPr>
        <w:t>0.762) (</w:t>
      </w:r>
      <w:r>
        <w:rPr>
          <w:rStyle w:val="Cross-reference"/>
          <w:rFonts w:ascii="Book Antiqua" w:hAnsi="Book Antiqua"/>
          <w:color w:val="auto"/>
          <w:sz w:val="24"/>
          <w:szCs w:val="24"/>
        </w:rPr>
        <w:t xml:space="preserve">Figure </w:t>
      </w:r>
      <w:r w:rsidRPr="003C3796">
        <w:rPr>
          <w:rStyle w:val="Cross-reference"/>
          <w:rFonts w:ascii="Book Antiqua" w:hAnsi="Book Antiqua"/>
          <w:color w:val="auto"/>
          <w:sz w:val="24"/>
          <w:szCs w:val="24"/>
        </w:rPr>
        <w:t>3</w:t>
      </w:r>
      <w:r w:rsidRPr="003C3796">
        <w:rPr>
          <w:rStyle w:val="Cross-reference"/>
          <w:rFonts w:ascii="Book Antiqua" w:eastAsia="Malgun Gothic" w:hAnsi="Book Antiqua"/>
          <w:color w:val="auto"/>
          <w:sz w:val="24"/>
          <w:szCs w:val="24"/>
          <w:lang w:eastAsia="ko-KR"/>
        </w:rPr>
        <w:t>A</w:t>
      </w:r>
      <w:r w:rsidRPr="003C3796">
        <w:rPr>
          <w:rFonts w:ascii="Book Antiqua" w:hAnsi="Book Antiqua"/>
          <w:sz w:val="24"/>
          <w:szCs w:val="24"/>
        </w:rPr>
        <w:t xml:space="preserve">). Thus, it is possible that PD offers a greater likelihood of complete resection and, consequently, better survival. </w:t>
      </w:r>
      <w:r w:rsidRPr="003C3796">
        <w:rPr>
          <w:rFonts w:ascii="Book Antiqua" w:hAnsi="Book Antiqua"/>
          <w:sz w:val="24"/>
          <w:szCs w:val="24"/>
        </w:rPr>
        <w:lastRenderedPageBreak/>
        <w:t xml:space="preserve">Therefore, PD is recommended unless patient co-morbidities preclude its implementation. BDR is an option only if the co-morbidities of patients preclude PD or if an R0 resection seems to be achieved for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limited to the area surrounding the cystic duct.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The frequency of lymph node metastasis has been reported to range from 23.8 to 68%, and lymph node involvement has been determined to be an important predictor of survival in patients with middle and distal bile duct </w:t>
      </w:r>
      <w:proofErr w:type="gramStart"/>
      <w:r w:rsidRPr="003C3796">
        <w:rPr>
          <w:rFonts w:ascii="Book Antiqua" w:hAnsi="Book Antiqua"/>
          <w:sz w:val="24"/>
          <w:szCs w:val="24"/>
        </w:rPr>
        <w:t>cancers</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3,6,16,19,21,22]</w:t>
      </w:r>
      <w:r w:rsidRPr="003C3796">
        <w:rPr>
          <w:rFonts w:ascii="Book Antiqua" w:hAnsi="Book Antiqua"/>
          <w:sz w:val="24"/>
          <w:szCs w:val="24"/>
        </w:rPr>
        <w:t xml:space="preserve">. In our study, the frequency of nodal metastasis was 25%, and patients with nodal metastasis had worse survival than patients without nodal metastasis in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(5-year survival rate 17.0%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51.3%; </w:t>
      </w:r>
      <w:r w:rsidRPr="00AB631A">
        <w:rPr>
          <w:rFonts w:ascii="Book Antiqua" w:hAnsi="Book Antiqua"/>
          <w:i/>
          <w:sz w:val="24"/>
          <w:szCs w:val="24"/>
        </w:rPr>
        <w:t xml:space="preserve">P = </w:t>
      </w:r>
      <w:r w:rsidRPr="003C3796">
        <w:rPr>
          <w:rFonts w:ascii="Book Antiqua" w:hAnsi="Book Antiqua"/>
          <w:sz w:val="24"/>
          <w:szCs w:val="24"/>
        </w:rPr>
        <w:t xml:space="preserve">0.033) </w:t>
      </w:r>
    </w:p>
    <w:p w:rsidR="00147B7B" w:rsidRPr="003C3796" w:rsidRDefault="00147B7B" w:rsidP="009350E9">
      <w:pPr>
        <w:pStyle w:val="ac"/>
        <w:spacing w:after="0" w:line="360" w:lineRule="auto"/>
        <w:ind w:firstLine="871"/>
        <w:rPr>
          <w:rFonts w:ascii="Book Antiqua" w:hAnsi="Book Antiqua"/>
          <w:sz w:val="24"/>
          <w:szCs w:val="24"/>
        </w:rPr>
      </w:pP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is one of the pathways through which local infiltrations spread and metastasize. Although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has recently been accepted as a prognostic factor in a number of different malignancies, its clinical significance for mid-distal </w:t>
      </w:r>
      <w:proofErr w:type="spellStart"/>
      <w:r w:rsidRPr="003C3796">
        <w:rPr>
          <w:rFonts w:ascii="Book Antiqua" w:hAnsi="Book Antiqua"/>
          <w:sz w:val="24"/>
          <w:szCs w:val="24"/>
        </w:rPr>
        <w:t>extrahepatic</w:t>
      </w:r>
      <w:proofErr w:type="spellEnd"/>
      <w:r w:rsidRPr="003C3796">
        <w:rPr>
          <w:rFonts w:ascii="Book Antiqua" w:hAnsi="Book Antiqua"/>
          <w:sz w:val="24"/>
          <w:szCs w:val="24"/>
        </w:rPr>
        <w:t xml:space="preserve"> </w:t>
      </w:r>
      <w:proofErr w:type="spellStart"/>
      <w:r w:rsidRPr="003C3796">
        <w:rPr>
          <w:rFonts w:ascii="Book Antiqua" w:hAnsi="Book Antiqua"/>
          <w:sz w:val="24"/>
          <w:szCs w:val="24"/>
        </w:rPr>
        <w:t>cholangiocarcinoma</w:t>
      </w:r>
      <w:proofErr w:type="spellEnd"/>
      <w:r w:rsidRPr="003C3796">
        <w:rPr>
          <w:rFonts w:ascii="Book Antiqua" w:hAnsi="Book Antiqua"/>
          <w:sz w:val="24"/>
          <w:szCs w:val="24"/>
        </w:rPr>
        <w:t xml:space="preserve"> remains unclear. According to </w:t>
      </w:r>
      <w:proofErr w:type="spellStart"/>
      <w:r w:rsidRPr="003C3796">
        <w:rPr>
          <w:rFonts w:ascii="Book Antiqua" w:hAnsi="Book Antiqua"/>
          <w:sz w:val="24"/>
          <w:szCs w:val="24"/>
        </w:rPr>
        <w:t>Bhuiya</w:t>
      </w:r>
      <w:proofErr w:type="spellEnd"/>
      <w:r w:rsidRPr="003C3796">
        <w:rPr>
          <w:rFonts w:ascii="Book Antiqua" w:hAnsi="Book Antiqua"/>
          <w:sz w:val="24"/>
          <w:szCs w:val="24"/>
        </w:rPr>
        <w:t xml:space="preserve"> </w:t>
      </w:r>
      <w:r w:rsidRPr="00AC001A">
        <w:rPr>
          <w:rFonts w:ascii="Book Antiqua" w:hAnsi="Book Antiqua"/>
          <w:i/>
          <w:sz w:val="24"/>
          <w:szCs w:val="24"/>
        </w:rPr>
        <w:t xml:space="preserve">et </w:t>
      </w:r>
      <w:proofErr w:type="gramStart"/>
      <w:r w:rsidRPr="00AC001A">
        <w:rPr>
          <w:rFonts w:ascii="Book Antiqua" w:hAnsi="Book Antiqua"/>
          <w:i/>
          <w:sz w:val="24"/>
          <w:szCs w:val="24"/>
        </w:rPr>
        <w:t>al</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7]</w:t>
      </w:r>
      <w:r w:rsidRPr="003C3796">
        <w:rPr>
          <w:rFonts w:ascii="Book Antiqua" w:hAnsi="Book Antiqua"/>
          <w:sz w:val="24"/>
          <w:szCs w:val="24"/>
        </w:rPr>
        <w:t xml:space="preserve">,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had a profound impact on the survival of patients with </w:t>
      </w:r>
      <w:proofErr w:type="spellStart"/>
      <w:r w:rsidRPr="003C3796">
        <w:rPr>
          <w:rFonts w:ascii="Book Antiqua" w:hAnsi="Book Antiqua"/>
          <w:sz w:val="24"/>
          <w:szCs w:val="24"/>
        </w:rPr>
        <w:t>extrahepatic</w:t>
      </w:r>
      <w:proofErr w:type="spellEnd"/>
      <w:r w:rsidRPr="003C3796">
        <w:rPr>
          <w:rFonts w:ascii="Book Antiqua" w:hAnsi="Book Antiqua"/>
          <w:sz w:val="24"/>
          <w:szCs w:val="24"/>
        </w:rPr>
        <w:t xml:space="preserve"> bile duct cancer. The 5-year survival rate for patients with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was 32%, compared to 67% for patients without invasion. A distinct and significant correlation was potentially reported between the depth of </w:t>
      </w:r>
      <w:proofErr w:type="spellStart"/>
      <w:r w:rsidRPr="003C3796">
        <w:rPr>
          <w:rFonts w:ascii="Book Antiqua" w:hAnsi="Book Antiqua"/>
          <w:sz w:val="24"/>
          <w:szCs w:val="24"/>
        </w:rPr>
        <w:t>tumor</w:t>
      </w:r>
      <w:proofErr w:type="spellEnd"/>
      <w:r w:rsidRPr="003C3796">
        <w:rPr>
          <w:rFonts w:ascii="Book Antiqua" w:hAnsi="Book Antiqua"/>
          <w:sz w:val="24"/>
          <w:szCs w:val="24"/>
        </w:rPr>
        <w:t xml:space="preserve"> invasion and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In our study as well, the frequency of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was 41.4%, and the rates of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for T1, T2, and T3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were 18.4%, 60%, and 46.2%, respectively. Thus, a significant association with depth of invasion was shown (</w:t>
      </w:r>
      <w:r w:rsidRPr="00AB631A">
        <w:rPr>
          <w:rFonts w:ascii="Book Antiqua" w:hAnsi="Book Antiqua"/>
          <w:i/>
          <w:sz w:val="24"/>
          <w:szCs w:val="24"/>
        </w:rPr>
        <w:t xml:space="preserve">P = </w:t>
      </w:r>
      <w:r w:rsidRPr="003C3796">
        <w:rPr>
          <w:rFonts w:ascii="Book Antiqua" w:hAnsi="Book Antiqua"/>
          <w:sz w:val="24"/>
          <w:szCs w:val="24"/>
        </w:rPr>
        <w:t xml:space="preserve">0.017). The survival of patients with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was worse than that of patients without </w:t>
      </w:r>
      <w:proofErr w:type="spellStart"/>
      <w:r w:rsidRPr="003C3796">
        <w:rPr>
          <w:rFonts w:ascii="Book Antiqua" w:hAnsi="Book Antiqua"/>
          <w:sz w:val="24"/>
          <w:szCs w:val="24"/>
        </w:rPr>
        <w:t>perineural</w:t>
      </w:r>
      <w:proofErr w:type="spellEnd"/>
      <w:r w:rsidRPr="003C3796">
        <w:rPr>
          <w:rFonts w:ascii="Book Antiqua" w:hAnsi="Book Antiqua"/>
          <w:sz w:val="24"/>
          <w:szCs w:val="24"/>
        </w:rPr>
        <w:t xml:space="preserve"> invasion in </w:t>
      </w:r>
      <w:proofErr w:type="spellStart"/>
      <w:r w:rsidRPr="003C3796">
        <w:rPr>
          <w:rFonts w:ascii="Book Antiqua" w:hAnsi="Book Antiqua"/>
          <w:sz w:val="24"/>
          <w:szCs w:val="24"/>
        </w:rPr>
        <w:t>univariate</w:t>
      </w:r>
      <w:proofErr w:type="spellEnd"/>
      <w:r w:rsidRPr="003C3796">
        <w:rPr>
          <w:rFonts w:ascii="Book Antiqua" w:hAnsi="Book Antiqua"/>
          <w:sz w:val="24"/>
          <w:szCs w:val="24"/>
        </w:rPr>
        <w:t xml:space="preserve"> analysis (5-year survival rate 17.5%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55.8%; </w:t>
      </w:r>
      <w:r w:rsidRPr="00AB631A">
        <w:rPr>
          <w:rFonts w:ascii="Book Antiqua" w:hAnsi="Book Antiqua"/>
          <w:i/>
          <w:sz w:val="24"/>
          <w:szCs w:val="24"/>
        </w:rPr>
        <w:t xml:space="preserve">P = </w:t>
      </w:r>
      <w:r w:rsidRPr="003C3796">
        <w:rPr>
          <w:rFonts w:ascii="Book Antiqua" w:hAnsi="Book Antiqua"/>
          <w:sz w:val="24"/>
          <w:szCs w:val="24"/>
        </w:rPr>
        <w:t xml:space="preserve">0.022). </w:t>
      </w:r>
    </w:p>
    <w:p w:rsidR="00147B7B" w:rsidRPr="003C3796" w:rsidRDefault="00147B7B" w:rsidP="009350E9">
      <w:pPr>
        <w:pStyle w:val="ac"/>
        <w:spacing w:after="0" w:line="360" w:lineRule="auto"/>
        <w:ind w:firstLine="871"/>
        <w:rPr>
          <w:rFonts w:ascii="Book Antiqua" w:hAnsi="Book Antiqua"/>
          <w:sz w:val="24"/>
          <w:szCs w:val="24"/>
        </w:rPr>
      </w:pP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channel invasion is one of many different manners by which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spread. The clinical significance of LVI was first described as far back as 1967, when studies reported higher recurrence and poorer survival in cervical cancer patients with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w:t>
      </w:r>
      <w:proofErr w:type="gramStart"/>
      <w:r w:rsidRPr="003C3796">
        <w:rPr>
          <w:rFonts w:ascii="Book Antiqua" w:hAnsi="Book Antiqua"/>
          <w:sz w:val="24"/>
          <w:szCs w:val="24"/>
        </w:rPr>
        <w:t>invasion</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23]</w:t>
      </w:r>
      <w:r w:rsidRPr="003C3796">
        <w:rPr>
          <w:rFonts w:ascii="Book Antiqua" w:hAnsi="Book Antiqua"/>
          <w:sz w:val="24"/>
          <w:szCs w:val="24"/>
        </w:rPr>
        <w:t xml:space="preserve">. Nevertheless, few reports have been published </w:t>
      </w:r>
      <w:r w:rsidRPr="003C3796">
        <w:rPr>
          <w:rFonts w:ascii="Book Antiqua" w:hAnsi="Book Antiqua"/>
          <w:sz w:val="24"/>
          <w:szCs w:val="24"/>
        </w:rPr>
        <w:lastRenderedPageBreak/>
        <w:t xml:space="preserve">regarding the significance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and its clinical significance has not been established in middle and distal bile duct </w:t>
      </w:r>
      <w:proofErr w:type="gramStart"/>
      <w:r w:rsidRPr="003C3796">
        <w:rPr>
          <w:rFonts w:ascii="Book Antiqua" w:hAnsi="Book Antiqua"/>
          <w:sz w:val="24"/>
          <w:szCs w:val="24"/>
        </w:rPr>
        <w:t>cancers</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8,24]</w:t>
      </w:r>
      <w:r w:rsidRPr="003C3796">
        <w:rPr>
          <w:rFonts w:ascii="Book Antiqua" w:hAnsi="Book Antiqua"/>
          <w:sz w:val="24"/>
          <w:szCs w:val="24"/>
        </w:rPr>
        <w:t xml:space="preserve">. Our study showed that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an independent</w:t>
      </w:r>
      <w:r w:rsidRPr="003C3796">
        <w:rPr>
          <w:rFonts w:ascii="Book Antiqua" w:eastAsia="Malgun Gothic" w:hAnsi="Book Antiqua"/>
          <w:sz w:val="24"/>
          <w:szCs w:val="24"/>
          <w:lang w:eastAsia="ko-KR"/>
        </w:rPr>
        <w:t xml:space="preserve"> prognostic </w:t>
      </w:r>
      <w:r w:rsidRPr="003C3796">
        <w:rPr>
          <w:rFonts w:ascii="Book Antiqua" w:hAnsi="Book Antiqua"/>
          <w:sz w:val="24"/>
          <w:szCs w:val="24"/>
        </w:rPr>
        <w:t xml:space="preserve">factor and </w:t>
      </w:r>
      <w:proofErr w:type="spellStart"/>
      <w:r w:rsidRPr="003C3796">
        <w:rPr>
          <w:rFonts w:ascii="Book Antiqua" w:hAnsi="Book Antiqua"/>
          <w:sz w:val="24"/>
          <w:szCs w:val="24"/>
        </w:rPr>
        <w:t>unfavorably</w:t>
      </w:r>
      <w:proofErr w:type="spellEnd"/>
      <w:r w:rsidRPr="003C3796">
        <w:rPr>
          <w:rFonts w:ascii="Book Antiqua" w:hAnsi="Book Antiqua"/>
          <w:sz w:val="24"/>
          <w:szCs w:val="24"/>
        </w:rPr>
        <w:t xml:space="preserve"> influenced long-term survival.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present in 19.5% of patients, and the overall 5-year survival rates of these patients with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were poor, compared to the rates of patients without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(6.7%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52.3%, </w:t>
      </w:r>
      <w:r w:rsidRPr="00AB631A">
        <w:rPr>
          <w:rFonts w:ascii="Book Antiqua" w:hAnsi="Book Antiqua"/>
          <w:i/>
          <w:sz w:val="24"/>
          <w:szCs w:val="24"/>
        </w:rPr>
        <w:t xml:space="preserve">P &lt; </w:t>
      </w:r>
      <w:r w:rsidRPr="003C3796">
        <w:rPr>
          <w:rFonts w:ascii="Book Antiqua" w:hAnsi="Book Antiqua"/>
          <w:sz w:val="24"/>
          <w:szCs w:val="24"/>
        </w:rPr>
        <w:t xml:space="preserve">0.0001). </w:t>
      </w:r>
    </w:p>
    <w:p w:rsidR="00147B7B" w:rsidRPr="003C3796" w:rsidRDefault="00147B7B" w:rsidP="009350E9">
      <w:pPr>
        <w:pStyle w:val="ac"/>
        <w:spacing w:after="0" w:line="360" w:lineRule="auto"/>
        <w:ind w:firstLine="871"/>
        <w:rPr>
          <w:rFonts w:ascii="Book Antiqua" w:hAnsi="Book Antiqua"/>
          <w:sz w:val="24"/>
          <w:szCs w:val="24"/>
        </w:rPr>
      </w:pPr>
      <w:r w:rsidRPr="003C3796">
        <w:rPr>
          <w:rFonts w:ascii="Book Antiqua" w:hAnsi="Book Antiqua"/>
          <w:sz w:val="24"/>
          <w:szCs w:val="24"/>
        </w:rPr>
        <w:t xml:space="preserve">Additionally,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significantly associated with the depth of invasion (T classification) (</w:t>
      </w:r>
      <w:r w:rsidRPr="00AB631A">
        <w:rPr>
          <w:rFonts w:ascii="Book Antiqua" w:hAnsi="Book Antiqua"/>
          <w:i/>
          <w:sz w:val="24"/>
          <w:szCs w:val="24"/>
        </w:rPr>
        <w:t xml:space="preserve">P = </w:t>
      </w:r>
      <w:r w:rsidRPr="003C3796">
        <w:rPr>
          <w:rFonts w:ascii="Book Antiqua" w:hAnsi="Book Antiqua"/>
          <w:sz w:val="24"/>
          <w:szCs w:val="24"/>
        </w:rPr>
        <w:t xml:space="preserve">0.013). The frequency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according to the depth of the invasion (T1, T2, and T3), was 5.3%, 20%, and 26.2%, respectively. Although pathologic T1 (pT1)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generally have </w:t>
      </w:r>
      <w:proofErr w:type="spellStart"/>
      <w:r w:rsidRPr="003C3796">
        <w:rPr>
          <w:rFonts w:ascii="Book Antiqua" w:hAnsi="Book Antiqua"/>
          <w:sz w:val="24"/>
          <w:szCs w:val="24"/>
        </w:rPr>
        <w:t>favorable</w:t>
      </w:r>
      <w:proofErr w:type="spellEnd"/>
      <w:r w:rsidRPr="003C3796">
        <w:rPr>
          <w:rFonts w:ascii="Book Antiqua" w:hAnsi="Book Antiqua"/>
          <w:sz w:val="24"/>
          <w:szCs w:val="24"/>
        </w:rPr>
        <w:t xml:space="preserve"> prognoses after resection,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even in pT1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affected survival </w:t>
      </w:r>
      <w:proofErr w:type="spellStart"/>
      <w:r w:rsidRPr="003C3796">
        <w:rPr>
          <w:rFonts w:ascii="Book Antiqua" w:hAnsi="Book Antiqua"/>
          <w:sz w:val="24"/>
          <w:szCs w:val="24"/>
        </w:rPr>
        <w:t>unfavorably</w:t>
      </w:r>
      <w:proofErr w:type="spellEnd"/>
      <w:r w:rsidRPr="003C3796">
        <w:rPr>
          <w:rFonts w:ascii="Book Antiqua" w:hAnsi="Book Antiqua"/>
          <w:sz w:val="24"/>
          <w:szCs w:val="24"/>
        </w:rPr>
        <w:t xml:space="preserve">, compared to pT1 </w:t>
      </w:r>
      <w:proofErr w:type="spellStart"/>
      <w:r w:rsidRPr="003C3796">
        <w:rPr>
          <w:rFonts w:ascii="Book Antiqua" w:hAnsi="Book Antiqua"/>
          <w:sz w:val="24"/>
          <w:szCs w:val="24"/>
        </w:rPr>
        <w:t>tumors</w:t>
      </w:r>
      <w:proofErr w:type="spellEnd"/>
      <w:r w:rsidRPr="003C3796">
        <w:rPr>
          <w:rFonts w:ascii="Book Antiqua" w:hAnsi="Book Antiqua"/>
          <w:sz w:val="24"/>
          <w:szCs w:val="24"/>
        </w:rPr>
        <w:t xml:space="preserve"> without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(5-year survival rate, 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57.4%; </w:t>
      </w:r>
      <w:r w:rsidRPr="00AB631A">
        <w:rPr>
          <w:rFonts w:ascii="Book Antiqua" w:hAnsi="Book Antiqua"/>
          <w:i/>
          <w:sz w:val="24"/>
          <w:szCs w:val="24"/>
        </w:rPr>
        <w:t xml:space="preserve">P &lt; </w:t>
      </w:r>
      <w:r w:rsidRPr="003C3796">
        <w:rPr>
          <w:rFonts w:ascii="Book Antiqua" w:hAnsi="Book Antiqua"/>
          <w:sz w:val="24"/>
          <w:szCs w:val="24"/>
        </w:rPr>
        <w:t xml:space="preserve">0.0001). Our results were similar to those from a study published by </w:t>
      </w:r>
      <w:proofErr w:type="spellStart"/>
      <w:r w:rsidRPr="003C3796">
        <w:rPr>
          <w:rFonts w:ascii="Book Antiqua" w:hAnsi="Book Antiqua"/>
          <w:sz w:val="24"/>
          <w:szCs w:val="24"/>
        </w:rPr>
        <w:t>Nagahashi</w:t>
      </w:r>
      <w:proofErr w:type="spellEnd"/>
      <w:r w:rsidRPr="003C3796">
        <w:rPr>
          <w:rFonts w:ascii="Book Antiqua" w:hAnsi="Book Antiqua"/>
          <w:sz w:val="24"/>
          <w:szCs w:val="24"/>
        </w:rPr>
        <w:t xml:space="preserve"> </w:t>
      </w:r>
      <w:r w:rsidRPr="00AC001A">
        <w:rPr>
          <w:rFonts w:ascii="Book Antiqua" w:hAnsi="Book Antiqua"/>
          <w:i/>
          <w:sz w:val="24"/>
          <w:szCs w:val="24"/>
        </w:rPr>
        <w:t xml:space="preserve">et </w:t>
      </w:r>
      <w:proofErr w:type="gramStart"/>
      <w:r w:rsidRPr="00AC001A">
        <w:rPr>
          <w:rFonts w:ascii="Book Antiqua" w:hAnsi="Book Antiqua"/>
          <w:i/>
          <w:sz w:val="24"/>
          <w:szCs w:val="24"/>
        </w:rPr>
        <w:t>al</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8]</w:t>
      </w:r>
      <w:r w:rsidRPr="003C3796">
        <w:rPr>
          <w:rFonts w:ascii="Book Antiqua" w:hAnsi="Book Antiqua"/>
          <w:sz w:val="24"/>
          <w:szCs w:val="24"/>
        </w:rPr>
        <w:t xml:space="preserve">, who reported poorer prognoses in patients with invasion into the </w:t>
      </w:r>
      <w:proofErr w:type="spellStart"/>
      <w:r w:rsidRPr="003C3796">
        <w:rPr>
          <w:rFonts w:ascii="Book Antiqua" w:hAnsi="Book Antiqua"/>
          <w:sz w:val="24"/>
          <w:szCs w:val="24"/>
        </w:rPr>
        <w:t>fibromuscular</w:t>
      </w:r>
      <w:proofErr w:type="spellEnd"/>
      <w:r w:rsidRPr="003C3796">
        <w:rPr>
          <w:rFonts w:ascii="Book Antiqua" w:hAnsi="Book Antiqua"/>
          <w:sz w:val="24"/>
          <w:szCs w:val="24"/>
        </w:rPr>
        <w:t xml:space="preserve"> layer, compared to those with mucosal layer invasion. These authors insisted that the cause of these adverse effects was related to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Contrary to our expectations, the present study did not find that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was strongly associated with nodal metastasis (</w:t>
      </w:r>
      <w:r w:rsidRPr="00AB631A">
        <w:rPr>
          <w:rFonts w:ascii="Book Antiqua" w:hAnsi="Book Antiqua"/>
          <w:i/>
          <w:sz w:val="24"/>
          <w:szCs w:val="24"/>
        </w:rPr>
        <w:t xml:space="preserve">P = </w:t>
      </w:r>
      <w:r w:rsidRPr="003C3796">
        <w:rPr>
          <w:rFonts w:ascii="Book Antiqua" w:hAnsi="Book Antiqua"/>
          <w:sz w:val="24"/>
          <w:szCs w:val="24"/>
        </w:rPr>
        <w:t xml:space="preserve">0.071). This lack of association has also been reported in other studies examining nodal status and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in breast </w:t>
      </w:r>
      <w:proofErr w:type="gramStart"/>
      <w:r w:rsidRPr="003C3796">
        <w:rPr>
          <w:rFonts w:ascii="Book Antiqua" w:hAnsi="Book Antiqua"/>
          <w:sz w:val="24"/>
          <w:szCs w:val="24"/>
        </w:rPr>
        <w:t>cancer</w:t>
      </w:r>
      <w:r w:rsidRPr="003C3796">
        <w:rPr>
          <w:rStyle w:val="Cross-reference"/>
          <w:rFonts w:ascii="Book Antiqua" w:hAnsi="Book Antiqua"/>
          <w:color w:val="auto"/>
          <w:sz w:val="24"/>
          <w:szCs w:val="24"/>
          <w:vertAlign w:val="superscript"/>
        </w:rPr>
        <w:t>[</w:t>
      </w:r>
      <w:proofErr w:type="gramEnd"/>
      <w:r w:rsidRPr="003C3796">
        <w:rPr>
          <w:rStyle w:val="Cross-reference"/>
          <w:rFonts w:ascii="Book Antiqua" w:hAnsi="Book Antiqua"/>
          <w:color w:val="auto"/>
          <w:sz w:val="24"/>
          <w:szCs w:val="24"/>
          <w:vertAlign w:val="superscript"/>
        </w:rPr>
        <w:t>25,26]</w:t>
      </w:r>
      <w:r w:rsidRPr="003C3796">
        <w:rPr>
          <w:rFonts w:ascii="Book Antiqua" w:hAnsi="Book Antiqua"/>
          <w:sz w:val="24"/>
          <w:szCs w:val="24"/>
        </w:rPr>
        <w:t xml:space="preserve">. A direct correlation between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and nodal metastasis might not always be apparent.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in patients with nodal metastasis did not affect survival, but in patients without nodal metastasis, the presence of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affected 5-year survival (0% </w:t>
      </w:r>
      <w:r w:rsidRPr="009030B3">
        <w:rPr>
          <w:rFonts w:ascii="Book Antiqua" w:hAnsi="Book Antiqua"/>
          <w:i/>
          <w:sz w:val="24"/>
          <w:szCs w:val="24"/>
        </w:rPr>
        <w:t>vs</w:t>
      </w:r>
      <w:r>
        <w:rPr>
          <w:rFonts w:ascii="Book Antiqua" w:hAnsi="Book Antiqua"/>
          <w:i/>
          <w:sz w:val="24"/>
          <w:szCs w:val="24"/>
        </w:rPr>
        <w:t xml:space="preserve"> </w:t>
      </w:r>
      <w:r w:rsidRPr="003C3796">
        <w:rPr>
          <w:rFonts w:ascii="Book Antiqua" w:hAnsi="Book Antiqua"/>
          <w:sz w:val="24"/>
          <w:szCs w:val="24"/>
        </w:rPr>
        <w:t xml:space="preserve">60.4%; </w:t>
      </w:r>
      <w:r w:rsidRPr="00AB631A">
        <w:rPr>
          <w:rFonts w:ascii="Book Antiqua" w:hAnsi="Book Antiqua"/>
          <w:i/>
          <w:sz w:val="24"/>
          <w:szCs w:val="24"/>
        </w:rPr>
        <w:t xml:space="preserve">P &lt; </w:t>
      </w:r>
      <w:r w:rsidRPr="003C3796">
        <w:rPr>
          <w:rFonts w:ascii="Book Antiqua" w:hAnsi="Book Antiqua"/>
          <w:sz w:val="24"/>
          <w:szCs w:val="24"/>
        </w:rPr>
        <w:t xml:space="preserve">0.0001). This result suggests that </w:t>
      </w:r>
      <w:proofErr w:type="spellStart"/>
      <w:r w:rsidRPr="003C3796">
        <w:rPr>
          <w:rFonts w:ascii="Book Antiqua" w:hAnsi="Book Antiqua"/>
          <w:sz w:val="24"/>
          <w:szCs w:val="24"/>
        </w:rPr>
        <w:t>lymphovascular</w:t>
      </w:r>
      <w:proofErr w:type="spellEnd"/>
      <w:r w:rsidRPr="003C3796">
        <w:rPr>
          <w:rFonts w:ascii="Book Antiqua" w:hAnsi="Book Antiqua"/>
          <w:sz w:val="24"/>
          <w:szCs w:val="24"/>
        </w:rPr>
        <w:t xml:space="preserve"> invasion has a profound impact on the survival of patients with lymph node-negative middle and distal </w:t>
      </w:r>
      <w:proofErr w:type="spellStart"/>
      <w:r w:rsidRPr="003C3796">
        <w:rPr>
          <w:rFonts w:ascii="Book Antiqua" w:hAnsi="Book Antiqua"/>
          <w:sz w:val="24"/>
          <w:szCs w:val="24"/>
        </w:rPr>
        <w:t>extrahepatic</w:t>
      </w:r>
      <w:proofErr w:type="spellEnd"/>
      <w:r w:rsidRPr="003C3796">
        <w:rPr>
          <w:rFonts w:ascii="Book Antiqua" w:hAnsi="Book Antiqua"/>
          <w:sz w:val="24"/>
          <w:szCs w:val="24"/>
        </w:rPr>
        <w:t xml:space="preserve"> bile duct cancers. </w:t>
      </w:r>
    </w:p>
    <w:p w:rsidR="00147B7B" w:rsidRDefault="00147B7B" w:rsidP="009350E9">
      <w:pPr>
        <w:spacing w:after="0"/>
        <w:ind w:firstLine="480"/>
        <w:jc w:val="both"/>
        <w:rPr>
          <w:szCs w:val="24"/>
          <w:lang w:eastAsia="zh-CN"/>
        </w:rPr>
      </w:pPr>
      <w:proofErr w:type="spellStart"/>
      <w:r w:rsidRPr="003C3796">
        <w:rPr>
          <w:szCs w:val="24"/>
        </w:rPr>
        <w:lastRenderedPageBreak/>
        <w:t>Pancreaticoduodenectomy</w:t>
      </w:r>
      <w:proofErr w:type="spellEnd"/>
      <w:r w:rsidRPr="003C3796">
        <w:rPr>
          <w:szCs w:val="24"/>
        </w:rPr>
        <w:t xml:space="preserve"> had higher rate of R0 resection than bile duct resection, although the long-term survival between the two groups was not significantly different. BDR can be an applied when only R0 resection is possible or if the co-morbidity of the patient precludes PD. R1 resection, if </w:t>
      </w:r>
      <w:proofErr w:type="gramStart"/>
      <w:r w:rsidRPr="003C3796">
        <w:rPr>
          <w:szCs w:val="24"/>
        </w:rPr>
        <w:t>inevitable,</w:t>
      </w:r>
      <w:proofErr w:type="gramEnd"/>
      <w:r w:rsidRPr="003C3796">
        <w:rPr>
          <w:szCs w:val="24"/>
        </w:rPr>
        <w:t xml:space="preserve"> can be performed because it offers better survival than R2 or no resection. The TNM stage and LVI were identified as independent factors influencing the survival of patients with middle and distal bile duct cancers. </w:t>
      </w:r>
    </w:p>
    <w:p w:rsidR="00147B7B" w:rsidRDefault="00147B7B" w:rsidP="00916540">
      <w:pPr>
        <w:spacing w:after="0"/>
        <w:jc w:val="both"/>
        <w:rPr>
          <w:szCs w:val="24"/>
          <w:lang w:eastAsia="zh-CN"/>
        </w:rPr>
      </w:pPr>
    </w:p>
    <w:p w:rsidR="00147B7B" w:rsidRPr="00916540" w:rsidRDefault="00147B7B" w:rsidP="00916540">
      <w:pPr>
        <w:spacing w:after="0"/>
        <w:jc w:val="both"/>
        <w:rPr>
          <w:szCs w:val="24"/>
          <w:lang w:eastAsia="zh-CN"/>
        </w:rPr>
      </w:pPr>
      <w:r>
        <w:rPr>
          <w:b/>
        </w:rPr>
        <w:t>COMMENTS</w:t>
      </w:r>
    </w:p>
    <w:p w:rsidR="00147B7B" w:rsidRDefault="00147B7B" w:rsidP="00EF30C0">
      <w:pPr>
        <w:spacing w:after="0"/>
        <w:jc w:val="both"/>
        <w:rPr>
          <w:szCs w:val="24"/>
          <w:lang w:eastAsia="zh-CN"/>
        </w:rPr>
      </w:pPr>
      <w:r w:rsidRPr="00A11756">
        <w:rPr>
          <w:b/>
          <w:bCs/>
          <w:i/>
          <w:szCs w:val="21"/>
        </w:rPr>
        <w:t>Background</w:t>
      </w:r>
    </w:p>
    <w:p w:rsidR="00147B7B" w:rsidRDefault="00147B7B" w:rsidP="00F04F83">
      <w:pPr>
        <w:spacing w:after="0"/>
        <w:jc w:val="both"/>
        <w:rPr>
          <w:szCs w:val="24"/>
          <w:lang w:eastAsia="zh-CN"/>
        </w:rPr>
      </w:pPr>
      <w:proofErr w:type="spellStart"/>
      <w:r w:rsidRPr="00E34496">
        <w:rPr>
          <w:szCs w:val="24"/>
        </w:rPr>
        <w:t>Cholangiocarcinoma</w:t>
      </w:r>
      <w:proofErr w:type="spellEnd"/>
      <w:r w:rsidRPr="00E34496">
        <w:rPr>
          <w:szCs w:val="24"/>
        </w:rPr>
        <w:t xml:space="preserve"> is a rare malignant </w:t>
      </w:r>
      <w:proofErr w:type="spellStart"/>
      <w:r w:rsidRPr="00E34496">
        <w:rPr>
          <w:szCs w:val="24"/>
        </w:rPr>
        <w:t>tumor</w:t>
      </w:r>
      <w:proofErr w:type="spellEnd"/>
      <w:r w:rsidRPr="00E34496">
        <w:rPr>
          <w:szCs w:val="24"/>
        </w:rPr>
        <w:t xml:space="preserve"> of the biliary tree that can arise anywhere from the intrahepatic to the </w:t>
      </w:r>
      <w:proofErr w:type="spellStart"/>
      <w:r w:rsidRPr="00E34496">
        <w:rPr>
          <w:szCs w:val="24"/>
        </w:rPr>
        <w:t>extrahepatic</w:t>
      </w:r>
      <w:proofErr w:type="spellEnd"/>
      <w:r w:rsidRPr="00E34496">
        <w:rPr>
          <w:szCs w:val="24"/>
        </w:rPr>
        <w:t xml:space="preserve"> bile duct just proximal to the duodenal ampulla, excluding the gallbladder.</w:t>
      </w:r>
      <w:r>
        <w:rPr>
          <w:szCs w:val="24"/>
          <w:lang w:eastAsia="zh-CN"/>
        </w:rPr>
        <w:t xml:space="preserve"> </w:t>
      </w:r>
      <w:r w:rsidRPr="00E34496">
        <w:rPr>
          <w:szCs w:val="24"/>
        </w:rPr>
        <w:t xml:space="preserve">The prognosis in bile duct cancer is </w:t>
      </w:r>
      <w:proofErr w:type="spellStart"/>
      <w:r w:rsidRPr="00E34496">
        <w:rPr>
          <w:szCs w:val="24"/>
        </w:rPr>
        <w:t>unfavorable</w:t>
      </w:r>
      <w:proofErr w:type="spellEnd"/>
      <w:r w:rsidRPr="00E34496">
        <w:rPr>
          <w:szCs w:val="24"/>
        </w:rPr>
        <w:t xml:space="preserve"> and varies according to the type of surgery, curability, and pathological factors.</w:t>
      </w:r>
    </w:p>
    <w:p w:rsidR="00147B7B" w:rsidRDefault="00147B7B" w:rsidP="00F04F83">
      <w:pPr>
        <w:spacing w:after="0"/>
        <w:jc w:val="both"/>
        <w:rPr>
          <w:szCs w:val="24"/>
          <w:lang w:eastAsia="zh-CN"/>
        </w:rPr>
      </w:pPr>
    </w:p>
    <w:p w:rsidR="00147B7B" w:rsidRDefault="00147B7B" w:rsidP="00F04F83">
      <w:pPr>
        <w:spacing w:after="0"/>
        <w:jc w:val="both"/>
        <w:rPr>
          <w:b/>
          <w:bCs/>
          <w:i/>
          <w:szCs w:val="21"/>
          <w:lang w:eastAsia="zh-CN"/>
        </w:rPr>
      </w:pPr>
      <w:r w:rsidRPr="00A11756">
        <w:rPr>
          <w:b/>
          <w:bCs/>
          <w:i/>
          <w:szCs w:val="21"/>
        </w:rPr>
        <w:t>Innovations and breakthroughs</w:t>
      </w:r>
    </w:p>
    <w:p w:rsidR="00147B7B" w:rsidRDefault="00147B7B" w:rsidP="00F04F83">
      <w:pPr>
        <w:spacing w:after="0"/>
        <w:jc w:val="both"/>
        <w:rPr>
          <w:szCs w:val="24"/>
          <w:lang w:eastAsia="zh-CN"/>
        </w:rPr>
      </w:pPr>
      <w:r>
        <w:rPr>
          <w:szCs w:val="24"/>
          <w:lang w:eastAsia="zh-CN"/>
        </w:rPr>
        <w:t>Authors</w:t>
      </w:r>
      <w:r w:rsidRPr="00E34496">
        <w:rPr>
          <w:szCs w:val="24"/>
        </w:rPr>
        <w:t xml:space="preserve"> </w:t>
      </w:r>
      <w:proofErr w:type="spellStart"/>
      <w:r w:rsidRPr="00E34496">
        <w:rPr>
          <w:szCs w:val="24"/>
        </w:rPr>
        <w:t>analyzed</w:t>
      </w:r>
      <w:proofErr w:type="spellEnd"/>
      <w:r w:rsidRPr="00E34496">
        <w:rPr>
          <w:szCs w:val="24"/>
        </w:rPr>
        <w:t xml:space="preserve"> the </w:t>
      </w:r>
      <w:proofErr w:type="spellStart"/>
      <w:r w:rsidRPr="00E34496">
        <w:rPr>
          <w:szCs w:val="24"/>
        </w:rPr>
        <w:t>clinicopathological</w:t>
      </w:r>
      <w:proofErr w:type="spellEnd"/>
      <w:r w:rsidRPr="00E34496">
        <w:rPr>
          <w:szCs w:val="24"/>
        </w:rPr>
        <w:t xml:space="preserve"> data of 133 patients who underwent surgical resection for middle and distal bile duct cancers, to identify the influence of the type of surgery selected and of </w:t>
      </w:r>
      <w:proofErr w:type="spellStart"/>
      <w:r w:rsidRPr="00E34496">
        <w:rPr>
          <w:szCs w:val="24"/>
        </w:rPr>
        <w:t>clinicopathological</w:t>
      </w:r>
      <w:proofErr w:type="spellEnd"/>
      <w:r w:rsidRPr="00E34496">
        <w:rPr>
          <w:szCs w:val="24"/>
        </w:rPr>
        <w:t xml:space="preserve"> factors on the long-term prognoses of the patients</w:t>
      </w:r>
      <w:r>
        <w:rPr>
          <w:szCs w:val="24"/>
          <w:lang w:eastAsia="zh-CN"/>
        </w:rPr>
        <w:t>.</w:t>
      </w:r>
    </w:p>
    <w:p w:rsidR="00147B7B" w:rsidRDefault="00147B7B" w:rsidP="00F04F83">
      <w:pPr>
        <w:spacing w:after="0"/>
        <w:jc w:val="both"/>
        <w:rPr>
          <w:szCs w:val="24"/>
          <w:lang w:eastAsia="zh-CN"/>
        </w:rPr>
      </w:pPr>
    </w:p>
    <w:p w:rsidR="00147B7B" w:rsidRDefault="00147B7B" w:rsidP="009350E9">
      <w:pPr>
        <w:pStyle w:val="1"/>
        <w:spacing w:before="0" w:after="0"/>
        <w:jc w:val="both"/>
        <w:rPr>
          <w:rFonts w:eastAsia="宋体"/>
          <w:szCs w:val="24"/>
        </w:rPr>
      </w:pPr>
      <w:bookmarkStart w:id="15" w:name="OLE_LINK229"/>
      <w:bookmarkStart w:id="16" w:name="OLE_LINK230"/>
      <w:r w:rsidRPr="00A11756">
        <w:rPr>
          <w:i/>
          <w:szCs w:val="21"/>
        </w:rPr>
        <w:t>Peer review</w:t>
      </w:r>
      <w:bookmarkEnd w:id="15"/>
      <w:bookmarkEnd w:id="16"/>
      <w:r w:rsidRPr="003C3796">
        <w:rPr>
          <w:szCs w:val="24"/>
        </w:rPr>
        <w:t xml:space="preserve"> </w:t>
      </w:r>
    </w:p>
    <w:p w:rsidR="00147B7B" w:rsidRPr="00E8189D" w:rsidRDefault="00147B7B" w:rsidP="009350E9">
      <w:pPr>
        <w:pStyle w:val="1"/>
        <w:spacing w:before="0" w:after="0"/>
        <w:jc w:val="both"/>
        <w:rPr>
          <w:rFonts w:eastAsia="宋体"/>
          <w:b w:val="0"/>
          <w:szCs w:val="24"/>
        </w:rPr>
      </w:pPr>
      <w:r w:rsidRPr="00E8189D">
        <w:rPr>
          <w:rFonts w:eastAsia="宋体"/>
          <w:b w:val="0"/>
          <w:szCs w:val="24"/>
        </w:rPr>
        <w:t>This is a well-designed retrospective study with a quite big sample size. The conclusions are reasonable and credible.</w:t>
      </w:r>
    </w:p>
    <w:p w:rsidR="00147B7B" w:rsidRDefault="00147B7B" w:rsidP="009350E9">
      <w:pPr>
        <w:pStyle w:val="1"/>
        <w:spacing w:before="0" w:after="0"/>
        <w:jc w:val="both"/>
        <w:rPr>
          <w:rFonts w:eastAsia="宋体"/>
          <w:szCs w:val="24"/>
        </w:rPr>
      </w:pPr>
      <w:r w:rsidRPr="003C3796">
        <w:rPr>
          <w:szCs w:val="24"/>
        </w:rPr>
        <w:br w:type="page"/>
      </w:r>
      <w:r w:rsidRPr="003C3796">
        <w:rPr>
          <w:szCs w:val="24"/>
        </w:rPr>
        <w:lastRenderedPageBreak/>
        <w:t>REFERENCES</w:t>
      </w:r>
    </w:p>
    <w:p w:rsidR="00147B7B" w:rsidRPr="00B1590A" w:rsidRDefault="00147B7B" w:rsidP="009350E9">
      <w:pPr>
        <w:spacing w:after="0"/>
        <w:jc w:val="both"/>
        <w:rPr>
          <w:rFonts w:cs="宋体"/>
          <w:szCs w:val="24"/>
        </w:rPr>
      </w:pPr>
      <w:r w:rsidRPr="00B1590A">
        <w:rPr>
          <w:rFonts w:cs="宋体"/>
          <w:szCs w:val="24"/>
        </w:rPr>
        <w:t>1</w:t>
      </w:r>
      <w:r w:rsidRPr="00080C35">
        <w:rPr>
          <w:rFonts w:cs="宋体"/>
          <w:szCs w:val="24"/>
        </w:rPr>
        <w:t> </w:t>
      </w:r>
      <w:proofErr w:type="spellStart"/>
      <w:r w:rsidRPr="00B1590A">
        <w:rPr>
          <w:rFonts w:cs="宋体"/>
          <w:b/>
          <w:bCs/>
          <w:szCs w:val="24"/>
        </w:rPr>
        <w:t>Miyakawa</w:t>
      </w:r>
      <w:proofErr w:type="spellEnd"/>
      <w:r w:rsidRPr="00B1590A">
        <w:rPr>
          <w:rFonts w:cs="宋体"/>
          <w:b/>
          <w:bCs/>
          <w:szCs w:val="24"/>
        </w:rPr>
        <w:t xml:space="preserve"> S</w:t>
      </w:r>
      <w:r w:rsidRPr="00B1590A">
        <w:rPr>
          <w:rFonts w:cs="宋体"/>
          <w:szCs w:val="24"/>
        </w:rPr>
        <w:t xml:space="preserve">, Ishihara S, </w:t>
      </w:r>
      <w:proofErr w:type="spellStart"/>
      <w:r w:rsidRPr="00B1590A">
        <w:rPr>
          <w:rFonts w:cs="宋体"/>
          <w:szCs w:val="24"/>
        </w:rPr>
        <w:t>Horiguchi</w:t>
      </w:r>
      <w:proofErr w:type="spellEnd"/>
      <w:r w:rsidRPr="00B1590A">
        <w:rPr>
          <w:rFonts w:cs="宋体"/>
          <w:szCs w:val="24"/>
        </w:rPr>
        <w:t xml:space="preserve"> A, Takada T, Miyazaki M, </w:t>
      </w:r>
      <w:proofErr w:type="spellStart"/>
      <w:r w:rsidRPr="00B1590A">
        <w:rPr>
          <w:rFonts w:cs="宋体"/>
          <w:szCs w:val="24"/>
        </w:rPr>
        <w:t>Nagakawa</w:t>
      </w:r>
      <w:proofErr w:type="spellEnd"/>
      <w:r w:rsidRPr="00B1590A">
        <w:rPr>
          <w:rFonts w:cs="宋体"/>
          <w:szCs w:val="24"/>
        </w:rPr>
        <w:t xml:space="preserve"> T. Biliary tract cancer treatment: 5,584 results from the Biliary Tract Cancer Statistics Registry from 1998 to 2004 in Japan.</w:t>
      </w:r>
      <w:r w:rsidRPr="00080C35">
        <w:rPr>
          <w:rFonts w:cs="宋体"/>
          <w:szCs w:val="24"/>
        </w:rPr>
        <w:t> </w:t>
      </w:r>
      <w:r w:rsidRPr="00B1590A">
        <w:rPr>
          <w:rFonts w:cs="宋体"/>
          <w:i/>
          <w:iCs/>
          <w:szCs w:val="24"/>
        </w:rPr>
        <w:t xml:space="preserve">J </w:t>
      </w:r>
      <w:proofErr w:type="spellStart"/>
      <w:r w:rsidRPr="00B1590A">
        <w:rPr>
          <w:rFonts w:cs="宋体"/>
          <w:i/>
          <w:iCs/>
          <w:szCs w:val="24"/>
        </w:rPr>
        <w:t>Hepatobiliary</w:t>
      </w:r>
      <w:proofErr w:type="spellEnd"/>
      <w:r w:rsidRPr="00B1590A">
        <w:rPr>
          <w:rFonts w:cs="宋体"/>
          <w:i/>
          <w:iCs/>
          <w:szCs w:val="24"/>
        </w:rPr>
        <w:t xml:space="preserve"> </w:t>
      </w:r>
      <w:proofErr w:type="spellStart"/>
      <w:r w:rsidRPr="00B1590A">
        <w:rPr>
          <w:rFonts w:cs="宋体"/>
          <w:i/>
          <w:iCs/>
          <w:szCs w:val="24"/>
        </w:rPr>
        <w:t>Pancreat</w:t>
      </w:r>
      <w:proofErr w:type="spellEnd"/>
      <w:r w:rsidRPr="00B1590A">
        <w:rPr>
          <w:rFonts w:cs="宋体"/>
          <w:i/>
          <w:iCs/>
          <w:szCs w:val="24"/>
        </w:rPr>
        <w:t xml:space="preserve"> </w:t>
      </w:r>
      <w:proofErr w:type="spellStart"/>
      <w:r w:rsidRPr="00B1590A">
        <w:rPr>
          <w:rFonts w:cs="宋体"/>
          <w:i/>
          <w:iCs/>
          <w:szCs w:val="24"/>
        </w:rPr>
        <w:t>Surg</w:t>
      </w:r>
      <w:proofErr w:type="spellEnd"/>
      <w:r w:rsidRPr="00080C35">
        <w:rPr>
          <w:rFonts w:cs="宋体"/>
          <w:szCs w:val="24"/>
        </w:rPr>
        <w:t> </w:t>
      </w:r>
      <w:r w:rsidRPr="00B1590A">
        <w:rPr>
          <w:rFonts w:cs="宋体"/>
          <w:szCs w:val="24"/>
        </w:rPr>
        <w:t>2009;</w:t>
      </w:r>
      <w:r w:rsidRPr="00080C35">
        <w:rPr>
          <w:rFonts w:cs="宋体"/>
          <w:szCs w:val="24"/>
        </w:rPr>
        <w:t> </w:t>
      </w:r>
      <w:r w:rsidRPr="00B1590A">
        <w:rPr>
          <w:rFonts w:cs="宋体"/>
          <w:b/>
          <w:bCs/>
          <w:szCs w:val="24"/>
        </w:rPr>
        <w:t>16</w:t>
      </w:r>
      <w:r w:rsidRPr="00B1590A">
        <w:rPr>
          <w:rFonts w:cs="宋体"/>
          <w:szCs w:val="24"/>
        </w:rPr>
        <w:t>: 1-7 [PMID: 19110652 DOI: 10.1007/s00534-008-0015-0]</w:t>
      </w:r>
    </w:p>
    <w:p w:rsidR="00147B7B" w:rsidRPr="00B1590A" w:rsidRDefault="00147B7B" w:rsidP="009350E9">
      <w:pPr>
        <w:spacing w:after="0"/>
        <w:jc w:val="both"/>
        <w:rPr>
          <w:rFonts w:cs="宋体"/>
          <w:szCs w:val="24"/>
        </w:rPr>
      </w:pPr>
      <w:r w:rsidRPr="00B1590A">
        <w:rPr>
          <w:rFonts w:cs="宋体"/>
          <w:szCs w:val="24"/>
        </w:rPr>
        <w:t>2</w:t>
      </w:r>
      <w:r w:rsidRPr="00080C35">
        <w:rPr>
          <w:rFonts w:cs="宋体"/>
          <w:szCs w:val="24"/>
        </w:rPr>
        <w:t> </w:t>
      </w:r>
      <w:r w:rsidRPr="00B1590A">
        <w:rPr>
          <w:rFonts w:cs="宋体"/>
          <w:b/>
          <w:bCs/>
          <w:szCs w:val="24"/>
        </w:rPr>
        <w:t>Patel T</w:t>
      </w:r>
      <w:r w:rsidRPr="00B1590A">
        <w:rPr>
          <w:rFonts w:cs="宋体"/>
          <w:szCs w:val="24"/>
        </w:rPr>
        <w:t xml:space="preserve">, Singh P. </w:t>
      </w:r>
      <w:proofErr w:type="spellStart"/>
      <w:r w:rsidRPr="00B1590A">
        <w:rPr>
          <w:rFonts w:cs="宋体"/>
          <w:szCs w:val="24"/>
        </w:rPr>
        <w:t>Cholangiocarcinoma</w:t>
      </w:r>
      <w:proofErr w:type="spellEnd"/>
      <w:r w:rsidRPr="00B1590A">
        <w:rPr>
          <w:rFonts w:cs="宋体"/>
          <w:szCs w:val="24"/>
        </w:rPr>
        <w:t>: emerging approaches to a challenging cancer.</w:t>
      </w:r>
      <w:r w:rsidRPr="00080C35">
        <w:rPr>
          <w:rFonts w:cs="宋体"/>
          <w:szCs w:val="24"/>
        </w:rPr>
        <w:t> </w:t>
      </w:r>
      <w:proofErr w:type="spellStart"/>
      <w:r w:rsidRPr="00B1590A">
        <w:rPr>
          <w:rFonts w:cs="宋体"/>
          <w:i/>
          <w:iCs/>
          <w:szCs w:val="24"/>
        </w:rPr>
        <w:t>Curr</w:t>
      </w:r>
      <w:proofErr w:type="spellEnd"/>
      <w:r w:rsidRPr="00B1590A">
        <w:rPr>
          <w:rFonts w:cs="宋体"/>
          <w:i/>
          <w:iCs/>
          <w:szCs w:val="24"/>
        </w:rPr>
        <w:t xml:space="preserve"> </w:t>
      </w:r>
      <w:proofErr w:type="spellStart"/>
      <w:r w:rsidRPr="00B1590A">
        <w:rPr>
          <w:rFonts w:cs="宋体"/>
          <w:i/>
          <w:iCs/>
          <w:szCs w:val="24"/>
        </w:rPr>
        <w:t>Opin</w:t>
      </w:r>
      <w:proofErr w:type="spellEnd"/>
      <w:r w:rsidRPr="00B1590A">
        <w:rPr>
          <w:rFonts w:cs="宋体"/>
          <w:i/>
          <w:iCs/>
          <w:szCs w:val="24"/>
        </w:rPr>
        <w:t xml:space="preserve"> </w:t>
      </w:r>
      <w:proofErr w:type="spellStart"/>
      <w:r w:rsidRPr="00B1590A">
        <w:rPr>
          <w:rFonts w:cs="宋体"/>
          <w:i/>
          <w:iCs/>
          <w:szCs w:val="24"/>
        </w:rPr>
        <w:t>Gastroenterol</w:t>
      </w:r>
      <w:proofErr w:type="spellEnd"/>
      <w:r w:rsidRPr="00080C35">
        <w:rPr>
          <w:rFonts w:cs="宋体"/>
          <w:szCs w:val="24"/>
        </w:rPr>
        <w:t> </w:t>
      </w:r>
      <w:r w:rsidRPr="00B1590A">
        <w:rPr>
          <w:rFonts w:cs="宋体"/>
          <w:szCs w:val="24"/>
        </w:rPr>
        <w:t>2007;</w:t>
      </w:r>
      <w:r w:rsidRPr="00080C35">
        <w:rPr>
          <w:rFonts w:cs="宋体"/>
          <w:szCs w:val="24"/>
        </w:rPr>
        <w:t> </w:t>
      </w:r>
      <w:r w:rsidRPr="00B1590A">
        <w:rPr>
          <w:rFonts w:cs="宋体"/>
          <w:b/>
          <w:bCs/>
          <w:szCs w:val="24"/>
        </w:rPr>
        <w:t>23</w:t>
      </w:r>
      <w:r w:rsidRPr="00B1590A">
        <w:rPr>
          <w:rFonts w:cs="宋体"/>
          <w:szCs w:val="24"/>
        </w:rPr>
        <w:t>: 317-323 [PMID: 17414849 DOI: 10.1097/MOG.0b013e3280495451]</w:t>
      </w:r>
    </w:p>
    <w:p w:rsidR="00147B7B" w:rsidRPr="00B1590A" w:rsidRDefault="00147B7B" w:rsidP="009350E9">
      <w:pPr>
        <w:spacing w:after="0"/>
        <w:jc w:val="both"/>
        <w:rPr>
          <w:rFonts w:cs="宋体"/>
          <w:szCs w:val="24"/>
        </w:rPr>
      </w:pPr>
      <w:r w:rsidRPr="00B1590A">
        <w:rPr>
          <w:rFonts w:cs="宋体"/>
          <w:szCs w:val="24"/>
        </w:rPr>
        <w:t>3</w:t>
      </w:r>
      <w:r w:rsidRPr="00080C35">
        <w:rPr>
          <w:rFonts w:cs="宋体"/>
          <w:szCs w:val="24"/>
        </w:rPr>
        <w:t> </w:t>
      </w:r>
      <w:proofErr w:type="spellStart"/>
      <w:r w:rsidRPr="00B1590A">
        <w:rPr>
          <w:rFonts w:cs="宋体"/>
          <w:b/>
          <w:bCs/>
          <w:szCs w:val="24"/>
        </w:rPr>
        <w:t>Nakeeb</w:t>
      </w:r>
      <w:proofErr w:type="spellEnd"/>
      <w:r w:rsidRPr="00B1590A">
        <w:rPr>
          <w:rFonts w:cs="宋体"/>
          <w:b/>
          <w:bCs/>
          <w:szCs w:val="24"/>
        </w:rPr>
        <w:t xml:space="preserve"> A</w:t>
      </w:r>
      <w:r w:rsidRPr="00B1590A">
        <w:rPr>
          <w:rFonts w:cs="宋体"/>
          <w:szCs w:val="24"/>
        </w:rPr>
        <w:t xml:space="preserve">, Pitt HA, </w:t>
      </w:r>
      <w:proofErr w:type="spellStart"/>
      <w:r w:rsidRPr="00B1590A">
        <w:rPr>
          <w:rFonts w:cs="宋体"/>
          <w:szCs w:val="24"/>
        </w:rPr>
        <w:t>Sohn</w:t>
      </w:r>
      <w:proofErr w:type="spellEnd"/>
      <w:r w:rsidRPr="00B1590A">
        <w:rPr>
          <w:rFonts w:cs="宋体"/>
          <w:szCs w:val="24"/>
        </w:rPr>
        <w:t xml:space="preserve"> TA, Coleman J, Abrams RA, </w:t>
      </w:r>
      <w:proofErr w:type="spellStart"/>
      <w:r w:rsidRPr="00B1590A">
        <w:rPr>
          <w:rFonts w:cs="宋体"/>
          <w:szCs w:val="24"/>
        </w:rPr>
        <w:t>Piantadosi</w:t>
      </w:r>
      <w:proofErr w:type="spellEnd"/>
      <w:r w:rsidRPr="00B1590A">
        <w:rPr>
          <w:rFonts w:cs="宋体"/>
          <w:szCs w:val="24"/>
        </w:rPr>
        <w:t xml:space="preserve"> S, </w:t>
      </w:r>
      <w:proofErr w:type="spellStart"/>
      <w:r w:rsidRPr="00B1590A">
        <w:rPr>
          <w:rFonts w:cs="宋体"/>
          <w:szCs w:val="24"/>
        </w:rPr>
        <w:t>Hruban</w:t>
      </w:r>
      <w:proofErr w:type="spellEnd"/>
      <w:r w:rsidRPr="00B1590A">
        <w:rPr>
          <w:rFonts w:cs="宋体"/>
          <w:szCs w:val="24"/>
        </w:rPr>
        <w:t xml:space="preserve"> RH, </w:t>
      </w:r>
      <w:proofErr w:type="spellStart"/>
      <w:r w:rsidRPr="00B1590A">
        <w:rPr>
          <w:rFonts w:cs="宋体"/>
          <w:szCs w:val="24"/>
        </w:rPr>
        <w:t>Lillemoe</w:t>
      </w:r>
      <w:proofErr w:type="spellEnd"/>
      <w:r w:rsidRPr="00B1590A">
        <w:rPr>
          <w:rFonts w:cs="宋体"/>
          <w:szCs w:val="24"/>
        </w:rPr>
        <w:t xml:space="preserve"> KD, Yeo CJ, Cameron JL. </w:t>
      </w:r>
      <w:proofErr w:type="spellStart"/>
      <w:proofErr w:type="gramStart"/>
      <w:r w:rsidRPr="00B1590A">
        <w:rPr>
          <w:rFonts w:cs="宋体"/>
          <w:szCs w:val="24"/>
        </w:rPr>
        <w:t>Cholangiocarcinoma</w:t>
      </w:r>
      <w:proofErr w:type="spellEnd"/>
      <w:r w:rsidRPr="00B1590A">
        <w:rPr>
          <w:rFonts w:cs="宋体"/>
          <w:szCs w:val="24"/>
        </w:rPr>
        <w:t>.</w:t>
      </w:r>
      <w:proofErr w:type="gramEnd"/>
      <w:r w:rsidRPr="00B1590A">
        <w:rPr>
          <w:rFonts w:cs="宋体"/>
          <w:szCs w:val="24"/>
        </w:rPr>
        <w:t xml:space="preserve"> </w:t>
      </w:r>
      <w:proofErr w:type="gramStart"/>
      <w:r w:rsidRPr="00B1590A">
        <w:rPr>
          <w:rFonts w:cs="宋体"/>
          <w:szCs w:val="24"/>
        </w:rPr>
        <w:t xml:space="preserve">A spectrum of intrahepatic, </w:t>
      </w:r>
      <w:proofErr w:type="spellStart"/>
      <w:r w:rsidRPr="00B1590A">
        <w:rPr>
          <w:rFonts w:cs="宋体"/>
          <w:szCs w:val="24"/>
        </w:rPr>
        <w:t>perihilar</w:t>
      </w:r>
      <w:proofErr w:type="spellEnd"/>
      <w:r w:rsidRPr="00B1590A">
        <w:rPr>
          <w:rFonts w:cs="宋体"/>
          <w:szCs w:val="24"/>
        </w:rPr>
        <w:t xml:space="preserve">, and distal </w:t>
      </w:r>
      <w:proofErr w:type="spellStart"/>
      <w:r w:rsidRPr="00B1590A">
        <w:rPr>
          <w:rFonts w:cs="宋体"/>
          <w:szCs w:val="24"/>
        </w:rPr>
        <w:t>tumors</w:t>
      </w:r>
      <w:proofErr w:type="spellEnd"/>
      <w:r w:rsidRPr="00B1590A">
        <w:rPr>
          <w:rFonts w:cs="宋体"/>
          <w:szCs w:val="24"/>
        </w:rPr>
        <w:t>.</w:t>
      </w:r>
      <w:proofErr w:type="gramEnd"/>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1996;</w:t>
      </w:r>
      <w:r w:rsidRPr="00080C35">
        <w:rPr>
          <w:rFonts w:cs="宋体"/>
          <w:szCs w:val="24"/>
        </w:rPr>
        <w:t> </w:t>
      </w:r>
      <w:r w:rsidRPr="00B1590A">
        <w:rPr>
          <w:rFonts w:cs="宋体"/>
          <w:b/>
          <w:bCs/>
          <w:szCs w:val="24"/>
        </w:rPr>
        <w:t>224</w:t>
      </w:r>
      <w:r w:rsidRPr="00B1590A">
        <w:rPr>
          <w:rFonts w:cs="宋体"/>
          <w:szCs w:val="24"/>
        </w:rPr>
        <w:t>: 463-73; discussion 473-5 [PMID: 8857851 DOI: 10.1097/00000658-199610000-00005]</w:t>
      </w:r>
    </w:p>
    <w:p w:rsidR="00147B7B" w:rsidRPr="00B1590A" w:rsidRDefault="00147B7B" w:rsidP="009350E9">
      <w:pPr>
        <w:spacing w:after="0"/>
        <w:jc w:val="both"/>
        <w:rPr>
          <w:rFonts w:cs="宋体"/>
          <w:szCs w:val="24"/>
        </w:rPr>
      </w:pPr>
      <w:proofErr w:type="gramStart"/>
      <w:r w:rsidRPr="00B1590A">
        <w:rPr>
          <w:rFonts w:cs="宋体"/>
          <w:szCs w:val="24"/>
        </w:rPr>
        <w:t xml:space="preserve">4 </w:t>
      </w:r>
      <w:r w:rsidRPr="00B1590A">
        <w:rPr>
          <w:rFonts w:cs="宋体"/>
          <w:b/>
          <w:szCs w:val="24"/>
        </w:rPr>
        <w:t>Longmire WP Jr</w:t>
      </w:r>
      <w:r w:rsidRPr="00B1590A">
        <w:rPr>
          <w:rFonts w:cs="宋体"/>
          <w:szCs w:val="24"/>
        </w:rPr>
        <w:t xml:space="preserve">. </w:t>
      </w:r>
      <w:proofErr w:type="spellStart"/>
      <w:r w:rsidRPr="00B1590A">
        <w:rPr>
          <w:rFonts w:cs="宋体"/>
          <w:szCs w:val="24"/>
        </w:rPr>
        <w:t>Tumor</w:t>
      </w:r>
      <w:proofErr w:type="spellEnd"/>
      <w:r w:rsidRPr="00B1590A">
        <w:rPr>
          <w:rFonts w:cs="宋体"/>
          <w:szCs w:val="24"/>
        </w:rPr>
        <w:t xml:space="preserve"> of the </w:t>
      </w:r>
      <w:proofErr w:type="spellStart"/>
      <w:r w:rsidRPr="00B1590A">
        <w:rPr>
          <w:rFonts w:cs="宋体"/>
          <w:szCs w:val="24"/>
        </w:rPr>
        <w:t>extrahepatic</w:t>
      </w:r>
      <w:proofErr w:type="spellEnd"/>
      <w:r w:rsidRPr="00B1590A">
        <w:rPr>
          <w:rFonts w:cs="宋体"/>
          <w:szCs w:val="24"/>
        </w:rPr>
        <w:t xml:space="preserve"> biliary radicals.</w:t>
      </w:r>
      <w:proofErr w:type="gramEnd"/>
      <w:r w:rsidRPr="00B1590A">
        <w:rPr>
          <w:rFonts w:cs="宋体"/>
          <w:szCs w:val="24"/>
        </w:rPr>
        <w:t xml:space="preserve"> </w:t>
      </w:r>
      <w:proofErr w:type="spellStart"/>
      <w:r w:rsidRPr="00B1590A">
        <w:rPr>
          <w:rFonts w:cs="宋体"/>
          <w:i/>
          <w:szCs w:val="24"/>
        </w:rPr>
        <w:t>Curr</w:t>
      </w:r>
      <w:proofErr w:type="spellEnd"/>
      <w:r w:rsidRPr="00B1590A">
        <w:rPr>
          <w:rFonts w:cs="宋体"/>
          <w:i/>
          <w:szCs w:val="24"/>
        </w:rPr>
        <w:t xml:space="preserve"> </w:t>
      </w:r>
      <w:proofErr w:type="spellStart"/>
      <w:r w:rsidRPr="00B1590A">
        <w:rPr>
          <w:rFonts w:cs="宋体"/>
          <w:i/>
          <w:szCs w:val="24"/>
        </w:rPr>
        <w:t>Probl</w:t>
      </w:r>
      <w:proofErr w:type="spellEnd"/>
      <w:r w:rsidRPr="00B1590A">
        <w:rPr>
          <w:rFonts w:cs="宋体"/>
          <w:i/>
          <w:szCs w:val="24"/>
        </w:rPr>
        <w:t xml:space="preserve"> Cancer </w:t>
      </w:r>
      <w:r w:rsidRPr="00B1590A">
        <w:rPr>
          <w:rFonts w:cs="宋体"/>
          <w:szCs w:val="24"/>
        </w:rPr>
        <w:t xml:space="preserve">1976; </w:t>
      </w:r>
      <w:r w:rsidRPr="00B1590A">
        <w:rPr>
          <w:rFonts w:cs="宋体"/>
          <w:b/>
          <w:szCs w:val="24"/>
        </w:rPr>
        <w:t>1</w:t>
      </w:r>
      <w:r w:rsidRPr="00B1590A">
        <w:rPr>
          <w:rFonts w:cs="宋体"/>
          <w:szCs w:val="24"/>
        </w:rPr>
        <w:t>: 1-45 [DOI: 10.1016/S0146-2806(76)80009-6]</w:t>
      </w:r>
    </w:p>
    <w:p w:rsidR="00147B7B" w:rsidRPr="00B1590A" w:rsidRDefault="00147B7B" w:rsidP="009350E9">
      <w:pPr>
        <w:spacing w:after="0"/>
        <w:jc w:val="both"/>
        <w:rPr>
          <w:rFonts w:cs="宋体"/>
          <w:szCs w:val="24"/>
        </w:rPr>
      </w:pPr>
      <w:r w:rsidRPr="00B1590A">
        <w:rPr>
          <w:rFonts w:cs="宋体"/>
          <w:szCs w:val="24"/>
        </w:rPr>
        <w:t>5</w:t>
      </w:r>
      <w:r w:rsidRPr="00080C35">
        <w:rPr>
          <w:rFonts w:cs="宋体"/>
          <w:szCs w:val="24"/>
        </w:rPr>
        <w:t> </w:t>
      </w:r>
      <w:r w:rsidRPr="00B1590A">
        <w:rPr>
          <w:rFonts w:cs="宋体"/>
          <w:b/>
          <w:bCs/>
          <w:szCs w:val="24"/>
        </w:rPr>
        <w:t>Sakamoto Y</w:t>
      </w:r>
      <w:r w:rsidRPr="00B1590A">
        <w:rPr>
          <w:rFonts w:cs="宋体"/>
          <w:szCs w:val="24"/>
        </w:rPr>
        <w:t xml:space="preserve">, </w:t>
      </w:r>
      <w:proofErr w:type="spellStart"/>
      <w:r w:rsidRPr="00B1590A">
        <w:rPr>
          <w:rFonts w:cs="宋体"/>
          <w:szCs w:val="24"/>
        </w:rPr>
        <w:t>Kosuge</w:t>
      </w:r>
      <w:proofErr w:type="spellEnd"/>
      <w:r w:rsidRPr="00B1590A">
        <w:rPr>
          <w:rFonts w:cs="宋体"/>
          <w:szCs w:val="24"/>
        </w:rPr>
        <w:t xml:space="preserve"> T, Shimada K, Sano T, </w:t>
      </w:r>
      <w:proofErr w:type="spellStart"/>
      <w:r w:rsidRPr="00B1590A">
        <w:rPr>
          <w:rFonts w:cs="宋体"/>
          <w:szCs w:val="24"/>
        </w:rPr>
        <w:t>Ojima</w:t>
      </w:r>
      <w:proofErr w:type="spellEnd"/>
      <w:r w:rsidRPr="00B1590A">
        <w:rPr>
          <w:rFonts w:cs="宋体"/>
          <w:szCs w:val="24"/>
        </w:rPr>
        <w:t xml:space="preserve"> H, Yamamoto J, Yamasaki S, </w:t>
      </w:r>
      <w:proofErr w:type="spellStart"/>
      <w:r w:rsidRPr="00B1590A">
        <w:rPr>
          <w:rFonts w:cs="宋体"/>
          <w:szCs w:val="24"/>
        </w:rPr>
        <w:t>Takayama</w:t>
      </w:r>
      <w:proofErr w:type="spellEnd"/>
      <w:r w:rsidRPr="00B1590A">
        <w:rPr>
          <w:rFonts w:cs="宋体"/>
          <w:szCs w:val="24"/>
        </w:rPr>
        <w:t xml:space="preserve"> T, </w:t>
      </w:r>
      <w:proofErr w:type="spellStart"/>
      <w:r w:rsidRPr="00B1590A">
        <w:rPr>
          <w:rFonts w:cs="宋体"/>
          <w:szCs w:val="24"/>
        </w:rPr>
        <w:t>Makuuchi</w:t>
      </w:r>
      <w:proofErr w:type="spellEnd"/>
      <w:r w:rsidRPr="00B1590A">
        <w:rPr>
          <w:rFonts w:cs="宋体"/>
          <w:szCs w:val="24"/>
        </w:rPr>
        <w:t xml:space="preserve"> M. Prognostic factors of surgical resection in middle and distal bile duct cancer: an analysis of 55 patients concerning the significance of ductal and radial margins.</w:t>
      </w:r>
      <w:r w:rsidRPr="00080C35">
        <w:rPr>
          <w:rFonts w:cs="宋体"/>
          <w:szCs w:val="24"/>
        </w:rPr>
        <w:t> </w:t>
      </w:r>
      <w:r w:rsidRPr="00B1590A">
        <w:rPr>
          <w:rFonts w:cs="宋体"/>
          <w:i/>
          <w:iCs/>
          <w:szCs w:val="24"/>
        </w:rPr>
        <w:t>Surgery</w:t>
      </w:r>
      <w:r w:rsidRPr="00080C35">
        <w:rPr>
          <w:rFonts w:cs="宋体"/>
          <w:szCs w:val="24"/>
        </w:rPr>
        <w:t> </w:t>
      </w:r>
      <w:r w:rsidRPr="00B1590A">
        <w:rPr>
          <w:rFonts w:cs="宋体"/>
          <w:szCs w:val="24"/>
        </w:rPr>
        <w:t>2005;</w:t>
      </w:r>
      <w:r w:rsidRPr="00080C35">
        <w:rPr>
          <w:rFonts w:cs="宋体"/>
          <w:szCs w:val="24"/>
        </w:rPr>
        <w:t> </w:t>
      </w:r>
      <w:r w:rsidRPr="00B1590A">
        <w:rPr>
          <w:rFonts w:cs="宋体"/>
          <w:b/>
          <w:bCs/>
          <w:szCs w:val="24"/>
        </w:rPr>
        <w:t>137</w:t>
      </w:r>
      <w:r w:rsidRPr="00B1590A">
        <w:rPr>
          <w:rFonts w:cs="宋体"/>
          <w:szCs w:val="24"/>
        </w:rPr>
        <w:t>: 396-402 [PMID: 15800484 DOI: 10.1016/j.surg.2004.10.008]</w:t>
      </w:r>
    </w:p>
    <w:p w:rsidR="00147B7B" w:rsidRPr="00B1590A" w:rsidRDefault="00147B7B" w:rsidP="009350E9">
      <w:pPr>
        <w:spacing w:after="0"/>
        <w:jc w:val="both"/>
        <w:rPr>
          <w:rFonts w:cs="宋体"/>
          <w:szCs w:val="24"/>
        </w:rPr>
      </w:pPr>
      <w:r w:rsidRPr="00B1590A">
        <w:rPr>
          <w:rFonts w:cs="宋体"/>
          <w:szCs w:val="24"/>
        </w:rPr>
        <w:t>6</w:t>
      </w:r>
      <w:r w:rsidRPr="00080C35">
        <w:rPr>
          <w:rFonts w:cs="宋体"/>
          <w:szCs w:val="24"/>
        </w:rPr>
        <w:t> </w:t>
      </w:r>
      <w:r w:rsidRPr="00B1590A">
        <w:rPr>
          <w:rFonts w:cs="宋体"/>
          <w:b/>
          <w:bCs/>
          <w:szCs w:val="24"/>
        </w:rPr>
        <w:t>Jang JY</w:t>
      </w:r>
      <w:r w:rsidRPr="00B1590A">
        <w:rPr>
          <w:rFonts w:cs="宋体"/>
          <w:szCs w:val="24"/>
        </w:rPr>
        <w:t xml:space="preserve">, Kim SW, Park DJ, </w:t>
      </w:r>
      <w:proofErr w:type="spellStart"/>
      <w:r w:rsidRPr="00B1590A">
        <w:rPr>
          <w:rFonts w:cs="宋体"/>
          <w:szCs w:val="24"/>
        </w:rPr>
        <w:t>Ahn</w:t>
      </w:r>
      <w:proofErr w:type="spellEnd"/>
      <w:r w:rsidRPr="00B1590A">
        <w:rPr>
          <w:rFonts w:cs="宋体"/>
          <w:szCs w:val="24"/>
        </w:rPr>
        <w:t xml:space="preserve"> YJ, Yoon YS, Choi MG, </w:t>
      </w:r>
      <w:proofErr w:type="spellStart"/>
      <w:r w:rsidRPr="00B1590A">
        <w:rPr>
          <w:rFonts w:cs="宋体"/>
          <w:szCs w:val="24"/>
        </w:rPr>
        <w:t>Suh</w:t>
      </w:r>
      <w:proofErr w:type="spellEnd"/>
      <w:r w:rsidRPr="00B1590A">
        <w:rPr>
          <w:rFonts w:cs="宋体"/>
          <w:szCs w:val="24"/>
        </w:rPr>
        <w:t xml:space="preserve"> KS, Lee KU, Park YH. </w:t>
      </w:r>
      <w:proofErr w:type="gramStart"/>
      <w:r w:rsidRPr="00B1590A">
        <w:rPr>
          <w:rFonts w:cs="宋体"/>
          <w:szCs w:val="24"/>
        </w:rPr>
        <w:t xml:space="preserve">Actual long-term outcome of </w:t>
      </w:r>
      <w:proofErr w:type="spellStart"/>
      <w:r w:rsidRPr="00B1590A">
        <w:rPr>
          <w:rFonts w:cs="宋体"/>
          <w:szCs w:val="24"/>
        </w:rPr>
        <w:t>extrahepatic</w:t>
      </w:r>
      <w:proofErr w:type="spellEnd"/>
      <w:r w:rsidRPr="00B1590A">
        <w:rPr>
          <w:rFonts w:cs="宋体"/>
          <w:szCs w:val="24"/>
        </w:rPr>
        <w:t xml:space="preserve"> bile duct cancer after surgical resection.</w:t>
      </w:r>
      <w:proofErr w:type="gramEnd"/>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2005;</w:t>
      </w:r>
      <w:r w:rsidRPr="00080C35">
        <w:rPr>
          <w:rFonts w:cs="宋体"/>
          <w:szCs w:val="24"/>
        </w:rPr>
        <w:t> </w:t>
      </w:r>
      <w:r w:rsidRPr="00B1590A">
        <w:rPr>
          <w:rFonts w:cs="宋体"/>
          <w:b/>
          <w:bCs/>
          <w:szCs w:val="24"/>
        </w:rPr>
        <w:t>241</w:t>
      </w:r>
      <w:r w:rsidRPr="00B1590A">
        <w:rPr>
          <w:rFonts w:cs="宋体"/>
          <w:szCs w:val="24"/>
        </w:rPr>
        <w:t>: 77-84 [PMID: 15621994]</w:t>
      </w:r>
    </w:p>
    <w:p w:rsidR="00147B7B" w:rsidRPr="00B1590A" w:rsidRDefault="00147B7B" w:rsidP="009350E9">
      <w:pPr>
        <w:spacing w:after="0"/>
        <w:jc w:val="both"/>
        <w:rPr>
          <w:rFonts w:cs="宋体"/>
          <w:szCs w:val="24"/>
        </w:rPr>
      </w:pPr>
      <w:r w:rsidRPr="00B1590A">
        <w:rPr>
          <w:rFonts w:cs="宋体"/>
          <w:szCs w:val="24"/>
        </w:rPr>
        <w:t>7</w:t>
      </w:r>
      <w:r w:rsidRPr="00080C35">
        <w:rPr>
          <w:rFonts w:cs="宋体"/>
          <w:szCs w:val="24"/>
        </w:rPr>
        <w:t> </w:t>
      </w:r>
      <w:proofErr w:type="spellStart"/>
      <w:r w:rsidRPr="00B1590A">
        <w:rPr>
          <w:rFonts w:cs="宋体"/>
          <w:b/>
          <w:bCs/>
          <w:szCs w:val="24"/>
        </w:rPr>
        <w:t>Bahra</w:t>
      </w:r>
      <w:proofErr w:type="spellEnd"/>
      <w:r w:rsidRPr="00B1590A">
        <w:rPr>
          <w:rFonts w:cs="宋体"/>
          <w:b/>
          <w:bCs/>
          <w:szCs w:val="24"/>
        </w:rPr>
        <w:t xml:space="preserve"> M</w:t>
      </w:r>
      <w:r w:rsidRPr="00B1590A">
        <w:rPr>
          <w:rFonts w:cs="宋体"/>
          <w:szCs w:val="24"/>
        </w:rPr>
        <w:t xml:space="preserve">, Jacob D, </w:t>
      </w:r>
      <w:proofErr w:type="spellStart"/>
      <w:r w:rsidRPr="00B1590A">
        <w:rPr>
          <w:rFonts w:cs="宋体"/>
          <w:szCs w:val="24"/>
        </w:rPr>
        <w:t>Langrehr</w:t>
      </w:r>
      <w:proofErr w:type="spellEnd"/>
      <w:r w:rsidRPr="00B1590A">
        <w:rPr>
          <w:rFonts w:cs="宋体"/>
          <w:szCs w:val="24"/>
        </w:rPr>
        <w:t xml:space="preserve"> JM, Neumann UP, </w:t>
      </w:r>
      <w:proofErr w:type="spellStart"/>
      <w:r w:rsidRPr="00B1590A">
        <w:rPr>
          <w:rFonts w:cs="宋体"/>
          <w:szCs w:val="24"/>
        </w:rPr>
        <w:t>Neuhaus</w:t>
      </w:r>
      <w:proofErr w:type="spellEnd"/>
      <w:r w:rsidRPr="00B1590A">
        <w:rPr>
          <w:rFonts w:cs="宋体"/>
          <w:szCs w:val="24"/>
        </w:rPr>
        <w:t xml:space="preserve"> P. Carcinoma of the distal and middle bile duct: surgical results, prognostic factors, and long-term follow-up.</w:t>
      </w:r>
      <w:r w:rsidRPr="00080C35">
        <w:rPr>
          <w:rFonts w:cs="宋体"/>
          <w:szCs w:val="24"/>
        </w:rPr>
        <w:t> </w:t>
      </w:r>
      <w:r w:rsidRPr="00B1590A">
        <w:rPr>
          <w:rFonts w:cs="宋体"/>
          <w:i/>
          <w:iCs/>
          <w:szCs w:val="24"/>
        </w:rPr>
        <w:t xml:space="preserve">J </w:t>
      </w:r>
      <w:proofErr w:type="spellStart"/>
      <w:r w:rsidRPr="00B1590A">
        <w:rPr>
          <w:rFonts w:cs="宋体"/>
          <w:i/>
          <w:iCs/>
          <w:szCs w:val="24"/>
        </w:rPr>
        <w:t>Hepatobiliary</w:t>
      </w:r>
      <w:proofErr w:type="spellEnd"/>
      <w:r w:rsidRPr="00B1590A">
        <w:rPr>
          <w:rFonts w:cs="宋体"/>
          <w:i/>
          <w:iCs/>
          <w:szCs w:val="24"/>
        </w:rPr>
        <w:t xml:space="preserve"> </w:t>
      </w:r>
      <w:proofErr w:type="spellStart"/>
      <w:r w:rsidRPr="00B1590A">
        <w:rPr>
          <w:rFonts w:cs="宋体"/>
          <w:i/>
          <w:iCs/>
          <w:szCs w:val="24"/>
        </w:rPr>
        <w:t>Pancreat</w:t>
      </w:r>
      <w:proofErr w:type="spellEnd"/>
      <w:r w:rsidRPr="00B1590A">
        <w:rPr>
          <w:rFonts w:cs="宋体"/>
          <w:i/>
          <w:iCs/>
          <w:szCs w:val="24"/>
        </w:rPr>
        <w:t xml:space="preserve"> </w:t>
      </w:r>
      <w:proofErr w:type="spellStart"/>
      <w:r w:rsidRPr="00B1590A">
        <w:rPr>
          <w:rFonts w:cs="宋体"/>
          <w:i/>
          <w:iCs/>
          <w:szCs w:val="24"/>
        </w:rPr>
        <w:t>Surg</w:t>
      </w:r>
      <w:proofErr w:type="spellEnd"/>
      <w:r w:rsidRPr="00080C35">
        <w:rPr>
          <w:rFonts w:cs="宋体"/>
          <w:szCs w:val="24"/>
        </w:rPr>
        <w:t> </w:t>
      </w:r>
      <w:r w:rsidRPr="00B1590A">
        <w:rPr>
          <w:rFonts w:cs="宋体"/>
          <w:szCs w:val="24"/>
        </w:rPr>
        <w:t>2008;</w:t>
      </w:r>
      <w:r w:rsidRPr="00080C35">
        <w:rPr>
          <w:rFonts w:cs="宋体"/>
          <w:szCs w:val="24"/>
        </w:rPr>
        <w:t> </w:t>
      </w:r>
      <w:r w:rsidRPr="00B1590A">
        <w:rPr>
          <w:rFonts w:cs="宋体"/>
          <w:b/>
          <w:bCs/>
          <w:szCs w:val="24"/>
        </w:rPr>
        <w:t>15</w:t>
      </w:r>
      <w:r w:rsidRPr="00B1590A">
        <w:rPr>
          <w:rFonts w:cs="宋体"/>
          <w:szCs w:val="24"/>
        </w:rPr>
        <w:t>: 501-507 [PMID: 18836804 DOI: 10.1007/s00534-007-1308-4]</w:t>
      </w:r>
    </w:p>
    <w:p w:rsidR="00147B7B" w:rsidRPr="00B1590A" w:rsidRDefault="00147B7B" w:rsidP="009350E9">
      <w:pPr>
        <w:spacing w:after="0"/>
        <w:jc w:val="both"/>
        <w:rPr>
          <w:rFonts w:cs="宋体"/>
          <w:szCs w:val="24"/>
        </w:rPr>
      </w:pPr>
      <w:r w:rsidRPr="00B1590A">
        <w:rPr>
          <w:rFonts w:cs="宋体"/>
          <w:szCs w:val="24"/>
        </w:rPr>
        <w:lastRenderedPageBreak/>
        <w:t>8</w:t>
      </w:r>
      <w:r w:rsidRPr="00080C35">
        <w:rPr>
          <w:rFonts w:cs="宋体"/>
          <w:szCs w:val="24"/>
        </w:rPr>
        <w:t> </w:t>
      </w:r>
      <w:proofErr w:type="spellStart"/>
      <w:r w:rsidRPr="00B1590A">
        <w:rPr>
          <w:rFonts w:cs="宋体"/>
          <w:b/>
          <w:bCs/>
          <w:szCs w:val="24"/>
        </w:rPr>
        <w:t>Nagahashi</w:t>
      </w:r>
      <w:proofErr w:type="spellEnd"/>
      <w:r w:rsidRPr="00B1590A">
        <w:rPr>
          <w:rFonts w:cs="宋体"/>
          <w:b/>
          <w:bCs/>
          <w:szCs w:val="24"/>
        </w:rPr>
        <w:t xml:space="preserve"> M</w:t>
      </w:r>
      <w:r w:rsidRPr="00B1590A">
        <w:rPr>
          <w:rFonts w:cs="宋体"/>
          <w:szCs w:val="24"/>
        </w:rPr>
        <w:t xml:space="preserve">, </w:t>
      </w:r>
      <w:proofErr w:type="spellStart"/>
      <w:r w:rsidRPr="00B1590A">
        <w:rPr>
          <w:rFonts w:cs="宋体"/>
          <w:szCs w:val="24"/>
        </w:rPr>
        <w:t>Shirai</w:t>
      </w:r>
      <w:proofErr w:type="spellEnd"/>
      <w:r w:rsidRPr="00B1590A">
        <w:rPr>
          <w:rFonts w:cs="宋体"/>
          <w:szCs w:val="24"/>
        </w:rPr>
        <w:t xml:space="preserve"> Y, </w:t>
      </w:r>
      <w:proofErr w:type="spellStart"/>
      <w:r w:rsidRPr="00B1590A">
        <w:rPr>
          <w:rFonts w:cs="宋体"/>
          <w:szCs w:val="24"/>
        </w:rPr>
        <w:t>Wakai</w:t>
      </w:r>
      <w:proofErr w:type="spellEnd"/>
      <w:r w:rsidRPr="00B1590A">
        <w:rPr>
          <w:rFonts w:cs="宋体"/>
          <w:szCs w:val="24"/>
        </w:rPr>
        <w:t xml:space="preserve"> T, Sakata J, </w:t>
      </w:r>
      <w:proofErr w:type="spellStart"/>
      <w:r w:rsidRPr="00B1590A">
        <w:rPr>
          <w:rFonts w:cs="宋体"/>
          <w:szCs w:val="24"/>
        </w:rPr>
        <w:t>Ajioka</w:t>
      </w:r>
      <w:proofErr w:type="spellEnd"/>
      <w:r w:rsidRPr="00B1590A">
        <w:rPr>
          <w:rFonts w:cs="宋体"/>
          <w:szCs w:val="24"/>
        </w:rPr>
        <w:t xml:space="preserve"> Y, Nomura T, Tsuchiya Y, </w:t>
      </w:r>
      <w:proofErr w:type="spellStart"/>
      <w:r w:rsidRPr="00B1590A">
        <w:rPr>
          <w:rFonts w:cs="宋体"/>
          <w:szCs w:val="24"/>
        </w:rPr>
        <w:t>Hatakeyama</w:t>
      </w:r>
      <w:proofErr w:type="spellEnd"/>
      <w:r w:rsidRPr="00B1590A">
        <w:rPr>
          <w:rFonts w:cs="宋体"/>
          <w:szCs w:val="24"/>
        </w:rPr>
        <w:t xml:space="preserve"> K. Depth of invasion determines the </w:t>
      </w:r>
      <w:proofErr w:type="spellStart"/>
      <w:r w:rsidRPr="00B1590A">
        <w:rPr>
          <w:rFonts w:cs="宋体"/>
          <w:szCs w:val="24"/>
        </w:rPr>
        <w:t>postresectional</w:t>
      </w:r>
      <w:proofErr w:type="spellEnd"/>
      <w:r w:rsidRPr="00B1590A">
        <w:rPr>
          <w:rFonts w:cs="宋体"/>
          <w:szCs w:val="24"/>
        </w:rPr>
        <w:t xml:space="preserve"> prognosis for patients with T1 </w:t>
      </w:r>
      <w:proofErr w:type="spellStart"/>
      <w:r w:rsidRPr="00B1590A">
        <w:rPr>
          <w:rFonts w:cs="宋体"/>
          <w:szCs w:val="24"/>
        </w:rPr>
        <w:t>extrahepatic</w:t>
      </w:r>
      <w:proofErr w:type="spellEnd"/>
      <w:r w:rsidRPr="00B1590A">
        <w:rPr>
          <w:rFonts w:cs="宋体"/>
          <w:szCs w:val="24"/>
        </w:rPr>
        <w:t xml:space="preserve"> </w:t>
      </w:r>
      <w:proofErr w:type="spellStart"/>
      <w:r w:rsidRPr="00B1590A">
        <w:rPr>
          <w:rFonts w:cs="宋体"/>
          <w:szCs w:val="24"/>
        </w:rPr>
        <w:t>cholangiocarcinoma</w:t>
      </w:r>
      <w:proofErr w:type="spellEnd"/>
      <w:r w:rsidRPr="00B1590A">
        <w:rPr>
          <w:rFonts w:cs="宋体"/>
          <w:szCs w:val="24"/>
        </w:rPr>
        <w:t>.</w:t>
      </w:r>
      <w:r w:rsidRPr="00080C35">
        <w:rPr>
          <w:rFonts w:cs="宋体"/>
          <w:szCs w:val="24"/>
        </w:rPr>
        <w:t> </w:t>
      </w:r>
      <w:r w:rsidRPr="00B1590A">
        <w:rPr>
          <w:rFonts w:cs="宋体"/>
          <w:i/>
          <w:iCs/>
          <w:szCs w:val="24"/>
        </w:rPr>
        <w:t>Cancer</w:t>
      </w:r>
      <w:r w:rsidRPr="00080C35">
        <w:rPr>
          <w:rFonts w:cs="宋体"/>
          <w:szCs w:val="24"/>
        </w:rPr>
        <w:t> </w:t>
      </w:r>
      <w:r w:rsidRPr="00B1590A">
        <w:rPr>
          <w:rFonts w:cs="宋体"/>
          <w:szCs w:val="24"/>
        </w:rPr>
        <w:t>2010;</w:t>
      </w:r>
      <w:r w:rsidRPr="00080C35">
        <w:rPr>
          <w:rFonts w:cs="宋体"/>
          <w:szCs w:val="24"/>
        </w:rPr>
        <w:t> </w:t>
      </w:r>
      <w:r w:rsidRPr="00B1590A">
        <w:rPr>
          <w:rFonts w:cs="宋体"/>
          <w:b/>
          <w:bCs/>
          <w:szCs w:val="24"/>
        </w:rPr>
        <w:t>116</w:t>
      </w:r>
      <w:r w:rsidRPr="00B1590A">
        <w:rPr>
          <w:rFonts w:cs="宋体"/>
          <w:szCs w:val="24"/>
        </w:rPr>
        <w:t>: 400-405 [PMID: 19950133]</w:t>
      </w:r>
    </w:p>
    <w:p w:rsidR="00147B7B" w:rsidRPr="00B1590A" w:rsidRDefault="00147B7B" w:rsidP="009350E9">
      <w:pPr>
        <w:spacing w:after="0"/>
        <w:jc w:val="both"/>
        <w:rPr>
          <w:rFonts w:cs="宋体"/>
          <w:szCs w:val="24"/>
        </w:rPr>
      </w:pPr>
      <w:r w:rsidRPr="00B1590A">
        <w:rPr>
          <w:rFonts w:cs="宋体"/>
          <w:szCs w:val="24"/>
        </w:rPr>
        <w:t>9</w:t>
      </w:r>
      <w:r w:rsidRPr="00080C35">
        <w:rPr>
          <w:rFonts w:cs="宋体"/>
          <w:szCs w:val="24"/>
        </w:rPr>
        <w:t> </w:t>
      </w:r>
      <w:proofErr w:type="spellStart"/>
      <w:r w:rsidRPr="00B1590A">
        <w:rPr>
          <w:rFonts w:cs="宋体"/>
          <w:b/>
          <w:bCs/>
          <w:szCs w:val="24"/>
        </w:rPr>
        <w:t>Blom</w:t>
      </w:r>
      <w:proofErr w:type="spellEnd"/>
      <w:r w:rsidRPr="00B1590A">
        <w:rPr>
          <w:rFonts w:cs="宋体"/>
          <w:b/>
          <w:bCs/>
          <w:szCs w:val="24"/>
        </w:rPr>
        <w:t xml:space="preserve"> D</w:t>
      </w:r>
      <w:r w:rsidRPr="00B1590A">
        <w:rPr>
          <w:rFonts w:cs="宋体"/>
          <w:szCs w:val="24"/>
        </w:rPr>
        <w:t xml:space="preserve">, Schwartz SI. Surgical treatment and outcomes in carcinoma of the </w:t>
      </w:r>
      <w:proofErr w:type="spellStart"/>
      <w:r w:rsidRPr="00B1590A">
        <w:rPr>
          <w:rFonts w:cs="宋体"/>
          <w:szCs w:val="24"/>
        </w:rPr>
        <w:t>extrahepatic</w:t>
      </w:r>
      <w:proofErr w:type="spellEnd"/>
      <w:r w:rsidRPr="00B1590A">
        <w:rPr>
          <w:rFonts w:cs="宋体"/>
          <w:szCs w:val="24"/>
        </w:rPr>
        <w:t xml:space="preserve"> bile ducts: the University of Rochester experience.</w:t>
      </w:r>
      <w:r w:rsidRPr="00080C35">
        <w:rPr>
          <w:rFonts w:cs="宋体"/>
          <w:szCs w:val="24"/>
        </w:rPr>
        <w:t> </w:t>
      </w:r>
      <w:r w:rsidRPr="00B1590A">
        <w:rPr>
          <w:rFonts w:cs="宋体"/>
          <w:i/>
          <w:iCs/>
          <w:szCs w:val="24"/>
        </w:rPr>
        <w:t xml:space="preserve">Arch </w:t>
      </w:r>
      <w:proofErr w:type="spellStart"/>
      <w:r w:rsidRPr="00B1590A">
        <w:rPr>
          <w:rFonts w:cs="宋体"/>
          <w:i/>
          <w:iCs/>
          <w:szCs w:val="24"/>
        </w:rPr>
        <w:t>Surg</w:t>
      </w:r>
      <w:proofErr w:type="spellEnd"/>
      <w:r w:rsidRPr="00080C35">
        <w:rPr>
          <w:rFonts w:cs="宋体"/>
          <w:szCs w:val="24"/>
        </w:rPr>
        <w:t> </w:t>
      </w:r>
      <w:r w:rsidRPr="00B1590A">
        <w:rPr>
          <w:rFonts w:cs="宋体"/>
          <w:szCs w:val="24"/>
        </w:rPr>
        <w:t>2001;</w:t>
      </w:r>
      <w:r w:rsidRPr="00080C35">
        <w:rPr>
          <w:rFonts w:cs="宋体"/>
          <w:szCs w:val="24"/>
        </w:rPr>
        <w:t> </w:t>
      </w:r>
      <w:r w:rsidRPr="00B1590A">
        <w:rPr>
          <w:rFonts w:cs="宋体"/>
          <w:b/>
          <w:bCs/>
          <w:szCs w:val="24"/>
        </w:rPr>
        <w:t>136</w:t>
      </w:r>
      <w:r w:rsidRPr="00B1590A">
        <w:rPr>
          <w:rFonts w:cs="宋体"/>
          <w:szCs w:val="24"/>
        </w:rPr>
        <w:t>: 209-215 [PMID: 11177143 DOI: 10.1001/archsurg.136.2.209]</w:t>
      </w:r>
    </w:p>
    <w:p w:rsidR="00147B7B" w:rsidRPr="00B1590A" w:rsidRDefault="00147B7B" w:rsidP="009350E9">
      <w:pPr>
        <w:spacing w:after="0"/>
        <w:jc w:val="both"/>
        <w:rPr>
          <w:rFonts w:cs="宋体"/>
          <w:szCs w:val="24"/>
        </w:rPr>
      </w:pPr>
      <w:proofErr w:type="gramStart"/>
      <w:r w:rsidRPr="00B1590A">
        <w:rPr>
          <w:rFonts w:cs="宋体"/>
          <w:szCs w:val="24"/>
        </w:rPr>
        <w:t>10</w:t>
      </w:r>
      <w:r w:rsidRPr="00080C35">
        <w:rPr>
          <w:rFonts w:cs="宋体"/>
          <w:szCs w:val="24"/>
        </w:rPr>
        <w:t> </w:t>
      </w:r>
      <w:proofErr w:type="spellStart"/>
      <w:r w:rsidRPr="00B1590A">
        <w:rPr>
          <w:rFonts w:cs="宋体"/>
          <w:b/>
          <w:bCs/>
          <w:szCs w:val="24"/>
        </w:rPr>
        <w:t>Gibby</w:t>
      </w:r>
      <w:proofErr w:type="spellEnd"/>
      <w:r w:rsidRPr="00B1590A">
        <w:rPr>
          <w:rFonts w:cs="宋体"/>
          <w:b/>
          <w:bCs/>
          <w:szCs w:val="24"/>
        </w:rPr>
        <w:t xml:space="preserve"> DG</w:t>
      </w:r>
      <w:r w:rsidRPr="00B1590A">
        <w:rPr>
          <w:rFonts w:cs="宋体"/>
          <w:szCs w:val="24"/>
        </w:rPr>
        <w:t xml:space="preserve">, Hanks JB, </w:t>
      </w:r>
      <w:proofErr w:type="spellStart"/>
      <w:r w:rsidRPr="00B1590A">
        <w:rPr>
          <w:rFonts w:cs="宋体"/>
          <w:szCs w:val="24"/>
        </w:rPr>
        <w:t>Wanebo</w:t>
      </w:r>
      <w:proofErr w:type="spellEnd"/>
      <w:r w:rsidRPr="00B1590A">
        <w:rPr>
          <w:rFonts w:cs="宋体"/>
          <w:szCs w:val="24"/>
        </w:rPr>
        <w:t xml:space="preserve"> HJ, Kaiser DL, </w:t>
      </w:r>
      <w:proofErr w:type="spellStart"/>
      <w:r w:rsidRPr="00B1590A">
        <w:rPr>
          <w:rFonts w:cs="宋体"/>
          <w:szCs w:val="24"/>
        </w:rPr>
        <w:t>Tegtmeyer</w:t>
      </w:r>
      <w:proofErr w:type="spellEnd"/>
      <w:r w:rsidRPr="00B1590A">
        <w:rPr>
          <w:rFonts w:cs="宋体"/>
          <w:szCs w:val="24"/>
        </w:rPr>
        <w:t xml:space="preserve"> CJ, Chandler JG, Jones RS.</w:t>
      </w:r>
      <w:proofErr w:type="gramEnd"/>
      <w:r w:rsidRPr="00B1590A">
        <w:rPr>
          <w:rFonts w:cs="宋体"/>
          <w:szCs w:val="24"/>
        </w:rPr>
        <w:t xml:space="preserve"> </w:t>
      </w:r>
      <w:proofErr w:type="gramStart"/>
      <w:r w:rsidRPr="00B1590A">
        <w:rPr>
          <w:rFonts w:cs="宋体"/>
          <w:szCs w:val="24"/>
        </w:rPr>
        <w:t>Bile duct carcinoma.</w:t>
      </w:r>
      <w:proofErr w:type="gramEnd"/>
      <w:r w:rsidRPr="00B1590A">
        <w:rPr>
          <w:rFonts w:cs="宋体"/>
          <w:szCs w:val="24"/>
        </w:rPr>
        <w:t xml:space="preserve"> </w:t>
      </w:r>
      <w:proofErr w:type="gramStart"/>
      <w:r w:rsidRPr="00B1590A">
        <w:rPr>
          <w:rFonts w:cs="宋体"/>
          <w:szCs w:val="24"/>
        </w:rPr>
        <w:t>Diagnosis and treatment.</w:t>
      </w:r>
      <w:proofErr w:type="gramEnd"/>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1985;</w:t>
      </w:r>
      <w:r w:rsidRPr="00080C35">
        <w:rPr>
          <w:rFonts w:cs="宋体"/>
          <w:szCs w:val="24"/>
        </w:rPr>
        <w:t> </w:t>
      </w:r>
      <w:r w:rsidRPr="00B1590A">
        <w:rPr>
          <w:rFonts w:cs="宋体"/>
          <w:b/>
          <w:bCs/>
          <w:szCs w:val="24"/>
        </w:rPr>
        <w:t>202</w:t>
      </w:r>
      <w:r w:rsidRPr="00B1590A">
        <w:rPr>
          <w:rFonts w:cs="宋体"/>
          <w:szCs w:val="24"/>
        </w:rPr>
        <w:t>: 139-144 [PMID: 2990361 DOI: 10.1097/00000658-198508000-00001]</w:t>
      </w:r>
    </w:p>
    <w:p w:rsidR="00147B7B" w:rsidRPr="00B1590A" w:rsidRDefault="00147B7B" w:rsidP="009350E9">
      <w:pPr>
        <w:spacing w:after="0"/>
        <w:jc w:val="both"/>
        <w:rPr>
          <w:rFonts w:cs="宋体"/>
          <w:szCs w:val="24"/>
        </w:rPr>
      </w:pPr>
      <w:r w:rsidRPr="00B1590A">
        <w:rPr>
          <w:rFonts w:cs="宋体"/>
          <w:szCs w:val="24"/>
        </w:rPr>
        <w:t>11</w:t>
      </w:r>
      <w:r w:rsidRPr="00080C35">
        <w:rPr>
          <w:rFonts w:cs="宋体"/>
          <w:szCs w:val="24"/>
        </w:rPr>
        <w:t> </w:t>
      </w:r>
      <w:r w:rsidRPr="00B1590A">
        <w:rPr>
          <w:rFonts w:cs="宋体"/>
          <w:b/>
          <w:bCs/>
          <w:szCs w:val="24"/>
        </w:rPr>
        <w:t>Burke EC</w:t>
      </w:r>
      <w:r w:rsidRPr="00B1590A">
        <w:rPr>
          <w:rFonts w:cs="宋体"/>
          <w:szCs w:val="24"/>
        </w:rPr>
        <w:t xml:space="preserve">, </w:t>
      </w:r>
      <w:proofErr w:type="spellStart"/>
      <w:r w:rsidRPr="00B1590A">
        <w:rPr>
          <w:rFonts w:cs="宋体"/>
          <w:szCs w:val="24"/>
        </w:rPr>
        <w:t>Jarnagin</w:t>
      </w:r>
      <w:proofErr w:type="spellEnd"/>
      <w:r w:rsidRPr="00B1590A">
        <w:rPr>
          <w:rFonts w:cs="宋体"/>
          <w:szCs w:val="24"/>
        </w:rPr>
        <w:t xml:space="preserve"> WR, </w:t>
      </w:r>
      <w:proofErr w:type="spellStart"/>
      <w:r w:rsidRPr="00B1590A">
        <w:rPr>
          <w:rFonts w:cs="宋体"/>
          <w:szCs w:val="24"/>
        </w:rPr>
        <w:t>Hochwald</w:t>
      </w:r>
      <w:proofErr w:type="spellEnd"/>
      <w:r w:rsidRPr="00B1590A">
        <w:rPr>
          <w:rFonts w:cs="宋体"/>
          <w:szCs w:val="24"/>
        </w:rPr>
        <w:t xml:space="preserve"> SN, </w:t>
      </w:r>
      <w:proofErr w:type="spellStart"/>
      <w:r w:rsidRPr="00B1590A">
        <w:rPr>
          <w:rFonts w:cs="宋体"/>
          <w:szCs w:val="24"/>
        </w:rPr>
        <w:t>Pisters</w:t>
      </w:r>
      <w:proofErr w:type="spellEnd"/>
      <w:r w:rsidRPr="00B1590A">
        <w:rPr>
          <w:rFonts w:cs="宋体"/>
          <w:szCs w:val="24"/>
        </w:rPr>
        <w:t xml:space="preserve"> PW, Fong Y, </w:t>
      </w:r>
      <w:proofErr w:type="spellStart"/>
      <w:r w:rsidRPr="00B1590A">
        <w:rPr>
          <w:rFonts w:cs="宋体"/>
          <w:szCs w:val="24"/>
        </w:rPr>
        <w:t>Blumgart</w:t>
      </w:r>
      <w:proofErr w:type="spellEnd"/>
      <w:r w:rsidRPr="00B1590A">
        <w:rPr>
          <w:rFonts w:cs="宋体"/>
          <w:szCs w:val="24"/>
        </w:rPr>
        <w:t xml:space="preserve"> LH. </w:t>
      </w:r>
      <w:proofErr w:type="spellStart"/>
      <w:r w:rsidRPr="00B1590A">
        <w:rPr>
          <w:rFonts w:cs="宋体"/>
          <w:szCs w:val="24"/>
        </w:rPr>
        <w:t>Hilar</w:t>
      </w:r>
      <w:proofErr w:type="spellEnd"/>
      <w:r w:rsidRPr="00B1590A">
        <w:rPr>
          <w:rFonts w:cs="宋体"/>
          <w:szCs w:val="24"/>
        </w:rPr>
        <w:t xml:space="preserve"> </w:t>
      </w:r>
      <w:proofErr w:type="spellStart"/>
      <w:r w:rsidRPr="00B1590A">
        <w:rPr>
          <w:rFonts w:cs="宋体"/>
          <w:szCs w:val="24"/>
        </w:rPr>
        <w:t>Cholangiocarcinoma</w:t>
      </w:r>
      <w:proofErr w:type="spellEnd"/>
      <w:r w:rsidRPr="00B1590A">
        <w:rPr>
          <w:rFonts w:cs="宋体"/>
          <w:szCs w:val="24"/>
        </w:rPr>
        <w:t xml:space="preserve">: patterns of spread, the importance of hepatic resection for curative operation, and a </w:t>
      </w:r>
      <w:proofErr w:type="spellStart"/>
      <w:r w:rsidRPr="00B1590A">
        <w:rPr>
          <w:rFonts w:cs="宋体"/>
          <w:szCs w:val="24"/>
        </w:rPr>
        <w:t>presurgical</w:t>
      </w:r>
      <w:proofErr w:type="spellEnd"/>
      <w:r w:rsidRPr="00B1590A">
        <w:rPr>
          <w:rFonts w:cs="宋体"/>
          <w:szCs w:val="24"/>
        </w:rPr>
        <w:t xml:space="preserve"> clinical staging system.</w:t>
      </w:r>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1998;</w:t>
      </w:r>
      <w:r w:rsidRPr="00080C35">
        <w:rPr>
          <w:rFonts w:cs="宋体"/>
          <w:szCs w:val="24"/>
        </w:rPr>
        <w:t> </w:t>
      </w:r>
      <w:r w:rsidRPr="00B1590A">
        <w:rPr>
          <w:rFonts w:cs="宋体"/>
          <w:b/>
          <w:bCs/>
          <w:szCs w:val="24"/>
        </w:rPr>
        <w:t>228</w:t>
      </w:r>
      <w:r w:rsidRPr="00B1590A">
        <w:rPr>
          <w:rFonts w:cs="宋体"/>
          <w:szCs w:val="24"/>
        </w:rPr>
        <w:t>: 385-394 [PMID: 9742921 DOI: 10.1097/00000658-199809000-00011]</w:t>
      </w:r>
    </w:p>
    <w:p w:rsidR="00147B7B" w:rsidRPr="00B1590A" w:rsidRDefault="00147B7B" w:rsidP="009350E9">
      <w:pPr>
        <w:spacing w:after="0"/>
        <w:jc w:val="both"/>
        <w:rPr>
          <w:rFonts w:cs="宋体"/>
          <w:szCs w:val="24"/>
        </w:rPr>
      </w:pPr>
      <w:r w:rsidRPr="00B1590A">
        <w:rPr>
          <w:rFonts w:cs="宋体"/>
          <w:szCs w:val="24"/>
        </w:rPr>
        <w:t>12</w:t>
      </w:r>
      <w:r w:rsidRPr="00080C35">
        <w:rPr>
          <w:rFonts w:cs="宋体"/>
          <w:szCs w:val="24"/>
        </w:rPr>
        <w:t> </w:t>
      </w:r>
      <w:r w:rsidRPr="00B1590A">
        <w:rPr>
          <w:rFonts w:cs="宋体"/>
          <w:b/>
          <w:bCs/>
          <w:szCs w:val="24"/>
        </w:rPr>
        <w:t>Tompkins RK</w:t>
      </w:r>
      <w:r w:rsidRPr="00B1590A">
        <w:rPr>
          <w:rFonts w:cs="宋体"/>
          <w:szCs w:val="24"/>
        </w:rPr>
        <w:t>, Thomas D, Wile A, Longmire WP. Prognostic factors in bile duct carcinoma: analysis of 96 cases.</w:t>
      </w:r>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1981;</w:t>
      </w:r>
      <w:r w:rsidRPr="00080C35">
        <w:rPr>
          <w:rFonts w:cs="宋体"/>
          <w:szCs w:val="24"/>
        </w:rPr>
        <w:t> </w:t>
      </w:r>
      <w:r w:rsidRPr="00B1590A">
        <w:rPr>
          <w:rFonts w:cs="宋体"/>
          <w:b/>
          <w:bCs/>
          <w:szCs w:val="24"/>
        </w:rPr>
        <w:t>194</w:t>
      </w:r>
      <w:r w:rsidRPr="00B1590A">
        <w:rPr>
          <w:rFonts w:cs="宋体"/>
          <w:szCs w:val="24"/>
        </w:rPr>
        <w:t>: 447-457 [PMID: 7283506 DOI: 10.1097/00000658-198110000-00008]</w:t>
      </w:r>
    </w:p>
    <w:p w:rsidR="00147B7B" w:rsidRPr="00B1590A" w:rsidRDefault="00147B7B" w:rsidP="009350E9">
      <w:pPr>
        <w:spacing w:after="0"/>
        <w:jc w:val="both"/>
        <w:rPr>
          <w:rFonts w:cs="宋体"/>
          <w:szCs w:val="24"/>
        </w:rPr>
      </w:pPr>
      <w:r w:rsidRPr="00B1590A">
        <w:rPr>
          <w:rFonts w:cs="宋体"/>
          <w:szCs w:val="24"/>
        </w:rPr>
        <w:t>13</w:t>
      </w:r>
      <w:r w:rsidRPr="00080C35">
        <w:rPr>
          <w:rFonts w:cs="宋体"/>
          <w:szCs w:val="24"/>
        </w:rPr>
        <w:t> </w:t>
      </w:r>
      <w:proofErr w:type="spellStart"/>
      <w:r w:rsidRPr="00B1590A">
        <w:rPr>
          <w:rFonts w:cs="宋体"/>
          <w:b/>
          <w:bCs/>
          <w:szCs w:val="24"/>
        </w:rPr>
        <w:t>Nimura</w:t>
      </w:r>
      <w:proofErr w:type="spellEnd"/>
      <w:r w:rsidRPr="00B1590A">
        <w:rPr>
          <w:rFonts w:cs="宋体"/>
          <w:b/>
          <w:bCs/>
          <w:szCs w:val="24"/>
        </w:rPr>
        <w:t xml:space="preserve"> Y</w:t>
      </w:r>
      <w:r w:rsidRPr="00B1590A">
        <w:rPr>
          <w:rFonts w:cs="宋体"/>
          <w:szCs w:val="24"/>
        </w:rPr>
        <w:t xml:space="preserve">, Hayakawa N, </w:t>
      </w:r>
      <w:proofErr w:type="spellStart"/>
      <w:r w:rsidRPr="00B1590A">
        <w:rPr>
          <w:rFonts w:cs="宋体"/>
          <w:szCs w:val="24"/>
        </w:rPr>
        <w:t>Kamiya</w:t>
      </w:r>
      <w:proofErr w:type="spellEnd"/>
      <w:r w:rsidRPr="00B1590A">
        <w:rPr>
          <w:rFonts w:cs="宋体"/>
          <w:szCs w:val="24"/>
        </w:rPr>
        <w:t xml:space="preserve"> J, Maeda S, Kondo S, </w:t>
      </w:r>
      <w:proofErr w:type="spellStart"/>
      <w:r w:rsidRPr="00B1590A">
        <w:rPr>
          <w:rFonts w:cs="宋体"/>
          <w:szCs w:val="24"/>
        </w:rPr>
        <w:t>Yasui</w:t>
      </w:r>
      <w:proofErr w:type="spellEnd"/>
      <w:r w:rsidRPr="00B1590A">
        <w:rPr>
          <w:rFonts w:cs="宋体"/>
          <w:szCs w:val="24"/>
        </w:rPr>
        <w:t xml:space="preserve"> A, </w:t>
      </w:r>
      <w:proofErr w:type="spellStart"/>
      <w:r w:rsidRPr="00B1590A">
        <w:rPr>
          <w:rFonts w:cs="宋体"/>
          <w:szCs w:val="24"/>
        </w:rPr>
        <w:t>Shionoya</w:t>
      </w:r>
      <w:proofErr w:type="spellEnd"/>
      <w:r w:rsidRPr="00B1590A">
        <w:rPr>
          <w:rFonts w:cs="宋体"/>
          <w:szCs w:val="24"/>
        </w:rPr>
        <w:t xml:space="preserve"> S. Combined portal vein and liver resection for carcinoma of the biliary tract.</w:t>
      </w:r>
      <w:r w:rsidRPr="00080C35">
        <w:rPr>
          <w:rFonts w:cs="宋体"/>
          <w:szCs w:val="24"/>
        </w:rPr>
        <w:t> </w:t>
      </w:r>
      <w:r w:rsidRPr="00B1590A">
        <w:rPr>
          <w:rFonts w:cs="宋体"/>
          <w:i/>
          <w:iCs/>
          <w:szCs w:val="24"/>
        </w:rPr>
        <w:t xml:space="preserve">Br J </w:t>
      </w:r>
      <w:proofErr w:type="spellStart"/>
      <w:r w:rsidRPr="00B1590A">
        <w:rPr>
          <w:rFonts w:cs="宋体"/>
          <w:i/>
          <w:iCs/>
          <w:szCs w:val="24"/>
        </w:rPr>
        <w:t>Surg</w:t>
      </w:r>
      <w:proofErr w:type="spellEnd"/>
      <w:r w:rsidRPr="00080C35">
        <w:rPr>
          <w:rFonts w:cs="宋体"/>
          <w:szCs w:val="24"/>
        </w:rPr>
        <w:t> </w:t>
      </w:r>
      <w:r w:rsidRPr="00B1590A">
        <w:rPr>
          <w:rFonts w:cs="宋体"/>
          <w:szCs w:val="24"/>
        </w:rPr>
        <w:t>1991;</w:t>
      </w:r>
      <w:r w:rsidRPr="00080C35">
        <w:rPr>
          <w:rFonts w:cs="宋体"/>
          <w:szCs w:val="24"/>
        </w:rPr>
        <w:t> </w:t>
      </w:r>
      <w:r w:rsidRPr="00B1590A">
        <w:rPr>
          <w:rFonts w:cs="宋体"/>
          <w:b/>
          <w:bCs/>
          <w:szCs w:val="24"/>
        </w:rPr>
        <w:t>78</w:t>
      </w:r>
      <w:r w:rsidRPr="00B1590A">
        <w:rPr>
          <w:rFonts w:cs="宋体"/>
          <w:szCs w:val="24"/>
        </w:rPr>
        <w:t>: 727-731 [PMID: 2070244 DOI: 10.1002/bjs.1800780629]</w:t>
      </w:r>
    </w:p>
    <w:p w:rsidR="00147B7B" w:rsidRPr="00B1590A" w:rsidRDefault="00147B7B" w:rsidP="009350E9">
      <w:pPr>
        <w:spacing w:after="0"/>
        <w:jc w:val="both"/>
        <w:rPr>
          <w:rFonts w:cs="宋体"/>
          <w:szCs w:val="24"/>
        </w:rPr>
      </w:pPr>
      <w:r w:rsidRPr="00B1590A">
        <w:rPr>
          <w:rFonts w:cs="宋体"/>
          <w:szCs w:val="24"/>
        </w:rPr>
        <w:t>14</w:t>
      </w:r>
      <w:r w:rsidRPr="00080C35">
        <w:rPr>
          <w:rFonts w:cs="宋体"/>
          <w:szCs w:val="24"/>
        </w:rPr>
        <w:t> </w:t>
      </w:r>
      <w:r w:rsidRPr="00B1590A">
        <w:rPr>
          <w:rFonts w:cs="宋体"/>
          <w:b/>
          <w:bCs/>
          <w:szCs w:val="24"/>
        </w:rPr>
        <w:t>Takada T</w:t>
      </w:r>
      <w:r w:rsidRPr="00B1590A">
        <w:rPr>
          <w:rFonts w:cs="宋体"/>
          <w:szCs w:val="24"/>
        </w:rPr>
        <w:t xml:space="preserve">, Amano H, Yasuda H, </w:t>
      </w:r>
      <w:proofErr w:type="spellStart"/>
      <w:r w:rsidRPr="00B1590A">
        <w:rPr>
          <w:rFonts w:cs="宋体"/>
          <w:szCs w:val="24"/>
        </w:rPr>
        <w:t>Nimura</w:t>
      </w:r>
      <w:proofErr w:type="spellEnd"/>
      <w:r w:rsidRPr="00B1590A">
        <w:rPr>
          <w:rFonts w:cs="宋体"/>
          <w:szCs w:val="24"/>
        </w:rPr>
        <w:t xml:space="preserve"> Y, </w:t>
      </w:r>
      <w:proofErr w:type="spellStart"/>
      <w:r w:rsidRPr="00B1590A">
        <w:rPr>
          <w:rFonts w:cs="宋体"/>
          <w:szCs w:val="24"/>
        </w:rPr>
        <w:t>Matsushiro</w:t>
      </w:r>
      <w:proofErr w:type="spellEnd"/>
      <w:r w:rsidRPr="00B1590A">
        <w:rPr>
          <w:rFonts w:cs="宋体"/>
          <w:szCs w:val="24"/>
        </w:rPr>
        <w:t xml:space="preserve"> T, Kato H, </w:t>
      </w:r>
      <w:proofErr w:type="spellStart"/>
      <w:r w:rsidRPr="00B1590A">
        <w:rPr>
          <w:rFonts w:cs="宋体"/>
          <w:szCs w:val="24"/>
        </w:rPr>
        <w:t>Nagakawa</w:t>
      </w:r>
      <w:proofErr w:type="spellEnd"/>
      <w:r w:rsidRPr="00B1590A">
        <w:rPr>
          <w:rFonts w:cs="宋体"/>
          <w:szCs w:val="24"/>
        </w:rPr>
        <w:t xml:space="preserve"> T, Nakayama T. Is postoperative adjuvant chemotherapy useful for gallbladder carcinoma? A phase III </w:t>
      </w:r>
      <w:proofErr w:type="spellStart"/>
      <w:r w:rsidRPr="00B1590A">
        <w:rPr>
          <w:rFonts w:cs="宋体"/>
          <w:szCs w:val="24"/>
        </w:rPr>
        <w:t>multicenter</w:t>
      </w:r>
      <w:proofErr w:type="spellEnd"/>
      <w:r w:rsidRPr="00B1590A">
        <w:rPr>
          <w:rFonts w:cs="宋体"/>
          <w:szCs w:val="24"/>
        </w:rPr>
        <w:t xml:space="preserve"> prospective randomized controlled trial in patients with resected </w:t>
      </w:r>
      <w:proofErr w:type="spellStart"/>
      <w:r w:rsidRPr="00B1590A">
        <w:rPr>
          <w:rFonts w:cs="宋体"/>
          <w:szCs w:val="24"/>
        </w:rPr>
        <w:t>pancreaticobiliary</w:t>
      </w:r>
      <w:proofErr w:type="spellEnd"/>
      <w:r w:rsidRPr="00B1590A">
        <w:rPr>
          <w:rFonts w:cs="宋体"/>
          <w:szCs w:val="24"/>
        </w:rPr>
        <w:t xml:space="preserve"> carcinoma.</w:t>
      </w:r>
      <w:r w:rsidRPr="00080C35">
        <w:rPr>
          <w:rFonts w:cs="宋体"/>
          <w:szCs w:val="24"/>
        </w:rPr>
        <w:t> </w:t>
      </w:r>
      <w:r w:rsidRPr="00B1590A">
        <w:rPr>
          <w:rFonts w:cs="宋体"/>
          <w:i/>
          <w:iCs/>
          <w:szCs w:val="24"/>
        </w:rPr>
        <w:t>Cancer</w:t>
      </w:r>
      <w:r w:rsidRPr="00080C35">
        <w:rPr>
          <w:rFonts w:cs="宋体"/>
          <w:szCs w:val="24"/>
        </w:rPr>
        <w:t> </w:t>
      </w:r>
      <w:r w:rsidRPr="00B1590A">
        <w:rPr>
          <w:rFonts w:cs="宋体"/>
          <w:szCs w:val="24"/>
        </w:rPr>
        <w:t>2002;</w:t>
      </w:r>
      <w:r w:rsidRPr="00080C35">
        <w:rPr>
          <w:rFonts w:cs="宋体"/>
          <w:szCs w:val="24"/>
        </w:rPr>
        <w:t> </w:t>
      </w:r>
      <w:r w:rsidRPr="00B1590A">
        <w:rPr>
          <w:rFonts w:cs="宋体"/>
          <w:b/>
          <w:bCs/>
          <w:szCs w:val="24"/>
        </w:rPr>
        <w:t>95</w:t>
      </w:r>
      <w:r w:rsidRPr="00B1590A">
        <w:rPr>
          <w:rFonts w:cs="宋体"/>
          <w:szCs w:val="24"/>
        </w:rPr>
        <w:t>: 1685-1695 [PMID: 12365016 DOI: 10.1002/cncr.10831]</w:t>
      </w:r>
    </w:p>
    <w:p w:rsidR="00147B7B" w:rsidRPr="00B1590A" w:rsidRDefault="00147B7B" w:rsidP="009350E9">
      <w:pPr>
        <w:spacing w:after="0"/>
        <w:jc w:val="both"/>
        <w:rPr>
          <w:rFonts w:cs="宋体"/>
          <w:szCs w:val="24"/>
        </w:rPr>
      </w:pPr>
      <w:r w:rsidRPr="00B1590A">
        <w:rPr>
          <w:rFonts w:cs="宋体"/>
          <w:szCs w:val="24"/>
        </w:rPr>
        <w:t>15</w:t>
      </w:r>
      <w:r w:rsidRPr="00080C35">
        <w:rPr>
          <w:rFonts w:cs="宋体"/>
          <w:szCs w:val="24"/>
        </w:rPr>
        <w:t> </w:t>
      </w:r>
      <w:r w:rsidRPr="00B1590A">
        <w:rPr>
          <w:rFonts w:cs="宋体"/>
          <w:b/>
          <w:bCs/>
          <w:szCs w:val="24"/>
        </w:rPr>
        <w:t>Pitt HA</w:t>
      </w:r>
      <w:r w:rsidRPr="00B1590A">
        <w:rPr>
          <w:rFonts w:cs="宋体"/>
          <w:szCs w:val="24"/>
        </w:rPr>
        <w:t xml:space="preserve">, </w:t>
      </w:r>
      <w:proofErr w:type="spellStart"/>
      <w:r w:rsidRPr="00B1590A">
        <w:rPr>
          <w:rFonts w:cs="宋体"/>
          <w:szCs w:val="24"/>
        </w:rPr>
        <w:t>Nakeeb</w:t>
      </w:r>
      <w:proofErr w:type="spellEnd"/>
      <w:r w:rsidRPr="00B1590A">
        <w:rPr>
          <w:rFonts w:cs="宋体"/>
          <w:szCs w:val="24"/>
        </w:rPr>
        <w:t xml:space="preserve"> A, Abrams RA, Coleman J, </w:t>
      </w:r>
      <w:proofErr w:type="spellStart"/>
      <w:r w:rsidRPr="00B1590A">
        <w:rPr>
          <w:rFonts w:cs="宋体"/>
          <w:szCs w:val="24"/>
        </w:rPr>
        <w:t>Piantadosi</w:t>
      </w:r>
      <w:proofErr w:type="spellEnd"/>
      <w:r w:rsidRPr="00B1590A">
        <w:rPr>
          <w:rFonts w:cs="宋体"/>
          <w:szCs w:val="24"/>
        </w:rPr>
        <w:t xml:space="preserve"> S, Yeo CJ, </w:t>
      </w:r>
      <w:proofErr w:type="spellStart"/>
      <w:r w:rsidRPr="00B1590A">
        <w:rPr>
          <w:rFonts w:cs="宋体"/>
          <w:szCs w:val="24"/>
        </w:rPr>
        <w:t>Lillemore</w:t>
      </w:r>
      <w:proofErr w:type="spellEnd"/>
      <w:r w:rsidRPr="00B1590A">
        <w:rPr>
          <w:rFonts w:cs="宋体"/>
          <w:szCs w:val="24"/>
        </w:rPr>
        <w:t xml:space="preserve"> KD, Cameron JL. </w:t>
      </w:r>
      <w:proofErr w:type="spellStart"/>
      <w:proofErr w:type="gramStart"/>
      <w:r w:rsidRPr="00B1590A">
        <w:rPr>
          <w:rFonts w:cs="宋体"/>
          <w:szCs w:val="24"/>
        </w:rPr>
        <w:t>Perihilar</w:t>
      </w:r>
      <w:proofErr w:type="spellEnd"/>
      <w:r w:rsidRPr="00B1590A">
        <w:rPr>
          <w:rFonts w:cs="宋体"/>
          <w:szCs w:val="24"/>
        </w:rPr>
        <w:t xml:space="preserve"> </w:t>
      </w:r>
      <w:proofErr w:type="spellStart"/>
      <w:r w:rsidRPr="00B1590A">
        <w:rPr>
          <w:rFonts w:cs="宋体"/>
          <w:szCs w:val="24"/>
        </w:rPr>
        <w:t>cholangiocarcinoma</w:t>
      </w:r>
      <w:proofErr w:type="spellEnd"/>
      <w:r w:rsidRPr="00B1590A">
        <w:rPr>
          <w:rFonts w:cs="宋体"/>
          <w:szCs w:val="24"/>
        </w:rPr>
        <w:t>.</w:t>
      </w:r>
      <w:proofErr w:type="gramEnd"/>
      <w:r w:rsidRPr="00B1590A">
        <w:rPr>
          <w:rFonts w:cs="宋体"/>
          <w:szCs w:val="24"/>
        </w:rPr>
        <w:t xml:space="preserve"> Postoperative radiotherapy does not improve survival.</w:t>
      </w:r>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1995;</w:t>
      </w:r>
      <w:r w:rsidRPr="00080C35">
        <w:rPr>
          <w:rFonts w:cs="宋体"/>
          <w:szCs w:val="24"/>
        </w:rPr>
        <w:t> </w:t>
      </w:r>
      <w:r w:rsidRPr="00B1590A">
        <w:rPr>
          <w:rFonts w:cs="宋体"/>
          <w:b/>
          <w:bCs/>
          <w:szCs w:val="24"/>
        </w:rPr>
        <w:t>221</w:t>
      </w:r>
      <w:r w:rsidRPr="00B1590A">
        <w:rPr>
          <w:rFonts w:cs="宋体"/>
          <w:szCs w:val="24"/>
        </w:rPr>
        <w:t>: 788-97; discussion 797-8 [PMID: 7794082 DOI: 10.1097/00000658-199506000-00017]</w:t>
      </w:r>
    </w:p>
    <w:p w:rsidR="00147B7B" w:rsidRPr="00B1590A" w:rsidRDefault="00147B7B" w:rsidP="009350E9">
      <w:pPr>
        <w:spacing w:after="0"/>
        <w:jc w:val="both"/>
        <w:rPr>
          <w:rFonts w:cs="宋体"/>
          <w:szCs w:val="24"/>
        </w:rPr>
      </w:pPr>
      <w:r w:rsidRPr="00B1590A">
        <w:rPr>
          <w:rFonts w:cs="宋体"/>
          <w:szCs w:val="24"/>
        </w:rPr>
        <w:lastRenderedPageBreak/>
        <w:t>16</w:t>
      </w:r>
      <w:r w:rsidRPr="00080C35">
        <w:rPr>
          <w:rFonts w:cs="宋体"/>
          <w:szCs w:val="24"/>
        </w:rPr>
        <w:t> </w:t>
      </w:r>
      <w:r w:rsidRPr="00B1590A">
        <w:rPr>
          <w:rFonts w:cs="宋体"/>
          <w:b/>
          <w:bCs/>
          <w:szCs w:val="24"/>
        </w:rPr>
        <w:t>Fong Y</w:t>
      </w:r>
      <w:r w:rsidRPr="00B1590A">
        <w:rPr>
          <w:rFonts w:cs="宋体"/>
          <w:szCs w:val="24"/>
        </w:rPr>
        <w:t xml:space="preserve">, </w:t>
      </w:r>
      <w:proofErr w:type="spellStart"/>
      <w:r w:rsidRPr="00B1590A">
        <w:rPr>
          <w:rFonts w:cs="宋体"/>
          <w:szCs w:val="24"/>
        </w:rPr>
        <w:t>Blumgart</w:t>
      </w:r>
      <w:proofErr w:type="spellEnd"/>
      <w:r w:rsidRPr="00B1590A">
        <w:rPr>
          <w:rFonts w:cs="宋体"/>
          <w:szCs w:val="24"/>
        </w:rPr>
        <w:t xml:space="preserve"> LH, Lin E, Fortner JG, Brennan MF. </w:t>
      </w:r>
      <w:proofErr w:type="gramStart"/>
      <w:r w:rsidRPr="00B1590A">
        <w:rPr>
          <w:rFonts w:cs="宋体"/>
          <w:szCs w:val="24"/>
        </w:rPr>
        <w:t>Outcome of treatment for distal bile duct cancer.</w:t>
      </w:r>
      <w:proofErr w:type="gramEnd"/>
      <w:r w:rsidRPr="00080C35">
        <w:rPr>
          <w:rFonts w:cs="宋体"/>
          <w:szCs w:val="24"/>
        </w:rPr>
        <w:t> </w:t>
      </w:r>
      <w:r w:rsidRPr="00B1590A">
        <w:rPr>
          <w:rFonts w:cs="宋体"/>
          <w:i/>
          <w:iCs/>
          <w:szCs w:val="24"/>
        </w:rPr>
        <w:t xml:space="preserve">Br J </w:t>
      </w:r>
      <w:proofErr w:type="spellStart"/>
      <w:r w:rsidRPr="00B1590A">
        <w:rPr>
          <w:rFonts w:cs="宋体"/>
          <w:i/>
          <w:iCs/>
          <w:szCs w:val="24"/>
        </w:rPr>
        <w:t>Surg</w:t>
      </w:r>
      <w:proofErr w:type="spellEnd"/>
      <w:r w:rsidRPr="00080C35">
        <w:rPr>
          <w:rFonts w:cs="宋体"/>
          <w:szCs w:val="24"/>
        </w:rPr>
        <w:t> </w:t>
      </w:r>
      <w:r w:rsidRPr="00B1590A">
        <w:rPr>
          <w:rFonts w:cs="宋体"/>
          <w:szCs w:val="24"/>
        </w:rPr>
        <w:t>1996;</w:t>
      </w:r>
      <w:r w:rsidRPr="00080C35">
        <w:rPr>
          <w:rFonts w:cs="宋体"/>
          <w:szCs w:val="24"/>
        </w:rPr>
        <w:t> </w:t>
      </w:r>
      <w:r w:rsidRPr="00B1590A">
        <w:rPr>
          <w:rFonts w:cs="宋体"/>
          <w:b/>
          <w:bCs/>
          <w:szCs w:val="24"/>
        </w:rPr>
        <w:t>83</w:t>
      </w:r>
      <w:r w:rsidRPr="00B1590A">
        <w:rPr>
          <w:rFonts w:cs="宋体"/>
          <w:szCs w:val="24"/>
        </w:rPr>
        <w:t>: 1712-1715 [PMID: 9038548 DOI: 10.1002/bjs.1800831217]</w:t>
      </w:r>
    </w:p>
    <w:p w:rsidR="00147B7B" w:rsidRPr="00B1590A" w:rsidRDefault="00147B7B" w:rsidP="009350E9">
      <w:pPr>
        <w:spacing w:after="0"/>
        <w:jc w:val="both"/>
        <w:rPr>
          <w:rFonts w:cs="宋体"/>
          <w:szCs w:val="24"/>
        </w:rPr>
      </w:pPr>
      <w:r w:rsidRPr="00B1590A">
        <w:rPr>
          <w:rFonts w:cs="宋体"/>
          <w:szCs w:val="24"/>
        </w:rPr>
        <w:t>17</w:t>
      </w:r>
      <w:r w:rsidRPr="00080C35">
        <w:rPr>
          <w:rFonts w:cs="宋体"/>
          <w:szCs w:val="24"/>
        </w:rPr>
        <w:t> </w:t>
      </w:r>
      <w:r w:rsidRPr="00B1590A">
        <w:rPr>
          <w:rFonts w:cs="宋体"/>
          <w:b/>
          <w:bCs/>
          <w:szCs w:val="24"/>
        </w:rPr>
        <w:t>Yoshida T</w:t>
      </w:r>
      <w:r w:rsidRPr="00B1590A">
        <w:rPr>
          <w:rFonts w:cs="宋体"/>
          <w:szCs w:val="24"/>
        </w:rPr>
        <w:t xml:space="preserve">, Matsumoto T, Sasaki A, </w:t>
      </w:r>
      <w:proofErr w:type="spellStart"/>
      <w:r w:rsidRPr="00B1590A">
        <w:rPr>
          <w:rFonts w:cs="宋体"/>
          <w:szCs w:val="24"/>
        </w:rPr>
        <w:t>Morii</w:t>
      </w:r>
      <w:proofErr w:type="spellEnd"/>
      <w:r w:rsidRPr="00B1590A">
        <w:rPr>
          <w:rFonts w:cs="宋体"/>
          <w:szCs w:val="24"/>
        </w:rPr>
        <w:t xml:space="preserve"> Y, </w:t>
      </w:r>
      <w:proofErr w:type="spellStart"/>
      <w:r w:rsidRPr="00B1590A">
        <w:rPr>
          <w:rFonts w:cs="宋体"/>
          <w:szCs w:val="24"/>
        </w:rPr>
        <w:t>Aramaki</w:t>
      </w:r>
      <w:proofErr w:type="spellEnd"/>
      <w:r w:rsidRPr="00B1590A">
        <w:rPr>
          <w:rFonts w:cs="宋体"/>
          <w:szCs w:val="24"/>
        </w:rPr>
        <w:t xml:space="preserve"> M, Kitano S. Prognostic factors after </w:t>
      </w:r>
      <w:proofErr w:type="spellStart"/>
      <w:r w:rsidRPr="00B1590A">
        <w:rPr>
          <w:rFonts w:cs="宋体"/>
          <w:szCs w:val="24"/>
        </w:rPr>
        <w:t>pancreatoduodenectomy</w:t>
      </w:r>
      <w:proofErr w:type="spellEnd"/>
      <w:r w:rsidRPr="00B1590A">
        <w:rPr>
          <w:rFonts w:cs="宋体"/>
          <w:szCs w:val="24"/>
        </w:rPr>
        <w:t xml:space="preserve"> with extended lymphadenectomy for distal bile duct cancer.</w:t>
      </w:r>
      <w:r w:rsidRPr="00080C35">
        <w:rPr>
          <w:rFonts w:cs="宋体"/>
          <w:szCs w:val="24"/>
        </w:rPr>
        <w:t> </w:t>
      </w:r>
      <w:r w:rsidRPr="00B1590A">
        <w:rPr>
          <w:rFonts w:cs="宋体"/>
          <w:i/>
          <w:iCs/>
          <w:szCs w:val="24"/>
        </w:rPr>
        <w:t xml:space="preserve">Arch </w:t>
      </w:r>
      <w:proofErr w:type="spellStart"/>
      <w:r w:rsidRPr="00B1590A">
        <w:rPr>
          <w:rFonts w:cs="宋体"/>
          <w:i/>
          <w:iCs/>
          <w:szCs w:val="24"/>
        </w:rPr>
        <w:t>Surg</w:t>
      </w:r>
      <w:proofErr w:type="spellEnd"/>
      <w:r w:rsidRPr="00080C35">
        <w:rPr>
          <w:rFonts w:cs="宋体"/>
          <w:szCs w:val="24"/>
        </w:rPr>
        <w:t> </w:t>
      </w:r>
      <w:r w:rsidRPr="00B1590A">
        <w:rPr>
          <w:rFonts w:cs="宋体"/>
          <w:szCs w:val="24"/>
        </w:rPr>
        <w:t>2002;</w:t>
      </w:r>
      <w:r w:rsidRPr="00080C35">
        <w:rPr>
          <w:rFonts w:cs="宋体"/>
          <w:szCs w:val="24"/>
        </w:rPr>
        <w:t> </w:t>
      </w:r>
      <w:r w:rsidRPr="00B1590A">
        <w:rPr>
          <w:rFonts w:cs="宋体"/>
          <w:b/>
          <w:bCs/>
          <w:szCs w:val="24"/>
        </w:rPr>
        <w:t>137</w:t>
      </w:r>
      <w:r w:rsidRPr="00B1590A">
        <w:rPr>
          <w:rFonts w:cs="宋体"/>
          <w:szCs w:val="24"/>
        </w:rPr>
        <w:t>: 69-73 [PMID: 11772220 DOI: 10.1001/archsurg.137.1.69]</w:t>
      </w:r>
    </w:p>
    <w:p w:rsidR="00147B7B" w:rsidRPr="00B1590A" w:rsidRDefault="00147B7B" w:rsidP="009350E9">
      <w:pPr>
        <w:spacing w:after="0"/>
        <w:jc w:val="both"/>
        <w:rPr>
          <w:rFonts w:cs="宋体"/>
          <w:szCs w:val="24"/>
        </w:rPr>
      </w:pPr>
      <w:r w:rsidRPr="00B1590A">
        <w:rPr>
          <w:rFonts w:cs="宋体"/>
          <w:szCs w:val="24"/>
        </w:rPr>
        <w:t>18</w:t>
      </w:r>
      <w:r w:rsidRPr="00080C35">
        <w:rPr>
          <w:rFonts w:cs="宋体"/>
          <w:szCs w:val="24"/>
        </w:rPr>
        <w:t> </w:t>
      </w:r>
      <w:proofErr w:type="spellStart"/>
      <w:r w:rsidRPr="00B1590A">
        <w:rPr>
          <w:rFonts w:cs="宋体"/>
          <w:b/>
          <w:bCs/>
          <w:szCs w:val="24"/>
        </w:rPr>
        <w:t>Wakai</w:t>
      </w:r>
      <w:proofErr w:type="spellEnd"/>
      <w:r w:rsidRPr="00B1590A">
        <w:rPr>
          <w:rFonts w:cs="宋体"/>
          <w:b/>
          <w:bCs/>
          <w:szCs w:val="24"/>
        </w:rPr>
        <w:t xml:space="preserve"> T</w:t>
      </w:r>
      <w:r w:rsidRPr="00B1590A">
        <w:rPr>
          <w:rFonts w:cs="宋体"/>
          <w:szCs w:val="24"/>
        </w:rPr>
        <w:t xml:space="preserve">, </w:t>
      </w:r>
      <w:proofErr w:type="spellStart"/>
      <w:r w:rsidRPr="00B1590A">
        <w:rPr>
          <w:rFonts w:cs="宋体"/>
          <w:szCs w:val="24"/>
        </w:rPr>
        <w:t>Shirai</w:t>
      </w:r>
      <w:proofErr w:type="spellEnd"/>
      <w:r w:rsidRPr="00B1590A">
        <w:rPr>
          <w:rFonts w:cs="宋体"/>
          <w:szCs w:val="24"/>
        </w:rPr>
        <w:t xml:space="preserve"> Y, </w:t>
      </w:r>
      <w:proofErr w:type="spellStart"/>
      <w:r w:rsidRPr="00B1590A">
        <w:rPr>
          <w:rFonts w:cs="宋体"/>
          <w:szCs w:val="24"/>
        </w:rPr>
        <w:t>Moroda</w:t>
      </w:r>
      <w:proofErr w:type="spellEnd"/>
      <w:r w:rsidRPr="00B1590A">
        <w:rPr>
          <w:rFonts w:cs="宋体"/>
          <w:szCs w:val="24"/>
        </w:rPr>
        <w:t xml:space="preserve"> T, Yokoyama N, </w:t>
      </w:r>
      <w:proofErr w:type="spellStart"/>
      <w:r w:rsidRPr="00B1590A">
        <w:rPr>
          <w:rFonts w:cs="宋体"/>
          <w:szCs w:val="24"/>
        </w:rPr>
        <w:t>Hatakeyama</w:t>
      </w:r>
      <w:proofErr w:type="spellEnd"/>
      <w:r w:rsidRPr="00B1590A">
        <w:rPr>
          <w:rFonts w:cs="宋体"/>
          <w:szCs w:val="24"/>
        </w:rPr>
        <w:t xml:space="preserve"> K. Impact of ductal resection margin status on long-term survival in patients undergoing resection for </w:t>
      </w:r>
      <w:proofErr w:type="spellStart"/>
      <w:r w:rsidRPr="00B1590A">
        <w:rPr>
          <w:rFonts w:cs="宋体"/>
          <w:szCs w:val="24"/>
        </w:rPr>
        <w:t>extrahepatic</w:t>
      </w:r>
      <w:proofErr w:type="spellEnd"/>
      <w:r w:rsidRPr="00B1590A">
        <w:rPr>
          <w:rFonts w:cs="宋体"/>
          <w:szCs w:val="24"/>
        </w:rPr>
        <w:t xml:space="preserve"> </w:t>
      </w:r>
      <w:proofErr w:type="spellStart"/>
      <w:r w:rsidRPr="00B1590A">
        <w:rPr>
          <w:rFonts w:cs="宋体"/>
          <w:szCs w:val="24"/>
        </w:rPr>
        <w:t>cholangiocarcinoma</w:t>
      </w:r>
      <w:proofErr w:type="spellEnd"/>
      <w:r w:rsidRPr="00B1590A">
        <w:rPr>
          <w:rFonts w:cs="宋体"/>
          <w:szCs w:val="24"/>
        </w:rPr>
        <w:t>.</w:t>
      </w:r>
      <w:r w:rsidRPr="00080C35">
        <w:rPr>
          <w:rFonts w:cs="宋体"/>
          <w:szCs w:val="24"/>
        </w:rPr>
        <w:t> </w:t>
      </w:r>
      <w:r w:rsidRPr="00B1590A">
        <w:rPr>
          <w:rFonts w:cs="宋体"/>
          <w:i/>
          <w:iCs/>
          <w:szCs w:val="24"/>
        </w:rPr>
        <w:t>Cancer</w:t>
      </w:r>
      <w:r w:rsidRPr="00080C35">
        <w:rPr>
          <w:rFonts w:cs="宋体"/>
          <w:szCs w:val="24"/>
        </w:rPr>
        <w:t> </w:t>
      </w:r>
      <w:r w:rsidRPr="00B1590A">
        <w:rPr>
          <w:rFonts w:cs="宋体"/>
          <w:szCs w:val="24"/>
        </w:rPr>
        <w:t>2005;</w:t>
      </w:r>
      <w:r w:rsidRPr="00080C35">
        <w:rPr>
          <w:rFonts w:cs="宋体"/>
          <w:szCs w:val="24"/>
        </w:rPr>
        <w:t> </w:t>
      </w:r>
      <w:r w:rsidRPr="00B1590A">
        <w:rPr>
          <w:rFonts w:cs="宋体"/>
          <w:b/>
          <w:bCs/>
          <w:szCs w:val="24"/>
        </w:rPr>
        <w:t>103</w:t>
      </w:r>
      <w:r w:rsidRPr="00B1590A">
        <w:rPr>
          <w:rFonts w:cs="宋体"/>
          <w:szCs w:val="24"/>
        </w:rPr>
        <w:t>: 1210-1216 [PMID: 15685618 DOI: 10.1002/cncr.20906]</w:t>
      </w:r>
    </w:p>
    <w:p w:rsidR="00147B7B" w:rsidRPr="00B1590A" w:rsidRDefault="00147B7B" w:rsidP="009350E9">
      <w:pPr>
        <w:spacing w:after="0"/>
        <w:jc w:val="both"/>
        <w:rPr>
          <w:rFonts w:cs="宋体"/>
          <w:szCs w:val="24"/>
        </w:rPr>
      </w:pPr>
      <w:r w:rsidRPr="00B1590A">
        <w:rPr>
          <w:rFonts w:cs="宋体"/>
          <w:szCs w:val="24"/>
        </w:rPr>
        <w:t>19</w:t>
      </w:r>
      <w:r w:rsidRPr="00080C35">
        <w:rPr>
          <w:rFonts w:cs="宋体"/>
          <w:szCs w:val="24"/>
        </w:rPr>
        <w:t> </w:t>
      </w:r>
      <w:r w:rsidRPr="00B1590A">
        <w:rPr>
          <w:rFonts w:cs="宋体"/>
          <w:b/>
          <w:bCs/>
          <w:szCs w:val="24"/>
        </w:rPr>
        <w:t>Choi SB</w:t>
      </w:r>
      <w:r w:rsidRPr="00B1590A">
        <w:rPr>
          <w:rFonts w:cs="宋体"/>
          <w:szCs w:val="24"/>
        </w:rPr>
        <w:t>, Park SW, Kim KS, Choi JS, Lee WJ. The survival outcome and prognostic factors for middle and distal bile duct cancer following surgical resection.</w:t>
      </w:r>
      <w:r w:rsidRPr="00080C35">
        <w:rPr>
          <w:rFonts w:cs="宋体"/>
          <w:szCs w:val="24"/>
        </w:rPr>
        <w:t> </w:t>
      </w:r>
      <w:r w:rsidRPr="00B1590A">
        <w:rPr>
          <w:rFonts w:cs="宋体"/>
          <w:i/>
          <w:iCs/>
          <w:szCs w:val="24"/>
        </w:rPr>
        <w:t xml:space="preserve">J </w:t>
      </w:r>
      <w:proofErr w:type="spellStart"/>
      <w:r w:rsidRPr="00B1590A">
        <w:rPr>
          <w:rFonts w:cs="宋体"/>
          <w:i/>
          <w:iCs/>
          <w:szCs w:val="24"/>
        </w:rPr>
        <w:t>Surg</w:t>
      </w:r>
      <w:proofErr w:type="spellEnd"/>
      <w:r w:rsidRPr="00B1590A">
        <w:rPr>
          <w:rFonts w:cs="宋体"/>
          <w:i/>
          <w:iCs/>
          <w:szCs w:val="24"/>
        </w:rPr>
        <w:t xml:space="preserve"> </w:t>
      </w:r>
      <w:proofErr w:type="spellStart"/>
      <w:r w:rsidRPr="00B1590A">
        <w:rPr>
          <w:rFonts w:cs="宋体"/>
          <w:i/>
          <w:iCs/>
          <w:szCs w:val="24"/>
        </w:rPr>
        <w:t>Oncol</w:t>
      </w:r>
      <w:proofErr w:type="spellEnd"/>
      <w:r w:rsidRPr="00080C35">
        <w:rPr>
          <w:rFonts w:cs="宋体"/>
          <w:szCs w:val="24"/>
        </w:rPr>
        <w:t> </w:t>
      </w:r>
      <w:r w:rsidRPr="00B1590A">
        <w:rPr>
          <w:rFonts w:cs="宋体"/>
          <w:szCs w:val="24"/>
        </w:rPr>
        <w:t>2009;</w:t>
      </w:r>
      <w:r w:rsidRPr="00080C35">
        <w:rPr>
          <w:rFonts w:cs="宋体"/>
          <w:szCs w:val="24"/>
        </w:rPr>
        <w:t> </w:t>
      </w:r>
      <w:r w:rsidRPr="00B1590A">
        <w:rPr>
          <w:rFonts w:cs="宋体"/>
          <w:b/>
          <w:bCs/>
          <w:szCs w:val="24"/>
        </w:rPr>
        <w:t>99</w:t>
      </w:r>
      <w:r w:rsidRPr="00B1590A">
        <w:rPr>
          <w:rFonts w:cs="宋体"/>
          <w:szCs w:val="24"/>
        </w:rPr>
        <w:t>: 335-342 [PMID: 19226533 DOI: 10.1002/jso.21238]</w:t>
      </w:r>
    </w:p>
    <w:p w:rsidR="00147B7B" w:rsidRPr="00B1590A" w:rsidRDefault="00147B7B" w:rsidP="009350E9">
      <w:pPr>
        <w:spacing w:after="0"/>
        <w:jc w:val="both"/>
        <w:rPr>
          <w:rFonts w:cs="宋体"/>
          <w:szCs w:val="24"/>
        </w:rPr>
      </w:pPr>
      <w:r w:rsidRPr="00B1590A">
        <w:rPr>
          <w:rFonts w:cs="宋体"/>
          <w:szCs w:val="24"/>
        </w:rPr>
        <w:t>20</w:t>
      </w:r>
      <w:r w:rsidRPr="00080C35">
        <w:rPr>
          <w:rFonts w:cs="宋体"/>
          <w:szCs w:val="24"/>
        </w:rPr>
        <w:t> </w:t>
      </w:r>
      <w:r w:rsidRPr="00B1590A">
        <w:rPr>
          <w:rFonts w:cs="宋体"/>
          <w:b/>
          <w:bCs/>
          <w:szCs w:val="24"/>
        </w:rPr>
        <w:t>Kawasaki S</w:t>
      </w:r>
      <w:r w:rsidRPr="00B1590A">
        <w:rPr>
          <w:rFonts w:cs="宋体"/>
          <w:szCs w:val="24"/>
        </w:rPr>
        <w:t xml:space="preserve">, Imamura H, Kobayashi A, </w:t>
      </w:r>
      <w:proofErr w:type="spellStart"/>
      <w:r w:rsidRPr="00B1590A">
        <w:rPr>
          <w:rFonts w:cs="宋体"/>
          <w:szCs w:val="24"/>
        </w:rPr>
        <w:t>Noike</w:t>
      </w:r>
      <w:proofErr w:type="spellEnd"/>
      <w:r w:rsidRPr="00B1590A">
        <w:rPr>
          <w:rFonts w:cs="宋体"/>
          <w:szCs w:val="24"/>
        </w:rPr>
        <w:t xml:space="preserve"> T, Miwa S, </w:t>
      </w:r>
      <w:proofErr w:type="spellStart"/>
      <w:r w:rsidRPr="00B1590A">
        <w:rPr>
          <w:rFonts w:cs="宋体"/>
          <w:szCs w:val="24"/>
        </w:rPr>
        <w:t>Miyagawa</w:t>
      </w:r>
      <w:proofErr w:type="spellEnd"/>
      <w:r w:rsidRPr="00B1590A">
        <w:rPr>
          <w:rFonts w:cs="宋体"/>
          <w:szCs w:val="24"/>
        </w:rPr>
        <w:t xml:space="preserve"> S. Results of surgical resection for patients with </w:t>
      </w:r>
      <w:proofErr w:type="spellStart"/>
      <w:r w:rsidRPr="00B1590A">
        <w:rPr>
          <w:rFonts w:cs="宋体"/>
          <w:szCs w:val="24"/>
        </w:rPr>
        <w:t>hilar</w:t>
      </w:r>
      <w:proofErr w:type="spellEnd"/>
      <w:r w:rsidRPr="00B1590A">
        <w:rPr>
          <w:rFonts w:cs="宋体"/>
          <w:szCs w:val="24"/>
        </w:rPr>
        <w:t xml:space="preserve"> bile duct cancer: application of extended </w:t>
      </w:r>
      <w:proofErr w:type="spellStart"/>
      <w:r w:rsidRPr="00B1590A">
        <w:rPr>
          <w:rFonts w:cs="宋体"/>
          <w:szCs w:val="24"/>
        </w:rPr>
        <w:t>hepatectomy</w:t>
      </w:r>
      <w:proofErr w:type="spellEnd"/>
      <w:r w:rsidRPr="00B1590A">
        <w:rPr>
          <w:rFonts w:cs="宋体"/>
          <w:szCs w:val="24"/>
        </w:rPr>
        <w:t xml:space="preserve"> after biliary drainage and </w:t>
      </w:r>
      <w:proofErr w:type="spellStart"/>
      <w:r w:rsidRPr="00B1590A">
        <w:rPr>
          <w:rFonts w:cs="宋体"/>
          <w:szCs w:val="24"/>
        </w:rPr>
        <w:t>hemihepatic</w:t>
      </w:r>
      <w:proofErr w:type="spellEnd"/>
      <w:r w:rsidRPr="00B1590A">
        <w:rPr>
          <w:rFonts w:cs="宋体"/>
          <w:szCs w:val="24"/>
        </w:rPr>
        <w:t xml:space="preserve"> portal vein embolization.</w:t>
      </w:r>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2003;</w:t>
      </w:r>
      <w:r w:rsidRPr="00080C35">
        <w:rPr>
          <w:rFonts w:cs="宋体"/>
          <w:szCs w:val="24"/>
        </w:rPr>
        <w:t> </w:t>
      </w:r>
      <w:r w:rsidRPr="00B1590A">
        <w:rPr>
          <w:rFonts w:cs="宋体"/>
          <w:b/>
          <w:bCs/>
          <w:szCs w:val="24"/>
        </w:rPr>
        <w:t>238</w:t>
      </w:r>
      <w:r w:rsidRPr="00B1590A">
        <w:rPr>
          <w:rFonts w:cs="宋体"/>
          <w:szCs w:val="24"/>
        </w:rPr>
        <w:t>: 84-92 [PMID: 12832969 DOI: 10.1097/01.SLA.0000074984.83031.02]</w:t>
      </w:r>
    </w:p>
    <w:p w:rsidR="00147B7B" w:rsidRPr="00B1590A" w:rsidRDefault="00147B7B" w:rsidP="009350E9">
      <w:pPr>
        <w:spacing w:after="0"/>
        <w:jc w:val="both"/>
        <w:rPr>
          <w:rFonts w:cs="宋体"/>
          <w:szCs w:val="24"/>
        </w:rPr>
      </w:pPr>
      <w:r w:rsidRPr="00B1590A">
        <w:rPr>
          <w:rFonts w:cs="宋体"/>
          <w:szCs w:val="24"/>
        </w:rPr>
        <w:t>21</w:t>
      </w:r>
      <w:r w:rsidRPr="00080C35">
        <w:rPr>
          <w:rFonts w:cs="宋体"/>
          <w:szCs w:val="24"/>
        </w:rPr>
        <w:t> </w:t>
      </w:r>
      <w:r w:rsidRPr="00B1590A">
        <w:rPr>
          <w:rFonts w:cs="宋体"/>
          <w:b/>
          <w:bCs/>
          <w:szCs w:val="24"/>
        </w:rPr>
        <w:t>Murakami Y</w:t>
      </w:r>
      <w:r w:rsidRPr="00B1590A">
        <w:rPr>
          <w:rFonts w:cs="宋体"/>
          <w:szCs w:val="24"/>
        </w:rPr>
        <w:t xml:space="preserve">, </w:t>
      </w:r>
      <w:proofErr w:type="spellStart"/>
      <w:r w:rsidRPr="00B1590A">
        <w:rPr>
          <w:rFonts w:cs="宋体"/>
          <w:szCs w:val="24"/>
        </w:rPr>
        <w:t>Uemura</w:t>
      </w:r>
      <w:proofErr w:type="spellEnd"/>
      <w:r w:rsidRPr="00B1590A">
        <w:rPr>
          <w:rFonts w:cs="宋体"/>
          <w:szCs w:val="24"/>
        </w:rPr>
        <w:t xml:space="preserve"> K, </w:t>
      </w:r>
      <w:proofErr w:type="spellStart"/>
      <w:r w:rsidRPr="00B1590A">
        <w:rPr>
          <w:rFonts w:cs="宋体"/>
          <w:szCs w:val="24"/>
        </w:rPr>
        <w:t>Hayashidani</w:t>
      </w:r>
      <w:proofErr w:type="spellEnd"/>
      <w:r w:rsidRPr="00B1590A">
        <w:rPr>
          <w:rFonts w:cs="宋体"/>
          <w:szCs w:val="24"/>
        </w:rPr>
        <w:t xml:space="preserve"> Y, </w:t>
      </w:r>
      <w:proofErr w:type="spellStart"/>
      <w:r w:rsidRPr="00B1590A">
        <w:rPr>
          <w:rFonts w:cs="宋体"/>
          <w:szCs w:val="24"/>
        </w:rPr>
        <w:t>Sudo</w:t>
      </w:r>
      <w:proofErr w:type="spellEnd"/>
      <w:r w:rsidRPr="00B1590A">
        <w:rPr>
          <w:rFonts w:cs="宋体"/>
          <w:szCs w:val="24"/>
        </w:rPr>
        <w:t xml:space="preserve"> T, Hashimoto Y, </w:t>
      </w:r>
      <w:proofErr w:type="spellStart"/>
      <w:r w:rsidRPr="00B1590A">
        <w:rPr>
          <w:rFonts w:cs="宋体"/>
          <w:szCs w:val="24"/>
        </w:rPr>
        <w:t>Ohge</w:t>
      </w:r>
      <w:proofErr w:type="spellEnd"/>
      <w:r w:rsidRPr="00B1590A">
        <w:rPr>
          <w:rFonts w:cs="宋体"/>
          <w:szCs w:val="24"/>
        </w:rPr>
        <w:t xml:space="preserve"> H, </w:t>
      </w:r>
      <w:proofErr w:type="spellStart"/>
      <w:r w:rsidRPr="00B1590A">
        <w:rPr>
          <w:rFonts w:cs="宋体"/>
          <w:szCs w:val="24"/>
        </w:rPr>
        <w:t>Sueda</w:t>
      </w:r>
      <w:proofErr w:type="spellEnd"/>
      <w:r w:rsidRPr="00B1590A">
        <w:rPr>
          <w:rFonts w:cs="宋体"/>
          <w:szCs w:val="24"/>
        </w:rPr>
        <w:t xml:space="preserve"> T. Prognostic significance of lymph node metastasis and surgical margin status for distal </w:t>
      </w:r>
      <w:proofErr w:type="spellStart"/>
      <w:r w:rsidRPr="00B1590A">
        <w:rPr>
          <w:rFonts w:cs="宋体"/>
          <w:szCs w:val="24"/>
        </w:rPr>
        <w:t>cholangiocarcinoma</w:t>
      </w:r>
      <w:proofErr w:type="spellEnd"/>
      <w:r w:rsidRPr="00B1590A">
        <w:rPr>
          <w:rFonts w:cs="宋体"/>
          <w:szCs w:val="24"/>
        </w:rPr>
        <w:t>.</w:t>
      </w:r>
      <w:r w:rsidRPr="00080C35">
        <w:rPr>
          <w:rFonts w:cs="宋体"/>
          <w:szCs w:val="24"/>
        </w:rPr>
        <w:t> </w:t>
      </w:r>
      <w:r w:rsidRPr="00B1590A">
        <w:rPr>
          <w:rFonts w:cs="宋体"/>
          <w:i/>
          <w:iCs/>
          <w:szCs w:val="24"/>
        </w:rPr>
        <w:t xml:space="preserve">J </w:t>
      </w:r>
      <w:proofErr w:type="spellStart"/>
      <w:r w:rsidRPr="00B1590A">
        <w:rPr>
          <w:rFonts w:cs="宋体"/>
          <w:i/>
          <w:iCs/>
          <w:szCs w:val="24"/>
        </w:rPr>
        <w:t>Surg</w:t>
      </w:r>
      <w:proofErr w:type="spellEnd"/>
      <w:r w:rsidRPr="00B1590A">
        <w:rPr>
          <w:rFonts w:cs="宋体"/>
          <w:i/>
          <w:iCs/>
          <w:szCs w:val="24"/>
        </w:rPr>
        <w:t xml:space="preserve"> </w:t>
      </w:r>
      <w:proofErr w:type="spellStart"/>
      <w:r w:rsidRPr="00B1590A">
        <w:rPr>
          <w:rFonts w:cs="宋体"/>
          <w:i/>
          <w:iCs/>
          <w:szCs w:val="24"/>
        </w:rPr>
        <w:t>Oncol</w:t>
      </w:r>
      <w:proofErr w:type="spellEnd"/>
      <w:r w:rsidRPr="00080C35">
        <w:rPr>
          <w:rFonts w:cs="宋体"/>
          <w:szCs w:val="24"/>
        </w:rPr>
        <w:t> </w:t>
      </w:r>
      <w:r w:rsidRPr="00B1590A">
        <w:rPr>
          <w:rFonts w:cs="宋体"/>
          <w:szCs w:val="24"/>
        </w:rPr>
        <w:t>2007;</w:t>
      </w:r>
      <w:r w:rsidRPr="00080C35">
        <w:rPr>
          <w:rFonts w:cs="宋体"/>
          <w:szCs w:val="24"/>
        </w:rPr>
        <w:t> </w:t>
      </w:r>
      <w:r w:rsidRPr="00B1590A">
        <w:rPr>
          <w:rFonts w:cs="宋体"/>
          <w:b/>
          <w:bCs/>
          <w:szCs w:val="24"/>
        </w:rPr>
        <w:t>95</w:t>
      </w:r>
      <w:r w:rsidRPr="00B1590A">
        <w:rPr>
          <w:rFonts w:cs="宋体"/>
          <w:szCs w:val="24"/>
        </w:rPr>
        <w:t>: 207-212 [PMID: 17278119 DOI: 10.1002/jso.20668]</w:t>
      </w:r>
    </w:p>
    <w:p w:rsidR="00147B7B" w:rsidRPr="00B1590A" w:rsidRDefault="00147B7B" w:rsidP="009350E9">
      <w:pPr>
        <w:spacing w:after="0"/>
        <w:jc w:val="both"/>
        <w:rPr>
          <w:rFonts w:cs="宋体"/>
          <w:szCs w:val="24"/>
        </w:rPr>
      </w:pPr>
      <w:r w:rsidRPr="00B1590A">
        <w:rPr>
          <w:rFonts w:cs="宋体"/>
          <w:szCs w:val="24"/>
        </w:rPr>
        <w:t>22</w:t>
      </w:r>
      <w:r w:rsidRPr="00080C35">
        <w:rPr>
          <w:rFonts w:cs="宋体"/>
          <w:szCs w:val="24"/>
        </w:rPr>
        <w:t> </w:t>
      </w:r>
      <w:proofErr w:type="spellStart"/>
      <w:r w:rsidRPr="00B1590A">
        <w:rPr>
          <w:rFonts w:cs="宋体"/>
          <w:b/>
          <w:bCs/>
          <w:szCs w:val="24"/>
        </w:rPr>
        <w:t>Kayahara</w:t>
      </w:r>
      <w:proofErr w:type="spellEnd"/>
      <w:r w:rsidRPr="00B1590A">
        <w:rPr>
          <w:rFonts w:cs="宋体"/>
          <w:b/>
          <w:bCs/>
          <w:szCs w:val="24"/>
        </w:rPr>
        <w:t xml:space="preserve"> M</w:t>
      </w:r>
      <w:r w:rsidRPr="00B1590A">
        <w:rPr>
          <w:rFonts w:cs="宋体"/>
          <w:szCs w:val="24"/>
        </w:rPr>
        <w:t xml:space="preserve">, </w:t>
      </w:r>
      <w:proofErr w:type="spellStart"/>
      <w:r w:rsidRPr="00B1590A">
        <w:rPr>
          <w:rFonts w:cs="宋体"/>
          <w:szCs w:val="24"/>
        </w:rPr>
        <w:t>Nagakawa</w:t>
      </w:r>
      <w:proofErr w:type="spellEnd"/>
      <w:r w:rsidRPr="00B1590A">
        <w:rPr>
          <w:rFonts w:cs="宋体"/>
          <w:szCs w:val="24"/>
        </w:rPr>
        <w:t xml:space="preserve"> T, </w:t>
      </w:r>
      <w:proofErr w:type="spellStart"/>
      <w:r w:rsidRPr="00B1590A">
        <w:rPr>
          <w:rFonts w:cs="宋体"/>
          <w:szCs w:val="24"/>
        </w:rPr>
        <w:t>Ohta</w:t>
      </w:r>
      <w:proofErr w:type="spellEnd"/>
      <w:r w:rsidRPr="00B1590A">
        <w:rPr>
          <w:rFonts w:cs="宋体"/>
          <w:szCs w:val="24"/>
        </w:rPr>
        <w:t xml:space="preserve"> T, Kitagawa H, Tajima H, Miwa K. Role of nodal involvement and the </w:t>
      </w:r>
      <w:proofErr w:type="spellStart"/>
      <w:r w:rsidRPr="00B1590A">
        <w:rPr>
          <w:rFonts w:cs="宋体"/>
          <w:szCs w:val="24"/>
        </w:rPr>
        <w:t>periductal</w:t>
      </w:r>
      <w:proofErr w:type="spellEnd"/>
      <w:r w:rsidRPr="00B1590A">
        <w:rPr>
          <w:rFonts w:cs="宋体"/>
          <w:szCs w:val="24"/>
        </w:rPr>
        <w:t xml:space="preserve"> soft-tissue margin in middle and distal bile duct cancer.</w:t>
      </w:r>
      <w:r w:rsidRPr="00080C35">
        <w:rPr>
          <w:rFonts w:cs="宋体"/>
          <w:szCs w:val="24"/>
        </w:rPr>
        <w:t> </w:t>
      </w:r>
      <w:r w:rsidRPr="00B1590A">
        <w:rPr>
          <w:rFonts w:cs="宋体"/>
          <w:i/>
          <w:iCs/>
          <w:szCs w:val="24"/>
        </w:rPr>
        <w:t xml:space="preserve">Ann </w:t>
      </w:r>
      <w:proofErr w:type="spellStart"/>
      <w:r w:rsidRPr="00B1590A">
        <w:rPr>
          <w:rFonts w:cs="宋体"/>
          <w:i/>
          <w:iCs/>
          <w:szCs w:val="24"/>
        </w:rPr>
        <w:t>Surg</w:t>
      </w:r>
      <w:proofErr w:type="spellEnd"/>
      <w:r w:rsidRPr="00080C35">
        <w:rPr>
          <w:rFonts w:cs="宋体"/>
          <w:szCs w:val="24"/>
        </w:rPr>
        <w:t> </w:t>
      </w:r>
      <w:r w:rsidRPr="00B1590A">
        <w:rPr>
          <w:rFonts w:cs="宋体"/>
          <w:szCs w:val="24"/>
        </w:rPr>
        <w:t>1999;</w:t>
      </w:r>
      <w:r w:rsidRPr="00080C35">
        <w:rPr>
          <w:rFonts w:cs="宋体"/>
          <w:szCs w:val="24"/>
        </w:rPr>
        <w:t> </w:t>
      </w:r>
      <w:r w:rsidRPr="00B1590A">
        <w:rPr>
          <w:rFonts w:cs="宋体"/>
          <w:b/>
          <w:bCs/>
          <w:szCs w:val="24"/>
        </w:rPr>
        <w:t>229</w:t>
      </w:r>
      <w:r w:rsidRPr="00B1590A">
        <w:rPr>
          <w:rFonts w:cs="宋体"/>
          <w:szCs w:val="24"/>
        </w:rPr>
        <w:t>: 76-83 [PMID: 9923803 DOI: 10.1097/00000658-199901000-00010]</w:t>
      </w:r>
    </w:p>
    <w:p w:rsidR="00147B7B" w:rsidRPr="00B1590A" w:rsidRDefault="00147B7B" w:rsidP="009350E9">
      <w:pPr>
        <w:spacing w:after="0"/>
        <w:jc w:val="both"/>
        <w:rPr>
          <w:rFonts w:cs="宋体"/>
          <w:szCs w:val="24"/>
        </w:rPr>
      </w:pPr>
      <w:r w:rsidRPr="00B1590A">
        <w:rPr>
          <w:rFonts w:cs="宋体"/>
          <w:szCs w:val="24"/>
        </w:rPr>
        <w:t>23</w:t>
      </w:r>
      <w:r w:rsidRPr="00080C35">
        <w:rPr>
          <w:rFonts w:cs="宋体"/>
          <w:szCs w:val="24"/>
        </w:rPr>
        <w:t> </w:t>
      </w:r>
      <w:proofErr w:type="spellStart"/>
      <w:r w:rsidRPr="00B1590A">
        <w:rPr>
          <w:rFonts w:cs="宋体"/>
          <w:b/>
          <w:bCs/>
          <w:szCs w:val="24"/>
        </w:rPr>
        <w:t>Friedell</w:t>
      </w:r>
      <w:proofErr w:type="spellEnd"/>
      <w:r w:rsidRPr="00B1590A">
        <w:rPr>
          <w:rFonts w:cs="宋体"/>
          <w:b/>
          <w:bCs/>
          <w:szCs w:val="24"/>
        </w:rPr>
        <w:t xml:space="preserve"> GH</w:t>
      </w:r>
      <w:r w:rsidRPr="00B1590A">
        <w:rPr>
          <w:rFonts w:cs="宋体"/>
          <w:szCs w:val="24"/>
        </w:rPr>
        <w:t xml:space="preserve">, Steiner G, </w:t>
      </w:r>
      <w:proofErr w:type="spellStart"/>
      <w:r w:rsidRPr="00B1590A">
        <w:rPr>
          <w:rFonts w:cs="宋体"/>
          <w:szCs w:val="24"/>
        </w:rPr>
        <w:t>Kistner</w:t>
      </w:r>
      <w:proofErr w:type="spellEnd"/>
      <w:r w:rsidRPr="00B1590A">
        <w:rPr>
          <w:rFonts w:cs="宋体"/>
          <w:szCs w:val="24"/>
        </w:rPr>
        <w:t xml:space="preserve"> RW. </w:t>
      </w:r>
      <w:proofErr w:type="gramStart"/>
      <w:r w:rsidRPr="00B1590A">
        <w:rPr>
          <w:rFonts w:cs="宋体"/>
          <w:szCs w:val="24"/>
        </w:rPr>
        <w:t>Prognostic value of blood-vessel invasion in cervical cancer.</w:t>
      </w:r>
      <w:proofErr w:type="gramEnd"/>
      <w:r w:rsidRPr="00080C35">
        <w:rPr>
          <w:rFonts w:cs="宋体"/>
          <w:szCs w:val="24"/>
        </w:rPr>
        <w:t> </w:t>
      </w:r>
      <w:proofErr w:type="spellStart"/>
      <w:r w:rsidRPr="00B1590A">
        <w:rPr>
          <w:rFonts w:cs="宋体"/>
          <w:i/>
          <w:iCs/>
          <w:szCs w:val="24"/>
        </w:rPr>
        <w:t>Obstet</w:t>
      </w:r>
      <w:proofErr w:type="spellEnd"/>
      <w:r w:rsidRPr="00B1590A">
        <w:rPr>
          <w:rFonts w:cs="宋体"/>
          <w:i/>
          <w:iCs/>
          <w:szCs w:val="24"/>
        </w:rPr>
        <w:t xml:space="preserve"> </w:t>
      </w:r>
      <w:proofErr w:type="spellStart"/>
      <w:r w:rsidRPr="00B1590A">
        <w:rPr>
          <w:rFonts w:cs="宋体"/>
          <w:i/>
          <w:iCs/>
          <w:szCs w:val="24"/>
        </w:rPr>
        <w:t>Gynecol</w:t>
      </w:r>
      <w:proofErr w:type="spellEnd"/>
      <w:r w:rsidRPr="00080C35">
        <w:rPr>
          <w:rFonts w:cs="宋体"/>
          <w:szCs w:val="24"/>
        </w:rPr>
        <w:t> </w:t>
      </w:r>
      <w:r w:rsidRPr="00B1590A">
        <w:rPr>
          <w:rFonts w:cs="宋体"/>
          <w:szCs w:val="24"/>
        </w:rPr>
        <w:t>1967;</w:t>
      </w:r>
      <w:r w:rsidRPr="00080C35">
        <w:rPr>
          <w:rFonts w:cs="宋体"/>
          <w:szCs w:val="24"/>
        </w:rPr>
        <w:t> </w:t>
      </w:r>
      <w:r w:rsidRPr="00B1590A">
        <w:rPr>
          <w:rFonts w:cs="宋体"/>
          <w:b/>
          <w:bCs/>
          <w:szCs w:val="24"/>
        </w:rPr>
        <w:t>29</w:t>
      </w:r>
      <w:r w:rsidRPr="00B1590A">
        <w:rPr>
          <w:rFonts w:cs="宋体"/>
          <w:szCs w:val="24"/>
        </w:rPr>
        <w:t>: 855-857 [PMID: 6025037]</w:t>
      </w:r>
    </w:p>
    <w:p w:rsidR="00147B7B" w:rsidRPr="00B1590A" w:rsidRDefault="00147B7B" w:rsidP="009350E9">
      <w:pPr>
        <w:spacing w:after="0"/>
        <w:jc w:val="both"/>
        <w:rPr>
          <w:rFonts w:cs="宋体"/>
          <w:szCs w:val="24"/>
        </w:rPr>
      </w:pPr>
      <w:proofErr w:type="gramStart"/>
      <w:r w:rsidRPr="00B1590A">
        <w:rPr>
          <w:rFonts w:cs="宋体"/>
          <w:szCs w:val="24"/>
        </w:rPr>
        <w:lastRenderedPageBreak/>
        <w:t>24</w:t>
      </w:r>
      <w:r w:rsidRPr="00080C35">
        <w:rPr>
          <w:rFonts w:cs="宋体"/>
          <w:szCs w:val="24"/>
        </w:rPr>
        <w:t> </w:t>
      </w:r>
      <w:r w:rsidRPr="00B1590A">
        <w:rPr>
          <w:rFonts w:cs="宋体"/>
          <w:b/>
          <w:bCs/>
          <w:szCs w:val="24"/>
        </w:rPr>
        <w:t>Patel SH</w:t>
      </w:r>
      <w:r w:rsidRPr="00B1590A">
        <w:rPr>
          <w:rFonts w:cs="宋体"/>
          <w:szCs w:val="24"/>
        </w:rPr>
        <w:t xml:space="preserve">, </w:t>
      </w:r>
      <w:proofErr w:type="spellStart"/>
      <w:r w:rsidRPr="00B1590A">
        <w:rPr>
          <w:rFonts w:cs="宋体"/>
          <w:szCs w:val="24"/>
        </w:rPr>
        <w:t>Kooby</w:t>
      </w:r>
      <w:proofErr w:type="spellEnd"/>
      <w:r w:rsidRPr="00B1590A">
        <w:rPr>
          <w:rFonts w:cs="宋体"/>
          <w:szCs w:val="24"/>
        </w:rPr>
        <w:t xml:space="preserve"> DA, Staley CA, Sarmiento JM, </w:t>
      </w:r>
      <w:proofErr w:type="spellStart"/>
      <w:r w:rsidRPr="00B1590A">
        <w:rPr>
          <w:rFonts w:cs="宋体"/>
          <w:szCs w:val="24"/>
        </w:rPr>
        <w:t>Maithel</w:t>
      </w:r>
      <w:proofErr w:type="spellEnd"/>
      <w:r w:rsidRPr="00B1590A">
        <w:rPr>
          <w:rFonts w:cs="宋体"/>
          <w:szCs w:val="24"/>
        </w:rPr>
        <w:t xml:space="preserve"> SK.</w:t>
      </w:r>
      <w:proofErr w:type="gramEnd"/>
      <w:r w:rsidRPr="00B1590A">
        <w:rPr>
          <w:rFonts w:cs="宋体"/>
          <w:szCs w:val="24"/>
        </w:rPr>
        <w:t xml:space="preserve"> The prognostic importance of </w:t>
      </w:r>
      <w:proofErr w:type="spellStart"/>
      <w:r w:rsidRPr="00B1590A">
        <w:rPr>
          <w:rFonts w:cs="宋体"/>
          <w:szCs w:val="24"/>
        </w:rPr>
        <w:t>lymphovascular</w:t>
      </w:r>
      <w:proofErr w:type="spellEnd"/>
      <w:r w:rsidRPr="00B1590A">
        <w:rPr>
          <w:rFonts w:cs="宋体"/>
          <w:szCs w:val="24"/>
        </w:rPr>
        <w:t xml:space="preserve"> invasion in </w:t>
      </w:r>
      <w:proofErr w:type="spellStart"/>
      <w:r w:rsidRPr="00B1590A">
        <w:rPr>
          <w:rFonts w:cs="宋体"/>
          <w:szCs w:val="24"/>
        </w:rPr>
        <w:t>cholangiocarcinoma</w:t>
      </w:r>
      <w:proofErr w:type="spellEnd"/>
      <w:r w:rsidRPr="00B1590A">
        <w:rPr>
          <w:rFonts w:cs="宋体"/>
          <w:szCs w:val="24"/>
        </w:rPr>
        <w:t xml:space="preserve"> above the cystic duct: a new selection criterion for adjuvant therapy?</w:t>
      </w:r>
      <w:r w:rsidRPr="00080C35">
        <w:rPr>
          <w:rFonts w:cs="宋体"/>
          <w:szCs w:val="24"/>
        </w:rPr>
        <w:t> </w:t>
      </w:r>
      <w:r w:rsidRPr="00B1590A">
        <w:rPr>
          <w:rFonts w:cs="宋体"/>
          <w:i/>
          <w:iCs/>
          <w:szCs w:val="24"/>
        </w:rPr>
        <w:t>HPB (Oxford)</w:t>
      </w:r>
      <w:r w:rsidRPr="00080C35">
        <w:rPr>
          <w:rFonts w:cs="宋体"/>
          <w:szCs w:val="24"/>
        </w:rPr>
        <w:t> </w:t>
      </w:r>
      <w:r w:rsidRPr="00B1590A">
        <w:rPr>
          <w:rFonts w:cs="宋体"/>
          <w:szCs w:val="24"/>
        </w:rPr>
        <w:t>2011;</w:t>
      </w:r>
      <w:r w:rsidRPr="00080C35">
        <w:rPr>
          <w:rFonts w:cs="宋体"/>
          <w:szCs w:val="24"/>
        </w:rPr>
        <w:t> </w:t>
      </w:r>
      <w:r w:rsidRPr="00B1590A">
        <w:rPr>
          <w:rFonts w:cs="宋体"/>
          <w:b/>
          <w:bCs/>
          <w:szCs w:val="24"/>
        </w:rPr>
        <w:t>13</w:t>
      </w:r>
      <w:r w:rsidRPr="00B1590A">
        <w:rPr>
          <w:rFonts w:cs="宋体"/>
          <w:szCs w:val="24"/>
        </w:rPr>
        <w:t>: 605-611 [PMID: 21843260 DOI: 10.1111/j.1477-2574.2011.00335.x]</w:t>
      </w:r>
    </w:p>
    <w:p w:rsidR="00147B7B" w:rsidRPr="00080C35" w:rsidRDefault="00147B7B" w:rsidP="009350E9">
      <w:pPr>
        <w:spacing w:after="0"/>
        <w:jc w:val="both"/>
        <w:rPr>
          <w:rFonts w:cs="宋体"/>
          <w:color w:val="000000"/>
          <w:szCs w:val="24"/>
        </w:rPr>
      </w:pPr>
      <w:r w:rsidRPr="00080C35">
        <w:rPr>
          <w:rFonts w:cs="宋体"/>
          <w:szCs w:val="24"/>
        </w:rPr>
        <w:t xml:space="preserve">25 </w:t>
      </w:r>
      <w:proofErr w:type="spellStart"/>
      <w:r w:rsidRPr="00080C35">
        <w:rPr>
          <w:rFonts w:cs="宋体"/>
          <w:b/>
          <w:bCs/>
          <w:color w:val="000000"/>
          <w:szCs w:val="24"/>
        </w:rPr>
        <w:t>Ragage</w:t>
      </w:r>
      <w:proofErr w:type="spellEnd"/>
      <w:r w:rsidRPr="00080C35">
        <w:rPr>
          <w:rFonts w:cs="宋体"/>
          <w:b/>
          <w:bCs/>
          <w:color w:val="000000"/>
          <w:szCs w:val="24"/>
        </w:rPr>
        <w:t xml:space="preserve"> F</w:t>
      </w:r>
      <w:r w:rsidRPr="00080C35">
        <w:rPr>
          <w:rFonts w:cs="宋体"/>
          <w:color w:val="000000"/>
          <w:szCs w:val="24"/>
        </w:rPr>
        <w:t xml:space="preserve">, </w:t>
      </w:r>
      <w:proofErr w:type="spellStart"/>
      <w:r w:rsidRPr="00080C35">
        <w:rPr>
          <w:rFonts w:cs="宋体"/>
          <w:color w:val="000000"/>
          <w:szCs w:val="24"/>
        </w:rPr>
        <w:t>Debled</w:t>
      </w:r>
      <w:proofErr w:type="spellEnd"/>
      <w:r w:rsidRPr="00080C35">
        <w:rPr>
          <w:rFonts w:cs="宋体"/>
          <w:color w:val="000000"/>
          <w:szCs w:val="24"/>
        </w:rPr>
        <w:t xml:space="preserve"> M, </w:t>
      </w:r>
      <w:proofErr w:type="spellStart"/>
      <w:r w:rsidRPr="00080C35">
        <w:rPr>
          <w:rFonts w:cs="宋体"/>
          <w:color w:val="000000"/>
          <w:szCs w:val="24"/>
        </w:rPr>
        <w:t>MacGrogan</w:t>
      </w:r>
      <w:proofErr w:type="spellEnd"/>
      <w:r w:rsidRPr="00080C35">
        <w:rPr>
          <w:rFonts w:cs="宋体"/>
          <w:color w:val="000000"/>
          <w:szCs w:val="24"/>
        </w:rPr>
        <w:t xml:space="preserve"> G, </w:t>
      </w:r>
      <w:proofErr w:type="spellStart"/>
      <w:r w:rsidRPr="00080C35">
        <w:rPr>
          <w:rFonts w:cs="宋体"/>
          <w:color w:val="000000"/>
          <w:szCs w:val="24"/>
        </w:rPr>
        <w:t>Brouste</w:t>
      </w:r>
      <w:proofErr w:type="spellEnd"/>
      <w:r w:rsidRPr="00080C35">
        <w:rPr>
          <w:rFonts w:cs="宋体"/>
          <w:color w:val="000000"/>
          <w:szCs w:val="24"/>
        </w:rPr>
        <w:t xml:space="preserve"> V, </w:t>
      </w:r>
      <w:proofErr w:type="spellStart"/>
      <w:r w:rsidRPr="00080C35">
        <w:rPr>
          <w:rFonts w:cs="宋体"/>
          <w:color w:val="000000"/>
          <w:szCs w:val="24"/>
        </w:rPr>
        <w:t>Desrousseaux</w:t>
      </w:r>
      <w:proofErr w:type="spellEnd"/>
      <w:r w:rsidRPr="00080C35">
        <w:rPr>
          <w:rFonts w:cs="宋体"/>
          <w:color w:val="000000"/>
          <w:szCs w:val="24"/>
        </w:rPr>
        <w:t xml:space="preserve"> M, </w:t>
      </w:r>
      <w:proofErr w:type="spellStart"/>
      <w:r w:rsidRPr="00080C35">
        <w:rPr>
          <w:rFonts w:cs="宋体"/>
          <w:color w:val="000000"/>
          <w:szCs w:val="24"/>
        </w:rPr>
        <w:t>Soubeyran</w:t>
      </w:r>
      <w:proofErr w:type="spellEnd"/>
      <w:r w:rsidRPr="00080C35">
        <w:rPr>
          <w:rFonts w:cs="宋体"/>
          <w:color w:val="000000"/>
          <w:szCs w:val="24"/>
        </w:rPr>
        <w:t xml:space="preserve"> I, de Lara CT, Mauriac L, de </w:t>
      </w:r>
      <w:proofErr w:type="spellStart"/>
      <w:r w:rsidRPr="00080C35">
        <w:rPr>
          <w:rFonts w:cs="宋体"/>
          <w:color w:val="000000"/>
          <w:szCs w:val="24"/>
        </w:rPr>
        <w:t>Mascarel</w:t>
      </w:r>
      <w:proofErr w:type="spellEnd"/>
      <w:r w:rsidRPr="00080C35">
        <w:rPr>
          <w:rFonts w:cs="宋体"/>
          <w:color w:val="000000"/>
          <w:szCs w:val="24"/>
        </w:rPr>
        <w:t xml:space="preserve"> I. Is it useful to detect </w:t>
      </w:r>
      <w:proofErr w:type="spellStart"/>
      <w:r w:rsidRPr="00080C35">
        <w:rPr>
          <w:rFonts w:cs="宋体"/>
          <w:color w:val="000000"/>
          <w:szCs w:val="24"/>
        </w:rPr>
        <w:t>lymphovascular</w:t>
      </w:r>
      <w:proofErr w:type="spellEnd"/>
      <w:r w:rsidRPr="00080C35">
        <w:rPr>
          <w:rFonts w:cs="宋体"/>
          <w:color w:val="000000"/>
          <w:szCs w:val="24"/>
        </w:rPr>
        <w:t xml:space="preserve"> invasion in lymph node-positive patients with primary operable breast cancer? </w:t>
      </w:r>
      <w:r w:rsidRPr="00080C35">
        <w:rPr>
          <w:rFonts w:cs="宋体"/>
          <w:i/>
          <w:iCs/>
          <w:color w:val="000000"/>
          <w:szCs w:val="24"/>
        </w:rPr>
        <w:t>Cancer</w:t>
      </w:r>
      <w:r w:rsidRPr="00080C35">
        <w:rPr>
          <w:rFonts w:cs="宋体"/>
          <w:color w:val="000000"/>
          <w:szCs w:val="24"/>
        </w:rPr>
        <w:t> 2010; </w:t>
      </w:r>
      <w:r w:rsidRPr="00080C35">
        <w:rPr>
          <w:rFonts w:cs="宋体"/>
          <w:b/>
          <w:bCs/>
          <w:color w:val="000000"/>
          <w:szCs w:val="24"/>
        </w:rPr>
        <w:t>116</w:t>
      </w:r>
      <w:r w:rsidRPr="00080C35">
        <w:rPr>
          <w:rFonts w:cs="宋体"/>
          <w:color w:val="000000"/>
          <w:szCs w:val="24"/>
        </w:rPr>
        <w:t>: 3093-3101 [PMID: 20564641 DOI: 10.1002/cncr.25137]</w:t>
      </w:r>
    </w:p>
    <w:p w:rsidR="00147B7B" w:rsidRPr="00B1590A" w:rsidRDefault="00147B7B" w:rsidP="009350E9">
      <w:pPr>
        <w:spacing w:after="0"/>
        <w:jc w:val="both"/>
        <w:rPr>
          <w:rFonts w:cs="宋体"/>
          <w:szCs w:val="24"/>
        </w:rPr>
      </w:pPr>
      <w:r w:rsidRPr="00B1590A">
        <w:rPr>
          <w:rFonts w:cs="宋体"/>
          <w:szCs w:val="24"/>
        </w:rPr>
        <w:t>26</w:t>
      </w:r>
      <w:r w:rsidRPr="00080C35">
        <w:rPr>
          <w:rFonts w:cs="宋体"/>
          <w:szCs w:val="24"/>
        </w:rPr>
        <w:t> </w:t>
      </w:r>
      <w:r w:rsidRPr="00B1590A">
        <w:rPr>
          <w:rFonts w:cs="宋体"/>
          <w:b/>
          <w:bCs/>
          <w:szCs w:val="24"/>
        </w:rPr>
        <w:t>Woo CS</w:t>
      </w:r>
      <w:r w:rsidRPr="00B1590A">
        <w:rPr>
          <w:rFonts w:cs="宋体"/>
          <w:szCs w:val="24"/>
        </w:rPr>
        <w:t xml:space="preserve">, </w:t>
      </w:r>
      <w:proofErr w:type="spellStart"/>
      <w:r w:rsidRPr="00B1590A">
        <w:rPr>
          <w:rFonts w:cs="宋体"/>
          <w:szCs w:val="24"/>
        </w:rPr>
        <w:t>Silberman</w:t>
      </w:r>
      <w:proofErr w:type="spellEnd"/>
      <w:r w:rsidRPr="00B1590A">
        <w:rPr>
          <w:rFonts w:cs="宋体"/>
          <w:szCs w:val="24"/>
        </w:rPr>
        <w:t xml:space="preserve"> H, Nakamura SK, Ye W, </w:t>
      </w:r>
      <w:proofErr w:type="spellStart"/>
      <w:r w:rsidRPr="00B1590A">
        <w:rPr>
          <w:rFonts w:cs="宋体"/>
          <w:szCs w:val="24"/>
        </w:rPr>
        <w:t>Sposto</w:t>
      </w:r>
      <w:proofErr w:type="spellEnd"/>
      <w:r w:rsidRPr="00B1590A">
        <w:rPr>
          <w:rFonts w:cs="宋体"/>
          <w:szCs w:val="24"/>
        </w:rPr>
        <w:t xml:space="preserve"> R, Colburn W, </w:t>
      </w:r>
      <w:proofErr w:type="spellStart"/>
      <w:r w:rsidRPr="00B1590A">
        <w:rPr>
          <w:rFonts w:cs="宋体"/>
          <w:szCs w:val="24"/>
        </w:rPr>
        <w:t>Waisman</w:t>
      </w:r>
      <w:proofErr w:type="spellEnd"/>
      <w:r w:rsidRPr="00B1590A">
        <w:rPr>
          <w:rFonts w:cs="宋体"/>
          <w:szCs w:val="24"/>
        </w:rPr>
        <w:t xml:space="preserve"> JR, </w:t>
      </w:r>
      <w:proofErr w:type="gramStart"/>
      <w:r w:rsidRPr="00B1590A">
        <w:rPr>
          <w:rFonts w:cs="宋体"/>
          <w:szCs w:val="24"/>
        </w:rPr>
        <w:t>Silverstein</w:t>
      </w:r>
      <w:proofErr w:type="gramEnd"/>
      <w:r w:rsidRPr="00B1590A">
        <w:rPr>
          <w:rFonts w:cs="宋体"/>
          <w:szCs w:val="24"/>
        </w:rPr>
        <w:t xml:space="preserve"> MJ. Lymph node status combined with </w:t>
      </w:r>
      <w:proofErr w:type="spellStart"/>
      <w:r w:rsidRPr="00B1590A">
        <w:rPr>
          <w:rFonts w:cs="宋体"/>
          <w:szCs w:val="24"/>
        </w:rPr>
        <w:t>lymphovascular</w:t>
      </w:r>
      <w:proofErr w:type="spellEnd"/>
      <w:r w:rsidRPr="00B1590A">
        <w:rPr>
          <w:rFonts w:cs="宋体"/>
          <w:szCs w:val="24"/>
        </w:rPr>
        <w:t xml:space="preserve"> invasion creates a more powerful tool for predicting outcome in patients with invasive breast cancer.</w:t>
      </w:r>
      <w:r w:rsidRPr="00080C35">
        <w:rPr>
          <w:rFonts w:cs="宋体"/>
          <w:szCs w:val="24"/>
        </w:rPr>
        <w:t> </w:t>
      </w:r>
      <w:r w:rsidRPr="00B1590A">
        <w:rPr>
          <w:rFonts w:cs="宋体"/>
          <w:i/>
          <w:iCs/>
          <w:szCs w:val="24"/>
        </w:rPr>
        <w:t xml:space="preserve">Am J </w:t>
      </w:r>
      <w:proofErr w:type="spellStart"/>
      <w:r w:rsidRPr="00B1590A">
        <w:rPr>
          <w:rFonts w:cs="宋体"/>
          <w:i/>
          <w:iCs/>
          <w:szCs w:val="24"/>
        </w:rPr>
        <w:t>Surg</w:t>
      </w:r>
      <w:proofErr w:type="spellEnd"/>
      <w:r w:rsidRPr="00080C35">
        <w:rPr>
          <w:rFonts w:cs="宋体"/>
          <w:szCs w:val="24"/>
        </w:rPr>
        <w:t> </w:t>
      </w:r>
      <w:r w:rsidRPr="00B1590A">
        <w:rPr>
          <w:rFonts w:cs="宋体"/>
          <w:szCs w:val="24"/>
        </w:rPr>
        <w:t>2002;</w:t>
      </w:r>
      <w:r w:rsidRPr="00080C35">
        <w:rPr>
          <w:rFonts w:cs="宋体"/>
          <w:szCs w:val="24"/>
        </w:rPr>
        <w:t> </w:t>
      </w:r>
      <w:r w:rsidRPr="00B1590A">
        <w:rPr>
          <w:rFonts w:cs="宋体"/>
          <w:b/>
          <w:bCs/>
          <w:szCs w:val="24"/>
        </w:rPr>
        <w:t>184</w:t>
      </w:r>
      <w:r w:rsidRPr="00B1590A">
        <w:rPr>
          <w:rFonts w:cs="宋体"/>
          <w:szCs w:val="24"/>
        </w:rPr>
        <w:t>: 337-340 [PMID: 12383896 DOI: 10.1016/S0002-9610(02)00950-9]</w:t>
      </w:r>
    </w:p>
    <w:p w:rsidR="00147B7B" w:rsidRDefault="00147B7B" w:rsidP="009350E9">
      <w:pPr>
        <w:pStyle w:val="af2"/>
        <w:spacing w:before="0" w:after="0" w:line="360" w:lineRule="auto"/>
        <w:rPr>
          <w:color w:val="auto"/>
          <w:sz w:val="24"/>
          <w:szCs w:val="24"/>
          <w:lang w:eastAsia="zh-CN"/>
        </w:rPr>
      </w:pPr>
    </w:p>
    <w:p w:rsidR="00147B7B" w:rsidRPr="00CE4867" w:rsidRDefault="00147B7B" w:rsidP="009350E9">
      <w:pPr>
        <w:spacing w:after="0"/>
        <w:jc w:val="right"/>
        <w:rPr>
          <w:b/>
          <w:bCs/>
          <w:color w:val="000000"/>
        </w:rPr>
      </w:pPr>
      <w:bookmarkStart w:id="17" w:name="OLE_LINK11"/>
      <w:bookmarkStart w:id="18" w:name="OLE_LINK36"/>
      <w:bookmarkStart w:id="19" w:name="OLE_LINK37"/>
      <w:bookmarkStart w:id="20" w:name="OLE_LINK20"/>
      <w:bookmarkStart w:id="21" w:name="OLE_LINK80"/>
      <w:bookmarkStart w:id="22" w:name="OLE_LINK85"/>
      <w:bookmarkStart w:id="23" w:name="OLE_LINK194"/>
      <w:bookmarkStart w:id="24" w:name="OLE_LINK118"/>
      <w:bookmarkStart w:id="25" w:name="OLE_LINK159"/>
      <w:r w:rsidRPr="00CE4867">
        <w:rPr>
          <w:rStyle w:val="af5"/>
          <w:bCs/>
          <w:noProof/>
          <w:color w:val="000000"/>
          <w:szCs w:val="24"/>
        </w:rPr>
        <w:t>P-Reviewer</w:t>
      </w:r>
      <w:bookmarkEnd w:id="17"/>
      <w:r>
        <w:rPr>
          <w:rStyle w:val="af5"/>
          <w:bCs/>
          <w:noProof/>
          <w:color w:val="000000"/>
          <w:szCs w:val="24"/>
          <w:lang w:eastAsia="zh-CN"/>
        </w:rPr>
        <w:t>s</w:t>
      </w:r>
      <w:r>
        <w:rPr>
          <w:rStyle w:val="af5"/>
          <w:bCs/>
          <w:noProof/>
          <w:color w:val="000000"/>
          <w:szCs w:val="24"/>
        </w:rPr>
        <w:t>:</w:t>
      </w:r>
      <w:r w:rsidRPr="001B6014">
        <w:t xml:space="preserve"> Matsumoto I,</w:t>
      </w:r>
      <w:r>
        <w:rPr>
          <w:lang w:eastAsia="zh-CN"/>
        </w:rPr>
        <w:t xml:space="preserve"> </w:t>
      </w:r>
      <w:proofErr w:type="spellStart"/>
      <w:r w:rsidRPr="001B6014">
        <w:rPr>
          <w:lang w:eastAsia="zh-CN"/>
        </w:rPr>
        <w:t>Rerknimitr</w:t>
      </w:r>
      <w:proofErr w:type="spellEnd"/>
      <w:r w:rsidRPr="001B6014">
        <w:rPr>
          <w:lang w:eastAsia="zh-CN"/>
        </w:rPr>
        <w:t xml:space="preserve"> R,</w:t>
      </w:r>
      <w:r w:rsidRPr="001B6014">
        <w:t xml:space="preserve"> </w:t>
      </w:r>
      <w:r w:rsidRPr="001B6014">
        <w:rPr>
          <w:bCs/>
          <w:color w:val="000000"/>
        </w:rPr>
        <w:t>Yang YM</w:t>
      </w:r>
      <w:r w:rsidRPr="001B6014">
        <w:rPr>
          <w:bCs/>
          <w:color w:val="000000"/>
          <w:lang w:eastAsia="zh-CN"/>
        </w:rPr>
        <w:t xml:space="preserve"> </w:t>
      </w:r>
      <w:r w:rsidRPr="001B6014">
        <w:rPr>
          <w:b/>
          <w:bCs/>
          <w:color w:val="000000"/>
        </w:rPr>
        <w:t xml:space="preserve"> </w:t>
      </w:r>
      <w:r w:rsidRPr="00CE4867">
        <w:rPr>
          <w:b/>
          <w:bCs/>
          <w:color w:val="000000"/>
        </w:rPr>
        <w:t xml:space="preserve">         S-Editor</w:t>
      </w:r>
      <w:r>
        <w:rPr>
          <w:b/>
          <w:bCs/>
          <w:color w:val="000000"/>
        </w:rPr>
        <w:t>:</w:t>
      </w:r>
      <w:r w:rsidRPr="00CE4867">
        <w:rPr>
          <w:b/>
          <w:bCs/>
          <w:color w:val="000000"/>
        </w:rPr>
        <w:t xml:space="preserve"> </w:t>
      </w:r>
      <w:r w:rsidRPr="00CE4867">
        <w:rPr>
          <w:bCs/>
          <w:color w:val="000000"/>
        </w:rPr>
        <w:t xml:space="preserve">Wen LL  </w:t>
      </w:r>
      <w:r w:rsidRPr="00CE4867">
        <w:rPr>
          <w:b/>
          <w:bCs/>
          <w:color w:val="000000"/>
        </w:rPr>
        <w:t xml:space="preserve">         </w:t>
      </w:r>
      <w:r w:rsidRPr="00CE4867">
        <w:rPr>
          <w:color w:val="000000"/>
        </w:rPr>
        <w:t xml:space="preserve">  </w:t>
      </w:r>
      <w:r w:rsidRPr="00CE4867">
        <w:rPr>
          <w:b/>
          <w:bCs/>
          <w:color w:val="000000"/>
        </w:rPr>
        <w:t>L-Editor</w:t>
      </w:r>
      <w:r>
        <w:rPr>
          <w:b/>
          <w:bCs/>
          <w:color w:val="000000"/>
        </w:rPr>
        <w:t>:</w:t>
      </w:r>
      <w:r w:rsidRPr="00CE4867">
        <w:rPr>
          <w:b/>
          <w:bCs/>
          <w:color w:val="000000"/>
        </w:rPr>
        <w:t xml:space="preserve">                </w:t>
      </w:r>
      <w:r w:rsidRPr="00CE4867">
        <w:rPr>
          <w:color w:val="000000"/>
        </w:rPr>
        <w:t xml:space="preserve">  </w:t>
      </w:r>
      <w:r w:rsidRPr="00CE4867">
        <w:rPr>
          <w:b/>
          <w:bCs/>
          <w:color w:val="000000"/>
        </w:rPr>
        <w:t>E-Editor</w:t>
      </w:r>
      <w:r>
        <w:rPr>
          <w:b/>
          <w:bCs/>
          <w:color w:val="000000"/>
        </w:rPr>
        <w:t>:</w:t>
      </w:r>
    </w:p>
    <w:bookmarkEnd w:id="18"/>
    <w:bookmarkEnd w:id="19"/>
    <w:bookmarkEnd w:id="20"/>
    <w:bookmarkEnd w:id="21"/>
    <w:bookmarkEnd w:id="22"/>
    <w:bookmarkEnd w:id="23"/>
    <w:bookmarkEnd w:id="24"/>
    <w:bookmarkEnd w:id="25"/>
    <w:p w:rsidR="00147B7B" w:rsidRPr="001B6014" w:rsidRDefault="00147B7B" w:rsidP="009350E9">
      <w:pPr>
        <w:pStyle w:val="af2"/>
        <w:spacing w:before="0" w:after="0" w:line="360" w:lineRule="auto"/>
        <w:rPr>
          <w:color w:val="auto"/>
          <w:sz w:val="24"/>
          <w:szCs w:val="24"/>
          <w:lang w:eastAsia="zh-CN"/>
        </w:rPr>
      </w:pPr>
    </w:p>
    <w:p w:rsidR="00147B7B" w:rsidRPr="003325D4" w:rsidRDefault="00147B7B" w:rsidP="009350E9">
      <w:pPr>
        <w:pStyle w:val="af2"/>
        <w:spacing w:before="0" w:after="0" w:line="360" w:lineRule="auto"/>
        <w:rPr>
          <w:b/>
          <w:color w:val="auto"/>
          <w:sz w:val="24"/>
          <w:szCs w:val="24"/>
          <w:lang w:eastAsia="zh-CN"/>
        </w:rPr>
      </w:pPr>
      <w:r w:rsidRPr="003C3796">
        <w:rPr>
          <w:rStyle w:val="CaptionLabel"/>
          <w:b/>
          <w:color w:val="auto"/>
          <w:sz w:val="24"/>
          <w:szCs w:val="24"/>
        </w:rPr>
        <w:br w:type="page"/>
      </w:r>
      <w:r w:rsidRPr="003325D4">
        <w:rPr>
          <w:rStyle w:val="CaptionLabel"/>
          <w:b/>
          <w:color w:val="auto"/>
          <w:sz w:val="24"/>
          <w:szCs w:val="24"/>
        </w:rPr>
        <w:lastRenderedPageBreak/>
        <w:t xml:space="preserve">Figure 1 </w:t>
      </w:r>
      <w:r w:rsidRPr="003325D4">
        <w:rPr>
          <w:b/>
          <w:color w:val="auto"/>
          <w:sz w:val="24"/>
          <w:szCs w:val="24"/>
        </w:rPr>
        <w:t>Overall survival of 194 patients who underwent resection (</w:t>
      </w:r>
      <w:r w:rsidRPr="003325D4">
        <w:rPr>
          <w:b/>
          <w:i/>
          <w:color w:val="auto"/>
          <w:sz w:val="24"/>
          <w:szCs w:val="24"/>
        </w:rPr>
        <w:t xml:space="preserve">n = </w:t>
      </w:r>
      <w:r w:rsidRPr="003325D4">
        <w:rPr>
          <w:b/>
          <w:color w:val="auto"/>
          <w:sz w:val="24"/>
          <w:szCs w:val="24"/>
        </w:rPr>
        <w:t xml:space="preserve">133) or </w:t>
      </w:r>
      <w:proofErr w:type="spellStart"/>
      <w:r w:rsidRPr="003325D4">
        <w:rPr>
          <w:b/>
          <w:color w:val="auto"/>
          <w:sz w:val="24"/>
          <w:szCs w:val="24"/>
        </w:rPr>
        <w:t>no</w:t>
      </w:r>
      <w:r w:rsidRPr="003325D4">
        <w:rPr>
          <w:rFonts w:eastAsia="Malgun Gothic"/>
          <w:b/>
          <w:color w:val="auto"/>
          <w:sz w:val="24"/>
          <w:szCs w:val="24"/>
          <w:lang w:eastAsia="ko-KR"/>
        </w:rPr>
        <w:t>n</w:t>
      </w:r>
      <w:r w:rsidRPr="003325D4">
        <w:rPr>
          <w:b/>
          <w:color w:val="auto"/>
          <w:sz w:val="24"/>
          <w:szCs w:val="24"/>
        </w:rPr>
        <w:t>resection</w:t>
      </w:r>
      <w:r w:rsidRPr="003325D4">
        <w:rPr>
          <w:rFonts w:eastAsia="Malgun Gothic"/>
          <w:b/>
          <w:color w:val="auto"/>
          <w:sz w:val="24"/>
          <w:szCs w:val="24"/>
          <w:lang w:eastAsia="ko-KR"/>
        </w:rPr>
        <w:t>al</w:t>
      </w:r>
      <w:proofErr w:type="spellEnd"/>
      <w:r w:rsidRPr="003325D4">
        <w:rPr>
          <w:rFonts w:eastAsia="Malgun Gothic"/>
          <w:b/>
          <w:color w:val="auto"/>
          <w:sz w:val="24"/>
          <w:szCs w:val="24"/>
          <w:lang w:eastAsia="ko-KR"/>
        </w:rPr>
        <w:t xml:space="preserve"> surgeries</w:t>
      </w:r>
      <w:r w:rsidRPr="003325D4">
        <w:rPr>
          <w:b/>
          <w:color w:val="auto"/>
          <w:sz w:val="24"/>
          <w:szCs w:val="24"/>
        </w:rPr>
        <w:t xml:space="preserve"> (</w:t>
      </w:r>
      <w:r w:rsidRPr="003325D4">
        <w:rPr>
          <w:b/>
          <w:i/>
          <w:color w:val="auto"/>
          <w:sz w:val="24"/>
          <w:szCs w:val="24"/>
        </w:rPr>
        <w:t xml:space="preserve">n = </w:t>
      </w:r>
      <w:r w:rsidRPr="003325D4">
        <w:rPr>
          <w:b/>
          <w:color w:val="auto"/>
          <w:sz w:val="24"/>
          <w:szCs w:val="24"/>
        </w:rPr>
        <w:t xml:space="preserve">61) for middle and distal bile duct cancers. </w:t>
      </w:r>
    </w:p>
    <w:p w:rsidR="00147B7B" w:rsidRPr="003325D4" w:rsidRDefault="00147B7B" w:rsidP="009350E9">
      <w:pPr>
        <w:pStyle w:val="af2"/>
        <w:spacing w:before="0" w:after="0" w:line="360" w:lineRule="auto"/>
        <w:rPr>
          <w:color w:val="auto"/>
          <w:sz w:val="24"/>
          <w:szCs w:val="24"/>
          <w:lang w:eastAsia="zh-CN"/>
        </w:rPr>
      </w:pPr>
    </w:p>
    <w:p w:rsidR="00147B7B" w:rsidRDefault="00147B7B" w:rsidP="009350E9">
      <w:pPr>
        <w:pStyle w:val="af2"/>
        <w:spacing w:before="0" w:after="0" w:line="360" w:lineRule="auto"/>
        <w:rPr>
          <w:b/>
          <w:color w:val="auto"/>
          <w:sz w:val="24"/>
          <w:szCs w:val="24"/>
          <w:lang w:eastAsia="zh-CN"/>
        </w:rPr>
      </w:pPr>
      <w:r w:rsidRPr="003325D4">
        <w:rPr>
          <w:rStyle w:val="CaptionLabel"/>
          <w:b/>
          <w:color w:val="auto"/>
          <w:sz w:val="24"/>
          <w:szCs w:val="24"/>
        </w:rPr>
        <w:t xml:space="preserve">Figure 2 </w:t>
      </w:r>
      <w:r w:rsidRPr="003325D4">
        <w:rPr>
          <w:b/>
          <w:color w:val="auto"/>
          <w:sz w:val="24"/>
          <w:szCs w:val="24"/>
        </w:rPr>
        <w:t xml:space="preserve">Overall </w:t>
      </w:r>
      <w:proofErr w:type="gramStart"/>
      <w:r w:rsidRPr="003325D4">
        <w:rPr>
          <w:b/>
          <w:color w:val="auto"/>
          <w:sz w:val="24"/>
          <w:szCs w:val="24"/>
        </w:rPr>
        <w:t>survival</w:t>
      </w:r>
      <w:proofErr w:type="gramEnd"/>
      <w:r w:rsidRPr="003325D4">
        <w:rPr>
          <w:b/>
          <w:color w:val="auto"/>
          <w:sz w:val="24"/>
          <w:szCs w:val="24"/>
        </w:rPr>
        <w:t xml:space="preserve"> of the 133 patients who underwent resection according to the status of their resection margins.</w:t>
      </w:r>
    </w:p>
    <w:p w:rsidR="00147B7B" w:rsidRPr="003325D4" w:rsidRDefault="00147B7B" w:rsidP="009350E9">
      <w:pPr>
        <w:pStyle w:val="af2"/>
        <w:spacing w:before="0" w:after="0" w:line="360" w:lineRule="auto"/>
        <w:rPr>
          <w:b/>
          <w:color w:val="auto"/>
          <w:sz w:val="24"/>
          <w:szCs w:val="24"/>
          <w:lang w:eastAsia="zh-CN"/>
        </w:rPr>
      </w:pPr>
    </w:p>
    <w:p w:rsidR="00147B7B" w:rsidRPr="003325D4" w:rsidRDefault="00147B7B" w:rsidP="009350E9">
      <w:pPr>
        <w:pStyle w:val="af2"/>
        <w:spacing w:before="0" w:after="0" w:line="360" w:lineRule="auto"/>
        <w:rPr>
          <w:b/>
          <w:color w:val="auto"/>
          <w:sz w:val="24"/>
          <w:szCs w:val="24"/>
        </w:rPr>
      </w:pPr>
      <w:r w:rsidRPr="003325D4">
        <w:rPr>
          <w:rStyle w:val="CaptionLabel"/>
          <w:b/>
          <w:color w:val="auto"/>
          <w:sz w:val="24"/>
          <w:szCs w:val="24"/>
        </w:rPr>
        <w:t xml:space="preserve">Figure 3 </w:t>
      </w:r>
      <w:r w:rsidRPr="003325D4">
        <w:rPr>
          <w:b/>
          <w:color w:val="auto"/>
          <w:sz w:val="24"/>
          <w:szCs w:val="24"/>
        </w:rPr>
        <w:t>Overall</w:t>
      </w:r>
      <w:r w:rsidRPr="003325D4">
        <w:rPr>
          <w:rFonts w:eastAsia="Malgun Gothic"/>
          <w:b/>
          <w:color w:val="auto"/>
          <w:sz w:val="24"/>
          <w:szCs w:val="24"/>
          <w:lang w:eastAsia="ko-KR"/>
        </w:rPr>
        <w:t xml:space="preserve"> (A) and disease free (B) </w:t>
      </w:r>
      <w:r w:rsidRPr="003325D4">
        <w:rPr>
          <w:b/>
          <w:color w:val="auto"/>
          <w:sz w:val="24"/>
          <w:szCs w:val="24"/>
        </w:rPr>
        <w:t>survival of the patients according to R0-pancreatoduodenectomy and R0-bile duct resection.</w:t>
      </w:r>
    </w:p>
    <w:p w:rsidR="00147B7B" w:rsidRDefault="00147B7B" w:rsidP="009350E9">
      <w:pPr>
        <w:pStyle w:val="af2"/>
        <w:spacing w:before="0" w:after="0" w:line="360" w:lineRule="auto"/>
        <w:rPr>
          <w:rStyle w:val="CaptionLabel"/>
          <w:b/>
          <w:color w:val="auto"/>
          <w:sz w:val="24"/>
          <w:szCs w:val="24"/>
        </w:rPr>
      </w:pPr>
      <w:r>
        <w:rPr>
          <w:rStyle w:val="CaptionLabel"/>
          <w:b/>
          <w:color w:val="auto"/>
          <w:sz w:val="24"/>
          <w:szCs w:val="24"/>
        </w:rPr>
        <w:br w:type="page"/>
      </w:r>
    </w:p>
    <w:p w:rsidR="00147B7B" w:rsidRPr="002B29BD" w:rsidRDefault="00147B7B" w:rsidP="009350E9">
      <w:pPr>
        <w:pStyle w:val="af2"/>
        <w:spacing w:before="0" w:after="0" w:line="360" w:lineRule="auto"/>
        <w:rPr>
          <w:b/>
          <w:color w:val="auto"/>
          <w:sz w:val="24"/>
          <w:szCs w:val="24"/>
          <w:lang w:eastAsia="zh-CN"/>
        </w:rPr>
      </w:pPr>
      <w:r w:rsidRPr="003C3796">
        <w:rPr>
          <w:rStyle w:val="CaptionLabel"/>
          <w:b/>
          <w:color w:val="auto"/>
          <w:sz w:val="24"/>
          <w:szCs w:val="24"/>
        </w:rPr>
        <w:t xml:space="preserve">Table 1 </w:t>
      </w:r>
      <w:proofErr w:type="spellStart"/>
      <w:r w:rsidRPr="00C00A08">
        <w:rPr>
          <w:b/>
          <w:color w:val="auto"/>
          <w:sz w:val="24"/>
          <w:szCs w:val="24"/>
        </w:rPr>
        <w:t>Univariate</w:t>
      </w:r>
      <w:proofErr w:type="spellEnd"/>
      <w:r w:rsidRPr="00C00A08">
        <w:rPr>
          <w:b/>
          <w:color w:val="auto"/>
          <w:sz w:val="24"/>
          <w:szCs w:val="24"/>
        </w:rPr>
        <w:t xml:space="preserve"> analysis of survival, according to the </w:t>
      </w:r>
      <w:proofErr w:type="spellStart"/>
      <w:r w:rsidRPr="00C00A08">
        <w:rPr>
          <w:b/>
          <w:color w:val="auto"/>
          <w:sz w:val="24"/>
          <w:szCs w:val="24"/>
        </w:rPr>
        <w:t>clinicopathological</w:t>
      </w:r>
      <w:proofErr w:type="spellEnd"/>
      <w:r w:rsidRPr="00C00A08">
        <w:rPr>
          <w:b/>
          <w:color w:val="auto"/>
          <w:sz w:val="24"/>
          <w:szCs w:val="24"/>
        </w:rPr>
        <w:t xml:space="preserve"> factors of patients who underwent surgical resection (R0, R1, and R2) for mid-distal </w:t>
      </w:r>
      <w:proofErr w:type="spellStart"/>
      <w:r w:rsidRPr="00C00A08">
        <w:rPr>
          <w:b/>
          <w:color w:val="auto"/>
          <w:sz w:val="24"/>
          <w:szCs w:val="24"/>
        </w:rPr>
        <w:t>extrahepatic</w:t>
      </w:r>
      <w:proofErr w:type="spellEnd"/>
      <w:r w:rsidRPr="00C00A08">
        <w:rPr>
          <w:b/>
          <w:color w:val="auto"/>
          <w:sz w:val="24"/>
          <w:szCs w:val="24"/>
        </w:rPr>
        <w:t xml:space="preserve"> bile duct cancer</w:t>
      </w:r>
      <w:r>
        <w:rPr>
          <w:b/>
          <w:color w:val="auto"/>
          <w:sz w:val="24"/>
          <w:szCs w:val="24"/>
          <w:lang w:eastAsia="zh-CN"/>
        </w:rPr>
        <w:t xml:space="preserve"> </w:t>
      </w:r>
      <w:r w:rsidRPr="002B29BD">
        <w:rPr>
          <w:b/>
          <w:i/>
          <w:color w:val="auto"/>
          <w:sz w:val="24"/>
          <w:szCs w:val="24"/>
          <w:lang w:eastAsia="zh-CN"/>
        </w:rPr>
        <w:t xml:space="preserve">n </w:t>
      </w:r>
      <w:r>
        <w:rPr>
          <w:b/>
          <w:color w:val="auto"/>
          <w:sz w:val="24"/>
          <w:szCs w:val="24"/>
          <w:lang w:eastAsia="zh-CN"/>
        </w:rPr>
        <w:t>(</w:t>
      </w:r>
      <w:r w:rsidRPr="003C3796">
        <w:rPr>
          <w:color w:val="auto"/>
          <w:sz w:val="24"/>
          <w:szCs w:val="24"/>
        </w:rPr>
        <w:t>%</w:t>
      </w:r>
      <w:r>
        <w:rPr>
          <w:b/>
          <w:color w:val="auto"/>
          <w:sz w:val="24"/>
          <w:szCs w:val="24"/>
          <w:lang w:eastAsia="zh-CN"/>
        </w:rPr>
        <w:t>)</w:t>
      </w:r>
    </w:p>
    <w:tbl>
      <w:tblPr>
        <w:tblW w:w="0" w:type="auto"/>
        <w:tblCellMar>
          <w:left w:w="57" w:type="dxa"/>
          <w:right w:w="57" w:type="dxa"/>
        </w:tblCellMar>
        <w:tblLook w:val="01E0" w:firstRow="1" w:lastRow="1" w:firstColumn="1" w:lastColumn="1" w:noHBand="0" w:noVBand="0"/>
      </w:tblPr>
      <w:tblGrid>
        <w:gridCol w:w="2098"/>
        <w:gridCol w:w="1672"/>
        <w:gridCol w:w="1477"/>
        <w:gridCol w:w="1821"/>
        <w:gridCol w:w="968"/>
        <w:gridCol w:w="1176"/>
      </w:tblGrid>
      <w:tr w:rsidR="00147B7B" w:rsidRPr="0048221A" w:rsidTr="006A4DA4">
        <w:tc>
          <w:tcPr>
            <w:tcW w:w="3770" w:type="dxa"/>
            <w:gridSpan w:val="2"/>
            <w:vMerge w:val="restart"/>
            <w:tcBorders>
              <w:top w:val="single" w:sz="12" w:space="0" w:color="auto"/>
              <w:bottom w:val="single" w:sz="18" w:space="0" w:color="auto"/>
            </w:tcBorders>
          </w:tcPr>
          <w:p w:rsidR="00147B7B" w:rsidRPr="0048221A" w:rsidRDefault="00147B7B" w:rsidP="009350E9">
            <w:pPr>
              <w:pStyle w:val="TableHeadSpan"/>
              <w:spacing w:after="0"/>
              <w:jc w:val="both"/>
              <w:rPr>
                <w:b/>
                <w:szCs w:val="24"/>
              </w:rPr>
            </w:pPr>
            <w:r w:rsidRPr="0048221A">
              <w:rPr>
                <w:b/>
                <w:szCs w:val="24"/>
              </w:rPr>
              <w:t>Variables</w:t>
            </w:r>
          </w:p>
        </w:tc>
        <w:tc>
          <w:tcPr>
            <w:tcW w:w="5424" w:type="dxa"/>
            <w:gridSpan w:val="4"/>
            <w:tcBorders>
              <w:top w:val="single" w:sz="12" w:space="0" w:color="auto"/>
              <w:bottom w:val="single" w:sz="2" w:space="0" w:color="auto"/>
            </w:tcBorders>
          </w:tcPr>
          <w:p w:rsidR="00147B7B" w:rsidRPr="0048221A" w:rsidRDefault="00147B7B" w:rsidP="009350E9">
            <w:pPr>
              <w:pStyle w:val="TableHeadSpan"/>
              <w:spacing w:after="0"/>
              <w:jc w:val="both"/>
              <w:rPr>
                <w:b/>
                <w:szCs w:val="24"/>
              </w:rPr>
            </w:pPr>
            <w:r w:rsidRPr="0048221A">
              <w:rPr>
                <w:b/>
                <w:szCs w:val="24"/>
              </w:rPr>
              <w:t>Total (</w:t>
            </w:r>
            <w:r w:rsidRPr="0048221A">
              <w:rPr>
                <w:b/>
                <w:i/>
                <w:szCs w:val="24"/>
              </w:rPr>
              <w:t xml:space="preserve">n = </w:t>
            </w:r>
            <w:r w:rsidRPr="0048221A">
              <w:rPr>
                <w:b/>
                <w:szCs w:val="24"/>
              </w:rPr>
              <w:t>133)</w:t>
            </w:r>
          </w:p>
        </w:tc>
      </w:tr>
      <w:tr w:rsidR="00147B7B" w:rsidRPr="0048221A" w:rsidTr="006A4DA4">
        <w:tc>
          <w:tcPr>
            <w:tcW w:w="3770" w:type="dxa"/>
            <w:gridSpan w:val="2"/>
            <w:vMerge/>
            <w:tcBorders>
              <w:bottom w:val="single" w:sz="18" w:space="0" w:color="auto"/>
            </w:tcBorders>
          </w:tcPr>
          <w:p w:rsidR="00147B7B" w:rsidRPr="0048221A" w:rsidRDefault="00147B7B" w:rsidP="009350E9">
            <w:pPr>
              <w:spacing w:after="0"/>
              <w:jc w:val="both"/>
              <w:rPr>
                <w:b/>
                <w:szCs w:val="24"/>
              </w:rPr>
            </w:pPr>
          </w:p>
        </w:tc>
        <w:tc>
          <w:tcPr>
            <w:tcW w:w="1477" w:type="dxa"/>
            <w:tcBorders>
              <w:top w:val="single" w:sz="2" w:space="0" w:color="auto"/>
              <w:bottom w:val="single" w:sz="18" w:space="0" w:color="auto"/>
            </w:tcBorders>
          </w:tcPr>
          <w:p w:rsidR="00147B7B" w:rsidRPr="0048221A" w:rsidRDefault="00147B7B" w:rsidP="009350E9">
            <w:pPr>
              <w:pStyle w:val="TableHead"/>
              <w:spacing w:after="0"/>
              <w:jc w:val="both"/>
              <w:rPr>
                <w:b/>
                <w:sz w:val="24"/>
                <w:szCs w:val="24"/>
              </w:rPr>
            </w:pPr>
            <w:r w:rsidRPr="0048221A">
              <w:rPr>
                <w:b/>
                <w:sz w:val="24"/>
                <w:szCs w:val="24"/>
              </w:rPr>
              <w:t>No.</w:t>
            </w:r>
          </w:p>
        </w:tc>
        <w:tc>
          <w:tcPr>
            <w:tcW w:w="1821" w:type="dxa"/>
            <w:tcBorders>
              <w:top w:val="single" w:sz="2" w:space="0" w:color="auto"/>
              <w:bottom w:val="single" w:sz="18" w:space="0" w:color="auto"/>
            </w:tcBorders>
          </w:tcPr>
          <w:p w:rsidR="00147B7B" w:rsidRPr="0048221A" w:rsidRDefault="00147B7B" w:rsidP="009350E9">
            <w:pPr>
              <w:pStyle w:val="TableHead"/>
              <w:spacing w:after="0"/>
              <w:jc w:val="both"/>
              <w:rPr>
                <w:b/>
                <w:sz w:val="24"/>
                <w:szCs w:val="24"/>
              </w:rPr>
            </w:pPr>
            <w:r w:rsidRPr="0048221A">
              <w:rPr>
                <w:b/>
                <w:sz w:val="24"/>
                <w:szCs w:val="24"/>
              </w:rPr>
              <w:t>5 year survival</w:t>
            </w:r>
          </w:p>
        </w:tc>
        <w:tc>
          <w:tcPr>
            <w:tcW w:w="950" w:type="dxa"/>
            <w:tcBorders>
              <w:top w:val="single" w:sz="2" w:space="0" w:color="auto"/>
              <w:bottom w:val="single" w:sz="18" w:space="0" w:color="auto"/>
            </w:tcBorders>
          </w:tcPr>
          <w:p w:rsidR="00147B7B" w:rsidRPr="0048221A" w:rsidRDefault="00147B7B" w:rsidP="009350E9">
            <w:pPr>
              <w:pStyle w:val="TableHead"/>
              <w:spacing w:after="0"/>
              <w:jc w:val="both"/>
              <w:rPr>
                <w:b/>
                <w:sz w:val="24"/>
                <w:szCs w:val="24"/>
              </w:rPr>
            </w:pPr>
            <w:r w:rsidRPr="0048221A">
              <w:rPr>
                <w:b/>
                <w:sz w:val="24"/>
                <w:szCs w:val="24"/>
              </w:rPr>
              <w:t>Median</w:t>
            </w:r>
          </w:p>
        </w:tc>
        <w:tc>
          <w:tcPr>
            <w:tcW w:w="1176" w:type="dxa"/>
            <w:tcBorders>
              <w:top w:val="single" w:sz="2" w:space="0" w:color="auto"/>
              <w:bottom w:val="single" w:sz="18" w:space="0" w:color="auto"/>
            </w:tcBorders>
          </w:tcPr>
          <w:p w:rsidR="00147B7B" w:rsidRPr="0048221A" w:rsidRDefault="00147B7B" w:rsidP="009350E9">
            <w:pPr>
              <w:pStyle w:val="TableHead"/>
              <w:spacing w:after="0"/>
              <w:jc w:val="both"/>
              <w:rPr>
                <w:b/>
                <w:sz w:val="24"/>
                <w:szCs w:val="24"/>
              </w:rPr>
            </w:pPr>
            <w:r w:rsidRPr="0048221A">
              <w:rPr>
                <w:b/>
                <w:i/>
                <w:sz w:val="24"/>
                <w:szCs w:val="24"/>
              </w:rPr>
              <w:t>P</w:t>
            </w:r>
            <w:r w:rsidRPr="0048221A">
              <w:rPr>
                <w:b/>
                <w:sz w:val="24"/>
                <w:szCs w:val="24"/>
              </w:rPr>
              <w:t>-value</w:t>
            </w:r>
          </w:p>
        </w:tc>
      </w:tr>
      <w:tr w:rsidR="00147B7B" w:rsidRPr="003C3796" w:rsidTr="006A4DA4">
        <w:tc>
          <w:tcPr>
            <w:tcW w:w="2098" w:type="dxa"/>
            <w:vMerge w:val="restart"/>
            <w:tcBorders>
              <w:top w:val="single" w:sz="18"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Age</w:t>
            </w:r>
          </w:p>
        </w:tc>
        <w:tc>
          <w:tcPr>
            <w:tcW w:w="1672" w:type="dxa"/>
            <w:tcBorders>
              <w:top w:val="single" w:sz="18" w:space="0" w:color="auto"/>
            </w:tcBorders>
          </w:tcPr>
          <w:p w:rsidR="00147B7B" w:rsidRPr="003C3796" w:rsidRDefault="00147B7B" w:rsidP="009350E9">
            <w:pPr>
              <w:pStyle w:val="TableBody"/>
              <w:spacing w:after="0" w:line="360" w:lineRule="auto"/>
              <w:jc w:val="both"/>
              <w:rPr>
                <w:sz w:val="24"/>
                <w:szCs w:val="24"/>
              </w:rPr>
            </w:pPr>
          </w:p>
        </w:tc>
        <w:tc>
          <w:tcPr>
            <w:tcW w:w="4248" w:type="dxa"/>
            <w:gridSpan w:val="3"/>
            <w:tcBorders>
              <w:top w:val="single" w:sz="18"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Mean 65.8</w:t>
            </w:r>
          </w:p>
        </w:tc>
        <w:tc>
          <w:tcPr>
            <w:tcW w:w="1176" w:type="dxa"/>
            <w:tcBorders>
              <w:top w:val="single" w:sz="18" w:space="0" w:color="auto"/>
            </w:tcBorders>
          </w:tcPr>
          <w:p w:rsidR="00147B7B" w:rsidRPr="003C3796" w:rsidRDefault="00147B7B" w:rsidP="009350E9">
            <w:pPr>
              <w:pStyle w:val="TableBody"/>
              <w:spacing w:after="0" w:line="360" w:lineRule="auto"/>
              <w:jc w:val="both"/>
              <w:rPr>
                <w:sz w:val="24"/>
                <w:szCs w:val="24"/>
              </w:rPr>
            </w:pP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≤70</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86 (64.7)</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39.1</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41.0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0.917</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&gt;70</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47 (35.3)</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44.8</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38.0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Sex</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M</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81 (60.9)</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33.6</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36.0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0.359</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F</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52 (39.1)</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59.4</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105.0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CA19-9 (U/mL)</w:t>
            </w:r>
          </w:p>
        </w:tc>
        <w:tc>
          <w:tcPr>
            <w:tcW w:w="1672"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sz w:val="24"/>
                <w:szCs w:val="24"/>
              </w:rPr>
              <w:t>≤</w:t>
            </w:r>
            <w:r w:rsidRPr="003C3796">
              <w:rPr>
                <w:rFonts w:eastAsia="Malgun Gothic"/>
                <w:sz w:val="24"/>
                <w:szCs w:val="24"/>
                <w:lang w:eastAsia="ko-KR"/>
              </w:rPr>
              <w:t xml:space="preserve"> 35</w:t>
            </w:r>
          </w:p>
        </w:tc>
        <w:tc>
          <w:tcPr>
            <w:tcW w:w="1477"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27 (30)</w:t>
            </w:r>
          </w:p>
        </w:tc>
        <w:tc>
          <w:tcPr>
            <w:tcW w:w="1821"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57.9</w:t>
            </w:r>
          </w:p>
        </w:tc>
        <w:tc>
          <w:tcPr>
            <w:tcW w:w="950"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85.0</w:t>
            </w:r>
          </w:p>
        </w:tc>
        <w:tc>
          <w:tcPr>
            <w:tcW w:w="1176"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0.734</w:t>
            </w:r>
          </w:p>
        </w:tc>
      </w:tr>
      <w:tr w:rsidR="00147B7B" w:rsidRPr="003C3796" w:rsidTr="006A4DA4">
        <w:tc>
          <w:tcPr>
            <w:tcW w:w="2098" w:type="dxa"/>
          </w:tcPr>
          <w:p w:rsidR="00147B7B" w:rsidRPr="003C3796" w:rsidRDefault="00147B7B" w:rsidP="009350E9">
            <w:pPr>
              <w:pStyle w:val="TableBody"/>
              <w:spacing w:after="0" w:line="360" w:lineRule="auto"/>
              <w:jc w:val="both"/>
              <w:rPr>
                <w:sz w:val="24"/>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&gt;</w:t>
            </w:r>
            <w:r w:rsidRPr="003C3796">
              <w:rPr>
                <w:rFonts w:eastAsia="Malgun Gothic"/>
                <w:sz w:val="24"/>
                <w:szCs w:val="24"/>
                <w:lang w:eastAsia="ko-KR"/>
              </w:rPr>
              <w:t xml:space="preserve"> 35</w:t>
            </w:r>
          </w:p>
        </w:tc>
        <w:tc>
          <w:tcPr>
            <w:tcW w:w="1477"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63 (70)</w:t>
            </w:r>
          </w:p>
        </w:tc>
        <w:tc>
          <w:tcPr>
            <w:tcW w:w="1821"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44.9</w:t>
            </w:r>
          </w:p>
        </w:tc>
        <w:tc>
          <w:tcPr>
            <w:tcW w:w="950" w:type="dxa"/>
          </w:tcPr>
          <w:p w:rsidR="00147B7B" w:rsidRPr="003C3796" w:rsidRDefault="00147B7B" w:rsidP="009350E9">
            <w:pPr>
              <w:pStyle w:val="TableBody"/>
              <w:spacing w:after="0" w:line="360" w:lineRule="auto"/>
              <w:jc w:val="both"/>
              <w:rPr>
                <w:rFonts w:eastAsia="Malgun Gothic"/>
                <w:sz w:val="24"/>
                <w:szCs w:val="24"/>
                <w:lang w:eastAsia="ko-KR"/>
              </w:rPr>
            </w:pPr>
            <w:r w:rsidRPr="003C3796">
              <w:rPr>
                <w:rFonts w:eastAsia="Malgun Gothic"/>
                <w:sz w:val="24"/>
                <w:szCs w:val="24"/>
                <w:lang w:eastAsia="ko-KR"/>
              </w:rPr>
              <w:t>37.0</w:t>
            </w:r>
          </w:p>
        </w:tc>
        <w:tc>
          <w:tcPr>
            <w:tcW w:w="1176" w:type="dxa"/>
          </w:tcPr>
          <w:p w:rsidR="00147B7B" w:rsidRPr="003C3796" w:rsidRDefault="00147B7B" w:rsidP="009350E9">
            <w:pPr>
              <w:pStyle w:val="TableBody"/>
              <w:spacing w:after="0" w:line="360" w:lineRule="auto"/>
              <w:jc w:val="both"/>
              <w:rPr>
                <w:sz w:val="24"/>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Type of resection</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PD</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90 (67.7)</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47.2</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590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0.105</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BDR</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43 (32.3)</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30.0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32.0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T classification</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Tis, T1</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38 (29.7)</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52.3</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63.0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0.144</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T2</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25 (19.5)</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56.8</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T3</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65 (50.8)</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34.1</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36.0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N classification</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N0</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96 (75.0)</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51.3</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63.0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0.033</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N1</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32 (25.0)</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17.0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30.0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M classification</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M0</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130 (97.7)</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42.2</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41.0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0.242</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M1</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3 (2.3)</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16.0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TNM stage</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0, I</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51 (39.5)</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64.5</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105.0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0.006</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II</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75 (58.1)</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30.1</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36.0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III</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0 (0)</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IV</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3 (2.3)</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16.0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PNI</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75 (58.6)</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55.8</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105.0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0.022</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53 (41.4)</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17.5</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38.0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LVI</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103 (80.5)</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52.3</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63.0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0.000</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25 (19.5)</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6.7</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23.0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Resection margin</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R0</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102 (76.7)</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49.0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59.0</w:t>
            </w:r>
          </w:p>
        </w:tc>
        <w:tc>
          <w:tcPr>
            <w:tcW w:w="1176"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0.000</w:t>
            </w: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R1</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24 (18.0)</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21.0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31.0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R2</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7 (5.3)</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0</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12.0</w:t>
            </w:r>
          </w:p>
        </w:tc>
        <w:tc>
          <w:tcPr>
            <w:tcW w:w="1176" w:type="dxa"/>
            <w:vMerge/>
          </w:tcPr>
          <w:p w:rsidR="00147B7B" w:rsidRPr="003C3796" w:rsidRDefault="00147B7B" w:rsidP="009350E9">
            <w:pPr>
              <w:spacing w:after="0"/>
              <w:jc w:val="both"/>
              <w:rPr>
                <w:szCs w:val="24"/>
              </w:rPr>
            </w:pPr>
          </w:p>
        </w:tc>
      </w:tr>
      <w:tr w:rsidR="00147B7B" w:rsidRPr="003C3796" w:rsidTr="006A4DA4">
        <w:tc>
          <w:tcPr>
            <w:tcW w:w="2098" w:type="dxa"/>
            <w:vMerge w:val="restart"/>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Differentiation</w:t>
            </w: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Papillary</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4 (3.2)</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66.7</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105.0</w:t>
            </w:r>
          </w:p>
        </w:tc>
        <w:tc>
          <w:tcPr>
            <w:tcW w:w="1176" w:type="dxa"/>
            <w:vMerge w:val="restart"/>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0.409</w:t>
            </w:r>
          </w:p>
        </w:tc>
      </w:tr>
      <w:tr w:rsidR="00147B7B" w:rsidRPr="003C3796" w:rsidTr="006A4DA4">
        <w:tc>
          <w:tcPr>
            <w:tcW w:w="2098" w:type="dxa"/>
            <w:vMerge/>
            <w:tcBorders>
              <w:bottom w:val="single" w:sz="12" w:space="0" w:color="auto"/>
            </w:tcBorders>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W/D</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40 (32.5)</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48.8</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59.0</w:t>
            </w:r>
          </w:p>
        </w:tc>
        <w:tc>
          <w:tcPr>
            <w:tcW w:w="1176" w:type="dxa"/>
            <w:vMerge/>
            <w:tcBorders>
              <w:bottom w:val="single" w:sz="12" w:space="0" w:color="auto"/>
            </w:tcBorders>
          </w:tcPr>
          <w:p w:rsidR="00147B7B" w:rsidRPr="003C3796" w:rsidRDefault="00147B7B" w:rsidP="009350E9">
            <w:pPr>
              <w:spacing w:after="0"/>
              <w:jc w:val="both"/>
              <w:rPr>
                <w:szCs w:val="24"/>
              </w:rPr>
            </w:pPr>
          </w:p>
        </w:tc>
      </w:tr>
      <w:tr w:rsidR="00147B7B" w:rsidRPr="003C3796" w:rsidTr="006A4DA4">
        <w:tc>
          <w:tcPr>
            <w:tcW w:w="2098" w:type="dxa"/>
            <w:vMerge/>
            <w:tcBorders>
              <w:bottom w:val="single" w:sz="12" w:space="0" w:color="auto"/>
            </w:tcBorders>
          </w:tcPr>
          <w:p w:rsidR="00147B7B" w:rsidRPr="003C3796" w:rsidRDefault="00147B7B" w:rsidP="009350E9">
            <w:pPr>
              <w:spacing w:after="0"/>
              <w:jc w:val="both"/>
              <w:rPr>
                <w:szCs w:val="24"/>
              </w:rPr>
            </w:pPr>
          </w:p>
        </w:tc>
        <w:tc>
          <w:tcPr>
            <w:tcW w:w="1672" w:type="dxa"/>
          </w:tcPr>
          <w:p w:rsidR="00147B7B" w:rsidRPr="003C3796" w:rsidRDefault="00147B7B" w:rsidP="009350E9">
            <w:pPr>
              <w:pStyle w:val="TableBody"/>
              <w:spacing w:after="0" w:line="360" w:lineRule="auto"/>
              <w:jc w:val="both"/>
              <w:rPr>
                <w:sz w:val="24"/>
                <w:szCs w:val="24"/>
              </w:rPr>
            </w:pPr>
            <w:r w:rsidRPr="003C3796">
              <w:rPr>
                <w:sz w:val="24"/>
                <w:szCs w:val="24"/>
              </w:rPr>
              <w:t>M/D</w:t>
            </w:r>
          </w:p>
        </w:tc>
        <w:tc>
          <w:tcPr>
            <w:tcW w:w="1477" w:type="dxa"/>
          </w:tcPr>
          <w:p w:rsidR="00147B7B" w:rsidRPr="003C3796" w:rsidRDefault="00147B7B" w:rsidP="009350E9">
            <w:pPr>
              <w:pStyle w:val="TableBody"/>
              <w:spacing w:after="0" w:line="360" w:lineRule="auto"/>
              <w:jc w:val="both"/>
              <w:rPr>
                <w:sz w:val="24"/>
                <w:szCs w:val="24"/>
              </w:rPr>
            </w:pPr>
            <w:r w:rsidRPr="003C3796">
              <w:rPr>
                <w:sz w:val="24"/>
                <w:szCs w:val="24"/>
              </w:rPr>
              <w:t>66 (53.7)</w:t>
            </w:r>
          </w:p>
        </w:tc>
        <w:tc>
          <w:tcPr>
            <w:tcW w:w="1821" w:type="dxa"/>
          </w:tcPr>
          <w:p w:rsidR="00147B7B" w:rsidRPr="003C3796" w:rsidRDefault="00147B7B" w:rsidP="009350E9">
            <w:pPr>
              <w:pStyle w:val="TableBody"/>
              <w:spacing w:after="0" w:line="360" w:lineRule="auto"/>
              <w:jc w:val="both"/>
              <w:rPr>
                <w:sz w:val="24"/>
                <w:szCs w:val="24"/>
              </w:rPr>
            </w:pPr>
            <w:r w:rsidRPr="003C3796">
              <w:rPr>
                <w:sz w:val="24"/>
                <w:szCs w:val="24"/>
              </w:rPr>
              <w:t>36.7</w:t>
            </w:r>
          </w:p>
        </w:tc>
        <w:tc>
          <w:tcPr>
            <w:tcW w:w="950" w:type="dxa"/>
          </w:tcPr>
          <w:p w:rsidR="00147B7B" w:rsidRPr="003C3796" w:rsidRDefault="00147B7B" w:rsidP="009350E9">
            <w:pPr>
              <w:pStyle w:val="TableBody"/>
              <w:spacing w:after="0" w:line="360" w:lineRule="auto"/>
              <w:jc w:val="both"/>
              <w:rPr>
                <w:sz w:val="24"/>
                <w:szCs w:val="24"/>
              </w:rPr>
            </w:pPr>
            <w:r w:rsidRPr="003C3796">
              <w:rPr>
                <w:sz w:val="24"/>
                <w:szCs w:val="24"/>
              </w:rPr>
              <w:t>36.0</w:t>
            </w:r>
          </w:p>
        </w:tc>
        <w:tc>
          <w:tcPr>
            <w:tcW w:w="1176" w:type="dxa"/>
            <w:vMerge/>
            <w:tcBorders>
              <w:bottom w:val="single" w:sz="12" w:space="0" w:color="auto"/>
            </w:tcBorders>
          </w:tcPr>
          <w:p w:rsidR="00147B7B" w:rsidRPr="003C3796" w:rsidRDefault="00147B7B" w:rsidP="009350E9">
            <w:pPr>
              <w:spacing w:after="0"/>
              <w:jc w:val="both"/>
              <w:rPr>
                <w:szCs w:val="24"/>
              </w:rPr>
            </w:pPr>
          </w:p>
        </w:tc>
      </w:tr>
      <w:tr w:rsidR="00147B7B" w:rsidRPr="003C3796" w:rsidTr="006A4DA4">
        <w:tc>
          <w:tcPr>
            <w:tcW w:w="2098" w:type="dxa"/>
            <w:vMerge/>
            <w:tcBorders>
              <w:bottom w:val="single" w:sz="12" w:space="0" w:color="auto"/>
            </w:tcBorders>
          </w:tcPr>
          <w:p w:rsidR="00147B7B" w:rsidRPr="003C3796" w:rsidRDefault="00147B7B" w:rsidP="009350E9">
            <w:pPr>
              <w:spacing w:after="0"/>
              <w:jc w:val="both"/>
              <w:rPr>
                <w:szCs w:val="24"/>
              </w:rPr>
            </w:pPr>
          </w:p>
        </w:tc>
        <w:tc>
          <w:tcPr>
            <w:tcW w:w="1672" w:type="dxa"/>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P/D</w:t>
            </w:r>
          </w:p>
        </w:tc>
        <w:tc>
          <w:tcPr>
            <w:tcW w:w="1477" w:type="dxa"/>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13 (10.6)</w:t>
            </w:r>
          </w:p>
        </w:tc>
        <w:tc>
          <w:tcPr>
            <w:tcW w:w="1821" w:type="dxa"/>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56.1</w:t>
            </w:r>
          </w:p>
        </w:tc>
        <w:tc>
          <w:tcPr>
            <w:tcW w:w="950" w:type="dxa"/>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63.0</w:t>
            </w:r>
          </w:p>
        </w:tc>
        <w:tc>
          <w:tcPr>
            <w:tcW w:w="1176" w:type="dxa"/>
            <w:vMerge/>
            <w:tcBorders>
              <w:bottom w:val="single" w:sz="12" w:space="0" w:color="auto"/>
            </w:tcBorders>
          </w:tcPr>
          <w:p w:rsidR="00147B7B" w:rsidRPr="003C3796" w:rsidRDefault="00147B7B" w:rsidP="009350E9">
            <w:pPr>
              <w:spacing w:after="0"/>
              <w:jc w:val="both"/>
              <w:rPr>
                <w:szCs w:val="24"/>
              </w:rPr>
            </w:pPr>
          </w:p>
        </w:tc>
      </w:tr>
      <w:tr w:rsidR="00147B7B" w:rsidRPr="003C3796" w:rsidTr="006A4DA4">
        <w:tc>
          <w:tcPr>
            <w:tcW w:w="9194" w:type="dxa"/>
            <w:gridSpan w:val="6"/>
            <w:tcBorders>
              <w:top w:val="single" w:sz="12" w:space="0" w:color="auto"/>
            </w:tcBorders>
          </w:tcPr>
          <w:p w:rsidR="00147B7B" w:rsidRPr="003C3796" w:rsidRDefault="00147B7B" w:rsidP="009350E9">
            <w:pPr>
              <w:pStyle w:val="TableNote"/>
              <w:spacing w:after="0"/>
              <w:jc w:val="both"/>
              <w:rPr>
                <w:sz w:val="24"/>
                <w:szCs w:val="24"/>
              </w:rPr>
            </w:pPr>
            <w:r w:rsidRPr="003C3796">
              <w:rPr>
                <w:sz w:val="24"/>
                <w:szCs w:val="24"/>
              </w:rPr>
              <w:t xml:space="preserve">PD: </w:t>
            </w:r>
            <w:proofErr w:type="spellStart"/>
            <w:r w:rsidRPr="003C3796">
              <w:rPr>
                <w:sz w:val="24"/>
                <w:szCs w:val="24"/>
              </w:rPr>
              <w:t>Pancreatoduodenectomy</w:t>
            </w:r>
            <w:proofErr w:type="spellEnd"/>
            <w:r>
              <w:rPr>
                <w:sz w:val="24"/>
                <w:szCs w:val="24"/>
                <w:lang w:eastAsia="zh-CN"/>
              </w:rPr>
              <w:t>;</w:t>
            </w:r>
            <w:r w:rsidRPr="003C3796">
              <w:rPr>
                <w:sz w:val="24"/>
                <w:szCs w:val="24"/>
              </w:rPr>
              <w:t xml:space="preserve"> BDR: Segmental bile duct resection</w:t>
            </w:r>
            <w:r>
              <w:rPr>
                <w:sz w:val="24"/>
                <w:szCs w:val="24"/>
                <w:lang w:eastAsia="zh-CN"/>
              </w:rPr>
              <w:t>;</w:t>
            </w:r>
            <w:r w:rsidRPr="003C3796">
              <w:rPr>
                <w:sz w:val="24"/>
                <w:szCs w:val="24"/>
              </w:rPr>
              <w:t xml:space="preserve"> W/D: Well differentiated</w:t>
            </w:r>
            <w:r>
              <w:rPr>
                <w:sz w:val="24"/>
                <w:szCs w:val="24"/>
                <w:lang w:eastAsia="zh-CN"/>
              </w:rPr>
              <w:t>;</w:t>
            </w:r>
            <w:r w:rsidRPr="003C3796">
              <w:rPr>
                <w:sz w:val="24"/>
                <w:szCs w:val="24"/>
              </w:rPr>
              <w:t xml:space="preserve"> M/D: Moderately differentiated</w:t>
            </w:r>
            <w:r>
              <w:rPr>
                <w:sz w:val="24"/>
                <w:szCs w:val="24"/>
                <w:lang w:eastAsia="zh-CN"/>
              </w:rPr>
              <w:t>;</w:t>
            </w:r>
            <w:r w:rsidRPr="003C3796">
              <w:rPr>
                <w:sz w:val="24"/>
                <w:szCs w:val="24"/>
              </w:rPr>
              <w:t xml:space="preserve"> P</w:t>
            </w:r>
            <w:r w:rsidRPr="003C3796">
              <w:rPr>
                <w:rFonts w:eastAsia="Malgun Gothic"/>
                <w:sz w:val="24"/>
                <w:szCs w:val="24"/>
                <w:lang w:eastAsia="ko-KR"/>
              </w:rPr>
              <w:t>/</w:t>
            </w:r>
            <w:r w:rsidRPr="003C3796">
              <w:rPr>
                <w:sz w:val="24"/>
                <w:szCs w:val="24"/>
              </w:rPr>
              <w:t>D: Poorly differentiated</w:t>
            </w:r>
            <w:r>
              <w:rPr>
                <w:sz w:val="24"/>
                <w:szCs w:val="24"/>
                <w:lang w:eastAsia="zh-CN"/>
              </w:rPr>
              <w:t>;</w:t>
            </w:r>
            <w:r w:rsidRPr="003C3796">
              <w:rPr>
                <w:sz w:val="24"/>
                <w:szCs w:val="24"/>
              </w:rPr>
              <w:t xml:space="preserve"> LVI: </w:t>
            </w:r>
            <w:proofErr w:type="spellStart"/>
            <w:r w:rsidRPr="003C3796">
              <w:rPr>
                <w:sz w:val="24"/>
                <w:szCs w:val="24"/>
              </w:rPr>
              <w:t>Lymphovascular</w:t>
            </w:r>
            <w:proofErr w:type="spellEnd"/>
            <w:r w:rsidRPr="003C3796">
              <w:rPr>
                <w:sz w:val="24"/>
                <w:szCs w:val="24"/>
              </w:rPr>
              <w:t xml:space="preserve"> invasion</w:t>
            </w:r>
            <w:r>
              <w:rPr>
                <w:sz w:val="24"/>
                <w:szCs w:val="24"/>
                <w:lang w:eastAsia="zh-CN"/>
              </w:rPr>
              <w:t>;</w:t>
            </w:r>
            <w:r w:rsidRPr="003C3796">
              <w:rPr>
                <w:sz w:val="24"/>
                <w:szCs w:val="24"/>
              </w:rPr>
              <w:t xml:space="preserve"> PNI: </w:t>
            </w:r>
            <w:proofErr w:type="spellStart"/>
            <w:r w:rsidRPr="003C3796">
              <w:rPr>
                <w:sz w:val="24"/>
                <w:szCs w:val="24"/>
              </w:rPr>
              <w:t>Perineural</w:t>
            </w:r>
            <w:proofErr w:type="spellEnd"/>
            <w:r w:rsidRPr="003C3796">
              <w:rPr>
                <w:sz w:val="24"/>
                <w:szCs w:val="24"/>
              </w:rPr>
              <w:t xml:space="preserve"> invasion</w:t>
            </w:r>
            <w:r>
              <w:rPr>
                <w:sz w:val="24"/>
                <w:szCs w:val="24"/>
              </w:rPr>
              <w:t>.</w:t>
            </w:r>
          </w:p>
        </w:tc>
      </w:tr>
    </w:tbl>
    <w:p w:rsidR="00147B7B" w:rsidRPr="003C3796" w:rsidRDefault="00147B7B" w:rsidP="009350E9">
      <w:pPr>
        <w:pStyle w:val="af2"/>
        <w:spacing w:before="0" w:after="0" w:line="360" w:lineRule="auto"/>
        <w:rPr>
          <w:rStyle w:val="CaptionLabel"/>
          <w:b/>
          <w:color w:val="auto"/>
          <w:sz w:val="24"/>
          <w:szCs w:val="24"/>
        </w:rPr>
      </w:pPr>
    </w:p>
    <w:p w:rsidR="00147B7B" w:rsidRPr="003C3796" w:rsidRDefault="00147B7B" w:rsidP="009350E9">
      <w:pPr>
        <w:pStyle w:val="af2"/>
        <w:spacing w:before="0" w:after="0" w:line="360" w:lineRule="auto"/>
        <w:rPr>
          <w:color w:val="auto"/>
          <w:sz w:val="24"/>
          <w:szCs w:val="24"/>
        </w:rPr>
      </w:pPr>
      <w:r w:rsidRPr="003C3796">
        <w:rPr>
          <w:rStyle w:val="CaptionLabel"/>
          <w:b/>
          <w:color w:val="auto"/>
          <w:sz w:val="24"/>
          <w:szCs w:val="24"/>
        </w:rPr>
        <w:br w:type="page"/>
      </w:r>
      <w:r w:rsidRPr="003C3796">
        <w:rPr>
          <w:rStyle w:val="CaptionLabel"/>
          <w:b/>
          <w:color w:val="auto"/>
          <w:sz w:val="24"/>
          <w:szCs w:val="24"/>
        </w:rPr>
        <w:lastRenderedPageBreak/>
        <w:t xml:space="preserve">Table </w:t>
      </w:r>
      <w:r w:rsidRPr="007B2DFB">
        <w:rPr>
          <w:rStyle w:val="CaptionLabel"/>
          <w:b/>
          <w:color w:val="auto"/>
          <w:sz w:val="24"/>
          <w:szCs w:val="24"/>
        </w:rPr>
        <w:t xml:space="preserve">2 </w:t>
      </w:r>
      <w:r w:rsidRPr="007B2DFB">
        <w:rPr>
          <w:b/>
          <w:color w:val="auto"/>
          <w:sz w:val="24"/>
          <w:szCs w:val="24"/>
        </w:rPr>
        <w:t xml:space="preserve">Multivariate analysis of survival according to the </w:t>
      </w:r>
      <w:proofErr w:type="spellStart"/>
      <w:r w:rsidRPr="007B2DFB">
        <w:rPr>
          <w:b/>
          <w:color w:val="auto"/>
          <w:sz w:val="24"/>
          <w:szCs w:val="24"/>
        </w:rPr>
        <w:t>clinicopathological</w:t>
      </w:r>
      <w:proofErr w:type="spellEnd"/>
      <w:r w:rsidRPr="007B2DFB">
        <w:rPr>
          <w:b/>
          <w:color w:val="auto"/>
          <w:sz w:val="24"/>
          <w:szCs w:val="24"/>
        </w:rPr>
        <w:t xml:space="preserve"> factors of patients who underwent surgical resection (R0, R1, and R2) for middle and distal </w:t>
      </w:r>
      <w:proofErr w:type="spellStart"/>
      <w:r w:rsidRPr="007B2DFB">
        <w:rPr>
          <w:b/>
          <w:color w:val="auto"/>
          <w:sz w:val="24"/>
          <w:szCs w:val="24"/>
        </w:rPr>
        <w:t>extrahepatic</w:t>
      </w:r>
      <w:proofErr w:type="spellEnd"/>
      <w:r w:rsidRPr="007B2DFB">
        <w:rPr>
          <w:b/>
          <w:color w:val="auto"/>
          <w:sz w:val="24"/>
          <w:szCs w:val="24"/>
        </w:rPr>
        <w:t xml:space="preserve"> bile duct cancers</w:t>
      </w:r>
    </w:p>
    <w:tbl>
      <w:tblPr>
        <w:tblW w:w="0" w:type="auto"/>
        <w:tblCellMar>
          <w:left w:w="57" w:type="dxa"/>
          <w:right w:w="57" w:type="dxa"/>
        </w:tblCellMar>
        <w:tblLook w:val="01E0" w:firstRow="1" w:lastRow="1" w:firstColumn="1" w:lastColumn="1" w:noHBand="0" w:noVBand="0"/>
      </w:tblPr>
      <w:tblGrid>
        <w:gridCol w:w="2587"/>
        <w:gridCol w:w="1124"/>
        <w:gridCol w:w="1994"/>
        <w:gridCol w:w="1582"/>
        <w:gridCol w:w="2187"/>
      </w:tblGrid>
      <w:tr w:rsidR="00147B7B" w:rsidRPr="003325D4" w:rsidTr="006A4DA4">
        <w:tc>
          <w:tcPr>
            <w:tcW w:w="2587" w:type="dxa"/>
            <w:tcBorders>
              <w:top w:val="single" w:sz="12" w:space="0" w:color="auto"/>
              <w:bottom w:val="single" w:sz="18" w:space="0" w:color="auto"/>
            </w:tcBorders>
          </w:tcPr>
          <w:p w:rsidR="00147B7B" w:rsidRPr="003325D4" w:rsidRDefault="00147B7B" w:rsidP="009350E9">
            <w:pPr>
              <w:pStyle w:val="TableHead"/>
              <w:spacing w:after="0"/>
              <w:jc w:val="both"/>
              <w:rPr>
                <w:b/>
                <w:sz w:val="24"/>
                <w:szCs w:val="24"/>
              </w:rPr>
            </w:pPr>
            <w:r w:rsidRPr="003325D4">
              <w:rPr>
                <w:b/>
                <w:sz w:val="24"/>
                <w:szCs w:val="24"/>
              </w:rPr>
              <w:t>Variable</w:t>
            </w:r>
          </w:p>
        </w:tc>
        <w:tc>
          <w:tcPr>
            <w:tcW w:w="1124" w:type="dxa"/>
            <w:tcBorders>
              <w:top w:val="single" w:sz="12" w:space="0" w:color="auto"/>
              <w:bottom w:val="single" w:sz="18" w:space="0" w:color="auto"/>
            </w:tcBorders>
          </w:tcPr>
          <w:p w:rsidR="00147B7B" w:rsidRPr="003325D4" w:rsidRDefault="00147B7B" w:rsidP="009350E9">
            <w:pPr>
              <w:pStyle w:val="TableHead"/>
              <w:spacing w:after="0"/>
              <w:jc w:val="both"/>
              <w:rPr>
                <w:b/>
                <w:sz w:val="24"/>
                <w:szCs w:val="24"/>
              </w:rPr>
            </w:pPr>
          </w:p>
        </w:tc>
        <w:tc>
          <w:tcPr>
            <w:tcW w:w="1994" w:type="dxa"/>
            <w:tcBorders>
              <w:top w:val="single" w:sz="12" w:space="0" w:color="auto"/>
              <w:bottom w:val="single" w:sz="18" w:space="0" w:color="auto"/>
            </w:tcBorders>
          </w:tcPr>
          <w:p w:rsidR="00147B7B" w:rsidRPr="003325D4" w:rsidRDefault="00147B7B" w:rsidP="009350E9">
            <w:pPr>
              <w:pStyle w:val="TableHead"/>
              <w:spacing w:after="0"/>
              <w:jc w:val="both"/>
              <w:rPr>
                <w:b/>
                <w:sz w:val="24"/>
                <w:szCs w:val="24"/>
              </w:rPr>
            </w:pPr>
            <w:r w:rsidRPr="003325D4">
              <w:rPr>
                <w:b/>
                <w:sz w:val="24"/>
                <w:szCs w:val="24"/>
              </w:rPr>
              <w:t>Hazard ratio</w:t>
            </w:r>
          </w:p>
        </w:tc>
        <w:tc>
          <w:tcPr>
            <w:tcW w:w="1582" w:type="dxa"/>
            <w:tcBorders>
              <w:top w:val="single" w:sz="12" w:space="0" w:color="auto"/>
              <w:bottom w:val="single" w:sz="18" w:space="0" w:color="auto"/>
            </w:tcBorders>
          </w:tcPr>
          <w:p w:rsidR="00147B7B" w:rsidRPr="003325D4" w:rsidRDefault="00147B7B" w:rsidP="009350E9">
            <w:pPr>
              <w:pStyle w:val="TableHead"/>
              <w:spacing w:after="0"/>
              <w:jc w:val="both"/>
              <w:rPr>
                <w:b/>
                <w:sz w:val="24"/>
                <w:szCs w:val="24"/>
              </w:rPr>
            </w:pPr>
            <w:r>
              <w:rPr>
                <w:b/>
                <w:sz w:val="24"/>
                <w:szCs w:val="24"/>
              </w:rPr>
              <w:t>95%CI</w:t>
            </w:r>
          </w:p>
        </w:tc>
        <w:tc>
          <w:tcPr>
            <w:tcW w:w="2187" w:type="dxa"/>
            <w:tcBorders>
              <w:top w:val="single" w:sz="12" w:space="0" w:color="auto"/>
              <w:bottom w:val="single" w:sz="18" w:space="0" w:color="auto"/>
            </w:tcBorders>
          </w:tcPr>
          <w:p w:rsidR="00147B7B" w:rsidRPr="003325D4" w:rsidRDefault="00147B7B" w:rsidP="009350E9">
            <w:pPr>
              <w:pStyle w:val="TableHead"/>
              <w:spacing w:after="0"/>
              <w:jc w:val="both"/>
              <w:rPr>
                <w:b/>
                <w:sz w:val="24"/>
                <w:szCs w:val="24"/>
              </w:rPr>
            </w:pPr>
            <w:r w:rsidRPr="003325D4">
              <w:rPr>
                <w:b/>
                <w:i/>
                <w:sz w:val="24"/>
                <w:szCs w:val="24"/>
              </w:rPr>
              <w:t>P</w:t>
            </w:r>
            <w:r w:rsidRPr="003325D4">
              <w:rPr>
                <w:rFonts w:eastAsia="Malgun Gothic"/>
                <w:b/>
                <w:sz w:val="24"/>
                <w:szCs w:val="24"/>
                <w:lang w:eastAsia="ko-KR"/>
              </w:rPr>
              <w:t>-</w:t>
            </w:r>
            <w:r w:rsidRPr="003325D4">
              <w:rPr>
                <w:b/>
                <w:sz w:val="24"/>
                <w:szCs w:val="24"/>
              </w:rPr>
              <w:t>value</w:t>
            </w:r>
          </w:p>
        </w:tc>
      </w:tr>
      <w:tr w:rsidR="00147B7B" w:rsidRPr="003C3796" w:rsidTr="006A4DA4">
        <w:tc>
          <w:tcPr>
            <w:tcW w:w="2587"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AJCC stage</w:t>
            </w:r>
          </w:p>
        </w:tc>
        <w:tc>
          <w:tcPr>
            <w:tcW w:w="1124" w:type="dxa"/>
          </w:tcPr>
          <w:p w:rsidR="00147B7B" w:rsidRPr="003C3796" w:rsidRDefault="00147B7B" w:rsidP="009350E9">
            <w:pPr>
              <w:pStyle w:val="TableBody"/>
              <w:spacing w:after="0" w:line="360" w:lineRule="auto"/>
              <w:jc w:val="both"/>
              <w:rPr>
                <w:sz w:val="24"/>
                <w:szCs w:val="24"/>
              </w:rPr>
            </w:pPr>
            <w:r w:rsidRPr="003C3796">
              <w:rPr>
                <w:sz w:val="24"/>
                <w:szCs w:val="24"/>
              </w:rPr>
              <w:t>0, I</w:t>
            </w:r>
          </w:p>
        </w:tc>
        <w:tc>
          <w:tcPr>
            <w:tcW w:w="1994" w:type="dxa"/>
          </w:tcPr>
          <w:p w:rsidR="00147B7B" w:rsidRPr="003C3796" w:rsidRDefault="00147B7B" w:rsidP="009350E9">
            <w:pPr>
              <w:pStyle w:val="TableBody"/>
              <w:spacing w:after="0" w:line="360" w:lineRule="auto"/>
              <w:jc w:val="both"/>
              <w:rPr>
                <w:sz w:val="24"/>
                <w:szCs w:val="24"/>
              </w:rPr>
            </w:pPr>
            <w:r w:rsidRPr="003C3796">
              <w:rPr>
                <w:sz w:val="24"/>
                <w:szCs w:val="24"/>
              </w:rPr>
              <w:t>1</w:t>
            </w:r>
          </w:p>
        </w:tc>
        <w:tc>
          <w:tcPr>
            <w:tcW w:w="1582" w:type="dxa"/>
          </w:tcPr>
          <w:p w:rsidR="00147B7B" w:rsidRPr="003C3796" w:rsidRDefault="00147B7B" w:rsidP="009350E9">
            <w:pPr>
              <w:pStyle w:val="TableBody"/>
              <w:spacing w:after="0" w:line="360" w:lineRule="auto"/>
              <w:jc w:val="both"/>
              <w:rPr>
                <w:sz w:val="24"/>
                <w:szCs w:val="24"/>
              </w:rPr>
            </w:pPr>
          </w:p>
        </w:tc>
        <w:tc>
          <w:tcPr>
            <w:tcW w:w="2187" w:type="dxa"/>
            <w:vMerge w:val="restart"/>
            <w:vAlign w:val="center"/>
          </w:tcPr>
          <w:p w:rsidR="00147B7B" w:rsidRPr="003C3796" w:rsidRDefault="00147B7B" w:rsidP="009350E9">
            <w:pPr>
              <w:pStyle w:val="TableBody"/>
              <w:spacing w:after="0" w:line="360" w:lineRule="auto"/>
              <w:jc w:val="both"/>
              <w:rPr>
                <w:sz w:val="24"/>
                <w:szCs w:val="24"/>
              </w:rPr>
            </w:pPr>
            <w:r w:rsidRPr="003C3796">
              <w:rPr>
                <w:sz w:val="24"/>
                <w:szCs w:val="24"/>
              </w:rPr>
              <w:t>0.023</w:t>
            </w:r>
          </w:p>
        </w:tc>
      </w:tr>
      <w:tr w:rsidR="00147B7B" w:rsidRPr="003C3796" w:rsidTr="006A4DA4">
        <w:tc>
          <w:tcPr>
            <w:tcW w:w="2587" w:type="dxa"/>
            <w:vMerge/>
          </w:tcPr>
          <w:p w:rsidR="00147B7B" w:rsidRPr="003C3796" w:rsidRDefault="00147B7B" w:rsidP="009350E9">
            <w:pPr>
              <w:spacing w:after="0"/>
              <w:jc w:val="both"/>
              <w:rPr>
                <w:szCs w:val="24"/>
              </w:rPr>
            </w:pPr>
          </w:p>
        </w:tc>
        <w:tc>
          <w:tcPr>
            <w:tcW w:w="1124" w:type="dxa"/>
          </w:tcPr>
          <w:p w:rsidR="00147B7B" w:rsidRPr="003C3796" w:rsidRDefault="00147B7B" w:rsidP="009350E9">
            <w:pPr>
              <w:pStyle w:val="TableBody"/>
              <w:spacing w:after="0" w:line="360" w:lineRule="auto"/>
              <w:jc w:val="both"/>
              <w:rPr>
                <w:sz w:val="24"/>
                <w:szCs w:val="24"/>
              </w:rPr>
            </w:pPr>
            <w:r w:rsidRPr="003C3796">
              <w:rPr>
                <w:sz w:val="24"/>
                <w:szCs w:val="24"/>
              </w:rPr>
              <w:t>II</w:t>
            </w:r>
          </w:p>
        </w:tc>
        <w:tc>
          <w:tcPr>
            <w:tcW w:w="1994" w:type="dxa"/>
          </w:tcPr>
          <w:p w:rsidR="00147B7B" w:rsidRPr="003C3796" w:rsidRDefault="00147B7B" w:rsidP="009350E9">
            <w:pPr>
              <w:pStyle w:val="TableBody"/>
              <w:spacing w:after="0" w:line="360" w:lineRule="auto"/>
              <w:jc w:val="both"/>
              <w:rPr>
                <w:sz w:val="24"/>
                <w:szCs w:val="24"/>
              </w:rPr>
            </w:pPr>
            <w:r w:rsidRPr="003C3796">
              <w:rPr>
                <w:sz w:val="24"/>
                <w:szCs w:val="24"/>
              </w:rPr>
              <w:t>4.572</w:t>
            </w:r>
          </w:p>
        </w:tc>
        <w:tc>
          <w:tcPr>
            <w:tcW w:w="1582" w:type="dxa"/>
          </w:tcPr>
          <w:p w:rsidR="00147B7B" w:rsidRPr="003C3796" w:rsidRDefault="00147B7B" w:rsidP="009350E9">
            <w:pPr>
              <w:spacing w:after="0"/>
              <w:jc w:val="both"/>
              <w:rPr>
                <w:szCs w:val="24"/>
              </w:rPr>
            </w:pPr>
            <w:r w:rsidRPr="003C3796">
              <w:rPr>
                <w:szCs w:val="24"/>
              </w:rPr>
              <w:t>1.473-14.183</w:t>
            </w:r>
          </w:p>
        </w:tc>
        <w:tc>
          <w:tcPr>
            <w:tcW w:w="2187" w:type="dxa"/>
            <w:vMerge/>
          </w:tcPr>
          <w:p w:rsidR="00147B7B" w:rsidRPr="003C3796" w:rsidRDefault="00147B7B" w:rsidP="009350E9">
            <w:pPr>
              <w:spacing w:after="0"/>
              <w:jc w:val="both"/>
              <w:rPr>
                <w:szCs w:val="24"/>
              </w:rPr>
            </w:pPr>
          </w:p>
        </w:tc>
      </w:tr>
      <w:tr w:rsidR="00147B7B" w:rsidRPr="003C3796" w:rsidTr="006A4DA4">
        <w:tc>
          <w:tcPr>
            <w:tcW w:w="2587" w:type="dxa"/>
            <w:vMerge/>
          </w:tcPr>
          <w:p w:rsidR="00147B7B" w:rsidRPr="003C3796" w:rsidRDefault="00147B7B" w:rsidP="009350E9">
            <w:pPr>
              <w:spacing w:after="0"/>
              <w:jc w:val="both"/>
              <w:rPr>
                <w:szCs w:val="24"/>
              </w:rPr>
            </w:pPr>
          </w:p>
        </w:tc>
        <w:tc>
          <w:tcPr>
            <w:tcW w:w="1124" w:type="dxa"/>
          </w:tcPr>
          <w:p w:rsidR="00147B7B" w:rsidRPr="003C3796" w:rsidRDefault="00147B7B" w:rsidP="009350E9">
            <w:pPr>
              <w:pStyle w:val="TableBody"/>
              <w:spacing w:after="0" w:line="360" w:lineRule="auto"/>
              <w:jc w:val="both"/>
              <w:rPr>
                <w:sz w:val="24"/>
                <w:szCs w:val="24"/>
              </w:rPr>
            </w:pPr>
            <w:r w:rsidRPr="003C3796">
              <w:rPr>
                <w:sz w:val="24"/>
                <w:szCs w:val="24"/>
              </w:rPr>
              <w:t>III</w:t>
            </w:r>
          </w:p>
        </w:tc>
        <w:tc>
          <w:tcPr>
            <w:tcW w:w="1994"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582" w:type="dxa"/>
          </w:tcPr>
          <w:p w:rsidR="00147B7B" w:rsidRPr="003C3796" w:rsidRDefault="00147B7B" w:rsidP="009350E9">
            <w:pPr>
              <w:spacing w:after="0"/>
              <w:jc w:val="both"/>
              <w:rPr>
                <w:szCs w:val="24"/>
              </w:rPr>
            </w:pPr>
            <w:r w:rsidRPr="003C3796">
              <w:rPr>
                <w:szCs w:val="24"/>
              </w:rPr>
              <w:t>-</w:t>
            </w:r>
          </w:p>
        </w:tc>
        <w:tc>
          <w:tcPr>
            <w:tcW w:w="2187" w:type="dxa"/>
            <w:vMerge/>
          </w:tcPr>
          <w:p w:rsidR="00147B7B" w:rsidRPr="003C3796" w:rsidRDefault="00147B7B" w:rsidP="009350E9">
            <w:pPr>
              <w:spacing w:after="0"/>
              <w:jc w:val="both"/>
              <w:rPr>
                <w:szCs w:val="24"/>
              </w:rPr>
            </w:pPr>
          </w:p>
        </w:tc>
      </w:tr>
      <w:tr w:rsidR="00147B7B" w:rsidRPr="003C3796" w:rsidTr="006A4DA4">
        <w:tc>
          <w:tcPr>
            <w:tcW w:w="2587" w:type="dxa"/>
            <w:vMerge/>
          </w:tcPr>
          <w:p w:rsidR="00147B7B" w:rsidRPr="003C3796" w:rsidRDefault="00147B7B" w:rsidP="009350E9">
            <w:pPr>
              <w:spacing w:after="0"/>
              <w:jc w:val="both"/>
              <w:rPr>
                <w:szCs w:val="24"/>
              </w:rPr>
            </w:pPr>
          </w:p>
        </w:tc>
        <w:tc>
          <w:tcPr>
            <w:tcW w:w="1124" w:type="dxa"/>
          </w:tcPr>
          <w:p w:rsidR="00147B7B" w:rsidRPr="003C3796" w:rsidRDefault="00147B7B" w:rsidP="009350E9">
            <w:pPr>
              <w:pStyle w:val="TableBody"/>
              <w:spacing w:after="0" w:line="360" w:lineRule="auto"/>
              <w:jc w:val="both"/>
              <w:rPr>
                <w:sz w:val="24"/>
                <w:szCs w:val="24"/>
              </w:rPr>
            </w:pPr>
            <w:r w:rsidRPr="003C3796">
              <w:rPr>
                <w:sz w:val="24"/>
                <w:szCs w:val="24"/>
              </w:rPr>
              <w:t>IV</w:t>
            </w:r>
          </w:p>
        </w:tc>
        <w:tc>
          <w:tcPr>
            <w:tcW w:w="1994" w:type="dxa"/>
          </w:tcPr>
          <w:p w:rsidR="00147B7B" w:rsidRPr="003C3796" w:rsidRDefault="00147B7B" w:rsidP="009350E9">
            <w:pPr>
              <w:pStyle w:val="TableBody"/>
              <w:spacing w:after="0" w:line="360" w:lineRule="auto"/>
              <w:jc w:val="both"/>
              <w:rPr>
                <w:sz w:val="24"/>
                <w:szCs w:val="24"/>
              </w:rPr>
            </w:pPr>
            <w:r w:rsidRPr="003C3796">
              <w:rPr>
                <w:sz w:val="24"/>
                <w:szCs w:val="24"/>
              </w:rPr>
              <w:t>11.185</w:t>
            </w:r>
          </w:p>
        </w:tc>
        <w:tc>
          <w:tcPr>
            <w:tcW w:w="1582" w:type="dxa"/>
          </w:tcPr>
          <w:p w:rsidR="00147B7B" w:rsidRPr="003C3796" w:rsidRDefault="00147B7B" w:rsidP="009350E9">
            <w:pPr>
              <w:spacing w:after="0"/>
              <w:jc w:val="both"/>
              <w:rPr>
                <w:szCs w:val="24"/>
              </w:rPr>
            </w:pPr>
            <w:r w:rsidRPr="003C3796">
              <w:rPr>
                <w:szCs w:val="24"/>
              </w:rPr>
              <w:t>1.061-117.922</w:t>
            </w:r>
          </w:p>
        </w:tc>
        <w:tc>
          <w:tcPr>
            <w:tcW w:w="2187" w:type="dxa"/>
            <w:vMerge/>
          </w:tcPr>
          <w:p w:rsidR="00147B7B" w:rsidRPr="003C3796" w:rsidRDefault="00147B7B" w:rsidP="009350E9">
            <w:pPr>
              <w:spacing w:after="0"/>
              <w:jc w:val="both"/>
              <w:rPr>
                <w:szCs w:val="24"/>
              </w:rPr>
            </w:pPr>
          </w:p>
        </w:tc>
      </w:tr>
      <w:tr w:rsidR="00147B7B" w:rsidRPr="003C3796" w:rsidTr="006A4DA4">
        <w:tc>
          <w:tcPr>
            <w:tcW w:w="2587" w:type="dxa"/>
            <w:vMerge w:val="restart"/>
          </w:tcPr>
          <w:p w:rsidR="00147B7B" w:rsidRPr="003C3796" w:rsidRDefault="00147B7B" w:rsidP="009350E9">
            <w:pPr>
              <w:pStyle w:val="TableBody"/>
              <w:spacing w:after="0" w:line="360" w:lineRule="auto"/>
              <w:jc w:val="both"/>
              <w:rPr>
                <w:sz w:val="24"/>
                <w:szCs w:val="24"/>
              </w:rPr>
            </w:pPr>
            <w:r w:rsidRPr="003C3796">
              <w:rPr>
                <w:sz w:val="24"/>
                <w:szCs w:val="24"/>
              </w:rPr>
              <w:t>LVI</w:t>
            </w:r>
          </w:p>
        </w:tc>
        <w:tc>
          <w:tcPr>
            <w:tcW w:w="1124" w:type="dxa"/>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994" w:type="dxa"/>
          </w:tcPr>
          <w:p w:rsidR="00147B7B" w:rsidRPr="003C3796" w:rsidRDefault="00147B7B" w:rsidP="009350E9">
            <w:pPr>
              <w:pStyle w:val="TableBody"/>
              <w:spacing w:after="0" w:line="360" w:lineRule="auto"/>
              <w:jc w:val="both"/>
              <w:rPr>
                <w:sz w:val="24"/>
                <w:szCs w:val="24"/>
              </w:rPr>
            </w:pPr>
            <w:r w:rsidRPr="003C3796">
              <w:rPr>
                <w:sz w:val="24"/>
                <w:szCs w:val="24"/>
              </w:rPr>
              <w:t>1</w:t>
            </w:r>
          </w:p>
        </w:tc>
        <w:tc>
          <w:tcPr>
            <w:tcW w:w="1582" w:type="dxa"/>
          </w:tcPr>
          <w:p w:rsidR="00147B7B" w:rsidRPr="003C3796" w:rsidRDefault="00147B7B" w:rsidP="009350E9">
            <w:pPr>
              <w:pStyle w:val="TableBody"/>
              <w:spacing w:after="0" w:line="360" w:lineRule="auto"/>
              <w:jc w:val="both"/>
              <w:rPr>
                <w:sz w:val="24"/>
                <w:szCs w:val="24"/>
              </w:rPr>
            </w:pPr>
          </w:p>
        </w:tc>
        <w:tc>
          <w:tcPr>
            <w:tcW w:w="2187" w:type="dxa"/>
            <w:vMerge w:val="restart"/>
            <w:vAlign w:val="center"/>
          </w:tcPr>
          <w:p w:rsidR="00147B7B" w:rsidRPr="003C3796" w:rsidRDefault="00147B7B" w:rsidP="009350E9">
            <w:pPr>
              <w:pStyle w:val="TableBody"/>
              <w:spacing w:after="0" w:line="360" w:lineRule="auto"/>
              <w:jc w:val="both"/>
              <w:rPr>
                <w:sz w:val="24"/>
                <w:szCs w:val="24"/>
              </w:rPr>
            </w:pPr>
            <w:r w:rsidRPr="003C3796">
              <w:rPr>
                <w:sz w:val="24"/>
                <w:szCs w:val="24"/>
              </w:rPr>
              <w:t>0.002</w:t>
            </w:r>
          </w:p>
        </w:tc>
      </w:tr>
      <w:tr w:rsidR="00147B7B" w:rsidRPr="003C3796" w:rsidTr="006A4DA4">
        <w:tc>
          <w:tcPr>
            <w:tcW w:w="2587" w:type="dxa"/>
            <w:vMerge/>
            <w:tcBorders>
              <w:bottom w:val="single" w:sz="12" w:space="0" w:color="auto"/>
            </w:tcBorders>
          </w:tcPr>
          <w:p w:rsidR="00147B7B" w:rsidRPr="003C3796" w:rsidRDefault="00147B7B" w:rsidP="009350E9">
            <w:pPr>
              <w:spacing w:after="0"/>
              <w:jc w:val="both"/>
              <w:rPr>
                <w:szCs w:val="24"/>
              </w:rPr>
            </w:pPr>
          </w:p>
        </w:tc>
        <w:tc>
          <w:tcPr>
            <w:tcW w:w="1124" w:type="dxa"/>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w:t>
            </w:r>
          </w:p>
        </w:tc>
        <w:tc>
          <w:tcPr>
            <w:tcW w:w="1994" w:type="dxa"/>
            <w:tcBorders>
              <w:bottom w:val="single" w:sz="12" w:space="0" w:color="auto"/>
            </w:tcBorders>
          </w:tcPr>
          <w:p w:rsidR="00147B7B" w:rsidRPr="003C3796" w:rsidRDefault="00147B7B" w:rsidP="009350E9">
            <w:pPr>
              <w:pStyle w:val="TableBody"/>
              <w:spacing w:after="0" w:line="360" w:lineRule="auto"/>
              <w:jc w:val="both"/>
              <w:rPr>
                <w:sz w:val="24"/>
                <w:szCs w:val="24"/>
              </w:rPr>
            </w:pPr>
            <w:r w:rsidRPr="003C3796">
              <w:rPr>
                <w:sz w:val="24"/>
                <w:szCs w:val="24"/>
              </w:rPr>
              <w:t>2.942</w:t>
            </w:r>
          </w:p>
        </w:tc>
        <w:tc>
          <w:tcPr>
            <w:tcW w:w="1582" w:type="dxa"/>
            <w:tcBorders>
              <w:bottom w:val="single" w:sz="12" w:space="0" w:color="auto"/>
            </w:tcBorders>
          </w:tcPr>
          <w:p w:rsidR="00147B7B" w:rsidRPr="003C3796" w:rsidRDefault="00147B7B" w:rsidP="009350E9">
            <w:pPr>
              <w:spacing w:after="0"/>
              <w:jc w:val="both"/>
              <w:rPr>
                <w:szCs w:val="24"/>
              </w:rPr>
            </w:pPr>
            <w:r w:rsidRPr="003C3796">
              <w:rPr>
                <w:szCs w:val="24"/>
              </w:rPr>
              <w:t>1.510-5.733</w:t>
            </w:r>
          </w:p>
        </w:tc>
        <w:tc>
          <w:tcPr>
            <w:tcW w:w="2187" w:type="dxa"/>
            <w:vMerge/>
            <w:tcBorders>
              <w:bottom w:val="single" w:sz="12" w:space="0" w:color="auto"/>
            </w:tcBorders>
          </w:tcPr>
          <w:p w:rsidR="00147B7B" w:rsidRPr="003C3796" w:rsidRDefault="00147B7B" w:rsidP="009350E9">
            <w:pPr>
              <w:spacing w:after="0"/>
              <w:jc w:val="both"/>
              <w:rPr>
                <w:szCs w:val="24"/>
              </w:rPr>
            </w:pPr>
          </w:p>
        </w:tc>
      </w:tr>
    </w:tbl>
    <w:p w:rsidR="00147B7B" w:rsidRDefault="00147B7B" w:rsidP="009350E9">
      <w:pPr>
        <w:pStyle w:val="af2"/>
        <w:spacing w:before="0" w:after="0" w:line="360" w:lineRule="auto"/>
        <w:rPr>
          <w:color w:val="auto"/>
          <w:sz w:val="24"/>
          <w:szCs w:val="24"/>
          <w:lang w:eastAsia="zh-CN"/>
        </w:rPr>
      </w:pPr>
      <w:r w:rsidRPr="003C3796">
        <w:rPr>
          <w:color w:val="auto"/>
          <w:sz w:val="24"/>
          <w:szCs w:val="24"/>
        </w:rPr>
        <w:t xml:space="preserve">LVI: </w:t>
      </w:r>
      <w:proofErr w:type="spellStart"/>
      <w:r w:rsidRPr="003C3796">
        <w:rPr>
          <w:color w:val="auto"/>
          <w:sz w:val="24"/>
          <w:szCs w:val="24"/>
        </w:rPr>
        <w:t>Lymphovascular</w:t>
      </w:r>
      <w:proofErr w:type="spellEnd"/>
      <w:r w:rsidRPr="003C3796">
        <w:rPr>
          <w:color w:val="auto"/>
          <w:sz w:val="24"/>
          <w:szCs w:val="24"/>
        </w:rPr>
        <w:t xml:space="preserve"> invasion</w:t>
      </w:r>
      <w:r>
        <w:rPr>
          <w:color w:val="auto"/>
          <w:sz w:val="24"/>
          <w:szCs w:val="24"/>
          <w:lang w:eastAsia="zh-CN"/>
        </w:rPr>
        <w:t>.</w:t>
      </w:r>
    </w:p>
    <w:p w:rsidR="00147B7B" w:rsidRDefault="00147B7B" w:rsidP="009350E9">
      <w:pPr>
        <w:pStyle w:val="af2"/>
        <w:spacing w:before="0" w:after="0" w:line="360" w:lineRule="auto"/>
        <w:rPr>
          <w:color w:val="auto"/>
          <w:sz w:val="24"/>
          <w:szCs w:val="24"/>
          <w:lang w:eastAsia="zh-CN"/>
        </w:rPr>
      </w:pPr>
    </w:p>
    <w:p w:rsidR="00147B7B" w:rsidRPr="003C3796" w:rsidRDefault="00147B7B" w:rsidP="009350E9">
      <w:pPr>
        <w:spacing w:after="0"/>
        <w:rPr>
          <w:szCs w:val="24"/>
        </w:rPr>
      </w:pPr>
    </w:p>
    <w:sectPr w:rsidR="00147B7B" w:rsidRPr="003C3796" w:rsidSect="00077C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7E" w:rsidRDefault="0096397E" w:rsidP="001C49C6">
      <w:pPr>
        <w:spacing w:after="0" w:line="240" w:lineRule="auto"/>
      </w:pPr>
      <w:r>
        <w:separator/>
      </w:r>
    </w:p>
  </w:endnote>
  <w:endnote w:type="continuationSeparator" w:id="0">
    <w:p w:rsidR="0096397E" w:rsidRDefault="0096397E" w:rsidP="001C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7B" w:rsidRPr="00324857" w:rsidRDefault="00147B7B">
    <w:pPr>
      <w:pStyle w:val="a4"/>
      <w:jc w:val="right"/>
      <w:rPr>
        <w:sz w:val="24"/>
        <w:szCs w:val="24"/>
      </w:rPr>
    </w:pPr>
    <w:r w:rsidRPr="00324857">
      <w:rPr>
        <w:sz w:val="24"/>
        <w:szCs w:val="24"/>
      </w:rPr>
      <w:fldChar w:fldCharType="begin"/>
    </w:r>
    <w:r w:rsidRPr="00324857">
      <w:rPr>
        <w:sz w:val="24"/>
        <w:szCs w:val="24"/>
      </w:rPr>
      <w:instrText xml:space="preserve"> PAGE   \* MERGEFORMAT </w:instrText>
    </w:r>
    <w:r w:rsidRPr="00324857">
      <w:rPr>
        <w:sz w:val="24"/>
        <w:szCs w:val="24"/>
      </w:rPr>
      <w:fldChar w:fldCharType="separate"/>
    </w:r>
    <w:r w:rsidR="00EB767B">
      <w:rPr>
        <w:noProof/>
        <w:sz w:val="24"/>
        <w:szCs w:val="24"/>
      </w:rPr>
      <w:t>24</w:t>
    </w:r>
    <w:r w:rsidRPr="00324857">
      <w:rPr>
        <w:sz w:val="24"/>
        <w:szCs w:val="24"/>
      </w:rPr>
      <w:fldChar w:fldCharType="end"/>
    </w:r>
  </w:p>
  <w:p w:rsidR="00147B7B" w:rsidRDefault="00147B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7E" w:rsidRDefault="0096397E" w:rsidP="001C49C6">
      <w:pPr>
        <w:spacing w:after="0" w:line="240" w:lineRule="auto"/>
      </w:pPr>
      <w:r>
        <w:separator/>
      </w:r>
    </w:p>
  </w:footnote>
  <w:footnote w:type="continuationSeparator" w:id="0">
    <w:p w:rsidR="0096397E" w:rsidRDefault="0096397E" w:rsidP="001C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DC"/>
    <w:multiLevelType w:val="hybridMultilevel"/>
    <w:tmpl w:val="A8AAEF54"/>
    <w:lvl w:ilvl="0" w:tplc="1EA87458">
      <w:start w:val="1"/>
      <w:numFmt w:val="bullet"/>
      <w:lvlText w:val="•"/>
      <w:lvlJc w:val="left"/>
      <w:pPr>
        <w:tabs>
          <w:tab w:val="num" w:pos="720"/>
        </w:tabs>
        <w:ind w:left="720" w:hanging="360"/>
      </w:pPr>
      <w:rPr>
        <w:rFonts w:ascii="Gulim" w:eastAsia="Gulim" w:hint="default"/>
      </w:rPr>
    </w:lvl>
    <w:lvl w:ilvl="1" w:tplc="C22A3E2A" w:tentative="1">
      <w:start w:val="1"/>
      <w:numFmt w:val="bullet"/>
      <w:lvlText w:val="•"/>
      <w:lvlJc w:val="left"/>
      <w:pPr>
        <w:tabs>
          <w:tab w:val="num" w:pos="1440"/>
        </w:tabs>
        <w:ind w:left="1440" w:hanging="360"/>
      </w:pPr>
      <w:rPr>
        <w:rFonts w:ascii="Gulim" w:eastAsia="Gulim" w:hint="default"/>
      </w:rPr>
    </w:lvl>
    <w:lvl w:ilvl="2" w:tplc="5AE09FB0" w:tentative="1">
      <w:start w:val="1"/>
      <w:numFmt w:val="bullet"/>
      <w:lvlText w:val="•"/>
      <w:lvlJc w:val="left"/>
      <w:pPr>
        <w:tabs>
          <w:tab w:val="num" w:pos="2160"/>
        </w:tabs>
        <w:ind w:left="2160" w:hanging="360"/>
      </w:pPr>
      <w:rPr>
        <w:rFonts w:ascii="Gulim" w:eastAsia="Gulim" w:hint="default"/>
      </w:rPr>
    </w:lvl>
    <w:lvl w:ilvl="3" w:tplc="B80897E8" w:tentative="1">
      <w:start w:val="1"/>
      <w:numFmt w:val="bullet"/>
      <w:lvlText w:val="•"/>
      <w:lvlJc w:val="left"/>
      <w:pPr>
        <w:tabs>
          <w:tab w:val="num" w:pos="2880"/>
        </w:tabs>
        <w:ind w:left="2880" w:hanging="360"/>
      </w:pPr>
      <w:rPr>
        <w:rFonts w:ascii="Gulim" w:eastAsia="Gulim" w:hint="default"/>
      </w:rPr>
    </w:lvl>
    <w:lvl w:ilvl="4" w:tplc="413C2C3E" w:tentative="1">
      <w:start w:val="1"/>
      <w:numFmt w:val="bullet"/>
      <w:lvlText w:val="•"/>
      <w:lvlJc w:val="left"/>
      <w:pPr>
        <w:tabs>
          <w:tab w:val="num" w:pos="3600"/>
        </w:tabs>
        <w:ind w:left="3600" w:hanging="360"/>
      </w:pPr>
      <w:rPr>
        <w:rFonts w:ascii="Gulim" w:eastAsia="Gulim" w:hint="default"/>
      </w:rPr>
    </w:lvl>
    <w:lvl w:ilvl="5" w:tplc="CE868EBA" w:tentative="1">
      <w:start w:val="1"/>
      <w:numFmt w:val="bullet"/>
      <w:lvlText w:val="•"/>
      <w:lvlJc w:val="left"/>
      <w:pPr>
        <w:tabs>
          <w:tab w:val="num" w:pos="4320"/>
        </w:tabs>
        <w:ind w:left="4320" w:hanging="360"/>
      </w:pPr>
      <w:rPr>
        <w:rFonts w:ascii="Gulim" w:eastAsia="Gulim" w:hint="default"/>
      </w:rPr>
    </w:lvl>
    <w:lvl w:ilvl="6" w:tplc="04546218" w:tentative="1">
      <w:start w:val="1"/>
      <w:numFmt w:val="bullet"/>
      <w:lvlText w:val="•"/>
      <w:lvlJc w:val="left"/>
      <w:pPr>
        <w:tabs>
          <w:tab w:val="num" w:pos="5040"/>
        </w:tabs>
        <w:ind w:left="5040" w:hanging="360"/>
      </w:pPr>
      <w:rPr>
        <w:rFonts w:ascii="Gulim" w:eastAsia="Gulim" w:hint="default"/>
      </w:rPr>
    </w:lvl>
    <w:lvl w:ilvl="7" w:tplc="99E8E532" w:tentative="1">
      <w:start w:val="1"/>
      <w:numFmt w:val="bullet"/>
      <w:lvlText w:val="•"/>
      <w:lvlJc w:val="left"/>
      <w:pPr>
        <w:tabs>
          <w:tab w:val="num" w:pos="5760"/>
        </w:tabs>
        <w:ind w:left="5760" w:hanging="360"/>
      </w:pPr>
      <w:rPr>
        <w:rFonts w:ascii="Gulim" w:eastAsia="Gulim" w:hint="default"/>
      </w:rPr>
    </w:lvl>
    <w:lvl w:ilvl="8" w:tplc="55F03DE6" w:tentative="1">
      <w:start w:val="1"/>
      <w:numFmt w:val="bullet"/>
      <w:lvlText w:val="•"/>
      <w:lvlJc w:val="left"/>
      <w:pPr>
        <w:tabs>
          <w:tab w:val="num" w:pos="6480"/>
        </w:tabs>
        <w:ind w:left="6480" w:hanging="360"/>
      </w:pPr>
      <w:rPr>
        <w:rFonts w:ascii="Gulim" w:eastAsia="Gulim" w:hint="default"/>
      </w:rPr>
    </w:lvl>
  </w:abstractNum>
  <w:abstractNum w:abstractNumId="1">
    <w:nsid w:val="072B33DB"/>
    <w:multiLevelType w:val="hybridMultilevel"/>
    <w:tmpl w:val="4F20EBE4"/>
    <w:lvl w:ilvl="0" w:tplc="46E2AE3C">
      <w:start w:val="1"/>
      <w:numFmt w:val="decimal"/>
      <w:lvlText w:val="%1."/>
      <w:lvlJc w:val="left"/>
      <w:pPr>
        <w:tabs>
          <w:tab w:val="num" w:pos="720"/>
        </w:tabs>
        <w:ind w:left="720" w:hanging="360"/>
      </w:pPr>
      <w:rPr>
        <w:rFonts w:cs="Times New Roman"/>
      </w:rPr>
    </w:lvl>
    <w:lvl w:ilvl="1" w:tplc="E8CC60A6" w:tentative="1">
      <w:start w:val="1"/>
      <w:numFmt w:val="decimal"/>
      <w:lvlText w:val="%2."/>
      <w:lvlJc w:val="left"/>
      <w:pPr>
        <w:tabs>
          <w:tab w:val="num" w:pos="1440"/>
        </w:tabs>
        <w:ind w:left="1440" w:hanging="360"/>
      </w:pPr>
      <w:rPr>
        <w:rFonts w:cs="Times New Roman"/>
      </w:rPr>
    </w:lvl>
    <w:lvl w:ilvl="2" w:tplc="49C0B1FC" w:tentative="1">
      <w:start w:val="1"/>
      <w:numFmt w:val="decimal"/>
      <w:lvlText w:val="%3."/>
      <w:lvlJc w:val="left"/>
      <w:pPr>
        <w:tabs>
          <w:tab w:val="num" w:pos="2160"/>
        </w:tabs>
        <w:ind w:left="2160" w:hanging="360"/>
      </w:pPr>
      <w:rPr>
        <w:rFonts w:cs="Times New Roman"/>
      </w:rPr>
    </w:lvl>
    <w:lvl w:ilvl="3" w:tplc="870C6DB4" w:tentative="1">
      <w:start w:val="1"/>
      <w:numFmt w:val="decimal"/>
      <w:lvlText w:val="%4."/>
      <w:lvlJc w:val="left"/>
      <w:pPr>
        <w:tabs>
          <w:tab w:val="num" w:pos="2880"/>
        </w:tabs>
        <w:ind w:left="2880" w:hanging="360"/>
      </w:pPr>
      <w:rPr>
        <w:rFonts w:cs="Times New Roman"/>
      </w:rPr>
    </w:lvl>
    <w:lvl w:ilvl="4" w:tplc="1A744C0C" w:tentative="1">
      <w:start w:val="1"/>
      <w:numFmt w:val="decimal"/>
      <w:lvlText w:val="%5."/>
      <w:lvlJc w:val="left"/>
      <w:pPr>
        <w:tabs>
          <w:tab w:val="num" w:pos="3600"/>
        </w:tabs>
        <w:ind w:left="3600" w:hanging="360"/>
      </w:pPr>
      <w:rPr>
        <w:rFonts w:cs="Times New Roman"/>
      </w:rPr>
    </w:lvl>
    <w:lvl w:ilvl="5" w:tplc="C22EEB2C" w:tentative="1">
      <w:start w:val="1"/>
      <w:numFmt w:val="decimal"/>
      <w:lvlText w:val="%6."/>
      <w:lvlJc w:val="left"/>
      <w:pPr>
        <w:tabs>
          <w:tab w:val="num" w:pos="4320"/>
        </w:tabs>
        <w:ind w:left="4320" w:hanging="360"/>
      </w:pPr>
      <w:rPr>
        <w:rFonts w:cs="Times New Roman"/>
      </w:rPr>
    </w:lvl>
    <w:lvl w:ilvl="6" w:tplc="73A043D8" w:tentative="1">
      <w:start w:val="1"/>
      <w:numFmt w:val="decimal"/>
      <w:lvlText w:val="%7."/>
      <w:lvlJc w:val="left"/>
      <w:pPr>
        <w:tabs>
          <w:tab w:val="num" w:pos="5040"/>
        </w:tabs>
        <w:ind w:left="5040" w:hanging="360"/>
      </w:pPr>
      <w:rPr>
        <w:rFonts w:cs="Times New Roman"/>
      </w:rPr>
    </w:lvl>
    <w:lvl w:ilvl="7" w:tplc="4218F556" w:tentative="1">
      <w:start w:val="1"/>
      <w:numFmt w:val="decimal"/>
      <w:lvlText w:val="%8."/>
      <w:lvlJc w:val="left"/>
      <w:pPr>
        <w:tabs>
          <w:tab w:val="num" w:pos="5760"/>
        </w:tabs>
        <w:ind w:left="5760" w:hanging="360"/>
      </w:pPr>
      <w:rPr>
        <w:rFonts w:cs="Times New Roman"/>
      </w:rPr>
    </w:lvl>
    <w:lvl w:ilvl="8" w:tplc="94305D72" w:tentative="1">
      <w:start w:val="1"/>
      <w:numFmt w:val="decimal"/>
      <w:lvlText w:val="%9."/>
      <w:lvlJc w:val="left"/>
      <w:pPr>
        <w:tabs>
          <w:tab w:val="num" w:pos="6480"/>
        </w:tabs>
        <w:ind w:left="6480" w:hanging="360"/>
      </w:pPr>
      <w:rPr>
        <w:rFonts w:cs="Times New Roman"/>
      </w:rPr>
    </w:lvl>
  </w:abstractNum>
  <w:abstractNum w:abstractNumId="2">
    <w:nsid w:val="11C679E1"/>
    <w:multiLevelType w:val="hybridMultilevel"/>
    <w:tmpl w:val="11B21DCC"/>
    <w:lvl w:ilvl="0" w:tplc="621AF662">
      <w:start w:val="1"/>
      <w:numFmt w:val="bullet"/>
      <w:lvlText w:val="•"/>
      <w:lvlJc w:val="left"/>
      <w:pPr>
        <w:tabs>
          <w:tab w:val="num" w:pos="720"/>
        </w:tabs>
        <w:ind w:left="720" w:hanging="360"/>
      </w:pPr>
      <w:rPr>
        <w:rFonts w:ascii="Gulim" w:eastAsia="Gulim" w:hint="default"/>
      </w:rPr>
    </w:lvl>
    <w:lvl w:ilvl="1" w:tplc="C4626146">
      <w:start w:val="1837"/>
      <w:numFmt w:val="bullet"/>
      <w:lvlText w:val="•"/>
      <w:lvlJc w:val="left"/>
      <w:pPr>
        <w:tabs>
          <w:tab w:val="num" w:pos="1440"/>
        </w:tabs>
        <w:ind w:left="1440" w:hanging="360"/>
      </w:pPr>
      <w:rPr>
        <w:rFonts w:ascii="Gulim" w:eastAsia="Gulim" w:hint="default"/>
      </w:rPr>
    </w:lvl>
    <w:lvl w:ilvl="2" w:tplc="3DEE5878" w:tentative="1">
      <w:start w:val="1"/>
      <w:numFmt w:val="bullet"/>
      <w:lvlText w:val="•"/>
      <w:lvlJc w:val="left"/>
      <w:pPr>
        <w:tabs>
          <w:tab w:val="num" w:pos="2160"/>
        </w:tabs>
        <w:ind w:left="2160" w:hanging="360"/>
      </w:pPr>
      <w:rPr>
        <w:rFonts w:ascii="Gulim" w:eastAsia="Gulim" w:hint="default"/>
      </w:rPr>
    </w:lvl>
    <w:lvl w:ilvl="3" w:tplc="787EFF76" w:tentative="1">
      <w:start w:val="1"/>
      <w:numFmt w:val="bullet"/>
      <w:lvlText w:val="•"/>
      <w:lvlJc w:val="left"/>
      <w:pPr>
        <w:tabs>
          <w:tab w:val="num" w:pos="2880"/>
        </w:tabs>
        <w:ind w:left="2880" w:hanging="360"/>
      </w:pPr>
      <w:rPr>
        <w:rFonts w:ascii="Gulim" w:eastAsia="Gulim" w:hint="default"/>
      </w:rPr>
    </w:lvl>
    <w:lvl w:ilvl="4" w:tplc="12BAB4EE" w:tentative="1">
      <w:start w:val="1"/>
      <w:numFmt w:val="bullet"/>
      <w:lvlText w:val="•"/>
      <w:lvlJc w:val="left"/>
      <w:pPr>
        <w:tabs>
          <w:tab w:val="num" w:pos="3600"/>
        </w:tabs>
        <w:ind w:left="3600" w:hanging="360"/>
      </w:pPr>
      <w:rPr>
        <w:rFonts w:ascii="Gulim" w:eastAsia="Gulim" w:hint="default"/>
      </w:rPr>
    </w:lvl>
    <w:lvl w:ilvl="5" w:tplc="8656FD08" w:tentative="1">
      <w:start w:val="1"/>
      <w:numFmt w:val="bullet"/>
      <w:lvlText w:val="•"/>
      <w:lvlJc w:val="left"/>
      <w:pPr>
        <w:tabs>
          <w:tab w:val="num" w:pos="4320"/>
        </w:tabs>
        <w:ind w:left="4320" w:hanging="360"/>
      </w:pPr>
      <w:rPr>
        <w:rFonts w:ascii="Gulim" w:eastAsia="Gulim" w:hint="default"/>
      </w:rPr>
    </w:lvl>
    <w:lvl w:ilvl="6" w:tplc="E1E2248E" w:tentative="1">
      <w:start w:val="1"/>
      <w:numFmt w:val="bullet"/>
      <w:lvlText w:val="•"/>
      <w:lvlJc w:val="left"/>
      <w:pPr>
        <w:tabs>
          <w:tab w:val="num" w:pos="5040"/>
        </w:tabs>
        <w:ind w:left="5040" w:hanging="360"/>
      </w:pPr>
      <w:rPr>
        <w:rFonts w:ascii="Gulim" w:eastAsia="Gulim" w:hint="default"/>
      </w:rPr>
    </w:lvl>
    <w:lvl w:ilvl="7" w:tplc="9FBA3124" w:tentative="1">
      <w:start w:val="1"/>
      <w:numFmt w:val="bullet"/>
      <w:lvlText w:val="•"/>
      <w:lvlJc w:val="left"/>
      <w:pPr>
        <w:tabs>
          <w:tab w:val="num" w:pos="5760"/>
        </w:tabs>
        <w:ind w:left="5760" w:hanging="360"/>
      </w:pPr>
      <w:rPr>
        <w:rFonts w:ascii="Gulim" w:eastAsia="Gulim" w:hint="default"/>
      </w:rPr>
    </w:lvl>
    <w:lvl w:ilvl="8" w:tplc="B596D748" w:tentative="1">
      <w:start w:val="1"/>
      <w:numFmt w:val="bullet"/>
      <w:lvlText w:val="•"/>
      <w:lvlJc w:val="left"/>
      <w:pPr>
        <w:tabs>
          <w:tab w:val="num" w:pos="6480"/>
        </w:tabs>
        <w:ind w:left="6480" w:hanging="360"/>
      </w:pPr>
      <w:rPr>
        <w:rFonts w:ascii="Gulim" w:eastAsia="Gulim" w:hint="default"/>
      </w:rPr>
    </w:lvl>
  </w:abstractNum>
  <w:abstractNum w:abstractNumId="3">
    <w:nsid w:val="16590920"/>
    <w:multiLevelType w:val="hybridMultilevel"/>
    <w:tmpl w:val="911698F4"/>
    <w:lvl w:ilvl="0" w:tplc="2EC6B84E">
      <w:start w:val="1"/>
      <w:numFmt w:val="bullet"/>
      <w:lvlText w:val="•"/>
      <w:lvlJc w:val="left"/>
      <w:pPr>
        <w:tabs>
          <w:tab w:val="num" w:pos="720"/>
        </w:tabs>
        <w:ind w:left="720" w:hanging="360"/>
      </w:pPr>
      <w:rPr>
        <w:rFonts w:ascii="Arial" w:hAnsi="Arial" w:hint="default"/>
      </w:rPr>
    </w:lvl>
    <w:lvl w:ilvl="1" w:tplc="42341C86" w:tentative="1">
      <w:start w:val="1"/>
      <w:numFmt w:val="bullet"/>
      <w:lvlText w:val="•"/>
      <w:lvlJc w:val="left"/>
      <w:pPr>
        <w:tabs>
          <w:tab w:val="num" w:pos="1440"/>
        </w:tabs>
        <w:ind w:left="1440" w:hanging="360"/>
      </w:pPr>
      <w:rPr>
        <w:rFonts w:ascii="Arial" w:hAnsi="Arial" w:hint="default"/>
      </w:rPr>
    </w:lvl>
    <w:lvl w:ilvl="2" w:tplc="87C630D2" w:tentative="1">
      <w:start w:val="1"/>
      <w:numFmt w:val="bullet"/>
      <w:lvlText w:val="•"/>
      <w:lvlJc w:val="left"/>
      <w:pPr>
        <w:tabs>
          <w:tab w:val="num" w:pos="2160"/>
        </w:tabs>
        <w:ind w:left="2160" w:hanging="360"/>
      </w:pPr>
      <w:rPr>
        <w:rFonts w:ascii="Arial" w:hAnsi="Arial" w:hint="default"/>
      </w:rPr>
    </w:lvl>
    <w:lvl w:ilvl="3" w:tplc="5B9CFDF0" w:tentative="1">
      <w:start w:val="1"/>
      <w:numFmt w:val="bullet"/>
      <w:lvlText w:val="•"/>
      <w:lvlJc w:val="left"/>
      <w:pPr>
        <w:tabs>
          <w:tab w:val="num" w:pos="2880"/>
        </w:tabs>
        <w:ind w:left="2880" w:hanging="360"/>
      </w:pPr>
      <w:rPr>
        <w:rFonts w:ascii="Arial" w:hAnsi="Arial" w:hint="default"/>
      </w:rPr>
    </w:lvl>
    <w:lvl w:ilvl="4" w:tplc="74AA0DFC" w:tentative="1">
      <w:start w:val="1"/>
      <w:numFmt w:val="bullet"/>
      <w:lvlText w:val="•"/>
      <w:lvlJc w:val="left"/>
      <w:pPr>
        <w:tabs>
          <w:tab w:val="num" w:pos="3600"/>
        </w:tabs>
        <w:ind w:left="3600" w:hanging="360"/>
      </w:pPr>
      <w:rPr>
        <w:rFonts w:ascii="Arial" w:hAnsi="Arial" w:hint="default"/>
      </w:rPr>
    </w:lvl>
    <w:lvl w:ilvl="5" w:tplc="DB78106E" w:tentative="1">
      <w:start w:val="1"/>
      <w:numFmt w:val="bullet"/>
      <w:lvlText w:val="•"/>
      <w:lvlJc w:val="left"/>
      <w:pPr>
        <w:tabs>
          <w:tab w:val="num" w:pos="4320"/>
        </w:tabs>
        <w:ind w:left="4320" w:hanging="360"/>
      </w:pPr>
      <w:rPr>
        <w:rFonts w:ascii="Arial" w:hAnsi="Arial" w:hint="default"/>
      </w:rPr>
    </w:lvl>
    <w:lvl w:ilvl="6" w:tplc="C4B26B9C" w:tentative="1">
      <w:start w:val="1"/>
      <w:numFmt w:val="bullet"/>
      <w:lvlText w:val="•"/>
      <w:lvlJc w:val="left"/>
      <w:pPr>
        <w:tabs>
          <w:tab w:val="num" w:pos="5040"/>
        </w:tabs>
        <w:ind w:left="5040" w:hanging="360"/>
      </w:pPr>
      <w:rPr>
        <w:rFonts w:ascii="Arial" w:hAnsi="Arial" w:hint="default"/>
      </w:rPr>
    </w:lvl>
    <w:lvl w:ilvl="7" w:tplc="AAB8C388" w:tentative="1">
      <w:start w:val="1"/>
      <w:numFmt w:val="bullet"/>
      <w:lvlText w:val="•"/>
      <w:lvlJc w:val="left"/>
      <w:pPr>
        <w:tabs>
          <w:tab w:val="num" w:pos="5760"/>
        </w:tabs>
        <w:ind w:left="5760" w:hanging="360"/>
      </w:pPr>
      <w:rPr>
        <w:rFonts w:ascii="Arial" w:hAnsi="Arial" w:hint="default"/>
      </w:rPr>
    </w:lvl>
    <w:lvl w:ilvl="8" w:tplc="BCBAA26E" w:tentative="1">
      <w:start w:val="1"/>
      <w:numFmt w:val="bullet"/>
      <w:lvlText w:val="•"/>
      <w:lvlJc w:val="left"/>
      <w:pPr>
        <w:tabs>
          <w:tab w:val="num" w:pos="6480"/>
        </w:tabs>
        <w:ind w:left="6480" w:hanging="360"/>
      </w:pPr>
      <w:rPr>
        <w:rFonts w:ascii="Arial" w:hAnsi="Arial" w:hint="default"/>
      </w:rPr>
    </w:lvl>
  </w:abstractNum>
  <w:abstractNum w:abstractNumId="4">
    <w:nsid w:val="1CD25912"/>
    <w:multiLevelType w:val="hybridMultilevel"/>
    <w:tmpl w:val="A3B854B6"/>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5">
    <w:nsid w:val="1EE15237"/>
    <w:multiLevelType w:val="hybridMultilevel"/>
    <w:tmpl w:val="AAC6F7EE"/>
    <w:lvl w:ilvl="0" w:tplc="25408F08">
      <w:start w:val="1"/>
      <w:numFmt w:val="bullet"/>
      <w:lvlText w:val="•"/>
      <w:lvlJc w:val="left"/>
      <w:pPr>
        <w:tabs>
          <w:tab w:val="num" w:pos="720"/>
        </w:tabs>
        <w:ind w:left="720" w:hanging="360"/>
      </w:pPr>
      <w:rPr>
        <w:rFonts w:ascii="Gulim" w:eastAsia="Gulim" w:hint="default"/>
      </w:rPr>
    </w:lvl>
    <w:lvl w:ilvl="1" w:tplc="CDB2B7F4">
      <w:start w:val="1837"/>
      <w:numFmt w:val="bullet"/>
      <w:lvlText w:val="•"/>
      <w:lvlJc w:val="left"/>
      <w:pPr>
        <w:tabs>
          <w:tab w:val="num" w:pos="1440"/>
        </w:tabs>
        <w:ind w:left="1440" w:hanging="360"/>
      </w:pPr>
      <w:rPr>
        <w:rFonts w:ascii="Gulim" w:eastAsia="Gulim" w:hint="default"/>
      </w:rPr>
    </w:lvl>
    <w:lvl w:ilvl="2" w:tplc="8CEE2A02" w:tentative="1">
      <w:start w:val="1"/>
      <w:numFmt w:val="bullet"/>
      <w:lvlText w:val="•"/>
      <w:lvlJc w:val="left"/>
      <w:pPr>
        <w:tabs>
          <w:tab w:val="num" w:pos="2160"/>
        </w:tabs>
        <w:ind w:left="2160" w:hanging="360"/>
      </w:pPr>
      <w:rPr>
        <w:rFonts w:ascii="Gulim" w:eastAsia="Gulim" w:hint="default"/>
      </w:rPr>
    </w:lvl>
    <w:lvl w:ilvl="3" w:tplc="15245618" w:tentative="1">
      <w:start w:val="1"/>
      <w:numFmt w:val="bullet"/>
      <w:lvlText w:val="•"/>
      <w:lvlJc w:val="left"/>
      <w:pPr>
        <w:tabs>
          <w:tab w:val="num" w:pos="2880"/>
        </w:tabs>
        <w:ind w:left="2880" w:hanging="360"/>
      </w:pPr>
      <w:rPr>
        <w:rFonts w:ascii="Gulim" w:eastAsia="Gulim" w:hint="default"/>
      </w:rPr>
    </w:lvl>
    <w:lvl w:ilvl="4" w:tplc="2D463360" w:tentative="1">
      <w:start w:val="1"/>
      <w:numFmt w:val="bullet"/>
      <w:lvlText w:val="•"/>
      <w:lvlJc w:val="left"/>
      <w:pPr>
        <w:tabs>
          <w:tab w:val="num" w:pos="3600"/>
        </w:tabs>
        <w:ind w:left="3600" w:hanging="360"/>
      </w:pPr>
      <w:rPr>
        <w:rFonts w:ascii="Gulim" w:eastAsia="Gulim" w:hint="default"/>
      </w:rPr>
    </w:lvl>
    <w:lvl w:ilvl="5" w:tplc="3940C70C" w:tentative="1">
      <w:start w:val="1"/>
      <w:numFmt w:val="bullet"/>
      <w:lvlText w:val="•"/>
      <w:lvlJc w:val="left"/>
      <w:pPr>
        <w:tabs>
          <w:tab w:val="num" w:pos="4320"/>
        </w:tabs>
        <w:ind w:left="4320" w:hanging="360"/>
      </w:pPr>
      <w:rPr>
        <w:rFonts w:ascii="Gulim" w:eastAsia="Gulim" w:hint="default"/>
      </w:rPr>
    </w:lvl>
    <w:lvl w:ilvl="6" w:tplc="C804E52E" w:tentative="1">
      <w:start w:val="1"/>
      <w:numFmt w:val="bullet"/>
      <w:lvlText w:val="•"/>
      <w:lvlJc w:val="left"/>
      <w:pPr>
        <w:tabs>
          <w:tab w:val="num" w:pos="5040"/>
        </w:tabs>
        <w:ind w:left="5040" w:hanging="360"/>
      </w:pPr>
      <w:rPr>
        <w:rFonts w:ascii="Gulim" w:eastAsia="Gulim" w:hint="default"/>
      </w:rPr>
    </w:lvl>
    <w:lvl w:ilvl="7" w:tplc="B21683FE" w:tentative="1">
      <w:start w:val="1"/>
      <w:numFmt w:val="bullet"/>
      <w:lvlText w:val="•"/>
      <w:lvlJc w:val="left"/>
      <w:pPr>
        <w:tabs>
          <w:tab w:val="num" w:pos="5760"/>
        </w:tabs>
        <w:ind w:left="5760" w:hanging="360"/>
      </w:pPr>
      <w:rPr>
        <w:rFonts w:ascii="Gulim" w:eastAsia="Gulim" w:hint="default"/>
      </w:rPr>
    </w:lvl>
    <w:lvl w:ilvl="8" w:tplc="3DC2ACC0" w:tentative="1">
      <w:start w:val="1"/>
      <w:numFmt w:val="bullet"/>
      <w:lvlText w:val="•"/>
      <w:lvlJc w:val="left"/>
      <w:pPr>
        <w:tabs>
          <w:tab w:val="num" w:pos="6480"/>
        </w:tabs>
        <w:ind w:left="6480" w:hanging="360"/>
      </w:pPr>
      <w:rPr>
        <w:rFonts w:ascii="Gulim" w:eastAsia="Gulim" w:hint="default"/>
      </w:rPr>
    </w:lvl>
  </w:abstractNum>
  <w:abstractNum w:abstractNumId="6">
    <w:nsid w:val="1F3E4200"/>
    <w:multiLevelType w:val="hybridMultilevel"/>
    <w:tmpl w:val="0C428A94"/>
    <w:lvl w:ilvl="0" w:tplc="3B6E397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24FB6BDF"/>
    <w:multiLevelType w:val="hybridMultilevel"/>
    <w:tmpl w:val="0F06C92A"/>
    <w:lvl w:ilvl="0" w:tplc="C9A66444">
      <w:start w:val="1"/>
      <w:numFmt w:val="bullet"/>
      <w:lvlText w:val="•"/>
      <w:lvlJc w:val="left"/>
      <w:pPr>
        <w:tabs>
          <w:tab w:val="num" w:pos="720"/>
        </w:tabs>
        <w:ind w:left="720" w:hanging="360"/>
      </w:pPr>
      <w:rPr>
        <w:rFonts w:ascii="Gulim" w:eastAsia="Gulim" w:hint="default"/>
      </w:rPr>
    </w:lvl>
    <w:lvl w:ilvl="1" w:tplc="22764A60">
      <w:start w:val="1"/>
      <w:numFmt w:val="bullet"/>
      <w:lvlText w:val="•"/>
      <w:lvlJc w:val="left"/>
      <w:pPr>
        <w:tabs>
          <w:tab w:val="num" w:pos="1440"/>
        </w:tabs>
        <w:ind w:left="1440" w:hanging="360"/>
      </w:pPr>
      <w:rPr>
        <w:rFonts w:ascii="Gulim" w:eastAsia="Gulim" w:hint="default"/>
      </w:rPr>
    </w:lvl>
    <w:lvl w:ilvl="2" w:tplc="C5CCB74C" w:tentative="1">
      <w:start w:val="1"/>
      <w:numFmt w:val="bullet"/>
      <w:lvlText w:val="•"/>
      <w:lvlJc w:val="left"/>
      <w:pPr>
        <w:tabs>
          <w:tab w:val="num" w:pos="2160"/>
        </w:tabs>
        <w:ind w:left="2160" w:hanging="360"/>
      </w:pPr>
      <w:rPr>
        <w:rFonts w:ascii="Gulim" w:eastAsia="Gulim" w:hint="default"/>
      </w:rPr>
    </w:lvl>
    <w:lvl w:ilvl="3" w:tplc="88DE230E" w:tentative="1">
      <w:start w:val="1"/>
      <w:numFmt w:val="bullet"/>
      <w:lvlText w:val="•"/>
      <w:lvlJc w:val="left"/>
      <w:pPr>
        <w:tabs>
          <w:tab w:val="num" w:pos="2880"/>
        </w:tabs>
        <w:ind w:left="2880" w:hanging="360"/>
      </w:pPr>
      <w:rPr>
        <w:rFonts w:ascii="Gulim" w:eastAsia="Gulim" w:hint="default"/>
      </w:rPr>
    </w:lvl>
    <w:lvl w:ilvl="4" w:tplc="3B58FB64" w:tentative="1">
      <w:start w:val="1"/>
      <w:numFmt w:val="bullet"/>
      <w:lvlText w:val="•"/>
      <w:lvlJc w:val="left"/>
      <w:pPr>
        <w:tabs>
          <w:tab w:val="num" w:pos="3600"/>
        </w:tabs>
        <w:ind w:left="3600" w:hanging="360"/>
      </w:pPr>
      <w:rPr>
        <w:rFonts w:ascii="Gulim" w:eastAsia="Gulim" w:hint="default"/>
      </w:rPr>
    </w:lvl>
    <w:lvl w:ilvl="5" w:tplc="D0F037D4" w:tentative="1">
      <w:start w:val="1"/>
      <w:numFmt w:val="bullet"/>
      <w:lvlText w:val="•"/>
      <w:lvlJc w:val="left"/>
      <w:pPr>
        <w:tabs>
          <w:tab w:val="num" w:pos="4320"/>
        </w:tabs>
        <w:ind w:left="4320" w:hanging="360"/>
      </w:pPr>
      <w:rPr>
        <w:rFonts w:ascii="Gulim" w:eastAsia="Gulim" w:hint="default"/>
      </w:rPr>
    </w:lvl>
    <w:lvl w:ilvl="6" w:tplc="3760D9A6" w:tentative="1">
      <w:start w:val="1"/>
      <w:numFmt w:val="bullet"/>
      <w:lvlText w:val="•"/>
      <w:lvlJc w:val="left"/>
      <w:pPr>
        <w:tabs>
          <w:tab w:val="num" w:pos="5040"/>
        </w:tabs>
        <w:ind w:left="5040" w:hanging="360"/>
      </w:pPr>
      <w:rPr>
        <w:rFonts w:ascii="Gulim" w:eastAsia="Gulim" w:hint="default"/>
      </w:rPr>
    </w:lvl>
    <w:lvl w:ilvl="7" w:tplc="593CACA4" w:tentative="1">
      <w:start w:val="1"/>
      <w:numFmt w:val="bullet"/>
      <w:lvlText w:val="•"/>
      <w:lvlJc w:val="left"/>
      <w:pPr>
        <w:tabs>
          <w:tab w:val="num" w:pos="5760"/>
        </w:tabs>
        <w:ind w:left="5760" w:hanging="360"/>
      </w:pPr>
      <w:rPr>
        <w:rFonts w:ascii="Gulim" w:eastAsia="Gulim" w:hint="default"/>
      </w:rPr>
    </w:lvl>
    <w:lvl w:ilvl="8" w:tplc="9D4259DC" w:tentative="1">
      <w:start w:val="1"/>
      <w:numFmt w:val="bullet"/>
      <w:lvlText w:val="•"/>
      <w:lvlJc w:val="left"/>
      <w:pPr>
        <w:tabs>
          <w:tab w:val="num" w:pos="6480"/>
        </w:tabs>
        <w:ind w:left="6480" w:hanging="360"/>
      </w:pPr>
      <w:rPr>
        <w:rFonts w:ascii="Gulim" w:eastAsia="Gulim" w:hint="default"/>
      </w:rPr>
    </w:lvl>
  </w:abstractNum>
  <w:abstractNum w:abstractNumId="8">
    <w:nsid w:val="29CD51E5"/>
    <w:multiLevelType w:val="hybridMultilevel"/>
    <w:tmpl w:val="DA3A8DE6"/>
    <w:lvl w:ilvl="0" w:tplc="3B78CF6C">
      <w:start w:val="1"/>
      <w:numFmt w:val="decimal"/>
      <w:lvlText w:val="%1)"/>
      <w:lvlJc w:val="left"/>
      <w:pPr>
        <w:ind w:left="360" w:hanging="360"/>
      </w:pPr>
      <w:rPr>
        <w:rFonts w:cs="Times New Roman" w:hint="default"/>
        <w:b w:val="0"/>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9">
    <w:nsid w:val="2CCF493D"/>
    <w:multiLevelType w:val="hybridMultilevel"/>
    <w:tmpl w:val="98626BEC"/>
    <w:lvl w:ilvl="0" w:tplc="8EFCC70C">
      <w:start w:val="1"/>
      <w:numFmt w:val="decimal"/>
      <w:lvlText w:val="%1."/>
      <w:lvlJc w:val="left"/>
      <w:pPr>
        <w:ind w:left="470" w:hanging="360"/>
      </w:pPr>
      <w:rPr>
        <w:rFonts w:cs="Times New Roman" w:hint="default"/>
      </w:rPr>
    </w:lvl>
    <w:lvl w:ilvl="1" w:tplc="04090019" w:tentative="1">
      <w:start w:val="1"/>
      <w:numFmt w:val="upperLetter"/>
      <w:lvlText w:val="%2."/>
      <w:lvlJc w:val="left"/>
      <w:pPr>
        <w:ind w:left="910" w:hanging="400"/>
      </w:pPr>
      <w:rPr>
        <w:rFonts w:cs="Times New Roman"/>
      </w:rPr>
    </w:lvl>
    <w:lvl w:ilvl="2" w:tplc="0409001B" w:tentative="1">
      <w:start w:val="1"/>
      <w:numFmt w:val="lowerRoman"/>
      <w:lvlText w:val="%3."/>
      <w:lvlJc w:val="right"/>
      <w:pPr>
        <w:ind w:left="1310" w:hanging="400"/>
      </w:pPr>
      <w:rPr>
        <w:rFonts w:cs="Times New Roman"/>
      </w:rPr>
    </w:lvl>
    <w:lvl w:ilvl="3" w:tplc="0409000F" w:tentative="1">
      <w:start w:val="1"/>
      <w:numFmt w:val="decimal"/>
      <w:lvlText w:val="%4."/>
      <w:lvlJc w:val="left"/>
      <w:pPr>
        <w:ind w:left="1710" w:hanging="400"/>
      </w:pPr>
      <w:rPr>
        <w:rFonts w:cs="Times New Roman"/>
      </w:rPr>
    </w:lvl>
    <w:lvl w:ilvl="4" w:tplc="04090019" w:tentative="1">
      <w:start w:val="1"/>
      <w:numFmt w:val="upperLetter"/>
      <w:lvlText w:val="%5."/>
      <w:lvlJc w:val="left"/>
      <w:pPr>
        <w:ind w:left="2110" w:hanging="400"/>
      </w:pPr>
      <w:rPr>
        <w:rFonts w:cs="Times New Roman"/>
      </w:rPr>
    </w:lvl>
    <w:lvl w:ilvl="5" w:tplc="0409001B" w:tentative="1">
      <w:start w:val="1"/>
      <w:numFmt w:val="lowerRoman"/>
      <w:lvlText w:val="%6."/>
      <w:lvlJc w:val="right"/>
      <w:pPr>
        <w:ind w:left="2510" w:hanging="400"/>
      </w:pPr>
      <w:rPr>
        <w:rFonts w:cs="Times New Roman"/>
      </w:rPr>
    </w:lvl>
    <w:lvl w:ilvl="6" w:tplc="0409000F" w:tentative="1">
      <w:start w:val="1"/>
      <w:numFmt w:val="decimal"/>
      <w:lvlText w:val="%7."/>
      <w:lvlJc w:val="left"/>
      <w:pPr>
        <w:ind w:left="2910" w:hanging="400"/>
      </w:pPr>
      <w:rPr>
        <w:rFonts w:cs="Times New Roman"/>
      </w:rPr>
    </w:lvl>
    <w:lvl w:ilvl="7" w:tplc="04090019" w:tentative="1">
      <w:start w:val="1"/>
      <w:numFmt w:val="upperLetter"/>
      <w:lvlText w:val="%8."/>
      <w:lvlJc w:val="left"/>
      <w:pPr>
        <w:ind w:left="3310" w:hanging="400"/>
      </w:pPr>
      <w:rPr>
        <w:rFonts w:cs="Times New Roman"/>
      </w:rPr>
    </w:lvl>
    <w:lvl w:ilvl="8" w:tplc="0409001B" w:tentative="1">
      <w:start w:val="1"/>
      <w:numFmt w:val="lowerRoman"/>
      <w:lvlText w:val="%9."/>
      <w:lvlJc w:val="right"/>
      <w:pPr>
        <w:ind w:left="3710" w:hanging="400"/>
      </w:pPr>
      <w:rPr>
        <w:rFonts w:cs="Times New Roman"/>
      </w:rPr>
    </w:lvl>
  </w:abstractNum>
  <w:abstractNum w:abstractNumId="10">
    <w:nsid w:val="319E2914"/>
    <w:multiLevelType w:val="hybridMultilevel"/>
    <w:tmpl w:val="16E0F69E"/>
    <w:lvl w:ilvl="0" w:tplc="7B7CA442">
      <w:start w:val="28"/>
      <w:numFmt w:val="bullet"/>
      <w:lvlText w:val="-"/>
      <w:lvlJc w:val="left"/>
      <w:pPr>
        <w:ind w:left="760" w:hanging="36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4B669E9"/>
    <w:multiLevelType w:val="hybridMultilevel"/>
    <w:tmpl w:val="176AA964"/>
    <w:lvl w:ilvl="0" w:tplc="132E4ADC">
      <w:start w:val="1"/>
      <w:numFmt w:val="decimal"/>
      <w:lvlText w:val="%1."/>
      <w:lvlJc w:val="left"/>
      <w:pPr>
        <w:ind w:left="760" w:hanging="360"/>
      </w:pPr>
      <w:rPr>
        <w:rFonts w:cs="Times New Roman" w:hint="default"/>
        <w:b w:val="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2">
    <w:nsid w:val="43B95D1D"/>
    <w:multiLevelType w:val="multilevel"/>
    <w:tmpl w:val="CE6C9202"/>
    <w:lvl w:ilvl="0">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E43B3A"/>
    <w:multiLevelType w:val="hybridMultilevel"/>
    <w:tmpl w:val="25B273F6"/>
    <w:lvl w:ilvl="0" w:tplc="979CA32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9082274"/>
    <w:multiLevelType w:val="multilevel"/>
    <w:tmpl w:val="0ADCE588"/>
    <w:lvl w:ilvl="0">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A43CF0"/>
    <w:multiLevelType w:val="hybridMultilevel"/>
    <w:tmpl w:val="3D8467E8"/>
    <w:lvl w:ilvl="0" w:tplc="610202A8">
      <w:start w:val="1"/>
      <w:numFmt w:val="decimal"/>
      <w:lvlText w:val="%1."/>
      <w:lvlJc w:val="left"/>
      <w:pPr>
        <w:ind w:left="470" w:hanging="360"/>
      </w:pPr>
      <w:rPr>
        <w:rFonts w:cs="Times New Roman" w:hint="default"/>
      </w:rPr>
    </w:lvl>
    <w:lvl w:ilvl="1" w:tplc="04090019" w:tentative="1">
      <w:start w:val="1"/>
      <w:numFmt w:val="upperLetter"/>
      <w:lvlText w:val="%2."/>
      <w:lvlJc w:val="left"/>
      <w:pPr>
        <w:ind w:left="910" w:hanging="400"/>
      </w:pPr>
      <w:rPr>
        <w:rFonts w:cs="Times New Roman"/>
      </w:rPr>
    </w:lvl>
    <w:lvl w:ilvl="2" w:tplc="0409001B" w:tentative="1">
      <w:start w:val="1"/>
      <w:numFmt w:val="lowerRoman"/>
      <w:lvlText w:val="%3."/>
      <w:lvlJc w:val="right"/>
      <w:pPr>
        <w:ind w:left="1310" w:hanging="400"/>
      </w:pPr>
      <w:rPr>
        <w:rFonts w:cs="Times New Roman"/>
      </w:rPr>
    </w:lvl>
    <w:lvl w:ilvl="3" w:tplc="0409000F" w:tentative="1">
      <w:start w:val="1"/>
      <w:numFmt w:val="decimal"/>
      <w:lvlText w:val="%4."/>
      <w:lvlJc w:val="left"/>
      <w:pPr>
        <w:ind w:left="1710" w:hanging="400"/>
      </w:pPr>
      <w:rPr>
        <w:rFonts w:cs="Times New Roman"/>
      </w:rPr>
    </w:lvl>
    <w:lvl w:ilvl="4" w:tplc="04090019" w:tentative="1">
      <w:start w:val="1"/>
      <w:numFmt w:val="upperLetter"/>
      <w:lvlText w:val="%5."/>
      <w:lvlJc w:val="left"/>
      <w:pPr>
        <w:ind w:left="2110" w:hanging="400"/>
      </w:pPr>
      <w:rPr>
        <w:rFonts w:cs="Times New Roman"/>
      </w:rPr>
    </w:lvl>
    <w:lvl w:ilvl="5" w:tplc="0409001B" w:tentative="1">
      <w:start w:val="1"/>
      <w:numFmt w:val="lowerRoman"/>
      <w:lvlText w:val="%6."/>
      <w:lvlJc w:val="right"/>
      <w:pPr>
        <w:ind w:left="2510" w:hanging="400"/>
      </w:pPr>
      <w:rPr>
        <w:rFonts w:cs="Times New Roman"/>
      </w:rPr>
    </w:lvl>
    <w:lvl w:ilvl="6" w:tplc="0409000F" w:tentative="1">
      <w:start w:val="1"/>
      <w:numFmt w:val="decimal"/>
      <w:lvlText w:val="%7."/>
      <w:lvlJc w:val="left"/>
      <w:pPr>
        <w:ind w:left="2910" w:hanging="400"/>
      </w:pPr>
      <w:rPr>
        <w:rFonts w:cs="Times New Roman"/>
      </w:rPr>
    </w:lvl>
    <w:lvl w:ilvl="7" w:tplc="04090019" w:tentative="1">
      <w:start w:val="1"/>
      <w:numFmt w:val="upperLetter"/>
      <w:lvlText w:val="%8."/>
      <w:lvlJc w:val="left"/>
      <w:pPr>
        <w:ind w:left="3310" w:hanging="400"/>
      </w:pPr>
      <w:rPr>
        <w:rFonts w:cs="Times New Roman"/>
      </w:rPr>
    </w:lvl>
    <w:lvl w:ilvl="8" w:tplc="0409001B" w:tentative="1">
      <w:start w:val="1"/>
      <w:numFmt w:val="lowerRoman"/>
      <w:lvlText w:val="%9."/>
      <w:lvlJc w:val="right"/>
      <w:pPr>
        <w:ind w:left="3710" w:hanging="400"/>
      </w:pPr>
      <w:rPr>
        <w:rFonts w:cs="Times New Roman"/>
      </w:rPr>
    </w:lvl>
  </w:abstractNum>
  <w:abstractNum w:abstractNumId="16">
    <w:nsid w:val="709C6FDF"/>
    <w:multiLevelType w:val="hybridMultilevel"/>
    <w:tmpl w:val="C4CA0212"/>
    <w:lvl w:ilvl="0" w:tplc="6BBC722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7">
    <w:nsid w:val="78AE0CD3"/>
    <w:multiLevelType w:val="hybridMultilevel"/>
    <w:tmpl w:val="3A0A204E"/>
    <w:lvl w:ilvl="0" w:tplc="B304401E">
      <w:start w:val="1"/>
      <w:numFmt w:val="bullet"/>
      <w:lvlText w:val="•"/>
      <w:lvlJc w:val="left"/>
      <w:pPr>
        <w:tabs>
          <w:tab w:val="num" w:pos="720"/>
        </w:tabs>
        <w:ind w:left="720" w:hanging="360"/>
      </w:pPr>
      <w:rPr>
        <w:rFonts w:ascii="Arial" w:hAnsi="Arial" w:hint="default"/>
      </w:rPr>
    </w:lvl>
    <w:lvl w:ilvl="1" w:tplc="51BC1C58" w:tentative="1">
      <w:start w:val="1"/>
      <w:numFmt w:val="bullet"/>
      <w:lvlText w:val="•"/>
      <w:lvlJc w:val="left"/>
      <w:pPr>
        <w:tabs>
          <w:tab w:val="num" w:pos="1440"/>
        </w:tabs>
        <w:ind w:left="1440" w:hanging="360"/>
      </w:pPr>
      <w:rPr>
        <w:rFonts w:ascii="Arial" w:hAnsi="Arial" w:hint="default"/>
      </w:rPr>
    </w:lvl>
    <w:lvl w:ilvl="2" w:tplc="BD9A4DA0" w:tentative="1">
      <w:start w:val="1"/>
      <w:numFmt w:val="bullet"/>
      <w:lvlText w:val="•"/>
      <w:lvlJc w:val="left"/>
      <w:pPr>
        <w:tabs>
          <w:tab w:val="num" w:pos="2160"/>
        </w:tabs>
        <w:ind w:left="2160" w:hanging="360"/>
      </w:pPr>
      <w:rPr>
        <w:rFonts w:ascii="Arial" w:hAnsi="Arial" w:hint="default"/>
      </w:rPr>
    </w:lvl>
    <w:lvl w:ilvl="3" w:tplc="427E36AE" w:tentative="1">
      <w:start w:val="1"/>
      <w:numFmt w:val="bullet"/>
      <w:lvlText w:val="•"/>
      <w:lvlJc w:val="left"/>
      <w:pPr>
        <w:tabs>
          <w:tab w:val="num" w:pos="2880"/>
        </w:tabs>
        <w:ind w:left="2880" w:hanging="360"/>
      </w:pPr>
      <w:rPr>
        <w:rFonts w:ascii="Arial" w:hAnsi="Arial" w:hint="default"/>
      </w:rPr>
    </w:lvl>
    <w:lvl w:ilvl="4" w:tplc="1A6871A0" w:tentative="1">
      <w:start w:val="1"/>
      <w:numFmt w:val="bullet"/>
      <w:lvlText w:val="•"/>
      <w:lvlJc w:val="left"/>
      <w:pPr>
        <w:tabs>
          <w:tab w:val="num" w:pos="3600"/>
        </w:tabs>
        <w:ind w:left="3600" w:hanging="360"/>
      </w:pPr>
      <w:rPr>
        <w:rFonts w:ascii="Arial" w:hAnsi="Arial" w:hint="default"/>
      </w:rPr>
    </w:lvl>
    <w:lvl w:ilvl="5" w:tplc="854C2BE2" w:tentative="1">
      <w:start w:val="1"/>
      <w:numFmt w:val="bullet"/>
      <w:lvlText w:val="•"/>
      <w:lvlJc w:val="left"/>
      <w:pPr>
        <w:tabs>
          <w:tab w:val="num" w:pos="4320"/>
        </w:tabs>
        <w:ind w:left="4320" w:hanging="360"/>
      </w:pPr>
      <w:rPr>
        <w:rFonts w:ascii="Arial" w:hAnsi="Arial" w:hint="default"/>
      </w:rPr>
    </w:lvl>
    <w:lvl w:ilvl="6" w:tplc="06D2F788" w:tentative="1">
      <w:start w:val="1"/>
      <w:numFmt w:val="bullet"/>
      <w:lvlText w:val="•"/>
      <w:lvlJc w:val="left"/>
      <w:pPr>
        <w:tabs>
          <w:tab w:val="num" w:pos="5040"/>
        </w:tabs>
        <w:ind w:left="5040" w:hanging="360"/>
      </w:pPr>
      <w:rPr>
        <w:rFonts w:ascii="Arial" w:hAnsi="Arial" w:hint="default"/>
      </w:rPr>
    </w:lvl>
    <w:lvl w:ilvl="7" w:tplc="D2F46FEA" w:tentative="1">
      <w:start w:val="1"/>
      <w:numFmt w:val="bullet"/>
      <w:lvlText w:val="•"/>
      <w:lvlJc w:val="left"/>
      <w:pPr>
        <w:tabs>
          <w:tab w:val="num" w:pos="5760"/>
        </w:tabs>
        <w:ind w:left="5760" w:hanging="360"/>
      </w:pPr>
      <w:rPr>
        <w:rFonts w:ascii="Arial" w:hAnsi="Arial" w:hint="default"/>
      </w:rPr>
    </w:lvl>
    <w:lvl w:ilvl="8" w:tplc="F1088296" w:tentative="1">
      <w:start w:val="1"/>
      <w:numFmt w:val="bullet"/>
      <w:lvlText w:val="•"/>
      <w:lvlJc w:val="left"/>
      <w:pPr>
        <w:tabs>
          <w:tab w:val="num" w:pos="6480"/>
        </w:tabs>
        <w:ind w:left="6480" w:hanging="360"/>
      </w:pPr>
      <w:rPr>
        <w:rFonts w:ascii="Arial" w:hAnsi="Arial" w:hint="default"/>
      </w:rPr>
    </w:lvl>
  </w:abstractNum>
  <w:abstractNum w:abstractNumId="18">
    <w:nsid w:val="7F855F4D"/>
    <w:multiLevelType w:val="hybridMultilevel"/>
    <w:tmpl w:val="45A4F8F8"/>
    <w:lvl w:ilvl="0" w:tplc="3452B9E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2"/>
  </w:num>
  <w:num w:numId="2">
    <w:abstractNumId w:val="14"/>
  </w:num>
  <w:num w:numId="3">
    <w:abstractNumId w:val="7"/>
  </w:num>
  <w:num w:numId="4">
    <w:abstractNumId w:val="5"/>
  </w:num>
  <w:num w:numId="5">
    <w:abstractNumId w:val="2"/>
  </w:num>
  <w:num w:numId="6">
    <w:abstractNumId w:val="1"/>
  </w:num>
  <w:num w:numId="7">
    <w:abstractNumId w:val="0"/>
  </w:num>
  <w:num w:numId="8">
    <w:abstractNumId w:val="16"/>
  </w:num>
  <w:num w:numId="9">
    <w:abstractNumId w:val="18"/>
  </w:num>
  <w:num w:numId="10">
    <w:abstractNumId w:val="13"/>
  </w:num>
  <w:num w:numId="11">
    <w:abstractNumId w:val="11"/>
  </w:num>
  <w:num w:numId="12">
    <w:abstractNumId w:val="8"/>
  </w:num>
  <w:num w:numId="13">
    <w:abstractNumId w:val="10"/>
  </w:num>
  <w:num w:numId="14">
    <w:abstractNumId w:val="9"/>
  </w:num>
  <w:num w:numId="15">
    <w:abstractNumId w:val="17"/>
  </w:num>
  <w:num w:numId="16">
    <w:abstractNumId w:val="3"/>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8A"/>
    <w:rsid w:val="000116DB"/>
    <w:rsid w:val="00027A33"/>
    <w:rsid w:val="00055FF6"/>
    <w:rsid w:val="0006585D"/>
    <w:rsid w:val="00077CC1"/>
    <w:rsid w:val="00080C35"/>
    <w:rsid w:val="0009013B"/>
    <w:rsid w:val="000B3BEC"/>
    <w:rsid w:val="001058B8"/>
    <w:rsid w:val="001406E0"/>
    <w:rsid w:val="001435FE"/>
    <w:rsid w:val="00147B7B"/>
    <w:rsid w:val="00173670"/>
    <w:rsid w:val="00175369"/>
    <w:rsid w:val="001839EF"/>
    <w:rsid w:val="001A540C"/>
    <w:rsid w:val="001A6525"/>
    <w:rsid w:val="001B6014"/>
    <w:rsid w:val="001C0B89"/>
    <w:rsid w:val="001C49C6"/>
    <w:rsid w:val="002229CA"/>
    <w:rsid w:val="00227E19"/>
    <w:rsid w:val="0025243C"/>
    <w:rsid w:val="00257E50"/>
    <w:rsid w:val="002636DC"/>
    <w:rsid w:val="002816BA"/>
    <w:rsid w:val="002B29BD"/>
    <w:rsid w:val="002C1D95"/>
    <w:rsid w:val="002C4157"/>
    <w:rsid w:val="00324857"/>
    <w:rsid w:val="003325D4"/>
    <w:rsid w:val="003408E1"/>
    <w:rsid w:val="00366C1B"/>
    <w:rsid w:val="0038584A"/>
    <w:rsid w:val="003A0365"/>
    <w:rsid w:val="003B35DF"/>
    <w:rsid w:val="003C0A41"/>
    <w:rsid w:val="003C3796"/>
    <w:rsid w:val="0040057E"/>
    <w:rsid w:val="00412972"/>
    <w:rsid w:val="00420F2B"/>
    <w:rsid w:val="00421E83"/>
    <w:rsid w:val="00481D85"/>
    <w:rsid w:val="0048221A"/>
    <w:rsid w:val="00484146"/>
    <w:rsid w:val="004C5885"/>
    <w:rsid w:val="004D1DB1"/>
    <w:rsid w:val="004D40BC"/>
    <w:rsid w:val="004E43B9"/>
    <w:rsid w:val="005220FA"/>
    <w:rsid w:val="0053385D"/>
    <w:rsid w:val="00540CB4"/>
    <w:rsid w:val="005871E5"/>
    <w:rsid w:val="005A0922"/>
    <w:rsid w:val="005C6A5F"/>
    <w:rsid w:val="005C701A"/>
    <w:rsid w:val="00626B26"/>
    <w:rsid w:val="006412F8"/>
    <w:rsid w:val="00642094"/>
    <w:rsid w:val="0069137B"/>
    <w:rsid w:val="006A4DA4"/>
    <w:rsid w:val="006C5C3C"/>
    <w:rsid w:val="00717FD8"/>
    <w:rsid w:val="00724D64"/>
    <w:rsid w:val="00772DF3"/>
    <w:rsid w:val="00774578"/>
    <w:rsid w:val="007B2DFB"/>
    <w:rsid w:val="007C3548"/>
    <w:rsid w:val="0086499D"/>
    <w:rsid w:val="008804C0"/>
    <w:rsid w:val="009030B3"/>
    <w:rsid w:val="00910E5E"/>
    <w:rsid w:val="00916540"/>
    <w:rsid w:val="009350E9"/>
    <w:rsid w:val="0094698A"/>
    <w:rsid w:val="0096397E"/>
    <w:rsid w:val="00986B90"/>
    <w:rsid w:val="00994AB3"/>
    <w:rsid w:val="009B381F"/>
    <w:rsid w:val="009F576F"/>
    <w:rsid w:val="00A063C7"/>
    <w:rsid w:val="00A11756"/>
    <w:rsid w:val="00A618F8"/>
    <w:rsid w:val="00A7393F"/>
    <w:rsid w:val="00AB631A"/>
    <w:rsid w:val="00AC001A"/>
    <w:rsid w:val="00AC53C7"/>
    <w:rsid w:val="00B1590A"/>
    <w:rsid w:val="00B416E7"/>
    <w:rsid w:val="00BA5D20"/>
    <w:rsid w:val="00BD5581"/>
    <w:rsid w:val="00C00A08"/>
    <w:rsid w:val="00C37CE5"/>
    <w:rsid w:val="00C4490B"/>
    <w:rsid w:val="00C50B42"/>
    <w:rsid w:val="00C5521E"/>
    <w:rsid w:val="00C605E9"/>
    <w:rsid w:val="00C62561"/>
    <w:rsid w:val="00C62F86"/>
    <w:rsid w:val="00CA7837"/>
    <w:rsid w:val="00CE4867"/>
    <w:rsid w:val="00CE5316"/>
    <w:rsid w:val="00D0113B"/>
    <w:rsid w:val="00D175F8"/>
    <w:rsid w:val="00D26319"/>
    <w:rsid w:val="00D941B5"/>
    <w:rsid w:val="00DC1C06"/>
    <w:rsid w:val="00DD1251"/>
    <w:rsid w:val="00E07CBB"/>
    <w:rsid w:val="00E129A6"/>
    <w:rsid w:val="00E215AC"/>
    <w:rsid w:val="00E34496"/>
    <w:rsid w:val="00E46562"/>
    <w:rsid w:val="00E76801"/>
    <w:rsid w:val="00E77433"/>
    <w:rsid w:val="00E8189D"/>
    <w:rsid w:val="00E827C9"/>
    <w:rsid w:val="00EA187A"/>
    <w:rsid w:val="00EB767B"/>
    <w:rsid w:val="00EE05F1"/>
    <w:rsid w:val="00EE315B"/>
    <w:rsid w:val="00EF30C0"/>
    <w:rsid w:val="00F04F83"/>
    <w:rsid w:val="00F52566"/>
    <w:rsid w:val="00F65015"/>
    <w:rsid w:val="00F9600C"/>
    <w:rsid w:val="00F96D92"/>
    <w:rsid w:val="00FF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9C6"/>
    <w:pPr>
      <w:spacing w:after="200" w:line="360" w:lineRule="auto"/>
    </w:pPr>
    <w:rPr>
      <w:rFonts w:ascii="Book Antiqua" w:hAnsi="Book Antiqua"/>
      <w:kern w:val="0"/>
      <w:sz w:val="24"/>
      <w:lang w:val="en-GB" w:eastAsia="en-US"/>
    </w:rPr>
  </w:style>
  <w:style w:type="paragraph" w:styleId="1">
    <w:name w:val="heading 1"/>
    <w:basedOn w:val="a"/>
    <w:next w:val="a"/>
    <w:link w:val="1Char"/>
    <w:uiPriority w:val="99"/>
    <w:qFormat/>
    <w:rsid w:val="001C49C6"/>
    <w:pPr>
      <w:keepNext/>
      <w:spacing w:before="240" w:after="60"/>
      <w:outlineLvl w:val="0"/>
    </w:pPr>
    <w:rPr>
      <w:rFonts w:eastAsia="Malgun Gothic"/>
      <w:b/>
      <w:bCs/>
      <w:kern w:val="32"/>
      <w:szCs w:val="32"/>
      <w:lang w:eastAsia="zh-CN"/>
    </w:rPr>
  </w:style>
  <w:style w:type="paragraph" w:styleId="2">
    <w:name w:val="heading 2"/>
    <w:basedOn w:val="a"/>
    <w:next w:val="a"/>
    <w:link w:val="2Char"/>
    <w:uiPriority w:val="99"/>
    <w:qFormat/>
    <w:rsid w:val="001C49C6"/>
    <w:pPr>
      <w:keepNext/>
      <w:spacing w:before="240" w:after="60"/>
      <w:outlineLvl w:val="1"/>
    </w:pPr>
    <w:rPr>
      <w:rFonts w:eastAsia="Malgun Gothic"/>
      <w:b/>
      <w:bCs/>
      <w:i/>
      <w:iCs/>
      <w:szCs w:val="28"/>
      <w:lang w:eastAsia="zh-CN"/>
    </w:rPr>
  </w:style>
  <w:style w:type="paragraph" w:styleId="3">
    <w:name w:val="heading 3"/>
    <w:basedOn w:val="a"/>
    <w:next w:val="a"/>
    <w:link w:val="3Char"/>
    <w:uiPriority w:val="99"/>
    <w:qFormat/>
    <w:rsid w:val="001C49C6"/>
    <w:pPr>
      <w:keepNext/>
      <w:spacing w:before="240" w:after="60"/>
      <w:outlineLvl w:val="2"/>
    </w:pPr>
    <w:rPr>
      <w:rFonts w:eastAsia="Malgun Gothic"/>
      <w:bCs/>
      <w:szCs w:val="26"/>
      <w:lang w:eastAsia="zh-CN"/>
    </w:rPr>
  </w:style>
  <w:style w:type="paragraph" w:styleId="4">
    <w:name w:val="heading 4"/>
    <w:basedOn w:val="a"/>
    <w:next w:val="a"/>
    <w:link w:val="4Char"/>
    <w:uiPriority w:val="99"/>
    <w:qFormat/>
    <w:rsid w:val="001C49C6"/>
    <w:pPr>
      <w:keepNext/>
      <w:keepLines/>
      <w:spacing w:before="240" w:after="0" w:line="360" w:lineRule="exact"/>
      <w:outlineLvl w:val="3"/>
    </w:pPr>
    <w:rPr>
      <w:color w:val="235683"/>
      <w:sz w:val="26"/>
    </w:rPr>
  </w:style>
  <w:style w:type="paragraph" w:styleId="5">
    <w:name w:val="heading 5"/>
    <w:basedOn w:val="a"/>
    <w:next w:val="a"/>
    <w:link w:val="5Char"/>
    <w:uiPriority w:val="99"/>
    <w:qFormat/>
    <w:rsid w:val="001C49C6"/>
    <w:pPr>
      <w:keepNext/>
      <w:keepLines/>
      <w:spacing w:before="240" w:after="0" w:line="360" w:lineRule="exact"/>
      <w:outlineLvl w:val="4"/>
    </w:pPr>
    <w:rPr>
      <w:b/>
      <w:color w:val="3F6FA2"/>
    </w:rPr>
  </w:style>
  <w:style w:type="paragraph" w:styleId="6">
    <w:name w:val="heading 6"/>
    <w:basedOn w:val="a"/>
    <w:next w:val="a"/>
    <w:link w:val="6Char"/>
    <w:uiPriority w:val="99"/>
    <w:qFormat/>
    <w:rsid w:val="001C49C6"/>
    <w:pPr>
      <w:keepNext/>
      <w:keepLines/>
      <w:spacing w:before="240" w:after="0" w:line="360" w:lineRule="exact"/>
      <w:outlineLvl w:val="5"/>
    </w:pPr>
    <w:rPr>
      <w:color w:val="5B89C1"/>
    </w:rPr>
  </w:style>
  <w:style w:type="paragraph" w:styleId="7">
    <w:name w:val="heading 7"/>
    <w:basedOn w:val="a"/>
    <w:next w:val="a"/>
    <w:link w:val="7Char"/>
    <w:uiPriority w:val="99"/>
    <w:qFormat/>
    <w:rsid w:val="001C49C6"/>
    <w:pPr>
      <w:keepNext/>
      <w:keepLines/>
      <w:spacing w:before="240" w:after="0"/>
      <w:outlineLvl w:val="6"/>
    </w:pPr>
    <w:rPr>
      <w:b/>
      <w:color w:val="235683"/>
      <w:sz w:val="22"/>
    </w:rPr>
  </w:style>
  <w:style w:type="paragraph" w:styleId="8">
    <w:name w:val="heading 8"/>
    <w:basedOn w:val="a"/>
    <w:next w:val="a"/>
    <w:link w:val="8Char"/>
    <w:uiPriority w:val="99"/>
    <w:qFormat/>
    <w:rsid w:val="001C49C6"/>
    <w:pPr>
      <w:keepNext/>
      <w:keepLines/>
      <w:spacing w:before="240" w:after="0"/>
      <w:outlineLvl w:val="7"/>
    </w:pPr>
    <w:rPr>
      <w:color w:val="3F6FA2"/>
      <w:sz w:val="22"/>
    </w:rPr>
  </w:style>
  <w:style w:type="paragraph" w:styleId="9">
    <w:name w:val="heading 9"/>
    <w:basedOn w:val="a"/>
    <w:next w:val="a"/>
    <w:link w:val="9Char"/>
    <w:uiPriority w:val="99"/>
    <w:qFormat/>
    <w:rsid w:val="001C49C6"/>
    <w:pPr>
      <w:keepNext/>
      <w:keepLines/>
      <w:spacing w:before="240" w:after="0"/>
      <w:outlineLvl w:val="8"/>
    </w:pPr>
    <w:rPr>
      <w:color w:val="5B89C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49C6"/>
    <w:rPr>
      <w:rFonts w:ascii="Book Antiqua" w:eastAsia="Malgun Gothic" w:hAnsi="Book Antiqua" w:cs="Times New Roman"/>
      <w:b/>
      <w:bCs/>
      <w:kern w:val="32"/>
      <w:sz w:val="32"/>
      <w:szCs w:val="32"/>
      <w:lang w:val="en-GB"/>
    </w:rPr>
  </w:style>
  <w:style w:type="character" w:customStyle="1" w:styleId="2Char">
    <w:name w:val="标题 2 Char"/>
    <w:basedOn w:val="a0"/>
    <w:link w:val="2"/>
    <w:uiPriority w:val="99"/>
    <w:locked/>
    <w:rsid w:val="001C49C6"/>
    <w:rPr>
      <w:rFonts w:ascii="Book Antiqua" w:eastAsia="Malgun Gothic" w:hAnsi="Book Antiqua" w:cs="Times New Roman"/>
      <w:b/>
      <w:bCs/>
      <w:i/>
      <w:iCs/>
      <w:kern w:val="0"/>
      <w:sz w:val="28"/>
      <w:szCs w:val="28"/>
      <w:lang w:val="en-GB"/>
    </w:rPr>
  </w:style>
  <w:style w:type="character" w:customStyle="1" w:styleId="3Char">
    <w:name w:val="标题 3 Char"/>
    <w:basedOn w:val="a0"/>
    <w:link w:val="3"/>
    <w:uiPriority w:val="99"/>
    <w:locked/>
    <w:rsid w:val="001C49C6"/>
    <w:rPr>
      <w:rFonts w:ascii="Book Antiqua" w:eastAsia="Malgun Gothic" w:hAnsi="Book Antiqua" w:cs="Times New Roman"/>
      <w:bCs/>
      <w:kern w:val="0"/>
      <w:sz w:val="26"/>
      <w:szCs w:val="26"/>
      <w:lang w:val="en-GB"/>
    </w:rPr>
  </w:style>
  <w:style w:type="character" w:customStyle="1" w:styleId="4Char">
    <w:name w:val="标题 4 Char"/>
    <w:basedOn w:val="a0"/>
    <w:link w:val="4"/>
    <w:uiPriority w:val="99"/>
    <w:locked/>
    <w:rsid w:val="001C49C6"/>
    <w:rPr>
      <w:rFonts w:ascii="Book Antiqua" w:eastAsia="Times New Roman" w:hAnsi="Book Antiqua" w:cs="Times New Roman"/>
      <w:color w:val="235683"/>
      <w:kern w:val="0"/>
      <w:sz w:val="26"/>
      <w:lang w:val="en-GB" w:eastAsia="en-US"/>
    </w:rPr>
  </w:style>
  <w:style w:type="character" w:customStyle="1" w:styleId="5Char">
    <w:name w:val="标题 5 Char"/>
    <w:basedOn w:val="a0"/>
    <w:link w:val="5"/>
    <w:uiPriority w:val="99"/>
    <w:locked/>
    <w:rsid w:val="001C49C6"/>
    <w:rPr>
      <w:rFonts w:ascii="Book Antiqua" w:eastAsia="Times New Roman" w:hAnsi="Book Antiqua" w:cs="Times New Roman"/>
      <w:b/>
      <w:color w:val="3F6FA2"/>
      <w:kern w:val="0"/>
      <w:sz w:val="24"/>
      <w:lang w:val="en-GB" w:eastAsia="en-US"/>
    </w:rPr>
  </w:style>
  <w:style w:type="character" w:customStyle="1" w:styleId="6Char">
    <w:name w:val="标题 6 Char"/>
    <w:basedOn w:val="a0"/>
    <w:link w:val="6"/>
    <w:uiPriority w:val="99"/>
    <w:locked/>
    <w:rsid w:val="001C49C6"/>
    <w:rPr>
      <w:rFonts w:ascii="Book Antiqua" w:eastAsia="Times New Roman" w:hAnsi="Book Antiqua" w:cs="Times New Roman"/>
      <w:color w:val="5B89C1"/>
      <w:kern w:val="0"/>
      <w:sz w:val="24"/>
      <w:lang w:val="en-GB" w:eastAsia="en-US"/>
    </w:rPr>
  </w:style>
  <w:style w:type="character" w:customStyle="1" w:styleId="7Char">
    <w:name w:val="标题 7 Char"/>
    <w:basedOn w:val="a0"/>
    <w:link w:val="7"/>
    <w:uiPriority w:val="99"/>
    <w:locked/>
    <w:rsid w:val="001C49C6"/>
    <w:rPr>
      <w:rFonts w:ascii="Book Antiqua" w:eastAsia="Times New Roman" w:hAnsi="Book Antiqua" w:cs="Times New Roman"/>
      <w:b/>
      <w:color w:val="235683"/>
      <w:kern w:val="0"/>
      <w:sz w:val="22"/>
      <w:lang w:val="en-GB" w:eastAsia="en-US"/>
    </w:rPr>
  </w:style>
  <w:style w:type="character" w:customStyle="1" w:styleId="8Char">
    <w:name w:val="标题 8 Char"/>
    <w:basedOn w:val="a0"/>
    <w:link w:val="8"/>
    <w:uiPriority w:val="99"/>
    <w:locked/>
    <w:rsid w:val="001C49C6"/>
    <w:rPr>
      <w:rFonts w:ascii="Book Antiqua" w:eastAsia="Times New Roman" w:hAnsi="Book Antiqua" w:cs="Times New Roman"/>
      <w:color w:val="3F6FA2"/>
      <w:kern w:val="0"/>
      <w:sz w:val="22"/>
      <w:lang w:val="en-GB" w:eastAsia="en-US"/>
    </w:rPr>
  </w:style>
  <w:style w:type="character" w:customStyle="1" w:styleId="9Char">
    <w:name w:val="标题 9 Char"/>
    <w:basedOn w:val="a0"/>
    <w:link w:val="9"/>
    <w:uiPriority w:val="99"/>
    <w:locked/>
    <w:rsid w:val="001C49C6"/>
    <w:rPr>
      <w:rFonts w:ascii="Book Antiqua" w:eastAsia="Times New Roman" w:hAnsi="Book Antiqua" w:cs="Times New Roman"/>
      <w:color w:val="5B89C1"/>
      <w:kern w:val="0"/>
      <w:sz w:val="20"/>
      <w:lang w:val="en-GB" w:eastAsia="en-US"/>
    </w:rPr>
  </w:style>
  <w:style w:type="paragraph" w:styleId="a3">
    <w:name w:val="header"/>
    <w:basedOn w:val="a"/>
    <w:link w:val="Char"/>
    <w:uiPriority w:val="99"/>
    <w:rsid w:val="001C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C49C6"/>
    <w:rPr>
      <w:rFonts w:cs="Times New Roman"/>
      <w:sz w:val="18"/>
      <w:szCs w:val="18"/>
    </w:rPr>
  </w:style>
  <w:style w:type="paragraph" w:styleId="a4">
    <w:name w:val="footer"/>
    <w:basedOn w:val="a"/>
    <w:link w:val="Char0"/>
    <w:uiPriority w:val="99"/>
    <w:rsid w:val="001C49C6"/>
    <w:pPr>
      <w:tabs>
        <w:tab w:val="center" w:pos="4153"/>
        <w:tab w:val="right" w:pos="8306"/>
      </w:tabs>
      <w:snapToGrid w:val="0"/>
    </w:pPr>
    <w:rPr>
      <w:sz w:val="18"/>
      <w:szCs w:val="18"/>
    </w:rPr>
  </w:style>
  <w:style w:type="character" w:customStyle="1" w:styleId="Char0">
    <w:name w:val="页脚 Char"/>
    <w:basedOn w:val="a0"/>
    <w:link w:val="a4"/>
    <w:uiPriority w:val="99"/>
    <w:locked/>
    <w:rsid w:val="001C49C6"/>
    <w:rPr>
      <w:rFonts w:cs="Times New Roman"/>
      <w:sz w:val="18"/>
      <w:szCs w:val="18"/>
    </w:rPr>
  </w:style>
  <w:style w:type="paragraph" w:styleId="10">
    <w:name w:val="toc 1"/>
    <w:basedOn w:val="a"/>
    <w:uiPriority w:val="99"/>
    <w:rsid w:val="001C49C6"/>
  </w:style>
  <w:style w:type="paragraph" w:styleId="20">
    <w:name w:val="toc 2"/>
    <w:basedOn w:val="a"/>
    <w:uiPriority w:val="99"/>
    <w:rsid w:val="001C49C6"/>
  </w:style>
  <w:style w:type="paragraph" w:styleId="30">
    <w:name w:val="toc 3"/>
    <w:basedOn w:val="a"/>
    <w:uiPriority w:val="99"/>
    <w:rsid w:val="001C49C6"/>
  </w:style>
  <w:style w:type="paragraph" w:styleId="40">
    <w:name w:val="toc 4"/>
    <w:basedOn w:val="a"/>
    <w:uiPriority w:val="99"/>
    <w:rsid w:val="001C49C6"/>
  </w:style>
  <w:style w:type="paragraph" w:styleId="50">
    <w:name w:val="toc 5"/>
    <w:basedOn w:val="a"/>
    <w:uiPriority w:val="99"/>
    <w:rsid w:val="001C49C6"/>
  </w:style>
  <w:style w:type="paragraph" w:styleId="60">
    <w:name w:val="toc 6"/>
    <w:basedOn w:val="a"/>
    <w:uiPriority w:val="99"/>
    <w:rsid w:val="001C49C6"/>
  </w:style>
  <w:style w:type="paragraph" w:styleId="70">
    <w:name w:val="toc 7"/>
    <w:basedOn w:val="a"/>
    <w:uiPriority w:val="99"/>
    <w:rsid w:val="001C49C6"/>
  </w:style>
  <w:style w:type="paragraph" w:styleId="80">
    <w:name w:val="toc 8"/>
    <w:basedOn w:val="a"/>
    <w:uiPriority w:val="99"/>
    <w:rsid w:val="001C49C6"/>
  </w:style>
  <w:style w:type="paragraph" w:styleId="90">
    <w:name w:val="toc 9"/>
    <w:basedOn w:val="a"/>
    <w:uiPriority w:val="99"/>
    <w:rsid w:val="001C49C6"/>
  </w:style>
  <w:style w:type="character" w:styleId="a5">
    <w:name w:val="annotation reference"/>
    <w:basedOn w:val="a0"/>
    <w:uiPriority w:val="99"/>
    <w:rsid w:val="001C49C6"/>
    <w:rPr>
      <w:rFonts w:cs="Times New Roman"/>
      <w:sz w:val="16"/>
    </w:rPr>
  </w:style>
  <w:style w:type="paragraph" w:customStyle="1" w:styleId="TableList">
    <w:name w:val="Table List"/>
    <w:basedOn w:val="a"/>
    <w:uiPriority w:val="99"/>
    <w:rsid w:val="001C49C6"/>
    <w:pPr>
      <w:ind w:left="300" w:hanging="300"/>
    </w:pPr>
    <w:rPr>
      <w:sz w:val="20"/>
    </w:rPr>
  </w:style>
  <w:style w:type="paragraph" w:customStyle="1" w:styleId="List8">
    <w:name w:val="List 8"/>
    <w:basedOn w:val="a"/>
    <w:uiPriority w:val="99"/>
    <w:rsid w:val="001C49C6"/>
    <w:rPr>
      <w:sz w:val="22"/>
    </w:rPr>
  </w:style>
  <w:style w:type="character" w:customStyle="1" w:styleId="Cross-reference">
    <w:name w:val="Cross-reference"/>
    <w:uiPriority w:val="99"/>
    <w:rsid w:val="001C49C6"/>
    <w:rPr>
      <w:color w:val="9900FF"/>
    </w:rPr>
  </w:style>
  <w:style w:type="paragraph" w:customStyle="1" w:styleId="TableNote">
    <w:name w:val="Table Note"/>
    <w:basedOn w:val="a"/>
    <w:uiPriority w:val="99"/>
    <w:rsid w:val="001C49C6"/>
    <w:rPr>
      <w:sz w:val="18"/>
    </w:rPr>
  </w:style>
  <w:style w:type="paragraph" w:customStyle="1" w:styleId="Authors">
    <w:name w:val="Authors"/>
    <w:basedOn w:val="a"/>
    <w:uiPriority w:val="99"/>
    <w:rsid w:val="001C49C6"/>
    <w:pPr>
      <w:spacing w:before="360" w:after="120" w:line="360" w:lineRule="exact"/>
    </w:pPr>
    <w:rPr>
      <w:sz w:val="28"/>
    </w:rPr>
  </w:style>
  <w:style w:type="paragraph" w:customStyle="1" w:styleId="Note">
    <w:name w:val="Note"/>
    <w:basedOn w:val="a"/>
    <w:uiPriority w:val="99"/>
    <w:rsid w:val="001C49C6"/>
    <w:pPr>
      <w:spacing w:line="360" w:lineRule="exact"/>
    </w:pPr>
    <w:rPr>
      <w:color w:val="B77540"/>
      <w:sz w:val="18"/>
    </w:rPr>
  </w:style>
  <w:style w:type="paragraph" w:customStyle="1" w:styleId="Copyright">
    <w:name w:val="Copyright"/>
    <w:basedOn w:val="a"/>
    <w:uiPriority w:val="99"/>
    <w:rsid w:val="001C49C6"/>
    <w:rPr>
      <w:color w:val="F7B580"/>
      <w:sz w:val="18"/>
    </w:rPr>
  </w:style>
  <w:style w:type="paragraph" w:styleId="a6">
    <w:name w:val="footnote text"/>
    <w:basedOn w:val="a"/>
    <w:link w:val="Char1"/>
    <w:uiPriority w:val="99"/>
    <w:rsid w:val="001C49C6"/>
    <w:rPr>
      <w:lang w:eastAsia="zh-CN"/>
    </w:rPr>
  </w:style>
  <w:style w:type="character" w:customStyle="1" w:styleId="Char1">
    <w:name w:val="脚注文本 Char"/>
    <w:basedOn w:val="a0"/>
    <w:link w:val="a6"/>
    <w:uiPriority w:val="99"/>
    <w:locked/>
    <w:rsid w:val="001C49C6"/>
    <w:rPr>
      <w:rFonts w:ascii="Book Antiqua" w:eastAsia="Times New Roman" w:hAnsi="Book Antiqua" w:cs="Times New Roman"/>
      <w:kern w:val="0"/>
      <w:sz w:val="24"/>
      <w:lang w:val="en-GB"/>
    </w:rPr>
  </w:style>
  <w:style w:type="paragraph" w:customStyle="1" w:styleId="Formula">
    <w:name w:val="Formula"/>
    <w:basedOn w:val="a"/>
    <w:uiPriority w:val="99"/>
    <w:rsid w:val="001C49C6"/>
    <w:pPr>
      <w:spacing w:before="120" w:after="120" w:line="330" w:lineRule="exact"/>
    </w:pPr>
    <w:rPr>
      <w:sz w:val="22"/>
    </w:rPr>
  </w:style>
  <w:style w:type="paragraph" w:customStyle="1" w:styleId="ChapterNumber">
    <w:name w:val="Chapter Number"/>
    <w:basedOn w:val="a"/>
    <w:uiPriority w:val="99"/>
    <w:rsid w:val="001C49C6"/>
  </w:style>
  <w:style w:type="paragraph" w:customStyle="1" w:styleId="Abstract">
    <w:name w:val="Abstract"/>
    <w:basedOn w:val="a"/>
    <w:uiPriority w:val="99"/>
    <w:rsid w:val="001C49C6"/>
    <w:pPr>
      <w:spacing w:before="120" w:after="120" w:line="360" w:lineRule="exact"/>
      <w:ind w:left="1440" w:right="1440"/>
      <w:jc w:val="both"/>
    </w:pPr>
    <w:rPr>
      <w:sz w:val="22"/>
    </w:rPr>
  </w:style>
  <w:style w:type="character" w:styleId="a7">
    <w:name w:val="footnote reference"/>
    <w:basedOn w:val="a0"/>
    <w:uiPriority w:val="99"/>
    <w:rsid w:val="001C49C6"/>
    <w:rPr>
      <w:rFonts w:cs="Times New Roman"/>
      <w:vertAlign w:val="superscript"/>
    </w:rPr>
  </w:style>
  <w:style w:type="paragraph" w:customStyle="1" w:styleId="Keywords">
    <w:name w:val="Keywords"/>
    <w:basedOn w:val="a"/>
    <w:uiPriority w:val="99"/>
    <w:rsid w:val="001C49C6"/>
    <w:pPr>
      <w:spacing w:line="330" w:lineRule="exact"/>
      <w:ind w:left="1000"/>
    </w:pPr>
    <w:rPr>
      <w:sz w:val="22"/>
    </w:rPr>
  </w:style>
  <w:style w:type="character" w:customStyle="1" w:styleId="Name">
    <w:name w:val="Name"/>
    <w:uiPriority w:val="99"/>
    <w:rsid w:val="001C49C6"/>
    <w:rPr>
      <w:color w:val="22B14C"/>
    </w:rPr>
  </w:style>
  <w:style w:type="paragraph" w:customStyle="1" w:styleId="BibEntry">
    <w:name w:val="Bib Entry"/>
    <w:basedOn w:val="a"/>
    <w:uiPriority w:val="99"/>
    <w:rsid w:val="001C49C6"/>
    <w:pPr>
      <w:spacing w:line="330" w:lineRule="exact"/>
      <w:ind w:left="570" w:hanging="570"/>
      <w:jc w:val="both"/>
    </w:pPr>
    <w:rPr>
      <w:sz w:val="22"/>
    </w:rPr>
  </w:style>
  <w:style w:type="character" w:customStyle="1" w:styleId="Grant">
    <w:name w:val="Grant"/>
    <w:uiPriority w:val="99"/>
    <w:rsid w:val="001C49C6"/>
    <w:rPr>
      <w:color w:val="6F3198"/>
    </w:rPr>
  </w:style>
  <w:style w:type="paragraph" w:customStyle="1" w:styleId="SubheadingAbstract">
    <w:name w:val="Subheading Abstract"/>
    <w:basedOn w:val="a"/>
    <w:next w:val="a"/>
    <w:uiPriority w:val="99"/>
    <w:rsid w:val="001C49C6"/>
    <w:pPr>
      <w:keepNext/>
      <w:keepLines/>
      <w:outlineLvl w:val="7"/>
    </w:pPr>
  </w:style>
  <w:style w:type="paragraph" w:styleId="a8">
    <w:name w:val="endnote text"/>
    <w:basedOn w:val="a"/>
    <w:link w:val="Char2"/>
    <w:uiPriority w:val="99"/>
    <w:rsid w:val="001C49C6"/>
  </w:style>
  <w:style w:type="character" w:customStyle="1" w:styleId="Char2">
    <w:name w:val="尾注文本 Char"/>
    <w:basedOn w:val="a0"/>
    <w:link w:val="a8"/>
    <w:uiPriority w:val="99"/>
    <w:locked/>
    <w:rsid w:val="001C49C6"/>
    <w:rPr>
      <w:rFonts w:ascii="Book Antiqua" w:eastAsia="Times New Roman" w:hAnsi="Book Antiqua" w:cs="Times New Roman"/>
      <w:kern w:val="0"/>
      <w:sz w:val="24"/>
      <w:lang w:val="en-GB" w:eastAsia="en-US"/>
    </w:rPr>
  </w:style>
  <w:style w:type="paragraph" w:styleId="a9">
    <w:name w:val="Block Text"/>
    <w:basedOn w:val="a"/>
    <w:uiPriority w:val="99"/>
    <w:rsid w:val="001C49C6"/>
    <w:pPr>
      <w:spacing w:line="360" w:lineRule="exact"/>
      <w:ind w:left="1200"/>
    </w:pPr>
    <w:rPr>
      <w:sz w:val="22"/>
    </w:rPr>
  </w:style>
  <w:style w:type="character" w:styleId="aa">
    <w:name w:val="Hyperlink"/>
    <w:basedOn w:val="a0"/>
    <w:uiPriority w:val="99"/>
    <w:rsid w:val="001C49C6"/>
    <w:rPr>
      <w:rFonts w:cs="Times New Roman"/>
      <w:color w:val="0072BC"/>
      <w:u w:val="single"/>
    </w:rPr>
  </w:style>
  <w:style w:type="paragraph" w:styleId="ab">
    <w:name w:val="Title"/>
    <w:basedOn w:val="a"/>
    <w:next w:val="a"/>
    <w:link w:val="Char3"/>
    <w:uiPriority w:val="99"/>
    <w:qFormat/>
    <w:rsid w:val="001C49C6"/>
    <w:pPr>
      <w:spacing w:before="240" w:after="60"/>
      <w:jc w:val="center"/>
      <w:outlineLvl w:val="0"/>
    </w:pPr>
    <w:rPr>
      <w:rFonts w:eastAsia="Malgun Gothic"/>
      <w:b/>
      <w:bCs/>
      <w:kern w:val="28"/>
      <w:szCs w:val="32"/>
      <w:lang w:eastAsia="zh-CN"/>
    </w:rPr>
  </w:style>
  <w:style w:type="character" w:customStyle="1" w:styleId="Char3">
    <w:name w:val="标题 Char"/>
    <w:basedOn w:val="a0"/>
    <w:link w:val="ab"/>
    <w:uiPriority w:val="99"/>
    <w:locked/>
    <w:rsid w:val="001C49C6"/>
    <w:rPr>
      <w:rFonts w:ascii="Book Antiqua" w:eastAsia="Malgun Gothic" w:hAnsi="Book Antiqua" w:cs="Times New Roman"/>
      <w:b/>
      <w:bCs/>
      <w:kern w:val="28"/>
      <w:sz w:val="32"/>
      <w:szCs w:val="32"/>
      <w:lang w:val="en-GB"/>
    </w:rPr>
  </w:style>
  <w:style w:type="character" w:customStyle="1" w:styleId="NameGiven">
    <w:name w:val="Name Given"/>
    <w:uiPriority w:val="99"/>
    <w:rsid w:val="001C49C6"/>
    <w:rPr>
      <w:color w:val="FFC20E"/>
    </w:rPr>
  </w:style>
  <w:style w:type="character" w:customStyle="1" w:styleId="BibYear">
    <w:name w:val="Bib Year"/>
    <w:uiPriority w:val="99"/>
    <w:rsid w:val="001C49C6"/>
    <w:rPr>
      <w:color w:val="B77540"/>
    </w:rPr>
  </w:style>
  <w:style w:type="character" w:customStyle="1" w:styleId="BibComment">
    <w:name w:val="Bib Comment"/>
    <w:uiPriority w:val="99"/>
    <w:rsid w:val="001C49C6"/>
    <w:rPr>
      <w:color w:val="F7B580"/>
    </w:rPr>
  </w:style>
  <w:style w:type="paragraph" w:customStyle="1" w:styleId="Correspondence">
    <w:name w:val="Correspondence"/>
    <w:basedOn w:val="a"/>
    <w:uiPriority w:val="99"/>
    <w:rsid w:val="001C49C6"/>
    <w:pPr>
      <w:spacing w:line="360" w:lineRule="exact"/>
      <w:ind w:left="480" w:hanging="480"/>
    </w:pPr>
    <w:rPr>
      <w:color w:val="C0504D"/>
      <w:sz w:val="18"/>
    </w:rPr>
  </w:style>
  <w:style w:type="paragraph" w:customStyle="1" w:styleId="List7">
    <w:name w:val="List 7"/>
    <w:basedOn w:val="a"/>
    <w:uiPriority w:val="99"/>
    <w:rsid w:val="001C49C6"/>
    <w:rPr>
      <w:sz w:val="22"/>
    </w:rPr>
  </w:style>
  <w:style w:type="paragraph" w:customStyle="1" w:styleId="Biography">
    <w:name w:val="Biography"/>
    <w:basedOn w:val="a"/>
    <w:uiPriority w:val="99"/>
    <w:rsid w:val="001C49C6"/>
    <w:pPr>
      <w:spacing w:after="240" w:line="270" w:lineRule="exact"/>
      <w:ind w:left="360"/>
    </w:pPr>
    <w:rPr>
      <w:color w:val="8064A2"/>
      <w:sz w:val="20"/>
    </w:rPr>
  </w:style>
  <w:style w:type="paragraph" w:styleId="41">
    <w:name w:val="List 4"/>
    <w:basedOn w:val="a"/>
    <w:uiPriority w:val="99"/>
    <w:rsid w:val="001C49C6"/>
    <w:pPr>
      <w:spacing w:line="360" w:lineRule="exact"/>
      <w:ind w:left="240" w:hanging="600"/>
    </w:pPr>
    <w:rPr>
      <w:sz w:val="22"/>
    </w:rPr>
  </w:style>
  <w:style w:type="paragraph" w:customStyle="1" w:styleId="AbstractSubheading">
    <w:name w:val="Abstract Subheading"/>
    <w:basedOn w:val="a"/>
    <w:next w:val="a"/>
    <w:uiPriority w:val="99"/>
    <w:rsid w:val="001C49C6"/>
    <w:pPr>
      <w:keepNext/>
      <w:keepLines/>
      <w:ind w:left="1440"/>
      <w:outlineLvl w:val="8"/>
    </w:pPr>
    <w:rPr>
      <w:sz w:val="22"/>
    </w:rPr>
  </w:style>
  <w:style w:type="paragraph" w:customStyle="1" w:styleId="Glossary">
    <w:name w:val="Glossary"/>
    <w:basedOn w:val="a"/>
    <w:uiPriority w:val="99"/>
    <w:rsid w:val="001C49C6"/>
    <w:pPr>
      <w:spacing w:before="120" w:after="120" w:line="360" w:lineRule="exact"/>
    </w:pPr>
    <w:rPr>
      <w:color w:val="7D7974"/>
      <w:sz w:val="20"/>
    </w:rPr>
  </w:style>
  <w:style w:type="character" w:customStyle="1" w:styleId="BibTitle">
    <w:name w:val="Bib Title"/>
    <w:uiPriority w:val="99"/>
    <w:rsid w:val="001C49C6"/>
    <w:rPr>
      <w:color w:val="00B7EF"/>
    </w:rPr>
  </w:style>
  <w:style w:type="paragraph" w:customStyle="1" w:styleId="Acknowledgements">
    <w:name w:val="Acknowledgements"/>
    <w:basedOn w:val="a"/>
    <w:uiPriority w:val="99"/>
    <w:rsid w:val="001C49C6"/>
    <w:pPr>
      <w:spacing w:line="360" w:lineRule="exact"/>
      <w:jc w:val="both"/>
    </w:pPr>
    <w:rPr>
      <w:color w:val="0072BC"/>
      <w:sz w:val="20"/>
    </w:rPr>
  </w:style>
  <w:style w:type="character" w:customStyle="1" w:styleId="BibPage">
    <w:name w:val="Bib Page"/>
    <w:uiPriority w:val="99"/>
    <w:rsid w:val="001C49C6"/>
    <w:rPr>
      <w:color w:val="903C39"/>
    </w:rPr>
  </w:style>
  <w:style w:type="paragraph" w:styleId="ac">
    <w:name w:val="Normal Indent"/>
    <w:basedOn w:val="a"/>
    <w:uiPriority w:val="99"/>
    <w:rsid w:val="001C49C6"/>
    <w:pPr>
      <w:spacing w:line="330" w:lineRule="exact"/>
      <w:ind w:firstLine="480"/>
      <w:jc w:val="both"/>
    </w:pPr>
    <w:rPr>
      <w:rFonts w:ascii="Times New Roman" w:hAnsi="Times New Roman"/>
      <w:sz w:val="22"/>
    </w:rPr>
  </w:style>
  <w:style w:type="character" w:customStyle="1" w:styleId="BibPublisher">
    <w:name w:val="Bib Publisher"/>
    <w:uiPriority w:val="99"/>
    <w:rsid w:val="001C49C6"/>
    <w:rPr>
      <w:color w:val="6F3198"/>
    </w:rPr>
  </w:style>
  <w:style w:type="paragraph" w:styleId="ad">
    <w:name w:val="Balloon Text"/>
    <w:basedOn w:val="a"/>
    <w:link w:val="Char4"/>
    <w:uiPriority w:val="99"/>
    <w:rsid w:val="001C49C6"/>
    <w:rPr>
      <w:rFonts w:ascii="Tahoma" w:hAnsi="Tahoma"/>
      <w:sz w:val="16"/>
      <w:szCs w:val="16"/>
      <w:lang w:eastAsia="zh-CN"/>
    </w:rPr>
  </w:style>
  <w:style w:type="character" w:customStyle="1" w:styleId="Char4">
    <w:name w:val="批注框文本 Char"/>
    <w:basedOn w:val="a0"/>
    <w:link w:val="ad"/>
    <w:uiPriority w:val="99"/>
    <w:locked/>
    <w:rsid w:val="001C49C6"/>
    <w:rPr>
      <w:rFonts w:ascii="Tahoma" w:eastAsia="Times New Roman" w:hAnsi="Tahoma" w:cs="Times New Roman"/>
      <w:kern w:val="0"/>
      <w:sz w:val="16"/>
      <w:szCs w:val="16"/>
      <w:lang w:val="en-GB"/>
    </w:rPr>
  </w:style>
  <w:style w:type="paragraph" w:customStyle="1" w:styleId="Address">
    <w:name w:val="Address"/>
    <w:basedOn w:val="a"/>
    <w:uiPriority w:val="99"/>
    <w:rsid w:val="001C49C6"/>
    <w:pPr>
      <w:spacing w:after="240" w:line="270" w:lineRule="exact"/>
      <w:ind w:left="720"/>
    </w:pPr>
    <w:rPr>
      <w:color w:val="8064A2"/>
      <w:sz w:val="20"/>
    </w:rPr>
  </w:style>
  <w:style w:type="paragraph" w:customStyle="1" w:styleId="List6">
    <w:name w:val="List 6"/>
    <w:basedOn w:val="a"/>
    <w:uiPriority w:val="99"/>
    <w:rsid w:val="001C49C6"/>
    <w:rPr>
      <w:sz w:val="22"/>
    </w:rPr>
  </w:style>
  <w:style w:type="paragraph" w:styleId="ae">
    <w:name w:val="List"/>
    <w:basedOn w:val="a"/>
    <w:uiPriority w:val="99"/>
    <w:rsid w:val="001C49C6"/>
    <w:pPr>
      <w:spacing w:line="360" w:lineRule="exact"/>
      <w:ind w:left="600" w:hanging="600"/>
      <w:jc w:val="both"/>
    </w:pPr>
    <w:rPr>
      <w:sz w:val="22"/>
    </w:rPr>
  </w:style>
  <w:style w:type="paragraph" w:customStyle="1" w:styleId="TableHeadSpan">
    <w:name w:val="Table Head Span"/>
    <w:basedOn w:val="a"/>
    <w:uiPriority w:val="99"/>
    <w:rsid w:val="001C49C6"/>
  </w:style>
  <w:style w:type="character" w:customStyle="1" w:styleId="Heading">
    <w:name w:val="Heading:"/>
    <w:uiPriority w:val="99"/>
    <w:rsid w:val="001C49C6"/>
    <w:rPr>
      <w:b/>
      <w:color w:val="5B89C1"/>
    </w:rPr>
  </w:style>
  <w:style w:type="character" w:customStyle="1" w:styleId="Genbank">
    <w:name w:val="Genbank"/>
    <w:uiPriority w:val="99"/>
    <w:rsid w:val="001C49C6"/>
    <w:rPr>
      <w:color w:val="6F3198"/>
    </w:rPr>
  </w:style>
  <w:style w:type="character" w:customStyle="1" w:styleId="BibDocTitle">
    <w:name w:val="Bib DocTitle"/>
    <w:uiPriority w:val="99"/>
    <w:rsid w:val="001C49C6"/>
    <w:rPr>
      <w:color w:val="A29D96"/>
    </w:rPr>
  </w:style>
  <w:style w:type="character" w:customStyle="1" w:styleId="NameOrganization">
    <w:name w:val="Name Organization"/>
    <w:uiPriority w:val="99"/>
    <w:rsid w:val="001C49C6"/>
    <w:rPr>
      <w:color w:val="22B14C"/>
    </w:rPr>
  </w:style>
  <w:style w:type="paragraph" w:styleId="af">
    <w:name w:val="Subtitle"/>
    <w:basedOn w:val="a"/>
    <w:next w:val="a"/>
    <w:link w:val="Char5"/>
    <w:uiPriority w:val="99"/>
    <w:qFormat/>
    <w:rsid w:val="001C49C6"/>
    <w:pPr>
      <w:spacing w:after="60"/>
      <w:jc w:val="center"/>
      <w:outlineLvl w:val="1"/>
    </w:pPr>
    <w:rPr>
      <w:rFonts w:ascii="Cambria" w:eastAsia="Malgun Gothic" w:hAnsi="Cambria"/>
      <w:szCs w:val="24"/>
      <w:lang w:eastAsia="zh-CN"/>
    </w:rPr>
  </w:style>
  <w:style w:type="character" w:customStyle="1" w:styleId="Char5">
    <w:name w:val="副标题 Char"/>
    <w:basedOn w:val="a0"/>
    <w:link w:val="af"/>
    <w:uiPriority w:val="99"/>
    <w:locked/>
    <w:rsid w:val="001C49C6"/>
    <w:rPr>
      <w:rFonts w:ascii="Cambria" w:eastAsia="Malgun Gothic" w:hAnsi="Cambria" w:cs="Times New Roman"/>
      <w:kern w:val="0"/>
      <w:sz w:val="24"/>
      <w:szCs w:val="24"/>
      <w:lang w:val="en-GB"/>
    </w:rPr>
  </w:style>
  <w:style w:type="character" w:customStyle="1" w:styleId="NameScientific">
    <w:name w:val="Name Scientific"/>
    <w:uiPriority w:val="99"/>
    <w:rsid w:val="001C49C6"/>
    <w:rPr>
      <w:color w:val="6F3198"/>
    </w:rPr>
  </w:style>
  <w:style w:type="character" w:customStyle="1" w:styleId="BibIssue">
    <w:name w:val="Bib Issue"/>
    <w:uiPriority w:val="99"/>
    <w:rsid w:val="001C49C6"/>
    <w:rPr>
      <w:color w:val="FA3232"/>
    </w:rPr>
  </w:style>
  <w:style w:type="character" w:customStyle="1" w:styleId="Abbreviation">
    <w:name w:val="Abbreviation"/>
    <w:uiPriority w:val="99"/>
    <w:rsid w:val="001C49C6"/>
    <w:rPr>
      <w:color w:val="7030A0"/>
    </w:rPr>
  </w:style>
  <w:style w:type="paragraph" w:customStyle="1" w:styleId="Statement">
    <w:name w:val="Statement"/>
    <w:basedOn w:val="a"/>
    <w:uiPriority w:val="99"/>
    <w:rsid w:val="001C49C6"/>
    <w:pPr>
      <w:ind w:left="900"/>
    </w:pPr>
  </w:style>
  <w:style w:type="character" w:customStyle="1" w:styleId="BibVol">
    <w:name w:val="Bib Vol"/>
    <w:uiPriority w:val="99"/>
    <w:rsid w:val="001C49C6"/>
    <w:rPr>
      <w:color w:val="2F3699"/>
    </w:rPr>
  </w:style>
  <w:style w:type="paragraph" w:customStyle="1" w:styleId="TableHead">
    <w:name w:val="Table Head"/>
    <w:basedOn w:val="a"/>
    <w:uiPriority w:val="99"/>
    <w:rsid w:val="001C49C6"/>
    <w:rPr>
      <w:sz w:val="20"/>
    </w:rPr>
  </w:style>
  <w:style w:type="character" w:styleId="af0">
    <w:name w:val="endnote reference"/>
    <w:basedOn w:val="a0"/>
    <w:uiPriority w:val="99"/>
    <w:rsid w:val="001C49C6"/>
    <w:rPr>
      <w:rFonts w:cs="Times New Roman"/>
      <w:vertAlign w:val="superscript"/>
    </w:rPr>
  </w:style>
  <w:style w:type="paragraph" w:customStyle="1" w:styleId="Quotation">
    <w:name w:val="Quotation"/>
    <w:basedOn w:val="a"/>
    <w:uiPriority w:val="99"/>
    <w:rsid w:val="001C49C6"/>
    <w:pPr>
      <w:spacing w:line="360" w:lineRule="exact"/>
      <w:ind w:left="1440"/>
      <w:jc w:val="both"/>
    </w:pPr>
    <w:rPr>
      <w:sz w:val="22"/>
    </w:rPr>
  </w:style>
  <w:style w:type="paragraph" w:customStyle="1" w:styleId="TableBody">
    <w:name w:val="Table Body"/>
    <w:basedOn w:val="a"/>
    <w:uiPriority w:val="99"/>
    <w:rsid w:val="001C49C6"/>
    <w:pPr>
      <w:spacing w:line="360" w:lineRule="exact"/>
    </w:pPr>
    <w:rPr>
      <w:sz w:val="20"/>
    </w:rPr>
  </w:style>
  <w:style w:type="paragraph" w:styleId="21">
    <w:name w:val="List 2"/>
    <w:basedOn w:val="a"/>
    <w:uiPriority w:val="99"/>
    <w:rsid w:val="001C49C6"/>
    <w:pPr>
      <w:ind w:left="1200" w:hanging="600"/>
      <w:jc w:val="both"/>
    </w:pPr>
    <w:rPr>
      <w:sz w:val="22"/>
    </w:rPr>
  </w:style>
  <w:style w:type="paragraph" w:customStyle="1" w:styleId="QuotationSource">
    <w:name w:val="Quotation Source"/>
    <w:basedOn w:val="a"/>
    <w:uiPriority w:val="99"/>
    <w:rsid w:val="001C49C6"/>
    <w:pPr>
      <w:spacing w:line="360" w:lineRule="exact"/>
      <w:ind w:left="1440"/>
    </w:pPr>
    <w:rPr>
      <w:color w:val="000000"/>
      <w:sz w:val="22"/>
    </w:rPr>
  </w:style>
  <w:style w:type="paragraph" w:styleId="31">
    <w:name w:val="List 3"/>
    <w:basedOn w:val="a"/>
    <w:uiPriority w:val="99"/>
    <w:rsid w:val="001C49C6"/>
    <w:pPr>
      <w:spacing w:line="360" w:lineRule="exact"/>
      <w:ind w:left="1800" w:hanging="600"/>
      <w:jc w:val="both"/>
    </w:pPr>
    <w:rPr>
      <w:sz w:val="22"/>
    </w:rPr>
  </w:style>
  <w:style w:type="character" w:customStyle="1" w:styleId="GrantSponsor">
    <w:name w:val="Grant Sponsor"/>
    <w:uiPriority w:val="99"/>
    <w:rsid w:val="001C49C6"/>
    <w:rPr>
      <w:color w:val="C500C0"/>
    </w:rPr>
  </w:style>
  <w:style w:type="character" w:customStyle="1" w:styleId="CaptionLabel">
    <w:name w:val="Caption Label"/>
    <w:uiPriority w:val="99"/>
    <w:rsid w:val="001C49C6"/>
    <w:rPr>
      <w:color w:val="007CC5"/>
    </w:rPr>
  </w:style>
  <w:style w:type="paragraph" w:styleId="51">
    <w:name w:val="List 5"/>
    <w:basedOn w:val="a"/>
    <w:uiPriority w:val="99"/>
    <w:rsid w:val="001C49C6"/>
    <w:rPr>
      <w:sz w:val="22"/>
    </w:rPr>
  </w:style>
  <w:style w:type="paragraph" w:customStyle="1" w:styleId="Surtitle">
    <w:name w:val="Surtitle"/>
    <w:basedOn w:val="a"/>
    <w:uiPriority w:val="99"/>
    <w:rsid w:val="001C49C6"/>
    <w:rPr>
      <w:sz w:val="48"/>
    </w:rPr>
  </w:style>
  <w:style w:type="paragraph" w:styleId="af1">
    <w:name w:val="annotation text"/>
    <w:basedOn w:val="a"/>
    <w:link w:val="Char6"/>
    <w:uiPriority w:val="99"/>
    <w:rsid w:val="001C49C6"/>
    <w:rPr>
      <w:rFonts w:ascii="Calibri" w:hAnsi="Calibri"/>
      <w:color w:val="000000"/>
      <w:sz w:val="20"/>
      <w:lang w:eastAsia="zh-CN"/>
    </w:rPr>
  </w:style>
  <w:style w:type="character" w:customStyle="1" w:styleId="Char6">
    <w:name w:val="批注文字 Char"/>
    <w:basedOn w:val="a0"/>
    <w:link w:val="af1"/>
    <w:uiPriority w:val="99"/>
    <w:locked/>
    <w:rsid w:val="001C49C6"/>
    <w:rPr>
      <w:rFonts w:ascii="Calibri" w:eastAsia="Times New Roman" w:hAnsi="Calibri" w:cs="Times New Roman"/>
      <w:color w:val="000000"/>
      <w:kern w:val="0"/>
      <w:sz w:val="20"/>
      <w:lang w:val="en-GB"/>
    </w:rPr>
  </w:style>
  <w:style w:type="character" w:customStyle="1" w:styleId="Sequence">
    <w:name w:val="Sequence"/>
    <w:uiPriority w:val="99"/>
    <w:rsid w:val="001C49C6"/>
    <w:rPr>
      <w:color w:val="6F3198"/>
    </w:rPr>
  </w:style>
  <w:style w:type="paragraph" w:styleId="af2">
    <w:name w:val="caption"/>
    <w:basedOn w:val="a"/>
    <w:uiPriority w:val="99"/>
    <w:qFormat/>
    <w:rsid w:val="001C49C6"/>
    <w:pPr>
      <w:spacing w:before="240" w:line="360" w:lineRule="exact"/>
      <w:jc w:val="both"/>
    </w:pPr>
    <w:rPr>
      <w:color w:val="B77540"/>
      <w:sz w:val="22"/>
    </w:rPr>
  </w:style>
  <w:style w:type="paragraph" w:styleId="af3">
    <w:name w:val="No Spacing"/>
    <w:aliases w:val="Line spacing"/>
    <w:uiPriority w:val="99"/>
    <w:qFormat/>
    <w:rsid w:val="001C49C6"/>
    <w:pPr>
      <w:spacing w:line="360" w:lineRule="auto"/>
    </w:pPr>
    <w:rPr>
      <w:rFonts w:ascii="Book Antiqua" w:hAnsi="Book Antiqua"/>
      <w:kern w:val="0"/>
      <w:sz w:val="24"/>
      <w:lang w:val="en-GB" w:eastAsia="en-US"/>
    </w:rPr>
  </w:style>
  <w:style w:type="character" w:customStyle="1" w:styleId="Char7">
    <w:name w:val="批注主题 Char"/>
    <w:link w:val="af4"/>
    <w:uiPriority w:val="99"/>
    <w:semiHidden/>
    <w:locked/>
    <w:rsid w:val="001C49C6"/>
    <w:rPr>
      <w:rFonts w:ascii="Book Antiqua" w:eastAsia="Times New Roman" w:hAnsi="Book Antiqua"/>
      <w:b/>
      <w:color w:val="000000"/>
      <w:kern w:val="0"/>
      <w:sz w:val="20"/>
      <w:lang w:val="en-GB"/>
    </w:rPr>
  </w:style>
  <w:style w:type="paragraph" w:styleId="af4">
    <w:name w:val="annotation subject"/>
    <w:basedOn w:val="af1"/>
    <w:next w:val="af1"/>
    <w:link w:val="Char7"/>
    <w:uiPriority w:val="99"/>
    <w:semiHidden/>
    <w:rsid w:val="001C49C6"/>
    <w:rPr>
      <w:rFonts w:ascii="Book Antiqua" w:hAnsi="Book Antiqua"/>
      <w:b/>
      <w:bCs/>
      <w:szCs w:val="20"/>
    </w:rPr>
  </w:style>
  <w:style w:type="character" w:customStyle="1" w:styleId="CommentSubjectChar">
    <w:name w:val="Comment Subject Char"/>
    <w:basedOn w:val="Char6"/>
    <w:uiPriority w:val="99"/>
    <w:rsid w:val="001C49C6"/>
    <w:rPr>
      <w:rFonts w:ascii="Calibri" w:eastAsia="Times New Roman" w:hAnsi="Calibri" w:cs="Times New Roman"/>
      <w:color w:val="000000"/>
      <w:kern w:val="0"/>
      <w:sz w:val="22"/>
      <w:lang w:val="en-GB"/>
    </w:rPr>
  </w:style>
  <w:style w:type="character" w:customStyle="1" w:styleId="Char10">
    <w:name w:val="批注主题 Char1"/>
    <w:basedOn w:val="Char6"/>
    <w:uiPriority w:val="99"/>
    <w:semiHidden/>
    <w:rsid w:val="001C49C6"/>
    <w:rPr>
      <w:rFonts w:ascii="Calibri" w:eastAsia="Times New Roman" w:hAnsi="Calibri" w:cs="Times New Roman"/>
      <w:b/>
      <w:bCs/>
      <w:color w:val="000000"/>
      <w:kern w:val="0"/>
      <w:sz w:val="20"/>
      <w:lang w:val="en-GB"/>
    </w:rPr>
  </w:style>
  <w:style w:type="character" w:customStyle="1" w:styleId="apple-converted-space">
    <w:name w:val="apple-converted-space"/>
    <w:basedOn w:val="a0"/>
    <w:uiPriority w:val="99"/>
    <w:rsid w:val="001C49C6"/>
    <w:rPr>
      <w:rFonts w:cs="Times New Roman"/>
    </w:rPr>
  </w:style>
  <w:style w:type="character" w:styleId="af5">
    <w:name w:val="Strong"/>
    <w:basedOn w:val="a0"/>
    <w:uiPriority w:val="99"/>
    <w:qFormat/>
    <w:rsid w:val="001C49C6"/>
    <w:rPr>
      <w:rFonts w:cs="Times New Roman"/>
      <w:b/>
    </w:rPr>
  </w:style>
  <w:style w:type="paragraph" w:styleId="af6">
    <w:name w:val="Normal (Web)"/>
    <w:basedOn w:val="a"/>
    <w:uiPriority w:val="99"/>
    <w:rsid w:val="001C49C6"/>
    <w:pPr>
      <w:spacing w:before="100" w:beforeAutospacing="1" w:after="100" w:afterAutospacing="1" w:line="240" w:lineRule="auto"/>
    </w:pPr>
    <w:rPr>
      <w:rFonts w:ascii="Gulim" w:eastAsia="Gulim" w:hAnsi="Gulim" w:cs="Gulim"/>
      <w:szCs w:val="24"/>
      <w:lang w:val="en-US" w:eastAsia="ko-KR"/>
    </w:rPr>
  </w:style>
  <w:style w:type="paragraph" w:styleId="af7">
    <w:name w:val="List Paragraph"/>
    <w:basedOn w:val="a"/>
    <w:uiPriority w:val="99"/>
    <w:qFormat/>
    <w:rsid w:val="001C49C6"/>
    <w:pPr>
      <w:widowControl w:val="0"/>
      <w:wordWrap w:val="0"/>
      <w:autoSpaceDE w:val="0"/>
      <w:autoSpaceDN w:val="0"/>
      <w:spacing w:after="0" w:line="240" w:lineRule="auto"/>
      <w:ind w:leftChars="400" w:left="800"/>
      <w:jc w:val="both"/>
    </w:pPr>
    <w:rPr>
      <w:rFonts w:ascii="Malgun Gothic" w:eastAsia="Malgun Gothic" w:hAnsi="Malgun Gothic"/>
      <w:kern w:val="2"/>
      <w:sz w:val="20"/>
      <w:lang w:val="en-US" w:eastAsia="ko-KR"/>
    </w:rPr>
  </w:style>
  <w:style w:type="character" w:styleId="af8">
    <w:name w:val="FollowedHyperlink"/>
    <w:basedOn w:val="a0"/>
    <w:uiPriority w:val="99"/>
    <w:semiHidden/>
    <w:rsid w:val="001C49C6"/>
    <w:rPr>
      <w:rFonts w:cs="Times New Roman"/>
      <w:color w:val="800080"/>
      <w:u w:val="single"/>
    </w:rPr>
  </w:style>
  <w:style w:type="character" w:customStyle="1" w:styleId="Char8">
    <w:name w:val="日期 Char"/>
    <w:link w:val="af9"/>
    <w:uiPriority w:val="99"/>
    <w:semiHidden/>
    <w:locked/>
    <w:rsid w:val="001C49C6"/>
    <w:rPr>
      <w:rFonts w:ascii="Malgun Gothic" w:eastAsia="Malgun Gothic" w:hAnsi="Malgun Gothic"/>
    </w:rPr>
  </w:style>
  <w:style w:type="paragraph" w:styleId="af9">
    <w:name w:val="Date"/>
    <w:basedOn w:val="a"/>
    <w:next w:val="a"/>
    <w:link w:val="Char8"/>
    <w:uiPriority w:val="99"/>
    <w:semiHidden/>
    <w:rsid w:val="001C49C6"/>
    <w:pPr>
      <w:widowControl w:val="0"/>
      <w:wordWrap w:val="0"/>
      <w:autoSpaceDE w:val="0"/>
      <w:autoSpaceDN w:val="0"/>
      <w:spacing w:after="0" w:line="240" w:lineRule="auto"/>
      <w:jc w:val="both"/>
    </w:pPr>
    <w:rPr>
      <w:rFonts w:ascii="Malgun Gothic" w:eastAsia="Malgun Gothic" w:hAnsi="Malgun Gothic"/>
      <w:sz w:val="20"/>
      <w:szCs w:val="20"/>
      <w:lang w:val="en-US" w:eastAsia="zh-CN"/>
    </w:rPr>
  </w:style>
  <w:style w:type="character" w:customStyle="1" w:styleId="DateChar1">
    <w:name w:val="Date Char1"/>
    <w:basedOn w:val="a0"/>
    <w:uiPriority w:val="99"/>
    <w:semiHidden/>
    <w:rsid w:val="00D87070"/>
    <w:rPr>
      <w:rFonts w:ascii="Book Antiqua" w:hAnsi="Book Antiqua"/>
      <w:kern w:val="0"/>
      <w:sz w:val="24"/>
      <w:lang w:val="en-GB" w:eastAsia="en-US"/>
    </w:rPr>
  </w:style>
  <w:style w:type="character" w:customStyle="1" w:styleId="Char11">
    <w:name w:val="日期 Char1"/>
    <w:basedOn w:val="a0"/>
    <w:uiPriority w:val="99"/>
    <w:semiHidden/>
    <w:rsid w:val="001C49C6"/>
    <w:rPr>
      <w:rFonts w:ascii="Book Antiqua" w:eastAsia="Times New Roman" w:hAnsi="Book Antiqua" w:cs="Times New Roman"/>
      <w:kern w:val="0"/>
      <w:sz w:val="24"/>
      <w:lang w:val="en-GB" w:eastAsia="en-US"/>
    </w:rPr>
  </w:style>
  <w:style w:type="character" w:customStyle="1" w:styleId="highlight">
    <w:name w:val="highlight"/>
    <w:basedOn w:val="a0"/>
    <w:uiPriority w:val="99"/>
    <w:rsid w:val="001C49C6"/>
    <w:rPr>
      <w:rFonts w:cs="Times New Roman"/>
    </w:rPr>
  </w:style>
  <w:style w:type="character" w:customStyle="1" w:styleId="Char9">
    <w:name w:val="文档结构图 Char"/>
    <w:link w:val="afa"/>
    <w:uiPriority w:val="99"/>
    <w:semiHidden/>
    <w:locked/>
    <w:rsid w:val="001C49C6"/>
    <w:rPr>
      <w:rFonts w:ascii="Gulim" w:eastAsia="Gulim" w:hAnsi="Malgun Gothic"/>
      <w:sz w:val="18"/>
    </w:rPr>
  </w:style>
  <w:style w:type="paragraph" w:styleId="afa">
    <w:name w:val="Document Map"/>
    <w:basedOn w:val="a"/>
    <w:link w:val="Char9"/>
    <w:uiPriority w:val="99"/>
    <w:semiHidden/>
    <w:rsid w:val="001C49C6"/>
    <w:pPr>
      <w:widowControl w:val="0"/>
      <w:wordWrap w:val="0"/>
      <w:autoSpaceDE w:val="0"/>
      <w:autoSpaceDN w:val="0"/>
      <w:spacing w:after="0" w:line="240" w:lineRule="auto"/>
      <w:jc w:val="both"/>
    </w:pPr>
    <w:rPr>
      <w:rFonts w:ascii="Gulim" w:eastAsia="Gulim" w:hAnsi="Malgun Gothic"/>
      <w:sz w:val="18"/>
      <w:szCs w:val="18"/>
      <w:lang w:val="en-US" w:eastAsia="zh-CN"/>
    </w:rPr>
  </w:style>
  <w:style w:type="character" w:customStyle="1" w:styleId="DocumentMapChar1">
    <w:name w:val="Document Map Char1"/>
    <w:basedOn w:val="a0"/>
    <w:uiPriority w:val="99"/>
    <w:semiHidden/>
    <w:rsid w:val="00D87070"/>
    <w:rPr>
      <w:rFonts w:ascii="Times New Roman" w:hAnsi="Times New Roman"/>
      <w:kern w:val="0"/>
      <w:sz w:val="0"/>
      <w:szCs w:val="0"/>
      <w:lang w:val="en-GB" w:eastAsia="en-US"/>
    </w:rPr>
  </w:style>
  <w:style w:type="character" w:customStyle="1" w:styleId="Char12">
    <w:name w:val="文档结构图 Char1"/>
    <w:basedOn w:val="a0"/>
    <w:uiPriority w:val="99"/>
    <w:semiHidden/>
    <w:rsid w:val="001C49C6"/>
    <w:rPr>
      <w:rFonts w:ascii="宋体" w:eastAsia="宋体" w:hAnsi="Book Antiqua" w:cs="Times New Roman"/>
      <w:kern w:val="0"/>
      <w:sz w:val="18"/>
      <w:szCs w:val="18"/>
      <w:lang w:val="en-GB" w:eastAsia="en-US"/>
    </w:rPr>
  </w:style>
  <w:style w:type="paragraph" w:styleId="afb">
    <w:name w:val="Revision"/>
    <w:hidden/>
    <w:uiPriority w:val="99"/>
    <w:semiHidden/>
    <w:rsid w:val="001C49C6"/>
    <w:rPr>
      <w:rFonts w:ascii="Malgun Gothic" w:eastAsia="Malgun Gothic" w:hAnsi="Malgun Gothic"/>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9C6"/>
    <w:pPr>
      <w:spacing w:after="200" w:line="360" w:lineRule="auto"/>
    </w:pPr>
    <w:rPr>
      <w:rFonts w:ascii="Book Antiqua" w:hAnsi="Book Antiqua"/>
      <w:kern w:val="0"/>
      <w:sz w:val="24"/>
      <w:lang w:val="en-GB" w:eastAsia="en-US"/>
    </w:rPr>
  </w:style>
  <w:style w:type="paragraph" w:styleId="1">
    <w:name w:val="heading 1"/>
    <w:basedOn w:val="a"/>
    <w:next w:val="a"/>
    <w:link w:val="1Char"/>
    <w:uiPriority w:val="99"/>
    <w:qFormat/>
    <w:rsid w:val="001C49C6"/>
    <w:pPr>
      <w:keepNext/>
      <w:spacing w:before="240" w:after="60"/>
      <w:outlineLvl w:val="0"/>
    </w:pPr>
    <w:rPr>
      <w:rFonts w:eastAsia="Malgun Gothic"/>
      <w:b/>
      <w:bCs/>
      <w:kern w:val="32"/>
      <w:szCs w:val="32"/>
      <w:lang w:eastAsia="zh-CN"/>
    </w:rPr>
  </w:style>
  <w:style w:type="paragraph" w:styleId="2">
    <w:name w:val="heading 2"/>
    <w:basedOn w:val="a"/>
    <w:next w:val="a"/>
    <w:link w:val="2Char"/>
    <w:uiPriority w:val="99"/>
    <w:qFormat/>
    <w:rsid w:val="001C49C6"/>
    <w:pPr>
      <w:keepNext/>
      <w:spacing w:before="240" w:after="60"/>
      <w:outlineLvl w:val="1"/>
    </w:pPr>
    <w:rPr>
      <w:rFonts w:eastAsia="Malgun Gothic"/>
      <w:b/>
      <w:bCs/>
      <w:i/>
      <w:iCs/>
      <w:szCs w:val="28"/>
      <w:lang w:eastAsia="zh-CN"/>
    </w:rPr>
  </w:style>
  <w:style w:type="paragraph" w:styleId="3">
    <w:name w:val="heading 3"/>
    <w:basedOn w:val="a"/>
    <w:next w:val="a"/>
    <w:link w:val="3Char"/>
    <w:uiPriority w:val="99"/>
    <w:qFormat/>
    <w:rsid w:val="001C49C6"/>
    <w:pPr>
      <w:keepNext/>
      <w:spacing w:before="240" w:after="60"/>
      <w:outlineLvl w:val="2"/>
    </w:pPr>
    <w:rPr>
      <w:rFonts w:eastAsia="Malgun Gothic"/>
      <w:bCs/>
      <w:szCs w:val="26"/>
      <w:lang w:eastAsia="zh-CN"/>
    </w:rPr>
  </w:style>
  <w:style w:type="paragraph" w:styleId="4">
    <w:name w:val="heading 4"/>
    <w:basedOn w:val="a"/>
    <w:next w:val="a"/>
    <w:link w:val="4Char"/>
    <w:uiPriority w:val="99"/>
    <w:qFormat/>
    <w:rsid w:val="001C49C6"/>
    <w:pPr>
      <w:keepNext/>
      <w:keepLines/>
      <w:spacing w:before="240" w:after="0" w:line="360" w:lineRule="exact"/>
      <w:outlineLvl w:val="3"/>
    </w:pPr>
    <w:rPr>
      <w:color w:val="235683"/>
      <w:sz w:val="26"/>
    </w:rPr>
  </w:style>
  <w:style w:type="paragraph" w:styleId="5">
    <w:name w:val="heading 5"/>
    <w:basedOn w:val="a"/>
    <w:next w:val="a"/>
    <w:link w:val="5Char"/>
    <w:uiPriority w:val="99"/>
    <w:qFormat/>
    <w:rsid w:val="001C49C6"/>
    <w:pPr>
      <w:keepNext/>
      <w:keepLines/>
      <w:spacing w:before="240" w:after="0" w:line="360" w:lineRule="exact"/>
      <w:outlineLvl w:val="4"/>
    </w:pPr>
    <w:rPr>
      <w:b/>
      <w:color w:val="3F6FA2"/>
    </w:rPr>
  </w:style>
  <w:style w:type="paragraph" w:styleId="6">
    <w:name w:val="heading 6"/>
    <w:basedOn w:val="a"/>
    <w:next w:val="a"/>
    <w:link w:val="6Char"/>
    <w:uiPriority w:val="99"/>
    <w:qFormat/>
    <w:rsid w:val="001C49C6"/>
    <w:pPr>
      <w:keepNext/>
      <w:keepLines/>
      <w:spacing w:before="240" w:after="0" w:line="360" w:lineRule="exact"/>
      <w:outlineLvl w:val="5"/>
    </w:pPr>
    <w:rPr>
      <w:color w:val="5B89C1"/>
    </w:rPr>
  </w:style>
  <w:style w:type="paragraph" w:styleId="7">
    <w:name w:val="heading 7"/>
    <w:basedOn w:val="a"/>
    <w:next w:val="a"/>
    <w:link w:val="7Char"/>
    <w:uiPriority w:val="99"/>
    <w:qFormat/>
    <w:rsid w:val="001C49C6"/>
    <w:pPr>
      <w:keepNext/>
      <w:keepLines/>
      <w:spacing w:before="240" w:after="0"/>
      <w:outlineLvl w:val="6"/>
    </w:pPr>
    <w:rPr>
      <w:b/>
      <w:color w:val="235683"/>
      <w:sz w:val="22"/>
    </w:rPr>
  </w:style>
  <w:style w:type="paragraph" w:styleId="8">
    <w:name w:val="heading 8"/>
    <w:basedOn w:val="a"/>
    <w:next w:val="a"/>
    <w:link w:val="8Char"/>
    <w:uiPriority w:val="99"/>
    <w:qFormat/>
    <w:rsid w:val="001C49C6"/>
    <w:pPr>
      <w:keepNext/>
      <w:keepLines/>
      <w:spacing w:before="240" w:after="0"/>
      <w:outlineLvl w:val="7"/>
    </w:pPr>
    <w:rPr>
      <w:color w:val="3F6FA2"/>
      <w:sz w:val="22"/>
    </w:rPr>
  </w:style>
  <w:style w:type="paragraph" w:styleId="9">
    <w:name w:val="heading 9"/>
    <w:basedOn w:val="a"/>
    <w:next w:val="a"/>
    <w:link w:val="9Char"/>
    <w:uiPriority w:val="99"/>
    <w:qFormat/>
    <w:rsid w:val="001C49C6"/>
    <w:pPr>
      <w:keepNext/>
      <w:keepLines/>
      <w:spacing w:before="240" w:after="0"/>
      <w:outlineLvl w:val="8"/>
    </w:pPr>
    <w:rPr>
      <w:color w:val="5B89C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C49C6"/>
    <w:rPr>
      <w:rFonts w:ascii="Book Antiqua" w:eastAsia="Malgun Gothic" w:hAnsi="Book Antiqua" w:cs="Times New Roman"/>
      <w:b/>
      <w:bCs/>
      <w:kern w:val="32"/>
      <w:sz w:val="32"/>
      <w:szCs w:val="32"/>
      <w:lang w:val="en-GB"/>
    </w:rPr>
  </w:style>
  <w:style w:type="character" w:customStyle="1" w:styleId="2Char">
    <w:name w:val="标题 2 Char"/>
    <w:basedOn w:val="a0"/>
    <w:link w:val="2"/>
    <w:uiPriority w:val="99"/>
    <w:locked/>
    <w:rsid w:val="001C49C6"/>
    <w:rPr>
      <w:rFonts w:ascii="Book Antiqua" w:eastAsia="Malgun Gothic" w:hAnsi="Book Antiqua" w:cs="Times New Roman"/>
      <w:b/>
      <w:bCs/>
      <w:i/>
      <w:iCs/>
      <w:kern w:val="0"/>
      <w:sz w:val="28"/>
      <w:szCs w:val="28"/>
      <w:lang w:val="en-GB"/>
    </w:rPr>
  </w:style>
  <w:style w:type="character" w:customStyle="1" w:styleId="3Char">
    <w:name w:val="标题 3 Char"/>
    <w:basedOn w:val="a0"/>
    <w:link w:val="3"/>
    <w:uiPriority w:val="99"/>
    <w:locked/>
    <w:rsid w:val="001C49C6"/>
    <w:rPr>
      <w:rFonts w:ascii="Book Antiqua" w:eastAsia="Malgun Gothic" w:hAnsi="Book Antiqua" w:cs="Times New Roman"/>
      <w:bCs/>
      <w:kern w:val="0"/>
      <w:sz w:val="26"/>
      <w:szCs w:val="26"/>
      <w:lang w:val="en-GB"/>
    </w:rPr>
  </w:style>
  <w:style w:type="character" w:customStyle="1" w:styleId="4Char">
    <w:name w:val="标题 4 Char"/>
    <w:basedOn w:val="a0"/>
    <w:link w:val="4"/>
    <w:uiPriority w:val="99"/>
    <w:locked/>
    <w:rsid w:val="001C49C6"/>
    <w:rPr>
      <w:rFonts w:ascii="Book Antiqua" w:eastAsia="Times New Roman" w:hAnsi="Book Antiqua" w:cs="Times New Roman"/>
      <w:color w:val="235683"/>
      <w:kern w:val="0"/>
      <w:sz w:val="26"/>
      <w:lang w:val="en-GB" w:eastAsia="en-US"/>
    </w:rPr>
  </w:style>
  <w:style w:type="character" w:customStyle="1" w:styleId="5Char">
    <w:name w:val="标题 5 Char"/>
    <w:basedOn w:val="a0"/>
    <w:link w:val="5"/>
    <w:uiPriority w:val="99"/>
    <w:locked/>
    <w:rsid w:val="001C49C6"/>
    <w:rPr>
      <w:rFonts w:ascii="Book Antiqua" w:eastAsia="Times New Roman" w:hAnsi="Book Antiqua" w:cs="Times New Roman"/>
      <w:b/>
      <w:color w:val="3F6FA2"/>
      <w:kern w:val="0"/>
      <w:sz w:val="24"/>
      <w:lang w:val="en-GB" w:eastAsia="en-US"/>
    </w:rPr>
  </w:style>
  <w:style w:type="character" w:customStyle="1" w:styleId="6Char">
    <w:name w:val="标题 6 Char"/>
    <w:basedOn w:val="a0"/>
    <w:link w:val="6"/>
    <w:uiPriority w:val="99"/>
    <w:locked/>
    <w:rsid w:val="001C49C6"/>
    <w:rPr>
      <w:rFonts w:ascii="Book Antiqua" w:eastAsia="Times New Roman" w:hAnsi="Book Antiqua" w:cs="Times New Roman"/>
      <w:color w:val="5B89C1"/>
      <w:kern w:val="0"/>
      <w:sz w:val="24"/>
      <w:lang w:val="en-GB" w:eastAsia="en-US"/>
    </w:rPr>
  </w:style>
  <w:style w:type="character" w:customStyle="1" w:styleId="7Char">
    <w:name w:val="标题 7 Char"/>
    <w:basedOn w:val="a0"/>
    <w:link w:val="7"/>
    <w:uiPriority w:val="99"/>
    <w:locked/>
    <w:rsid w:val="001C49C6"/>
    <w:rPr>
      <w:rFonts w:ascii="Book Antiqua" w:eastAsia="Times New Roman" w:hAnsi="Book Antiqua" w:cs="Times New Roman"/>
      <w:b/>
      <w:color w:val="235683"/>
      <w:kern w:val="0"/>
      <w:sz w:val="22"/>
      <w:lang w:val="en-GB" w:eastAsia="en-US"/>
    </w:rPr>
  </w:style>
  <w:style w:type="character" w:customStyle="1" w:styleId="8Char">
    <w:name w:val="标题 8 Char"/>
    <w:basedOn w:val="a0"/>
    <w:link w:val="8"/>
    <w:uiPriority w:val="99"/>
    <w:locked/>
    <w:rsid w:val="001C49C6"/>
    <w:rPr>
      <w:rFonts w:ascii="Book Antiqua" w:eastAsia="Times New Roman" w:hAnsi="Book Antiqua" w:cs="Times New Roman"/>
      <w:color w:val="3F6FA2"/>
      <w:kern w:val="0"/>
      <w:sz w:val="22"/>
      <w:lang w:val="en-GB" w:eastAsia="en-US"/>
    </w:rPr>
  </w:style>
  <w:style w:type="character" w:customStyle="1" w:styleId="9Char">
    <w:name w:val="标题 9 Char"/>
    <w:basedOn w:val="a0"/>
    <w:link w:val="9"/>
    <w:uiPriority w:val="99"/>
    <w:locked/>
    <w:rsid w:val="001C49C6"/>
    <w:rPr>
      <w:rFonts w:ascii="Book Antiqua" w:eastAsia="Times New Roman" w:hAnsi="Book Antiqua" w:cs="Times New Roman"/>
      <w:color w:val="5B89C1"/>
      <w:kern w:val="0"/>
      <w:sz w:val="20"/>
      <w:lang w:val="en-GB" w:eastAsia="en-US"/>
    </w:rPr>
  </w:style>
  <w:style w:type="paragraph" w:styleId="a3">
    <w:name w:val="header"/>
    <w:basedOn w:val="a"/>
    <w:link w:val="Char"/>
    <w:uiPriority w:val="99"/>
    <w:rsid w:val="001C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C49C6"/>
    <w:rPr>
      <w:rFonts w:cs="Times New Roman"/>
      <w:sz w:val="18"/>
      <w:szCs w:val="18"/>
    </w:rPr>
  </w:style>
  <w:style w:type="paragraph" w:styleId="a4">
    <w:name w:val="footer"/>
    <w:basedOn w:val="a"/>
    <w:link w:val="Char0"/>
    <w:uiPriority w:val="99"/>
    <w:rsid w:val="001C49C6"/>
    <w:pPr>
      <w:tabs>
        <w:tab w:val="center" w:pos="4153"/>
        <w:tab w:val="right" w:pos="8306"/>
      </w:tabs>
      <w:snapToGrid w:val="0"/>
    </w:pPr>
    <w:rPr>
      <w:sz w:val="18"/>
      <w:szCs w:val="18"/>
    </w:rPr>
  </w:style>
  <w:style w:type="character" w:customStyle="1" w:styleId="Char0">
    <w:name w:val="页脚 Char"/>
    <w:basedOn w:val="a0"/>
    <w:link w:val="a4"/>
    <w:uiPriority w:val="99"/>
    <w:locked/>
    <w:rsid w:val="001C49C6"/>
    <w:rPr>
      <w:rFonts w:cs="Times New Roman"/>
      <w:sz w:val="18"/>
      <w:szCs w:val="18"/>
    </w:rPr>
  </w:style>
  <w:style w:type="paragraph" w:styleId="10">
    <w:name w:val="toc 1"/>
    <w:basedOn w:val="a"/>
    <w:uiPriority w:val="99"/>
    <w:rsid w:val="001C49C6"/>
  </w:style>
  <w:style w:type="paragraph" w:styleId="20">
    <w:name w:val="toc 2"/>
    <w:basedOn w:val="a"/>
    <w:uiPriority w:val="99"/>
    <w:rsid w:val="001C49C6"/>
  </w:style>
  <w:style w:type="paragraph" w:styleId="30">
    <w:name w:val="toc 3"/>
    <w:basedOn w:val="a"/>
    <w:uiPriority w:val="99"/>
    <w:rsid w:val="001C49C6"/>
  </w:style>
  <w:style w:type="paragraph" w:styleId="40">
    <w:name w:val="toc 4"/>
    <w:basedOn w:val="a"/>
    <w:uiPriority w:val="99"/>
    <w:rsid w:val="001C49C6"/>
  </w:style>
  <w:style w:type="paragraph" w:styleId="50">
    <w:name w:val="toc 5"/>
    <w:basedOn w:val="a"/>
    <w:uiPriority w:val="99"/>
    <w:rsid w:val="001C49C6"/>
  </w:style>
  <w:style w:type="paragraph" w:styleId="60">
    <w:name w:val="toc 6"/>
    <w:basedOn w:val="a"/>
    <w:uiPriority w:val="99"/>
    <w:rsid w:val="001C49C6"/>
  </w:style>
  <w:style w:type="paragraph" w:styleId="70">
    <w:name w:val="toc 7"/>
    <w:basedOn w:val="a"/>
    <w:uiPriority w:val="99"/>
    <w:rsid w:val="001C49C6"/>
  </w:style>
  <w:style w:type="paragraph" w:styleId="80">
    <w:name w:val="toc 8"/>
    <w:basedOn w:val="a"/>
    <w:uiPriority w:val="99"/>
    <w:rsid w:val="001C49C6"/>
  </w:style>
  <w:style w:type="paragraph" w:styleId="90">
    <w:name w:val="toc 9"/>
    <w:basedOn w:val="a"/>
    <w:uiPriority w:val="99"/>
    <w:rsid w:val="001C49C6"/>
  </w:style>
  <w:style w:type="character" w:styleId="a5">
    <w:name w:val="annotation reference"/>
    <w:basedOn w:val="a0"/>
    <w:uiPriority w:val="99"/>
    <w:rsid w:val="001C49C6"/>
    <w:rPr>
      <w:rFonts w:cs="Times New Roman"/>
      <w:sz w:val="16"/>
    </w:rPr>
  </w:style>
  <w:style w:type="paragraph" w:customStyle="1" w:styleId="TableList">
    <w:name w:val="Table List"/>
    <w:basedOn w:val="a"/>
    <w:uiPriority w:val="99"/>
    <w:rsid w:val="001C49C6"/>
    <w:pPr>
      <w:ind w:left="300" w:hanging="300"/>
    </w:pPr>
    <w:rPr>
      <w:sz w:val="20"/>
    </w:rPr>
  </w:style>
  <w:style w:type="paragraph" w:customStyle="1" w:styleId="List8">
    <w:name w:val="List 8"/>
    <w:basedOn w:val="a"/>
    <w:uiPriority w:val="99"/>
    <w:rsid w:val="001C49C6"/>
    <w:rPr>
      <w:sz w:val="22"/>
    </w:rPr>
  </w:style>
  <w:style w:type="character" w:customStyle="1" w:styleId="Cross-reference">
    <w:name w:val="Cross-reference"/>
    <w:uiPriority w:val="99"/>
    <w:rsid w:val="001C49C6"/>
    <w:rPr>
      <w:color w:val="9900FF"/>
    </w:rPr>
  </w:style>
  <w:style w:type="paragraph" w:customStyle="1" w:styleId="TableNote">
    <w:name w:val="Table Note"/>
    <w:basedOn w:val="a"/>
    <w:uiPriority w:val="99"/>
    <w:rsid w:val="001C49C6"/>
    <w:rPr>
      <w:sz w:val="18"/>
    </w:rPr>
  </w:style>
  <w:style w:type="paragraph" w:customStyle="1" w:styleId="Authors">
    <w:name w:val="Authors"/>
    <w:basedOn w:val="a"/>
    <w:uiPriority w:val="99"/>
    <w:rsid w:val="001C49C6"/>
    <w:pPr>
      <w:spacing w:before="360" w:after="120" w:line="360" w:lineRule="exact"/>
    </w:pPr>
    <w:rPr>
      <w:sz w:val="28"/>
    </w:rPr>
  </w:style>
  <w:style w:type="paragraph" w:customStyle="1" w:styleId="Note">
    <w:name w:val="Note"/>
    <w:basedOn w:val="a"/>
    <w:uiPriority w:val="99"/>
    <w:rsid w:val="001C49C6"/>
    <w:pPr>
      <w:spacing w:line="360" w:lineRule="exact"/>
    </w:pPr>
    <w:rPr>
      <w:color w:val="B77540"/>
      <w:sz w:val="18"/>
    </w:rPr>
  </w:style>
  <w:style w:type="paragraph" w:customStyle="1" w:styleId="Copyright">
    <w:name w:val="Copyright"/>
    <w:basedOn w:val="a"/>
    <w:uiPriority w:val="99"/>
    <w:rsid w:val="001C49C6"/>
    <w:rPr>
      <w:color w:val="F7B580"/>
      <w:sz w:val="18"/>
    </w:rPr>
  </w:style>
  <w:style w:type="paragraph" w:styleId="a6">
    <w:name w:val="footnote text"/>
    <w:basedOn w:val="a"/>
    <w:link w:val="Char1"/>
    <w:uiPriority w:val="99"/>
    <w:rsid w:val="001C49C6"/>
    <w:rPr>
      <w:lang w:eastAsia="zh-CN"/>
    </w:rPr>
  </w:style>
  <w:style w:type="character" w:customStyle="1" w:styleId="Char1">
    <w:name w:val="脚注文本 Char"/>
    <w:basedOn w:val="a0"/>
    <w:link w:val="a6"/>
    <w:uiPriority w:val="99"/>
    <w:locked/>
    <w:rsid w:val="001C49C6"/>
    <w:rPr>
      <w:rFonts w:ascii="Book Antiqua" w:eastAsia="Times New Roman" w:hAnsi="Book Antiqua" w:cs="Times New Roman"/>
      <w:kern w:val="0"/>
      <w:sz w:val="24"/>
      <w:lang w:val="en-GB"/>
    </w:rPr>
  </w:style>
  <w:style w:type="paragraph" w:customStyle="1" w:styleId="Formula">
    <w:name w:val="Formula"/>
    <w:basedOn w:val="a"/>
    <w:uiPriority w:val="99"/>
    <w:rsid w:val="001C49C6"/>
    <w:pPr>
      <w:spacing w:before="120" w:after="120" w:line="330" w:lineRule="exact"/>
    </w:pPr>
    <w:rPr>
      <w:sz w:val="22"/>
    </w:rPr>
  </w:style>
  <w:style w:type="paragraph" w:customStyle="1" w:styleId="ChapterNumber">
    <w:name w:val="Chapter Number"/>
    <w:basedOn w:val="a"/>
    <w:uiPriority w:val="99"/>
    <w:rsid w:val="001C49C6"/>
  </w:style>
  <w:style w:type="paragraph" w:customStyle="1" w:styleId="Abstract">
    <w:name w:val="Abstract"/>
    <w:basedOn w:val="a"/>
    <w:uiPriority w:val="99"/>
    <w:rsid w:val="001C49C6"/>
    <w:pPr>
      <w:spacing w:before="120" w:after="120" w:line="360" w:lineRule="exact"/>
      <w:ind w:left="1440" w:right="1440"/>
      <w:jc w:val="both"/>
    </w:pPr>
    <w:rPr>
      <w:sz w:val="22"/>
    </w:rPr>
  </w:style>
  <w:style w:type="character" w:styleId="a7">
    <w:name w:val="footnote reference"/>
    <w:basedOn w:val="a0"/>
    <w:uiPriority w:val="99"/>
    <w:rsid w:val="001C49C6"/>
    <w:rPr>
      <w:rFonts w:cs="Times New Roman"/>
      <w:vertAlign w:val="superscript"/>
    </w:rPr>
  </w:style>
  <w:style w:type="paragraph" w:customStyle="1" w:styleId="Keywords">
    <w:name w:val="Keywords"/>
    <w:basedOn w:val="a"/>
    <w:uiPriority w:val="99"/>
    <w:rsid w:val="001C49C6"/>
    <w:pPr>
      <w:spacing w:line="330" w:lineRule="exact"/>
      <w:ind w:left="1000"/>
    </w:pPr>
    <w:rPr>
      <w:sz w:val="22"/>
    </w:rPr>
  </w:style>
  <w:style w:type="character" w:customStyle="1" w:styleId="Name">
    <w:name w:val="Name"/>
    <w:uiPriority w:val="99"/>
    <w:rsid w:val="001C49C6"/>
    <w:rPr>
      <w:color w:val="22B14C"/>
    </w:rPr>
  </w:style>
  <w:style w:type="paragraph" w:customStyle="1" w:styleId="BibEntry">
    <w:name w:val="Bib Entry"/>
    <w:basedOn w:val="a"/>
    <w:uiPriority w:val="99"/>
    <w:rsid w:val="001C49C6"/>
    <w:pPr>
      <w:spacing w:line="330" w:lineRule="exact"/>
      <w:ind w:left="570" w:hanging="570"/>
      <w:jc w:val="both"/>
    </w:pPr>
    <w:rPr>
      <w:sz w:val="22"/>
    </w:rPr>
  </w:style>
  <w:style w:type="character" w:customStyle="1" w:styleId="Grant">
    <w:name w:val="Grant"/>
    <w:uiPriority w:val="99"/>
    <w:rsid w:val="001C49C6"/>
    <w:rPr>
      <w:color w:val="6F3198"/>
    </w:rPr>
  </w:style>
  <w:style w:type="paragraph" w:customStyle="1" w:styleId="SubheadingAbstract">
    <w:name w:val="Subheading Abstract"/>
    <w:basedOn w:val="a"/>
    <w:next w:val="a"/>
    <w:uiPriority w:val="99"/>
    <w:rsid w:val="001C49C6"/>
    <w:pPr>
      <w:keepNext/>
      <w:keepLines/>
      <w:outlineLvl w:val="7"/>
    </w:pPr>
  </w:style>
  <w:style w:type="paragraph" w:styleId="a8">
    <w:name w:val="endnote text"/>
    <w:basedOn w:val="a"/>
    <w:link w:val="Char2"/>
    <w:uiPriority w:val="99"/>
    <w:rsid w:val="001C49C6"/>
  </w:style>
  <w:style w:type="character" w:customStyle="1" w:styleId="Char2">
    <w:name w:val="尾注文本 Char"/>
    <w:basedOn w:val="a0"/>
    <w:link w:val="a8"/>
    <w:uiPriority w:val="99"/>
    <w:locked/>
    <w:rsid w:val="001C49C6"/>
    <w:rPr>
      <w:rFonts w:ascii="Book Antiqua" w:eastAsia="Times New Roman" w:hAnsi="Book Antiqua" w:cs="Times New Roman"/>
      <w:kern w:val="0"/>
      <w:sz w:val="24"/>
      <w:lang w:val="en-GB" w:eastAsia="en-US"/>
    </w:rPr>
  </w:style>
  <w:style w:type="paragraph" w:styleId="a9">
    <w:name w:val="Block Text"/>
    <w:basedOn w:val="a"/>
    <w:uiPriority w:val="99"/>
    <w:rsid w:val="001C49C6"/>
    <w:pPr>
      <w:spacing w:line="360" w:lineRule="exact"/>
      <w:ind w:left="1200"/>
    </w:pPr>
    <w:rPr>
      <w:sz w:val="22"/>
    </w:rPr>
  </w:style>
  <w:style w:type="character" w:styleId="aa">
    <w:name w:val="Hyperlink"/>
    <w:basedOn w:val="a0"/>
    <w:uiPriority w:val="99"/>
    <w:rsid w:val="001C49C6"/>
    <w:rPr>
      <w:rFonts w:cs="Times New Roman"/>
      <w:color w:val="0072BC"/>
      <w:u w:val="single"/>
    </w:rPr>
  </w:style>
  <w:style w:type="paragraph" w:styleId="ab">
    <w:name w:val="Title"/>
    <w:basedOn w:val="a"/>
    <w:next w:val="a"/>
    <w:link w:val="Char3"/>
    <w:uiPriority w:val="99"/>
    <w:qFormat/>
    <w:rsid w:val="001C49C6"/>
    <w:pPr>
      <w:spacing w:before="240" w:after="60"/>
      <w:jc w:val="center"/>
      <w:outlineLvl w:val="0"/>
    </w:pPr>
    <w:rPr>
      <w:rFonts w:eastAsia="Malgun Gothic"/>
      <w:b/>
      <w:bCs/>
      <w:kern w:val="28"/>
      <w:szCs w:val="32"/>
      <w:lang w:eastAsia="zh-CN"/>
    </w:rPr>
  </w:style>
  <w:style w:type="character" w:customStyle="1" w:styleId="Char3">
    <w:name w:val="标题 Char"/>
    <w:basedOn w:val="a0"/>
    <w:link w:val="ab"/>
    <w:uiPriority w:val="99"/>
    <w:locked/>
    <w:rsid w:val="001C49C6"/>
    <w:rPr>
      <w:rFonts w:ascii="Book Antiqua" w:eastAsia="Malgun Gothic" w:hAnsi="Book Antiqua" w:cs="Times New Roman"/>
      <w:b/>
      <w:bCs/>
      <w:kern w:val="28"/>
      <w:sz w:val="32"/>
      <w:szCs w:val="32"/>
      <w:lang w:val="en-GB"/>
    </w:rPr>
  </w:style>
  <w:style w:type="character" w:customStyle="1" w:styleId="NameGiven">
    <w:name w:val="Name Given"/>
    <w:uiPriority w:val="99"/>
    <w:rsid w:val="001C49C6"/>
    <w:rPr>
      <w:color w:val="FFC20E"/>
    </w:rPr>
  </w:style>
  <w:style w:type="character" w:customStyle="1" w:styleId="BibYear">
    <w:name w:val="Bib Year"/>
    <w:uiPriority w:val="99"/>
    <w:rsid w:val="001C49C6"/>
    <w:rPr>
      <w:color w:val="B77540"/>
    </w:rPr>
  </w:style>
  <w:style w:type="character" w:customStyle="1" w:styleId="BibComment">
    <w:name w:val="Bib Comment"/>
    <w:uiPriority w:val="99"/>
    <w:rsid w:val="001C49C6"/>
    <w:rPr>
      <w:color w:val="F7B580"/>
    </w:rPr>
  </w:style>
  <w:style w:type="paragraph" w:customStyle="1" w:styleId="Correspondence">
    <w:name w:val="Correspondence"/>
    <w:basedOn w:val="a"/>
    <w:uiPriority w:val="99"/>
    <w:rsid w:val="001C49C6"/>
    <w:pPr>
      <w:spacing w:line="360" w:lineRule="exact"/>
      <w:ind w:left="480" w:hanging="480"/>
    </w:pPr>
    <w:rPr>
      <w:color w:val="C0504D"/>
      <w:sz w:val="18"/>
    </w:rPr>
  </w:style>
  <w:style w:type="paragraph" w:customStyle="1" w:styleId="List7">
    <w:name w:val="List 7"/>
    <w:basedOn w:val="a"/>
    <w:uiPriority w:val="99"/>
    <w:rsid w:val="001C49C6"/>
    <w:rPr>
      <w:sz w:val="22"/>
    </w:rPr>
  </w:style>
  <w:style w:type="paragraph" w:customStyle="1" w:styleId="Biography">
    <w:name w:val="Biography"/>
    <w:basedOn w:val="a"/>
    <w:uiPriority w:val="99"/>
    <w:rsid w:val="001C49C6"/>
    <w:pPr>
      <w:spacing w:after="240" w:line="270" w:lineRule="exact"/>
      <w:ind w:left="360"/>
    </w:pPr>
    <w:rPr>
      <w:color w:val="8064A2"/>
      <w:sz w:val="20"/>
    </w:rPr>
  </w:style>
  <w:style w:type="paragraph" w:styleId="41">
    <w:name w:val="List 4"/>
    <w:basedOn w:val="a"/>
    <w:uiPriority w:val="99"/>
    <w:rsid w:val="001C49C6"/>
    <w:pPr>
      <w:spacing w:line="360" w:lineRule="exact"/>
      <w:ind w:left="240" w:hanging="600"/>
    </w:pPr>
    <w:rPr>
      <w:sz w:val="22"/>
    </w:rPr>
  </w:style>
  <w:style w:type="paragraph" w:customStyle="1" w:styleId="AbstractSubheading">
    <w:name w:val="Abstract Subheading"/>
    <w:basedOn w:val="a"/>
    <w:next w:val="a"/>
    <w:uiPriority w:val="99"/>
    <w:rsid w:val="001C49C6"/>
    <w:pPr>
      <w:keepNext/>
      <w:keepLines/>
      <w:ind w:left="1440"/>
      <w:outlineLvl w:val="8"/>
    </w:pPr>
    <w:rPr>
      <w:sz w:val="22"/>
    </w:rPr>
  </w:style>
  <w:style w:type="paragraph" w:customStyle="1" w:styleId="Glossary">
    <w:name w:val="Glossary"/>
    <w:basedOn w:val="a"/>
    <w:uiPriority w:val="99"/>
    <w:rsid w:val="001C49C6"/>
    <w:pPr>
      <w:spacing w:before="120" w:after="120" w:line="360" w:lineRule="exact"/>
    </w:pPr>
    <w:rPr>
      <w:color w:val="7D7974"/>
      <w:sz w:val="20"/>
    </w:rPr>
  </w:style>
  <w:style w:type="character" w:customStyle="1" w:styleId="BibTitle">
    <w:name w:val="Bib Title"/>
    <w:uiPriority w:val="99"/>
    <w:rsid w:val="001C49C6"/>
    <w:rPr>
      <w:color w:val="00B7EF"/>
    </w:rPr>
  </w:style>
  <w:style w:type="paragraph" w:customStyle="1" w:styleId="Acknowledgements">
    <w:name w:val="Acknowledgements"/>
    <w:basedOn w:val="a"/>
    <w:uiPriority w:val="99"/>
    <w:rsid w:val="001C49C6"/>
    <w:pPr>
      <w:spacing w:line="360" w:lineRule="exact"/>
      <w:jc w:val="both"/>
    </w:pPr>
    <w:rPr>
      <w:color w:val="0072BC"/>
      <w:sz w:val="20"/>
    </w:rPr>
  </w:style>
  <w:style w:type="character" w:customStyle="1" w:styleId="BibPage">
    <w:name w:val="Bib Page"/>
    <w:uiPriority w:val="99"/>
    <w:rsid w:val="001C49C6"/>
    <w:rPr>
      <w:color w:val="903C39"/>
    </w:rPr>
  </w:style>
  <w:style w:type="paragraph" w:styleId="ac">
    <w:name w:val="Normal Indent"/>
    <w:basedOn w:val="a"/>
    <w:uiPriority w:val="99"/>
    <w:rsid w:val="001C49C6"/>
    <w:pPr>
      <w:spacing w:line="330" w:lineRule="exact"/>
      <w:ind w:firstLine="480"/>
      <w:jc w:val="both"/>
    </w:pPr>
    <w:rPr>
      <w:rFonts w:ascii="Times New Roman" w:hAnsi="Times New Roman"/>
      <w:sz w:val="22"/>
    </w:rPr>
  </w:style>
  <w:style w:type="character" w:customStyle="1" w:styleId="BibPublisher">
    <w:name w:val="Bib Publisher"/>
    <w:uiPriority w:val="99"/>
    <w:rsid w:val="001C49C6"/>
    <w:rPr>
      <w:color w:val="6F3198"/>
    </w:rPr>
  </w:style>
  <w:style w:type="paragraph" w:styleId="ad">
    <w:name w:val="Balloon Text"/>
    <w:basedOn w:val="a"/>
    <w:link w:val="Char4"/>
    <w:uiPriority w:val="99"/>
    <w:rsid w:val="001C49C6"/>
    <w:rPr>
      <w:rFonts w:ascii="Tahoma" w:hAnsi="Tahoma"/>
      <w:sz w:val="16"/>
      <w:szCs w:val="16"/>
      <w:lang w:eastAsia="zh-CN"/>
    </w:rPr>
  </w:style>
  <w:style w:type="character" w:customStyle="1" w:styleId="Char4">
    <w:name w:val="批注框文本 Char"/>
    <w:basedOn w:val="a0"/>
    <w:link w:val="ad"/>
    <w:uiPriority w:val="99"/>
    <w:locked/>
    <w:rsid w:val="001C49C6"/>
    <w:rPr>
      <w:rFonts w:ascii="Tahoma" w:eastAsia="Times New Roman" w:hAnsi="Tahoma" w:cs="Times New Roman"/>
      <w:kern w:val="0"/>
      <w:sz w:val="16"/>
      <w:szCs w:val="16"/>
      <w:lang w:val="en-GB"/>
    </w:rPr>
  </w:style>
  <w:style w:type="paragraph" w:customStyle="1" w:styleId="Address">
    <w:name w:val="Address"/>
    <w:basedOn w:val="a"/>
    <w:uiPriority w:val="99"/>
    <w:rsid w:val="001C49C6"/>
    <w:pPr>
      <w:spacing w:after="240" w:line="270" w:lineRule="exact"/>
      <w:ind w:left="720"/>
    </w:pPr>
    <w:rPr>
      <w:color w:val="8064A2"/>
      <w:sz w:val="20"/>
    </w:rPr>
  </w:style>
  <w:style w:type="paragraph" w:customStyle="1" w:styleId="List6">
    <w:name w:val="List 6"/>
    <w:basedOn w:val="a"/>
    <w:uiPriority w:val="99"/>
    <w:rsid w:val="001C49C6"/>
    <w:rPr>
      <w:sz w:val="22"/>
    </w:rPr>
  </w:style>
  <w:style w:type="paragraph" w:styleId="ae">
    <w:name w:val="List"/>
    <w:basedOn w:val="a"/>
    <w:uiPriority w:val="99"/>
    <w:rsid w:val="001C49C6"/>
    <w:pPr>
      <w:spacing w:line="360" w:lineRule="exact"/>
      <w:ind w:left="600" w:hanging="600"/>
      <w:jc w:val="both"/>
    </w:pPr>
    <w:rPr>
      <w:sz w:val="22"/>
    </w:rPr>
  </w:style>
  <w:style w:type="paragraph" w:customStyle="1" w:styleId="TableHeadSpan">
    <w:name w:val="Table Head Span"/>
    <w:basedOn w:val="a"/>
    <w:uiPriority w:val="99"/>
    <w:rsid w:val="001C49C6"/>
  </w:style>
  <w:style w:type="character" w:customStyle="1" w:styleId="Heading">
    <w:name w:val="Heading:"/>
    <w:uiPriority w:val="99"/>
    <w:rsid w:val="001C49C6"/>
    <w:rPr>
      <w:b/>
      <w:color w:val="5B89C1"/>
    </w:rPr>
  </w:style>
  <w:style w:type="character" w:customStyle="1" w:styleId="Genbank">
    <w:name w:val="Genbank"/>
    <w:uiPriority w:val="99"/>
    <w:rsid w:val="001C49C6"/>
    <w:rPr>
      <w:color w:val="6F3198"/>
    </w:rPr>
  </w:style>
  <w:style w:type="character" w:customStyle="1" w:styleId="BibDocTitle">
    <w:name w:val="Bib DocTitle"/>
    <w:uiPriority w:val="99"/>
    <w:rsid w:val="001C49C6"/>
    <w:rPr>
      <w:color w:val="A29D96"/>
    </w:rPr>
  </w:style>
  <w:style w:type="character" w:customStyle="1" w:styleId="NameOrganization">
    <w:name w:val="Name Organization"/>
    <w:uiPriority w:val="99"/>
    <w:rsid w:val="001C49C6"/>
    <w:rPr>
      <w:color w:val="22B14C"/>
    </w:rPr>
  </w:style>
  <w:style w:type="paragraph" w:styleId="af">
    <w:name w:val="Subtitle"/>
    <w:basedOn w:val="a"/>
    <w:next w:val="a"/>
    <w:link w:val="Char5"/>
    <w:uiPriority w:val="99"/>
    <w:qFormat/>
    <w:rsid w:val="001C49C6"/>
    <w:pPr>
      <w:spacing w:after="60"/>
      <w:jc w:val="center"/>
      <w:outlineLvl w:val="1"/>
    </w:pPr>
    <w:rPr>
      <w:rFonts w:ascii="Cambria" w:eastAsia="Malgun Gothic" w:hAnsi="Cambria"/>
      <w:szCs w:val="24"/>
      <w:lang w:eastAsia="zh-CN"/>
    </w:rPr>
  </w:style>
  <w:style w:type="character" w:customStyle="1" w:styleId="Char5">
    <w:name w:val="副标题 Char"/>
    <w:basedOn w:val="a0"/>
    <w:link w:val="af"/>
    <w:uiPriority w:val="99"/>
    <w:locked/>
    <w:rsid w:val="001C49C6"/>
    <w:rPr>
      <w:rFonts w:ascii="Cambria" w:eastAsia="Malgun Gothic" w:hAnsi="Cambria" w:cs="Times New Roman"/>
      <w:kern w:val="0"/>
      <w:sz w:val="24"/>
      <w:szCs w:val="24"/>
      <w:lang w:val="en-GB"/>
    </w:rPr>
  </w:style>
  <w:style w:type="character" w:customStyle="1" w:styleId="NameScientific">
    <w:name w:val="Name Scientific"/>
    <w:uiPriority w:val="99"/>
    <w:rsid w:val="001C49C6"/>
    <w:rPr>
      <w:color w:val="6F3198"/>
    </w:rPr>
  </w:style>
  <w:style w:type="character" w:customStyle="1" w:styleId="BibIssue">
    <w:name w:val="Bib Issue"/>
    <w:uiPriority w:val="99"/>
    <w:rsid w:val="001C49C6"/>
    <w:rPr>
      <w:color w:val="FA3232"/>
    </w:rPr>
  </w:style>
  <w:style w:type="character" w:customStyle="1" w:styleId="Abbreviation">
    <w:name w:val="Abbreviation"/>
    <w:uiPriority w:val="99"/>
    <w:rsid w:val="001C49C6"/>
    <w:rPr>
      <w:color w:val="7030A0"/>
    </w:rPr>
  </w:style>
  <w:style w:type="paragraph" w:customStyle="1" w:styleId="Statement">
    <w:name w:val="Statement"/>
    <w:basedOn w:val="a"/>
    <w:uiPriority w:val="99"/>
    <w:rsid w:val="001C49C6"/>
    <w:pPr>
      <w:ind w:left="900"/>
    </w:pPr>
  </w:style>
  <w:style w:type="character" w:customStyle="1" w:styleId="BibVol">
    <w:name w:val="Bib Vol"/>
    <w:uiPriority w:val="99"/>
    <w:rsid w:val="001C49C6"/>
    <w:rPr>
      <w:color w:val="2F3699"/>
    </w:rPr>
  </w:style>
  <w:style w:type="paragraph" w:customStyle="1" w:styleId="TableHead">
    <w:name w:val="Table Head"/>
    <w:basedOn w:val="a"/>
    <w:uiPriority w:val="99"/>
    <w:rsid w:val="001C49C6"/>
    <w:rPr>
      <w:sz w:val="20"/>
    </w:rPr>
  </w:style>
  <w:style w:type="character" w:styleId="af0">
    <w:name w:val="endnote reference"/>
    <w:basedOn w:val="a0"/>
    <w:uiPriority w:val="99"/>
    <w:rsid w:val="001C49C6"/>
    <w:rPr>
      <w:rFonts w:cs="Times New Roman"/>
      <w:vertAlign w:val="superscript"/>
    </w:rPr>
  </w:style>
  <w:style w:type="paragraph" w:customStyle="1" w:styleId="Quotation">
    <w:name w:val="Quotation"/>
    <w:basedOn w:val="a"/>
    <w:uiPriority w:val="99"/>
    <w:rsid w:val="001C49C6"/>
    <w:pPr>
      <w:spacing w:line="360" w:lineRule="exact"/>
      <w:ind w:left="1440"/>
      <w:jc w:val="both"/>
    </w:pPr>
    <w:rPr>
      <w:sz w:val="22"/>
    </w:rPr>
  </w:style>
  <w:style w:type="paragraph" w:customStyle="1" w:styleId="TableBody">
    <w:name w:val="Table Body"/>
    <w:basedOn w:val="a"/>
    <w:uiPriority w:val="99"/>
    <w:rsid w:val="001C49C6"/>
    <w:pPr>
      <w:spacing w:line="360" w:lineRule="exact"/>
    </w:pPr>
    <w:rPr>
      <w:sz w:val="20"/>
    </w:rPr>
  </w:style>
  <w:style w:type="paragraph" w:styleId="21">
    <w:name w:val="List 2"/>
    <w:basedOn w:val="a"/>
    <w:uiPriority w:val="99"/>
    <w:rsid w:val="001C49C6"/>
    <w:pPr>
      <w:ind w:left="1200" w:hanging="600"/>
      <w:jc w:val="both"/>
    </w:pPr>
    <w:rPr>
      <w:sz w:val="22"/>
    </w:rPr>
  </w:style>
  <w:style w:type="paragraph" w:customStyle="1" w:styleId="QuotationSource">
    <w:name w:val="Quotation Source"/>
    <w:basedOn w:val="a"/>
    <w:uiPriority w:val="99"/>
    <w:rsid w:val="001C49C6"/>
    <w:pPr>
      <w:spacing w:line="360" w:lineRule="exact"/>
      <w:ind w:left="1440"/>
    </w:pPr>
    <w:rPr>
      <w:color w:val="000000"/>
      <w:sz w:val="22"/>
    </w:rPr>
  </w:style>
  <w:style w:type="paragraph" w:styleId="31">
    <w:name w:val="List 3"/>
    <w:basedOn w:val="a"/>
    <w:uiPriority w:val="99"/>
    <w:rsid w:val="001C49C6"/>
    <w:pPr>
      <w:spacing w:line="360" w:lineRule="exact"/>
      <w:ind w:left="1800" w:hanging="600"/>
      <w:jc w:val="both"/>
    </w:pPr>
    <w:rPr>
      <w:sz w:val="22"/>
    </w:rPr>
  </w:style>
  <w:style w:type="character" w:customStyle="1" w:styleId="GrantSponsor">
    <w:name w:val="Grant Sponsor"/>
    <w:uiPriority w:val="99"/>
    <w:rsid w:val="001C49C6"/>
    <w:rPr>
      <w:color w:val="C500C0"/>
    </w:rPr>
  </w:style>
  <w:style w:type="character" w:customStyle="1" w:styleId="CaptionLabel">
    <w:name w:val="Caption Label"/>
    <w:uiPriority w:val="99"/>
    <w:rsid w:val="001C49C6"/>
    <w:rPr>
      <w:color w:val="007CC5"/>
    </w:rPr>
  </w:style>
  <w:style w:type="paragraph" w:styleId="51">
    <w:name w:val="List 5"/>
    <w:basedOn w:val="a"/>
    <w:uiPriority w:val="99"/>
    <w:rsid w:val="001C49C6"/>
    <w:rPr>
      <w:sz w:val="22"/>
    </w:rPr>
  </w:style>
  <w:style w:type="paragraph" w:customStyle="1" w:styleId="Surtitle">
    <w:name w:val="Surtitle"/>
    <w:basedOn w:val="a"/>
    <w:uiPriority w:val="99"/>
    <w:rsid w:val="001C49C6"/>
    <w:rPr>
      <w:sz w:val="48"/>
    </w:rPr>
  </w:style>
  <w:style w:type="paragraph" w:styleId="af1">
    <w:name w:val="annotation text"/>
    <w:basedOn w:val="a"/>
    <w:link w:val="Char6"/>
    <w:uiPriority w:val="99"/>
    <w:rsid w:val="001C49C6"/>
    <w:rPr>
      <w:rFonts w:ascii="Calibri" w:hAnsi="Calibri"/>
      <w:color w:val="000000"/>
      <w:sz w:val="20"/>
      <w:lang w:eastAsia="zh-CN"/>
    </w:rPr>
  </w:style>
  <w:style w:type="character" w:customStyle="1" w:styleId="Char6">
    <w:name w:val="批注文字 Char"/>
    <w:basedOn w:val="a0"/>
    <w:link w:val="af1"/>
    <w:uiPriority w:val="99"/>
    <w:locked/>
    <w:rsid w:val="001C49C6"/>
    <w:rPr>
      <w:rFonts w:ascii="Calibri" w:eastAsia="Times New Roman" w:hAnsi="Calibri" w:cs="Times New Roman"/>
      <w:color w:val="000000"/>
      <w:kern w:val="0"/>
      <w:sz w:val="20"/>
      <w:lang w:val="en-GB"/>
    </w:rPr>
  </w:style>
  <w:style w:type="character" w:customStyle="1" w:styleId="Sequence">
    <w:name w:val="Sequence"/>
    <w:uiPriority w:val="99"/>
    <w:rsid w:val="001C49C6"/>
    <w:rPr>
      <w:color w:val="6F3198"/>
    </w:rPr>
  </w:style>
  <w:style w:type="paragraph" w:styleId="af2">
    <w:name w:val="caption"/>
    <w:basedOn w:val="a"/>
    <w:uiPriority w:val="99"/>
    <w:qFormat/>
    <w:rsid w:val="001C49C6"/>
    <w:pPr>
      <w:spacing w:before="240" w:line="360" w:lineRule="exact"/>
      <w:jc w:val="both"/>
    </w:pPr>
    <w:rPr>
      <w:color w:val="B77540"/>
      <w:sz w:val="22"/>
    </w:rPr>
  </w:style>
  <w:style w:type="paragraph" w:styleId="af3">
    <w:name w:val="No Spacing"/>
    <w:aliases w:val="Line spacing"/>
    <w:uiPriority w:val="99"/>
    <w:qFormat/>
    <w:rsid w:val="001C49C6"/>
    <w:pPr>
      <w:spacing w:line="360" w:lineRule="auto"/>
    </w:pPr>
    <w:rPr>
      <w:rFonts w:ascii="Book Antiqua" w:hAnsi="Book Antiqua"/>
      <w:kern w:val="0"/>
      <w:sz w:val="24"/>
      <w:lang w:val="en-GB" w:eastAsia="en-US"/>
    </w:rPr>
  </w:style>
  <w:style w:type="character" w:customStyle="1" w:styleId="Char7">
    <w:name w:val="批注主题 Char"/>
    <w:link w:val="af4"/>
    <w:uiPriority w:val="99"/>
    <w:semiHidden/>
    <w:locked/>
    <w:rsid w:val="001C49C6"/>
    <w:rPr>
      <w:rFonts w:ascii="Book Antiqua" w:eastAsia="Times New Roman" w:hAnsi="Book Antiqua"/>
      <w:b/>
      <w:color w:val="000000"/>
      <w:kern w:val="0"/>
      <w:sz w:val="20"/>
      <w:lang w:val="en-GB"/>
    </w:rPr>
  </w:style>
  <w:style w:type="paragraph" w:styleId="af4">
    <w:name w:val="annotation subject"/>
    <w:basedOn w:val="af1"/>
    <w:next w:val="af1"/>
    <w:link w:val="Char7"/>
    <w:uiPriority w:val="99"/>
    <w:semiHidden/>
    <w:rsid w:val="001C49C6"/>
    <w:rPr>
      <w:rFonts w:ascii="Book Antiqua" w:hAnsi="Book Antiqua"/>
      <w:b/>
      <w:bCs/>
      <w:szCs w:val="20"/>
    </w:rPr>
  </w:style>
  <w:style w:type="character" w:customStyle="1" w:styleId="CommentSubjectChar">
    <w:name w:val="Comment Subject Char"/>
    <w:basedOn w:val="Char6"/>
    <w:uiPriority w:val="99"/>
    <w:rsid w:val="001C49C6"/>
    <w:rPr>
      <w:rFonts w:ascii="Calibri" w:eastAsia="Times New Roman" w:hAnsi="Calibri" w:cs="Times New Roman"/>
      <w:color w:val="000000"/>
      <w:kern w:val="0"/>
      <w:sz w:val="22"/>
      <w:lang w:val="en-GB"/>
    </w:rPr>
  </w:style>
  <w:style w:type="character" w:customStyle="1" w:styleId="Char10">
    <w:name w:val="批注主题 Char1"/>
    <w:basedOn w:val="Char6"/>
    <w:uiPriority w:val="99"/>
    <w:semiHidden/>
    <w:rsid w:val="001C49C6"/>
    <w:rPr>
      <w:rFonts w:ascii="Calibri" w:eastAsia="Times New Roman" w:hAnsi="Calibri" w:cs="Times New Roman"/>
      <w:b/>
      <w:bCs/>
      <w:color w:val="000000"/>
      <w:kern w:val="0"/>
      <w:sz w:val="20"/>
      <w:lang w:val="en-GB"/>
    </w:rPr>
  </w:style>
  <w:style w:type="character" w:customStyle="1" w:styleId="apple-converted-space">
    <w:name w:val="apple-converted-space"/>
    <w:basedOn w:val="a0"/>
    <w:uiPriority w:val="99"/>
    <w:rsid w:val="001C49C6"/>
    <w:rPr>
      <w:rFonts w:cs="Times New Roman"/>
    </w:rPr>
  </w:style>
  <w:style w:type="character" w:styleId="af5">
    <w:name w:val="Strong"/>
    <w:basedOn w:val="a0"/>
    <w:uiPriority w:val="99"/>
    <w:qFormat/>
    <w:rsid w:val="001C49C6"/>
    <w:rPr>
      <w:rFonts w:cs="Times New Roman"/>
      <w:b/>
    </w:rPr>
  </w:style>
  <w:style w:type="paragraph" w:styleId="af6">
    <w:name w:val="Normal (Web)"/>
    <w:basedOn w:val="a"/>
    <w:uiPriority w:val="99"/>
    <w:rsid w:val="001C49C6"/>
    <w:pPr>
      <w:spacing w:before="100" w:beforeAutospacing="1" w:after="100" w:afterAutospacing="1" w:line="240" w:lineRule="auto"/>
    </w:pPr>
    <w:rPr>
      <w:rFonts w:ascii="Gulim" w:eastAsia="Gulim" w:hAnsi="Gulim" w:cs="Gulim"/>
      <w:szCs w:val="24"/>
      <w:lang w:val="en-US" w:eastAsia="ko-KR"/>
    </w:rPr>
  </w:style>
  <w:style w:type="paragraph" w:styleId="af7">
    <w:name w:val="List Paragraph"/>
    <w:basedOn w:val="a"/>
    <w:uiPriority w:val="99"/>
    <w:qFormat/>
    <w:rsid w:val="001C49C6"/>
    <w:pPr>
      <w:widowControl w:val="0"/>
      <w:wordWrap w:val="0"/>
      <w:autoSpaceDE w:val="0"/>
      <w:autoSpaceDN w:val="0"/>
      <w:spacing w:after="0" w:line="240" w:lineRule="auto"/>
      <w:ind w:leftChars="400" w:left="800"/>
      <w:jc w:val="both"/>
    </w:pPr>
    <w:rPr>
      <w:rFonts w:ascii="Malgun Gothic" w:eastAsia="Malgun Gothic" w:hAnsi="Malgun Gothic"/>
      <w:kern w:val="2"/>
      <w:sz w:val="20"/>
      <w:lang w:val="en-US" w:eastAsia="ko-KR"/>
    </w:rPr>
  </w:style>
  <w:style w:type="character" w:styleId="af8">
    <w:name w:val="FollowedHyperlink"/>
    <w:basedOn w:val="a0"/>
    <w:uiPriority w:val="99"/>
    <w:semiHidden/>
    <w:rsid w:val="001C49C6"/>
    <w:rPr>
      <w:rFonts w:cs="Times New Roman"/>
      <w:color w:val="800080"/>
      <w:u w:val="single"/>
    </w:rPr>
  </w:style>
  <w:style w:type="character" w:customStyle="1" w:styleId="Char8">
    <w:name w:val="日期 Char"/>
    <w:link w:val="af9"/>
    <w:uiPriority w:val="99"/>
    <w:semiHidden/>
    <w:locked/>
    <w:rsid w:val="001C49C6"/>
    <w:rPr>
      <w:rFonts w:ascii="Malgun Gothic" w:eastAsia="Malgun Gothic" w:hAnsi="Malgun Gothic"/>
    </w:rPr>
  </w:style>
  <w:style w:type="paragraph" w:styleId="af9">
    <w:name w:val="Date"/>
    <w:basedOn w:val="a"/>
    <w:next w:val="a"/>
    <w:link w:val="Char8"/>
    <w:uiPriority w:val="99"/>
    <w:semiHidden/>
    <w:rsid w:val="001C49C6"/>
    <w:pPr>
      <w:widowControl w:val="0"/>
      <w:wordWrap w:val="0"/>
      <w:autoSpaceDE w:val="0"/>
      <w:autoSpaceDN w:val="0"/>
      <w:spacing w:after="0" w:line="240" w:lineRule="auto"/>
      <w:jc w:val="both"/>
    </w:pPr>
    <w:rPr>
      <w:rFonts w:ascii="Malgun Gothic" w:eastAsia="Malgun Gothic" w:hAnsi="Malgun Gothic"/>
      <w:sz w:val="20"/>
      <w:szCs w:val="20"/>
      <w:lang w:val="en-US" w:eastAsia="zh-CN"/>
    </w:rPr>
  </w:style>
  <w:style w:type="character" w:customStyle="1" w:styleId="DateChar1">
    <w:name w:val="Date Char1"/>
    <w:basedOn w:val="a0"/>
    <w:uiPriority w:val="99"/>
    <w:semiHidden/>
    <w:rsid w:val="00D87070"/>
    <w:rPr>
      <w:rFonts w:ascii="Book Antiqua" w:hAnsi="Book Antiqua"/>
      <w:kern w:val="0"/>
      <w:sz w:val="24"/>
      <w:lang w:val="en-GB" w:eastAsia="en-US"/>
    </w:rPr>
  </w:style>
  <w:style w:type="character" w:customStyle="1" w:styleId="Char11">
    <w:name w:val="日期 Char1"/>
    <w:basedOn w:val="a0"/>
    <w:uiPriority w:val="99"/>
    <w:semiHidden/>
    <w:rsid w:val="001C49C6"/>
    <w:rPr>
      <w:rFonts w:ascii="Book Antiqua" w:eastAsia="Times New Roman" w:hAnsi="Book Antiqua" w:cs="Times New Roman"/>
      <w:kern w:val="0"/>
      <w:sz w:val="24"/>
      <w:lang w:val="en-GB" w:eastAsia="en-US"/>
    </w:rPr>
  </w:style>
  <w:style w:type="character" w:customStyle="1" w:styleId="highlight">
    <w:name w:val="highlight"/>
    <w:basedOn w:val="a0"/>
    <w:uiPriority w:val="99"/>
    <w:rsid w:val="001C49C6"/>
    <w:rPr>
      <w:rFonts w:cs="Times New Roman"/>
    </w:rPr>
  </w:style>
  <w:style w:type="character" w:customStyle="1" w:styleId="Char9">
    <w:name w:val="文档结构图 Char"/>
    <w:link w:val="afa"/>
    <w:uiPriority w:val="99"/>
    <w:semiHidden/>
    <w:locked/>
    <w:rsid w:val="001C49C6"/>
    <w:rPr>
      <w:rFonts w:ascii="Gulim" w:eastAsia="Gulim" w:hAnsi="Malgun Gothic"/>
      <w:sz w:val="18"/>
    </w:rPr>
  </w:style>
  <w:style w:type="paragraph" w:styleId="afa">
    <w:name w:val="Document Map"/>
    <w:basedOn w:val="a"/>
    <w:link w:val="Char9"/>
    <w:uiPriority w:val="99"/>
    <w:semiHidden/>
    <w:rsid w:val="001C49C6"/>
    <w:pPr>
      <w:widowControl w:val="0"/>
      <w:wordWrap w:val="0"/>
      <w:autoSpaceDE w:val="0"/>
      <w:autoSpaceDN w:val="0"/>
      <w:spacing w:after="0" w:line="240" w:lineRule="auto"/>
      <w:jc w:val="both"/>
    </w:pPr>
    <w:rPr>
      <w:rFonts w:ascii="Gulim" w:eastAsia="Gulim" w:hAnsi="Malgun Gothic"/>
      <w:sz w:val="18"/>
      <w:szCs w:val="18"/>
      <w:lang w:val="en-US" w:eastAsia="zh-CN"/>
    </w:rPr>
  </w:style>
  <w:style w:type="character" w:customStyle="1" w:styleId="DocumentMapChar1">
    <w:name w:val="Document Map Char1"/>
    <w:basedOn w:val="a0"/>
    <w:uiPriority w:val="99"/>
    <w:semiHidden/>
    <w:rsid w:val="00D87070"/>
    <w:rPr>
      <w:rFonts w:ascii="Times New Roman" w:hAnsi="Times New Roman"/>
      <w:kern w:val="0"/>
      <w:sz w:val="0"/>
      <w:szCs w:val="0"/>
      <w:lang w:val="en-GB" w:eastAsia="en-US"/>
    </w:rPr>
  </w:style>
  <w:style w:type="character" w:customStyle="1" w:styleId="Char12">
    <w:name w:val="文档结构图 Char1"/>
    <w:basedOn w:val="a0"/>
    <w:uiPriority w:val="99"/>
    <w:semiHidden/>
    <w:rsid w:val="001C49C6"/>
    <w:rPr>
      <w:rFonts w:ascii="宋体" w:eastAsia="宋体" w:hAnsi="Book Antiqua" w:cs="Times New Roman"/>
      <w:kern w:val="0"/>
      <w:sz w:val="18"/>
      <w:szCs w:val="18"/>
      <w:lang w:val="en-GB" w:eastAsia="en-US"/>
    </w:rPr>
  </w:style>
  <w:style w:type="paragraph" w:styleId="afb">
    <w:name w:val="Revision"/>
    <w:hidden/>
    <w:uiPriority w:val="99"/>
    <w:semiHidden/>
    <w:rsid w:val="001C49C6"/>
    <w:rPr>
      <w:rFonts w:ascii="Malgun Gothic" w:eastAsia="Malgun Gothic" w:hAnsi="Malgun Gothic"/>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5596</Words>
  <Characters>31900</Characters>
  <Application>Microsoft Office Word</Application>
  <DocSecurity>0</DocSecurity>
  <Lines>265</Lines>
  <Paragraphs>74</Paragraphs>
  <ScaleCrop>false</ScaleCrop>
  <Company>Hewlett-Packard Company</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2014-03-12T06:21:00Z</dcterms:created>
  <dcterms:modified xsi:type="dcterms:W3CDTF">2014-03-12T06:21:00Z</dcterms:modified>
</cp:coreProperties>
</file>