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406E" w14:textId="77777777" w:rsidR="00A77B3E" w:rsidRDefault="00683D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5847C54" w14:textId="77777777" w:rsidR="00A77B3E" w:rsidRDefault="00683D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61761</w:t>
      </w:r>
    </w:p>
    <w:p w14:paraId="16A2571E" w14:textId="77777777" w:rsidR="00A77B3E" w:rsidRDefault="00683D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F4E101" w14:textId="77777777" w:rsidR="00A77B3E" w:rsidRDefault="00A77B3E">
      <w:pPr>
        <w:spacing w:line="360" w:lineRule="auto"/>
        <w:jc w:val="both"/>
      </w:pPr>
    </w:p>
    <w:p w14:paraId="0968CBAB" w14:textId="77777777" w:rsidR="00A77B3E" w:rsidRDefault="00683D76">
      <w:pPr>
        <w:spacing w:line="360" w:lineRule="auto"/>
        <w:jc w:val="both"/>
      </w:pPr>
      <w:r>
        <w:rPr>
          <w:rFonts w:ascii="Book Antiqua" w:eastAsia="Book Antiqua" w:hAnsi="Book Antiqua" w:cs="Book Antiqua"/>
          <w:b/>
          <w:bCs/>
          <w:color w:val="000000"/>
        </w:rPr>
        <w:t>Dual antibiotic loaded bone cement in patients at high infection risks in arthroplasty: Rationale of use for prophylaxis and scientific evidence</w:t>
      </w:r>
    </w:p>
    <w:p w14:paraId="145A0C9B" w14:textId="77777777" w:rsidR="00A77B3E" w:rsidRDefault="00A77B3E">
      <w:pPr>
        <w:spacing w:line="360" w:lineRule="auto"/>
        <w:jc w:val="both"/>
      </w:pPr>
    </w:p>
    <w:p w14:paraId="5DA25399" w14:textId="667DB016" w:rsidR="00A77B3E" w:rsidRDefault="00683D76">
      <w:pPr>
        <w:spacing w:line="360" w:lineRule="auto"/>
        <w:jc w:val="both"/>
      </w:pPr>
      <w:r>
        <w:rPr>
          <w:rFonts w:ascii="Book Antiqua" w:eastAsia="Book Antiqua" w:hAnsi="Book Antiqua" w:cs="Book Antiqua"/>
          <w:color w:val="000000"/>
        </w:rPr>
        <w:t xml:space="preserve">Berberich </w:t>
      </w:r>
      <w:r w:rsidR="00BF3274">
        <w:rPr>
          <w:rFonts w:ascii="Book Antiqua" w:eastAsia="Book Antiqua" w:hAnsi="Book Antiqua" w:cs="Book Antiqua"/>
          <w:color w:val="000000"/>
        </w:rPr>
        <w:t xml:space="preserve">CE </w:t>
      </w:r>
      <w:r>
        <w:rPr>
          <w:rFonts w:ascii="Book Antiqua" w:eastAsia="Book Antiqua" w:hAnsi="Book Antiqua" w:cs="Book Antiqua"/>
          <w:i/>
          <w:iCs/>
          <w:color w:val="000000"/>
        </w:rPr>
        <w:t>et al</w:t>
      </w:r>
      <w:r>
        <w:rPr>
          <w:rFonts w:ascii="Book Antiqua" w:eastAsia="Book Antiqua" w:hAnsi="Book Antiqua" w:cs="Book Antiqua"/>
          <w:color w:val="000000"/>
        </w:rPr>
        <w:t>. Minireview prophylactic efficacy of dual ALBC</w:t>
      </w:r>
    </w:p>
    <w:p w14:paraId="376E04C0" w14:textId="77777777" w:rsidR="00A77B3E" w:rsidRDefault="00A77B3E">
      <w:pPr>
        <w:spacing w:line="360" w:lineRule="auto"/>
        <w:jc w:val="both"/>
      </w:pPr>
    </w:p>
    <w:p w14:paraId="12B9105F" w14:textId="77777777" w:rsidR="00A77B3E" w:rsidRPr="0049463D" w:rsidRDefault="00683D76">
      <w:pPr>
        <w:spacing w:line="360" w:lineRule="auto"/>
        <w:jc w:val="both"/>
        <w:rPr>
          <w:lang w:val="de-DE"/>
        </w:rPr>
      </w:pPr>
      <w:r w:rsidRPr="0049463D">
        <w:rPr>
          <w:rFonts w:ascii="Book Antiqua" w:eastAsia="Book Antiqua" w:hAnsi="Book Antiqua" w:cs="Book Antiqua"/>
          <w:color w:val="000000"/>
          <w:lang w:val="de-DE"/>
        </w:rPr>
        <w:t>Christof Ernst Berberich, Jérôme Josse, Frédéric Laurent, Tristan Ferry</w:t>
      </w:r>
    </w:p>
    <w:p w14:paraId="60B5BF16" w14:textId="77777777" w:rsidR="00A77B3E" w:rsidRPr="0049463D" w:rsidRDefault="00A77B3E">
      <w:pPr>
        <w:spacing w:line="360" w:lineRule="auto"/>
        <w:jc w:val="both"/>
        <w:rPr>
          <w:lang w:val="de-DE"/>
        </w:rPr>
      </w:pPr>
    </w:p>
    <w:p w14:paraId="3770A022" w14:textId="77777777" w:rsidR="00A77B3E" w:rsidRDefault="00683D76">
      <w:pPr>
        <w:spacing w:line="360" w:lineRule="auto"/>
        <w:jc w:val="both"/>
      </w:pPr>
      <w:r>
        <w:rPr>
          <w:rFonts w:ascii="Book Antiqua" w:eastAsia="Book Antiqua" w:hAnsi="Book Antiqua" w:cs="Book Antiqua"/>
          <w:b/>
          <w:bCs/>
          <w:color w:val="000000"/>
        </w:rPr>
        <w:t xml:space="preserve">Christof Ernst Berberich, </w:t>
      </w:r>
      <w:r>
        <w:rPr>
          <w:rFonts w:ascii="Book Antiqua" w:eastAsia="Book Antiqua" w:hAnsi="Book Antiqua" w:cs="Book Antiqua"/>
          <w:color w:val="000000"/>
        </w:rPr>
        <w:t>Department of Medical Training, Heraeus Medical GmbH, Wehrheim 612173, Hessen, Germany</w:t>
      </w:r>
    </w:p>
    <w:p w14:paraId="76BC1CD4" w14:textId="77777777" w:rsidR="00A77B3E" w:rsidRDefault="00A77B3E">
      <w:pPr>
        <w:spacing w:line="360" w:lineRule="auto"/>
        <w:jc w:val="both"/>
      </w:pPr>
    </w:p>
    <w:p w14:paraId="29AAE11C" w14:textId="77777777" w:rsidR="00A77B3E" w:rsidRDefault="00683D76">
      <w:pPr>
        <w:spacing w:line="360" w:lineRule="auto"/>
        <w:jc w:val="both"/>
      </w:pPr>
      <w:r>
        <w:rPr>
          <w:rFonts w:ascii="Book Antiqua" w:eastAsia="Book Antiqua" w:hAnsi="Book Antiqua" w:cs="Book Antiqua"/>
          <w:b/>
          <w:bCs/>
          <w:color w:val="000000"/>
        </w:rPr>
        <w:t xml:space="preserve">Jérôme Josse, Frédéric Laurent, Tristan Ferry, </w:t>
      </w:r>
      <w:proofErr w:type="spellStart"/>
      <w:r>
        <w:rPr>
          <w:rFonts w:ascii="Book Antiqua" w:eastAsia="Book Antiqua" w:hAnsi="Book Antiqua" w:cs="Book Antiqua"/>
          <w:color w:val="000000"/>
        </w:rPr>
        <w:t>Institut</w:t>
      </w:r>
      <w:proofErr w:type="spellEnd"/>
      <w:r>
        <w:rPr>
          <w:rFonts w:ascii="Book Antiqua" w:eastAsia="Book Antiqua" w:hAnsi="Book Antiqua" w:cs="Book Antiqua"/>
          <w:color w:val="000000"/>
        </w:rPr>
        <w:t xml:space="preserve"> des Sciences </w:t>
      </w:r>
      <w:proofErr w:type="spellStart"/>
      <w:r>
        <w:rPr>
          <w:rFonts w:ascii="Book Antiqua" w:eastAsia="Book Antiqua" w:hAnsi="Book Antiqua" w:cs="Book Antiqua"/>
          <w:color w:val="000000"/>
        </w:rPr>
        <w:t>Pharmaceutiques</w:t>
      </w:r>
      <w:proofErr w:type="spellEnd"/>
      <w:r>
        <w:rPr>
          <w:rFonts w:ascii="Book Antiqua" w:eastAsia="Book Antiqua" w:hAnsi="Book Antiqua" w:cs="Book Antiqua"/>
          <w:color w:val="000000"/>
        </w:rPr>
        <w:t xml:space="preserve"> et </w:t>
      </w:r>
      <w:proofErr w:type="spellStart"/>
      <w:r>
        <w:rPr>
          <w:rFonts w:ascii="Book Antiqua" w:eastAsia="Book Antiqua" w:hAnsi="Book Antiqua" w:cs="Book Antiqua"/>
          <w:color w:val="000000"/>
        </w:rPr>
        <w:t>Biologiques</w:t>
      </w:r>
      <w:proofErr w:type="spellEnd"/>
      <w:r>
        <w:rPr>
          <w:rFonts w:ascii="Book Antiqua" w:eastAsia="Book Antiqua" w:hAnsi="Book Antiqua" w:cs="Book Antiqua"/>
          <w:color w:val="000000"/>
        </w:rPr>
        <w:t xml:space="preserve"> de Lyon (ISPB), International Center for Research in Infectiology, </w:t>
      </w:r>
      <w:proofErr w:type="spellStart"/>
      <w:r>
        <w:rPr>
          <w:rFonts w:ascii="Book Antiqua" w:eastAsia="Book Antiqua" w:hAnsi="Book Antiqua" w:cs="Book Antiqua"/>
          <w:color w:val="000000"/>
        </w:rPr>
        <w:t>Inserm</w:t>
      </w:r>
      <w:proofErr w:type="spellEnd"/>
      <w:r>
        <w:rPr>
          <w:rFonts w:ascii="Book Antiqua" w:eastAsia="Book Antiqua" w:hAnsi="Book Antiqua" w:cs="Book Antiqua"/>
          <w:color w:val="000000"/>
        </w:rPr>
        <w:t xml:space="preserve"> U1111, CNRS UMR5308, ENS de Lyon, UCBL1, Lyon 69008, France</w:t>
      </w:r>
    </w:p>
    <w:p w14:paraId="1B8ABED3" w14:textId="77777777" w:rsidR="00A77B3E" w:rsidRDefault="00A77B3E">
      <w:pPr>
        <w:spacing w:line="360" w:lineRule="auto"/>
        <w:jc w:val="both"/>
      </w:pPr>
    </w:p>
    <w:p w14:paraId="34C75B5A" w14:textId="77777777" w:rsidR="00A77B3E" w:rsidRDefault="00683D76">
      <w:pPr>
        <w:spacing w:line="360" w:lineRule="auto"/>
        <w:jc w:val="both"/>
      </w:pPr>
      <w:r>
        <w:rPr>
          <w:rFonts w:ascii="Book Antiqua" w:eastAsia="Book Antiqua" w:hAnsi="Book Antiqua" w:cs="Book Antiqua"/>
          <w:b/>
          <w:bCs/>
          <w:color w:val="000000"/>
        </w:rPr>
        <w:t xml:space="preserve">Jérôme Josse, Frédéric Laurent, Tristan Ferry, </w:t>
      </w:r>
      <w:r>
        <w:rPr>
          <w:rFonts w:ascii="Book Antiqua" w:eastAsia="Book Antiqua" w:hAnsi="Book Antiqua" w:cs="Book Antiqua"/>
          <w:color w:val="000000"/>
        </w:rPr>
        <w:t>Interregional Reference Center for the Management of Complex Osteo-Articular Infections, Hospices Civils de Lyon, Lyon 69008, France</w:t>
      </w:r>
    </w:p>
    <w:p w14:paraId="5F085619" w14:textId="77777777" w:rsidR="00A77B3E" w:rsidRDefault="00A77B3E">
      <w:pPr>
        <w:spacing w:line="360" w:lineRule="auto"/>
        <w:jc w:val="both"/>
      </w:pPr>
    </w:p>
    <w:p w14:paraId="5DDBE515" w14:textId="77777777" w:rsidR="00A77B3E" w:rsidRDefault="00683D76">
      <w:pPr>
        <w:spacing w:line="360" w:lineRule="auto"/>
        <w:jc w:val="both"/>
      </w:pPr>
      <w:r>
        <w:rPr>
          <w:rFonts w:ascii="Book Antiqua" w:eastAsia="Book Antiqua" w:hAnsi="Book Antiqua" w:cs="Book Antiqua"/>
          <w:b/>
          <w:bCs/>
          <w:color w:val="000000"/>
        </w:rPr>
        <w:t xml:space="preserve">Frédéric Laurent, </w:t>
      </w:r>
      <w:r>
        <w:rPr>
          <w:rFonts w:ascii="Book Antiqua" w:eastAsia="Book Antiqua" w:hAnsi="Book Antiqua" w:cs="Book Antiqua"/>
          <w:color w:val="000000"/>
        </w:rPr>
        <w:t>Bacteriology Laboratory, Institute of Infectious Agents, Croix-Rousse Hospital, Hospices Civils de Lyon, Lyon 69008, France</w:t>
      </w:r>
    </w:p>
    <w:p w14:paraId="57F034F6" w14:textId="77777777" w:rsidR="00A77B3E" w:rsidRDefault="00A77B3E">
      <w:pPr>
        <w:spacing w:line="360" w:lineRule="auto"/>
        <w:jc w:val="both"/>
      </w:pPr>
    </w:p>
    <w:p w14:paraId="352CB582" w14:textId="77777777" w:rsidR="00A77B3E" w:rsidRDefault="00683D76">
      <w:pPr>
        <w:spacing w:line="360" w:lineRule="auto"/>
        <w:jc w:val="both"/>
      </w:pPr>
      <w:r>
        <w:rPr>
          <w:rFonts w:ascii="Book Antiqua" w:eastAsia="Book Antiqua" w:hAnsi="Book Antiqua" w:cs="Book Antiqua"/>
          <w:b/>
          <w:bCs/>
          <w:color w:val="000000"/>
        </w:rPr>
        <w:t xml:space="preserve">Tristan Ferry, </w:t>
      </w:r>
      <w:r>
        <w:rPr>
          <w:rFonts w:ascii="Book Antiqua" w:eastAsia="Book Antiqua" w:hAnsi="Book Antiqua" w:cs="Book Antiqua"/>
          <w:color w:val="000000"/>
        </w:rPr>
        <w:t>Infectious and Tropical Diseases Department, Croix-Rousse Hospital, Hospices Civils de Lyon, Lyon 69008, France</w:t>
      </w:r>
    </w:p>
    <w:p w14:paraId="0F3C0489" w14:textId="77777777" w:rsidR="00A77B3E" w:rsidRDefault="00A77B3E">
      <w:pPr>
        <w:spacing w:line="360" w:lineRule="auto"/>
        <w:jc w:val="both"/>
      </w:pPr>
    </w:p>
    <w:p w14:paraId="0C86BA1D" w14:textId="559E4877" w:rsidR="00A77B3E" w:rsidRDefault="00683D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Berberich C</w:t>
      </w:r>
      <w:r w:rsidR="00BF3274">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and Josse J have performed the literature and data analysis and have made substantial contributions to the drafting of the manuscript</w:t>
      </w:r>
      <w:r w:rsidR="00BF327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Ferry </w:t>
      </w:r>
      <w:r>
        <w:rPr>
          <w:rFonts w:ascii="Book Antiqua" w:eastAsia="Book Antiqua" w:hAnsi="Book Antiqua" w:cs="Book Antiqua"/>
          <w:color w:val="000000"/>
          <w:szCs w:val="22"/>
        </w:rPr>
        <w:lastRenderedPageBreak/>
        <w:t>T and Laurent F have made substantial contributions to the interpretation of the data and final approval of the manuscript.</w:t>
      </w:r>
    </w:p>
    <w:p w14:paraId="279EA2CF" w14:textId="77777777" w:rsidR="00A77B3E" w:rsidRDefault="00A77B3E">
      <w:pPr>
        <w:spacing w:line="360" w:lineRule="auto"/>
        <w:jc w:val="both"/>
      </w:pPr>
    </w:p>
    <w:p w14:paraId="0BD8A27D" w14:textId="77777777" w:rsidR="00A77B3E" w:rsidRDefault="00683D76">
      <w:pPr>
        <w:spacing w:line="360" w:lineRule="auto"/>
        <w:jc w:val="both"/>
      </w:pPr>
      <w:r>
        <w:rPr>
          <w:rFonts w:ascii="Book Antiqua" w:eastAsia="Book Antiqua" w:hAnsi="Book Antiqua" w:cs="Book Antiqua"/>
          <w:b/>
          <w:bCs/>
          <w:color w:val="000000"/>
        </w:rPr>
        <w:t xml:space="preserve">Corresponding author: Christof Ernst Berberich, MSc, PhD, Lecturer, Senior Scientist, </w:t>
      </w:r>
      <w:r>
        <w:rPr>
          <w:rFonts w:ascii="Book Antiqua" w:eastAsia="Book Antiqua" w:hAnsi="Book Antiqua" w:cs="Book Antiqua"/>
          <w:color w:val="000000"/>
        </w:rPr>
        <w:t>Department of Medical Training, Heraeus Medical GmbH, Philipp-Reis-Str. 8/11, Wehrheim 612173, Hessen, Germany. christof.berberich@heraeus.com</w:t>
      </w:r>
    </w:p>
    <w:p w14:paraId="10DE4D3C" w14:textId="77777777" w:rsidR="00A77B3E" w:rsidRDefault="00A77B3E">
      <w:pPr>
        <w:spacing w:line="360" w:lineRule="auto"/>
        <w:jc w:val="both"/>
      </w:pPr>
    </w:p>
    <w:p w14:paraId="3B45B6A3" w14:textId="77777777" w:rsidR="00A77B3E" w:rsidRDefault="00683D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18, 2020</w:t>
      </w:r>
    </w:p>
    <w:p w14:paraId="7C7C5BC2" w14:textId="77777777" w:rsidR="00A77B3E" w:rsidRDefault="00683D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20, 2021</w:t>
      </w:r>
    </w:p>
    <w:p w14:paraId="49D92BCB" w14:textId="228C0C49" w:rsidR="00A77B3E" w:rsidRDefault="00683D76">
      <w:pPr>
        <w:spacing w:line="360" w:lineRule="auto"/>
        <w:jc w:val="both"/>
      </w:pPr>
      <w:r>
        <w:rPr>
          <w:rFonts w:ascii="Book Antiqua" w:eastAsia="Book Antiqua" w:hAnsi="Book Antiqua" w:cs="Book Antiqua"/>
          <w:b/>
          <w:bCs/>
          <w:color w:val="000000"/>
        </w:rPr>
        <w:t xml:space="preserve">Accepted: </w:t>
      </w:r>
      <w:r w:rsidR="0042373A" w:rsidRPr="0042373A">
        <w:rPr>
          <w:rFonts w:ascii="Book Antiqua" w:eastAsia="Book Antiqua" w:hAnsi="Book Antiqua" w:cs="Book Antiqua"/>
          <w:color w:val="000000"/>
        </w:rPr>
        <w:t>March 8, 2021</w:t>
      </w:r>
    </w:p>
    <w:p w14:paraId="2B71F093" w14:textId="77777777" w:rsidR="00A77B3E" w:rsidRDefault="00683D76">
      <w:pPr>
        <w:spacing w:line="360" w:lineRule="auto"/>
        <w:jc w:val="both"/>
      </w:pPr>
      <w:r>
        <w:rPr>
          <w:rFonts w:ascii="Book Antiqua" w:eastAsia="Book Antiqua" w:hAnsi="Book Antiqua" w:cs="Book Antiqua"/>
          <w:b/>
          <w:bCs/>
          <w:color w:val="000000"/>
        </w:rPr>
        <w:t xml:space="preserve">Published online: </w:t>
      </w:r>
    </w:p>
    <w:p w14:paraId="4D270B7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EFF327" w14:textId="77777777" w:rsidR="00A77B3E" w:rsidRDefault="00683D76">
      <w:pPr>
        <w:spacing w:line="360" w:lineRule="auto"/>
        <w:jc w:val="both"/>
      </w:pPr>
      <w:r>
        <w:rPr>
          <w:rFonts w:ascii="Book Antiqua" w:eastAsia="Book Antiqua" w:hAnsi="Book Antiqua" w:cs="Book Antiqua"/>
          <w:b/>
          <w:color w:val="000000"/>
        </w:rPr>
        <w:lastRenderedPageBreak/>
        <w:t>Abstract</w:t>
      </w:r>
    </w:p>
    <w:p w14:paraId="295002F9" w14:textId="1EC21818" w:rsidR="00A77B3E" w:rsidRDefault="00683D76">
      <w:pPr>
        <w:spacing w:line="360" w:lineRule="auto"/>
        <w:jc w:val="both"/>
      </w:pPr>
      <w:r>
        <w:rPr>
          <w:rFonts w:ascii="Book Antiqua" w:eastAsia="Book Antiqua" w:hAnsi="Book Antiqua" w:cs="Book Antiqua"/>
          <w:color w:val="000000"/>
        </w:rPr>
        <w:t>In view of the demographic changes and projected increase of arthroplasty procedures worldwide, the number of prosthetic joint infection cases will naturally grow. Therefore, in order to counteract this trend more rigid rules and a stricter implementation of effective preventive strategies is of highest importance. In the absence of a “miracle weapon” priorities should lie in evidence-based measures including preoperative optimization of patients at higher infection risks, the fulfilment of strict hygiene rules in the operating theatre and an effective antibiotic prophylaxis regimen. Instead of a “one size fits all” philosophy, it has been proposed to adjust the antibiotic prophylaxis protocol to major infection risks taking into account important patient- and procedure</w:t>
      </w:r>
      <w:r w:rsidR="00BF3274">
        <w:rPr>
          <w:rFonts w:ascii="Book Antiqua" w:eastAsia="Book Antiqua" w:hAnsi="Book Antiqua" w:cs="Book Antiqua"/>
          <w:color w:val="000000"/>
        </w:rPr>
        <w:t>-</w:t>
      </w:r>
      <w:r>
        <w:rPr>
          <w:rFonts w:ascii="Book Antiqua" w:eastAsia="Book Antiqua" w:hAnsi="Book Antiqua" w:cs="Book Antiqua"/>
          <w:color w:val="000000"/>
        </w:rPr>
        <w:t xml:space="preserve">related risk factors. A stronger focus on the local application mode </w:t>
      </w:r>
      <w:r>
        <w:rPr>
          <w:rFonts w:ascii="Book Antiqua" w:eastAsia="Book Antiqua" w:hAnsi="Book Antiqua" w:cs="Book Antiqua"/>
          <w:i/>
          <w:iCs/>
          <w:color w:val="000000"/>
        </w:rPr>
        <w:t>via</w:t>
      </w:r>
      <w:r>
        <w:rPr>
          <w:rFonts w:ascii="Book Antiqua" w:eastAsia="Book Antiqua" w:hAnsi="Book Antiqua" w:cs="Book Antiqua"/>
          <w:color w:val="000000"/>
        </w:rPr>
        <w:t xml:space="preserve"> use of high dose dual antibiotic-loaded bone cement in such risk situations may have its advantages and is easy to apply in the theatre. The more potent antimicrobial growth inhibition </w:t>
      </w:r>
      <w:r>
        <w:rPr>
          <w:rFonts w:ascii="Book Antiqua" w:eastAsia="Book Antiqua" w:hAnsi="Book Antiqua" w:cs="Book Antiqua"/>
          <w:i/>
          <w:iCs/>
          <w:color w:val="000000"/>
        </w:rPr>
        <w:t>in</w:t>
      </w:r>
      <w:r w:rsidR="00BF3274">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and the strong reduction of the </w:t>
      </w:r>
      <w:r w:rsidR="00BF3274">
        <w:rPr>
          <w:rFonts w:ascii="Book Antiqua" w:eastAsia="Book Antiqua" w:hAnsi="Book Antiqua" w:cs="Book Antiqua"/>
          <w:color w:val="000000"/>
        </w:rPr>
        <w:t>prosthetic joint infection</w:t>
      </w:r>
      <w:r>
        <w:rPr>
          <w:rFonts w:ascii="Book Antiqua" w:eastAsia="Book Antiqua" w:hAnsi="Book Antiqua" w:cs="Book Antiqua"/>
          <w:color w:val="000000"/>
        </w:rPr>
        <w:t xml:space="preserve"> rate in risk for infection patients with aid of dual </w:t>
      </w:r>
      <w:r w:rsidR="00BF3274">
        <w:rPr>
          <w:rFonts w:ascii="Book Antiqua" w:eastAsia="Book Antiqua" w:hAnsi="Book Antiqua" w:cs="Book Antiqua"/>
          <w:color w:val="000000"/>
        </w:rPr>
        <w:t>antibiotic-loaded bone cement</w:t>
      </w:r>
      <w:r>
        <w:rPr>
          <w:rFonts w:ascii="Book Antiqua" w:eastAsia="Book Antiqua" w:hAnsi="Book Antiqua" w:cs="Book Antiqua"/>
          <w:color w:val="000000"/>
        </w:rPr>
        <w:t xml:space="preserve"> in clinical studies align with this hypothesis.</w:t>
      </w:r>
    </w:p>
    <w:p w14:paraId="7D8EE232" w14:textId="77777777" w:rsidR="00A77B3E" w:rsidRDefault="00A77B3E">
      <w:pPr>
        <w:spacing w:line="360" w:lineRule="auto"/>
        <w:jc w:val="both"/>
      </w:pPr>
    </w:p>
    <w:p w14:paraId="6D888CE6" w14:textId="46FA2095" w:rsidR="00A77B3E" w:rsidRDefault="00683D76">
      <w:pPr>
        <w:spacing w:line="360" w:lineRule="auto"/>
        <w:jc w:val="both"/>
      </w:pPr>
      <w:r>
        <w:rPr>
          <w:rFonts w:ascii="Book Antiqua" w:eastAsia="Book Antiqua" w:hAnsi="Book Antiqua" w:cs="Book Antiqua"/>
          <w:b/>
          <w:bCs/>
          <w:color w:val="000000"/>
        </w:rPr>
        <w:t xml:space="preserve">Key Words: </w:t>
      </w:r>
      <w:r w:rsidR="00BF3274">
        <w:rPr>
          <w:rFonts w:ascii="Book Antiqua" w:eastAsia="Book Antiqua" w:hAnsi="Book Antiqua" w:cs="Book Antiqua"/>
          <w:color w:val="000000"/>
        </w:rPr>
        <w:t>P</w:t>
      </w:r>
      <w:r>
        <w:rPr>
          <w:rFonts w:ascii="Book Antiqua" w:eastAsia="Book Antiqua" w:hAnsi="Book Antiqua" w:cs="Book Antiqua"/>
          <w:color w:val="000000"/>
        </w:rPr>
        <w:t xml:space="preserve">rosthetic joint infection; </w:t>
      </w:r>
      <w:r w:rsidR="00BF3274">
        <w:rPr>
          <w:rFonts w:ascii="Book Antiqua" w:eastAsia="Book Antiqua" w:hAnsi="Book Antiqua" w:cs="Book Antiqua"/>
          <w:color w:val="000000"/>
        </w:rPr>
        <w:t>A</w:t>
      </w:r>
      <w:r>
        <w:rPr>
          <w:rFonts w:ascii="Book Antiqua" w:eastAsia="Book Antiqua" w:hAnsi="Book Antiqua" w:cs="Book Antiqua"/>
          <w:color w:val="000000"/>
        </w:rPr>
        <w:t xml:space="preserve">ntibiotic-loaded bone cement; </w:t>
      </w:r>
      <w:r w:rsidR="00BF3274">
        <w:rPr>
          <w:rFonts w:ascii="Book Antiqua" w:eastAsia="Book Antiqua" w:hAnsi="Book Antiqua" w:cs="Book Antiqua"/>
          <w:color w:val="000000"/>
        </w:rPr>
        <w:t>S</w:t>
      </w:r>
      <w:r>
        <w:rPr>
          <w:rFonts w:ascii="Book Antiqua" w:eastAsia="Book Antiqua" w:hAnsi="Book Antiqua" w:cs="Book Antiqua"/>
          <w:color w:val="000000"/>
        </w:rPr>
        <w:t xml:space="preserve">ingle low dose </w:t>
      </w:r>
      <w:r w:rsidR="00BF3274">
        <w:rPr>
          <w:rFonts w:ascii="Book Antiqua" w:eastAsia="Book Antiqua" w:hAnsi="Book Antiqua" w:cs="Book Antiqua"/>
          <w:color w:val="000000"/>
        </w:rPr>
        <w:t>antibiotic-loaded bone cement</w:t>
      </w:r>
      <w:r>
        <w:rPr>
          <w:rFonts w:ascii="Book Antiqua" w:eastAsia="Book Antiqua" w:hAnsi="Book Antiqua" w:cs="Book Antiqua"/>
          <w:color w:val="000000"/>
        </w:rPr>
        <w:t xml:space="preserve">; </w:t>
      </w:r>
      <w:r w:rsidR="00BF3274">
        <w:rPr>
          <w:rFonts w:ascii="Book Antiqua" w:eastAsia="Book Antiqua" w:hAnsi="Book Antiqua" w:cs="Book Antiqua"/>
          <w:color w:val="000000"/>
        </w:rPr>
        <w:t>D</w:t>
      </w:r>
      <w:r>
        <w:rPr>
          <w:rFonts w:ascii="Book Antiqua" w:eastAsia="Book Antiqua" w:hAnsi="Book Antiqua" w:cs="Book Antiqua"/>
          <w:color w:val="000000"/>
        </w:rPr>
        <w:t xml:space="preserve">ual high dose </w:t>
      </w:r>
      <w:r w:rsidR="00BF3274">
        <w:rPr>
          <w:rFonts w:ascii="Book Antiqua" w:eastAsia="Book Antiqua" w:hAnsi="Book Antiqua" w:cs="Book Antiqua"/>
          <w:color w:val="000000"/>
        </w:rPr>
        <w:t>antibiotic-loaded bone cement</w:t>
      </w:r>
      <w:r>
        <w:rPr>
          <w:rFonts w:ascii="Book Antiqua" w:eastAsia="Book Antiqua" w:hAnsi="Book Antiqua" w:cs="Book Antiqua"/>
          <w:color w:val="000000"/>
        </w:rPr>
        <w:t xml:space="preserve">; </w:t>
      </w:r>
      <w:r w:rsidR="00BF3274">
        <w:rPr>
          <w:rFonts w:ascii="Book Antiqua" w:eastAsia="Book Antiqua" w:hAnsi="Book Antiqua" w:cs="Book Antiqua"/>
          <w:color w:val="000000"/>
        </w:rPr>
        <w:t>A</w:t>
      </w:r>
      <w:r>
        <w:rPr>
          <w:rFonts w:ascii="Book Antiqua" w:eastAsia="Book Antiqua" w:hAnsi="Book Antiqua" w:cs="Book Antiqua"/>
          <w:color w:val="000000"/>
        </w:rPr>
        <w:t xml:space="preserve">ntibiotic prophylaxis; </w:t>
      </w:r>
      <w:r w:rsidR="00BF3274">
        <w:rPr>
          <w:rFonts w:ascii="Book Antiqua" w:eastAsia="Book Antiqua" w:hAnsi="Book Antiqua" w:cs="Book Antiqua"/>
          <w:color w:val="000000"/>
        </w:rPr>
        <w:t>R</w:t>
      </w:r>
      <w:r>
        <w:rPr>
          <w:rFonts w:ascii="Book Antiqua" w:eastAsia="Book Antiqua" w:hAnsi="Book Antiqua" w:cs="Book Antiqua"/>
          <w:color w:val="000000"/>
        </w:rPr>
        <w:t>isk-for-infection patients</w:t>
      </w:r>
    </w:p>
    <w:p w14:paraId="2A9253C2" w14:textId="77777777" w:rsidR="00A77B3E" w:rsidRDefault="00A77B3E">
      <w:pPr>
        <w:spacing w:line="360" w:lineRule="auto"/>
        <w:jc w:val="both"/>
      </w:pPr>
    </w:p>
    <w:p w14:paraId="4AA40B39" w14:textId="77777777" w:rsidR="00A77B3E" w:rsidRDefault="00683D76">
      <w:pPr>
        <w:spacing w:line="360" w:lineRule="auto"/>
        <w:jc w:val="both"/>
      </w:pPr>
      <w:r>
        <w:rPr>
          <w:rFonts w:ascii="Book Antiqua" w:eastAsia="Book Antiqua" w:hAnsi="Book Antiqua" w:cs="Book Antiqua"/>
          <w:color w:val="000000"/>
        </w:rPr>
        <w:t xml:space="preserve">Berberich CE, Josse J, Laurent F, Ferry T. Dual antibiotic loaded bone cement in patients at high infection risks in arthroplasty: Rationale of use for prophylaxis and scientific evidence.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124F6A11" w14:textId="77777777" w:rsidR="00A77B3E" w:rsidRDefault="00A77B3E">
      <w:pPr>
        <w:spacing w:line="360" w:lineRule="auto"/>
        <w:jc w:val="both"/>
      </w:pPr>
    </w:p>
    <w:p w14:paraId="0BA4D849" w14:textId="04C0C881" w:rsidR="00A77B3E" w:rsidRDefault="00683D7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objective of an effective antibiotic prophylaxis in arthroplasty may be best achieved through the combination of a systemic and local application route </w:t>
      </w:r>
      <w:r>
        <w:rPr>
          <w:rFonts w:ascii="Book Antiqua" w:eastAsia="Book Antiqua" w:hAnsi="Book Antiqua" w:cs="Book Antiqua"/>
          <w:i/>
          <w:iCs/>
          <w:color w:val="000000"/>
        </w:rPr>
        <w:t>via</w:t>
      </w:r>
      <w:r>
        <w:rPr>
          <w:rFonts w:ascii="Book Antiqua" w:eastAsia="Book Antiqua" w:hAnsi="Book Antiqua" w:cs="Book Antiqua"/>
          <w:color w:val="000000"/>
        </w:rPr>
        <w:t xml:space="preserve"> antibiotic-loaded bone cement. Based on the observation of strong synergistic effects in antibiotic elution and antimicrobial efficacy of dual antibiotic-loaded bone cements, the hypothesis of a clinically more meaningful prophylaxis has been tested against gentamicin-only containing bone cements. Evidence is provided that this easy-to-apply strategy might be </w:t>
      </w:r>
      <w:r>
        <w:rPr>
          <w:rFonts w:ascii="Book Antiqua" w:eastAsia="Book Antiqua" w:hAnsi="Book Antiqua" w:cs="Book Antiqua"/>
          <w:color w:val="000000"/>
        </w:rPr>
        <w:lastRenderedPageBreak/>
        <w:t>successful, if important comorbidities or procedure-related factors predispose patients to higher infection risks than usual.</w:t>
      </w:r>
    </w:p>
    <w:p w14:paraId="72D2CEF9" w14:textId="7B3A2A92" w:rsidR="00A77B3E" w:rsidRDefault="00BF3274">
      <w:pPr>
        <w:spacing w:line="360" w:lineRule="auto"/>
        <w:jc w:val="both"/>
      </w:pPr>
      <w:r>
        <w:br w:type="page"/>
      </w:r>
      <w:r w:rsidR="00683D76">
        <w:rPr>
          <w:rFonts w:ascii="Book Antiqua" w:eastAsia="Book Antiqua" w:hAnsi="Book Antiqua" w:cs="Book Antiqua"/>
          <w:b/>
          <w:caps/>
          <w:color w:val="000000"/>
          <w:u w:val="single"/>
        </w:rPr>
        <w:lastRenderedPageBreak/>
        <w:t>INTRODUCTION</w:t>
      </w:r>
    </w:p>
    <w:p w14:paraId="1C5B191A" w14:textId="172314FB" w:rsidR="00A77B3E" w:rsidRDefault="00683D76">
      <w:pPr>
        <w:spacing w:line="360" w:lineRule="auto"/>
        <w:jc w:val="both"/>
      </w:pPr>
      <w:r>
        <w:rPr>
          <w:rFonts w:ascii="Book Antiqua" w:eastAsia="Book Antiqua" w:hAnsi="Book Antiqua" w:cs="Book Antiqua"/>
          <w:color w:val="000000"/>
        </w:rPr>
        <w:t xml:space="preserve">Prosthetic joint infection (PJI) is one of the most dreadful complications of arthroplasty. Effective prophylactic strategies are essential to reduce the incidence of these difficult to treat and burdensome infections. The mode of prophylactic use of </w:t>
      </w:r>
      <w:bookmarkStart w:id="0" w:name="_Hlk65133425"/>
      <w:r>
        <w:rPr>
          <w:rFonts w:ascii="Book Antiqua" w:eastAsia="Book Antiqua" w:hAnsi="Book Antiqua" w:cs="Book Antiqua"/>
          <w:color w:val="000000"/>
        </w:rPr>
        <w:t>antibiotic-loaded bone cement</w:t>
      </w:r>
      <w:bookmarkEnd w:id="0"/>
      <w:r>
        <w:rPr>
          <w:rFonts w:ascii="Book Antiqua" w:eastAsia="Book Antiqua" w:hAnsi="Book Antiqua" w:cs="Book Antiqua"/>
          <w:color w:val="000000"/>
        </w:rPr>
        <w:t xml:space="preserve"> (ALBC) is a frequent surgical practice in cemented hip and knee replacement. The idea behind delivering antibiotics directly into the vulnerable joint compartment is that local concentrations well above the minimum inhibitory concentration of the pathogen can be achieved without exposing the patient to major risks of side effects. With this mechanism ALBC may form an additional antimicrobial frontline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and complement the routine systemic antibiotic prophylaxis. The combined systemic and local antibiotic administration may be even more important in situations where the efficacy of the systemic prophylaxis is experiencing increasing limitations due to the spread of resistant bacteria to the commonly used perioperative antibiotics cefazolin or cefuroxime</w:t>
      </w:r>
      <w:r>
        <w:rPr>
          <w:rFonts w:ascii="Book Antiqua" w:eastAsia="Book Antiqua" w:hAnsi="Book Antiqua" w:cs="Book Antiqua"/>
          <w:color w:val="000000"/>
          <w:szCs w:val="18"/>
          <w:vertAlign w:val="superscript"/>
        </w:rPr>
        <w:t>[1,2]</w:t>
      </w:r>
      <w:r>
        <w:rPr>
          <w:rFonts w:ascii="Book Antiqua" w:eastAsia="Book Antiqua" w:hAnsi="Book Antiqua" w:cs="Book Antiqua"/>
          <w:color w:val="000000"/>
        </w:rPr>
        <w:t>. The Scandinavian registries and</w:t>
      </w:r>
      <w:r w:rsidR="00BF3274">
        <w:rPr>
          <w:rFonts w:ascii="Book Antiqua" w:eastAsia="Book Antiqua" w:hAnsi="Book Antiqua" w:cs="Book Antiqua"/>
          <w:bCs/>
          <w:color w:val="000000"/>
        </w:rPr>
        <w:t xml:space="preserve">, </w:t>
      </w:r>
      <w:r>
        <w:rPr>
          <w:rFonts w:ascii="Book Antiqua" w:eastAsia="Book Antiqua" w:hAnsi="Book Antiqua" w:cs="Book Antiqua"/>
          <w:color w:val="000000"/>
        </w:rPr>
        <w:t>most recently</w:t>
      </w:r>
      <w:r w:rsidR="00BF3274">
        <w:rPr>
          <w:rFonts w:ascii="Book Antiqua" w:eastAsia="Book Antiqua" w:hAnsi="Book Antiqua" w:cs="Book Antiqua"/>
          <w:color w:val="000000"/>
        </w:rPr>
        <w:t>,</w:t>
      </w:r>
      <w:r>
        <w:rPr>
          <w:rFonts w:ascii="Book Antiqua" w:eastAsia="Book Antiqua" w:hAnsi="Book Antiqua" w:cs="Book Antiqua"/>
          <w:color w:val="000000"/>
        </w:rPr>
        <w:t xml:space="preserve"> the National Registry of U</w:t>
      </w:r>
      <w:r w:rsidR="00BF3274">
        <w:rPr>
          <w:rFonts w:ascii="Book Antiqua" w:eastAsia="Book Antiqua" w:hAnsi="Book Antiqua" w:cs="Book Antiqua"/>
          <w:color w:val="000000"/>
        </w:rPr>
        <w:t xml:space="preserve">nited </w:t>
      </w:r>
      <w:r>
        <w:rPr>
          <w:rFonts w:ascii="Book Antiqua" w:eastAsia="Book Antiqua" w:hAnsi="Book Antiqua" w:cs="Book Antiqua"/>
          <w:color w:val="000000"/>
        </w:rPr>
        <w:t>K</w:t>
      </w:r>
      <w:r w:rsidR="00BF3274">
        <w:rPr>
          <w:rFonts w:ascii="Book Antiqua" w:eastAsia="Book Antiqua" w:hAnsi="Book Antiqua" w:cs="Book Antiqua"/>
          <w:color w:val="000000"/>
        </w:rPr>
        <w:t>ingdom</w:t>
      </w:r>
      <w:r>
        <w:rPr>
          <w:rFonts w:ascii="Book Antiqua" w:eastAsia="Book Antiqua" w:hAnsi="Book Antiqua" w:cs="Book Antiqua"/>
          <w:color w:val="000000"/>
        </w:rPr>
        <w:t xml:space="preserve"> have demonstrated that the additional use of ALBC reduces the revision risk in cemented hip and knee </w:t>
      </w:r>
      <w:proofErr w:type="gramStart"/>
      <w:r>
        <w:rPr>
          <w:rFonts w:ascii="Book Antiqua" w:eastAsia="Book Antiqua" w:hAnsi="Book Antiqua" w:cs="Book Antiqua"/>
          <w:color w:val="000000"/>
        </w:rPr>
        <w:t>replacement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BF327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can be further speculated that this effect is more significant if specific cement brands are analyzed due to different antibiotic elution capacities of the cement polymers in commercial ALBC </w:t>
      </w:r>
      <w:proofErr w:type="gramStart"/>
      <w:r>
        <w:rPr>
          <w:rFonts w:ascii="Book Antiqua" w:eastAsia="Book Antiqua" w:hAnsi="Book Antiqua" w:cs="Book Antiqua"/>
          <w:color w:val="000000"/>
        </w:rPr>
        <w:t>brands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6DDEAA9F" w14:textId="6F1A1044" w:rsidR="00A77B3E" w:rsidRDefault="00683D76" w:rsidP="00BF3274">
      <w:pPr>
        <w:spacing w:line="360" w:lineRule="auto"/>
        <w:ind w:firstLineChars="100" w:firstLine="240"/>
        <w:jc w:val="both"/>
      </w:pPr>
      <w:r>
        <w:rPr>
          <w:rFonts w:ascii="Book Antiqua" w:eastAsia="Book Antiqua" w:hAnsi="Book Antiqua" w:cs="Book Antiqua"/>
          <w:color w:val="000000"/>
        </w:rPr>
        <w:t xml:space="preserve">In view of the demographic changes, arthroplasty surgeons today face the challenge to operate on an increasing number of older patients suffering from several major comorbidities. Numerous clinical studies have provided evidence that important patient-related disorders predispose patients to a higher operational risk of infections than on </w:t>
      </w:r>
      <w:proofErr w:type="gramStart"/>
      <w:r>
        <w:rPr>
          <w:rFonts w:ascii="Book Antiqua" w:eastAsia="Book Antiqua" w:hAnsi="Book Antiqua" w:cs="Book Antiqua"/>
          <w:color w:val="000000"/>
        </w:rPr>
        <w:t>average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F327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This is also true for the more complex surgical procedures of revision arthroplasty which is frequently associated with longer operation times and a higher invasiveness leading to a PJI incidence of 5% and more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Significantly increased infection rates of 4</w:t>
      </w:r>
      <w:r w:rsidR="00BF3274">
        <w:rPr>
          <w:rFonts w:ascii="Book Antiqua" w:eastAsia="Book Antiqua" w:hAnsi="Book Antiqua" w:cs="Book Antiqua"/>
          <w:color w:val="000000"/>
        </w:rPr>
        <w:t>%</w:t>
      </w:r>
      <w:r>
        <w:rPr>
          <w:rFonts w:ascii="Book Antiqua" w:eastAsia="Book Antiqua" w:hAnsi="Book Antiqua" w:cs="Book Antiqua"/>
          <w:color w:val="000000"/>
        </w:rPr>
        <w:t xml:space="preserve">-6% are also reported in the frail cohort of femoral neck fracture </w:t>
      </w:r>
      <w:r w:rsidR="006E0FC4">
        <w:rPr>
          <w:rFonts w:ascii="Book Antiqua" w:eastAsia="Book Antiqua" w:hAnsi="Book Antiqua" w:cs="Book Antiqua"/>
          <w:color w:val="000000"/>
        </w:rPr>
        <w:t xml:space="preserve">(FNF) </w:t>
      </w:r>
      <w:r>
        <w:rPr>
          <w:rFonts w:ascii="Book Antiqua" w:eastAsia="Book Antiqua" w:hAnsi="Book Antiqua" w:cs="Book Antiqua"/>
          <w:color w:val="000000"/>
        </w:rPr>
        <w:t>patients on an emergency trauma track which does not leave time for preoperative health optimization strategies or for decolonization protocols of multi-drug resistant bacteria</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 order to counteract the higher infection risks in such patient cohorts, one may hypothesize that a more optimized and risk-adjusted antibiotic prophylaxis strategy </w:t>
      </w:r>
      <w:r>
        <w:rPr>
          <w:rFonts w:ascii="Book Antiqua" w:eastAsia="Book Antiqua" w:hAnsi="Book Antiqua" w:cs="Book Antiqua"/>
          <w:color w:val="000000"/>
        </w:rPr>
        <w:lastRenderedPageBreak/>
        <w:t>may have a positive impact on the PJI incidence. This may include (1) modification of the routine perioperative antibiotic prophylaxis regimen by either extending the duration</w:t>
      </w:r>
      <w:r>
        <w:rPr>
          <w:rFonts w:ascii="Book Antiqua" w:eastAsia="Book Antiqua" w:hAnsi="Book Antiqua" w:cs="Book Antiqua"/>
          <w:color w:val="000000"/>
          <w:szCs w:val="30"/>
          <w:vertAlign w:val="superscript"/>
        </w:rPr>
        <w:t xml:space="preserve">[15] </w:t>
      </w:r>
      <w:r>
        <w:rPr>
          <w:rFonts w:ascii="Book Antiqua" w:eastAsia="Book Antiqua" w:hAnsi="Book Antiqua" w:cs="Book Antiqua"/>
          <w:color w:val="000000"/>
        </w:rPr>
        <w:t>or by adding a second antibiotic to the standard drug (</w:t>
      </w:r>
      <w:r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Pr>
          <w:rFonts w:ascii="Book Antiqua" w:eastAsia="Book Antiqua" w:hAnsi="Book Antiqua" w:cs="Book Antiqua"/>
          <w:color w:val="000000"/>
        </w:rPr>
        <w:t xml:space="preserve"> vancomycin or teicoplanin to a cephalosporin)</w:t>
      </w:r>
      <w:r>
        <w:rPr>
          <w:rFonts w:ascii="Book Antiqua" w:eastAsia="Book Antiqua" w:hAnsi="Book Antiqua" w:cs="Book Antiqua"/>
          <w:color w:val="000000"/>
          <w:szCs w:val="30"/>
          <w:vertAlign w:val="superscript"/>
        </w:rPr>
        <w:t>[16]</w:t>
      </w:r>
      <w:r w:rsidRPr="00E71092">
        <w:rPr>
          <w:rFonts w:ascii="Book Antiqua" w:eastAsia="Book Antiqua" w:hAnsi="Book Antiqua" w:cs="Book Antiqua"/>
          <w:color w:val="000000"/>
          <w:szCs w:val="30"/>
        </w:rPr>
        <w:t xml:space="preserve"> </w:t>
      </w:r>
      <w:r>
        <w:rPr>
          <w:rFonts w:ascii="Book Antiqua" w:eastAsia="Book Antiqua" w:hAnsi="Book Antiqua" w:cs="Book Antiqua"/>
          <w:color w:val="000000"/>
        </w:rPr>
        <w:t>or (2) use of high dose local antibiotic combinations. Given the controversial outcomes regarding the first option and the substantial risks of side effects associated with prolonged systemic antibiotic exposure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 risk-adjusted strategy with dual ALBC might be a more attractive and “easy-to-apply” option in the theatre. The more potent antimicrobial growth inhibition found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significantly reduced PJI rates in high infection risk patients receiving dual ALBC strongly argue for the latter option. This review summarizes the literature and evaluates the evidence from preclinical and clinical studies for the use of dual ALBC for PJI prevention in risk for infection patients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risk procedures. For that purpose, the PubMed </w:t>
      </w:r>
      <w:r w:rsidR="00E71092">
        <w:rPr>
          <w:rFonts w:ascii="Book Antiqua" w:eastAsia="Book Antiqua" w:hAnsi="Book Antiqua" w:cs="Book Antiqua"/>
          <w:color w:val="000000"/>
        </w:rPr>
        <w:t>and</w:t>
      </w:r>
      <w:r>
        <w:rPr>
          <w:rFonts w:ascii="Book Antiqua" w:eastAsia="Book Antiqua" w:hAnsi="Book Antiqua" w:cs="Book Antiqua"/>
          <w:color w:val="000000"/>
        </w:rPr>
        <w:t xml:space="preserve"> EMBASE literature databases were screened for publications pertaining to the clinical utilization of dual antibiotics in cement for infection prophylaxis. Use of dual ALBC in treatment of septic cases was excluded from the evaluation. Only four </w:t>
      </w:r>
      <w:r>
        <w:rPr>
          <w:rFonts w:ascii="Book Antiqua" w:eastAsia="Book Antiqua" w:hAnsi="Book Antiqua" w:cs="Book Antiqua"/>
          <w:i/>
          <w:iCs/>
          <w:color w:val="000000"/>
        </w:rPr>
        <w:t>in</w:t>
      </w:r>
      <w:r w:rsidR="00E71092">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and five original clinical studies were identified which met the inclusion criteria. The latter were also stratified by level of clinical evidence (I-IV). The combination of gentamicin and clindamycin in commercial bone cement was the only referenced dual ALBC in these clinical studies. To the best of our knowledge there are no clinical outcome studies published which have compared the PJI rate in hand-made (theatre-admixed) dual ALBC </w:t>
      </w:r>
      <w:r>
        <w:rPr>
          <w:rFonts w:ascii="Book Antiqua" w:eastAsia="Book Antiqua" w:hAnsi="Book Antiqua" w:cs="Book Antiqua"/>
          <w:i/>
          <w:iCs/>
          <w:color w:val="000000"/>
        </w:rPr>
        <w:t>vs</w:t>
      </w:r>
      <w:r>
        <w:rPr>
          <w:rFonts w:ascii="Book Antiqua" w:eastAsia="Book Antiqua" w:hAnsi="Book Antiqua" w:cs="Book Antiqua"/>
          <w:color w:val="000000"/>
        </w:rPr>
        <w:t xml:space="preserve"> single ALBC.</w:t>
      </w:r>
    </w:p>
    <w:p w14:paraId="12448E1A" w14:textId="77777777" w:rsidR="00A77B3E" w:rsidRDefault="00A77B3E">
      <w:pPr>
        <w:spacing w:line="360" w:lineRule="auto"/>
        <w:jc w:val="both"/>
      </w:pPr>
    </w:p>
    <w:p w14:paraId="6B0C2421" w14:textId="6B04FB01" w:rsidR="00A77B3E" w:rsidRDefault="00683D76">
      <w:pPr>
        <w:spacing w:line="360" w:lineRule="auto"/>
        <w:jc w:val="both"/>
      </w:pPr>
      <w:r>
        <w:rPr>
          <w:rFonts w:ascii="Book Antiqua" w:eastAsia="Book Antiqua" w:hAnsi="Book Antiqua" w:cs="Book Antiqua"/>
          <w:b/>
          <w:bCs/>
          <w:caps/>
          <w:color w:val="000000"/>
          <w:u w:val="single"/>
        </w:rPr>
        <w:t xml:space="preserve">COMMERCIALLY PREMIXED </w:t>
      </w:r>
      <w:r w:rsidRPr="00E71092">
        <w:rPr>
          <w:rFonts w:ascii="Book Antiqua" w:eastAsia="Book Antiqua" w:hAnsi="Book Antiqua" w:cs="Book Antiqua"/>
          <w:b/>
          <w:bCs/>
          <w:i/>
          <w:iCs/>
          <w:caps/>
          <w:color w:val="000000"/>
          <w:u w:val="single"/>
        </w:rPr>
        <w:t>VS</w:t>
      </w:r>
      <w:r w:rsidR="00E71092">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HAND-MIXED DUAL ALBC</w:t>
      </w:r>
    </w:p>
    <w:p w14:paraId="4BD2F807" w14:textId="36974C2D" w:rsidR="00A77B3E" w:rsidRDefault="00683D76">
      <w:pPr>
        <w:spacing w:line="360" w:lineRule="auto"/>
        <w:jc w:val="both"/>
      </w:pPr>
      <w:r>
        <w:rPr>
          <w:rFonts w:ascii="Book Antiqua" w:eastAsia="Book Antiqua" w:hAnsi="Book Antiqua" w:cs="Book Antiqua"/>
          <w:color w:val="000000"/>
        </w:rPr>
        <w:t xml:space="preserve">There are several Food </w:t>
      </w:r>
      <w:r w:rsidR="00E71092">
        <w:rPr>
          <w:rFonts w:ascii="Book Antiqua" w:eastAsia="Book Antiqua" w:hAnsi="Book Antiqua" w:cs="Book Antiqua"/>
          <w:color w:val="000000"/>
        </w:rPr>
        <w:t>and</w:t>
      </w:r>
      <w:r>
        <w:rPr>
          <w:rFonts w:ascii="Book Antiqua" w:eastAsia="Book Antiqua" w:hAnsi="Book Antiqua" w:cs="Book Antiqua"/>
          <w:color w:val="000000"/>
        </w:rPr>
        <w:t xml:space="preserve"> Drug Administration and European Medicines Agency approved ALBC which are available as “ready-to-use” commercial products. According to their antibiotic contents they can be grouped in single low dose ALBC </w:t>
      </w:r>
      <w:r w:rsidR="00E71092">
        <w:rPr>
          <w:rFonts w:ascii="Book Antiqua" w:eastAsia="Book Antiqua" w:hAnsi="Book Antiqua" w:cs="Book Antiqua"/>
          <w:color w:val="000000"/>
        </w:rPr>
        <w:t>[</w:t>
      </w:r>
      <w:r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Pr>
          <w:rFonts w:ascii="Book Antiqua" w:eastAsia="Book Antiqua" w:hAnsi="Book Antiqua" w:cs="Book Antiqua"/>
          <w:color w:val="000000"/>
        </w:rPr>
        <w:t xml:space="preserve"> impregnated with either 0</w:t>
      </w:r>
      <w:r w:rsidR="00E71092">
        <w:rPr>
          <w:rFonts w:ascii="Book Antiqua" w:eastAsia="Book Antiqua" w:hAnsi="Book Antiqua" w:cs="Book Antiqua"/>
          <w:color w:val="000000"/>
        </w:rPr>
        <w:t>.</w:t>
      </w:r>
      <w:r>
        <w:rPr>
          <w:rFonts w:ascii="Book Antiqua" w:eastAsia="Book Antiqua" w:hAnsi="Book Antiqua" w:cs="Book Antiqua"/>
          <w:color w:val="000000"/>
        </w:rPr>
        <w:t xml:space="preserve">5 </w:t>
      </w:r>
      <w:r w:rsidR="00E71092">
        <w:rPr>
          <w:rFonts w:ascii="Book Antiqua" w:eastAsia="Book Antiqua" w:hAnsi="Book Antiqua" w:cs="Book Antiqua"/>
          <w:color w:val="000000"/>
        </w:rPr>
        <w:t xml:space="preserve">g </w:t>
      </w:r>
      <w:r>
        <w:rPr>
          <w:rFonts w:ascii="Book Antiqua" w:eastAsia="Book Antiqua" w:hAnsi="Book Antiqua" w:cs="Book Antiqua"/>
          <w:color w:val="000000"/>
        </w:rPr>
        <w:t xml:space="preserve">or 1 g of gentamicin or loaded with 1 g of tobramycin in 40 g </w:t>
      </w:r>
      <w:r w:rsidR="00E71092" w:rsidRPr="00E71092">
        <w:rPr>
          <w:rFonts w:ascii="Book Antiqua" w:eastAsia="Book Antiqua" w:hAnsi="Book Antiqua" w:cs="Book Antiqua"/>
          <w:color w:val="000000"/>
        </w:rPr>
        <w:t xml:space="preserve">polymethyl methacrylate </w:t>
      </w:r>
      <w:r w:rsidR="00E71092">
        <w:rPr>
          <w:rFonts w:ascii="Book Antiqua" w:eastAsia="Book Antiqua" w:hAnsi="Book Antiqua" w:cs="Book Antiqua"/>
          <w:color w:val="000000"/>
        </w:rPr>
        <w:t>(</w:t>
      </w:r>
      <w:r>
        <w:rPr>
          <w:rFonts w:ascii="Book Antiqua" w:eastAsia="Book Antiqua" w:hAnsi="Book Antiqua" w:cs="Book Antiqua"/>
          <w:color w:val="000000"/>
        </w:rPr>
        <w:t>PMMA</w:t>
      </w:r>
      <w:r w:rsidR="00E71092">
        <w:rPr>
          <w:rFonts w:ascii="Book Antiqua" w:eastAsia="Book Antiqua" w:hAnsi="Book Antiqua" w:cs="Book Antiqua"/>
          <w:color w:val="000000"/>
        </w:rPr>
        <w:t>)</w:t>
      </w:r>
      <w:r>
        <w:rPr>
          <w:rFonts w:ascii="Book Antiqua" w:eastAsia="Book Antiqua" w:hAnsi="Book Antiqua" w:cs="Book Antiqua"/>
          <w:color w:val="000000"/>
        </w:rPr>
        <w:t xml:space="preserve"> powder</w:t>
      </w:r>
      <w:r w:rsidR="00E71092">
        <w:rPr>
          <w:rFonts w:ascii="Book Antiqua" w:eastAsia="Book Antiqua" w:hAnsi="Book Antiqua" w:cs="Book Antiqua"/>
          <w:color w:val="000000"/>
        </w:rPr>
        <w:t xml:space="preserve">] </w:t>
      </w:r>
      <w:r>
        <w:rPr>
          <w:rFonts w:ascii="Book Antiqua" w:eastAsia="Book Antiqua" w:hAnsi="Book Antiqua" w:cs="Book Antiqua"/>
          <w:color w:val="000000"/>
        </w:rPr>
        <w:t>or in dual high dose ALBC (</w:t>
      </w:r>
      <w:r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Pr>
          <w:rFonts w:ascii="Book Antiqua" w:eastAsia="Book Antiqua" w:hAnsi="Book Antiqua" w:cs="Book Antiqua"/>
          <w:color w:val="000000"/>
        </w:rPr>
        <w:t xml:space="preserve"> impregnated with 1 g of </w:t>
      </w:r>
      <w:bookmarkStart w:id="1" w:name="_Hlk64895372"/>
      <w:r>
        <w:rPr>
          <w:rFonts w:ascii="Book Antiqua" w:eastAsia="Book Antiqua" w:hAnsi="Book Antiqua" w:cs="Book Antiqua"/>
          <w:color w:val="000000"/>
        </w:rPr>
        <w:t>gentamicin</w:t>
      </w:r>
      <w:bookmarkEnd w:id="1"/>
      <w:r>
        <w:rPr>
          <w:rFonts w:ascii="Book Antiqua" w:eastAsia="Book Antiqua" w:hAnsi="Book Antiqua" w:cs="Book Antiqua"/>
          <w:color w:val="000000"/>
        </w:rPr>
        <w:t xml:space="preserve"> and 1 g of </w:t>
      </w:r>
      <w:bookmarkStart w:id="2" w:name="_Hlk64895384"/>
      <w:r>
        <w:rPr>
          <w:rFonts w:ascii="Book Antiqua" w:eastAsia="Book Antiqua" w:hAnsi="Book Antiqua" w:cs="Book Antiqua"/>
          <w:color w:val="000000"/>
        </w:rPr>
        <w:t>clindamycin</w:t>
      </w:r>
      <w:bookmarkEnd w:id="2"/>
      <w:r>
        <w:rPr>
          <w:rFonts w:ascii="Book Antiqua" w:eastAsia="Book Antiqua" w:hAnsi="Book Antiqua" w:cs="Book Antiqua"/>
          <w:color w:val="000000"/>
        </w:rPr>
        <w:t xml:space="preserve"> or loaded with 0</w:t>
      </w:r>
      <w:r w:rsidR="00E71092">
        <w:rPr>
          <w:rFonts w:ascii="Book Antiqua" w:eastAsia="Book Antiqua" w:hAnsi="Book Antiqua" w:cs="Book Antiqua"/>
          <w:color w:val="000000"/>
        </w:rPr>
        <w:t>.</w:t>
      </w:r>
      <w:r>
        <w:rPr>
          <w:rFonts w:ascii="Book Antiqua" w:eastAsia="Book Antiqua" w:hAnsi="Book Antiqua" w:cs="Book Antiqua"/>
          <w:color w:val="000000"/>
        </w:rPr>
        <w:t xml:space="preserve">5 g of gentamicin and 2 g of vancomycin). In addition, there is widespread non-standardized, off-label and surgeon-directed use involving hand-mixing various antibiotics into bone </w:t>
      </w:r>
      <w:r>
        <w:rPr>
          <w:rFonts w:ascii="Book Antiqua" w:eastAsia="Book Antiqua" w:hAnsi="Book Antiqua" w:cs="Book Antiqua"/>
          <w:color w:val="000000"/>
        </w:rPr>
        <w:lastRenderedPageBreak/>
        <w:t>cement. Reasons for this practice are economic considerations, lack of availability of specific ALBC, limited local regulatory approval or need for specific customized solutions in septic revision arthroplasty</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vertAlign w:val="superscript"/>
        </w:rPr>
        <w:t>18]</w:t>
      </w:r>
      <w:r>
        <w:rPr>
          <w:rFonts w:ascii="Book Antiqua" w:eastAsia="Book Antiqua" w:hAnsi="Book Antiqua" w:cs="Book Antiqua"/>
          <w:color w:val="000000"/>
        </w:rPr>
        <w:t>. However, manual admixture of antibiotics into bone cement has raised some concerns with regards to unknown elution kinetics, toxicity, efficacy and mechanical stability of such in-theatre made ALBC</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latter aspect is particularly important if the cement is intended for fixation. In fact, the manual addition of higher amounts of some antibiotics in powder- or in liquid-form has been shown to affect the fatigue strength of PMMA prompting fears of premature aseptic loosening of the joint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It should also be noted that some antibiotics are not stable at the bone cement curing temperature (</w:t>
      </w:r>
      <w:r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Pr>
          <w:rFonts w:ascii="Book Antiqua" w:eastAsia="Book Antiqua" w:hAnsi="Book Antiqua" w:cs="Book Antiqua"/>
          <w:color w:val="000000"/>
        </w:rPr>
        <w:t xml:space="preserve"> many beta-lactam antibiotics) or chemically interfere with the polymerization process (</w:t>
      </w:r>
      <w:r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rifampicin)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Given these uncertainties, the majority of surgeons still prefer the use of commercial single or dual ALBC for prosthesis fixation.</w:t>
      </w:r>
    </w:p>
    <w:p w14:paraId="77821010" w14:textId="77777777" w:rsidR="00A77B3E" w:rsidRDefault="00A77B3E">
      <w:pPr>
        <w:spacing w:line="360" w:lineRule="auto"/>
        <w:jc w:val="both"/>
      </w:pPr>
    </w:p>
    <w:p w14:paraId="53AF28C0" w14:textId="19C933BB" w:rsidR="00A77B3E" w:rsidRDefault="00683D76">
      <w:pPr>
        <w:spacing w:line="360" w:lineRule="auto"/>
        <w:jc w:val="both"/>
      </w:pPr>
      <w:r>
        <w:rPr>
          <w:rFonts w:ascii="Book Antiqua" w:eastAsia="Book Antiqua" w:hAnsi="Book Antiqua" w:cs="Book Antiqua"/>
          <w:b/>
          <w:bCs/>
          <w:caps/>
          <w:color w:val="000000"/>
          <w:u w:val="single"/>
        </w:rPr>
        <w:t xml:space="preserve">stronger antimicrobial activity with the dual ALBC </w:t>
      </w:r>
      <w:r w:rsidRPr="0097648E">
        <w:rPr>
          <w:rFonts w:ascii="Book Antiqua" w:eastAsia="Book Antiqua" w:hAnsi="Book Antiqua" w:cs="Book Antiqua"/>
          <w:b/>
          <w:bCs/>
          <w:caps/>
          <w:color w:val="000000"/>
          <w:u w:val="single"/>
        </w:rPr>
        <w:t xml:space="preserve">COPAL </w:t>
      </w:r>
      <w:r w:rsidR="00206125" w:rsidRPr="00206125">
        <w:rPr>
          <w:rFonts w:ascii="Book Antiqua" w:eastAsia="Book Antiqua" w:hAnsi="Book Antiqua" w:cs="Book Antiqua"/>
          <w:b/>
          <w:bCs/>
          <w:caps/>
          <w:color w:val="000000"/>
          <w:u w:val="single"/>
        </w:rPr>
        <w:t>gentamicin</w:t>
      </w:r>
      <w:r w:rsidR="00206125" w:rsidRPr="0097648E" w:rsidDel="00206125">
        <w:rPr>
          <w:rFonts w:ascii="Book Antiqua" w:eastAsia="Book Antiqua" w:hAnsi="Book Antiqua" w:cs="Book Antiqua"/>
          <w:b/>
          <w:bCs/>
          <w:caps/>
          <w:color w:val="000000"/>
          <w:u w:val="single"/>
        </w:rPr>
        <w:t xml:space="preserve"> </w:t>
      </w:r>
      <w:r w:rsidRPr="0097648E">
        <w:rPr>
          <w:rFonts w:ascii="Book Antiqua" w:eastAsia="Book Antiqua" w:hAnsi="Book Antiqua" w:cs="Book Antiqua"/>
          <w:b/>
          <w:bCs/>
          <w:caps/>
          <w:color w:val="000000"/>
          <w:u w:val="single"/>
        </w:rPr>
        <w:t>+</w:t>
      </w:r>
      <w:r w:rsidR="00206125" w:rsidRPr="0097648E">
        <w:rPr>
          <w:u w:val="single"/>
        </w:rPr>
        <w:t xml:space="preserve"> </w:t>
      </w:r>
      <w:r w:rsidR="00206125" w:rsidRPr="00206125">
        <w:rPr>
          <w:rFonts w:ascii="Book Antiqua" w:eastAsia="Book Antiqua" w:hAnsi="Book Antiqua" w:cs="Book Antiqua"/>
          <w:b/>
          <w:bCs/>
          <w:caps/>
          <w:color w:val="000000"/>
          <w:u w:val="single"/>
        </w:rPr>
        <w:t>clindamycin</w:t>
      </w:r>
      <w:r>
        <w:rPr>
          <w:rFonts w:ascii="Book Antiqua" w:eastAsia="Book Antiqua" w:hAnsi="Book Antiqua" w:cs="Book Antiqua"/>
          <w:b/>
          <w:bCs/>
          <w:caps/>
          <w:color w:val="000000"/>
          <w:u w:val="single"/>
        </w:rPr>
        <w:t xml:space="preserve"> </w:t>
      </w:r>
      <w:r w:rsidRPr="00E71092">
        <w:rPr>
          <w:rFonts w:ascii="Book Antiqua" w:eastAsia="Book Antiqua" w:hAnsi="Book Antiqua" w:cs="Book Antiqua"/>
          <w:b/>
          <w:bCs/>
          <w:i/>
          <w:iCs/>
          <w:caps/>
          <w:color w:val="000000"/>
          <w:u w:val="single"/>
        </w:rPr>
        <w:t>in vitro</w:t>
      </w:r>
    </w:p>
    <w:p w14:paraId="01BB402B" w14:textId="2D97ED60" w:rsidR="00A77B3E" w:rsidRDefault="00683D76">
      <w:pPr>
        <w:spacing w:line="360" w:lineRule="auto"/>
        <w:jc w:val="both"/>
      </w:pPr>
      <w:r>
        <w:rPr>
          <w:rFonts w:ascii="Book Antiqua" w:eastAsia="Book Antiqua" w:hAnsi="Book Antiqua" w:cs="Book Antiqua"/>
          <w:color w:val="000000"/>
        </w:rPr>
        <w:t>Gentamicin is the most frequently used antibiotic for impregnating bone cement because of its broad and concentration-dependent bactericidal effect, its relatively good elution in comparison to other antibiotics and its ability to withstand the high temperatures reached during polymerization of the bone cement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Its antimicrobial spectrum covers non-gentamicin resistant gram-positive staphylococci, enterococci and several gram-negative bacilli</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Clindamycin is also an attractive antibiotic for local delivery which shares several features of gentamicin, but shows in addition a potent antimicrobial activity against </w:t>
      </w:r>
      <w:proofErr w:type="spellStart"/>
      <w:r>
        <w:rPr>
          <w:rFonts w:ascii="Book Antiqua" w:eastAsia="Book Antiqua" w:hAnsi="Book Antiqua" w:cs="Book Antiqua"/>
          <w:color w:val="000000"/>
        </w:rPr>
        <w:t>intraosteoblastic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Staphylococcus aureus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Its spectrum overlaps with gentamicin on staphylococci and furthermore covers non-clindamycin resistant streptococci and anaerobic bacteria</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combination, both antibiotics may target up to 90% of all pathogens typically found in PJI</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Given these antibiotic properties it is therefore not surprising that a dual ALBC bone cement using these antibiotics has been developed. This bone cement COPAL G+C</w:t>
      </w:r>
      <w:r w:rsidR="00206125">
        <w:rPr>
          <w:rFonts w:ascii="Book Antiqua" w:eastAsia="Book Antiqua" w:hAnsi="Book Antiqua" w:cs="Book Antiqua"/>
          <w:color w:val="000000"/>
        </w:rPr>
        <w:t xml:space="preserve"> (gentamicin + clindamycin)</w:t>
      </w:r>
      <w:r>
        <w:rPr>
          <w:rFonts w:ascii="Book Antiqua" w:eastAsia="Book Antiqua" w:hAnsi="Book Antiqua" w:cs="Book Antiqua"/>
          <w:color w:val="000000"/>
        </w:rPr>
        <w:t xml:space="preserve"> (Heraeus-Medical GmbH, Wehrheim</w:t>
      </w:r>
      <w:r w:rsidR="00DE06D9">
        <w:rPr>
          <w:rFonts w:ascii="Book Antiqua" w:eastAsia="Book Antiqua" w:hAnsi="Book Antiqua" w:cs="Book Antiqua"/>
          <w:color w:val="000000"/>
        </w:rPr>
        <w:t>, Germany</w:t>
      </w:r>
      <w:r>
        <w:rPr>
          <w:rFonts w:ascii="Book Antiqua" w:eastAsia="Book Antiqua" w:hAnsi="Book Antiqua" w:cs="Book Antiqua"/>
          <w:color w:val="000000"/>
        </w:rPr>
        <w:t>)</w:t>
      </w:r>
      <w:r w:rsidR="00DE06D9">
        <w:rPr>
          <w:rFonts w:ascii="Book Antiqua" w:eastAsia="Book Antiqua" w:hAnsi="Book Antiqua" w:cs="Book Antiqua"/>
          <w:color w:val="000000"/>
        </w:rPr>
        <w:t xml:space="preserve"> </w:t>
      </w:r>
      <w:r>
        <w:rPr>
          <w:rFonts w:ascii="Book Antiqua" w:eastAsia="Book Antiqua" w:hAnsi="Book Antiqua" w:cs="Book Antiqua"/>
          <w:color w:val="000000"/>
        </w:rPr>
        <w:t xml:space="preserve">is simultaneously loaded with 1.68 g of gentamicin sulfate (= 1 g </w:t>
      </w:r>
      <w:r>
        <w:rPr>
          <w:rFonts w:ascii="Book Antiqua" w:eastAsia="Book Antiqua" w:hAnsi="Book Antiqua" w:cs="Book Antiqua"/>
          <w:color w:val="000000"/>
        </w:rPr>
        <w:lastRenderedPageBreak/>
        <w:t>of active gentamicin) and 1.18 g of clindamycin hydrochloride (= 1 g of active clindamycin) within the polymer basis of the successful PALACOS bone cement. Soon after the commercialization of COPAL G+C</w:t>
      </w:r>
      <w:r w:rsidR="00DE06D9">
        <w:rPr>
          <w:rFonts w:ascii="Book Antiqua" w:eastAsia="Book Antiqua" w:hAnsi="Book Antiqua" w:cs="Book Antiqua"/>
          <w:color w:val="000000"/>
        </w:rPr>
        <w:t>,</w:t>
      </w:r>
      <w:r>
        <w:rPr>
          <w:rFonts w:ascii="Book Antiqua" w:eastAsia="Book Antiqua" w:hAnsi="Book Antiqua" w:cs="Book Antiqua"/>
          <w:color w:val="000000"/>
        </w:rPr>
        <w:t xml:space="preserve"> </w:t>
      </w:r>
      <w:r w:rsidR="00DE06D9" w:rsidRPr="00DE06D9">
        <w:rPr>
          <w:rFonts w:ascii="Book Antiqua" w:eastAsia="Book Antiqua" w:hAnsi="Book Antiqua" w:cs="Book Antiqua"/>
          <w:color w:val="000000"/>
        </w:rPr>
        <w:t>Kuehn</w:t>
      </w:r>
      <w:r>
        <w:rPr>
          <w:rFonts w:ascii="Book Antiqua" w:eastAsia="Book Antiqua" w:hAnsi="Book Antiqua" w:cs="Book Antiqua"/>
          <w:color w:val="000000"/>
        </w:rPr>
        <w:t xml:space="preserve"> </w:t>
      </w:r>
      <w:r w:rsidR="00DE06D9">
        <w:rPr>
          <w:rFonts w:ascii="Book Antiqua" w:eastAsia="Book Antiqua" w:hAnsi="Book Antiqua" w:cs="Book Antiqua"/>
          <w:i/>
          <w:iCs/>
          <w:color w:val="000000"/>
        </w:rPr>
        <w:t>et al</w:t>
      </w:r>
      <w:r w:rsidR="00DE06D9">
        <w:rPr>
          <w:rFonts w:ascii="Book Antiqua" w:eastAsia="Book Antiqua" w:hAnsi="Book Antiqua" w:cs="Book Antiqua"/>
          <w:color w:val="000000"/>
          <w:szCs w:val="30"/>
          <w:vertAlign w:val="superscript"/>
        </w:rPr>
        <w:t>[7]</w:t>
      </w:r>
      <w:r w:rsidR="00DE06D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E06D9">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compared the antibiotic elution from this product with several single antibiotic loaded low dose cement brands on the market in two independent studies. It was found that COPAL G+C exhibited a much stronger synergistic release of both antibiotics exceeding that of gentamicin alone in single ALBC by a factor of at least 10</w:t>
      </w:r>
      <w:r>
        <w:rPr>
          <w:rFonts w:ascii="Book Antiqua" w:eastAsia="Book Antiqua" w:hAnsi="Book Antiqua" w:cs="Book Antiqua"/>
          <w:color w:val="000000"/>
          <w:szCs w:val="30"/>
          <w:vertAlign w:val="superscript"/>
        </w:rPr>
        <w:t>[7,27]</w:t>
      </w:r>
      <w:r>
        <w:rPr>
          <w:rFonts w:ascii="Book Antiqua" w:eastAsia="Book Antiqua" w:hAnsi="Book Antiqua" w:cs="Book Antiqua"/>
          <w:color w:val="000000"/>
        </w:rPr>
        <w:t xml:space="preserve">. </w:t>
      </w:r>
    </w:p>
    <w:p w14:paraId="0799731D" w14:textId="1AADFB96" w:rsidR="00A77B3E" w:rsidRDefault="00683D76" w:rsidP="00DE06D9">
      <w:pPr>
        <w:spacing w:line="360" w:lineRule="auto"/>
        <w:ind w:firstLineChars="100" w:firstLine="240"/>
        <w:jc w:val="both"/>
      </w:pPr>
      <w:proofErr w:type="spellStart"/>
      <w:r>
        <w:rPr>
          <w:rFonts w:ascii="Book Antiqua" w:eastAsia="Book Antiqua" w:hAnsi="Book Antiqua" w:cs="Book Antiqua"/>
          <w:color w:val="000000"/>
        </w:rPr>
        <w:t>Ensing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E06D9">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then combined these elution experiments with antimicrobial growth inhibition tests comparing the dual high dose COPAL G+C and the single low dose PALACOS </w:t>
      </w:r>
      <w:r w:rsidRPr="0097648E">
        <w:rPr>
          <w:rFonts w:ascii="Book Antiqua" w:eastAsia="Book Antiqua" w:hAnsi="Book Antiqua" w:cs="Book Antiqua"/>
          <w:color w:val="000000"/>
        </w:rPr>
        <w:t>R+G</w:t>
      </w:r>
      <w:r>
        <w:rPr>
          <w:rFonts w:ascii="Book Antiqua" w:eastAsia="Book Antiqua" w:hAnsi="Book Antiqua" w:cs="Book Antiqua"/>
          <w:color w:val="000000"/>
        </w:rPr>
        <w:t xml:space="preserve"> cement (containing 0</w:t>
      </w:r>
      <w:r w:rsidR="00DE06D9">
        <w:rPr>
          <w:rFonts w:ascii="Book Antiqua" w:eastAsia="Book Antiqua" w:hAnsi="Book Antiqua" w:cs="Book Antiqua"/>
          <w:color w:val="000000"/>
        </w:rPr>
        <w:t>.</w:t>
      </w:r>
      <w:r>
        <w:rPr>
          <w:rFonts w:ascii="Book Antiqua" w:eastAsia="Book Antiqua" w:hAnsi="Book Antiqua" w:cs="Book Antiqua"/>
          <w:color w:val="000000"/>
        </w:rPr>
        <w:t xml:space="preserve">5 g of gentamicin). For that purpose, antibiotic-containing eluates from bone cement samples were collected at different time points and spotted onto agar plates which had been priorly inoculated either with a gentamicin-sensitive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or with a gentamicin-resistant coagulase-negative </w:t>
      </w:r>
      <w:r>
        <w:rPr>
          <w:rFonts w:ascii="Book Antiqua" w:eastAsia="Book Antiqua" w:hAnsi="Book Antiqua" w:cs="Book Antiqua"/>
          <w:i/>
          <w:iCs/>
          <w:color w:val="000000"/>
        </w:rPr>
        <w:t>Staphylococcus epidermidis</w:t>
      </w:r>
      <w:r>
        <w:rPr>
          <w:rFonts w:ascii="Book Antiqua" w:eastAsia="Book Antiqua" w:hAnsi="Book Antiqua" w:cs="Book Antiqua"/>
          <w:color w:val="000000"/>
        </w:rPr>
        <w:t xml:space="preserve"> strain. Both bacterial test strains were originally derived from PJI patients. COPAL G+C was observed to inhibit bacterial growth much more strongly when compared to PALACOS R+G. In more detail, the single low dose ALBC was effective in inhibiting growth of the gentamicin-sensitive </w:t>
      </w:r>
      <w:r w:rsidR="00DE06D9">
        <w:rPr>
          <w:rFonts w:ascii="Book Antiqua" w:eastAsia="Book Antiqua" w:hAnsi="Book Antiqua" w:cs="Book Antiqua"/>
          <w:i/>
          <w:iCs/>
          <w:color w:val="000000"/>
        </w:rPr>
        <w:t>Staphylococcus</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for a period of 72 h of elution. However, the G+C containing cement yielded a stronger and more prolonged bacterial inhibition for at least 28 d, which was the entire duration of the experiment. In case of the gentamicin-resistant </w:t>
      </w:r>
      <w:r w:rsidR="00DE06D9">
        <w:rPr>
          <w:rFonts w:ascii="Book Antiqua" w:eastAsia="Book Antiqua" w:hAnsi="Book Antiqua" w:cs="Book Antiqua"/>
          <w:i/>
          <w:iCs/>
          <w:color w:val="000000"/>
        </w:rPr>
        <w:t>Staphylococcus</w:t>
      </w:r>
      <w:r>
        <w:rPr>
          <w:rFonts w:ascii="Book Antiqua" w:eastAsia="Book Antiqua" w:hAnsi="Book Antiqua" w:cs="Book Antiqua"/>
          <w:i/>
          <w:iCs/>
          <w:color w:val="000000"/>
        </w:rPr>
        <w:t xml:space="preserve"> epidermidis</w:t>
      </w:r>
      <w:r>
        <w:rPr>
          <w:rFonts w:ascii="Book Antiqua" w:eastAsia="Book Antiqua" w:hAnsi="Book Antiqua" w:cs="Book Antiqua"/>
          <w:color w:val="000000"/>
        </w:rPr>
        <w:t xml:space="preserve"> strain P</w:t>
      </w:r>
      <w:r w:rsidR="00206125">
        <w:rPr>
          <w:rFonts w:ascii="Book Antiqua" w:eastAsia="Book Antiqua" w:hAnsi="Book Antiqua" w:cs="Book Antiqua"/>
          <w:color w:val="000000"/>
        </w:rPr>
        <w:t>ALACOS</w:t>
      </w:r>
      <w:r>
        <w:rPr>
          <w:rFonts w:ascii="Book Antiqua" w:eastAsia="Book Antiqua" w:hAnsi="Book Antiqua" w:cs="Book Antiqua"/>
          <w:color w:val="000000"/>
        </w:rPr>
        <w:t xml:space="preserve"> R+G was not able to inhibit the bacteria while COPAL G+C prevented growth of these bacteria at all times after elution.</w:t>
      </w:r>
    </w:p>
    <w:p w14:paraId="24E1C993" w14:textId="6235A6BF" w:rsidR="00A77B3E" w:rsidRDefault="00683D76" w:rsidP="00206125">
      <w:pPr>
        <w:spacing w:line="360" w:lineRule="auto"/>
        <w:ind w:firstLineChars="100" w:firstLine="240"/>
        <w:jc w:val="both"/>
      </w:pPr>
      <w:r>
        <w:rPr>
          <w:rFonts w:ascii="Book Antiqua" w:eastAsia="Book Antiqua" w:hAnsi="Book Antiqua" w:cs="Book Antiqua"/>
          <w:color w:val="000000"/>
        </w:rPr>
        <w:t xml:space="preserve">Cara </w:t>
      </w:r>
      <w:r>
        <w:rPr>
          <w:rFonts w:ascii="Book Antiqua" w:eastAsia="Book Antiqua" w:hAnsi="Book Antiqua" w:cs="Book Antiqua"/>
          <w:i/>
          <w:iCs/>
          <w:color w:val="000000"/>
        </w:rPr>
        <w:t>et al</w:t>
      </w:r>
      <w:r w:rsidR="00206125">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expanded on these studies and compared the inhibitory effect on staphylococcal biofilm formation of plain cement (no antibiotic) with the three ready-to-use commercial ALBC brands PALACOS R+G, COPAL G+C and COPAL G+V (the latter contains a combination of 0</w:t>
      </w:r>
      <w:r w:rsidR="00206125">
        <w:rPr>
          <w:rFonts w:ascii="Book Antiqua" w:eastAsia="Book Antiqua" w:hAnsi="Book Antiqua" w:cs="Book Antiqua"/>
          <w:color w:val="000000"/>
        </w:rPr>
        <w:t>.</w:t>
      </w:r>
      <w:r>
        <w:rPr>
          <w:rFonts w:ascii="Book Antiqua" w:eastAsia="Book Antiqua" w:hAnsi="Book Antiqua" w:cs="Book Antiqua"/>
          <w:color w:val="000000"/>
        </w:rPr>
        <w:t xml:space="preserve">5 g gentamicin and 2 g vancomycin, Heraeus Medical GmbH, Wehrheim, Germany). In total, ten different strains of </w:t>
      </w:r>
      <w:r w:rsidR="00DE06D9">
        <w:rPr>
          <w:rFonts w:ascii="Book Antiqua" w:eastAsia="Book Antiqua" w:hAnsi="Book Antiqua" w:cs="Book Antiqua"/>
          <w:i/>
          <w:iCs/>
          <w:color w:val="000000"/>
        </w:rPr>
        <w:t>Staphylococcus</w:t>
      </w:r>
      <w:r>
        <w:rPr>
          <w:rFonts w:ascii="Book Antiqua" w:eastAsia="Book Antiqua" w:hAnsi="Book Antiqua" w:cs="Book Antiqua"/>
          <w:i/>
          <w:iCs/>
          <w:color w:val="000000"/>
        </w:rPr>
        <w:t xml:space="preserve"> aureus</w:t>
      </w:r>
      <w:r>
        <w:rPr>
          <w:rFonts w:ascii="Book Antiqua" w:eastAsia="Book Antiqua" w:hAnsi="Book Antiqua" w:cs="Book Antiqua"/>
          <w:color w:val="000000"/>
        </w:rPr>
        <w:t xml:space="preserve"> and </w:t>
      </w:r>
      <w:r w:rsidR="00DE06D9">
        <w:rPr>
          <w:rFonts w:ascii="Book Antiqua" w:eastAsia="Book Antiqua" w:hAnsi="Book Antiqua" w:cs="Book Antiqua"/>
          <w:i/>
          <w:iCs/>
          <w:color w:val="000000"/>
        </w:rPr>
        <w:t>Staphylococcus</w:t>
      </w:r>
      <w:r>
        <w:rPr>
          <w:rFonts w:ascii="Book Antiqua" w:eastAsia="Book Antiqua" w:hAnsi="Book Antiqua" w:cs="Book Antiqua"/>
          <w:i/>
          <w:iCs/>
          <w:color w:val="000000"/>
        </w:rPr>
        <w:t xml:space="preserve"> epidermidis</w:t>
      </w:r>
      <w:r>
        <w:rPr>
          <w:rFonts w:ascii="Book Antiqua" w:eastAsia="Book Antiqua" w:hAnsi="Book Antiqua" w:cs="Book Antiqua"/>
          <w:color w:val="000000"/>
        </w:rPr>
        <w:t xml:space="preserve">, some with specific resistance to gentamicin, were analyzed. It was observed that all the tested ALBC can inhibit biofilm formation of methicillin-susceptible staphylococci (without antibiotic resistances) up to day 9 (end of observation </w:t>
      </w:r>
      <w:r>
        <w:rPr>
          <w:rFonts w:ascii="Book Antiqua" w:eastAsia="Book Antiqua" w:hAnsi="Book Antiqua" w:cs="Book Antiqua"/>
          <w:color w:val="000000"/>
        </w:rPr>
        <w:lastRenderedPageBreak/>
        <w:t>period). However, the inhibition of the dual ALBC brands at day 9 appeared more potent and sustained than that of the single ALBC product (Figure 1A). Strong antimicrobial effect of all 3 ALBC</w:t>
      </w:r>
      <w:bookmarkStart w:id="3" w:name="_Hlk61967700"/>
      <w:r w:rsidR="00815ABB">
        <w:rPr>
          <w:rFonts w:ascii="Book Antiqua" w:eastAsia="Book Antiqua" w:hAnsi="Book Antiqua" w:cs="Book Antiqua"/>
          <w:color w:val="000000"/>
        </w:rPr>
        <w:t xml:space="preserve"> </w:t>
      </w:r>
      <w:r w:rsidR="00206125" w:rsidRPr="008D1AA7">
        <w:rPr>
          <w:rFonts w:ascii="Book Antiqua" w:eastAsia="Book Antiqua" w:hAnsi="Book Antiqua" w:cs="Book Antiqua"/>
          <w:bCs/>
          <w:color w:val="000000"/>
        </w:rPr>
        <w:t>—</w:t>
      </w:r>
      <w:bookmarkEnd w:id="3"/>
      <w:r w:rsidR="00815ABB">
        <w:rPr>
          <w:rFonts w:ascii="Book Antiqua" w:eastAsia="Book Antiqua" w:hAnsi="Book Antiqua" w:cs="Book Antiqua"/>
          <w:bCs/>
          <w:color w:val="000000"/>
        </w:rPr>
        <w:t xml:space="preserve"> </w:t>
      </w:r>
      <w:r>
        <w:rPr>
          <w:rFonts w:ascii="Book Antiqua" w:eastAsia="Book Antiqua" w:hAnsi="Book Antiqua" w:cs="Book Antiqua"/>
          <w:color w:val="000000"/>
        </w:rPr>
        <w:t>at least up to day 3</w:t>
      </w:r>
      <w:r w:rsidR="00815ABB">
        <w:rPr>
          <w:rFonts w:ascii="Book Antiqua" w:eastAsia="Book Antiqua" w:hAnsi="Book Antiqua" w:cs="Book Antiqua"/>
          <w:color w:val="000000"/>
        </w:rPr>
        <w:t xml:space="preserve"> </w:t>
      </w:r>
      <w:r w:rsidR="00206125" w:rsidRPr="008D1AA7">
        <w:rPr>
          <w:rFonts w:ascii="Book Antiqua" w:eastAsia="Book Antiqua" w:hAnsi="Book Antiqua" w:cs="Book Antiqua"/>
          <w:bCs/>
          <w:color w:val="000000"/>
        </w:rPr>
        <w:t>—</w:t>
      </w:r>
      <w:r w:rsidR="00815ABB">
        <w:rPr>
          <w:rFonts w:ascii="Book Antiqua" w:eastAsia="Book Antiqua" w:hAnsi="Book Antiqua" w:cs="Book Antiqua"/>
          <w:bCs/>
          <w:color w:val="000000"/>
        </w:rPr>
        <w:t xml:space="preserve"> </w:t>
      </w:r>
      <w:r>
        <w:rPr>
          <w:rFonts w:ascii="Book Antiqua" w:eastAsia="Book Antiqua" w:hAnsi="Book Antiqua" w:cs="Book Antiqua"/>
          <w:color w:val="000000"/>
        </w:rPr>
        <w:t xml:space="preserve">was also evident for methicillin-resistant staphylococci if they were still susceptible to gentamicin. However, a strong difference could be noticed for such strains which were highly resistant to gentamicin. In these cases, only the dual loaded products were able to exert a potent anti-biofilm activity with a tendency of even stronger and longer lasting inhibition for the G+C combination (Figure 1B). The most reliable and most sustained inhibition effect of the G+C combination against gentamicin-resistant coagulase-negative </w:t>
      </w:r>
      <w:r w:rsidR="00206125">
        <w:rPr>
          <w:rFonts w:ascii="Book Antiqua" w:eastAsia="Book Antiqua" w:hAnsi="Book Antiqua" w:cs="Book Antiqua"/>
          <w:color w:val="000000"/>
        </w:rPr>
        <w:t>s</w:t>
      </w:r>
      <w:r>
        <w:rPr>
          <w:rFonts w:ascii="Book Antiqua" w:eastAsia="Book Antiqua" w:hAnsi="Book Antiqua" w:cs="Book Antiqua"/>
          <w:color w:val="000000"/>
        </w:rPr>
        <w:t xml:space="preserve">taphylococci is of important clinical relevance since regular antibiotic surveillance data from several countries point to an increasing gentamicin resistance level of these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4FED30E" w14:textId="77777777" w:rsidR="00A77B3E" w:rsidRDefault="00A77B3E">
      <w:pPr>
        <w:spacing w:line="360" w:lineRule="auto"/>
        <w:jc w:val="both"/>
      </w:pPr>
    </w:p>
    <w:p w14:paraId="3EF36F54" w14:textId="70E3265F" w:rsidR="00A77B3E" w:rsidRDefault="00683D76">
      <w:pPr>
        <w:spacing w:line="360" w:lineRule="auto"/>
        <w:jc w:val="both"/>
      </w:pPr>
      <w:r>
        <w:rPr>
          <w:rFonts w:ascii="Book Antiqua" w:eastAsia="Book Antiqua" w:hAnsi="Book Antiqua" w:cs="Book Antiqua"/>
          <w:b/>
          <w:bCs/>
          <w:caps/>
          <w:color w:val="000000"/>
          <w:u w:val="single"/>
        </w:rPr>
        <w:t>Lower PJI rate with dual ALBC (COPAL G+C)</w:t>
      </w:r>
      <w:r w:rsidR="000D3C05">
        <w:rPr>
          <w:rFonts w:ascii="Book Antiqua" w:eastAsia="Book Antiqua" w:hAnsi="Book Antiqua" w:cs="Book Antiqua"/>
          <w:b/>
          <w:bCs/>
          <w:caps/>
          <w:color w:val="000000"/>
          <w:u w:val="single"/>
        </w:rPr>
        <w:t xml:space="preserve"> </w:t>
      </w:r>
      <w:r w:rsidR="006E0FC4" w:rsidRPr="006E0FC4">
        <w:rPr>
          <w:rFonts w:ascii="Book Antiqua" w:eastAsia="Book Antiqua" w:hAnsi="Book Antiqua" w:cs="Book Antiqua"/>
          <w:b/>
          <w:color w:val="000000"/>
          <w:u w:val="single"/>
        </w:rPr>
        <w:t>—</w:t>
      </w:r>
      <w:r w:rsidR="000D3C05">
        <w:rPr>
          <w:rFonts w:ascii="Book Antiqua" w:eastAsia="Book Antiqua" w:hAnsi="Book Antiqua" w:cs="Book Antiqua"/>
          <w:b/>
          <w:color w:val="000000"/>
          <w:u w:val="single"/>
        </w:rPr>
        <w:t xml:space="preserve"> </w:t>
      </w:r>
      <w:r>
        <w:rPr>
          <w:rFonts w:ascii="Book Antiqua" w:eastAsia="Book Antiqua" w:hAnsi="Book Antiqua" w:cs="Book Antiqua"/>
          <w:b/>
          <w:bCs/>
          <w:caps/>
          <w:color w:val="000000"/>
          <w:u w:val="single"/>
        </w:rPr>
        <w:t>hemiarthroplasty in F</w:t>
      </w:r>
      <w:r w:rsidR="006E0FC4">
        <w:rPr>
          <w:rFonts w:ascii="Book Antiqua" w:eastAsia="Book Antiqua" w:hAnsi="Book Antiqua" w:cs="Book Antiqua"/>
          <w:b/>
          <w:bCs/>
          <w:caps/>
          <w:color w:val="000000"/>
          <w:u w:val="single"/>
        </w:rPr>
        <w:t>NF</w:t>
      </w:r>
      <w:r>
        <w:rPr>
          <w:rFonts w:ascii="Book Antiqua" w:eastAsia="Book Antiqua" w:hAnsi="Book Antiqua" w:cs="Book Antiqua"/>
          <w:b/>
          <w:bCs/>
          <w:caps/>
          <w:color w:val="000000"/>
          <w:u w:val="single"/>
        </w:rPr>
        <w:t xml:space="preserve"> patients</w:t>
      </w:r>
    </w:p>
    <w:p w14:paraId="1C02C44B" w14:textId="7334D56B" w:rsidR="00A77B3E" w:rsidRDefault="00683D76">
      <w:pPr>
        <w:spacing w:line="360" w:lineRule="auto"/>
        <w:jc w:val="both"/>
      </w:pPr>
      <w:r>
        <w:rPr>
          <w:rFonts w:ascii="Book Antiqua" w:eastAsia="Book Antiqua" w:hAnsi="Book Antiqua" w:cs="Book Antiqua"/>
          <w:color w:val="000000"/>
        </w:rPr>
        <w:t xml:space="preserve">These promising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observations with dual ALBC prompted surgeons at the </w:t>
      </w:r>
      <w:proofErr w:type="spellStart"/>
      <w:r>
        <w:rPr>
          <w:rFonts w:ascii="Book Antiqua" w:eastAsia="Book Antiqua" w:hAnsi="Book Antiqua" w:cs="Book Antiqua"/>
          <w:color w:val="000000"/>
        </w:rPr>
        <w:t>Northumbria</w:t>
      </w:r>
      <w:proofErr w:type="spellEnd"/>
      <w:r>
        <w:rPr>
          <w:rFonts w:ascii="Book Antiqua" w:eastAsia="Book Antiqua" w:hAnsi="Book Antiqua" w:cs="Book Antiqua"/>
          <w:color w:val="000000"/>
        </w:rPr>
        <w:t xml:space="preserve"> NHS Trust hospitals in the U</w:t>
      </w:r>
      <w:r w:rsidR="006E0FC4">
        <w:rPr>
          <w:rFonts w:ascii="Book Antiqua" w:eastAsia="Book Antiqua" w:hAnsi="Book Antiqua" w:cs="Book Antiqua"/>
          <w:color w:val="000000"/>
        </w:rPr>
        <w:t xml:space="preserve">nited </w:t>
      </w:r>
      <w:r>
        <w:rPr>
          <w:rFonts w:ascii="Book Antiqua" w:eastAsia="Book Antiqua" w:hAnsi="Book Antiqua" w:cs="Book Antiqua"/>
          <w:color w:val="000000"/>
        </w:rPr>
        <w:t>K</w:t>
      </w:r>
      <w:r w:rsidR="006E0FC4">
        <w:rPr>
          <w:rFonts w:ascii="Book Antiqua" w:eastAsia="Book Antiqua" w:hAnsi="Book Antiqua" w:cs="Book Antiqua"/>
          <w:color w:val="000000"/>
        </w:rPr>
        <w:t>ingdom</w:t>
      </w:r>
      <w:r>
        <w:rPr>
          <w:rFonts w:ascii="Book Antiqua" w:eastAsia="Book Antiqua" w:hAnsi="Book Antiqua" w:cs="Book Antiqua"/>
          <w:color w:val="000000"/>
        </w:rPr>
        <w:t xml:space="preserve"> to test the hypothesis of a clinically more meaningful infection prophylaxis with COPAL G+C in the setting of a randomized clinical trial. For this they chose the particularly frail patient cohort of FNF patients known to suffer from higher infection risks. The study comprised of 848 patients with intracapsular fractures who were treated with cemented hemiarthroplasty according to the </w:t>
      </w:r>
      <w:r w:rsidR="006E0FC4">
        <w:rPr>
          <w:rFonts w:ascii="Book Antiqua" w:eastAsia="Book Antiqua" w:hAnsi="Book Antiqua" w:cs="Book Antiqua"/>
          <w:color w:val="000000"/>
        </w:rPr>
        <w:t>United Kingdom</w:t>
      </w:r>
      <w:r>
        <w:rPr>
          <w:rFonts w:ascii="Book Antiqua" w:eastAsia="Book Antiqua" w:hAnsi="Book Antiqua" w:cs="Book Antiqua"/>
          <w:color w:val="000000"/>
        </w:rPr>
        <w:t xml:space="preserve"> trauma guidelines. It was found that the primary study endpoint, incidence of deep surgical site infections (SSI), was significantly lower in the intervention group receiving the dual ALBC COPAL G+C (1</w:t>
      </w:r>
      <w:r w:rsidR="0009638C">
        <w:rPr>
          <w:rFonts w:ascii="Book Antiqua" w:eastAsia="Book Antiqua" w:hAnsi="Book Antiqua" w:cs="Book Antiqua"/>
          <w:color w:val="000000"/>
        </w:rPr>
        <w:t>.</w:t>
      </w:r>
      <w:r>
        <w:rPr>
          <w:rFonts w:ascii="Book Antiqua" w:eastAsia="Book Antiqua" w:hAnsi="Book Antiqua" w:cs="Book Antiqua"/>
          <w:color w:val="000000"/>
        </w:rPr>
        <w:t xml:space="preserve">1% deep SSI rate) compared to the standard group receiving the single low dose ALBC PALACOS R+G (3.5% deep SSI rate,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evidence level I</w:t>
      </w:r>
      <w:r w:rsidR="006E0FC4">
        <w:rPr>
          <w:rFonts w:ascii="Book Antiqua" w:eastAsia="Book Antiqua" w:hAnsi="Book Antiqua" w:cs="Book Antiqua"/>
          <w:color w:val="000000"/>
        </w:rPr>
        <w:t xml:space="preserve">, </w:t>
      </w:r>
      <w:r>
        <w:rPr>
          <w:rFonts w:ascii="Book Antiqua" w:eastAsia="Book Antiqua" w:hAnsi="Book Antiqua" w:cs="Book Antiqua"/>
          <w:color w:val="000000"/>
        </w:rPr>
        <w:t>Figure 2)</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If also considering the number of superficial SSI occurring in both groups, the difference was even more significant (1</w:t>
      </w:r>
      <w:r w:rsidR="006E0FC4">
        <w:rPr>
          <w:rFonts w:ascii="Book Antiqua" w:eastAsia="Book Antiqua" w:hAnsi="Book Antiqua" w:cs="Book Antiqua"/>
          <w:color w:val="000000"/>
        </w:rPr>
        <w:t>.</w:t>
      </w:r>
      <w:r>
        <w:rPr>
          <w:rFonts w:ascii="Book Antiqua" w:eastAsia="Book Antiqua" w:hAnsi="Book Antiqua" w:cs="Book Antiqua"/>
          <w:color w:val="000000"/>
        </w:rPr>
        <w:t xml:space="preserve">7% in the intervention group </w:t>
      </w:r>
      <w:r w:rsidRPr="006E0FC4">
        <w:rPr>
          <w:rFonts w:ascii="Book Antiqua" w:eastAsia="Book Antiqua" w:hAnsi="Book Antiqua" w:cs="Book Antiqua"/>
          <w:i/>
          <w:iCs/>
          <w:color w:val="000000"/>
        </w:rPr>
        <w:t>vs</w:t>
      </w:r>
      <w:r w:rsidR="006E0FC4">
        <w:rPr>
          <w:rFonts w:ascii="Book Antiqua" w:eastAsia="Book Antiqua" w:hAnsi="Book Antiqua" w:cs="Book Antiqua"/>
          <w:color w:val="000000"/>
        </w:rPr>
        <w:t xml:space="preserve"> </w:t>
      </w:r>
      <w:r>
        <w:rPr>
          <w:rFonts w:ascii="Book Antiqua" w:eastAsia="Book Antiqua" w:hAnsi="Book Antiqua" w:cs="Book Antiqua"/>
          <w:color w:val="000000"/>
        </w:rPr>
        <w:t>5</w:t>
      </w:r>
      <w:r w:rsidR="006E0FC4">
        <w:rPr>
          <w:rFonts w:ascii="Book Antiqua" w:eastAsia="Book Antiqua" w:hAnsi="Book Antiqua" w:cs="Book Antiqua"/>
          <w:color w:val="000000"/>
        </w:rPr>
        <w:t>.</w:t>
      </w:r>
      <w:r>
        <w:rPr>
          <w:rFonts w:ascii="Book Antiqua" w:eastAsia="Book Antiqua" w:hAnsi="Book Antiqua" w:cs="Book Antiqua"/>
          <w:color w:val="000000"/>
        </w:rPr>
        <w:t xml:space="preserve">3% in control group). </w:t>
      </w:r>
      <w:proofErr w:type="spellStart"/>
      <w:r>
        <w:rPr>
          <w:rFonts w:ascii="Book Antiqua" w:eastAsia="Book Antiqua" w:hAnsi="Book Antiqua" w:cs="Book Antiqua"/>
          <w:color w:val="000000"/>
        </w:rPr>
        <w:t>Tyas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0FC4">
        <w:rPr>
          <w:rFonts w:ascii="Book Antiqua" w:eastAsia="Book Antiqua" w:hAnsi="Book Antiqua" w:cs="Book Antiqua"/>
          <w:color w:val="000000"/>
          <w:szCs w:val="30"/>
          <w:vertAlign w:val="superscript"/>
        </w:rPr>
        <w:t>[</w:t>
      </w:r>
      <w:proofErr w:type="gramEnd"/>
      <w:r w:rsidR="006E0FC4">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later extended the patient number from this randomized study and analyzed 1941 FNF-patients in the same way. The lower PJI rate in the dual ALBC group was maintained (1</w:t>
      </w:r>
      <w:r w:rsidR="006E0FC4">
        <w:rPr>
          <w:rFonts w:ascii="Book Antiqua" w:eastAsia="Book Antiqua" w:hAnsi="Book Antiqua" w:cs="Book Antiqua"/>
          <w:color w:val="000000"/>
        </w:rPr>
        <w:t>.</w:t>
      </w:r>
      <w:r>
        <w:rPr>
          <w:rFonts w:ascii="Book Antiqua" w:eastAsia="Book Antiqua" w:hAnsi="Book Antiqua" w:cs="Book Antiqua"/>
          <w:color w:val="000000"/>
        </w:rPr>
        <w:t xml:space="preserve">2% </w:t>
      </w:r>
      <w:r>
        <w:rPr>
          <w:rFonts w:ascii="Book Antiqua" w:eastAsia="Book Antiqua" w:hAnsi="Book Antiqua" w:cs="Book Antiqua"/>
          <w:i/>
          <w:iCs/>
          <w:color w:val="000000"/>
        </w:rPr>
        <w:t>vs</w:t>
      </w:r>
      <w:r>
        <w:rPr>
          <w:rFonts w:ascii="Book Antiqua" w:eastAsia="Book Antiqua" w:hAnsi="Book Antiqua" w:cs="Book Antiqua"/>
          <w:color w:val="000000"/>
        </w:rPr>
        <w:t xml:space="preserve"> 3</w:t>
      </w:r>
      <w:r w:rsidR="006E0FC4">
        <w:rPr>
          <w:rFonts w:ascii="Book Antiqua" w:eastAsia="Book Antiqua" w:hAnsi="Book Antiqua" w:cs="Book Antiqua"/>
          <w:color w:val="000000"/>
        </w:rPr>
        <w:t>.</w:t>
      </w:r>
      <w:r>
        <w:rPr>
          <w:rFonts w:ascii="Book Antiqua" w:eastAsia="Book Antiqua" w:hAnsi="Book Antiqua" w:cs="Book Antiqua"/>
          <w:color w:val="000000"/>
        </w:rPr>
        <w:t xml:space="preserve">4%). Savage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0FC4">
        <w:rPr>
          <w:rFonts w:ascii="Book Antiqua" w:eastAsia="Book Antiqua" w:hAnsi="Book Antiqua" w:cs="Book Antiqua"/>
          <w:color w:val="000000"/>
          <w:szCs w:val="30"/>
          <w:vertAlign w:val="superscript"/>
        </w:rPr>
        <w:t>[</w:t>
      </w:r>
      <w:proofErr w:type="gramEnd"/>
      <w:r w:rsidR="006E0FC4">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independently reported a PJI rate of 0% in the dual ALBC FNF-patient cohort </w:t>
      </w:r>
      <w:r>
        <w:rPr>
          <w:rFonts w:ascii="Book Antiqua" w:eastAsia="Book Antiqua" w:hAnsi="Book Antiqua" w:cs="Book Antiqua"/>
          <w:i/>
          <w:iCs/>
          <w:color w:val="000000"/>
        </w:rPr>
        <w:t>vs</w:t>
      </w:r>
      <w:r>
        <w:rPr>
          <w:rFonts w:ascii="Book Antiqua" w:eastAsia="Book Antiqua" w:hAnsi="Book Antiqua" w:cs="Book Antiqua"/>
          <w:color w:val="000000"/>
        </w:rPr>
        <w:t xml:space="preserve"> 2</w:t>
      </w:r>
      <w:r w:rsidR="006E0FC4">
        <w:rPr>
          <w:rFonts w:ascii="Book Antiqua" w:eastAsia="Book Antiqua" w:hAnsi="Book Antiqua" w:cs="Book Antiqua"/>
          <w:color w:val="000000"/>
        </w:rPr>
        <w:t>.</w:t>
      </w:r>
      <w:r>
        <w:rPr>
          <w:rFonts w:ascii="Book Antiqua" w:eastAsia="Book Antiqua" w:hAnsi="Book Antiqua" w:cs="Book Antiqua"/>
          <w:color w:val="000000"/>
        </w:rPr>
        <w:t xml:space="preserve">9% in </w:t>
      </w:r>
      <w:r>
        <w:rPr>
          <w:rFonts w:ascii="Book Antiqua" w:eastAsia="Book Antiqua" w:hAnsi="Book Antiqua" w:cs="Book Antiqua"/>
          <w:color w:val="000000"/>
        </w:rPr>
        <w:lastRenderedPageBreak/>
        <w:t>the single ALBC group.</w:t>
      </w:r>
      <w:r w:rsidR="006E0FC4">
        <w:rPr>
          <w:rFonts w:ascii="Book Antiqua" w:eastAsia="Book Antiqua" w:hAnsi="Book Antiqua" w:cs="Book Antiqua"/>
          <w:color w:val="000000"/>
        </w:rPr>
        <w:t xml:space="preserve"> </w:t>
      </w:r>
      <w:r>
        <w:rPr>
          <w:rFonts w:ascii="Book Antiqua" w:eastAsia="Book Antiqua" w:hAnsi="Book Antiqua" w:cs="Book Antiqua"/>
          <w:color w:val="000000"/>
        </w:rPr>
        <w:t>This study compared bone cements from two different manufacturers in a mixed prospective and retrospective study design (</w:t>
      </w:r>
      <w:r>
        <w:rPr>
          <w:rFonts w:ascii="Book Antiqua" w:eastAsia="Book Antiqua" w:hAnsi="Book Antiqua" w:cs="Book Antiqua"/>
          <w:i/>
          <w:iCs/>
          <w:color w:val="000000"/>
        </w:rPr>
        <w:t>n</w:t>
      </w:r>
      <w:r>
        <w:rPr>
          <w:rFonts w:ascii="Book Antiqua" w:eastAsia="Book Antiqua" w:hAnsi="Book Antiqua" w:cs="Book Antiqua"/>
          <w:color w:val="000000"/>
        </w:rPr>
        <w:t xml:space="preserve"> = 206), (evidence level II).</w:t>
      </w:r>
    </w:p>
    <w:p w14:paraId="31313A14" w14:textId="025FB3F4" w:rsidR="00A77B3E" w:rsidRDefault="00683D76" w:rsidP="006E0FC4">
      <w:pPr>
        <w:spacing w:line="360" w:lineRule="auto"/>
        <w:ind w:firstLineChars="100" w:firstLine="240"/>
        <w:jc w:val="both"/>
      </w:pPr>
      <w:r>
        <w:rPr>
          <w:rFonts w:ascii="Book Antiqua" w:eastAsia="Book Antiqua" w:hAnsi="Book Antiqua" w:cs="Book Antiqua"/>
          <w:color w:val="000000"/>
        </w:rPr>
        <w:t xml:space="preserve">Concerns that the use of a dual antibiotic loaded cement with higher drug content may trigger more antibiotic-mediated side effects in these fragile patient cohorts could not be confirmed. In fact, the comparison of complications including renal failure or percentage of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infections did not reveal differences between the standard and intervention group</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There was even a statistically significant decrease in the need for critical care treatment in the COPAL G+C group (0</w:t>
      </w:r>
      <w:r w:rsidR="006E0FC4">
        <w:rPr>
          <w:rFonts w:ascii="Book Antiqua" w:eastAsia="Book Antiqua" w:hAnsi="Book Antiqua" w:cs="Book Antiqua"/>
          <w:color w:val="000000"/>
        </w:rPr>
        <w:t>.</w:t>
      </w:r>
      <w:r>
        <w:rPr>
          <w:rFonts w:ascii="Book Antiqua" w:eastAsia="Book Antiqua" w:hAnsi="Book Antiqua" w:cs="Book Antiqua"/>
          <w:color w:val="000000"/>
        </w:rPr>
        <w:t xml:space="preserve">5% </w:t>
      </w:r>
      <w:r>
        <w:rPr>
          <w:rFonts w:ascii="Book Antiqua" w:eastAsia="Book Antiqua" w:hAnsi="Book Antiqua" w:cs="Book Antiqua"/>
          <w:i/>
          <w:iCs/>
          <w:color w:val="000000"/>
        </w:rPr>
        <w:t>vs</w:t>
      </w:r>
      <w:r>
        <w:rPr>
          <w:rFonts w:ascii="Book Antiqua" w:eastAsia="Book Antiqua" w:hAnsi="Book Antiqua" w:cs="Book Antiqua"/>
          <w:color w:val="000000"/>
        </w:rPr>
        <w:t xml:space="preserve"> 4</w:t>
      </w:r>
      <w:r w:rsidR="006E0FC4">
        <w:rPr>
          <w:rFonts w:ascii="Book Antiqua" w:eastAsia="Book Antiqua" w:hAnsi="Book Antiqua" w:cs="Book Antiqua"/>
          <w:color w:val="000000"/>
        </w:rPr>
        <w:t>.</w:t>
      </w:r>
      <w:r>
        <w:rPr>
          <w:rFonts w:ascii="Book Antiqua" w:eastAsia="Book Antiqua" w:hAnsi="Book Antiqua" w:cs="Book Antiqua"/>
          <w:color w:val="000000"/>
        </w:rPr>
        <w:t>7%) reflecting the clinical impact of the much lower PJI rate in the intervention group receiving dual ALBC</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488DDA05" w14:textId="77777777" w:rsidR="00A77B3E" w:rsidRDefault="00A77B3E">
      <w:pPr>
        <w:spacing w:line="360" w:lineRule="auto"/>
        <w:jc w:val="both"/>
      </w:pPr>
    </w:p>
    <w:p w14:paraId="04F1D9F8" w14:textId="37C5DAD8" w:rsidR="00A77B3E" w:rsidRDefault="00683D76">
      <w:pPr>
        <w:spacing w:line="360" w:lineRule="auto"/>
        <w:jc w:val="both"/>
      </w:pPr>
      <w:r>
        <w:rPr>
          <w:rFonts w:ascii="Book Antiqua" w:eastAsia="Book Antiqua" w:hAnsi="Book Antiqua" w:cs="Book Antiqua"/>
          <w:b/>
          <w:bCs/>
          <w:caps/>
          <w:color w:val="000000"/>
          <w:u w:val="single"/>
        </w:rPr>
        <w:t>lower PJI rate with dual ALBC (COPAL G+C)</w:t>
      </w:r>
      <w:r w:rsidR="00A02165">
        <w:rPr>
          <w:rFonts w:ascii="Book Antiqua" w:eastAsia="Book Antiqua" w:hAnsi="Book Antiqua" w:cs="Book Antiqua"/>
          <w:b/>
          <w:bCs/>
          <w:caps/>
          <w:color w:val="000000"/>
          <w:u w:val="single"/>
        </w:rPr>
        <w:t xml:space="preserve"> </w:t>
      </w:r>
      <w:r w:rsidR="006E0FC4" w:rsidRPr="006E0FC4">
        <w:rPr>
          <w:rFonts w:ascii="Book Antiqua" w:eastAsia="Book Antiqua" w:hAnsi="Book Antiqua" w:cs="Book Antiqua"/>
          <w:b/>
          <w:color w:val="000000"/>
          <w:u w:val="single"/>
        </w:rPr>
        <w:t>—</w:t>
      </w:r>
      <w:r w:rsidR="00A02165">
        <w:rPr>
          <w:rFonts w:ascii="Book Antiqua" w:eastAsia="Book Antiqua" w:hAnsi="Book Antiqua" w:cs="Book Antiqua"/>
          <w:b/>
          <w:color w:val="000000"/>
          <w:u w:val="single"/>
        </w:rPr>
        <w:t xml:space="preserve"> </w:t>
      </w:r>
      <w:r>
        <w:rPr>
          <w:rFonts w:ascii="Book Antiqua" w:eastAsia="Book Antiqua" w:hAnsi="Book Antiqua" w:cs="Book Antiqua"/>
          <w:b/>
          <w:bCs/>
          <w:caps/>
          <w:color w:val="000000"/>
          <w:u w:val="single"/>
        </w:rPr>
        <w:t>aseptic knee revision arthroplasty</w:t>
      </w:r>
    </w:p>
    <w:p w14:paraId="4D43C500" w14:textId="3AA09666" w:rsidR="00A77B3E" w:rsidRDefault="00683D76">
      <w:pPr>
        <w:spacing w:line="360" w:lineRule="auto"/>
        <w:jc w:val="both"/>
      </w:pPr>
      <w:r>
        <w:rPr>
          <w:rFonts w:ascii="Book Antiqua" w:eastAsia="Book Antiqua" w:hAnsi="Book Antiqua" w:cs="Book Antiqua"/>
          <w:color w:val="000000"/>
        </w:rPr>
        <w:t>Inspired by the promising results from the FNF studies, Sanz</w:t>
      </w:r>
      <w:r w:rsidR="006E0FC4">
        <w:rPr>
          <w:rFonts w:ascii="Book Antiqua" w:eastAsia="Book Antiqua" w:hAnsi="Book Antiqua" w:cs="Book Antiqua"/>
          <w:color w:val="000000"/>
        </w:rPr>
        <w:t>-</w:t>
      </w:r>
      <w:r>
        <w:rPr>
          <w:rFonts w:ascii="Book Antiqua" w:eastAsia="Book Antiqua" w:hAnsi="Book Antiqua" w:cs="Book Antiqua"/>
          <w:color w:val="000000"/>
        </w:rPr>
        <w:t xml:space="preserve">Ruiz </w:t>
      </w:r>
      <w:r>
        <w:rPr>
          <w:rFonts w:ascii="Book Antiqua" w:eastAsia="Book Antiqua" w:hAnsi="Book Antiqua" w:cs="Book Antiqua"/>
          <w:i/>
          <w:iCs/>
          <w:color w:val="000000"/>
        </w:rPr>
        <w:t>et al</w:t>
      </w:r>
      <w:r w:rsidR="006E0FC4">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tested the study hypothesis of a more potent infection prophylaxis with the dual ALBC COPAL G+C in the field of aseptic revision knee arthroplasty. All septic and oncologic revision causes were excluded in this study. On basis of 246 patients analyzed in this retrospective study no case of PJI was observed in the COPAL G+C group compared to six cases occurring in the PALACOS R+G group (PJI rate = 4</w:t>
      </w:r>
      <w:r w:rsidR="006E0FC4">
        <w:rPr>
          <w:rFonts w:ascii="Book Antiqua" w:eastAsia="Book Antiqua" w:hAnsi="Book Antiqua" w:cs="Book Antiqua"/>
          <w:color w:val="000000"/>
        </w:rPr>
        <w:t>.</w:t>
      </w:r>
      <w:r>
        <w:rPr>
          <w:rFonts w:ascii="Book Antiqua" w:eastAsia="Book Antiqua" w:hAnsi="Book Antiqua" w:cs="Book Antiqua"/>
          <w:color w:val="000000"/>
        </w:rPr>
        <w:t xml:space="preserve">1%,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evidence level III). The use of the dual ALBC in all patients undergoing aseptic revision arthroplasty was further found to be cost-effective despite the additional cost of dual ALBC. A hospital saving of approximately 1200 € per patient was calculated due to 3</w:t>
      </w:r>
      <w:r w:rsidR="006E0FC4">
        <w:rPr>
          <w:rFonts w:ascii="Book Antiqua" w:eastAsia="Book Antiqua" w:hAnsi="Book Antiqua" w:cs="Book Antiqua"/>
          <w:color w:val="000000"/>
        </w:rPr>
        <w:t>.</w:t>
      </w:r>
      <w:r>
        <w:rPr>
          <w:rFonts w:ascii="Book Antiqua" w:eastAsia="Book Antiqua" w:hAnsi="Book Antiqua" w:cs="Book Antiqua"/>
          <w:color w:val="000000"/>
        </w:rPr>
        <w:t xml:space="preserve">9 avoided PJI cases per 100 aseptic knee revision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BE97CE6" w14:textId="77777777" w:rsidR="00A77B3E" w:rsidRDefault="00A77B3E">
      <w:pPr>
        <w:spacing w:line="360" w:lineRule="auto"/>
        <w:jc w:val="both"/>
      </w:pPr>
    </w:p>
    <w:p w14:paraId="07694C9D" w14:textId="29B27974" w:rsidR="00A77B3E" w:rsidRDefault="00683D76">
      <w:pPr>
        <w:spacing w:line="360" w:lineRule="auto"/>
        <w:jc w:val="both"/>
      </w:pPr>
      <w:r>
        <w:rPr>
          <w:rFonts w:ascii="Book Antiqua" w:eastAsia="Book Antiqua" w:hAnsi="Book Antiqua" w:cs="Book Antiqua"/>
          <w:b/>
          <w:bCs/>
          <w:caps/>
          <w:color w:val="000000"/>
          <w:u w:val="single"/>
        </w:rPr>
        <w:t>lower PJI rate with dual ALBC (COPAL G+C)</w:t>
      </w:r>
      <w:r w:rsidR="00C91E3A">
        <w:rPr>
          <w:rFonts w:ascii="Book Antiqua" w:eastAsia="Book Antiqua" w:hAnsi="Book Antiqua" w:cs="Book Antiqua"/>
          <w:b/>
          <w:bCs/>
          <w:caps/>
          <w:color w:val="000000"/>
          <w:u w:val="single"/>
        </w:rPr>
        <w:t xml:space="preserve"> </w:t>
      </w:r>
      <w:r w:rsidR="006E0FC4" w:rsidRPr="006E0FC4">
        <w:rPr>
          <w:rFonts w:ascii="Book Antiqua" w:eastAsia="Book Antiqua" w:hAnsi="Book Antiqua" w:cs="Book Antiqua"/>
          <w:b/>
          <w:color w:val="000000"/>
          <w:u w:val="single"/>
        </w:rPr>
        <w:t>—</w:t>
      </w:r>
      <w:r w:rsidR="00C91E3A">
        <w:rPr>
          <w:rFonts w:ascii="Book Antiqua" w:eastAsia="Book Antiqua" w:hAnsi="Book Antiqua" w:cs="Book Antiqua"/>
          <w:b/>
          <w:color w:val="000000"/>
          <w:u w:val="single"/>
        </w:rPr>
        <w:t xml:space="preserve"> </w:t>
      </w:r>
      <w:r>
        <w:rPr>
          <w:rFonts w:ascii="Book Antiqua" w:eastAsia="Book Antiqua" w:hAnsi="Book Antiqua" w:cs="Book Antiqua"/>
          <w:b/>
          <w:bCs/>
          <w:caps/>
          <w:color w:val="000000"/>
          <w:u w:val="single"/>
        </w:rPr>
        <w:t>risk for infection patients in primary arthroplasty</w:t>
      </w:r>
    </w:p>
    <w:p w14:paraId="6DACDA54" w14:textId="570B082A" w:rsidR="00A77B3E" w:rsidRDefault="006E0FC4">
      <w:pPr>
        <w:spacing w:line="360" w:lineRule="auto"/>
        <w:jc w:val="both"/>
      </w:pPr>
      <w:r>
        <w:rPr>
          <w:rFonts w:ascii="Book Antiqua" w:eastAsia="Book Antiqua" w:hAnsi="Book Antiqua" w:cs="Book Antiqua"/>
          <w:color w:val="000000"/>
        </w:rPr>
        <w:t xml:space="preserve">Sanz-Ruiz </w:t>
      </w:r>
      <w:r w:rsidR="00FD180E">
        <w:rPr>
          <w:rFonts w:ascii="Book Antiqua" w:eastAsia="Book Antiqua" w:hAnsi="Book Antiqua" w:cs="Book Antiqua"/>
          <w:color w:val="000000"/>
        </w:rPr>
        <w:t xml:space="preserve">and </w:t>
      </w:r>
      <w:proofErr w:type="spellStart"/>
      <w:proofErr w:type="gramStart"/>
      <w:r w:rsidR="00FD180E" w:rsidRPr="00FD180E">
        <w:rPr>
          <w:rFonts w:ascii="Book Antiqua" w:eastAsia="Book Antiqua" w:hAnsi="Book Antiqua" w:cs="Book Antiqua"/>
          <w:color w:val="000000"/>
        </w:rPr>
        <w:t>Berberich</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sidR="00683D76">
        <w:rPr>
          <w:rFonts w:ascii="Book Antiqua" w:eastAsia="Book Antiqua" w:hAnsi="Book Antiqua" w:cs="Book Antiqua"/>
          <w:color w:val="000000"/>
        </w:rPr>
        <w:t xml:space="preserve"> further analyzed the infection rate in presumed risk for infection patients by comparing the influence of single ALBC </w:t>
      </w:r>
      <w:r w:rsidR="00683D76">
        <w:rPr>
          <w:rFonts w:ascii="Book Antiqua" w:eastAsia="Book Antiqua" w:hAnsi="Book Antiqua" w:cs="Book Antiqua"/>
          <w:i/>
          <w:iCs/>
          <w:color w:val="000000"/>
        </w:rPr>
        <w:t>vs</w:t>
      </w:r>
      <w:r w:rsidR="00683D76">
        <w:rPr>
          <w:rFonts w:ascii="Book Antiqua" w:eastAsia="Book Antiqua" w:hAnsi="Book Antiqua" w:cs="Book Antiqua"/>
          <w:color w:val="000000"/>
        </w:rPr>
        <w:t xml:space="preserve"> dual ALBC on the PJI incidence after primary cemented joint replacement. Patients were defined as risk for infection individuals if they presented a combination of at least two or three major risk </w:t>
      </w:r>
      <w:r w:rsidR="00683D76">
        <w:rPr>
          <w:rFonts w:ascii="Book Antiqua" w:eastAsia="Book Antiqua" w:hAnsi="Book Antiqua" w:cs="Book Antiqua"/>
          <w:color w:val="000000"/>
        </w:rPr>
        <w:lastRenderedPageBreak/>
        <w:t>factors for total hip arthroplasty and total knee arthroplasty, respectively, using a simple scoring system. The risk algorithm included specific patient-related comorbidities (</w:t>
      </w:r>
      <w:r w:rsidR="00683D76"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sidR="00683D76">
        <w:rPr>
          <w:rFonts w:ascii="Book Antiqua" w:eastAsia="Book Antiqua" w:hAnsi="Book Antiqua" w:cs="Book Antiqua"/>
          <w:color w:val="000000"/>
        </w:rPr>
        <w:t xml:space="preserve"> severe anemia, severe obesity, diabetes mellitus, chronic immunosuppression) and further general risk factors (</w:t>
      </w:r>
      <w:r w:rsidR="00683D76" w:rsidRPr="00BF3274">
        <w:rPr>
          <w:rFonts w:ascii="Book Antiqua" w:eastAsia="Book Antiqua" w:hAnsi="Book Antiqua" w:cs="Book Antiqua"/>
          <w:i/>
          <w:iCs/>
          <w:color w:val="000000"/>
        </w:rPr>
        <w:t>e.g.</w:t>
      </w:r>
      <w:r w:rsidR="00BF3274">
        <w:rPr>
          <w:rFonts w:ascii="Book Antiqua" w:eastAsia="Book Antiqua" w:hAnsi="Book Antiqua" w:cs="Book Antiqua"/>
          <w:color w:val="000000"/>
        </w:rPr>
        <w:t>,</w:t>
      </w:r>
      <w:r w:rsidR="00683D76">
        <w:rPr>
          <w:rFonts w:ascii="Book Antiqua" w:eastAsia="Book Antiqua" w:hAnsi="Book Antiqua" w:cs="Book Antiqua"/>
          <w:color w:val="000000"/>
        </w:rPr>
        <w:t xml:space="preserve"> hip-fractures or prior arthroplasty </w:t>
      </w:r>
      <w:proofErr w:type="gramStart"/>
      <w:r w:rsidR="00683D76">
        <w:rPr>
          <w:rFonts w:ascii="Book Antiqua" w:eastAsia="Book Antiqua" w:hAnsi="Book Antiqua" w:cs="Book Antiqua"/>
          <w:color w:val="000000"/>
        </w:rPr>
        <w:t>surgeries)</w:t>
      </w:r>
      <w:r w:rsidR="00683D76">
        <w:rPr>
          <w:rFonts w:ascii="Book Antiqua" w:eastAsia="Book Antiqua" w:hAnsi="Book Antiqua" w:cs="Book Antiqua"/>
          <w:color w:val="000000"/>
          <w:szCs w:val="30"/>
          <w:vertAlign w:val="superscript"/>
        </w:rPr>
        <w:t>[</w:t>
      </w:r>
      <w:proofErr w:type="gramEnd"/>
      <w:r w:rsidR="00683D76">
        <w:rPr>
          <w:rFonts w:ascii="Book Antiqua" w:eastAsia="Book Antiqua" w:hAnsi="Book Antiqua" w:cs="Book Antiqua"/>
          <w:color w:val="000000"/>
          <w:szCs w:val="30"/>
          <w:vertAlign w:val="superscript"/>
        </w:rPr>
        <w:t>35]</w:t>
      </w:r>
      <w:r w:rsidR="00683D76">
        <w:rPr>
          <w:rFonts w:ascii="Book Antiqua" w:eastAsia="Book Antiqua" w:hAnsi="Book Antiqua" w:cs="Book Antiqua"/>
          <w:color w:val="000000"/>
        </w:rPr>
        <w:t>. The study analyzed 2551 patients and found a trend towards fewer PJI cases in the dual ALBC (COPAL G+C) group containing exclusively patients at higher infection risk compared to the mixed risk profile (low and high risk) in the single ALBC (PALACOS R+G) group (PJI rate 2</w:t>
      </w:r>
      <w:r>
        <w:rPr>
          <w:rFonts w:ascii="Book Antiqua" w:eastAsia="Book Antiqua" w:hAnsi="Book Antiqua" w:cs="Book Antiqua"/>
          <w:color w:val="000000"/>
        </w:rPr>
        <w:t>.</w:t>
      </w:r>
      <w:r w:rsidR="00683D76">
        <w:rPr>
          <w:rFonts w:ascii="Book Antiqua" w:eastAsia="Book Antiqua" w:hAnsi="Book Antiqua" w:cs="Book Antiqua"/>
          <w:color w:val="000000"/>
        </w:rPr>
        <w:t xml:space="preserve">45% </w:t>
      </w:r>
      <w:r w:rsidR="00683D76" w:rsidRPr="006E0FC4">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683D76">
        <w:rPr>
          <w:rFonts w:ascii="Book Antiqua" w:eastAsia="Book Antiqua" w:hAnsi="Book Antiqua" w:cs="Book Antiqua"/>
          <w:color w:val="000000"/>
        </w:rPr>
        <w:t>3</w:t>
      </w:r>
      <w:r>
        <w:rPr>
          <w:rFonts w:ascii="Book Antiqua" w:eastAsia="Book Antiqua" w:hAnsi="Book Antiqua" w:cs="Book Antiqua"/>
          <w:color w:val="000000"/>
        </w:rPr>
        <w:t>.</w:t>
      </w:r>
      <w:r w:rsidR="00683D76">
        <w:rPr>
          <w:rFonts w:ascii="Book Antiqua" w:eastAsia="Book Antiqua" w:hAnsi="Book Antiqua" w:cs="Book Antiqua"/>
          <w:color w:val="000000"/>
        </w:rPr>
        <w:t>7%) (level of evidence III/IV). This was a particularly interesting observation as one would expect an even higher PJI incidence in the higher infection risk cohort of patients. Further studies are needed to confirm whether this trend to fewer PJI cases in presumed risk for infection patients can be generalized on a broader basis for dual ALBC.</w:t>
      </w:r>
    </w:p>
    <w:p w14:paraId="1B40CAAB" w14:textId="77777777" w:rsidR="00A77B3E" w:rsidRDefault="00A77B3E">
      <w:pPr>
        <w:spacing w:line="360" w:lineRule="auto"/>
        <w:jc w:val="both"/>
      </w:pPr>
    </w:p>
    <w:p w14:paraId="1FABC93B" w14:textId="58A1EB3C" w:rsidR="00A77B3E" w:rsidRDefault="00683D76">
      <w:pPr>
        <w:spacing w:line="360" w:lineRule="auto"/>
        <w:jc w:val="both"/>
      </w:pPr>
      <w:r>
        <w:rPr>
          <w:rFonts w:ascii="Book Antiqua" w:eastAsia="Book Antiqua" w:hAnsi="Book Antiqua" w:cs="Book Antiqua"/>
          <w:b/>
          <w:bCs/>
          <w:caps/>
          <w:color w:val="000000"/>
          <w:u w:val="single"/>
        </w:rPr>
        <w:t>lower rate of re-revisions with dual ALBC in spacer and/or fixation cement for revision prosthesis</w:t>
      </w:r>
      <w:r w:rsidR="00C91E3A">
        <w:rPr>
          <w:rFonts w:ascii="Book Antiqua" w:eastAsia="Book Antiqua" w:hAnsi="Book Antiqua" w:cs="Book Antiqua"/>
          <w:b/>
          <w:bCs/>
          <w:caps/>
          <w:color w:val="000000"/>
          <w:u w:val="single"/>
        </w:rPr>
        <w:t xml:space="preserve"> </w:t>
      </w:r>
      <w:r w:rsidR="006E0FC4" w:rsidRPr="006E0FC4">
        <w:rPr>
          <w:rFonts w:ascii="Book Antiqua" w:eastAsia="Book Antiqua" w:hAnsi="Book Antiqua" w:cs="Book Antiqua"/>
          <w:b/>
          <w:color w:val="000000"/>
          <w:u w:val="single"/>
        </w:rPr>
        <w:t>—</w:t>
      </w:r>
      <w:r w:rsidR="00C91E3A">
        <w:rPr>
          <w:rFonts w:ascii="Book Antiqua" w:eastAsia="Book Antiqua" w:hAnsi="Book Antiqua" w:cs="Book Antiqua"/>
          <w:b/>
          <w:color w:val="000000"/>
          <w:u w:val="single"/>
        </w:rPr>
        <w:t xml:space="preserve"> </w:t>
      </w:r>
      <w:r>
        <w:rPr>
          <w:rFonts w:ascii="Book Antiqua" w:eastAsia="Book Antiqua" w:hAnsi="Book Antiqua" w:cs="Book Antiqua"/>
          <w:b/>
          <w:bCs/>
          <w:caps/>
          <w:color w:val="000000"/>
          <w:u w:val="single"/>
        </w:rPr>
        <w:t>septic revision arthroplasty</w:t>
      </w:r>
    </w:p>
    <w:p w14:paraId="1C539E5F" w14:textId="2244665D" w:rsidR="00A77B3E" w:rsidRDefault="00683D76">
      <w:pPr>
        <w:spacing w:line="360" w:lineRule="auto"/>
        <w:jc w:val="both"/>
      </w:pPr>
      <w:r>
        <w:rPr>
          <w:rFonts w:ascii="Book Antiqua" w:eastAsia="Book Antiqua" w:hAnsi="Book Antiqua" w:cs="Book Antiqua"/>
          <w:color w:val="000000"/>
        </w:rPr>
        <w:t>For many surgeons it is common clinical practice to use ALBC for the manufacture of block or articulating spacers in staged PJI treatment protocols and/or for the fixation of the revision prosthesis. Such ALBC spacers are meant to prevent bacterial recolonization of the foreign body and assist in the successful eradication of the infected joint in combination with systemic antibiotics. In order to increase the depot effect of the local antibiotics and to counteract the risk of antibiotic resistances in septic cases, the use of combinations of local antibiotics has been suggested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selection of antibiotics should be based on the antibiogram of the PJI organisms found after culture of synovial fluid and tissue biopsies.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Vancomycin is the most common antibiotic added to aminoglycoside-containing single ALBC either in form of commercial dual ALBC brands or manually admixed in the theatre. The rationale of its use is to further target gentamicin-resistant </w:t>
      </w:r>
      <w:r w:rsidR="006E0FC4" w:rsidRPr="006E0FC4">
        <w:rPr>
          <w:rFonts w:ascii="Book Antiqua" w:eastAsia="Book Antiqua" w:hAnsi="Book Antiqua" w:cs="Book Antiqua"/>
          <w:color w:val="000000"/>
        </w:rPr>
        <w:t xml:space="preserve">methicillin-resistant </w:t>
      </w:r>
      <w:r w:rsidR="006E0FC4" w:rsidRPr="0097648E">
        <w:rPr>
          <w:rFonts w:ascii="Book Antiqua" w:eastAsia="Book Antiqua" w:hAnsi="Book Antiqua" w:cs="Book Antiqua"/>
          <w:i/>
          <w:iCs/>
          <w:color w:val="000000"/>
        </w:rPr>
        <w:t>Staphylococcus aureus</w:t>
      </w:r>
      <w:r w:rsidR="006E0FC4" w:rsidRPr="006E0FC4">
        <w:rPr>
          <w:rFonts w:ascii="Book Antiqua" w:eastAsia="Book Antiqua" w:hAnsi="Book Antiqua" w:cs="Book Antiqua"/>
          <w:color w:val="000000"/>
        </w:rPr>
        <w:t xml:space="preserve"> (MRSA) and methicillin-resistant </w:t>
      </w:r>
      <w:r w:rsidR="006E0FC4" w:rsidRPr="0097648E">
        <w:rPr>
          <w:rFonts w:ascii="Book Antiqua" w:eastAsia="Book Antiqua" w:hAnsi="Book Antiqua" w:cs="Book Antiqua"/>
          <w:i/>
          <w:iCs/>
          <w:color w:val="000000"/>
        </w:rPr>
        <w:t>Staphylococcus epidermidis</w:t>
      </w:r>
      <w:r w:rsidR="006E0FC4" w:rsidRPr="006E0FC4">
        <w:rPr>
          <w:rFonts w:ascii="Book Antiqua" w:eastAsia="Book Antiqua" w:hAnsi="Book Antiqua" w:cs="Book Antiqua"/>
          <w:color w:val="000000"/>
        </w:rPr>
        <w:t xml:space="preserve"> (MRSE).</w:t>
      </w:r>
      <w:r>
        <w:rPr>
          <w:rFonts w:ascii="Book Antiqua" w:eastAsia="Book Antiqua" w:hAnsi="Book Antiqua" w:cs="Book Antiqua"/>
          <w:color w:val="000000"/>
        </w:rPr>
        <w:t xml:space="preserve"> pathogens which are frequent in some regions, such as the U</w:t>
      </w:r>
      <w:r w:rsidR="006E0FC4">
        <w:rPr>
          <w:rFonts w:ascii="Book Antiqua" w:eastAsia="Book Antiqua" w:hAnsi="Book Antiqua" w:cs="Book Antiqua"/>
          <w:color w:val="000000"/>
        </w:rPr>
        <w:t xml:space="preserve">nited </w:t>
      </w:r>
      <w:proofErr w:type="gramStart"/>
      <w:r>
        <w:rPr>
          <w:rFonts w:ascii="Book Antiqua" w:eastAsia="Book Antiqua" w:hAnsi="Book Antiqua" w:cs="Book Antiqua"/>
          <w:color w:val="000000"/>
        </w:rPr>
        <w:t>S</w:t>
      </w:r>
      <w:r w:rsidR="006E0FC4">
        <w:rPr>
          <w:rFonts w:ascii="Book Antiqua" w:eastAsia="Book Antiqua" w:hAnsi="Book Antiqua" w:cs="Book Antiqua"/>
          <w:color w:val="000000"/>
        </w:rPr>
        <w:t>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Although several questions remain regarding </w:t>
      </w:r>
      <w:r>
        <w:rPr>
          <w:rFonts w:ascii="Book Antiqua" w:eastAsia="Book Antiqua" w:hAnsi="Book Antiqua" w:cs="Book Antiqua"/>
          <w:color w:val="000000"/>
        </w:rPr>
        <w:lastRenderedPageBreak/>
        <w:t xml:space="preserve">optimal dosage for the possible therapeutic effects on biofilm-bacteria and/or contribution to renal injury if admixing large amounts of antibiotics into </w:t>
      </w:r>
      <w:proofErr w:type="gramStart"/>
      <w:r>
        <w:rPr>
          <w:rFonts w:ascii="Book Antiqua" w:eastAsia="Book Antiqua" w:hAnsi="Book Antiqua" w:cs="Book Antiqua"/>
          <w:color w:val="000000"/>
        </w:rPr>
        <w:t>cement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F423A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its contribution to successful infection eradication appears conclusive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roofErr w:type="spellStart"/>
      <w:r w:rsidR="00F423A8" w:rsidRPr="00F423A8">
        <w:rPr>
          <w:rFonts w:ascii="Book Antiqua" w:eastAsia="Book Antiqua" w:hAnsi="Book Antiqua" w:cs="Book Antiqua"/>
          <w:color w:val="000000"/>
        </w:rPr>
        <w:t>Wouthuyzen</w:t>
      </w:r>
      <w:proofErr w:type="spellEnd"/>
      <w:r w:rsidR="00F423A8" w:rsidRPr="00F423A8">
        <w:rPr>
          <w:rFonts w:ascii="Book Antiqua" w:eastAsia="Book Antiqua" w:hAnsi="Book Antiqua" w:cs="Book Antiqua"/>
          <w:color w:val="000000"/>
        </w:rPr>
        <w:t>-Bakker</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23A8">
        <w:rPr>
          <w:rFonts w:ascii="Book Antiqua" w:eastAsia="Book Antiqua" w:hAnsi="Book Antiqua" w:cs="Book Antiqua"/>
          <w:color w:val="000000"/>
          <w:szCs w:val="30"/>
          <w:vertAlign w:val="superscript"/>
        </w:rPr>
        <w:t>[</w:t>
      </w:r>
      <w:proofErr w:type="gramEnd"/>
      <w:r w:rsidR="00F423A8">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have recently demonstrated on a large number of PJI cases to which extent the addition of vancomycin into the cement spacer influences the amount of growth-positive cultures taken at reimplantation of the revision prosthesis. The rate of unsterile biopsies dropped from 21</w:t>
      </w:r>
      <w:r w:rsidR="00F423A8">
        <w:rPr>
          <w:rFonts w:ascii="Book Antiqua" w:eastAsia="Book Antiqua" w:hAnsi="Book Antiqua" w:cs="Book Antiqua"/>
          <w:color w:val="000000"/>
        </w:rPr>
        <w:t>.</w:t>
      </w:r>
      <w:r>
        <w:rPr>
          <w:rFonts w:ascii="Book Antiqua" w:eastAsia="Book Antiqua" w:hAnsi="Book Antiqua" w:cs="Book Antiqua"/>
          <w:color w:val="000000"/>
        </w:rPr>
        <w:t>7% to 9</w:t>
      </w:r>
      <w:r w:rsidR="00F423A8">
        <w:rPr>
          <w:rFonts w:ascii="Book Antiqua" w:eastAsia="Book Antiqua" w:hAnsi="Book Antiqua" w:cs="Book Antiqua"/>
          <w:color w:val="000000"/>
        </w:rPr>
        <w:t>.</w:t>
      </w:r>
      <w:r>
        <w:rPr>
          <w:rFonts w:ascii="Book Antiqua" w:eastAsia="Book Antiqua" w:hAnsi="Book Antiqua" w:cs="Book Antiqua"/>
          <w:color w:val="000000"/>
        </w:rPr>
        <w:t xml:space="preserve">5% if combinations of vancomycin and gentamicin in the cement were used instead of aminoglycoside monotherapy spacers. On a single bacteria level, the strongest antimicrobial effect by such dual ALBC spacers was evident for coagulase-negative </w:t>
      </w:r>
      <w:r w:rsidR="00206125">
        <w:rPr>
          <w:rFonts w:ascii="Book Antiqua" w:eastAsia="Book Antiqua" w:hAnsi="Book Antiqua" w:cs="Book Antiqua"/>
          <w:color w:val="000000"/>
        </w:rPr>
        <w:t>s</w:t>
      </w:r>
      <w:r>
        <w:rPr>
          <w:rFonts w:ascii="Book Antiqua" w:eastAsia="Book Antiqua" w:hAnsi="Book Antiqua" w:cs="Book Antiqua"/>
          <w:color w:val="000000"/>
        </w:rPr>
        <w:t>taphylococci (reduction of growth-positive samples from 13</w:t>
      </w:r>
      <w:r w:rsidR="00F423A8">
        <w:rPr>
          <w:rFonts w:ascii="Book Antiqua" w:eastAsia="Book Antiqua" w:hAnsi="Book Antiqua" w:cs="Book Antiqua"/>
          <w:color w:val="000000"/>
        </w:rPr>
        <w:t>.</w:t>
      </w:r>
      <w:r>
        <w:rPr>
          <w:rFonts w:ascii="Book Antiqua" w:eastAsia="Book Antiqua" w:hAnsi="Book Antiqua" w:cs="Book Antiqua"/>
          <w:color w:val="000000"/>
        </w:rPr>
        <w:t>3% to 2</w:t>
      </w:r>
      <w:r w:rsidR="00F423A8">
        <w:rPr>
          <w:rFonts w:ascii="Book Antiqua" w:eastAsia="Book Antiqua" w:hAnsi="Book Antiqua" w:cs="Book Antiqua"/>
          <w:color w:val="000000"/>
        </w:rPr>
        <w:t>.</w:t>
      </w:r>
      <w:r>
        <w:rPr>
          <w:rFonts w:ascii="Book Antiqua" w:eastAsia="Book Antiqua" w:hAnsi="Book Antiqua" w:cs="Book Antiqua"/>
          <w:color w:val="000000"/>
        </w:rPr>
        <w:t>5%).</w:t>
      </w:r>
    </w:p>
    <w:p w14:paraId="4EEF765B" w14:textId="24B9D159" w:rsidR="00A77B3E" w:rsidRDefault="00683D76" w:rsidP="00F423A8">
      <w:pPr>
        <w:spacing w:line="360" w:lineRule="auto"/>
        <w:ind w:firstLineChars="100" w:firstLine="240"/>
        <w:jc w:val="both"/>
      </w:pPr>
      <w:r>
        <w:rPr>
          <w:rFonts w:ascii="Book Antiqua" w:eastAsia="Book Antiqua" w:hAnsi="Book Antiqua" w:cs="Book Antiqua"/>
          <w:color w:val="000000"/>
        </w:rPr>
        <w:t xml:space="preserve">Abdelaziz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423A8">
        <w:rPr>
          <w:rFonts w:ascii="Book Antiqua" w:eastAsia="Book Antiqua" w:hAnsi="Book Antiqua" w:cs="Book Antiqua"/>
          <w:color w:val="000000"/>
          <w:szCs w:val="30"/>
          <w:vertAlign w:val="superscript"/>
        </w:rPr>
        <w:t>[</w:t>
      </w:r>
      <w:proofErr w:type="gramEnd"/>
      <w:r w:rsidR="00F423A8">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have also provided evidence that the strategy of using the broad spectrum dual ALBC COPAL G+C (with or without additional admixing of vancomycin or ofloxacin) led to complete cure of PJI in one-stage treatment protocols. At five years follow-up, no patient required a repeated revision arthroplasty with exchange of the cemented prosthesis because of either infection or loosening. This was particularly remarkable as 33% of the included PJI cases in this study were caused by polymicrobial infections.</w:t>
      </w:r>
    </w:p>
    <w:p w14:paraId="539C64B6" w14:textId="77777777" w:rsidR="00A77B3E" w:rsidRDefault="00A77B3E">
      <w:pPr>
        <w:spacing w:line="360" w:lineRule="auto"/>
        <w:jc w:val="both"/>
      </w:pPr>
    </w:p>
    <w:p w14:paraId="31D08A49" w14:textId="77777777" w:rsidR="00A77B3E" w:rsidRDefault="00683D76">
      <w:pPr>
        <w:spacing w:line="360" w:lineRule="auto"/>
        <w:jc w:val="both"/>
      </w:pPr>
      <w:r>
        <w:rPr>
          <w:rFonts w:ascii="Book Antiqua" w:eastAsia="Book Antiqua" w:hAnsi="Book Antiqua" w:cs="Book Antiqua"/>
          <w:b/>
          <w:caps/>
          <w:color w:val="000000"/>
          <w:u w:val="single"/>
        </w:rPr>
        <w:t>CONCLUSION</w:t>
      </w:r>
    </w:p>
    <w:p w14:paraId="2855E923" w14:textId="48BE2B9E" w:rsidR="00A77B3E" w:rsidRDefault="00683D76">
      <w:pPr>
        <w:spacing w:line="360" w:lineRule="auto"/>
        <w:jc w:val="both"/>
      </w:pPr>
      <w:r>
        <w:rPr>
          <w:rFonts w:ascii="Book Antiqua" w:eastAsia="Book Antiqua" w:hAnsi="Book Antiqua" w:cs="Book Antiqua"/>
          <w:color w:val="000000"/>
        </w:rPr>
        <w:t xml:space="preserve">The current literature including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supports the additional benefits of dual ALBC, with synergy of drug elution and improved antibacterial activity on a wide range of pathogens related to orthopedic infections. While its therapeutic efficacy on mature biofilm-bacteria is still not entirely clear, more and more data have now demonstrated that it may confer better protection from infection in particularly vulnerable patients or in higher risk procedures (see Figure 3 for summary of clinical evidence). However, this conclusion is based on a mix of prospective and retrospective cohort studies, the latter with a lower evidence level and inherent limitations with regard to possible study bias and higher risk of confounding factors. A generalization of the observed effect of a stronger antibiotic prophylaxis by dual ALBC may also be </w:t>
      </w:r>
      <w:r>
        <w:rPr>
          <w:rFonts w:ascii="Book Antiqua" w:eastAsia="Book Antiqua" w:hAnsi="Book Antiqua" w:cs="Book Antiqua"/>
          <w:color w:val="000000"/>
        </w:rPr>
        <w:lastRenderedPageBreak/>
        <w:t>problematic given that the ready-to-use brands of bone cements differ in their antibiotic elution properties as well as in the nature and amount of pre-mixed antibiotics.</w:t>
      </w:r>
    </w:p>
    <w:p w14:paraId="02DDBCA9" w14:textId="79D8B653" w:rsidR="00A77B3E" w:rsidRDefault="00683D76" w:rsidP="00F423A8">
      <w:pPr>
        <w:spacing w:line="360" w:lineRule="auto"/>
        <w:ind w:firstLineChars="100" w:firstLine="240"/>
        <w:jc w:val="both"/>
      </w:pPr>
      <w:r>
        <w:rPr>
          <w:rFonts w:ascii="Book Antiqua" w:eastAsia="Book Antiqua" w:hAnsi="Book Antiqua" w:cs="Book Antiqua"/>
          <w:color w:val="000000"/>
        </w:rPr>
        <w:t>The idea of an infection risk-adapted antibiotic prophylaxis strategy may be one interesting option among other preoperative optimization protocols to decrease the burden of PJI. In addition to the use of dual ALBC this can also be achieved by temporary or permanent antibacterial implant coatings including surface modifications with silver ions or manual spreading of a fast-resorbable, antibiotic-loaded hydrogel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Both strategies have been shown to reduce early post-surgical infections in uncemented implants in orthopedic surgery. Further studies are needed to truly elucidate the effect of dual ALBC and other local antibiotic delivery systems for infection prevention and to weigh possible benefits against potential adverse effects and costs.</w:t>
      </w:r>
    </w:p>
    <w:p w14:paraId="0F9B43D0" w14:textId="77777777" w:rsidR="00A77B3E" w:rsidRDefault="00A77B3E">
      <w:pPr>
        <w:spacing w:line="360" w:lineRule="auto"/>
        <w:jc w:val="both"/>
      </w:pPr>
    </w:p>
    <w:p w14:paraId="528540AE" w14:textId="77777777" w:rsidR="00A77B3E" w:rsidRDefault="00683D76">
      <w:pPr>
        <w:spacing w:line="360" w:lineRule="auto"/>
        <w:jc w:val="both"/>
      </w:pPr>
      <w:r>
        <w:rPr>
          <w:rFonts w:ascii="Book Antiqua" w:eastAsia="Book Antiqua" w:hAnsi="Book Antiqua" w:cs="Book Antiqua"/>
          <w:b/>
          <w:color w:val="000000"/>
        </w:rPr>
        <w:t>REFERENCES</w:t>
      </w:r>
    </w:p>
    <w:p w14:paraId="5D0F33F1" w14:textId="77777777" w:rsidR="00A77B3E" w:rsidRPr="0049463D" w:rsidRDefault="00683D76">
      <w:pPr>
        <w:spacing w:line="360" w:lineRule="auto"/>
        <w:jc w:val="both"/>
        <w:rPr>
          <w:lang w:val="de-DE"/>
        </w:rPr>
      </w:pPr>
      <w:r>
        <w:rPr>
          <w:rFonts w:ascii="Book Antiqua" w:eastAsia="Book Antiqua" w:hAnsi="Book Antiqua" w:cs="Book Antiqua"/>
          <w:color w:val="000000"/>
        </w:rPr>
        <w:t xml:space="preserve">1 </w:t>
      </w:r>
      <w:r>
        <w:rPr>
          <w:rFonts w:ascii="Book Antiqua" w:eastAsia="Book Antiqua" w:hAnsi="Book Antiqua" w:cs="Book Antiqua"/>
          <w:b/>
          <w:bCs/>
          <w:color w:val="000000"/>
        </w:rPr>
        <w:t>Hickson CJ</w:t>
      </w:r>
      <w:r>
        <w:rPr>
          <w:rFonts w:ascii="Book Antiqua" w:eastAsia="Book Antiqua" w:hAnsi="Book Antiqua" w:cs="Book Antiqua"/>
          <w:color w:val="000000"/>
        </w:rPr>
        <w:t xml:space="preserve">, Metcalfe D, </w:t>
      </w:r>
      <w:proofErr w:type="spellStart"/>
      <w:r>
        <w:rPr>
          <w:rFonts w:ascii="Book Antiqua" w:eastAsia="Book Antiqua" w:hAnsi="Book Antiqua" w:cs="Book Antiqua"/>
          <w:color w:val="000000"/>
        </w:rPr>
        <w:t>Elgohari</w:t>
      </w:r>
      <w:proofErr w:type="spellEnd"/>
      <w:r>
        <w:rPr>
          <w:rFonts w:ascii="Book Antiqua" w:eastAsia="Book Antiqua" w:hAnsi="Book Antiqua" w:cs="Book Antiqua"/>
          <w:color w:val="000000"/>
        </w:rPr>
        <w:t xml:space="preserve"> S, Oswald T, Masters JP, </w:t>
      </w:r>
      <w:proofErr w:type="spellStart"/>
      <w:r>
        <w:rPr>
          <w:rFonts w:ascii="Book Antiqua" w:eastAsia="Book Antiqua" w:hAnsi="Book Antiqua" w:cs="Book Antiqua"/>
          <w:color w:val="000000"/>
        </w:rPr>
        <w:t>Rymaszewska</w:t>
      </w:r>
      <w:proofErr w:type="spellEnd"/>
      <w:r>
        <w:rPr>
          <w:rFonts w:ascii="Book Antiqua" w:eastAsia="Book Antiqua" w:hAnsi="Book Antiqua" w:cs="Book Antiqua"/>
          <w:color w:val="000000"/>
        </w:rPr>
        <w:t xml:space="preserve"> M, Reed MR, </w:t>
      </w:r>
      <w:proofErr w:type="spellStart"/>
      <w:r>
        <w:rPr>
          <w:rFonts w:ascii="Book Antiqua" w:eastAsia="Book Antiqua" w:hAnsi="Book Antiqua" w:cs="Book Antiqua"/>
          <w:color w:val="000000"/>
        </w:rPr>
        <w:t>Sprowson</w:t>
      </w:r>
      <w:proofErr w:type="spellEnd"/>
      <w:r>
        <w:rPr>
          <w:rFonts w:ascii="Book Antiqua" w:eastAsia="Book Antiqua" w:hAnsi="Book Antiqua" w:cs="Book Antiqua"/>
          <w:color w:val="000000"/>
        </w:rPr>
        <w:t xml:space="preserve"> AP. Prophylactic antibiotics in elective hip and knee arthroplasty: an analysis of organisms reported to cause infections and National survey of clinical practice. </w:t>
      </w:r>
      <w:r w:rsidRPr="0049463D">
        <w:rPr>
          <w:rFonts w:ascii="Book Antiqua" w:eastAsia="Book Antiqua" w:hAnsi="Book Antiqua" w:cs="Book Antiqua"/>
          <w:i/>
          <w:iCs/>
          <w:color w:val="000000"/>
          <w:lang w:val="de-DE"/>
        </w:rPr>
        <w:t>Bone Joint Res</w:t>
      </w:r>
      <w:r w:rsidRPr="0049463D">
        <w:rPr>
          <w:rFonts w:ascii="Book Antiqua" w:eastAsia="Book Antiqua" w:hAnsi="Book Antiqua" w:cs="Book Antiqua"/>
          <w:color w:val="000000"/>
          <w:lang w:val="de-DE"/>
        </w:rPr>
        <w:t xml:space="preserve"> 2015; </w:t>
      </w:r>
      <w:r w:rsidRPr="0049463D">
        <w:rPr>
          <w:rFonts w:ascii="Book Antiqua" w:eastAsia="Book Antiqua" w:hAnsi="Book Antiqua" w:cs="Book Antiqua"/>
          <w:b/>
          <w:bCs/>
          <w:color w:val="000000"/>
          <w:lang w:val="de-DE"/>
        </w:rPr>
        <w:t>4</w:t>
      </w:r>
      <w:r w:rsidRPr="0049463D">
        <w:rPr>
          <w:rFonts w:ascii="Book Antiqua" w:eastAsia="Book Antiqua" w:hAnsi="Book Antiqua" w:cs="Book Antiqua"/>
          <w:color w:val="000000"/>
          <w:lang w:val="de-DE"/>
        </w:rPr>
        <w:t>: 181-189 [PMID: 26585304 DOI: 10.1302/2046-3758.411.2000432]</w:t>
      </w:r>
    </w:p>
    <w:p w14:paraId="2B489180" w14:textId="77777777" w:rsidR="00A77B3E" w:rsidRDefault="00683D76">
      <w:pPr>
        <w:spacing w:line="360" w:lineRule="auto"/>
        <w:jc w:val="both"/>
      </w:pPr>
      <w:r w:rsidRPr="0049463D">
        <w:rPr>
          <w:rFonts w:ascii="Book Antiqua" w:eastAsia="Book Antiqua" w:hAnsi="Book Antiqua" w:cs="Book Antiqua"/>
          <w:color w:val="000000"/>
          <w:lang w:val="de-DE"/>
        </w:rPr>
        <w:t xml:space="preserve">2 </w:t>
      </w:r>
      <w:r w:rsidRPr="0049463D">
        <w:rPr>
          <w:rFonts w:ascii="Book Antiqua" w:eastAsia="Book Antiqua" w:hAnsi="Book Antiqua" w:cs="Book Antiqua"/>
          <w:b/>
          <w:bCs/>
          <w:color w:val="000000"/>
          <w:lang w:val="de-DE"/>
        </w:rPr>
        <w:t>Nodzo SR</w:t>
      </w:r>
      <w:r w:rsidRPr="0049463D">
        <w:rPr>
          <w:rFonts w:ascii="Book Antiqua" w:eastAsia="Book Antiqua" w:hAnsi="Book Antiqua" w:cs="Book Antiqua"/>
          <w:color w:val="000000"/>
          <w:lang w:val="de-DE"/>
        </w:rPr>
        <w:t xml:space="preserve">, Boyle KK, Frisch NB. </w:t>
      </w:r>
      <w:r>
        <w:rPr>
          <w:rFonts w:ascii="Book Antiqua" w:eastAsia="Book Antiqua" w:hAnsi="Book Antiqua" w:cs="Book Antiqua"/>
          <w:color w:val="000000"/>
        </w:rPr>
        <w:t xml:space="preserve">Nationwide Organism Susceptibility Patterns to Common Preoperative Prophylactic Antibiotics: What Are We Covering?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S302-S306 [PMID: 30745218 DOI: 10.1016/j.arth.2019.01.017]</w:t>
      </w:r>
    </w:p>
    <w:p w14:paraId="1A029306" w14:textId="77777777" w:rsidR="00A77B3E" w:rsidRDefault="00683D7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Engesaeter</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Lie SA, </w:t>
      </w:r>
      <w:proofErr w:type="spellStart"/>
      <w:r>
        <w:rPr>
          <w:rFonts w:ascii="Book Antiqua" w:eastAsia="Book Antiqua" w:hAnsi="Book Antiqua" w:cs="Book Antiqua"/>
          <w:color w:val="000000"/>
        </w:rPr>
        <w:t>Espehaug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Furnes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Havelin</w:t>
      </w:r>
      <w:proofErr w:type="spellEnd"/>
      <w:r>
        <w:rPr>
          <w:rFonts w:ascii="Book Antiqua" w:eastAsia="Book Antiqua" w:hAnsi="Book Antiqua" w:cs="Book Antiqua"/>
          <w:color w:val="000000"/>
        </w:rPr>
        <w:t xml:space="preserve"> LI. Antibiotic prophylaxis in total hip arthroplasty: effects of antibiotic prophylaxis systemically and in bone cement on the revision rate of 22,170 primary hip replacements followed 0-14 years in the Norwegian Arthroplasty Register.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74</w:t>
      </w:r>
      <w:r>
        <w:rPr>
          <w:rFonts w:ascii="Book Antiqua" w:eastAsia="Book Antiqua" w:hAnsi="Book Antiqua" w:cs="Book Antiqua"/>
          <w:color w:val="000000"/>
        </w:rPr>
        <w:t>: 644-651 [PMID: 14763692 DOI: 10.1080/00016470310018135]</w:t>
      </w:r>
    </w:p>
    <w:p w14:paraId="6FCF1782" w14:textId="77777777" w:rsidR="00A77B3E" w:rsidRDefault="00683D7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Jämsen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Huhtala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Puolakka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Moilanen</w:t>
      </w:r>
      <w:proofErr w:type="spellEnd"/>
      <w:r>
        <w:rPr>
          <w:rFonts w:ascii="Book Antiqua" w:eastAsia="Book Antiqua" w:hAnsi="Book Antiqua" w:cs="Book Antiqua"/>
          <w:color w:val="000000"/>
        </w:rPr>
        <w:t xml:space="preserve"> T. Risk factors for infection after knee arthroplasty. A register-based analysis of 43,149 cases.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91</w:t>
      </w:r>
      <w:r>
        <w:rPr>
          <w:rFonts w:ascii="Book Antiqua" w:eastAsia="Book Antiqua" w:hAnsi="Book Antiqua" w:cs="Book Antiqua"/>
          <w:color w:val="000000"/>
        </w:rPr>
        <w:t>: 38-47 [PMID: 19122077 DOI: 10.2106/JBJS.G.01686]</w:t>
      </w:r>
    </w:p>
    <w:p w14:paraId="76C5B741" w14:textId="77777777" w:rsidR="00A77B3E" w:rsidRDefault="00683D7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Jameson SS</w:t>
      </w:r>
      <w:r>
        <w:rPr>
          <w:rFonts w:ascii="Book Antiqua" w:eastAsia="Book Antiqua" w:hAnsi="Book Antiqua" w:cs="Book Antiqua"/>
          <w:color w:val="000000"/>
        </w:rPr>
        <w:t xml:space="preserve">, Asaad A, </w:t>
      </w:r>
      <w:proofErr w:type="spellStart"/>
      <w:r>
        <w:rPr>
          <w:rFonts w:ascii="Book Antiqua" w:eastAsia="Book Antiqua" w:hAnsi="Book Antiqua" w:cs="Book Antiqua"/>
          <w:color w:val="000000"/>
        </w:rPr>
        <w:t>Diament</w:t>
      </w:r>
      <w:proofErr w:type="spellEnd"/>
      <w:r>
        <w:rPr>
          <w:rFonts w:ascii="Book Antiqua" w:eastAsia="Book Antiqua" w:hAnsi="Book Antiqua" w:cs="Book Antiqua"/>
          <w:color w:val="000000"/>
        </w:rPr>
        <w:t xml:space="preserve"> M, Kasim A, </w:t>
      </w:r>
      <w:proofErr w:type="spellStart"/>
      <w:r>
        <w:rPr>
          <w:rFonts w:ascii="Book Antiqua" w:eastAsia="Book Antiqua" w:hAnsi="Book Antiqua" w:cs="Book Antiqua"/>
          <w:color w:val="000000"/>
        </w:rPr>
        <w:t>Bigirumurame</w:t>
      </w:r>
      <w:proofErr w:type="spellEnd"/>
      <w:r>
        <w:rPr>
          <w:rFonts w:ascii="Book Antiqua" w:eastAsia="Book Antiqua" w:hAnsi="Book Antiqua" w:cs="Book Antiqua"/>
          <w:color w:val="000000"/>
        </w:rPr>
        <w:t xml:space="preserve"> T, Baker P, Mason J, Partington P, Reed M. Antibiotic-loaded bone cement is associated with a lower risk of </w:t>
      </w:r>
      <w:r>
        <w:rPr>
          <w:rFonts w:ascii="Book Antiqua" w:eastAsia="Book Antiqua" w:hAnsi="Book Antiqua" w:cs="Book Antiqua"/>
          <w:color w:val="000000"/>
        </w:rPr>
        <w:lastRenderedPageBreak/>
        <w:t xml:space="preserve">revision following primary cemented total knee arthroplasty: an analysis of 731,214 cases using National Joint Registry data.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101-B</w:t>
      </w:r>
      <w:r>
        <w:rPr>
          <w:rFonts w:ascii="Book Antiqua" w:eastAsia="Book Antiqua" w:hAnsi="Book Antiqua" w:cs="Book Antiqua"/>
          <w:color w:val="000000"/>
        </w:rPr>
        <w:t>: 1331-1347 [PMID: 31674244 DOI: 10.1302/0301-620X.101B11.BJJ-2019-0196.R1]</w:t>
      </w:r>
    </w:p>
    <w:p w14:paraId="1A144183" w14:textId="77777777" w:rsidR="00A77B3E" w:rsidRDefault="00683D7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Leong JW</w:t>
      </w:r>
      <w:r>
        <w:rPr>
          <w:rFonts w:ascii="Book Antiqua" w:eastAsia="Book Antiqua" w:hAnsi="Book Antiqua" w:cs="Book Antiqua"/>
          <w:color w:val="000000"/>
        </w:rPr>
        <w:t xml:space="preserve">, Cook MJ, O'Neill TW, Board TN. Is the use of antibiotic-loaded bone cement associated with a lower risk of revision after primary total hip arthroplasty?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997-1002 [PMID: 32731820 DOI: 10.1302/0301-620X.102B8.BJJ-2020-0120.R1]</w:t>
      </w:r>
    </w:p>
    <w:p w14:paraId="1621ECAC" w14:textId="77777777" w:rsidR="00A77B3E" w:rsidRDefault="00683D76">
      <w:pPr>
        <w:spacing w:line="360" w:lineRule="auto"/>
        <w:jc w:val="both"/>
      </w:pPr>
      <w:r>
        <w:rPr>
          <w:rFonts w:ascii="Book Antiqua" w:eastAsia="Book Antiqua" w:hAnsi="Book Antiqua" w:cs="Book Antiqua"/>
          <w:color w:val="000000"/>
        </w:rPr>
        <w:t xml:space="preserve">7 </w:t>
      </w:r>
      <w:bookmarkStart w:id="4" w:name="_Hlk64894716"/>
      <w:r>
        <w:rPr>
          <w:rFonts w:ascii="Book Antiqua" w:eastAsia="Book Antiqua" w:hAnsi="Book Antiqua" w:cs="Book Antiqua"/>
          <w:b/>
          <w:bCs/>
          <w:color w:val="000000"/>
        </w:rPr>
        <w:t>Kuehn</w:t>
      </w:r>
      <w:bookmarkEnd w:id="4"/>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Gopp</w:t>
      </w:r>
      <w:proofErr w:type="spellEnd"/>
      <w:r>
        <w:rPr>
          <w:rFonts w:ascii="Book Antiqua" w:eastAsia="Book Antiqua" w:hAnsi="Book Antiqua" w:cs="Book Antiqua"/>
          <w:color w:val="000000"/>
        </w:rPr>
        <w:t xml:space="preserve"> U. Acrylic bone cements: composition and properties.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17-28, v [PMID: 15542119 DOI: 10.1016/j.ocl.2004.06.010]</w:t>
      </w:r>
    </w:p>
    <w:p w14:paraId="2E815129" w14:textId="77777777" w:rsidR="00A77B3E" w:rsidRDefault="00683D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Sanz-Ruiz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-Diez JA, Sanchez-</w:t>
      </w:r>
      <w:proofErr w:type="spellStart"/>
      <w:r>
        <w:rPr>
          <w:rFonts w:ascii="Book Antiqua" w:eastAsia="Book Antiqua" w:hAnsi="Book Antiqua" w:cs="Book Antiqua"/>
          <w:color w:val="000000"/>
        </w:rPr>
        <w:t>Somolinos</w:t>
      </w:r>
      <w:proofErr w:type="spellEnd"/>
      <w:r>
        <w:rPr>
          <w:rFonts w:ascii="Book Antiqua" w:eastAsia="Book Antiqua" w:hAnsi="Book Antiqua" w:cs="Book Antiqua"/>
          <w:color w:val="000000"/>
        </w:rPr>
        <w:t xml:space="preserve"> M, Villanueva-Martinez M, Vaquero-Martín J. Is the Commercial Antibiotic-Loaded Bone Cement Useful in Prophylaxis and Cost Saving After Knee and Hip Joint Arthroplasty? The Transatlantic Paradox.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1095-1099 [PMID: 27919578 DOI: 10.1016/j.arth.2016.11.012]</w:t>
      </w:r>
    </w:p>
    <w:p w14:paraId="32136118" w14:textId="77777777" w:rsidR="00A77B3E" w:rsidRDefault="00683D7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Lenguerrand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Whitehouse MR, Beswick AD, </w:t>
      </w:r>
      <w:proofErr w:type="spellStart"/>
      <w:r>
        <w:rPr>
          <w:rFonts w:ascii="Book Antiqua" w:eastAsia="Book Antiqua" w:hAnsi="Book Antiqua" w:cs="Book Antiqua"/>
          <w:color w:val="000000"/>
        </w:rPr>
        <w:t>Kunutsor</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Foguet</w:t>
      </w:r>
      <w:proofErr w:type="spellEnd"/>
      <w:r>
        <w:rPr>
          <w:rFonts w:ascii="Book Antiqua" w:eastAsia="Book Antiqua" w:hAnsi="Book Antiqua" w:cs="Book Antiqua"/>
          <w:color w:val="000000"/>
        </w:rPr>
        <w:t xml:space="preserve"> P, Porter M,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AW; National Joint Registry for England, Wales, Northern Ireland and the Isle of Man. Risk factors associated with revision for prosthetic joint infection following knee replacement: an observational cohort study from England and Wales.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589-600 [PMID: 31005559 DOI: 10.1016/S1473-3099(18)30755-2]</w:t>
      </w:r>
    </w:p>
    <w:p w14:paraId="2C80AF56" w14:textId="32D6B7FF" w:rsidR="00A77B3E" w:rsidRPr="00807715" w:rsidRDefault="00683D76">
      <w:pPr>
        <w:spacing w:line="360" w:lineRule="auto"/>
        <w:jc w:val="both"/>
      </w:pPr>
      <w:r>
        <w:rPr>
          <w:rFonts w:ascii="Book Antiqua" w:eastAsia="Book Antiqua" w:hAnsi="Book Antiqua" w:cs="Book Antiqua"/>
          <w:color w:val="000000"/>
        </w:rPr>
        <w:t>10</w:t>
      </w:r>
      <w:r w:rsidRPr="00807715">
        <w:rPr>
          <w:rFonts w:ascii="Book Antiqua" w:eastAsia="Book Antiqua" w:hAnsi="Book Antiqua" w:cs="Book Antiqua"/>
        </w:rPr>
        <w:t xml:space="preserve"> </w:t>
      </w:r>
      <w:proofErr w:type="spellStart"/>
      <w:r w:rsidR="0049463D" w:rsidRPr="00807715">
        <w:rPr>
          <w:rFonts w:ascii="Book Antiqua" w:eastAsia="Book Antiqua" w:hAnsi="Book Antiqua" w:cs="Book Antiqua"/>
          <w:b/>
          <w:bCs/>
        </w:rPr>
        <w:t>Marmor</w:t>
      </w:r>
      <w:proofErr w:type="spellEnd"/>
      <w:r w:rsidR="0049463D" w:rsidRPr="00807715">
        <w:rPr>
          <w:rFonts w:ascii="Book Antiqua" w:eastAsia="Book Antiqua" w:hAnsi="Book Antiqua" w:cs="Book Antiqua"/>
          <w:b/>
          <w:bCs/>
        </w:rPr>
        <w:t xml:space="preserve"> S</w:t>
      </w:r>
      <w:r w:rsidR="0049463D" w:rsidRPr="00807715">
        <w:rPr>
          <w:rFonts w:ascii="Book Antiqua" w:eastAsia="Book Antiqua" w:hAnsi="Book Antiqua" w:cs="Book Antiqua"/>
        </w:rPr>
        <w:t xml:space="preserve">, </w:t>
      </w:r>
      <w:proofErr w:type="spellStart"/>
      <w:r w:rsidR="0049463D" w:rsidRPr="00807715">
        <w:rPr>
          <w:rFonts w:ascii="Book Antiqua" w:eastAsia="Book Antiqua" w:hAnsi="Book Antiqua" w:cs="Book Antiqua"/>
        </w:rPr>
        <w:t>Kerroumi</w:t>
      </w:r>
      <w:proofErr w:type="spellEnd"/>
      <w:r w:rsidR="0049463D" w:rsidRPr="00807715">
        <w:rPr>
          <w:rFonts w:ascii="Book Antiqua" w:eastAsia="Book Antiqua" w:hAnsi="Book Antiqua" w:cs="Book Antiqua"/>
        </w:rPr>
        <w:t xml:space="preserve"> Y. Patient-specific risk factors for infection in arthroplasty procedure. </w:t>
      </w:r>
      <w:proofErr w:type="spellStart"/>
      <w:r w:rsidR="0049463D" w:rsidRPr="00807715">
        <w:rPr>
          <w:rFonts w:ascii="Book Antiqua" w:eastAsia="Book Antiqua" w:hAnsi="Book Antiqua" w:cs="Book Antiqua"/>
          <w:i/>
          <w:iCs/>
        </w:rPr>
        <w:t>Orthop</w:t>
      </w:r>
      <w:proofErr w:type="spellEnd"/>
      <w:r w:rsidR="0049463D" w:rsidRPr="00807715">
        <w:rPr>
          <w:rFonts w:ascii="Book Antiqua" w:eastAsia="Book Antiqua" w:hAnsi="Book Antiqua" w:cs="Book Antiqua"/>
          <w:i/>
          <w:iCs/>
        </w:rPr>
        <w:t xml:space="preserve"> </w:t>
      </w:r>
      <w:proofErr w:type="spellStart"/>
      <w:r w:rsidR="0049463D" w:rsidRPr="00807715">
        <w:rPr>
          <w:rFonts w:ascii="Book Antiqua" w:eastAsia="Book Antiqua" w:hAnsi="Book Antiqua" w:cs="Book Antiqua"/>
          <w:i/>
          <w:iCs/>
        </w:rPr>
        <w:t>Traumatol</w:t>
      </w:r>
      <w:proofErr w:type="spellEnd"/>
      <w:r w:rsidR="0049463D" w:rsidRPr="00807715">
        <w:rPr>
          <w:rFonts w:ascii="Book Antiqua" w:eastAsia="Book Antiqua" w:hAnsi="Book Antiqua" w:cs="Book Antiqua"/>
          <w:i/>
          <w:iCs/>
        </w:rPr>
        <w:t xml:space="preserve"> Surg Res</w:t>
      </w:r>
      <w:r w:rsidR="0049463D" w:rsidRPr="00807715">
        <w:rPr>
          <w:rFonts w:ascii="Book Antiqua" w:eastAsia="Book Antiqua" w:hAnsi="Book Antiqua" w:cs="Book Antiqua"/>
        </w:rPr>
        <w:t xml:space="preserve"> 2016; </w:t>
      </w:r>
      <w:r w:rsidR="0049463D" w:rsidRPr="00807715">
        <w:rPr>
          <w:rFonts w:ascii="Book Antiqua" w:eastAsia="Book Antiqua" w:hAnsi="Book Antiqua" w:cs="Book Antiqua"/>
          <w:b/>
          <w:bCs/>
        </w:rPr>
        <w:t>102</w:t>
      </w:r>
      <w:r w:rsidR="0049463D" w:rsidRPr="00807715">
        <w:rPr>
          <w:rFonts w:ascii="Book Antiqua" w:eastAsia="Book Antiqua" w:hAnsi="Book Antiqua" w:cs="Book Antiqua"/>
        </w:rPr>
        <w:t xml:space="preserve">: </w:t>
      </w:r>
      <w:r w:rsidR="00AB5051">
        <w:rPr>
          <w:rFonts w:ascii="Book Antiqua" w:eastAsia="Book Antiqua" w:hAnsi="Book Antiqua" w:cs="Book Antiqua"/>
        </w:rPr>
        <w:t>S</w:t>
      </w:r>
      <w:r w:rsidR="0049463D" w:rsidRPr="00807715">
        <w:rPr>
          <w:rFonts w:ascii="Book Antiqua" w:eastAsia="Book Antiqua" w:hAnsi="Book Antiqua" w:cs="Book Antiqua"/>
        </w:rPr>
        <w:t>113-</w:t>
      </w:r>
      <w:r w:rsidR="00AB5051">
        <w:rPr>
          <w:rFonts w:ascii="Book Antiqua" w:eastAsia="Book Antiqua" w:hAnsi="Book Antiqua" w:cs="Book Antiqua"/>
        </w:rPr>
        <w:t>S11</w:t>
      </w:r>
      <w:r w:rsidR="0049463D" w:rsidRPr="00807715">
        <w:rPr>
          <w:rFonts w:ascii="Book Antiqua" w:eastAsia="Book Antiqua" w:hAnsi="Book Antiqua" w:cs="Book Antiqua"/>
        </w:rPr>
        <w:t>9 [</w:t>
      </w:r>
      <w:r w:rsidR="00807715" w:rsidRPr="00807715">
        <w:rPr>
          <w:rFonts w:ascii="Book Antiqua" w:eastAsia="Book Antiqua" w:hAnsi="Book Antiqua" w:cs="Book Antiqua"/>
        </w:rPr>
        <w:t xml:space="preserve">PMID: 26867708 </w:t>
      </w:r>
      <w:r w:rsidR="0049463D" w:rsidRPr="00807715">
        <w:rPr>
          <w:rFonts w:ascii="Book Antiqua" w:eastAsia="Book Antiqua" w:hAnsi="Book Antiqua" w:cs="Book Antiqua"/>
        </w:rPr>
        <w:t>DOI: 10.1016/j.otsr.2015.05.012]</w:t>
      </w:r>
    </w:p>
    <w:p w14:paraId="5FD33302" w14:textId="77777777" w:rsidR="00A77B3E" w:rsidRDefault="00683D7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Kunutsor</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Whitehouse MR,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AW, Beswick AD; INFORM Team. Patient-Related Risk Factors for Periprosthetic Joint Infection after Total Joint Arthroplasty: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e0150866 [PMID: 26938768 DOI: 10.1371/journal.pone.0150866]</w:t>
      </w:r>
    </w:p>
    <w:p w14:paraId="4458B97B" w14:textId="77777777" w:rsidR="00A77B3E" w:rsidRDefault="00683D7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Quinlan ND</w:t>
      </w:r>
      <w:r>
        <w:rPr>
          <w:rFonts w:ascii="Book Antiqua" w:eastAsia="Book Antiqua" w:hAnsi="Book Antiqua" w:cs="Book Antiqua"/>
          <w:color w:val="000000"/>
        </w:rPr>
        <w:t xml:space="preserve">, Werner BC, Brown TE, Browne JA. Risk of Prosthetic Joint Infection Increases Following Early Aseptic Revision Surgery of Total Hip and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3661-3667 [PMID: 32712119 DOI: 10.1016/j.arth.2020.06.089]</w:t>
      </w:r>
    </w:p>
    <w:p w14:paraId="1AD070CA" w14:textId="77777777" w:rsidR="00A77B3E" w:rsidRDefault="00683D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 Jong L</w:t>
      </w:r>
      <w:r>
        <w:rPr>
          <w:rFonts w:ascii="Book Antiqua" w:eastAsia="Book Antiqua" w:hAnsi="Book Antiqua" w:cs="Book Antiqua"/>
          <w:color w:val="000000"/>
        </w:rPr>
        <w:t xml:space="preserve">, Klem TMAL,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TM, Roukema GR. Factors affecting the rate of surgical site infection in patients after hemiarthroplasty of the hip following a fracture of </w:t>
      </w:r>
      <w:r>
        <w:rPr>
          <w:rFonts w:ascii="Book Antiqua" w:eastAsia="Book Antiqua" w:hAnsi="Book Antiqua" w:cs="Book Antiqua"/>
          <w:color w:val="000000"/>
        </w:rPr>
        <w:lastRenderedPageBreak/>
        <w:t xml:space="preserve">the neck of the femur.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99-B</w:t>
      </w:r>
      <w:r>
        <w:rPr>
          <w:rFonts w:ascii="Book Antiqua" w:eastAsia="Book Antiqua" w:hAnsi="Book Antiqua" w:cs="Book Antiqua"/>
          <w:color w:val="000000"/>
        </w:rPr>
        <w:t>: 1088-1094 [PMID: 28768787 DOI: 10.1302/0301-620X.99B8.BJJ-2016-1119.R1]</w:t>
      </w:r>
    </w:p>
    <w:p w14:paraId="4983A556" w14:textId="77777777" w:rsidR="00A77B3E" w:rsidRDefault="00683D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Gallardo-Calero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Larrainzar-Coghen</w:t>
      </w:r>
      <w:proofErr w:type="spellEnd"/>
      <w:r>
        <w:rPr>
          <w:rFonts w:ascii="Book Antiqua" w:eastAsia="Book Antiqua" w:hAnsi="Book Antiqua" w:cs="Book Antiqua"/>
          <w:color w:val="000000"/>
        </w:rPr>
        <w:t xml:space="preserve"> T, Rodriguez-Pardo D, </w:t>
      </w:r>
      <w:proofErr w:type="spellStart"/>
      <w:r>
        <w:rPr>
          <w:rFonts w:ascii="Book Antiqua" w:eastAsia="Book Antiqua" w:hAnsi="Book Antiqua" w:cs="Book Antiqua"/>
          <w:color w:val="000000"/>
        </w:rPr>
        <w:t>Pigrau</w:t>
      </w:r>
      <w:proofErr w:type="spellEnd"/>
      <w:r>
        <w:rPr>
          <w:rFonts w:ascii="Book Antiqua" w:eastAsia="Book Antiqua" w:hAnsi="Book Antiqua" w:cs="Book Antiqua"/>
          <w:color w:val="000000"/>
        </w:rPr>
        <w:t xml:space="preserve"> C, Sánchez-Raya J, </w:t>
      </w:r>
      <w:proofErr w:type="spellStart"/>
      <w:r>
        <w:rPr>
          <w:rFonts w:ascii="Book Antiqua" w:eastAsia="Book Antiqua" w:hAnsi="Book Antiqua" w:cs="Book Antiqua"/>
          <w:color w:val="000000"/>
        </w:rPr>
        <w:t>Amat</w:t>
      </w:r>
      <w:proofErr w:type="spellEnd"/>
      <w:r>
        <w:rPr>
          <w:rFonts w:ascii="Book Antiqua" w:eastAsia="Book Antiqua" w:hAnsi="Book Antiqua" w:cs="Book Antiqua"/>
          <w:color w:val="000000"/>
        </w:rPr>
        <w:t xml:space="preserve"> C, Lung M, Carrera L, Corona PS. Increased infection risk after hip hemiarthroplasty in institutionalized patients with proximal femur fracture.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2016; </w:t>
      </w:r>
      <w:r>
        <w:rPr>
          <w:rFonts w:ascii="Book Antiqua" w:eastAsia="Book Antiqua" w:hAnsi="Book Antiqua" w:cs="Book Antiqua"/>
          <w:b/>
          <w:bCs/>
          <w:color w:val="000000"/>
        </w:rPr>
        <w:t>47</w:t>
      </w:r>
      <w:r>
        <w:rPr>
          <w:rFonts w:ascii="Book Antiqua" w:eastAsia="Book Antiqua" w:hAnsi="Book Antiqua" w:cs="Book Antiqua"/>
          <w:color w:val="000000"/>
        </w:rPr>
        <w:t>: 872-876 [PMID: 26857632 DOI: 10.1016/j.injury.2015.12.032]</w:t>
      </w:r>
    </w:p>
    <w:p w14:paraId="5A6AB7AC" w14:textId="77777777" w:rsidR="00A77B3E" w:rsidRDefault="00683D7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DeFrancesco CJ</w:t>
      </w:r>
      <w:r>
        <w:rPr>
          <w:rFonts w:ascii="Book Antiqua" w:eastAsia="Book Antiqua" w:hAnsi="Book Antiqua" w:cs="Book Antiqua"/>
          <w:color w:val="000000"/>
        </w:rPr>
        <w:t xml:space="preserve">, Fu MC, </w:t>
      </w:r>
      <w:proofErr w:type="spellStart"/>
      <w:r>
        <w:rPr>
          <w:rFonts w:ascii="Book Antiqua" w:eastAsia="Book Antiqua" w:hAnsi="Book Antiqua" w:cs="Book Antiqua"/>
          <w:color w:val="000000"/>
        </w:rPr>
        <w:t>Kahlenberg</w:t>
      </w:r>
      <w:proofErr w:type="spellEnd"/>
      <w:r>
        <w:rPr>
          <w:rFonts w:ascii="Book Antiqua" w:eastAsia="Book Antiqua" w:hAnsi="Book Antiqua" w:cs="Book Antiqua"/>
          <w:color w:val="000000"/>
        </w:rPr>
        <w:t xml:space="preserve"> CA, Miller AO, Bostrom MP. Extended Antibiotic Prophylaxis May Be Linked to Lower Peri-prosthetic Joint Infection Rates in High-Risk Patients: An Evidence-Based Review.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297-301 [PMID: 31624486 DOI: 10.1007/s11420-019-09698-8]</w:t>
      </w:r>
    </w:p>
    <w:p w14:paraId="4B151CBF" w14:textId="77777777" w:rsidR="00A77B3E" w:rsidRDefault="00683D7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Tornero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García-Ramiro S, Martínez-Pastor JC, </w:t>
      </w:r>
      <w:proofErr w:type="spellStart"/>
      <w:r>
        <w:rPr>
          <w:rFonts w:ascii="Book Antiqua" w:eastAsia="Book Antiqua" w:hAnsi="Book Antiqua" w:cs="Book Antiqua"/>
          <w:color w:val="000000"/>
        </w:rPr>
        <w:t>Bori</w:t>
      </w:r>
      <w:proofErr w:type="spellEnd"/>
      <w:r>
        <w:rPr>
          <w:rFonts w:ascii="Book Antiqua" w:eastAsia="Book Antiqua" w:hAnsi="Book Antiqua" w:cs="Book Antiqua"/>
          <w:color w:val="000000"/>
        </w:rPr>
        <w:t xml:space="preserve"> G, Bosch J, Morata L, Sala M, </w:t>
      </w:r>
      <w:proofErr w:type="spellStart"/>
      <w:r>
        <w:rPr>
          <w:rFonts w:ascii="Book Antiqua" w:eastAsia="Book Antiqua" w:hAnsi="Book Antiqua" w:cs="Book Antiqua"/>
          <w:color w:val="000000"/>
        </w:rPr>
        <w:t>Basora</w:t>
      </w:r>
      <w:proofErr w:type="spellEnd"/>
      <w:r>
        <w:rPr>
          <w:rFonts w:ascii="Book Antiqua" w:eastAsia="Book Antiqua" w:hAnsi="Book Antiqua" w:cs="Book Antiqua"/>
          <w:color w:val="000000"/>
        </w:rPr>
        <w:t xml:space="preserve"> M, Mensa J, Soriano A. Prophylaxis with teicoplanin and cefuroxime reduces the rate of prosthetic joint infection after primary arthroplasty.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831-837 [PMID: 25403662 DOI: 10.1128/AAC.03949-14]</w:t>
      </w:r>
    </w:p>
    <w:p w14:paraId="03FCAE5F" w14:textId="77777777" w:rsidR="00A77B3E" w:rsidRDefault="00683D7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Courtney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Melnic</w:t>
      </w:r>
      <w:proofErr w:type="spellEnd"/>
      <w:r>
        <w:rPr>
          <w:rFonts w:ascii="Book Antiqua" w:eastAsia="Book Antiqua" w:hAnsi="Book Antiqua" w:cs="Book Antiqua"/>
          <w:color w:val="000000"/>
        </w:rPr>
        <w:t xml:space="preserve"> CM, Zimmer Z, </w:t>
      </w:r>
      <w:proofErr w:type="spellStart"/>
      <w:r>
        <w:rPr>
          <w:rFonts w:ascii="Book Antiqua" w:eastAsia="Book Antiqua" w:hAnsi="Book Antiqua" w:cs="Book Antiqua"/>
          <w:color w:val="000000"/>
        </w:rPr>
        <w:t>Anari</w:t>
      </w:r>
      <w:proofErr w:type="spellEnd"/>
      <w:r>
        <w:rPr>
          <w:rFonts w:ascii="Book Antiqua" w:eastAsia="Book Antiqua" w:hAnsi="Book Antiqua" w:cs="Book Antiqua"/>
          <w:color w:val="000000"/>
        </w:rPr>
        <w:t xml:space="preserve"> J, Lee GC. Addition of Vancomycin to Cefazolin Prophylaxis Is Associated With Acute Kidney Injury After Primary Joint Arthroplasty.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2197-2203 [PMID: 25421958 DOI: 10.1007/s11999-014-4062-3]</w:t>
      </w:r>
    </w:p>
    <w:p w14:paraId="0FBA23F8" w14:textId="77777777" w:rsidR="00A77B3E" w:rsidRDefault="00683D7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Iarikov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Demian</w:t>
      </w:r>
      <w:proofErr w:type="spellEnd"/>
      <w:r>
        <w:rPr>
          <w:rFonts w:ascii="Book Antiqua" w:eastAsia="Book Antiqua" w:hAnsi="Book Antiqua" w:cs="Book Antiqua"/>
          <w:color w:val="000000"/>
        </w:rPr>
        <w:t xml:space="preserve"> H, Rubin D, Alexander J, Nambiar S. Choice and doses of antibacterial agents for cement spacers in treatment of prosthetic joint infections: review of published studies.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1474-1480 [PMID: 22918993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/cis735]</w:t>
      </w:r>
    </w:p>
    <w:p w14:paraId="73029012" w14:textId="77777777" w:rsidR="00A77B3E" w:rsidRDefault="00683D7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Dunne N</w:t>
      </w:r>
      <w:r>
        <w:rPr>
          <w:rFonts w:ascii="Book Antiqua" w:eastAsia="Book Antiqua" w:hAnsi="Book Antiqua" w:cs="Book Antiqua"/>
          <w:color w:val="000000"/>
        </w:rPr>
        <w:t xml:space="preserve">, Hill J, McAfee P, Todd K, Kirkpatrick R, Tunney M, Patrick S. In vitro study of the efficacy of acrylic bone cement loaded with supplementary amounts of gentamicin: effect on mechanical properties, antibiotic release, and biofilm formation.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78</w:t>
      </w:r>
      <w:r>
        <w:rPr>
          <w:rFonts w:ascii="Book Antiqua" w:eastAsia="Book Antiqua" w:hAnsi="Book Antiqua" w:cs="Book Antiqua"/>
          <w:color w:val="000000"/>
        </w:rPr>
        <w:t>: 774-785 [PMID: 18236183 DOI: 10.1080/17453670710014545]</w:t>
      </w:r>
    </w:p>
    <w:p w14:paraId="445DFE78" w14:textId="77777777" w:rsidR="00A77B3E" w:rsidRDefault="00683D7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Samara E</w:t>
      </w:r>
      <w:r>
        <w:rPr>
          <w:rFonts w:ascii="Book Antiqua" w:eastAsia="Book Antiqua" w:hAnsi="Book Antiqua" w:cs="Book Antiqua"/>
          <w:color w:val="000000"/>
        </w:rPr>
        <w:t xml:space="preserve">, Moriarty TF, </w:t>
      </w:r>
      <w:proofErr w:type="spellStart"/>
      <w:r>
        <w:rPr>
          <w:rFonts w:ascii="Book Antiqua" w:eastAsia="Book Antiqua" w:hAnsi="Book Antiqua" w:cs="Book Antiqua"/>
          <w:color w:val="000000"/>
        </w:rPr>
        <w:t>Decosterd</w:t>
      </w:r>
      <w:proofErr w:type="spellEnd"/>
      <w:r>
        <w:rPr>
          <w:rFonts w:ascii="Book Antiqua" w:eastAsia="Book Antiqua" w:hAnsi="Book Antiqua" w:cs="Book Antiqua"/>
          <w:color w:val="000000"/>
        </w:rPr>
        <w:t xml:space="preserve"> LA, Richards RG, Gautier E, Wahl P. Antibiotic stability over six weeks in aqueous solution at body temperature with and without heat treatment that mimics the curing of bone cement. </w:t>
      </w:r>
      <w:r>
        <w:rPr>
          <w:rFonts w:ascii="Book Antiqua" w:eastAsia="Book Antiqua" w:hAnsi="Book Antiqua" w:cs="Book Antiqua"/>
          <w:i/>
          <w:iCs/>
          <w:color w:val="000000"/>
        </w:rPr>
        <w:t>Bone Joint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296-306 [PMID: 28515059 DOI: 10.1302/2046-3758.65.BJR-2017-0276.R1]</w:t>
      </w:r>
    </w:p>
    <w:p w14:paraId="64F82C37" w14:textId="77777777" w:rsidR="00A77B3E" w:rsidRDefault="00683D76">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Chang Y</w:t>
      </w:r>
      <w:r>
        <w:rPr>
          <w:rFonts w:ascii="Book Antiqua" w:eastAsia="Book Antiqua" w:hAnsi="Book Antiqua" w:cs="Book Antiqua"/>
          <w:color w:val="000000"/>
        </w:rPr>
        <w:t xml:space="preserve">, Tai CL, Hsieh PH, </w:t>
      </w:r>
      <w:proofErr w:type="spellStart"/>
      <w:r>
        <w:rPr>
          <w:rFonts w:ascii="Book Antiqua" w:eastAsia="Book Antiqua" w:hAnsi="Book Antiqua" w:cs="Book Antiqua"/>
          <w:color w:val="000000"/>
        </w:rPr>
        <w:t>Ueng</w:t>
      </w:r>
      <w:proofErr w:type="spellEnd"/>
      <w:r>
        <w:rPr>
          <w:rFonts w:ascii="Book Antiqua" w:eastAsia="Book Antiqua" w:hAnsi="Book Antiqua" w:cs="Book Antiqua"/>
          <w:color w:val="000000"/>
        </w:rPr>
        <w:t xml:space="preserve"> SW. Gentamicin in bone cement: A potentially more effective prophylactic measure of </w:t>
      </w:r>
      <w:proofErr w:type="spellStart"/>
      <w:r>
        <w:rPr>
          <w:rFonts w:ascii="Book Antiqua" w:eastAsia="Book Antiqua" w:hAnsi="Book Antiqua" w:cs="Book Antiqua"/>
          <w:color w:val="000000"/>
        </w:rPr>
        <w:t>infectionin</w:t>
      </w:r>
      <w:proofErr w:type="spellEnd"/>
      <w:r>
        <w:rPr>
          <w:rFonts w:ascii="Book Antiqua" w:eastAsia="Book Antiqua" w:hAnsi="Book Antiqua" w:cs="Book Antiqua"/>
          <w:color w:val="000000"/>
        </w:rPr>
        <w:t xml:space="preserve"> joint arthroplasty. </w:t>
      </w:r>
      <w:r>
        <w:rPr>
          <w:rFonts w:ascii="Book Antiqua" w:eastAsia="Book Antiqua" w:hAnsi="Book Antiqua" w:cs="Book Antiqua"/>
          <w:i/>
          <w:iCs/>
          <w:color w:val="000000"/>
        </w:rPr>
        <w:t>Bone Joint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220-226 [PMID: 24128666 DOI: 10.1302/2046-3758.210.2000188]</w:t>
      </w:r>
    </w:p>
    <w:p w14:paraId="1FC52608" w14:textId="77777777" w:rsidR="00A77B3E" w:rsidRDefault="00683D7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Krause KM</w:t>
      </w:r>
      <w:r>
        <w:rPr>
          <w:rFonts w:ascii="Book Antiqua" w:eastAsia="Book Antiqua" w:hAnsi="Book Antiqua" w:cs="Book Antiqua"/>
          <w:color w:val="000000"/>
        </w:rPr>
        <w:t xml:space="preserve">, Serio AW, Kane TR, Connolly LE. Aminoglycosides: An Overview.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27252397 DOI: 10.1101/cshperspect.a027029]</w:t>
      </w:r>
    </w:p>
    <w:p w14:paraId="6950B188" w14:textId="77777777" w:rsidR="00A77B3E" w:rsidRDefault="00683D7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Valour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Trouillet-Assant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Riffard</w:t>
      </w:r>
      <w:proofErr w:type="spellEnd"/>
      <w:r>
        <w:rPr>
          <w:rFonts w:ascii="Book Antiqua" w:eastAsia="Book Antiqua" w:hAnsi="Book Antiqua" w:cs="Book Antiqua"/>
          <w:color w:val="000000"/>
        </w:rPr>
        <w:t xml:space="preserve"> N, Tasse J, </w:t>
      </w:r>
      <w:proofErr w:type="spellStart"/>
      <w:r>
        <w:rPr>
          <w:rFonts w:ascii="Book Antiqua" w:eastAsia="Book Antiqua" w:hAnsi="Book Antiqua" w:cs="Book Antiqua"/>
          <w:color w:val="000000"/>
        </w:rPr>
        <w:t>Flammier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Rasigade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Chidiac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Vandenesch</w:t>
      </w:r>
      <w:proofErr w:type="spellEnd"/>
      <w:r>
        <w:rPr>
          <w:rFonts w:ascii="Book Antiqua" w:eastAsia="Book Antiqua" w:hAnsi="Book Antiqua" w:cs="Book Antiqua"/>
          <w:color w:val="000000"/>
        </w:rPr>
        <w:t xml:space="preserve"> F, Ferry T, Laurent F. Antimicrobial activity against </w:t>
      </w:r>
      <w:proofErr w:type="spellStart"/>
      <w:r>
        <w:rPr>
          <w:rFonts w:ascii="Book Antiqua" w:eastAsia="Book Antiqua" w:hAnsi="Book Antiqua" w:cs="Book Antiqua"/>
          <w:color w:val="000000"/>
        </w:rPr>
        <w:t>intraosteoblastic</w:t>
      </w:r>
      <w:proofErr w:type="spellEnd"/>
      <w:r>
        <w:rPr>
          <w:rFonts w:ascii="Book Antiqua" w:eastAsia="Book Antiqua" w:hAnsi="Book Antiqua" w:cs="Book Antiqua"/>
          <w:color w:val="000000"/>
        </w:rPr>
        <w:t xml:space="preserve"> Staphylococcus aureus.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2029-2036 [PMID: 25605365 DOI: 10.1128/AAC.04359-14]</w:t>
      </w:r>
    </w:p>
    <w:p w14:paraId="57B7AA30" w14:textId="77777777" w:rsidR="00A77B3E" w:rsidRDefault="00683D7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Spízek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Rezanka</w:t>
      </w:r>
      <w:proofErr w:type="spellEnd"/>
      <w:r>
        <w:rPr>
          <w:rFonts w:ascii="Book Antiqua" w:eastAsia="Book Antiqua" w:hAnsi="Book Antiqua" w:cs="Book Antiqua"/>
          <w:color w:val="000000"/>
        </w:rPr>
        <w:t xml:space="preserve"> T. Lincomycin, clindamycin and their applications.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64</w:t>
      </w:r>
      <w:r>
        <w:rPr>
          <w:rFonts w:ascii="Book Antiqua" w:eastAsia="Book Antiqua" w:hAnsi="Book Antiqua" w:cs="Book Antiqua"/>
          <w:color w:val="000000"/>
        </w:rPr>
        <w:t>: 455-464 [PMID: 14762701 DOI: 10.1007/s00253-003-1545-7]</w:t>
      </w:r>
    </w:p>
    <w:p w14:paraId="3C08CFF9" w14:textId="77777777" w:rsidR="00A77B3E" w:rsidRDefault="00683D7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Peel TN</w:t>
      </w:r>
      <w:r>
        <w:rPr>
          <w:rFonts w:ascii="Book Antiqua" w:eastAsia="Book Antiqua" w:hAnsi="Book Antiqua" w:cs="Book Antiqua"/>
          <w:color w:val="000000"/>
        </w:rPr>
        <w:t xml:space="preserve">, Cheng AC, </w:t>
      </w:r>
      <w:proofErr w:type="spellStart"/>
      <w:r>
        <w:rPr>
          <w:rFonts w:ascii="Book Antiqua" w:eastAsia="Book Antiqua" w:hAnsi="Book Antiqua" w:cs="Book Antiqua"/>
          <w:color w:val="000000"/>
        </w:rPr>
        <w:t>Buising</w:t>
      </w:r>
      <w:proofErr w:type="spellEnd"/>
      <w:r>
        <w:rPr>
          <w:rFonts w:ascii="Book Antiqua" w:eastAsia="Book Antiqua" w:hAnsi="Book Antiqua" w:cs="Book Antiqua"/>
          <w:color w:val="000000"/>
        </w:rPr>
        <w:t xml:space="preserve"> KL, Choong PF. Microbiological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epidemiology, and clinical profile of prosthetic joint infections: are current antibiotic prophylaxis guidelines effective?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Chemother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2386-2391 [PMID: 22314530 DOI: 10.1128/AAC.06246-11]</w:t>
      </w:r>
    </w:p>
    <w:p w14:paraId="391F69CF" w14:textId="77777777" w:rsidR="00A77B3E" w:rsidRDefault="00683D7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Osmon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Microbiology and Antimicrobial Challenges of Prosthetic Joint Infection.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25 Suppl 1</w:t>
      </w:r>
      <w:r>
        <w:rPr>
          <w:rFonts w:ascii="Book Antiqua" w:eastAsia="Book Antiqua" w:hAnsi="Book Antiqua" w:cs="Book Antiqua"/>
          <w:color w:val="000000"/>
        </w:rPr>
        <w:t>: S17-S19 [PMID: 27922947 DOI: 10.5435/JAAOS-D-16-00639]</w:t>
      </w:r>
    </w:p>
    <w:p w14:paraId="052B08B0" w14:textId="77777777" w:rsidR="00A77B3E" w:rsidRDefault="00683D76">
      <w:pPr>
        <w:spacing w:line="360" w:lineRule="auto"/>
        <w:jc w:val="both"/>
      </w:pPr>
      <w:r w:rsidRPr="0049463D">
        <w:rPr>
          <w:rFonts w:ascii="Book Antiqua" w:eastAsia="Book Antiqua" w:hAnsi="Book Antiqua" w:cs="Book Antiqua"/>
          <w:color w:val="000000"/>
          <w:lang w:val="de-DE"/>
        </w:rPr>
        <w:t xml:space="preserve">27 </w:t>
      </w:r>
      <w:r w:rsidRPr="0049463D">
        <w:rPr>
          <w:rFonts w:ascii="Book Antiqua" w:eastAsia="Book Antiqua" w:hAnsi="Book Antiqua" w:cs="Book Antiqua"/>
          <w:b/>
          <w:bCs/>
          <w:color w:val="000000"/>
          <w:lang w:val="de-DE"/>
        </w:rPr>
        <w:t>Neut D</w:t>
      </w:r>
      <w:r w:rsidRPr="0049463D">
        <w:rPr>
          <w:rFonts w:ascii="Book Antiqua" w:eastAsia="Book Antiqua" w:hAnsi="Book Antiqua" w:cs="Book Antiqua"/>
          <w:color w:val="000000"/>
          <w:lang w:val="de-DE"/>
        </w:rPr>
        <w:t xml:space="preserve">, de Groot EP, Kowalski RS, van Horn JR, van der Mei HC, Busscher HJ. </w:t>
      </w:r>
      <w:r>
        <w:rPr>
          <w:rFonts w:ascii="Book Antiqua" w:eastAsia="Book Antiqua" w:hAnsi="Book Antiqua" w:cs="Book Antiqua"/>
          <w:color w:val="000000"/>
        </w:rPr>
        <w:t xml:space="preserve">Gentamicin-loaded bone cement with clindamycin or </w:t>
      </w:r>
      <w:proofErr w:type="spellStart"/>
      <w:r>
        <w:rPr>
          <w:rFonts w:ascii="Book Antiqua" w:eastAsia="Book Antiqua" w:hAnsi="Book Antiqua" w:cs="Book Antiqua"/>
          <w:color w:val="000000"/>
        </w:rPr>
        <w:t>fusidic</w:t>
      </w:r>
      <w:proofErr w:type="spellEnd"/>
      <w:r>
        <w:rPr>
          <w:rFonts w:ascii="Book Antiqua" w:eastAsia="Book Antiqua" w:hAnsi="Book Antiqua" w:cs="Book Antiqua"/>
          <w:color w:val="000000"/>
        </w:rPr>
        <w:t xml:space="preserve"> acid added: biofilm formation and antibiotic release. </w:t>
      </w:r>
      <w:r>
        <w:rPr>
          <w:rFonts w:ascii="Book Antiqua" w:eastAsia="Book Antiqua" w:hAnsi="Book Antiqua" w:cs="Book Antiqua"/>
          <w:i/>
          <w:iCs/>
          <w:color w:val="000000"/>
        </w:rPr>
        <w:t>J Biomed Mater Res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165-170 [PMID: 15761830 DOI: 10.1002/jbm.a.30253]</w:t>
      </w:r>
    </w:p>
    <w:p w14:paraId="5EF8FD49" w14:textId="77777777" w:rsidR="00A77B3E" w:rsidRDefault="00683D7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Ensing</w:t>
      </w:r>
      <w:proofErr w:type="spellEnd"/>
      <w:r>
        <w:rPr>
          <w:rFonts w:ascii="Book Antiqua" w:eastAsia="Book Antiqua" w:hAnsi="Book Antiqua" w:cs="Book Antiqua"/>
          <w:b/>
          <w:bCs/>
          <w:color w:val="000000"/>
        </w:rPr>
        <w:t xml:space="preserve"> GT</w:t>
      </w:r>
      <w:r>
        <w:rPr>
          <w:rFonts w:ascii="Book Antiqua" w:eastAsia="Book Antiqua" w:hAnsi="Book Antiqua" w:cs="Book Antiqua"/>
          <w:color w:val="000000"/>
        </w:rPr>
        <w:t xml:space="preserve">, van Horn JR, van der Mei HC, </w:t>
      </w:r>
      <w:proofErr w:type="spellStart"/>
      <w:r>
        <w:rPr>
          <w:rFonts w:ascii="Book Antiqua" w:eastAsia="Book Antiqua" w:hAnsi="Book Antiqua" w:cs="Book Antiqua"/>
          <w:color w:val="000000"/>
        </w:rPr>
        <w:t>Busscher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D. Copal bone cement is more effective in preventing biofilm formation than </w:t>
      </w:r>
      <w:proofErr w:type="spellStart"/>
      <w:r>
        <w:rPr>
          <w:rFonts w:ascii="Book Antiqua" w:eastAsia="Book Antiqua" w:hAnsi="Book Antiqua" w:cs="Book Antiqua"/>
          <w:color w:val="000000"/>
        </w:rPr>
        <w:t>Palacos</w:t>
      </w:r>
      <w:proofErr w:type="spellEnd"/>
      <w:r>
        <w:rPr>
          <w:rFonts w:ascii="Book Antiqua" w:eastAsia="Book Antiqua" w:hAnsi="Book Antiqua" w:cs="Book Antiqua"/>
          <w:color w:val="000000"/>
        </w:rPr>
        <w:t xml:space="preserve"> R-G.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466</w:t>
      </w:r>
      <w:r>
        <w:rPr>
          <w:rFonts w:ascii="Book Antiqua" w:eastAsia="Book Antiqua" w:hAnsi="Book Antiqua" w:cs="Book Antiqua"/>
          <w:color w:val="000000"/>
        </w:rPr>
        <w:t>: 1492-1498 [PMID: 18338216 DOI: 10.1007/s11999-008-0203-x]</w:t>
      </w:r>
    </w:p>
    <w:p w14:paraId="1119BFF3" w14:textId="77777777" w:rsidR="00A77B3E" w:rsidRDefault="00683D7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Cara A</w:t>
      </w:r>
      <w:r>
        <w:rPr>
          <w:rFonts w:ascii="Book Antiqua" w:eastAsia="Book Antiqua" w:hAnsi="Book Antiqua" w:cs="Book Antiqua"/>
          <w:color w:val="000000"/>
        </w:rPr>
        <w:t xml:space="preserve">, Ballet M, Hemery C, Ferry T, Laurent F, Josse J. Antibiotics in Bone Cements Used for Prosthesis Fixation: An Efficient Way to Prevent </w:t>
      </w:r>
      <w:r>
        <w:rPr>
          <w:rFonts w:ascii="Book Antiqua" w:eastAsia="Book Antiqua" w:hAnsi="Book Antiqua" w:cs="Book Antiqua"/>
          <w:i/>
          <w:iCs/>
          <w:color w:val="000000"/>
        </w:rPr>
        <w:t>Staphylococcus aureus</w:t>
      </w:r>
      <w:r>
        <w:rPr>
          <w:rFonts w:ascii="Book Antiqua" w:eastAsia="Book Antiqua" w:hAnsi="Book Antiqua" w:cs="Book Antiqua"/>
          <w:color w:val="000000"/>
        </w:rPr>
        <w:t xml:space="preserve"> and </w:t>
      </w:r>
      <w:r>
        <w:rPr>
          <w:rFonts w:ascii="Book Antiqua" w:eastAsia="Book Antiqua" w:hAnsi="Book Antiqua" w:cs="Book Antiqua"/>
          <w:i/>
          <w:iCs/>
          <w:color w:val="000000"/>
        </w:rPr>
        <w:t>Staphylococcus epidermidis</w:t>
      </w:r>
      <w:r>
        <w:rPr>
          <w:rFonts w:ascii="Book Antiqua" w:eastAsia="Book Antiqua" w:hAnsi="Book Antiqua" w:cs="Book Antiqua"/>
          <w:color w:val="000000"/>
        </w:rPr>
        <w:t xml:space="preserve"> Prosthetic Joint Infection.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576231 [PMID: 33553196 DOI: 10.3389/fmed.2020.576231]</w:t>
      </w:r>
    </w:p>
    <w:p w14:paraId="23E58C5E" w14:textId="77777777" w:rsidR="00A77B3E" w:rsidRDefault="00683D76">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Molina-</w:t>
      </w:r>
      <w:proofErr w:type="spellStart"/>
      <w:r>
        <w:rPr>
          <w:rFonts w:ascii="Book Antiqua" w:eastAsia="Book Antiqua" w:hAnsi="Book Antiqua" w:cs="Book Antiqua"/>
          <w:b/>
          <w:bCs/>
          <w:color w:val="000000"/>
        </w:rPr>
        <w:t>Manso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del Prado G, Ortiz-Pérez A, </w:t>
      </w:r>
      <w:proofErr w:type="spellStart"/>
      <w:r>
        <w:rPr>
          <w:rFonts w:ascii="Book Antiqua" w:eastAsia="Book Antiqua" w:hAnsi="Book Antiqua" w:cs="Book Antiqua"/>
          <w:color w:val="000000"/>
        </w:rPr>
        <w:t>Manrubia-Cobo</w:t>
      </w:r>
      <w:proofErr w:type="spellEnd"/>
      <w:r>
        <w:rPr>
          <w:rFonts w:ascii="Book Antiqua" w:eastAsia="Book Antiqua" w:hAnsi="Book Antiqua" w:cs="Book Antiqua"/>
          <w:color w:val="000000"/>
        </w:rPr>
        <w:t xml:space="preserve"> M, Gómez-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E, Cordero-</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Esteban J. In vitro susceptibility of Staphylococcus aureus and Staphylococcus epidermidis isolated from prosthetic joint infections.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Antibiot</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2012; </w:t>
      </w:r>
      <w:r>
        <w:rPr>
          <w:rFonts w:ascii="Book Antiqua" w:eastAsia="Book Antiqua" w:hAnsi="Book Antiqua" w:cs="Book Antiqua"/>
          <w:b/>
          <w:bCs/>
          <w:color w:val="000000"/>
        </w:rPr>
        <w:t>65</w:t>
      </w:r>
      <w:r>
        <w:rPr>
          <w:rFonts w:ascii="Book Antiqua" w:eastAsia="Book Antiqua" w:hAnsi="Book Antiqua" w:cs="Book Antiqua"/>
          <w:color w:val="000000"/>
        </w:rPr>
        <w:t>: 505-508 [PMID: 22854340 DOI: 10.1038/ja.2012.62]</w:t>
      </w:r>
    </w:p>
    <w:p w14:paraId="3846C9BE" w14:textId="77777777" w:rsidR="00A77B3E" w:rsidRDefault="00683D7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Sprowson</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Jensen C, Chambers S, Parsons NR, </w:t>
      </w:r>
      <w:proofErr w:type="spellStart"/>
      <w:r>
        <w:rPr>
          <w:rFonts w:ascii="Book Antiqua" w:eastAsia="Book Antiqua" w:hAnsi="Book Antiqua" w:cs="Book Antiqua"/>
          <w:color w:val="000000"/>
        </w:rPr>
        <w:t>Aradhyula</w:t>
      </w:r>
      <w:proofErr w:type="spellEnd"/>
      <w:r>
        <w:rPr>
          <w:rFonts w:ascii="Book Antiqua" w:eastAsia="Book Antiqua" w:hAnsi="Book Antiqua" w:cs="Book Antiqua"/>
          <w:color w:val="000000"/>
        </w:rPr>
        <w:t xml:space="preserve"> NM, Carluke I, Inman D, Reed MR. The use of high-dose dual-impregnated antibiotic-laden cement with hemiarthroplasty for the treatment of a fracture of the hip: The Fractured Hip Infection trial.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2016; </w:t>
      </w:r>
      <w:r>
        <w:rPr>
          <w:rFonts w:ascii="Book Antiqua" w:eastAsia="Book Antiqua" w:hAnsi="Book Antiqua" w:cs="Book Antiqua"/>
          <w:b/>
          <w:bCs/>
          <w:color w:val="000000"/>
        </w:rPr>
        <w:t>98-B</w:t>
      </w:r>
      <w:r>
        <w:rPr>
          <w:rFonts w:ascii="Book Antiqua" w:eastAsia="Book Antiqua" w:hAnsi="Book Antiqua" w:cs="Book Antiqua"/>
          <w:color w:val="000000"/>
        </w:rPr>
        <w:t>: 1534-1541 [PMID: 27803231 DOI: 10.1302/0301-620X.98B11.34693]</w:t>
      </w:r>
    </w:p>
    <w:p w14:paraId="0EB63E77" w14:textId="77777777" w:rsidR="00A77B3E" w:rsidRDefault="00683D76">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Tyas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Marsh M, Oswald T, </w:t>
      </w:r>
      <w:proofErr w:type="spellStart"/>
      <w:r>
        <w:rPr>
          <w:rFonts w:ascii="Book Antiqua" w:eastAsia="Book Antiqua" w:hAnsi="Book Antiqua" w:cs="Book Antiqua"/>
          <w:color w:val="000000"/>
        </w:rPr>
        <w:t>Refaie</w:t>
      </w:r>
      <w:proofErr w:type="spellEnd"/>
      <w:r>
        <w:rPr>
          <w:rFonts w:ascii="Book Antiqua" w:eastAsia="Book Antiqua" w:hAnsi="Book Antiqua" w:cs="Book Antiqua"/>
          <w:color w:val="000000"/>
        </w:rPr>
        <w:t xml:space="preserve"> R, Molyneux C, Reed M. Antibiotic resistance profiles of deep surgical site infections in hip hemiarthroplasty; comparing low dose single antibiotic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dose dual antibiotic impregnated cement. </w:t>
      </w:r>
      <w:r>
        <w:rPr>
          <w:rFonts w:ascii="Book Antiqua" w:eastAsia="Book Antiqua" w:hAnsi="Book Antiqua" w:cs="Book Antiqua"/>
          <w:i/>
          <w:iCs/>
          <w:color w:val="000000"/>
        </w:rPr>
        <w:t xml:space="preserve">J 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123-129 [PMID: 30013893 DOI: 10.7150/jbji.22192]</w:t>
      </w:r>
    </w:p>
    <w:p w14:paraId="008716CD" w14:textId="77777777" w:rsidR="00A77B3E" w:rsidRDefault="00683D7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Savage P</w:t>
      </w:r>
      <w:r>
        <w:rPr>
          <w:rFonts w:ascii="Book Antiqua" w:eastAsia="Book Antiqua" w:hAnsi="Book Antiqua" w:cs="Book Antiqua"/>
          <w:color w:val="000000"/>
        </w:rPr>
        <w:t>, McCormick M, Al-</w:t>
      </w:r>
      <w:proofErr w:type="spellStart"/>
      <w:r>
        <w:rPr>
          <w:rFonts w:ascii="Book Antiqua" w:eastAsia="Book Antiqua" w:hAnsi="Book Antiqua" w:cs="Book Antiqua"/>
          <w:color w:val="000000"/>
        </w:rPr>
        <w:t>Dadah</w:t>
      </w:r>
      <w:proofErr w:type="spellEnd"/>
      <w:r>
        <w:rPr>
          <w:rFonts w:ascii="Book Antiqua" w:eastAsia="Book Antiqua" w:hAnsi="Book Antiqua" w:cs="Book Antiqua"/>
          <w:color w:val="000000"/>
        </w:rPr>
        <w:t xml:space="preserve"> O. Arthroplasty infection rates in fractured neck of femur: single </w:t>
      </w:r>
      <w:r>
        <w:rPr>
          <w:rFonts w:ascii="Book Antiqua" w:eastAsia="Book Antiqua" w:hAnsi="Book Antiqua" w:cs="Book Antiqua"/>
          <w:i/>
          <w:iCs/>
          <w:color w:val="000000"/>
        </w:rPr>
        <w:t>vs</w:t>
      </w:r>
      <w:r>
        <w:rPr>
          <w:rFonts w:ascii="Book Antiqua" w:eastAsia="Book Antiqua" w:hAnsi="Book Antiqua" w:cs="Book Antiqua"/>
          <w:color w:val="000000"/>
        </w:rPr>
        <w:t xml:space="preserve"> dual antibiotic cement. </w:t>
      </w:r>
      <w:r>
        <w:rPr>
          <w:rFonts w:ascii="Book Antiqua" w:eastAsia="Book Antiqua" w:hAnsi="Book Antiqua" w:cs="Book Antiqua"/>
          <w:i/>
          <w:iCs/>
          <w:color w:val="000000"/>
        </w:rPr>
        <w:t xml:space="preserve">Ann R Coll Surg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101</w:t>
      </w:r>
      <w:r>
        <w:rPr>
          <w:rFonts w:ascii="Book Antiqua" w:eastAsia="Book Antiqua" w:hAnsi="Book Antiqua" w:cs="Book Antiqua"/>
          <w:color w:val="000000"/>
        </w:rPr>
        <w:t>: 514-518 [PMID: 31155899 DOI: 10.1308/rcsann.2019.0054]</w:t>
      </w:r>
    </w:p>
    <w:p w14:paraId="59827975" w14:textId="77777777" w:rsidR="00A77B3E" w:rsidRDefault="00683D7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Sanz-Ruiz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Matas</w:t>
      </w:r>
      <w:proofErr w:type="spellEnd"/>
      <w:r>
        <w:rPr>
          <w:rFonts w:ascii="Book Antiqua" w:eastAsia="Book Antiqua" w:hAnsi="Book Antiqua" w:cs="Book Antiqua"/>
          <w:color w:val="000000"/>
        </w:rPr>
        <w:t>-Diez JA, Villanueva-Martínez M, Santos-</w:t>
      </w:r>
      <w:proofErr w:type="spellStart"/>
      <w:r>
        <w:rPr>
          <w:rFonts w:ascii="Book Antiqua" w:eastAsia="Book Antiqua" w:hAnsi="Book Antiqua" w:cs="Book Antiqua"/>
          <w:color w:val="000000"/>
        </w:rPr>
        <w:t>Vaquinha</w:t>
      </w:r>
      <w:proofErr w:type="spellEnd"/>
      <w:r>
        <w:rPr>
          <w:rFonts w:ascii="Book Antiqua" w:eastAsia="Book Antiqua" w:hAnsi="Book Antiqua" w:cs="Book Antiqua"/>
          <w:color w:val="000000"/>
        </w:rPr>
        <w:t xml:space="preserve"> Blanco AD, Vaquero J. Is Dual Antibiotic-Loaded Bone Cement More Effective and Cost-Efficient Than a Single Antibiotic-Loaded Bone Cement to Reduce the Risk of Prosthetic Joint Infection in Aseptic Revision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3724-3729 [PMID: 32682594 DOI: 10.1016/j.arth.2020.06.045]</w:t>
      </w:r>
    </w:p>
    <w:p w14:paraId="7D7A662D" w14:textId="77777777" w:rsidR="00A77B3E" w:rsidRDefault="00683D7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Sanz-Ruiz P</w:t>
      </w:r>
      <w:r>
        <w:rPr>
          <w:rFonts w:ascii="Book Antiqua" w:eastAsia="Book Antiqua" w:hAnsi="Book Antiqua" w:cs="Book Antiqua"/>
          <w:color w:val="000000"/>
        </w:rPr>
        <w:t xml:space="preserve">, </w:t>
      </w:r>
      <w:bookmarkStart w:id="5" w:name="_Hlk65133963"/>
      <w:r>
        <w:rPr>
          <w:rFonts w:ascii="Book Antiqua" w:eastAsia="Book Antiqua" w:hAnsi="Book Antiqua" w:cs="Book Antiqua"/>
          <w:color w:val="000000"/>
        </w:rPr>
        <w:t>Berberich</w:t>
      </w:r>
      <w:bookmarkEnd w:id="5"/>
      <w:r>
        <w:rPr>
          <w:rFonts w:ascii="Book Antiqua" w:eastAsia="Book Antiqua" w:hAnsi="Book Antiqua" w:cs="Book Antiqua"/>
          <w:color w:val="000000"/>
        </w:rPr>
        <w:t xml:space="preserve"> C. Infection Risk-Adjusted Antibiotic Prophylaxis Strategies in Arthroplasty: Short Review of Evidence and Experiences of a Tertiary Center in Spain.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89-96 [PMID: 32821178 DOI: 10.2147/ORR.S256211]</w:t>
      </w:r>
    </w:p>
    <w:p w14:paraId="5BAECE7F" w14:textId="77777777" w:rsidR="00A77B3E" w:rsidRDefault="00683D7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Anagnostakos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Therapeutic Use of Antibiotic-loaded Bone Cement in the Treatment of Hip and Knee Joint Infections. </w:t>
      </w:r>
      <w:r>
        <w:rPr>
          <w:rFonts w:ascii="Book Antiqua" w:eastAsia="Book Antiqua" w:hAnsi="Book Antiqua" w:cs="Book Antiqua"/>
          <w:i/>
          <w:iCs/>
          <w:color w:val="000000"/>
        </w:rPr>
        <w:t xml:space="preserve">J 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29-37 [PMID: 28529862 DOI: 10.7150/jbji.16067]</w:t>
      </w:r>
    </w:p>
    <w:p w14:paraId="5C34CB9B" w14:textId="77777777" w:rsidR="00A77B3E" w:rsidRDefault="00683D7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Aggarwal VK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Bakhshi</w:t>
      </w:r>
      <w:proofErr w:type="spellEnd"/>
      <w:r>
        <w:rPr>
          <w:rFonts w:ascii="Book Antiqua" w:eastAsia="Book Antiqua" w:hAnsi="Book Antiqua" w:cs="Book Antiqua"/>
          <w:color w:val="000000"/>
        </w:rPr>
        <w:t xml:space="preserve"> H, Ecker NU,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Gehrke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Kendoff</w:t>
      </w:r>
      <w:proofErr w:type="spellEnd"/>
      <w:r>
        <w:rPr>
          <w:rFonts w:ascii="Book Antiqua" w:eastAsia="Book Antiqua" w:hAnsi="Book Antiqua" w:cs="Book Antiqua"/>
          <w:color w:val="000000"/>
        </w:rPr>
        <w:t xml:space="preserve"> D. Organism profile in periprosthetic joint infection: pathogens differ at two arthroplasty infection referral </w:t>
      </w:r>
      <w:r>
        <w:rPr>
          <w:rFonts w:ascii="Book Antiqua" w:eastAsia="Book Antiqua" w:hAnsi="Book Antiqua" w:cs="Book Antiqua"/>
          <w:color w:val="000000"/>
        </w:rPr>
        <w:lastRenderedPageBreak/>
        <w:t xml:space="preserve">centers in Europe and in the United States. </w:t>
      </w:r>
      <w:r>
        <w:rPr>
          <w:rFonts w:ascii="Book Antiqua" w:eastAsia="Book Antiqua" w:hAnsi="Book Antiqua" w:cs="Book Antiqua"/>
          <w:i/>
          <w:iCs/>
          <w:color w:val="000000"/>
        </w:rPr>
        <w:t>J Knee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399-406 [PMID: 24414388 DOI: 10.1055/s-0033-1364102]</w:t>
      </w:r>
    </w:p>
    <w:p w14:paraId="7073E19B" w14:textId="77777777" w:rsidR="00A77B3E" w:rsidRDefault="00683D7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Langlais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Can we improve the results of revision arthroplasty for infected total hip replacement?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2003; </w:t>
      </w:r>
      <w:r>
        <w:rPr>
          <w:rFonts w:ascii="Book Antiqua" w:eastAsia="Book Antiqua" w:hAnsi="Book Antiqua" w:cs="Book Antiqua"/>
          <w:b/>
          <w:bCs/>
          <w:color w:val="000000"/>
        </w:rPr>
        <w:t>85</w:t>
      </w:r>
      <w:r>
        <w:rPr>
          <w:rFonts w:ascii="Book Antiqua" w:eastAsia="Book Antiqua" w:hAnsi="Book Antiqua" w:cs="Book Antiqua"/>
          <w:color w:val="000000"/>
        </w:rPr>
        <w:t>: 637-640 [PMID: 12892181]</w:t>
      </w:r>
    </w:p>
    <w:p w14:paraId="28A2F185" w14:textId="77777777" w:rsidR="00A77B3E" w:rsidRDefault="00683D76">
      <w:pPr>
        <w:spacing w:line="360" w:lineRule="auto"/>
        <w:jc w:val="both"/>
      </w:pPr>
      <w:r>
        <w:rPr>
          <w:rFonts w:ascii="Book Antiqua" w:eastAsia="Book Antiqua" w:hAnsi="Book Antiqua" w:cs="Book Antiqua"/>
          <w:color w:val="000000"/>
        </w:rPr>
        <w:t xml:space="preserve">39 </w:t>
      </w:r>
      <w:bookmarkStart w:id="6" w:name="_Hlk64896290"/>
      <w:proofErr w:type="spellStart"/>
      <w:r>
        <w:rPr>
          <w:rFonts w:ascii="Book Antiqua" w:eastAsia="Book Antiqua" w:hAnsi="Book Antiqua" w:cs="Book Antiqua"/>
          <w:b/>
          <w:bCs/>
          <w:color w:val="000000"/>
        </w:rPr>
        <w:t>Wouthuyzen</w:t>
      </w:r>
      <w:proofErr w:type="spellEnd"/>
      <w:r>
        <w:rPr>
          <w:rFonts w:ascii="Book Antiqua" w:eastAsia="Book Antiqua" w:hAnsi="Book Antiqua" w:cs="Book Antiqua"/>
          <w:b/>
          <w:bCs/>
          <w:color w:val="000000"/>
        </w:rPr>
        <w:t>-Bakker</w:t>
      </w:r>
      <w:bookmarkEnd w:id="6"/>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Kheir</w:t>
      </w:r>
      <w:proofErr w:type="spellEnd"/>
      <w:r>
        <w:rPr>
          <w:rFonts w:ascii="Book Antiqua" w:eastAsia="Book Antiqua" w:hAnsi="Book Antiqua" w:cs="Book Antiqua"/>
          <w:color w:val="000000"/>
        </w:rPr>
        <w:t xml:space="preserve"> MM, Moya I, </w:t>
      </w:r>
      <w:proofErr w:type="spellStart"/>
      <w:r>
        <w:rPr>
          <w:rFonts w:ascii="Book Antiqua" w:eastAsia="Book Antiqua" w:hAnsi="Book Antiqua" w:cs="Book Antiqua"/>
          <w:color w:val="000000"/>
        </w:rPr>
        <w:t>Rondon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Kheir</w:t>
      </w:r>
      <w:proofErr w:type="spellEnd"/>
      <w:r>
        <w:rPr>
          <w:rFonts w:ascii="Book Antiqua" w:eastAsia="Book Antiqua" w:hAnsi="Book Antiqua" w:cs="Book Antiqua"/>
          <w:color w:val="000000"/>
        </w:rPr>
        <w:t xml:space="preserve"> M, Lozano L, </w:t>
      </w:r>
      <w:proofErr w:type="spellStart"/>
      <w:r>
        <w:rPr>
          <w:rFonts w:ascii="Book Antiqua" w:eastAsia="Book Antiqua" w:hAnsi="Book Antiqua" w:cs="Book Antiqua"/>
          <w:color w:val="000000"/>
        </w:rPr>
        <w:t>Parvizi</w:t>
      </w:r>
      <w:proofErr w:type="spellEnd"/>
      <w:r>
        <w:rPr>
          <w:rFonts w:ascii="Book Antiqua" w:eastAsia="Book Antiqua" w:hAnsi="Book Antiqua" w:cs="Book Antiqua"/>
          <w:color w:val="000000"/>
        </w:rPr>
        <w:t xml:space="preserve"> J, Soriano A. Failure After 2-Stage Exchange Arthroplasty for Treatment of Periprosthetic Joint Infection: The Role of Antibiotics in the Cement Spacer.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2087-2093 [PMID: 30281077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/ciy851]</w:t>
      </w:r>
    </w:p>
    <w:p w14:paraId="0E1838B0" w14:textId="77777777" w:rsidR="00A77B3E" w:rsidRDefault="00683D7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Abdelaziz H</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Förster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Gehrke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Citak</w:t>
      </w:r>
      <w:proofErr w:type="spellEnd"/>
      <w:r>
        <w:rPr>
          <w:rFonts w:ascii="Book Antiqua" w:eastAsia="Book Antiqua" w:hAnsi="Book Antiqua" w:cs="Book Antiqua"/>
          <w:color w:val="000000"/>
        </w:rPr>
        <w:t xml:space="preserve"> M. Minimum 5 years' follow-up after gentamicin- and clindamycin-loaded PMMA cement in total joint arthroplasty.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475-479 [PMID: 30702418 DOI: 10.1099/jmm.0.000895]</w:t>
      </w:r>
    </w:p>
    <w:p w14:paraId="52436259" w14:textId="77777777" w:rsidR="00A77B3E" w:rsidRDefault="00683D7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Romanò</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Malizos</w:t>
      </w:r>
      <w:proofErr w:type="spellEnd"/>
      <w:r>
        <w:rPr>
          <w:rFonts w:ascii="Book Antiqua" w:eastAsia="Book Antiqua" w:hAnsi="Book Antiqua" w:cs="Book Antiqua"/>
          <w:color w:val="000000"/>
        </w:rPr>
        <w:t xml:space="preserve"> K, Capuano N, </w:t>
      </w:r>
      <w:proofErr w:type="spellStart"/>
      <w:r>
        <w:rPr>
          <w:rFonts w:ascii="Book Antiqua" w:eastAsia="Book Antiqua" w:hAnsi="Book Antiqua" w:cs="Book Antiqua"/>
          <w:color w:val="000000"/>
        </w:rPr>
        <w:t>Mezzoprete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D'Arienzo</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Straeten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Scarponi</w:t>
      </w:r>
      <w:proofErr w:type="spellEnd"/>
      <w:r>
        <w:rPr>
          <w:rFonts w:ascii="Book Antiqua" w:eastAsia="Book Antiqua" w:hAnsi="Book Antiqua" w:cs="Book Antiqua"/>
          <w:color w:val="000000"/>
        </w:rPr>
        <w:t xml:space="preserve"> S, Drago L. Does an Antibiotic-Loaded Hydrogel Coating Reduce Early Post-Surgical Infection After Joint Arthroplasty? </w:t>
      </w:r>
      <w:r>
        <w:rPr>
          <w:rFonts w:ascii="Book Antiqua" w:eastAsia="Book Antiqua" w:hAnsi="Book Antiqua" w:cs="Book Antiqua"/>
          <w:i/>
          <w:iCs/>
          <w:color w:val="000000"/>
        </w:rPr>
        <w:t xml:space="preserve">J Bone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34-41 [PMID: 28529851 DOI: 10.7150/jbji.15986]</w:t>
      </w:r>
    </w:p>
    <w:p w14:paraId="7E20C2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9DF1854" w14:textId="77777777" w:rsidR="00A77B3E" w:rsidRDefault="00683D76">
      <w:pPr>
        <w:spacing w:line="360" w:lineRule="auto"/>
        <w:jc w:val="both"/>
      </w:pPr>
      <w:r>
        <w:rPr>
          <w:rFonts w:ascii="Book Antiqua" w:eastAsia="Book Antiqua" w:hAnsi="Book Antiqua" w:cs="Book Antiqua"/>
          <w:b/>
          <w:color w:val="000000"/>
        </w:rPr>
        <w:lastRenderedPageBreak/>
        <w:t>Footnotes</w:t>
      </w:r>
    </w:p>
    <w:p w14:paraId="0EB53C24" w14:textId="2BF4B8E8" w:rsidR="00A77B3E" w:rsidRDefault="00683D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r w:rsidR="00BF3274">
        <w:rPr>
          <w:rFonts w:ascii="Book Antiqua" w:eastAsia="Book Antiqua" w:hAnsi="Book Antiqua" w:cs="Book Antiqua"/>
          <w:color w:val="000000"/>
        </w:rPr>
        <w:t>.</w:t>
      </w:r>
    </w:p>
    <w:p w14:paraId="59D0DA96" w14:textId="77777777" w:rsidR="00A77B3E" w:rsidRDefault="00A77B3E">
      <w:pPr>
        <w:spacing w:line="360" w:lineRule="auto"/>
        <w:jc w:val="both"/>
      </w:pPr>
    </w:p>
    <w:p w14:paraId="3C5E9E75" w14:textId="77777777" w:rsidR="00A77B3E" w:rsidRDefault="00683D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F1D2E9" w14:textId="77777777" w:rsidR="00A77B3E" w:rsidRDefault="00A77B3E">
      <w:pPr>
        <w:spacing w:line="360" w:lineRule="auto"/>
        <w:jc w:val="both"/>
      </w:pPr>
    </w:p>
    <w:p w14:paraId="1C34F768" w14:textId="00647C41" w:rsidR="00A77B3E" w:rsidRDefault="00683D7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F3274">
        <w:rPr>
          <w:rFonts w:ascii="Book Antiqua" w:eastAsia="Book Antiqua" w:hAnsi="Book Antiqua" w:cs="Book Antiqua"/>
          <w:color w:val="000000"/>
        </w:rPr>
        <w:t>m</w:t>
      </w:r>
      <w:r>
        <w:rPr>
          <w:rFonts w:ascii="Book Antiqua" w:eastAsia="Book Antiqua" w:hAnsi="Book Antiqua" w:cs="Book Antiqua"/>
          <w:color w:val="000000"/>
        </w:rPr>
        <w:t>anuscript</w:t>
      </w:r>
    </w:p>
    <w:p w14:paraId="3704248D" w14:textId="77777777" w:rsidR="00A77B3E" w:rsidRDefault="00A77B3E">
      <w:pPr>
        <w:spacing w:line="360" w:lineRule="auto"/>
        <w:jc w:val="both"/>
      </w:pPr>
    </w:p>
    <w:p w14:paraId="34FB11E9" w14:textId="77777777" w:rsidR="00A77B3E" w:rsidRDefault="00683D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2020</w:t>
      </w:r>
    </w:p>
    <w:p w14:paraId="1EEAE593" w14:textId="77777777" w:rsidR="00A77B3E" w:rsidRDefault="00683D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11, 2021</w:t>
      </w:r>
    </w:p>
    <w:p w14:paraId="3475E848" w14:textId="77777777" w:rsidR="00A77B3E" w:rsidRDefault="00683D76">
      <w:pPr>
        <w:spacing w:line="360" w:lineRule="auto"/>
        <w:jc w:val="both"/>
      </w:pPr>
      <w:r>
        <w:rPr>
          <w:rFonts w:ascii="Book Antiqua" w:eastAsia="Book Antiqua" w:hAnsi="Book Antiqua" w:cs="Book Antiqua"/>
          <w:b/>
          <w:color w:val="000000"/>
        </w:rPr>
        <w:t xml:space="preserve">Article in press: </w:t>
      </w:r>
    </w:p>
    <w:p w14:paraId="2A5CEE9F" w14:textId="77777777" w:rsidR="00A77B3E" w:rsidRDefault="00A77B3E">
      <w:pPr>
        <w:spacing w:line="360" w:lineRule="auto"/>
        <w:jc w:val="both"/>
      </w:pPr>
    </w:p>
    <w:p w14:paraId="4A3B02C8" w14:textId="47638491" w:rsidR="00A77B3E" w:rsidRDefault="00683D76">
      <w:pPr>
        <w:spacing w:line="360" w:lineRule="auto"/>
        <w:jc w:val="both"/>
      </w:pPr>
      <w:r>
        <w:rPr>
          <w:rFonts w:ascii="Book Antiqua" w:eastAsia="Book Antiqua" w:hAnsi="Book Antiqua" w:cs="Book Antiqua"/>
          <w:b/>
          <w:color w:val="000000"/>
        </w:rPr>
        <w:t xml:space="preserve">Specialty type: </w:t>
      </w:r>
      <w:r w:rsidR="00BF3274" w:rsidRPr="00E700C2">
        <w:rPr>
          <w:rFonts w:ascii="Book Antiqua" w:eastAsia="Microsoft YaHei" w:hAnsi="Book Antiqua" w:cs="SimSun"/>
        </w:rPr>
        <w:t>Orthopedics</w:t>
      </w:r>
    </w:p>
    <w:p w14:paraId="54E69543" w14:textId="77777777" w:rsidR="00A77B3E" w:rsidRDefault="00683D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2CF906AE" w14:textId="77777777" w:rsidR="00A77B3E" w:rsidRDefault="00683D76">
      <w:pPr>
        <w:spacing w:line="360" w:lineRule="auto"/>
        <w:jc w:val="both"/>
      </w:pPr>
      <w:r>
        <w:rPr>
          <w:rFonts w:ascii="Book Antiqua" w:eastAsia="Book Antiqua" w:hAnsi="Book Antiqua" w:cs="Book Antiqua"/>
          <w:b/>
          <w:color w:val="000000"/>
        </w:rPr>
        <w:t>Peer-review report’s scientific quality classification</w:t>
      </w:r>
    </w:p>
    <w:p w14:paraId="688204CB" w14:textId="77777777" w:rsidR="00A77B3E" w:rsidRDefault="00683D76">
      <w:pPr>
        <w:spacing w:line="360" w:lineRule="auto"/>
        <w:jc w:val="both"/>
      </w:pPr>
      <w:r>
        <w:rPr>
          <w:rFonts w:ascii="Book Antiqua" w:eastAsia="Book Antiqua" w:hAnsi="Book Antiqua" w:cs="Book Antiqua"/>
          <w:color w:val="000000"/>
        </w:rPr>
        <w:t>Grade A (Excellent): 0</w:t>
      </w:r>
    </w:p>
    <w:p w14:paraId="5EFED9CD" w14:textId="77777777" w:rsidR="00A77B3E" w:rsidRDefault="00683D76">
      <w:pPr>
        <w:spacing w:line="360" w:lineRule="auto"/>
        <w:jc w:val="both"/>
      </w:pPr>
      <w:r>
        <w:rPr>
          <w:rFonts w:ascii="Book Antiqua" w:eastAsia="Book Antiqua" w:hAnsi="Book Antiqua" w:cs="Book Antiqua"/>
          <w:color w:val="000000"/>
        </w:rPr>
        <w:t>Grade B (Very good): 0</w:t>
      </w:r>
    </w:p>
    <w:p w14:paraId="71F6898D" w14:textId="77777777" w:rsidR="00A77B3E" w:rsidRDefault="00683D76">
      <w:pPr>
        <w:spacing w:line="360" w:lineRule="auto"/>
        <w:jc w:val="both"/>
      </w:pPr>
      <w:r>
        <w:rPr>
          <w:rFonts w:ascii="Book Antiqua" w:eastAsia="Book Antiqua" w:hAnsi="Book Antiqua" w:cs="Book Antiqua"/>
          <w:color w:val="000000"/>
        </w:rPr>
        <w:t>Grade C (Good): C</w:t>
      </w:r>
    </w:p>
    <w:p w14:paraId="1A07DEA3" w14:textId="77777777" w:rsidR="00A77B3E" w:rsidRDefault="00683D76">
      <w:pPr>
        <w:spacing w:line="360" w:lineRule="auto"/>
        <w:jc w:val="both"/>
      </w:pPr>
      <w:r>
        <w:rPr>
          <w:rFonts w:ascii="Book Antiqua" w:eastAsia="Book Antiqua" w:hAnsi="Book Antiqua" w:cs="Book Antiqua"/>
          <w:color w:val="000000"/>
        </w:rPr>
        <w:t>Grade D (Fair): D</w:t>
      </w:r>
    </w:p>
    <w:p w14:paraId="3AF4C2CC" w14:textId="77777777" w:rsidR="00A77B3E" w:rsidRDefault="00683D76">
      <w:pPr>
        <w:spacing w:line="360" w:lineRule="auto"/>
        <w:jc w:val="both"/>
      </w:pPr>
      <w:r>
        <w:rPr>
          <w:rFonts w:ascii="Book Antiqua" w:eastAsia="Book Antiqua" w:hAnsi="Book Antiqua" w:cs="Book Antiqua"/>
          <w:color w:val="000000"/>
        </w:rPr>
        <w:t>Grade E (Poor): 0</w:t>
      </w:r>
    </w:p>
    <w:p w14:paraId="5AE1CCB2" w14:textId="77777777" w:rsidR="00A77B3E" w:rsidRDefault="00A77B3E">
      <w:pPr>
        <w:spacing w:line="360" w:lineRule="auto"/>
        <w:jc w:val="both"/>
      </w:pPr>
    </w:p>
    <w:p w14:paraId="2376B889" w14:textId="77777777" w:rsidR="00A77B3E" w:rsidRDefault="00683D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Veltman ES, Weng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DC0E3C3" w14:textId="77777777" w:rsidR="0007318C" w:rsidRDefault="0007318C">
      <w:pPr>
        <w:spacing w:line="360" w:lineRule="auto"/>
        <w:jc w:val="both"/>
        <w:sectPr w:rsidR="0007318C">
          <w:pgSz w:w="12240" w:h="15840"/>
          <w:pgMar w:top="1440" w:right="1440" w:bottom="1440" w:left="1440" w:header="720" w:footer="720" w:gutter="0"/>
          <w:cols w:space="720"/>
          <w:docGrid w:linePitch="360"/>
        </w:sectPr>
      </w:pPr>
    </w:p>
    <w:p w14:paraId="1C921A84" w14:textId="50D1AD80" w:rsidR="00A77B3E" w:rsidRDefault="00683D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6F9E264" w14:textId="0B6ED678" w:rsidR="008C359F" w:rsidRPr="008C359F" w:rsidRDefault="008C359F">
      <w:pPr>
        <w:spacing w:line="360" w:lineRule="auto"/>
        <w:jc w:val="both"/>
        <w:rPr>
          <w:rFonts w:ascii="Book Antiqua" w:hAnsi="Book Antiqua" w:cs="Book Antiqua"/>
          <w:bCs/>
          <w:color w:val="000000"/>
          <w:lang w:eastAsia="zh-CN"/>
        </w:rPr>
      </w:pPr>
      <w:r w:rsidRPr="008C359F">
        <w:rPr>
          <w:rFonts w:ascii="Book Antiqua" w:hAnsi="Book Antiqua" w:cs="Book Antiqua" w:hint="eastAsia"/>
          <w:bCs/>
          <w:color w:val="000000"/>
          <w:lang w:eastAsia="zh-CN"/>
        </w:rPr>
        <w:t>A</w:t>
      </w:r>
    </w:p>
    <w:p w14:paraId="29BFD5F3" w14:textId="36267FA7" w:rsidR="00F423A8" w:rsidRDefault="008C359F">
      <w:pPr>
        <w:spacing w:line="360" w:lineRule="auto"/>
        <w:jc w:val="both"/>
      </w:pPr>
      <w:r>
        <w:rPr>
          <w:noProof/>
          <w:lang w:eastAsia="zh-CN"/>
        </w:rPr>
        <w:drawing>
          <wp:inline distT="0" distB="0" distL="0" distR="0" wp14:anchorId="502234AD" wp14:editId="17C73890">
            <wp:extent cx="5943600" cy="22085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08530"/>
                    </a:xfrm>
                    <a:prstGeom prst="rect">
                      <a:avLst/>
                    </a:prstGeom>
                  </pic:spPr>
                </pic:pic>
              </a:graphicData>
            </a:graphic>
          </wp:inline>
        </w:drawing>
      </w:r>
    </w:p>
    <w:p w14:paraId="7DFBFD22" w14:textId="6FF2C582" w:rsidR="008C359F" w:rsidRPr="008C359F" w:rsidRDefault="008C359F">
      <w:pPr>
        <w:spacing w:line="360" w:lineRule="auto"/>
        <w:jc w:val="both"/>
        <w:rPr>
          <w:rFonts w:ascii="Book Antiqua" w:hAnsi="Book Antiqua"/>
          <w:lang w:eastAsia="zh-CN"/>
        </w:rPr>
      </w:pPr>
      <w:r w:rsidRPr="008C359F">
        <w:rPr>
          <w:rFonts w:ascii="Book Antiqua" w:hAnsi="Book Antiqua"/>
          <w:lang w:eastAsia="zh-CN"/>
        </w:rPr>
        <w:t>B</w:t>
      </w:r>
    </w:p>
    <w:p w14:paraId="12A91BC7" w14:textId="6D5B8997" w:rsidR="008C359F" w:rsidRDefault="008C359F">
      <w:pPr>
        <w:spacing w:line="360" w:lineRule="auto"/>
        <w:jc w:val="both"/>
        <w:rPr>
          <w:lang w:eastAsia="zh-CN"/>
        </w:rPr>
      </w:pPr>
      <w:r>
        <w:rPr>
          <w:noProof/>
          <w:lang w:eastAsia="zh-CN"/>
        </w:rPr>
        <w:drawing>
          <wp:inline distT="0" distB="0" distL="0" distR="0" wp14:anchorId="6BBA5F89" wp14:editId="718EE2E1">
            <wp:extent cx="5943600" cy="19469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46910"/>
                    </a:xfrm>
                    <a:prstGeom prst="rect">
                      <a:avLst/>
                    </a:prstGeom>
                  </pic:spPr>
                </pic:pic>
              </a:graphicData>
            </a:graphic>
          </wp:inline>
        </w:drawing>
      </w:r>
    </w:p>
    <w:p w14:paraId="2C0FFD04" w14:textId="182BEA4F" w:rsidR="00A77B3E" w:rsidRDefault="00683D76">
      <w:pPr>
        <w:spacing w:line="360" w:lineRule="auto"/>
        <w:jc w:val="both"/>
      </w:pPr>
      <w:r w:rsidRPr="00E96C61">
        <w:rPr>
          <w:rFonts w:ascii="Book Antiqua" w:eastAsia="Book Antiqua" w:hAnsi="Book Antiqua" w:cs="Book Antiqua"/>
          <w:b/>
          <w:bCs/>
          <w:color w:val="000000"/>
          <w:szCs w:val="22"/>
        </w:rPr>
        <w:t>Fig</w:t>
      </w:r>
      <w:r w:rsidR="008C359F" w:rsidRPr="00E96C61">
        <w:rPr>
          <w:rFonts w:ascii="Book Antiqua" w:eastAsia="Book Antiqua" w:hAnsi="Book Antiqua" w:cs="Book Antiqua"/>
          <w:b/>
          <w:bCs/>
          <w:color w:val="000000"/>
          <w:szCs w:val="22"/>
        </w:rPr>
        <w:t>ure</w:t>
      </w:r>
      <w:r w:rsidRPr="00E96C61">
        <w:rPr>
          <w:rFonts w:ascii="Book Antiqua" w:eastAsia="Book Antiqua" w:hAnsi="Book Antiqua" w:cs="Book Antiqua"/>
          <w:b/>
          <w:bCs/>
          <w:color w:val="000000"/>
          <w:szCs w:val="22"/>
        </w:rPr>
        <w:t xml:space="preserve"> 1</w:t>
      </w:r>
      <w:r w:rsidR="00E96C61" w:rsidRPr="00E96C61">
        <w:rPr>
          <w:rFonts w:ascii="Book Antiqua" w:eastAsia="Book Antiqua" w:hAnsi="Book Antiqua" w:cs="Book Antiqua"/>
          <w:b/>
          <w:bCs/>
          <w:color w:val="000000"/>
          <w:szCs w:val="22"/>
        </w:rPr>
        <w:t xml:space="preserve"> </w:t>
      </w:r>
      <w:r w:rsidR="00492013" w:rsidRPr="00807715">
        <w:rPr>
          <w:rFonts w:ascii="Book Antiqua" w:eastAsia="Book Antiqua" w:hAnsi="Book Antiqua" w:cs="Book Antiqua"/>
          <w:b/>
          <w:bCs/>
          <w:i/>
          <w:iCs/>
          <w:color w:val="000000"/>
          <w:szCs w:val="22"/>
        </w:rPr>
        <w:t>In vitro</w:t>
      </w:r>
      <w:r w:rsidR="00492013">
        <w:rPr>
          <w:rFonts w:ascii="Book Antiqua" w:eastAsia="Book Antiqua" w:hAnsi="Book Antiqua" w:cs="Book Antiqua"/>
          <w:b/>
          <w:bCs/>
          <w:color w:val="000000"/>
          <w:szCs w:val="22"/>
        </w:rPr>
        <w:t xml:space="preserve"> biofilm inhibition experiments with different bone cement</w:t>
      </w:r>
      <w:r w:rsidR="004E5808">
        <w:rPr>
          <w:rFonts w:ascii="Book Antiqua" w:eastAsia="Book Antiqua" w:hAnsi="Book Antiqua" w:cs="Book Antiqua"/>
          <w:b/>
          <w:bCs/>
          <w:color w:val="000000"/>
          <w:szCs w:val="22"/>
        </w:rPr>
        <w:t xml:space="preserve"> types</w:t>
      </w:r>
      <w:r w:rsidR="007718F1">
        <w:rPr>
          <w:rFonts w:ascii="Book Antiqua" w:eastAsia="Book Antiqua" w:hAnsi="Book Antiqua" w:cs="Book Antiqua"/>
          <w:b/>
          <w:bCs/>
          <w:color w:val="000000"/>
          <w:szCs w:val="22"/>
        </w:rPr>
        <w:t xml:space="preserve"> (plain, single and dual </w:t>
      </w:r>
      <w:r w:rsidR="00807715" w:rsidRPr="00807715">
        <w:rPr>
          <w:rFonts w:ascii="Book Antiqua" w:eastAsia="Book Antiqua" w:hAnsi="Book Antiqua" w:cs="Book Antiqua"/>
          <w:b/>
          <w:bCs/>
          <w:color w:val="000000"/>
          <w:szCs w:val="22"/>
        </w:rPr>
        <w:t>antibiotic-loaded bone cement</w:t>
      </w:r>
      <w:r w:rsidR="007718F1">
        <w:rPr>
          <w:rFonts w:ascii="Book Antiqua" w:eastAsia="Book Antiqua" w:hAnsi="Book Antiqua" w:cs="Book Antiqua"/>
          <w:b/>
          <w:bCs/>
          <w:color w:val="000000"/>
          <w:szCs w:val="22"/>
        </w:rPr>
        <w:t>)</w:t>
      </w:r>
      <w:r w:rsidR="00807715">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A</w:t>
      </w:r>
      <w:r w:rsidR="00E96C6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Prophylactic anti-biofilm effect of three different </w:t>
      </w:r>
      <w:r w:rsidR="00E96C61">
        <w:rPr>
          <w:rFonts w:ascii="Book Antiqua" w:eastAsia="Book Antiqua" w:hAnsi="Book Antiqua" w:cs="Book Antiqua"/>
          <w:color w:val="000000"/>
        </w:rPr>
        <w:t>antibiotic-loaded bone cement</w:t>
      </w:r>
      <w:r>
        <w:rPr>
          <w:rFonts w:ascii="Book Antiqua" w:eastAsia="Book Antiqua" w:hAnsi="Book Antiqua" w:cs="Book Antiqua"/>
          <w:color w:val="000000"/>
          <w:szCs w:val="22"/>
        </w:rPr>
        <w:t>s against a gentamicin</w:t>
      </w:r>
      <w:r w:rsidR="00E96C61">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E96C61" w:rsidRPr="00E96C61">
        <w:rPr>
          <w:rFonts w:ascii="Book Antiqua" w:eastAsia="Book Antiqua" w:hAnsi="Book Antiqua" w:cs="Book Antiqua"/>
          <w:color w:val="000000"/>
          <w:szCs w:val="22"/>
          <w:lang w:val="fr-FR"/>
        </w:rPr>
        <w:t xml:space="preserve">methicillin-susceptible </w:t>
      </w:r>
      <w:r w:rsidR="006A5C61">
        <w:rPr>
          <w:rFonts w:ascii="Book Antiqua" w:eastAsia="Book Antiqua" w:hAnsi="Book Antiqua" w:cs="Book Antiqua"/>
          <w:i/>
          <w:iCs/>
          <w:color w:val="000000"/>
          <w:szCs w:val="22"/>
          <w:lang w:val="fr-FR"/>
        </w:rPr>
        <w:t>S</w:t>
      </w:r>
      <w:r w:rsidR="00E96C61" w:rsidRPr="00E96C61">
        <w:rPr>
          <w:rFonts w:ascii="Book Antiqua" w:eastAsia="Book Antiqua" w:hAnsi="Book Antiqua" w:cs="Book Antiqua"/>
          <w:i/>
          <w:iCs/>
          <w:color w:val="000000"/>
          <w:szCs w:val="22"/>
          <w:lang w:val="fr-FR"/>
        </w:rPr>
        <w:t>taphyloccus aureus</w:t>
      </w:r>
      <w:r w:rsidR="00E96C61" w:rsidRPr="00E96C61">
        <w:rPr>
          <w:rFonts w:ascii="Book Antiqua" w:eastAsia="Book Antiqua" w:hAnsi="Book Antiqua" w:cs="Book Antiqua"/>
          <w:color w:val="000000"/>
          <w:szCs w:val="22"/>
          <w:lang w:val="fr-FR"/>
        </w:rPr>
        <w:t xml:space="preserve"> </w:t>
      </w:r>
      <w:r>
        <w:rPr>
          <w:rFonts w:ascii="Book Antiqua" w:eastAsia="Book Antiqua" w:hAnsi="Book Antiqua" w:cs="Book Antiqua"/>
          <w:color w:val="000000"/>
          <w:szCs w:val="22"/>
        </w:rPr>
        <w:t>strain at day 1, day 3 and day 9 on basis of three independent experiments</w:t>
      </w:r>
      <w:r w:rsidR="00E96C6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E96C6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Prophylactic anti-biofilm effect of three different </w:t>
      </w:r>
      <w:r w:rsidR="00E96C61">
        <w:rPr>
          <w:rFonts w:ascii="Book Antiqua" w:eastAsia="Book Antiqua" w:hAnsi="Book Antiqua" w:cs="Book Antiqua"/>
          <w:color w:val="000000"/>
        </w:rPr>
        <w:t>antibiotic-loaded bone cement</w:t>
      </w:r>
      <w:r>
        <w:rPr>
          <w:rFonts w:ascii="Book Antiqua" w:eastAsia="Book Antiqua" w:hAnsi="Book Antiqua" w:cs="Book Antiqua"/>
          <w:color w:val="000000"/>
          <w:szCs w:val="22"/>
        </w:rPr>
        <w:t>s against a gentamicin- and methicillin-resistant</w:t>
      </w:r>
      <w:r w:rsidR="00E96C61">
        <w:rPr>
          <w:rFonts w:ascii="Book Antiqua" w:eastAsia="Book Antiqua" w:hAnsi="Book Antiqua" w:cs="Book Antiqua"/>
          <w:color w:val="000000"/>
        </w:rPr>
        <w:t xml:space="preserve"> </w:t>
      </w:r>
      <w:r w:rsidR="00E96C61" w:rsidRPr="0097648E">
        <w:rPr>
          <w:rFonts w:ascii="Book Antiqua" w:eastAsia="Book Antiqua" w:hAnsi="Book Antiqua" w:cs="Book Antiqua"/>
          <w:i/>
          <w:iCs/>
          <w:color w:val="000000"/>
        </w:rPr>
        <w:t>Staphylococcus epidermidis</w:t>
      </w:r>
      <w:r>
        <w:rPr>
          <w:rFonts w:ascii="Book Antiqua" w:eastAsia="Book Antiqua" w:hAnsi="Book Antiqua" w:cs="Book Antiqua"/>
          <w:color w:val="000000"/>
          <w:szCs w:val="22"/>
        </w:rPr>
        <w:t xml:space="preserve"> strain on basis of three independent experiments. </w:t>
      </w:r>
      <w:proofErr w:type="spellStart"/>
      <w:r w:rsidR="00E96C61" w:rsidRPr="00E96C61">
        <w:rPr>
          <w:rFonts w:ascii="Book Antiqua" w:eastAsia="Book Antiqua" w:hAnsi="Book Antiqua" w:cs="Book Antiqua"/>
          <w:color w:val="000000"/>
          <w:szCs w:val="22"/>
          <w:vertAlign w:val="superscript"/>
        </w:rPr>
        <w:t>a</w:t>
      </w:r>
      <w:r w:rsidR="00E96C61" w:rsidRPr="00E96C61">
        <w:rPr>
          <w:rFonts w:ascii="Book Antiqua" w:eastAsia="Book Antiqua" w:hAnsi="Book Antiqua" w:cs="Book Antiqua"/>
          <w:i/>
          <w:iCs/>
          <w:color w:val="000000"/>
          <w:szCs w:val="22"/>
        </w:rPr>
        <w:t>P</w:t>
      </w:r>
      <w:proofErr w:type="spellEnd"/>
      <w:r w:rsidR="00E96C61">
        <w:rPr>
          <w:rFonts w:ascii="Book Antiqua" w:eastAsia="Book Antiqua" w:hAnsi="Book Antiqua" w:cs="Book Antiqua"/>
          <w:color w:val="000000"/>
          <w:szCs w:val="22"/>
        </w:rPr>
        <w:t xml:space="preserve"> &lt; 0.05</w:t>
      </w:r>
      <w:r>
        <w:rPr>
          <w:rFonts w:ascii="Book Antiqua" w:eastAsia="Book Antiqua" w:hAnsi="Book Antiqua" w:cs="Book Antiqua"/>
          <w:color w:val="000000"/>
          <w:szCs w:val="22"/>
        </w:rPr>
        <w:t xml:space="preserve">, </w:t>
      </w:r>
      <w:proofErr w:type="spellStart"/>
      <w:r w:rsidR="00E96C61">
        <w:rPr>
          <w:rFonts w:ascii="Book Antiqua" w:eastAsia="Book Antiqua" w:hAnsi="Book Antiqua" w:cs="Book Antiqua"/>
          <w:color w:val="000000"/>
          <w:szCs w:val="22"/>
          <w:vertAlign w:val="superscript"/>
        </w:rPr>
        <w:t>b</w:t>
      </w:r>
      <w:r w:rsidR="00E96C61" w:rsidRPr="00E96C61">
        <w:rPr>
          <w:rFonts w:ascii="Book Antiqua" w:eastAsia="Book Antiqua" w:hAnsi="Book Antiqua" w:cs="Book Antiqua"/>
          <w:i/>
          <w:iCs/>
          <w:color w:val="000000"/>
          <w:szCs w:val="22"/>
        </w:rPr>
        <w:t>P</w:t>
      </w:r>
      <w:proofErr w:type="spellEnd"/>
      <w:r w:rsidR="00E96C61">
        <w:rPr>
          <w:rFonts w:ascii="Book Antiqua" w:eastAsia="Book Antiqua" w:hAnsi="Book Antiqua" w:cs="Book Antiqua"/>
          <w:color w:val="000000"/>
          <w:szCs w:val="22"/>
        </w:rPr>
        <w:t xml:space="preserve"> &lt; 0.01,</w:t>
      </w:r>
      <w:r>
        <w:rPr>
          <w:rFonts w:ascii="Book Antiqua" w:eastAsia="Book Antiqua" w:hAnsi="Book Antiqua" w:cs="Book Antiqua"/>
          <w:color w:val="000000"/>
          <w:szCs w:val="22"/>
        </w:rPr>
        <w:t xml:space="preserve"> or </w:t>
      </w:r>
      <w:proofErr w:type="spellStart"/>
      <w:r w:rsidR="00E96C61">
        <w:rPr>
          <w:rFonts w:ascii="Book Antiqua" w:eastAsia="Book Antiqua" w:hAnsi="Book Antiqua" w:cs="Book Antiqua"/>
          <w:color w:val="000000"/>
          <w:szCs w:val="22"/>
          <w:vertAlign w:val="superscript"/>
        </w:rPr>
        <w:t>c</w:t>
      </w:r>
      <w:r w:rsidR="00E96C61" w:rsidRPr="00E96C61">
        <w:rPr>
          <w:rFonts w:ascii="Book Antiqua" w:eastAsia="Book Antiqua" w:hAnsi="Book Antiqua" w:cs="Book Antiqua"/>
          <w:i/>
          <w:iCs/>
          <w:color w:val="000000"/>
          <w:szCs w:val="22"/>
        </w:rPr>
        <w:t>P</w:t>
      </w:r>
      <w:proofErr w:type="spellEnd"/>
      <w:r w:rsidR="00E96C61">
        <w:rPr>
          <w:rFonts w:ascii="Book Antiqua" w:eastAsia="Book Antiqua" w:hAnsi="Book Antiqua" w:cs="Book Antiqua"/>
          <w:color w:val="000000"/>
          <w:szCs w:val="22"/>
        </w:rPr>
        <w:t xml:space="preserve"> &lt; 0.001 </w:t>
      </w:r>
      <w:r>
        <w:rPr>
          <w:rFonts w:ascii="Book Antiqua" w:eastAsia="Book Antiqua" w:hAnsi="Book Antiqua" w:cs="Book Antiqua"/>
          <w:color w:val="000000"/>
          <w:szCs w:val="22"/>
        </w:rPr>
        <w:t xml:space="preserve">respectively in comparison with PALACOS R (cement without antibiotic). </w:t>
      </w:r>
      <w:r w:rsidR="006A5C61">
        <w:rPr>
          <w:rFonts w:ascii="Book Antiqua" w:eastAsia="Book Antiqua" w:hAnsi="Book Antiqua" w:cs="Book Antiqua"/>
          <w:color w:val="000000"/>
          <w:szCs w:val="22"/>
        </w:rPr>
        <w:t xml:space="preserve">G: </w:t>
      </w:r>
      <w:r w:rsidR="006A5C61">
        <w:rPr>
          <w:rFonts w:ascii="Book Antiqua" w:eastAsia="Book Antiqua" w:hAnsi="Book Antiqua" w:cs="Book Antiqua"/>
          <w:color w:val="000000"/>
        </w:rPr>
        <w:t>Gentamicin; C: Clindamycin; V: Vancomycin.</w:t>
      </w:r>
    </w:p>
    <w:p w14:paraId="3CC762A9" w14:textId="77777777" w:rsidR="005147F8" w:rsidRPr="005147F8" w:rsidRDefault="005147F8">
      <w:pPr>
        <w:spacing w:line="360" w:lineRule="auto"/>
        <w:jc w:val="both"/>
        <w:rPr>
          <w:rFonts w:ascii="Book Antiqua" w:hAnsi="Book Antiqua"/>
        </w:rPr>
      </w:pPr>
      <w:r>
        <w:br w:type="page"/>
      </w:r>
      <w:r w:rsidRPr="005147F8">
        <w:rPr>
          <w:rFonts w:ascii="Book Antiqua" w:hAnsi="Book Antiqua"/>
        </w:rPr>
        <w:lastRenderedPageBreak/>
        <w:t>A</w:t>
      </w:r>
    </w:p>
    <w:p w14:paraId="7C6A4BBB" w14:textId="0C65F14B" w:rsidR="00A77B3E" w:rsidRDefault="008D1083">
      <w:pPr>
        <w:spacing w:line="360" w:lineRule="auto"/>
        <w:jc w:val="both"/>
      </w:pPr>
      <w:r>
        <w:rPr>
          <w:noProof/>
          <w:lang w:eastAsia="zh-CN"/>
        </w:rPr>
        <w:drawing>
          <wp:inline distT="0" distB="0" distL="0" distR="0" wp14:anchorId="3DE694E0" wp14:editId="51EA2BEB">
            <wp:extent cx="5153063" cy="277179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53063" cy="2771795"/>
                    </a:xfrm>
                    <a:prstGeom prst="rect">
                      <a:avLst/>
                    </a:prstGeom>
                  </pic:spPr>
                </pic:pic>
              </a:graphicData>
            </a:graphic>
          </wp:inline>
        </w:drawing>
      </w:r>
    </w:p>
    <w:p w14:paraId="7B40B56C" w14:textId="5D4C6B06" w:rsidR="005147F8" w:rsidRPr="005147F8" w:rsidRDefault="005147F8">
      <w:pPr>
        <w:spacing w:line="360" w:lineRule="auto"/>
        <w:jc w:val="both"/>
        <w:rPr>
          <w:rFonts w:ascii="Book Antiqua" w:hAnsi="Book Antiqua"/>
          <w:lang w:eastAsia="zh-CN"/>
        </w:rPr>
      </w:pPr>
      <w:r w:rsidRPr="005147F8">
        <w:rPr>
          <w:rFonts w:ascii="Book Antiqua" w:hAnsi="Book Antiqua"/>
          <w:lang w:eastAsia="zh-CN"/>
        </w:rPr>
        <w:t>B</w:t>
      </w:r>
    </w:p>
    <w:p w14:paraId="57B2A84F" w14:textId="5A864D4D" w:rsidR="005147F8" w:rsidRDefault="008D1083">
      <w:pPr>
        <w:spacing w:line="360" w:lineRule="auto"/>
        <w:jc w:val="both"/>
        <w:rPr>
          <w:lang w:eastAsia="zh-CN"/>
        </w:rPr>
      </w:pPr>
      <w:r>
        <w:rPr>
          <w:noProof/>
          <w:lang w:eastAsia="zh-CN"/>
        </w:rPr>
        <w:drawing>
          <wp:inline distT="0" distB="0" distL="0" distR="0" wp14:anchorId="6D505EE8" wp14:editId="3F55E59D">
            <wp:extent cx="5048287" cy="38862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87" cy="3886228"/>
                    </a:xfrm>
                    <a:prstGeom prst="rect">
                      <a:avLst/>
                    </a:prstGeom>
                  </pic:spPr>
                </pic:pic>
              </a:graphicData>
            </a:graphic>
          </wp:inline>
        </w:drawing>
      </w:r>
    </w:p>
    <w:p w14:paraId="14E83780" w14:textId="2A409F11" w:rsidR="00A77B3E" w:rsidRDefault="00683D76">
      <w:pPr>
        <w:spacing w:line="360" w:lineRule="auto"/>
        <w:jc w:val="both"/>
      </w:pPr>
      <w:r w:rsidRPr="00807715">
        <w:rPr>
          <w:rFonts w:ascii="Book Antiqua" w:eastAsia="Book Antiqua" w:hAnsi="Book Antiqua" w:cs="Book Antiqua"/>
          <w:b/>
          <w:bCs/>
          <w:color w:val="000000"/>
          <w:szCs w:val="22"/>
        </w:rPr>
        <w:t>Fig</w:t>
      </w:r>
      <w:r w:rsidR="005147F8" w:rsidRPr="00807715">
        <w:rPr>
          <w:rFonts w:ascii="Book Antiqua" w:eastAsia="Book Antiqua" w:hAnsi="Book Antiqua" w:cs="Book Antiqua"/>
          <w:b/>
          <w:bCs/>
          <w:color w:val="000000"/>
          <w:szCs w:val="22"/>
        </w:rPr>
        <w:t>ure</w:t>
      </w:r>
      <w:r w:rsidRPr="00807715">
        <w:rPr>
          <w:rFonts w:ascii="Book Antiqua" w:eastAsia="Book Antiqua" w:hAnsi="Book Antiqua" w:cs="Book Antiqua"/>
          <w:b/>
          <w:bCs/>
          <w:color w:val="000000"/>
          <w:szCs w:val="22"/>
        </w:rPr>
        <w:t xml:space="preserve"> 2</w:t>
      </w:r>
      <w:r w:rsidR="005147F8" w:rsidRPr="00807715">
        <w:rPr>
          <w:rFonts w:ascii="Book Antiqua" w:eastAsia="Book Antiqua" w:hAnsi="Book Antiqua" w:cs="Book Antiqua"/>
          <w:b/>
          <w:bCs/>
          <w:color w:val="000000"/>
          <w:szCs w:val="22"/>
        </w:rPr>
        <w:t xml:space="preserve"> </w:t>
      </w:r>
      <w:r w:rsidR="0065376E" w:rsidRPr="00807715">
        <w:rPr>
          <w:rFonts w:ascii="Book Antiqua" w:eastAsia="Book Antiqua" w:hAnsi="Book Antiqua" w:cs="Book Antiqua"/>
          <w:b/>
          <w:bCs/>
          <w:color w:val="000000"/>
          <w:szCs w:val="22"/>
        </w:rPr>
        <w:t xml:space="preserve">Randomized clinical trial in </w:t>
      </w:r>
      <w:r w:rsidR="00807715" w:rsidRPr="00807715">
        <w:rPr>
          <w:rFonts w:ascii="Book Antiqua" w:eastAsia="Book Antiqua" w:hAnsi="Book Antiqua" w:cs="Book Antiqua"/>
          <w:b/>
          <w:bCs/>
          <w:color w:val="000000"/>
        </w:rPr>
        <w:t>femoral neck fracture</w:t>
      </w:r>
      <w:r w:rsidR="0065376E" w:rsidRPr="00807715">
        <w:rPr>
          <w:rFonts w:ascii="Book Antiqua" w:eastAsia="Book Antiqua" w:hAnsi="Book Antiqua" w:cs="Book Antiqua"/>
          <w:b/>
          <w:bCs/>
          <w:color w:val="000000"/>
          <w:szCs w:val="22"/>
        </w:rPr>
        <w:t xml:space="preserve"> patients comparing </w:t>
      </w:r>
      <w:r w:rsidR="00807715" w:rsidRPr="00807715">
        <w:rPr>
          <w:rFonts w:ascii="Book Antiqua" w:eastAsia="Book Antiqua" w:hAnsi="Book Antiqua" w:cs="Book Antiqua"/>
          <w:b/>
          <w:bCs/>
          <w:color w:val="000000"/>
        </w:rPr>
        <w:t>prosthetic joint infection</w:t>
      </w:r>
      <w:r w:rsidR="0065376E" w:rsidRPr="00807715">
        <w:rPr>
          <w:rFonts w:ascii="Book Antiqua" w:eastAsia="Book Antiqua" w:hAnsi="Book Antiqua" w:cs="Book Antiqua"/>
          <w:b/>
          <w:bCs/>
          <w:color w:val="000000"/>
          <w:szCs w:val="22"/>
        </w:rPr>
        <w:t xml:space="preserve"> rate in low dose single antibiotic loaded bone cement group with high dose dual antibiotic loaded bone cement group</w:t>
      </w:r>
      <w:r w:rsidR="00807715" w:rsidRPr="00807715">
        <w:rPr>
          <w:rFonts w:ascii="Book Antiqua" w:eastAsia="Book Antiqua" w:hAnsi="Book Antiqua" w:cs="Book Antiqua"/>
          <w:b/>
          <w:bCs/>
          <w:color w:val="000000"/>
          <w:szCs w:val="22"/>
        </w:rPr>
        <w:t>.</w:t>
      </w:r>
      <w:r>
        <w:rPr>
          <w:rFonts w:ascii="Book Antiqua" w:eastAsia="Book Antiqua" w:hAnsi="Book Antiqua" w:cs="Book Antiqua"/>
          <w:color w:val="000000"/>
          <w:szCs w:val="22"/>
        </w:rPr>
        <w:t xml:space="preserve"> A</w:t>
      </w:r>
      <w:r w:rsidR="005147F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Study design</w:t>
      </w:r>
      <w:r w:rsidR="0080771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848 patients </w:t>
      </w:r>
      <w:r>
        <w:rPr>
          <w:rFonts w:ascii="Book Antiqua" w:eastAsia="Book Antiqua" w:hAnsi="Book Antiqua" w:cs="Book Antiqua"/>
          <w:color w:val="000000"/>
          <w:szCs w:val="22"/>
        </w:rPr>
        <w:lastRenderedPageBreak/>
        <w:t xml:space="preserve">were </w:t>
      </w:r>
      <w:proofErr w:type="spellStart"/>
      <w:r>
        <w:rPr>
          <w:rFonts w:ascii="Book Antiqua" w:eastAsia="Book Antiqua" w:hAnsi="Book Antiqua" w:cs="Book Antiqua"/>
          <w:color w:val="000000"/>
          <w:szCs w:val="22"/>
        </w:rPr>
        <w:t>randomised</w:t>
      </w:r>
      <w:proofErr w:type="spellEnd"/>
      <w:r>
        <w:rPr>
          <w:rFonts w:ascii="Book Antiqua" w:eastAsia="Book Antiqua" w:hAnsi="Book Antiqua" w:cs="Book Antiqua"/>
          <w:color w:val="000000"/>
          <w:szCs w:val="22"/>
        </w:rPr>
        <w:t xml:space="preserve"> to receive either </w:t>
      </w:r>
      <w:proofErr w:type="spellStart"/>
      <w:r>
        <w:rPr>
          <w:rFonts w:ascii="Book Antiqua" w:eastAsia="Book Antiqua" w:hAnsi="Book Antiqua" w:cs="Book Antiqua"/>
          <w:color w:val="000000"/>
          <w:szCs w:val="22"/>
        </w:rPr>
        <w:t>hemiprostheses</w:t>
      </w:r>
      <w:proofErr w:type="spellEnd"/>
      <w:r>
        <w:rPr>
          <w:rFonts w:ascii="Book Antiqua" w:eastAsia="Book Antiqua" w:hAnsi="Book Antiqua" w:cs="Book Antiqua"/>
          <w:color w:val="000000"/>
          <w:szCs w:val="22"/>
        </w:rPr>
        <w:t xml:space="preserve"> cemented with a low dose single </w:t>
      </w:r>
      <w:r w:rsidR="00E96C61">
        <w:rPr>
          <w:rFonts w:ascii="Book Antiqua" w:eastAsia="Book Antiqua" w:hAnsi="Book Antiqua" w:cs="Book Antiqua"/>
          <w:color w:val="000000"/>
        </w:rPr>
        <w:t>antibiotic-loaded bone cement</w:t>
      </w:r>
      <w:r>
        <w:rPr>
          <w:rFonts w:ascii="Book Antiqua" w:eastAsia="Book Antiqua" w:hAnsi="Book Antiqua" w:cs="Book Antiqua"/>
          <w:color w:val="000000"/>
          <w:szCs w:val="22"/>
        </w:rPr>
        <w:t xml:space="preserve"> (PALACOS R</w:t>
      </w:r>
      <w:r w:rsidR="008D10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8D1083" w:rsidRPr="008D1083">
        <w:rPr>
          <w:rFonts w:ascii="Book Antiqua" w:eastAsia="Book Antiqua" w:hAnsi="Book Antiqua" w:cs="Book Antiqua"/>
          <w:color w:val="000000"/>
        </w:rPr>
        <w:t xml:space="preserve"> </w:t>
      </w:r>
      <w:r w:rsidR="008D1083">
        <w:rPr>
          <w:rFonts w:ascii="Book Antiqua" w:eastAsia="Book Antiqua" w:hAnsi="Book Antiqua" w:cs="Book Antiqua"/>
          <w:color w:val="000000"/>
        </w:rPr>
        <w:t>gentamicin</w:t>
      </w:r>
      <w:r>
        <w:rPr>
          <w:rFonts w:ascii="Book Antiqua" w:eastAsia="Book Antiqua" w:hAnsi="Book Antiqua" w:cs="Book Antiqua"/>
          <w:color w:val="000000"/>
          <w:szCs w:val="22"/>
        </w:rPr>
        <w:t xml:space="preserve"> = control group) or with a high dose dual </w:t>
      </w:r>
      <w:r w:rsidR="00E96C61">
        <w:rPr>
          <w:rFonts w:ascii="Book Antiqua" w:eastAsia="Book Antiqua" w:hAnsi="Book Antiqua" w:cs="Book Antiqua"/>
          <w:color w:val="000000"/>
        </w:rPr>
        <w:t>antibiotic-loaded bone cement</w:t>
      </w:r>
      <w:r>
        <w:rPr>
          <w:rFonts w:ascii="Book Antiqua" w:eastAsia="Book Antiqua" w:hAnsi="Book Antiqua" w:cs="Book Antiqua"/>
          <w:color w:val="000000"/>
          <w:szCs w:val="22"/>
        </w:rPr>
        <w:t xml:space="preserve"> (COPAL </w:t>
      </w:r>
      <w:r w:rsidR="008D1083">
        <w:rPr>
          <w:rFonts w:ascii="Book Antiqua" w:eastAsia="Book Antiqua" w:hAnsi="Book Antiqua" w:cs="Book Antiqua"/>
          <w:color w:val="000000"/>
        </w:rPr>
        <w:t>gentamicin + clindamycin</w:t>
      </w:r>
      <w:r>
        <w:rPr>
          <w:rFonts w:ascii="Book Antiqua" w:eastAsia="Book Antiqua" w:hAnsi="Book Antiqua" w:cs="Book Antiqua"/>
          <w:color w:val="000000"/>
          <w:szCs w:val="22"/>
        </w:rPr>
        <w:t xml:space="preserve"> = intervention group)</w:t>
      </w:r>
      <w:r w:rsidR="008D10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w:t>
      </w:r>
      <w:r w:rsidR="008D10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Study results: Primary endpoint was the deep surgical site infection rate (SSI) in the observation period of ≥ 1 </w:t>
      </w:r>
      <w:proofErr w:type="spellStart"/>
      <w:r>
        <w:rPr>
          <w:rFonts w:ascii="Book Antiqua" w:eastAsia="Book Antiqua" w:hAnsi="Book Antiqua" w:cs="Book Antiqua"/>
          <w:color w:val="000000"/>
          <w:szCs w:val="22"/>
        </w:rPr>
        <w:t>yr</w:t>
      </w:r>
      <w:proofErr w:type="spellEnd"/>
      <w:r>
        <w:rPr>
          <w:rFonts w:ascii="Book Antiqua" w:eastAsia="Book Antiqua" w:hAnsi="Book Antiqua" w:cs="Book Antiqua"/>
          <w:color w:val="000000"/>
          <w:szCs w:val="22"/>
        </w:rPr>
        <w:t xml:space="preserve"> in each group. Secondary endpoint was the rate of superficial SSI. For the calculation of the total SSI, both deep and superficial SSI cases in each group were combined.</w:t>
      </w:r>
      <w:r w:rsidR="008D1083">
        <w:rPr>
          <w:rFonts w:ascii="Book Antiqua" w:eastAsia="Book Antiqua" w:hAnsi="Book Antiqua" w:cs="Book Antiqua"/>
          <w:color w:val="000000"/>
          <w:szCs w:val="22"/>
        </w:rPr>
        <w:t xml:space="preserve"> SSI: Surgical site infection.</w:t>
      </w:r>
    </w:p>
    <w:p w14:paraId="2BA5F900" w14:textId="547363AD" w:rsidR="00A77B3E" w:rsidRDefault="00D20FC3">
      <w:pPr>
        <w:spacing w:line="360" w:lineRule="auto"/>
        <w:jc w:val="both"/>
      </w:pPr>
      <w:r>
        <w:br w:type="page"/>
      </w:r>
      <w:r w:rsidR="00321839">
        <w:rPr>
          <w:noProof/>
          <w:lang w:eastAsia="zh-CN"/>
        </w:rPr>
        <w:lastRenderedPageBreak/>
        <w:drawing>
          <wp:inline distT="0" distB="0" distL="0" distR="0" wp14:anchorId="598B6592" wp14:editId="05CD40DC">
            <wp:extent cx="5197111" cy="522971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1438" cy="5234070"/>
                    </a:xfrm>
                    <a:prstGeom prst="rect">
                      <a:avLst/>
                    </a:prstGeom>
                    <a:noFill/>
                  </pic:spPr>
                </pic:pic>
              </a:graphicData>
            </a:graphic>
          </wp:inline>
        </w:drawing>
      </w:r>
    </w:p>
    <w:p w14:paraId="194E4421" w14:textId="3036532F" w:rsidR="00A77B3E" w:rsidRDefault="00683D76">
      <w:pPr>
        <w:spacing w:line="360" w:lineRule="auto"/>
        <w:jc w:val="both"/>
      </w:pPr>
      <w:r w:rsidRPr="0097648E">
        <w:rPr>
          <w:rFonts w:ascii="Book Antiqua" w:eastAsia="Book Antiqua" w:hAnsi="Book Antiqua" w:cs="Book Antiqua"/>
          <w:b/>
          <w:bCs/>
          <w:color w:val="000000"/>
          <w:szCs w:val="22"/>
        </w:rPr>
        <w:t>Fig</w:t>
      </w:r>
      <w:r w:rsidR="00D20FC3" w:rsidRPr="0097648E">
        <w:rPr>
          <w:rFonts w:ascii="Book Antiqua" w:eastAsia="Book Antiqua" w:hAnsi="Book Antiqua" w:cs="Book Antiqua"/>
          <w:b/>
          <w:bCs/>
          <w:color w:val="000000"/>
          <w:szCs w:val="22"/>
        </w:rPr>
        <w:t>ure</w:t>
      </w:r>
      <w:r w:rsidRPr="0097648E">
        <w:rPr>
          <w:rFonts w:ascii="Book Antiqua" w:eastAsia="Book Antiqua" w:hAnsi="Book Antiqua" w:cs="Book Antiqua"/>
          <w:b/>
          <w:bCs/>
          <w:color w:val="000000"/>
          <w:szCs w:val="22"/>
        </w:rPr>
        <w:t xml:space="preserve"> 3</w:t>
      </w:r>
      <w:r w:rsidR="0018629A" w:rsidRPr="0097648E">
        <w:rPr>
          <w:rFonts w:ascii="Book Antiqua" w:eastAsia="Book Antiqua" w:hAnsi="Book Antiqua" w:cs="Book Antiqua"/>
          <w:b/>
          <w:bCs/>
          <w:color w:val="000000"/>
          <w:szCs w:val="22"/>
        </w:rPr>
        <w:t xml:space="preserve"> </w:t>
      </w:r>
      <w:r w:rsidRPr="0097648E">
        <w:rPr>
          <w:rFonts w:ascii="Book Antiqua" w:eastAsia="Book Antiqua" w:hAnsi="Book Antiqua" w:cs="Book Antiqua"/>
          <w:b/>
          <w:bCs/>
          <w:color w:val="000000"/>
          <w:szCs w:val="22"/>
        </w:rPr>
        <w:t xml:space="preserve">Overview of published clinical study results comparing </w:t>
      </w:r>
      <w:r w:rsidR="0018629A" w:rsidRPr="0097648E">
        <w:rPr>
          <w:rFonts w:ascii="Book Antiqua" w:eastAsia="Book Antiqua" w:hAnsi="Book Antiqua" w:cs="Book Antiqua"/>
          <w:b/>
          <w:bCs/>
          <w:color w:val="000000"/>
        </w:rPr>
        <w:t>prosthetic joint infection</w:t>
      </w:r>
      <w:r w:rsidRPr="0097648E">
        <w:rPr>
          <w:rFonts w:ascii="Book Antiqua" w:eastAsia="Book Antiqua" w:hAnsi="Book Antiqua" w:cs="Book Antiqua"/>
          <w:b/>
          <w:bCs/>
          <w:color w:val="000000"/>
          <w:szCs w:val="22"/>
        </w:rPr>
        <w:t xml:space="preserve"> rate in patients in single low dose cement and dual high dose cement group across different indications.</w:t>
      </w:r>
      <w:r>
        <w:rPr>
          <w:rFonts w:ascii="Book Antiqua" w:eastAsia="Book Antiqua" w:hAnsi="Book Antiqua" w:cs="Book Antiqua"/>
          <w:color w:val="000000"/>
          <w:szCs w:val="22"/>
        </w:rPr>
        <w:t xml:space="preserve"> The table below lists the main study authors, indication and study design, number of patients included, evidence level of clinical study and </w:t>
      </w:r>
      <w:r w:rsidR="0018629A">
        <w:rPr>
          <w:rFonts w:ascii="Book Antiqua" w:eastAsia="Book Antiqua" w:hAnsi="Book Antiqua" w:cs="Book Antiqua"/>
          <w:color w:val="000000"/>
        </w:rPr>
        <w:t>prosthetic joint infection</w:t>
      </w:r>
      <w:r>
        <w:rPr>
          <w:rFonts w:ascii="Book Antiqua" w:eastAsia="Book Antiqua" w:hAnsi="Book Antiqua" w:cs="Book Antiqua"/>
          <w:color w:val="000000"/>
          <w:szCs w:val="22"/>
        </w:rPr>
        <w:t xml:space="preserve"> rate in % in both study groups.</w:t>
      </w:r>
      <w:r w:rsidR="0018629A">
        <w:rPr>
          <w:rFonts w:ascii="Book Antiqua" w:eastAsia="Book Antiqua" w:hAnsi="Book Antiqua" w:cs="Book Antiqua"/>
          <w:color w:val="000000"/>
          <w:szCs w:val="22"/>
        </w:rPr>
        <w:t xml:space="preserve"> PJI: </w:t>
      </w:r>
      <w:r w:rsidR="0018629A">
        <w:rPr>
          <w:rFonts w:ascii="Book Antiqua" w:eastAsia="Book Antiqua" w:hAnsi="Book Antiqua" w:cs="Book Antiqua"/>
          <w:color w:val="000000"/>
        </w:rPr>
        <w:t xml:space="preserve">Prosthetic joint infection; </w:t>
      </w:r>
      <w:r w:rsidR="0018629A">
        <w:rPr>
          <w:rFonts w:ascii="Book Antiqua" w:eastAsia="Book Antiqua" w:hAnsi="Book Antiqua" w:cs="Book Antiqua"/>
          <w:color w:val="000000"/>
          <w:szCs w:val="22"/>
        </w:rPr>
        <w:t xml:space="preserve">SLDC: Single low dose cement = PALACOS R+G </w:t>
      </w:r>
      <w:r w:rsidR="0018629A">
        <w:rPr>
          <w:rFonts w:ascii="Book Antiqua" w:eastAsia="Book Antiqua" w:hAnsi="Book Antiqua" w:cs="Book Antiqua"/>
          <w:color w:val="000000"/>
        </w:rPr>
        <w:t>(containing 0.5 g of gentamicin)</w:t>
      </w:r>
      <w:r w:rsidR="0018629A">
        <w:rPr>
          <w:rFonts w:ascii="Book Antiqua" w:eastAsia="Book Antiqua" w:hAnsi="Book Antiqua" w:cs="Book Antiqua"/>
          <w:color w:val="000000"/>
          <w:szCs w:val="22"/>
        </w:rPr>
        <w:t>; DHDC: Dual high dose cement = COPAL G+C (</w:t>
      </w:r>
      <w:r w:rsidR="0018629A">
        <w:rPr>
          <w:rFonts w:ascii="Book Antiqua" w:eastAsia="Book Antiqua" w:hAnsi="Book Antiqua" w:cs="Book Antiqua"/>
          <w:color w:val="000000"/>
        </w:rPr>
        <w:t>gentamicin + clindamycin</w:t>
      </w:r>
      <w:r w:rsidR="0018629A">
        <w:rPr>
          <w:rFonts w:ascii="Book Antiqua" w:eastAsia="Book Antiqua" w:hAnsi="Book Antiqua" w:cs="Book Antiqua"/>
          <w:color w:val="000000"/>
          <w:szCs w:val="22"/>
        </w:rPr>
        <w:t xml:space="preserve">); FNF: </w:t>
      </w:r>
      <w:r w:rsidR="0018629A">
        <w:rPr>
          <w:rFonts w:ascii="Book Antiqua" w:eastAsia="Book Antiqua" w:hAnsi="Book Antiqua" w:cs="Book Antiqua"/>
          <w:color w:val="000000"/>
        </w:rPr>
        <w:t xml:space="preserve">Femoral neck fracture; </w:t>
      </w:r>
      <w:proofErr w:type="spellStart"/>
      <w:r w:rsidR="00321839">
        <w:rPr>
          <w:rFonts w:ascii="Book Antiqua" w:eastAsia="Book Antiqua" w:hAnsi="Book Antiqua" w:cs="Book Antiqua"/>
          <w:color w:val="000000"/>
        </w:rPr>
        <w:t>rTKA</w:t>
      </w:r>
      <w:proofErr w:type="spellEnd"/>
      <w:r w:rsidR="00321839">
        <w:rPr>
          <w:rFonts w:ascii="Book Antiqua" w:eastAsia="Book Antiqua" w:hAnsi="Book Antiqua" w:cs="Book Antiqua"/>
          <w:color w:val="000000"/>
        </w:rPr>
        <w:t xml:space="preserve">: </w:t>
      </w:r>
      <w:r w:rsidR="00321839" w:rsidRPr="00321839">
        <w:rPr>
          <w:rFonts w:ascii="Book Antiqua" w:eastAsia="Book Antiqua" w:hAnsi="Book Antiqua" w:cs="Book Antiqua"/>
          <w:color w:val="000000"/>
        </w:rPr>
        <w:t>Revision total knee arthroplasty</w:t>
      </w:r>
      <w:r w:rsidR="00321839">
        <w:rPr>
          <w:rFonts w:ascii="Book Antiqua" w:eastAsia="Book Antiqua" w:hAnsi="Book Antiqua" w:cs="Book Antiqua"/>
          <w:color w:val="000000"/>
        </w:rPr>
        <w:t xml:space="preserve">; </w:t>
      </w:r>
      <w:r w:rsidR="0018629A">
        <w:rPr>
          <w:rFonts w:ascii="Book Antiqua" w:eastAsia="Book Antiqua" w:hAnsi="Book Antiqua" w:cs="Book Antiqua"/>
          <w:color w:val="000000"/>
        </w:rPr>
        <w:t>RFI: Risk for infection;</w:t>
      </w:r>
      <w:r w:rsidR="00321839">
        <w:rPr>
          <w:rFonts w:ascii="Book Antiqua" w:eastAsia="Book Antiqua" w:hAnsi="Book Antiqua" w:cs="Book Antiqua"/>
          <w:color w:val="000000"/>
        </w:rPr>
        <w:t xml:space="preserve"> THA: </w:t>
      </w:r>
      <w:r w:rsidR="00321839" w:rsidRPr="00321839">
        <w:rPr>
          <w:rFonts w:ascii="Book Antiqua" w:eastAsia="Book Antiqua" w:hAnsi="Book Antiqua" w:cs="Book Antiqua"/>
          <w:color w:val="000000"/>
        </w:rPr>
        <w:t>Total hip arthroplasty</w:t>
      </w:r>
      <w:r w:rsidR="00321839">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AA09" w14:textId="77777777" w:rsidR="00452098" w:rsidRDefault="00452098" w:rsidP="00D52D0C">
      <w:r>
        <w:separator/>
      </w:r>
    </w:p>
  </w:endnote>
  <w:endnote w:type="continuationSeparator" w:id="0">
    <w:p w14:paraId="104F2823" w14:textId="77777777" w:rsidR="00452098" w:rsidRDefault="00452098" w:rsidP="00D5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6979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080F104" w14:textId="5062DB05" w:rsidR="00D52D0C" w:rsidRPr="00D52D0C" w:rsidRDefault="00D52D0C" w:rsidP="00D52D0C">
            <w:pPr>
              <w:pStyle w:val="Footer"/>
              <w:jc w:val="right"/>
              <w:rPr>
                <w:rFonts w:ascii="Book Antiqua" w:hAnsi="Book Antiqua"/>
                <w:sz w:val="24"/>
                <w:szCs w:val="24"/>
              </w:rPr>
            </w:pPr>
            <w:r>
              <w:rPr>
                <w:lang w:val="zh-CN" w:eastAsia="zh-CN"/>
              </w:rPr>
              <w:t xml:space="preserve"> </w:t>
            </w:r>
            <w:r w:rsidRPr="00D52D0C">
              <w:rPr>
                <w:rFonts w:ascii="Book Antiqua" w:hAnsi="Book Antiqua"/>
                <w:sz w:val="24"/>
                <w:szCs w:val="24"/>
              </w:rPr>
              <w:fldChar w:fldCharType="begin"/>
            </w:r>
            <w:r w:rsidRPr="00D52D0C">
              <w:rPr>
                <w:rFonts w:ascii="Book Antiqua" w:hAnsi="Book Antiqua"/>
                <w:sz w:val="24"/>
                <w:szCs w:val="24"/>
              </w:rPr>
              <w:instrText>PAGE</w:instrText>
            </w:r>
            <w:r w:rsidRPr="00D52D0C">
              <w:rPr>
                <w:rFonts w:ascii="Book Antiqua" w:hAnsi="Book Antiqua"/>
                <w:sz w:val="24"/>
                <w:szCs w:val="24"/>
              </w:rPr>
              <w:fldChar w:fldCharType="separate"/>
            </w:r>
            <w:r w:rsidR="0007318C">
              <w:rPr>
                <w:rFonts w:ascii="Book Antiqua" w:hAnsi="Book Antiqua"/>
                <w:noProof/>
                <w:sz w:val="24"/>
                <w:szCs w:val="24"/>
              </w:rPr>
              <w:t>23</w:t>
            </w:r>
            <w:r w:rsidRPr="00D52D0C">
              <w:rPr>
                <w:rFonts w:ascii="Book Antiqua" w:hAnsi="Book Antiqua"/>
                <w:sz w:val="24"/>
                <w:szCs w:val="24"/>
              </w:rPr>
              <w:fldChar w:fldCharType="end"/>
            </w:r>
            <w:r w:rsidRPr="00D52D0C">
              <w:rPr>
                <w:rFonts w:ascii="Book Antiqua" w:hAnsi="Book Antiqua"/>
                <w:sz w:val="24"/>
                <w:szCs w:val="24"/>
                <w:lang w:val="zh-CN" w:eastAsia="zh-CN"/>
              </w:rPr>
              <w:t xml:space="preserve"> / </w:t>
            </w:r>
            <w:r w:rsidRPr="00D52D0C">
              <w:rPr>
                <w:rFonts w:ascii="Book Antiqua" w:hAnsi="Book Antiqua"/>
                <w:sz w:val="24"/>
                <w:szCs w:val="24"/>
              </w:rPr>
              <w:fldChar w:fldCharType="begin"/>
            </w:r>
            <w:r w:rsidRPr="00D52D0C">
              <w:rPr>
                <w:rFonts w:ascii="Book Antiqua" w:hAnsi="Book Antiqua"/>
                <w:sz w:val="24"/>
                <w:szCs w:val="24"/>
              </w:rPr>
              <w:instrText>NUMPAGES</w:instrText>
            </w:r>
            <w:r w:rsidRPr="00D52D0C">
              <w:rPr>
                <w:rFonts w:ascii="Book Antiqua" w:hAnsi="Book Antiqua"/>
                <w:sz w:val="24"/>
                <w:szCs w:val="24"/>
              </w:rPr>
              <w:fldChar w:fldCharType="separate"/>
            </w:r>
            <w:r w:rsidR="0007318C">
              <w:rPr>
                <w:rFonts w:ascii="Book Antiqua" w:hAnsi="Book Antiqua"/>
                <w:noProof/>
                <w:sz w:val="24"/>
                <w:szCs w:val="24"/>
              </w:rPr>
              <w:t>24</w:t>
            </w:r>
            <w:r w:rsidRPr="00D52D0C">
              <w:rPr>
                <w:rFonts w:ascii="Book Antiqua" w:hAnsi="Book Antiqua"/>
                <w:sz w:val="24"/>
                <w:szCs w:val="24"/>
              </w:rPr>
              <w:fldChar w:fldCharType="end"/>
            </w:r>
          </w:p>
        </w:sdtContent>
      </w:sdt>
    </w:sdtContent>
  </w:sdt>
  <w:p w14:paraId="264E366D" w14:textId="77777777" w:rsidR="00D52D0C" w:rsidRPr="00D52D0C" w:rsidRDefault="00D52D0C" w:rsidP="00D52D0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D481" w14:textId="77777777" w:rsidR="00452098" w:rsidRDefault="00452098" w:rsidP="00D52D0C">
      <w:r>
        <w:separator/>
      </w:r>
    </w:p>
  </w:footnote>
  <w:footnote w:type="continuationSeparator" w:id="0">
    <w:p w14:paraId="361EE780" w14:textId="77777777" w:rsidR="00452098" w:rsidRDefault="00452098" w:rsidP="00D5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18C"/>
    <w:rsid w:val="0009638C"/>
    <w:rsid w:val="000D3C05"/>
    <w:rsid w:val="000E3F52"/>
    <w:rsid w:val="00165586"/>
    <w:rsid w:val="0018629A"/>
    <w:rsid w:val="00206125"/>
    <w:rsid w:val="00215BE7"/>
    <w:rsid w:val="002629A6"/>
    <w:rsid w:val="00321839"/>
    <w:rsid w:val="00392202"/>
    <w:rsid w:val="0042373A"/>
    <w:rsid w:val="00452098"/>
    <w:rsid w:val="00492013"/>
    <w:rsid w:val="0049463D"/>
    <w:rsid w:val="004E5808"/>
    <w:rsid w:val="005147F8"/>
    <w:rsid w:val="00522363"/>
    <w:rsid w:val="0065376E"/>
    <w:rsid w:val="00683D76"/>
    <w:rsid w:val="00694844"/>
    <w:rsid w:val="006A5C61"/>
    <w:rsid w:val="006E0FC4"/>
    <w:rsid w:val="007718F1"/>
    <w:rsid w:val="0080167A"/>
    <w:rsid w:val="00807715"/>
    <w:rsid w:val="00815ABB"/>
    <w:rsid w:val="008C359F"/>
    <w:rsid w:val="008D1083"/>
    <w:rsid w:val="0097648E"/>
    <w:rsid w:val="00A02165"/>
    <w:rsid w:val="00A77B3E"/>
    <w:rsid w:val="00A83D94"/>
    <w:rsid w:val="00AB5051"/>
    <w:rsid w:val="00B4044E"/>
    <w:rsid w:val="00BD0029"/>
    <w:rsid w:val="00BF3274"/>
    <w:rsid w:val="00C917C9"/>
    <w:rsid w:val="00C91E3A"/>
    <w:rsid w:val="00CA2A55"/>
    <w:rsid w:val="00CC18CE"/>
    <w:rsid w:val="00D20FC3"/>
    <w:rsid w:val="00D52D0C"/>
    <w:rsid w:val="00DE06D9"/>
    <w:rsid w:val="00E43668"/>
    <w:rsid w:val="00E71092"/>
    <w:rsid w:val="00E96C61"/>
    <w:rsid w:val="00F423A8"/>
    <w:rsid w:val="00FD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0851"/>
  <w15:docId w15:val="{E9D22B80-1539-4198-B7A0-BF151F59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9463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BF3274"/>
    <w:rPr>
      <w:sz w:val="21"/>
      <w:szCs w:val="21"/>
    </w:rPr>
  </w:style>
  <w:style w:type="paragraph" w:styleId="CommentText">
    <w:name w:val="annotation text"/>
    <w:basedOn w:val="Normal"/>
    <w:link w:val="CommentTextChar"/>
    <w:semiHidden/>
    <w:unhideWhenUsed/>
    <w:rsid w:val="00BF3274"/>
  </w:style>
  <w:style w:type="character" w:customStyle="1" w:styleId="CommentTextChar">
    <w:name w:val="Comment Text Char"/>
    <w:basedOn w:val="DefaultParagraphFont"/>
    <w:link w:val="CommentText"/>
    <w:semiHidden/>
    <w:rsid w:val="00BF3274"/>
    <w:rPr>
      <w:sz w:val="24"/>
      <w:szCs w:val="24"/>
    </w:rPr>
  </w:style>
  <w:style w:type="paragraph" w:styleId="CommentSubject">
    <w:name w:val="annotation subject"/>
    <w:basedOn w:val="CommentText"/>
    <w:next w:val="CommentText"/>
    <w:link w:val="CommentSubjectChar"/>
    <w:semiHidden/>
    <w:unhideWhenUsed/>
    <w:rsid w:val="00BF3274"/>
    <w:rPr>
      <w:b/>
      <w:bCs/>
    </w:rPr>
  </w:style>
  <w:style w:type="character" w:customStyle="1" w:styleId="CommentSubjectChar">
    <w:name w:val="Comment Subject Char"/>
    <w:basedOn w:val="CommentTextChar"/>
    <w:link w:val="CommentSubject"/>
    <w:semiHidden/>
    <w:rsid w:val="00BF3274"/>
    <w:rPr>
      <w:b/>
      <w:bCs/>
      <w:sz w:val="24"/>
      <w:szCs w:val="24"/>
    </w:rPr>
  </w:style>
  <w:style w:type="paragraph" w:styleId="Header">
    <w:name w:val="header"/>
    <w:basedOn w:val="Normal"/>
    <w:link w:val="HeaderChar"/>
    <w:unhideWhenUsed/>
    <w:rsid w:val="00D52D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52D0C"/>
    <w:rPr>
      <w:sz w:val="18"/>
      <w:szCs w:val="18"/>
    </w:rPr>
  </w:style>
  <w:style w:type="paragraph" w:styleId="Footer">
    <w:name w:val="footer"/>
    <w:basedOn w:val="Normal"/>
    <w:link w:val="FooterChar"/>
    <w:uiPriority w:val="99"/>
    <w:unhideWhenUsed/>
    <w:rsid w:val="00D52D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2D0C"/>
    <w:rPr>
      <w:sz w:val="18"/>
      <w:szCs w:val="18"/>
    </w:rPr>
  </w:style>
  <w:style w:type="paragraph" w:styleId="BalloonText">
    <w:name w:val="Balloon Text"/>
    <w:basedOn w:val="Normal"/>
    <w:link w:val="BalloonTextChar"/>
    <w:rsid w:val="00522363"/>
    <w:rPr>
      <w:rFonts w:ascii="Segoe UI" w:hAnsi="Segoe UI" w:cs="Segoe UI"/>
      <w:sz w:val="18"/>
      <w:szCs w:val="18"/>
    </w:rPr>
  </w:style>
  <w:style w:type="character" w:customStyle="1" w:styleId="BalloonTextChar">
    <w:name w:val="Balloon Text Char"/>
    <w:basedOn w:val="DefaultParagraphFont"/>
    <w:link w:val="BalloonText"/>
    <w:rsid w:val="00522363"/>
    <w:rPr>
      <w:rFonts w:ascii="Segoe UI" w:hAnsi="Segoe UI" w:cs="Segoe UI"/>
      <w:sz w:val="18"/>
      <w:szCs w:val="18"/>
    </w:rPr>
  </w:style>
  <w:style w:type="character" w:customStyle="1" w:styleId="Heading1Char">
    <w:name w:val="Heading 1 Char"/>
    <w:basedOn w:val="DefaultParagraphFont"/>
    <w:link w:val="Heading1"/>
    <w:rsid w:val="0049463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7175">
      <w:bodyDiv w:val="1"/>
      <w:marLeft w:val="0"/>
      <w:marRight w:val="0"/>
      <w:marTop w:val="0"/>
      <w:marBottom w:val="0"/>
      <w:divBdr>
        <w:top w:val="none" w:sz="0" w:space="0" w:color="auto"/>
        <w:left w:val="none" w:sz="0" w:space="0" w:color="auto"/>
        <w:bottom w:val="none" w:sz="0" w:space="0" w:color="auto"/>
        <w:right w:val="none" w:sz="0" w:space="0" w:color="auto"/>
      </w:divBdr>
    </w:div>
    <w:div w:id="19698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5768</Words>
  <Characters>32884</Characters>
  <Application>Microsoft Office Word</Application>
  <DocSecurity>0</DocSecurity>
  <Lines>274</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2021-03-08T22:18:00Z</dcterms:created>
  <dcterms:modified xsi:type="dcterms:W3CDTF">2021-03-08T22:22:00Z</dcterms:modified>
</cp:coreProperties>
</file>