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B5529" w14:textId="77777777" w:rsidR="00117B66" w:rsidRDefault="000417EB">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E2ECB94" w14:textId="77777777" w:rsidR="00117B66" w:rsidRDefault="000417E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61847</w:t>
      </w:r>
    </w:p>
    <w:p w14:paraId="4444C3C2" w14:textId="77777777" w:rsidR="00117B66" w:rsidRDefault="000417E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16BEE6" w14:textId="77777777" w:rsidR="00117B66" w:rsidRDefault="00117B66">
      <w:pPr>
        <w:spacing w:line="360" w:lineRule="auto"/>
        <w:jc w:val="both"/>
      </w:pPr>
    </w:p>
    <w:p w14:paraId="0CA633BB" w14:textId="77777777" w:rsidR="00117B66" w:rsidRDefault="000417EB">
      <w:pPr>
        <w:spacing w:line="360" w:lineRule="auto"/>
        <w:jc w:val="both"/>
      </w:pPr>
      <w:r>
        <w:rPr>
          <w:rFonts w:ascii="Book Antiqua" w:eastAsia="Book Antiqua" w:hAnsi="Book Antiqua" w:cs="Book Antiqua"/>
          <w:b/>
          <w:bCs/>
          <w:color w:val="000000"/>
        </w:rPr>
        <w:t>Managing esophagocutaneous fistula after secondary gastric pull-up: A case report</w:t>
      </w:r>
    </w:p>
    <w:p w14:paraId="5F1B4CEC" w14:textId="77777777" w:rsidR="00117B66" w:rsidRDefault="00117B66">
      <w:pPr>
        <w:spacing w:line="360" w:lineRule="auto"/>
        <w:jc w:val="both"/>
      </w:pPr>
    </w:p>
    <w:p w14:paraId="3562D838" w14:textId="77777777" w:rsidR="00117B66" w:rsidRDefault="000417EB">
      <w:pPr>
        <w:spacing w:line="360" w:lineRule="auto"/>
        <w:jc w:val="both"/>
      </w:pPr>
      <w:r>
        <w:rPr>
          <w:rFonts w:ascii="Book Antiqua" w:eastAsia="Book Antiqua" w:hAnsi="Book Antiqua" w:cs="Book Antiqua"/>
          <w:color w:val="000000"/>
        </w:rPr>
        <w:t xml:space="preserve">Lock JF </w:t>
      </w:r>
      <w:r>
        <w:rPr>
          <w:rFonts w:ascii="Book Antiqua" w:eastAsia="Book Antiqua" w:hAnsi="Book Antiqua" w:cs="Book Antiqua"/>
          <w:i/>
          <w:iCs/>
          <w:color w:val="000000"/>
        </w:rPr>
        <w:t>et al.</w:t>
      </w:r>
      <w:r>
        <w:rPr>
          <w:rFonts w:ascii="Book Antiqua" w:eastAsia="Book Antiqua" w:hAnsi="Book Antiqua" w:cs="Book Antiqua"/>
          <w:color w:val="000000"/>
        </w:rPr>
        <w:t xml:space="preserve"> Esophagocutaneous fistula after secondary gastric pull-up</w:t>
      </w:r>
    </w:p>
    <w:p w14:paraId="2C0DB80F" w14:textId="77777777" w:rsidR="00117B66" w:rsidRDefault="00117B66">
      <w:pPr>
        <w:spacing w:line="360" w:lineRule="auto"/>
        <w:jc w:val="both"/>
      </w:pPr>
    </w:p>
    <w:p w14:paraId="255AD784" w14:textId="77777777" w:rsidR="00117B66" w:rsidRDefault="000417EB">
      <w:pPr>
        <w:spacing w:line="360" w:lineRule="auto"/>
        <w:jc w:val="both"/>
      </w:pPr>
      <w:r>
        <w:rPr>
          <w:rFonts w:ascii="Book Antiqua" w:eastAsia="Book Antiqua" w:hAnsi="Book Antiqua" w:cs="Book Antiqua"/>
          <w:color w:val="000000"/>
        </w:rPr>
        <w:t>Johan F Lock, Stanislaus Reimer, Sebastian Pietryga, Rafael Jakubietz, Sven Flemming, Alexander Meining, Christoph-Thomas Germer, Florian Seyfried</w:t>
      </w:r>
    </w:p>
    <w:p w14:paraId="290AA20B" w14:textId="77777777" w:rsidR="00117B66" w:rsidRDefault="00117B66">
      <w:pPr>
        <w:spacing w:line="360" w:lineRule="auto"/>
        <w:jc w:val="both"/>
      </w:pPr>
    </w:p>
    <w:p w14:paraId="17F75797" w14:textId="77777777" w:rsidR="00117B66" w:rsidRDefault="000417EB">
      <w:pPr>
        <w:spacing w:line="360" w:lineRule="auto"/>
        <w:jc w:val="both"/>
      </w:pPr>
      <w:r>
        <w:rPr>
          <w:rFonts w:ascii="Book Antiqua" w:eastAsia="Book Antiqua" w:hAnsi="Book Antiqua" w:cs="Book Antiqua"/>
          <w:b/>
          <w:bCs/>
          <w:color w:val="000000"/>
        </w:rPr>
        <w:t xml:space="preserve">Johan F Lock, Sebastian Pietryga, Sven Flemming, Christoph-Thomas Germer, Florian Seyfried, </w:t>
      </w:r>
      <w:r>
        <w:rPr>
          <w:rFonts w:ascii="Book Antiqua" w:eastAsia="Book Antiqua" w:hAnsi="Book Antiqua" w:cs="Book Antiqua"/>
          <w:color w:val="000000"/>
        </w:rPr>
        <w:t>Department of General, Visceral, Transplantation, Vascular and Pediatric Surgery, University Hospital Würzburg, Würzburg 97080, Germany</w:t>
      </w:r>
    </w:p>
    <w:p w14:paraId="06E7FC4C" w14:textId="77777777" w:rsidR="00117B66" w:rsidRDefault="00117B66">
      <w:pPr>
        <w:spacing w:line="360" w:lineRule="auto"/>
        <w:jc w:val="both"/>
      </w:pPr>
    </w:p>
    <w:p w14:paraId="0CC6AB2E" w14:textId="77777777" w:rsidR="00117B66" w:rsidRDefault="000417EB">
      <w:pPr>
        <w:spacing w:line="360" w:lineRule="auto"/>
        <w:jc w:val="both"/>
      </w:pPr>
      <w:r>
        <w:rPr>
          <w:rFonts w:ascii="Book Antiqua" w:eastAsia="Book Antiqua" w:hAnsi="Book Antiqua" w:cs="Book Antiqua"/>
          <w:b/>
          <w:bCs/>
          <w:color w:val="000000"/>
        </w:rPr>
        <w:t xml:space="preserve">Stanislaus Reimer, Alexander Meining, </w:t>
      </w:r>
      <w:r>
        <w:rPr>
          <w:rFonts w:ascii="Book Antiqua" w:eastAsia="Book Antiqua" w:hAnsi="Book Antiqua" w:cs="Book Antiqua"/>
          <w:color w:val="000000"/>
        </w:rPr>
        <w:t>Department of Gastroenterology, University Hospital Würzburg, Würzburg 97080, Germany</w:t>
      </w:r>
    </w:p>
    <w:p w14:paraId="3CA1C6B3" w14:textId="77777777" w:rsidR="00117B66" w:rsidRDefault="00117B66">
      <w:pPr>
        <w:spacing w:line="360" w:lineRule="auto"/>
        <w:jc w:val="both"/>
      </w:pPr>
    </w:p>
    <w:p w14:paraId="25508357" w14:textId="77777777" w:rsidR="00117B66" w:rsidRDefault="000417EB">
      <w:pPr>
        <w:spacing w:line="360" w:lineRule="auto"/>
        <w:jc w:val="both"/>
      </w:pPr>
      <w:r>
        <w:rPr>
          <w:rFonts w:ascii="Book Antiqua" w:eastAsia="Book Antiqua" w:hAnsi="Book Antiqua" w:cs="Book Antiqua"/>
          <w:b/>
          <w:bCs/>
          <w:color w:val="000000"/>
        </w:rPr>
        <w:t xml:space="preserve">Rafael Jakubietz, </w:t>
      </w:r>
      <w:r>
        <w:rPr>
          <w:rFonts w:ascii="Book Antiqua" w:eastAsia="Book Antiqua" w:hAnsi="Book Antiqua" w:cs="Book Antiqua"/>
          <w:color w:val="000000"/>
        </w:rPr>
        <w:t>Department of Trauma-, Hand-, Plastic- and Reconstructive Surgery, University Hospital Würzburg, Würzburg 97080, Germany</w:t>
      </w:r>
    </w:p>
    <w:p w14:paraId="1CCB70EE" w14:textId="77777777" w:rsidR="00117B66" w:rsidRDefault="00117B66">
      <w:pPr>
        <w:spacing w:line="360" w:lineRule="auto"/>
        <w:jc w:val="both"/>
      </w:pPr>
    </w:p>
    <w:p w14:paraId="43B82983" w14:textId="17A622DF" w:rsidR="00117B66" w:rsidRDefault="000417E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Lock JF, Pietryga S, Flemming S and Seyfried F wrote the manuscript; Seyfried F led overall treatment; Seyfried F, Lock JF and Jakubietz R performed revisional surgery; Reimer S and Meining A led endoscopic treatment. Lock JF, Pietryga S and Flemming S prepared the figures; Germer CT, Meining A and Jakubietz R supported infrastructure and organizational issues; </w:t>
      </w:r>
      <w:r w:rsidR="00443105">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B1D5245" w14:textId="77777777" w:rsidR="00117B66" w:rsidRDefault="00117B66">
      <w:pPr>
        <w:spacing w:line="360" w:lineRule="auto"/>
        <w:jc w:val="both"/>
      </w:pPr>
    </w:p>
    <w:p w14:paraId="7EE9E612" w14:textId="77777777" w:rsidR="00117B66" w:rsidRDefault="000417EB">
      <w:pPr>
        <w:spacing w:line="360" w:lineRule="auto"/>
        <w:jc w:val="both"/>
      </w:pPr>
      <w:r>
        <w:rPr>
          <w:rFonts w:ascii="Book Antiqua" w:eastAsia="Book Antiqua" w:hAnsi="Book Antiqua" w:cs="Book Antiqua"/>
          <w:b/>
          <w:bCs/>
          <w:color w:val="000000"/>
        </w:rPr>
        <w:t xml:space="preserve">Corresponding author: Sven Flemming, MD, Academic Research, Senior Research Fellow, Surgeon, </w:t>
      </w:r>
      <w:r>
        <w:rPr>
          <w:rFonts w:ascii="Book Antiqua" w:eastAsia="Book Antiqua" w:hAnsi="Book Antiqua" w:cs="Book Antiqua"/>
          <w:color w:val="000000"/>
        </w:rPr>
        <w:t xml:space="preserve">Department of General, Visceral, Transplantation, Vascular and </w:t>
      </w:r>
      <w:r>
        <w:rPr>
          <w:rFonts w:ascii="Book Antiqua" w:eastAsia="Book Antiqua" w:hAnsi="Book Antiqua" w:cs="Book Antiqua"/>
          <w:color w:val="000000"/>
        </w:rPr>
        <w:lastRenderedPageBreak/>
        <w:t>Pediatric Surgery, University Hospital Würzburg, Oberdürrbacher Str. 6, Würzburg 97080, Germany. flemming_s@ukw.de</w:t>
      </w:r>
    </w:p>
    <w:p w14:paraId="6E2C4BE7" w14:textId="77777777" w:rsidR="00117B66" w:rsidRDefault="00117B66">
      <w:pPr>
        <w:spacing w:line="360" w:lineRule="auto"/>
        <w:jc w:val="both"/>
      </w:pPr>
    </w:p>
    <w:p w14:paraId="3468D76D" w14:textId="77777777" w:rsidR="00117B66" w:rsidRDefault="000417E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351D49D7" w14:textId="77777777" w:rsidR="00117B66" w:rsidRDefault="000417E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5, 2021</w:t>
      </w:r>
    </w:p>
    <w:p w14:paraId="3FA67D65" w14:textId="2A3D9397" w:rsidR="00117B66" w:rsidRDefault="000417EB">
      <w:pPr>
        <w:spacing w:line="360" w:lineRule="auto"/>
        <w:jc w:val="both"/>
      </w:pPr>
      <w:r>
        <w:rPr>
          <w:rFonts w:ascii="Book Antiqua" w:eastAsia="Book Antiqua" w:hAnsi="Book Antiqua" w:cs="Book Antiqua"/>
          <w:b/>
          <w:bCs/>
          <w:color w:val="000000"/>
        </w:rPr>
        <w:t xml:space="preserve">Accepted: </w:t>
      </w:r>
      <w:r w:rsidR="00207E56" w:rsidRPr="00207E56">
        <w:rPr>
          <w:rFonts w:ascii="Book Antiqua" w:eastAsia="Book Antiqua" w:hAnsi="Book Antiqua" w:cs="Book Antiqua"/>
          <w:color w:val="000000"/>
        </w:rPr>
        <w:t>March 16, 2021</w:t>
      </w:r>
    </w:p>
    <w:p w14:paraId="71255FAF" w14:textId="77777777" w:rsidR="00117B66" w:rsidRDefault="000417EB">
      <w:pPr>
        <w:spacing w:line="360" w:lineRule="auto"/>
        <w:jc w:val="both"/>
      </w:pPr>
      <w:r>
        <w:rPr>
          <w:rFonts w:ascii="Book Antiqua" w:eastAsia="Book Antiqua" w:hAnsi="Book Antiqua" w:cs="Book Antiqua"/>
          <w:b/>
          <w:bCs/>
          <w:color w:val="000000"/>
        </w:rPr>
        <w:t xml:space="preserve">Published online: </w:t>
      </w:r>
    </w:p>
    <w:p w14:paraId="41D4AE2A" w14:textId="77777777" w:rsidR="00117B66" w:rsidRDefault="00117B66">
      <w:pPr>
        <w:spacing w:line="360" w:lineRule="auto"/>
        <w:jc w:val="both"/>
        <w:sectPr w:rsidR="00117B66">
          <w:footerReference w:type="default" r:id="rId8"/>
          <w:pgSz w:w="12240" w:h="15840"/>
          <w:pgMar w:top="1440" w:right="1440" w:bottom="1440" w:left="1440" w:header="720" w:footer="720" w:gutter="0"/>
          <w:cols w:space="720"/>
          <w:docGrid w:linePitch="360"/>
        </w:sectPr>
      </w:pPr>
    </w:p>
    <w:p w14:paraId="172A6930" w14:textId="77777777" w:rsidR="00117B66" w:rsidRDefault="000417EB">
      <w:pPr>
        <w:spacing w:line="360" w:lineRule="auto"/>
        <w:jc w:val="both"/>
      </w:pPr>
      <w:r>
        <w:rPr>
          <w:rFonts w:ascii="Book Antiqua" w:eastAsia="Book Antiqua" w:hAnsi="Book Antiqua" w:cs="Book Antiqua"/>
          <w:b/>
          <w:color w:val="000000"/>
        </w:rPr>
        <w:lastRenderedPageBreak/>
        <w:t>Abstract</w:t>
      </w:r>
    </w:p>
    <w:p w14:paraId="51120771" w14:textId="77777777" w:rsidR="00117B66" w:rsidRDefault="000417EB">
      <w:pPr>
        <w:spacing w:line="360" w:lineRule="auto"/>
        <w:jc w:val="both"/>
      </w:pPr>
      <w:r>
        <w:rPr>
          <w:rFonts w:ascii="Book Antiqua" w:eastAsia="Book Antiqua" w:hAnsi="Book Antiqua" w:cs="Book Antiqua"/>
          <w:color w:val="000000"/>
        </w:rPr>
        <w:t>BACKGROUND</w:t>
      </w:r>
    </w:p>
    <w:p w14:paraId="3BB44BF3" w14:textId="77777777" w:rsidR="00117B66" w:rsidRDefault="000417EB">
      <w:pPr>
        <w:spacing w:line="360" w:lineRule="auto"/>
        <w:jc w:val="both"/>
      </w:pPr>
      <w:r>
        <w:rPr>
          <w:rFonts w:ascii="Book Antiqua" w:eastAsia="Book Antiqua" w:hAnsi="Book Antiqua" w:cs="Book Antiqua"/>
          <w:color w:val="000000"/>
        </w:rPr>
        <w:t>Gastric pull-up (GPU) procedures may be complicated by leaks, fistulas, or stenoses. These complications are usually managed by endoscopy, but in extreme cases multidisciplinary management including reoperation may be necessary. Here, we report a combined endoscopic and surgical approach to manage a failed secondary GPU procedure.</w:t>
      </w:r>
    </w:p>
    <w:p w14:paraId="0ED27136" w14:textId="77777777" w:rsidR="00117B66" w:rsidRDefault="00117B66">
      <w:pPr>
        <w:spacing w:line="360" w:lineRule="auto"/>
        <w:jc w:val="both"/>
      </w:pPr>
    </w:p>
    <w:p w14:paraId="3A4DE67B" w14:textId="77777777" w:rsidR="00117B66" w:rsidRDefault="000417EB">
      <w:pPr>
        <w:spacing w:line="360" w:lineRule="auto"/>
        <w:jc w:val="both"/>
      </w:pPr>
      <w:r>
        <w:rPr>
          <w:rFonts w:ascii="Book Antiqua" w:eastAsia="Book Antiqua" w:hAnsi="Book Antiqua" w:cs="Book Antiqua"/>
          <w:color w:val="000000"/>
        </w:rPr>
        <w:t>CASE SUMMARY</w:t>
      </w:r>
    </w:p>
    <w:p w14:paraId="598FC98F" w14:textId="77777777" w:rsidR="00117B66" w:rsidRDefault="000417EB">
      <w:pPr>
        <w:spacing w:line="360" w:lineRule="auto"/>
        <w:jc w:val="both"/>
      </w:pPr>
      <w:r>
        <w:rPr>
          <w:rFonts w:ascii="Book Antiqua" w:eastAsia="Book Antiqua" w:hAnsi="Book Antiqua" w:cs="Book Antiqua"/>
          <w:color w:val="000000"/>
        </w:rPr>
        <w:t>A 70-year-old male with treatment-refractory cervical esophagocutaneous fistula with stenotic remnant esophagus after secondary GPU was transferred to our tertiary hospital. Local and systemic infection originating from the infected fistula was resolved by endoscopy. Hence, elective esophageal reconstruction with free-jejunal interposition was performed with no subsequent adverse events.</w:t>
      </w:r>
    </w:p>
    <w:p w14:paraId="7C345AB9" w14:textId="77777777" w:rsidR="00117B66" w:rsidRDefault="00117B66">
      <w:pPr>
        <w:spacing w:line="360" w:lineRule="auto"/>
        <w:jc w:val="both"/>
      </w:pPr>
    </w:p>
    <w:p w14:paraId="7F895AFF" w14:textId="77777777" w:rsidR="00117B66" w:rsidRDefault="000417EB">
      <w:pPr>
        <w:spacing w:line="360" w:lineRule="auto"/>
        <w:jc w:val="both"/>
      </w:pPr>
      <w:r>
        <w:rPr>
          <w:rFonts w:ascii="Book Antiqua" w:eastAsia="Book Antiqua" w:hAnsi="Book Antiqua" w:cs="Book Antiqua"/>
          <w:color w:val="000000"/>
        </w:rPr>
        <w:t>CONCLUSION</w:t>
      </w:r>
    </w:p>
    <w:p w14:paraId="5374E923" w14:textId="77777777" w:rsidR="00117B66" w:rsidRDefault="000417EB">
      <w:pPr>
        <w:spacing w:line="360" w:lineRule="auto"/>
        <w:jc w:val="both"/>
      </w:pPr>
      <w:r>
        <w:rPr>
          <w:rFonts w:ascii="Book Antiqua" w:eastAsia="Book Antiqua" w:hAnsi="Book Antiqua" w:cs="Book Antiqua"/>
          <w:color w:val="000000"/>
        </w:rPr>
        <w:t xml:space="preserve">A multidisciplinary approach involving interventional endoscopists and surgeons successfully managed severe complications arising from a cervical esophagocutaneous fistula after GPU. Endoscopic treatment may have lowered the perioperative risk to promote primary wound healing after free-jejunal graft interposition. </w:t>
      </w:r>
    </w:p>
    <w:p w14:paraId="4720D156" w14:textId="77777777" w:rsidR="00117B66" w:rsidRDefault="00117B66">
      <w:pPr>
        <w:spacing w:line="360" w:lineRule="auto"/>
        <w:jc w:val="both"/>
      </w:pPr>
    </w:p>
    <w:p w14:paraId="510BA01D" w14:textId="77777777" w:rsidR="00117B66" w:rsidRDefault="000417E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Esophageal fistula; Gastric fistula; Esophageal stenosis; Esophageal perforation; Endoscopic vacuum therapy; Free-jejunal graft; Case report</w:t>
      </w:r>
    </w:p>
    <w:p w14:paraId="460A6A80" w14:textId="77777777" w:rsidR="00117B66" w:rsidRDefault="00117B66">
      <w:pPr>
        <w:spacing w:line="360" w:lineRule="auto"/>
        <w:jc w:val="both"/>
      </w:pPr>
    </w:p>
    <w:p w14:paraId="18A494E8" w14:textId="77777777" w:rsidR="00117B66" w:rsidRDefault="000417EB">
      <w:pPr>
        <w:spacing w:line="360" w:lineRule="auto"/>
        <w:jc w:val="both"/>
      </w:pPr>
      <w:r>
        <w:rPr>
          <w:rFonts w:ascii="Book Antiqua" w:eastAsia="Book Antiqua" w:hAnsi="Book Antiqua" w:cs="Book Antiqua"/>
          <w:color w:val="000000"/>
        </w:rPr>
        <w:t xml:space="preserve">Lock JF, Reimer S, Pietryga S, Jakubietz R, Flemming S, Meining A, Germer CT, Seyfried F. Managing esophagocutaneous fistula after secondary gastric pull-up: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7CF14B0A" w14:textId="77777777" w:rsidR="00117B66" w:rsidRDefault="00117B66">
      <w:pPr>
        <w:spacing w:line="360" w:lineRule="auto"/>
        <w:jc w:val="both"/>
      </w:pPr>
    </w:p>
    <w:p w14:paraId="4FD8B8C4" w14:textId="581D9E94" w:rsidR="00117B66" w:rsidRDefault="000417EB">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Gastric pull-up (GPU) reconstruction after esophagectomy may be complicated by leaks, fistulas, and stenoses. In such cases, endoscopic interventions, including endoscopic vacuum therapy, stenting, or dilatation, are the corrective treatments of choice, but surgery is preferred when esophageal reconstruction becomes necessary. Here, we report a case of esophageal reconstruction after a secondary GPU procedure by combining endoscopic and surgical techniques </w:t>
      </w:r>
      <w:r w:rsidR="006F5522">
        <w:rPr>
          <w:rFonts w:ascii="Book Antiqua" w:eastAsia="Book Antiqua" w:hAnsi="Book Antiqua" w:cs="Book Antiqua"/>
          <w:color w:val="000000"/>
        </w:rPr>
        <w:t xml:space="preserve">to </w:t>
      </w:r>
      <w:r>
        <w:rPr>
          <w:rFonts w:ascii="Book Antiqua" w:eastAsia="Book Antiqua" w:hAnsi="Book Antiqua" w:cs="Book Antiqua"/>
          <w:color w:val="000000"/>
        </w:rPr>
        <w:t>perform subtotal esophageal resection and reconstruction using a free-jejunal graft interposition.</w:t>
      </w:r>
    </w:p>
    <w:p w14:paraId="4835140A" w14:textId="77777777" w:rsidR="00117B66" w:rsidRDefault="00117B66">
      <w:pPr>
        <w:spacing w:line="360" w:lineRule="auto"/>
        <w:jc w:val="both"/>
      </w:pPr>
    </w:p>
    <w:p w14:paraId="374E9F7F" w14:textId="77777777" w:rsidR="00117B66" w:rsidRDefault="000417EB">
      <w:pPr>
        <w:spacing w:line="360" w:lineRule="auto"/>
        <w:jc w:val="both"/>
      </w:pPr>
      <w:r>
        <w:rPr>
          <w:rFonts w:ascii="Book Antiqua" w:eastAsia="Book Antiqua" w:hAnsi="Book Antiqua" w:cs="Book Antiqua"/>
          <w:b/>
          <w:caps/>
          <w:color w:val="000000"/>
          <w:u w:val="single"/>
        </w:rPr>
        <w:t>INTRODUCTION</w:t>
      </w:r>
    </w:p>
    <w:p w14:paraId="5E499923" w14:textId="77777777" w:rsidR="00117B66" w:rsidRDefault="000417EB">
      <w:pPr>
        <w:spacing w:line="360" w:lineRule="auto"/>
        <w:jc w:val="both"/>
      </w:pPr>
      <w:r>
        <w:rPr>
          <w:rFonts w:ascii="Book Antiqua" w:eastAsia="Book Antiqua" w:hAnsi="Book Antiqua" w:cs="Book Antiqua"/>
          <w:color w:val="000000"/>
        </w:rPr>
        <w:t>Gastric pull-up (GPU) procedures may be complicated by leaks, fistulas, and stenoses. In such cases, restoration of the esophagus and adequate recovery of alimentation becomes challenging</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Endoscopic interventions, including endoscopic vacuum therapy (EVT), stenting, or dilatation, are the corrective treatments of choice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but surgery is preferred when esophageal reconstruction becomes necessary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Here, we report a case of esophageal reconstruction after a secondary GPU procedure by combining endoscopic and surgical techniques.</w:t>
      </w:r>
    </w:p>
    <w:p w14:paraId="4884B0ED" w14:textId="77777777" w:rsidR="00117B66" w:rsidRDefault="00117B66">
      <w:pPr>
        <w:spacing w:line="360" w:lineRule="auto"/>
        <w:jc w:val="both"/>
      </w:pPr>
    </w:p>
    <w:p w14:paraId="25844C71" w14:textId="77777777" w:rsidR="00117B66" w:rsidRDefault="000417EB">
      <w:pPr>
        <w:spacing w:line="360" w:lineRule="auto"/>
        <w:jc w:val="both"/>
      </w:pPr>
      <w:r>
        <w:rPr>
          <w:rFonts w:ascii="Book Antiqua" w:eastAsia="Book Antiqua" w:hAnsi="Book Antiqua" w:cs="Book Antiqua"/>
          <w:b/>
          <w:caps/>
          <w:color w:val="000000"/>
          <w:u w:val="single"/>
        </w:rPr>
        <w:t>CASE PRESENTATION</w:t>
      </w:r>
    </w:p>
    <w:p w14:paraId="5F754472" w14:textId="77777777" w:rsidR="00117B66" w:rsidRDefault="000417EB">
      <w:pPr>
        <w:spacing w:line="360" w:lineRule="auto"/>
        <w:jc w:val="both"/>
      </w:pPr>
      <w:r>
        <w:rPr>
          <w:rFonts w:ascii="Book Antiqua" w:eastAsia="Book Antiqua" w:hAnsi="Book Antiqua" w:cs="Book Antiqua"/>
          <w:b/>
          <w:i/>
          <w:color w:val="000000"/>
        </w:rPr>
        <w:t>Chief complaints</w:t>
      </w:r>
    </w:p>
    <w:p w14:paraId="30CFA880" w14:textId="77777777" w:rsidR="00117B66" w:rsidRDefault="000417EB">
      <w:pPr>
        <w:spacing w:line="360" w:lineRule="auto"/>
        <w:jc w:val="both"/>
      </w:pPr>
      <w:r>
        <w:rPr>
          <w:rFonts w:ascii="Book Antiqua" w:eastAsia="Book Antiqua" w:hAnsi="Book Antiqua" w:cs="Book Antiqua"/>
          <w:color w:val="000000"/>
        </w:rPr>
        <w:t>A 70-year-old male patient underwent emergency esophageal diversion after injury to the cervical esophagus during spinal surgery.</w:t>
      </w:r>
    </w:p>
    <w:p w14:paraId="297FFD3C" w14:textId="77777777" w:rsidR="00117B66" w:rsidRDefault="00117B66">
      <w:pPr>
        <w:spacing w:line="360" w:lineRule="auto"/>
        <w:jc w:val="both"/>
      </w:pPr>
    </w:p>
    <w:p w14:paraId="2E22AC42" w14:textId="77777777" w:rsidR="00117B66" w:rsidRDefault="000417EB">
      <w:pPr>
        <w:spacing w:line="360" w:lineRule="auto"/>
        <w:jc w:val="both"/>
      </w:pPr>
      <w:r>
        <w:rPr>
          <w:rFonts w:ascii="Book Antiqua" w:eastAsia="Book Antiqua" w:hAnsi="Book Antiqua" w:cs="Book Antiqua"/>
          <w:b/>
          <w:i/>
          <w:color w:val="000000"/>
        </w:rPr>
        <w:t>History of present illness</w:t>
      </w:r>
    </w:p>
    <w:p w14:paraId="03372211" w14:textId="77777777" w:rsidR="00117B66" w:rsidRDefault="000417EB">
      <w:pPr>
        <w:spacing w:line="360" w:lineRule="auto"/>
        <w:jc w:val="both"/>
      </w:pPr>
      <w:r>
        <w:rPr>
          <w:rFonts w:ascii="Book Antiqua" w:eastAsia="Book Antiqua" w:hAnsi="Book Antiqua" w:cs="Book Antiqua"/>
          <w:color w:val="000000"/>
        </w:rPr>
        <w:t xml:space="preserve">Six months later, retrosternal GPU procedure was performed but postoperative anastomotic leakage occurred. The leakage was successfully managed by endoscopy and the patient was discharged with a fully covered esophageal stent in place. Three weeks later, local cervical infection and sepsis developed. At this time, our tertiary university hospital was contacted for patient transfer. </w:t>
      </w:r>
    </w:p>
    <w:p w14:paraId="7522A197" w14:textId="77777777" w:rsidR="00117B66" w:rsidRDefault="00117B66">
      <w:pPr>
        <w:spacing w:line="360" w:lineRule="auto"/>
        <w:jc w:val="both"/>
      </w:pPr>
    </w:p>
    <w:p w14:paraId="4C9E1FA2" w14:textId="77777777" w:rsidR="00117B66" w:rsidRDefault="000417EB">
      <w:pPr>
        <w:spacing w:line="360" w:lineRule="auto"/>
        <w:jc w:val="both"/>
      </w:pPr>
      <w:r>
        <w:rPr>
          <w:rFonts w:ascii="Book Antiqua" w:eastAsia="Book Antiqua" w:hAnsi="Book Antiqua" w:cs="Book Antiqua"/>
          <w:b/>
          <w:i/>
          <w:color w:val="000000"/>
        </w:rPr>
        <w:lastRenderedPageBreak/>
        <w:t>History of past illness</w:t>
      </w:r>
    </w:p>
    <w:p w14:paraId="69306B7B" w14:textId="77777777" w:rsidR="00117B66" w:rsidRDefault="000417EB">
      <w:pPr>
        <w:spacing w:line="360" w:lineRule="auto"/>
        <w:jc w:val="both"/>
      </w:pPr>
      <w:r>
        <w:rPr>
          <w:rFonts w:ascii="Book Antiqua" w:eastAsia="Book Antiqua" w:hAnsi="Book Antiqua" w:cs="Book Antiqua"/>
          <w:color w:val="000000"/>
        </w:rPr>
        <w:t xml:space="preserve">Notable previous illnesses were arterial hypertonus, non-active smoking status and an ischemic stroke with incomplete senso-motoric hemiparesis. Furthermore, the patient had a thyroidectomy in the past and open prostatectomy due to prostate cancer. </w:t>
      </w:r>
    </w:p>
    <w:p w14:paraId="01984187" w14:textId="77777777" w:rsidR="00117B66" w:rsidRDefault="00117B66">
      <w:pPr>
        <w:spacing w:line="360" w:lineRule="auto"/>
        <w:jc w:val="both"/>
      </w:pPr>
    </w:p>
    <w:p w14:paraId="4916847A" w14:textId="77777777" w:rsidR="00117B66" w:rsidRDefault="000417EB">
      <w:pPr>
        <w:spacing w:line="360" w:lineRule="auto"/>
        <w:jc w:val="both"/>
      </w:pPr>
      <w:r>
        <w:rPr>
          <w:rFonts w:ascii="Book Antiqua" w:eastAsia="Book Antiqua" w:hAnsi="Book Antiqua" w:cs="Book Antiqua"/>
          <w:b/>
          <w:i/>
          <w:color w:val="000000"/>
        </w:rPr>
        <w:t>Personal and family history</w:t>
      </w:r>
    </w:p>
    <w:p w14:paraId="7FE50B24" w14:textId="763990DA" w:rsidR="00117B66" w:rsidRDefault="000417EB">
      <w:pPr>
        <w:spacing w:line="360" w:lineRule="auto"/>
        <w:jc w:val="both"/>
      </w:pPr>
      <w:r>
        <w:rPr>
          <w:rFonts w:ascii="Book Antiqua" w:eastAsia="Book Antiqua" w:hAnsi="Book Antiqua" w:cs="Book Antiqua"/>
          <w:color w:val="000000"/>
        </w:rPr>
        <w:t xml:space="preserve">The patient had no family history that was related to </w:t>
      </w:r>
      <w:r w:rsidR="006F5522">
        <w:rPr>
          <w:rFonts w:ascii="Book Antiqua" w:eastAsia="Book Antiqua" w:hAnsi="Book Antiqua" w:cs="Book Antiqua"/>
          <w:color w:val="000000"/>
        </w:rPr>
        <w:t xml:space="preserve">the </w:t>
      </w:r>
      <w:r>
        <w:rPr>
          <w:rFonts w:ascii="Book Antiqua" w:eastAsia="Book Antiqua" w:hAnsi="Book Antiqua" w:cs="Book Antiqua"/>
          <w:color w:val="000000"/>
        </w:rPr>
        <w:t>present illness.</w:t>
      </w:r>
    </w:p>
    <w:p w14:paraId="10E9730B" w14:textId="77777777" w:rsidR="00117B66" w:rsidRDefault="00117B66">
      <w:pPr>
        <w:spacing w:line="360" w:lineRule="auto"/>
        <w:jc w:val="both"/>
      </w:pPr>
    </w:p>
    <w:p w14:paraId="66EF3659" w14:textId="77777777" w:rsidR="00117B66" w:rsidRDefault="000417EB">
      <w:pPr>
        <w:spacing w:line="360" w:lineRule="auto"/>
        <w:jc w:val="both"/>
      </w:pPr>
      <w:r>
        <w:rPr>
          <w:rFonts w:ascii="Book Antiqua" w:eastAsia="Book Antiqua" w:hAnsi="Book Antiqua" w:cs="Book Antiqua"/>
          <w:b/>
          <w:i/>
          <w:color w:val="000000"/>
        </w:rPr>
        <w:t>Physical examination</w:t>
      </w:r>
    </w:p>
    <w:p w14:paraId="0204EDDF" w14:textId="77777777" w:rsidR="00117B66" w:rsidRDefault="000417EB">
      <w:pPr>
        <w:spacing w:line="360" w:lineRule="auto"/>
        <w:jc w:val="both"/>
      </w:pPr>
      <w:r>
        <w:rPr>
          <w:rFonts w:ascii="Book Antiqua" w:eastAsia="Book Antiqua" w:hAnsi="Book Antiqua" w:cs="Book Antiqua"/>
          <w:color w:val="000000"/>
        </w:rPr>
        <w:t xml:space="preserve">On admission, the patient showed clear signs of malnutrition and systemic inflammation with jugular and cervical phlegmon. </w:t>
      </w:r>
    </w:p>
    <w:p w14:paraId="122628F4" w14:textId="77777777" w:rsidR="00117B66" w:rsidRDefault="00117B66">
      <w:pPr>
        <w:spacing w:line="360" w:lineRule="auto"/>
        <w:jc w:val="both"/>
      </w:pPr>
    </w:p>
    <w:p w14:paraId="5CFDE12C" w14:textId="77777777" w:rsidR="00117B66" w:rsidRDefault="000417EB">
      <w:pPr>
        <w:spacing w:line="360" w:lineRule="auto"/>
        <w:jc w:val="both"/>
      </w:pPr>
      <w:r>
        <w:rPr>
          <w:rFonts w:ascii="Book Antiqua" w:eastAsia="Book Antiqua" w:hAnsi="Book Antiqua" w:cs="Book Antiqua"/>
          <w:b/>
          <w:i/>
          <w:color w:val="000000"/>
        </w:rPr>
        <w:t>Laboratory examinations</w:t>
      </w:r>
    </w:p>
    <w:p w14:paraId="12B43F3C" w14:textId="77777777" w:rsidR="00117B66" w:rsidRDefault="000417EB">
      <w:pPr>
        <w:spacing w:line="360" w:lineRule="auto"/>
        <w:jc w:val="both"/>
      </w:pPr>
      <w:r>
        <w:rPr>
          <w:rFonts w:ascii="Book Antiqua" w:eastAsia="Book Antiqua" w:hAnsi="Book Antiqua" w:cs="Book Antiqua"/>
          <w:color w:val="000000"/>
        </w:rPr>
        <w:t>Initial laboratory data revealed a hemoglobin level of 6.7 g/dL, white blood cell count of 6400 cells/μL, and platelet count of 210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/μL. The creatinine level was 0.76 mg/dL, unremarkable liver and cholestasis parameters, and albumin level was 2.8 g/dL.</w:t>
      </w:r>
    </w:p>
    <w:p w14:paraId="27EAAA01" w14:textId="77777777" w:rsidR="00117B66" w:rsidRDefault="00117B66">
      <w:pPr>
        <w:spacing w:line="360" w:lineRule="auto"/>
        <w:jc w:val="both"/>
      </w:pPr>
    </w:p>
    <w:p w14:paraId="7088AD98" w14:textId="77777777" w:rsidR="00117B66" w:rsidRDefault="000417EB">
      <w:pPr>
        <w:spacing w:line="360" w:lineRule="auto"/>
        <w:jc w:val="both"/>
      </w:pPr>
      <w:r>
        <w:rPr>
          <w:rFonts w:ascii="Book Antiqua" w:eastAsia="Book Antiqua" w:hAnsi="Book Antiqua" w:cs="Book Antiqua"/>
          <w:b/>
          <w:i/>
          <w:color w:val="000000"/>
        </w:rPr>
        <w:t>Imaging examinations</w:t>
      </w:r>
    </w:p>
    <w:p w14:paraId="46789A21" w14:textId="77777777" w:rsidR="00117B66" w:rsidRDefault="000417EB">
      <w:pPr>
        <w:spacing w:line="360" w:lineRule="auto"/>
        <w:jc w:val="both"/>
      </w:pPr>
      <w:r>
        <w:rPr>
          <w:rFonts w:ascii="Book Antiqua" w:eastAsia="Book Antiqua" w:hAnsi="Book Antiqua" w:cs="Book Antiqua"/>
          <w:color w:val="000000"/>
        </w:rPr>
        <w:t>A chest computed tomography (CT)</w:t>
      </w:r>
      <w:r w:rsidR="00E26451">
        <w:rPr>
          <w:rFonts w:ascii="Book Antiqua" w:eastAsia="Book Antiqua" w:hAnsi="Book Antiqua" w:cs="Book Antiqua"/>
          <w:color w:val="000000"/>
        </w:rPr>
        <w:t xml:space="preserve"> </w:t>
      </w:r>
      <w:r>
        <w:rPr>
          <w:rFonts w:ascii="Book Antiqua" w:eastAsia="Book Antiqua" w:hAnsi="Book Antiqua" w:cs="Book Antiqua"/>
          <w:color w:val="000000"/>
        </w:rPr>
        <w:t>scan and endoscopy revealed a dislodged esophageal stent, with the proximal flare abutting an extraesophageal air and fluid-filled cavity (Figure 1). During stent removal, a partially epithelialized esophageal perforation 2 cm distal to the pharynx with an infected cavity (Figure 1B and</w:t>
      </w:r>
      <w:r w:rsidR="008855CA">
        <w:rPr>
          <w:rFonts w:ascii="Book Antiqua" w:eastAsia="Book Antiqua" w:hAnsi="Book Antiqua" w:cs="Book Antiqua"/>
          <w:color w:val="000000"/>
        </w:rPr>
        <w:t xml:space="preserve"> </w:t>
      </w:r>
      <w:r>
        <w:rPr>
          <w:rFonts w:ascii="Book Antiqua" w:eastAsia="Book Antiqua" w:hAnsi="Book Antiqua" w:cs="Book Antiqua"/>
          <w:color w:val="000000"/>
        </w:rPr>
        <w:t>C) as well as a 5 cm-long stenosis of the remaining esophagus were detected.</w:t>
      </w:r>
    </w:p>
    <w:p w14:paraId="1BBDABD9" w14:textId="77777777" w:rsidR="00117B66" w:rsidRDefault="00117B66">
      <w:pPr>
        <w:spacing w:line="360" w:lineRule="auto"/>
        <w:jc w:val="both"/>
      </w:pPr>
    </w:p>
    <w:p w14:paraId="56765EBA" w14:textId="77777777" w:rsidR="00117B66" w:rsidRDefault="000417EB">
      <w:pPr>
        <w:spacing w:line="360" w:lineRule="auto"/>
        <w:jc w:val="both"/>
      </w:pPr>
      <w:r>
        <w:rPr>
          <w:rFonts w:ascii="Book Antiqua" w:eastAsia="Book Antiqua" w:hAnsi="Book Antiqua" w:cs="Book Antiqua"/>
          <w:b/>
          <w:caps/>
          <w:color w:val="000000"/>
          <w:u w:val="single"/>
        </w:rPr>
        <w:t>FINAL DIAGNOSIS</w:t>
      </w:r>
    </w:p>
    <w:p w14:paraId="161CD692" w14:textId="77777777" w:rsidR="00117B66" w:rsidRDefault="000417EB">
      <w:pPr>
        <w:spacing w:line="360" w:lineRule="auto"/>
        <w:jc w:val="both"/>
      </w:pPr>
      <w:r>
        <w:rPr>
          <w:rFonts w:ascii="Book Antiqua" w:eastAsia="Book Antiqua" w:hAnsi="Book Antiqua" w:cs="Book Antiqua"/>
          <w:color w:val="000000"/>
        </w:rPr>
        <w:t xml:space="preserve">Diagnosis of cervical esophagocutaneous fistula and anastomotic stenosis after GPU with signs of chronic malnutrition and systemic inflammation. </w:t>
      </w:r>
    </w:p>
    <w:p w14:paraId="6B606013" w14:textId="77777777" w:rsidR="00117B66" w:rsidRDefault="00117B66">
      <w:pPr>
        <w:spacing w:line="360" w:lineRule="auto"/>
        <w:jc w:val="both"/>
      </w:pPr>
    </w:p>
    <w:p w14:paraId="6B52AC37" w14:textId="77777777" w:rsidR="00117B66" w:rsidRDefault="000417EB">
      <w:pPr>
        <w:spacing w:line="360" w:lineRule="auto"/>
        <w:jc w:val="both"/>
      </w:pPr>
      <w:r>
        <w:rPr>
          <w:rFonts w:ascii="Book Antiqua" w:eastAsia="Book Antiqua" w:hAnsi="Book Antiqua" w:cs="Book Antiqua"/>
          <w:b/>
          <w:caps/>
          <w:color w:val="000000"/>
          <w:u w:val="single"/>
        </w:rPr>
        <w:lastRenderedPageBreak/>
        <w:t>TREATMENT</w:t>
      </w:r>
    </w:p>
    <w:p w14:paraId="5DA5A8CC" w14:textId="77777777" w:rsidR="00117B66" w:rsidRDefault="000417EB">
      <w:pPr>
        <w:spacing w:line="360" w:lineRule="auto"/>
        <w:jc w:val="both"/>
      </w:pPr>
      <w:r>
        <w:rPr>
          <w:rFonts w:ascii="Book Antiqua" w:eastAsia="Book Antiqua" w:hAnsi="Book Antiqua" w:cs="Book Antiqua"/>
          <w:color w:val="000000"/>
        </w:rPr>
        <w:t>The patient received calculated antibiotic treatment and was transferred to the intensive care unit. An immediate endoscopy was carried out, and the dislocated stent (partially covered metal stent, length 80 mm, diameter 18 mm) was removed. Endoscopy showed an old, partially epithelialized and wide esophageal perforation 2 cm distal of the pharynx with an infected cavity behind it. Distal of the fistula, a long-segment (5 cm) stenosis of the esophagus ranging up to the esophago-gastrostomy was confirmed. Notably, the perforation and the fistula cavity were likely to be a secondary injury due to the dislocated cervical stent tulip (diameter 24 mm). After pus evacuation and debridement of the fistula, a fully covered self-expanding metal stent (length 100 mm, diameter 20 mm) was inserted in order to cover the fistula and to treat the stenosis. Due to an expected long-term course, a percutaneous jejunal feeding catheter was surgically inserted to ensure sufficient enteral nutrition. The first re-endoscopy revealed a slippage of the stent so that the cranial fistula ostium was not sufficiently covered. The stent position was successfully corrected but dislocated again during follow-up.</w:t>
      </w:r>
    </w:p>
    <w:p w14:paraId="37498CD3" w14:textId="035971E1" w:rsidR="00117B66" w:rsidRDefault="000417EB">
      <w:pPr>
        <w:spacing w:line="360" w:lineRule="auto"/>
        <w:ind w:firstLine="480"/>
        <w:jc w:val="both"/>
      </w:pPr>
      <w:r>
        <w:rPr>
          <w:rFonts w:ascii="Book Antiqua" w:eastAsia="Book Antiqua" w:hAnsi="Book Antiqua" w:cs="Book Antiqua"/>
          <w:color w:val="000000"/>
        </w:rPr>
        <w:t>Thus, endoscopic management was switched to EVT. An EsoSponge system (B. Braun Melsungen, Germany) was placed into the esophago-cutaneous fistula ostium (cavity). The jugular and cervical phlegmon resolved during EVT within two weeks and repeated endoscopic balloon dilatation was performed to resolve the esophageal stenosis. However, it became obvious that endoscopic management could</w:t>
      </w:r>
      <w:r w:rsidR="00FC7B1D">
        <w:rPr>
          <w:rFonts w:ascii="Book Antiqua" w:eastAsia="Book Antiqua" w:hAnsi="Book Antiqua" w:cs="Book Antiqua"/>
          <w:color w:val="000000"/>
        </w:rPr>
        <w:t xml:space="preserve"> </w:t>
      </w:r>
      <w:r>
        <w:rPr>
          <w:rFonts w:ascii="Book Antiqua" w:eastAsia="Book Antiqua" w:hAnsi="Book Antiqua" w:cs="Book Antiqua"/>
          <w:color w:val="000000"/>
        </w:rPr>
        <w:t>n</w:t>
      </w:r>
      <w:r w:rsidR="00FC7B1D">
        <w:rPr>
          <w:rFonts w:ascii="Book Antiqua" w:eastAsia="Book Antiqua" w:hAnsi="Book Antiqua" w:cs="Book Antiqua"/>
          <w:color w:val="000000"/>
        </w:rPr>
        <w:t>o</w:t>
      </w:r>
      <w:r>
        <w:rPr>
          <w:rFonts w:ascii="Book Antiqua" w:eastAsia="Book Antiqua" w:hAnsi="Book Antiqua" w:cs="Book Antiqua"/>
          <w:color w:val="000000"/>
        </w:rPr>
        <w:t>t resolve the broad and rigid fistula with the concomitant partially obliterated esophagus. The issue was discussed interdisciplinarily and the therapeutic aim of endoscopy was redefined: Profound consolidation of the cervical infection and cleaning of the fistula cavity until salvage surgery (Figure 1D).</w:t>
      </w:r>
    </w:p>
    <w:p w14:paraId="1BAC5804" w14:textId="1B4C5330" w:rsidR="00117B66" w:rsidRDefault="000417EB">
      <w:pPr>
        <w:spacing w:line="360" w:lineRule="auto"/>
        <w:ind w:firstLine="480"/>
        <w:jc w:val="both"/>
      </w:pPr>
      <w:r>
        <w:rPr>
          <w:rFonts w:ascii="Book Antiqua" w:eastAsia="Book Antiqua" w:hAnsi="Book Antiqua" w:cs="Book Antiqua"/>
          <w:color w:val="000000"/>
        </w:rPr>
        <w:t xml:space="preserve">The cervical phlegmon resolved within two weeks, allowing subtotal esophageal resection and reconstruction using a free-jejunal graft interposition according to Ott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Pre-operative work up included CT angiography to establish </w:t>
      </w:r>
      <w:r w:rsidR="00FC7B1D">
        <w:rPr>
          <w:rFonts w:ascii="Book Antiqua" w:eastAsia="Book Antiqua" w:hAnsi="Book Antiqua" w:cs="Book Antiqua"/>
          <w:color w:val="000000"/>
        </w:rPr>
        <w:t xml:space="preserve">the </w:t>
      </w:r>
      <w:r>
        <w:rPr>
          <w:rFonts w:ascii="Book Antiqua" w:eastAsia="Book Antiqua" w:hAnsi="Book Antiqua" w:cs="Book Antiqua"/>
          <w:color w:val="000000"/>
        </w:rPr>
        <w:t xml:space="preserve">feasibility of vascular reconstruction. Partial sternotomy was necessary to provide access to the esophagus and the stomach (Figure 2A). After resection of the cervical esophagus and </w:t>
      </w:r>
      <w:r>
        <w:rPr>
          <w:rFonts w:ascii="Book Antiqua" w:eastAsia="Book Antiqua" w:hAnsi="Book Antiqua" w:cs="Book Antiqua"/>
          <w:color w:val="000000"/>
        </w:rPr>
        <w:lastRenderedPageBreak/>
        <w:t>fistula, the exploration confirmed that the GPU could</w:t>
      </w:r>
      <w:r w:rsidR="00FC7B1D">
        <w:rPr>
          <w:rFonts w:ascii="Book Antiqua" w:eastAsia="Book Antiqua" w:hAnsi="Book Antiqua" w:cs="Book Antiqua"/>
          <w:color w:val="000000"/>
        </w:rPr>
        <w:t xml:space="preserve"> </w:t>
      </w:r>
      <w:r>
        <w:rPr>
          <w:rFonts w:ascii="Book Antiqua" w:eastAsia="Book Antiqua" w:hAnsi="Book Antiqua" w:cs="Book Antiqua"/>
          <w:color w:val="000000"/>
        </w:rPr>
        <w:t>n</w:t>
      </w:r>
      <w:r w:rsidR="00FC7B1D">
        <w:rPr>
          <w:rFonts w:ascii="Book Antiqua" w:eastAsia="Book Antiqua" w:hAnsi="Book Antiqua" w:cs="Book Antiqua"/>
          <w:color w:val="000000"/>
        </w:rPr>
        <w:t>o</w:t>
      </w:r>
      <w:r>
        <w:rPr>
          <w:rFonts w:ascii="Book Antiqua" w:eastAsia="Book Antiqua" w:hAnsi="Book Antiqua" w:cs="Book Antiqua"/>
          <w:color w:val="000000"/>
        </w:rPr>
        <w:t>t be mobilized up to the pharynx. Thus, laparotomy was performed and a suitable jejunal segment was harvested. The left carotid artery and the left jugular vein were used as recipient vessels. The graft was implanted in an isoperistaltic position. The cervical anastomosis was performed in an end</w:t>
      </w:r>
      <w:r w:rsidR="00FC7B1D">
        <w:rPr>
          <w:rFonts w:ascii="Book Antiqua" w:eastAsia="Book Antiqua" w:hAnsi="Book Antiqua" w:cs="Book Antiqua"/>
          <w:color w:val="000000"/>
        </w:rPr>
        <w:t>-</w:t>
      </w:r>
      <w:r>
        <w:rPr>
          <w:rFonts w:ascii="Book Antiqua" w:eastAsia="Book Antiqua" w:hAnsi="Book Antiqua" w:cs="Book Antiqua"/>
          <w:color w:val="000000"/>
        </w:rPr>
        <w:t>to</w:t>
      </w:r>
      <w:r w:rsidR="00FC7B1D">
        <w:rPr>
          <w:rFonts w:ascii="Book Antiqua" w:eastAsia="Book Antiqua" w:hAnsi="Book Antiqua" w:cs="Book Antiqua"/>
          <w:color w:val="000000"/>
        </w:rPr>
        <w:t>-</w:t>
      </w:r>
      <w:r>
        <w:rPr>
          <w:rFonts w:ascii="Book Antiqua" w:eastAsia="Book Antiqua" w:hAnsi="Book Antiqua" w:cs="Book Antiqua"/>
          <w:color w:val="000000"/>
        </w:rPr>
        <w:t>end fashion and the upper mediastinal gastro-jejunostomy in a side-to-side fashion (Figure 2B). A part of the upper sternum was resected to avoid any pressure on the graft and gastrojejunostomy. The soft tissue defect was covered with a sternocleidomastoid muscle flap. Abdominal reconstruction was achieved by an end</w:t>
      </w:r>
      <w:r w:rsidR="003547BA">
        <w:rPr>
          <w:rFonts w:ascii="Book Antiqua" w:eastAsia="Book Antiqua" w:hAnsi="Book Antiqua" w:cs="Book Antiqua"/>
          <w:color w:val="000000"/>
        </w:rPr>
        <w:t>-</w:t>
      </w:r>
      <w:r>
        <w:rPr>
          <w:rFonts w:ascii="Book Antiqua" w:eastAsia="Book Antiqua" w:hAnsi="Book Antiqua" w:cs="Book Antiqua"/>
          <w:color w:val="000000"/>
        </w:rPr>
        <w:t>to</w:t>
      </w:r>
      <w:r w:rsidR="003547BA">
        <w:rPr>
          <w:rFonts w:ascii="Book Antiqua" w:eastAsia="Book Antiqua" w:hAnsi="Book Antiqua" w:cs="Book Antiqua"/>
          <w:color w:val="000000"/>
        </w:rPr>
        <w:t>-</w:t>
      </w:r>
      <w:r>
        <w:rPr>
          <w:rFonts w:ascii="Book Antiqua" w:eastAsia="Book Antiqua" w:hAnsi="Book Antiqua" w:cs="Book Antiqua"/>
          <w:color w:val="000000"/>
        </w:rPr>
        <w:t>end jejunojejunostomy.</w:t>
      </w:r>
    </w:p>
    <w:p w14:paraId="3DB9515E" w14:textId="77777777" w:rsidR="00117B66" w:rsidRDefault="00117B66">
      <w:pPr>
        <w:spacing w:line="360" w:lineRule="auto"/>
        <w:ind w:firstLine="480"/>
        <w:jc w:val="both"/>
      </w:pPr>
    </w:p>
    <w:p w14:paraId="09735AAB" w14:textId="77777777" w:rsidR="00117B66" w:rsidRDefault="000417EB">
      <w:pPr>
        <w:spacing w:line="360" w:lineRule="auto"/>
        <w:jc w:val="both"/>
      </w:pPr>
      <w:r>
        <w:rPr>
          <w:rFonts w:ascii="Book Antiqua" w:eastAsia="Book Antiqua" w:hAnsi="Book Antiqua" w:cs="Book Antiqua"/>
          <w:b/>
          <w:caps/>
          <w:color w:val="000000"/>
          <w:u w:val="single"/>
        </w:rPr>
        <w:t>OUTCOME AND FOLLOW-UP</w:t>
      </w:r>
    </w:p>
    <w:p w14:paraId="296A0B98" w14:textId="77777777" w:rsidR="00117B66" w:rsidRDefault="000417EB">
      <w:pPr>
        <w:spacing w:line="360" w:lineRule="auto"/>
        <w:jc w:val="both"/>
      </w:pPr>
      <w:r>
        <w:rPr>
          <w:rFonts w:ascii="Book Antiqua" w:eastAsia="Book Antiqua" w:hAnsi="Book Antiqua" w:cs="Book Antiqua"/>
          <w:color w:val="000000"/>
        </w:rPr>
        <w:t>The postoperative course was uneventful. Oral alimentation was reestablished accompanied with daily speech therapy. Anastomotic healing was confirmed radiologically and endoscopically and the patient was transferred to a rehabilitation clinic in good clinical condition.</w:t>
      </w:r>
    </w:p>
    <w:p w14:paraId="644B85E8" w14:textId="77777777" w:rsidR="00117B66" w:rsidRDefault="00117B66">
      <w:pPr>
        <w:spacing w:line="360" w:lineRule="auto"/>
        <w:jc w:val="both"/>
      </w:pPr>
    </w:p>
    <w:p w14:paraId="405CFE42" w14:textId="77777777" w:rsidR="00117B66" w:rsidRDefault="000417EB">
      <w:pPr>
        <w:spacing w:line="360" w:lineRule="auto"/>
        <w:jc w:val="both"/>
      </w:pPr>
      <w:r>
        <w:rPr>
          <w:rFonts w:ascii="Book Antiqua" w:eastAsia="Book Antiqua" w:hAnsi="Book Antiqua" w:cs="Book Antiqua"/>
          <w:b/>
          <w:caps/>
          <w:color w:val="000000"/>
          <w:u w:val="single"/>
        </w:rPr>
        <w:t>DISCUSSION</w:t>
      </w:r>
    </w:p>
    <w:p w14:paraId="4A92EFCF" w14:textId="77777777" w:rsidR="00117B66" w:rsidRDefault="000417EB">
      <w:pPr>
        <w:spacing w:line="360" w:lineRule="auto"/>
        <w:jc w:val="both"/>
      </w:pPr>
      <w:r>
        <w:rPr>
          <w:rFonts w:ascii="Book Antiqua" w:eastAsia="Book Antiqua" w:hAnsi="Book Antiqua" w:cs="Book Antiqua"/>
          <w:color w:val="000000"/>
        </w:rPr>
        <w:t>Esophagectomy with diversion and later reconstruction of the upper gastrointestinal (GI) tract is reserved for complex esophageal disease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Despite numerous advantages over alternative reconstruction techniques, anastomotic complications following GPU procedures occur in up to 12% of cases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0206BD22" w14:textId="05C27531" w:rsidR="00117B66" w:rsidRDefault="000417EB">
      <w:pPr>
        <w:spacing w:line="360" w:lineRule="auto"/>
        <w:ind w:firstLine="240"/>
        <w:jc w:val="both"/>
      </w:pPr>
      <w:r>
        <w:rPr>
          <w:rFonts w:ascii="Book Antiqua" w:eastAsia="Book Antiqua" w:hAnsi="Book Antiqua" w:cs="Book Antiqua"/>
          <w:color w:val="000000"/>
        </w:rPr>
        <w:t>Managing anastomotic leakage or stricture of GPU can be extremely challenging because of local tissue damage from previous surgery or chronic infection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Endoscopic management of leaks, fistulas and stenosis in the upper GI tract has therefore not only become a valuable tool, but the standard approach for successful management even in complex situations</w:t>
      </w:r>
      <w:r>
        <w:rPr>
          <w:rFonts w:ascii="Book Antiqua" w:eastAsia="Book Antiqua" w:hAnsi="Book Antiqua" w:cs="Book Antiqua"/>
          <w:color w:val="000000"/>
          <w:szCs w:val="30"/>
          <w:vertAlign w:val="superscript"/>
        </w:rPr>
        <w:t>[8</w:t>
      </w:r>
      <w:r w:rsidR="0094442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Here, it is extremely important to carefully consider and constantly evaluate the local tissue and wound conditions. In our case, the constant pressure caused by the stent itself may have further deteriorated the </w:t>
      </w:r>
      <w:r>
        <w:rPr>
          <w:rFonts w:ascii="Book Antiqua" w:eastAsia="Book Antiqua" w:hAnsi="Book Antiqua" w:cs="Book Antiqua"/>
          <w:color w:val="000000"/>
        </w:rPr>
        <w:lastRenderedPageBreak/>
        <w:t>esophageal wall and, thus, may have caused perforation and fistula with abscess formation since no external drainage ha</w:t>
      </w:r>
      <w:r w:rsidR="00FC7B1D">
        <w:rPr>
          <w:rFonts w:ascii="Book Antiqua" w:eastAsia="Book Antiqua" w:hAnsi="Book Antiqua" w:cs="Book Antiqua"/>
          <w:color w:val="000000"/>
        </w:rPr>
        <w:t>d</w:t>
      </w:r>
      <w:r>
        <w:rPr>
          <w:rFonts w:ascii="Book Antiqua" w:eastAsia="Book Antiqua" w:hAnsi="Book Antiqua" w:cs="Book Antiqua"/>
          <w:color w:val="000000"/>
        </w:rPr>
        <w:t xml:space="preserve"> been established.</w:t>
      </w:r>
    </w:p>
    <w:p w14:paraId="5792682A" w14:textId="101680BE" w:rsidR="00117B66" w:rsidRDefault="000417EB">
      <w:pPr>
        <w:spacing w:line="360" w:lineRule="auto"/>
        <w:ind w:firstLine="240"/>
        <w:jc w:val="both"/>
      </w:pPr>
      <w:r>
        <w:rPr>
          <w:rFonts w:ascii="Book Antiqua" w:eastAsia="Book Antiqua" w:hAnsi="Book Antiqua" w:cs="Book Antiqua"/>
          <w:color w:val="000000"/>
        </w:rPr>
        <w:t>The surgical options available for the management of a complicated GPU procedure are limited and usually contain a high risk of morbidity and mortality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Esophageal reconstruction with a free jejunal graft was introduced by Seidenberg and colleagues in 1959 and later modified by Siewert and colleagues in 2008 for treating cancer of the cervical esophagus</w:t>
      </w:r>
      <w:r>
        <w:rPr>
          <w:rFonts w:ascii="Book Antiqua" w:eastAsia="Book Antiqua" w:hAnsi="Book Antiqua" w:cs="Book Antiqua"/>
          <w:color w:val="000000"/>
          <w:szCs w:val="30"/>
          <w:vertAlign w:val="superscript"/>
        </w:rPr>
        <w:t>[4,10]</w:t>
      </w:r>
      <w:r>
        <w:rPr>
          <w:rFonts w:ascii="Book Antiqua" w:eastAsia="Book Antiqua" w:hAnsi="Book Antiqua" w:cs="Book Antiqua"/>
          <w:color w:val="000000"/>
        </w:rPr>
        <w:t>. The use of a salvage option after failed GPU has also been described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Recent data regarding follow</w:t>
      </w:r>
      <w:r w:rsidR="00FC7B1D">
        <w:rPr>
          <w:rFonts w:ascii="Book Antiqua" w:eastAsia="Book Antiqua" w:hAnsi="Book Antiqua" w:cs="Book Antiqua"/>
          <w:color w:val="000000"/>
        </w:rPr>
        <w:t>-</w:t>
      </w:r>
      <w:r>
        <w:rPr>
          <w:rFonts w:ascii="Book Antiqua" w:eastAsia="Book Antiqua" w:hAnsi="Book Antiqua" w:cs="Book Antiqua"/>
          <w:color w:val="000000"/>
        </w:rPr>
        <w:t>up results in esophageal reconstruction strongly suggest the superiority of intestinal flaps over other reconstructions such as skin flaps.</w:t>
      </w:r>
    </w:p>
    <w:p w14:paraId="26B2F08C" w14:textId="77777777" w:rsidR="00117B66" w:rsidRDefault="000417EB">
      <w:pPr>
        <w:spacing w:line="360" w:lineRule="auto"/>
        <w:ind w:firstLine="240"/>
        <w:jc w:val="both"/>
      </w:pPr>
      <w:r>
        <w:rPr>
          <w:rFonts w:ascii="Book Antiqua" w:eastAsia="Book Antiqua" w:hAnsi="Book Antiqua" w:cs="Book Antiqua"/>
          <w:color w:val="000000"/>
        </w:rPr>
        <w:t>High failure rates for secondary attempts after failed esophageal reconstruction have been described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with a complication rate in excess of 70%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free jejunal grafts have considerable advantages. They are usually easy to harvest, provide low donor‐site morbidity, have good size approximation to the cervical esophagus, tolerate reflux well, and have a low rate of peptic ulceration incidence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Disadvantages include the need for transient ischemia that requires advanced microsurgical skills for swift revascularization and a challenging surgical site environment because of previous surgery and infection. </w:t>
      </w:r>
    </w:p>
    <w:p w14:paraId="39C2FACF" w14:textId="77777777" w:rsidR="00117B66" w:rsidRDefault="00117B66" w:rsidP="0094442A">
      <w:pPr>
        <w:spacing w:line="360" w:lineRule="auto"/>
        <w:jc w:val="both"/>
      </w:pPr>
    </w:p>
    <w:p w14:paraId="081CA9C6" w14:textId="77777777" w:rsidR="00117B66" w:rsidRDefault="000417EB">
      <w:pPr>
        <w:spacing w:line="360" w:lineRule="auto"/>
        <w:jc w:val="both"/>
      </w:pPr>
      <w:r>
        <w:rPr>
          <w:rFonts w:ascii="Book Antiqua" w:eastAsia="Book Antiqua" w:hAnsi="Book Antiqua" w:cs="Book Antiqua"/>
          <w:b/>
          <w:caps/>
          <w:color w:val="000000"/>
          <w:u w:val="single"/>
        </w:rPr>
        <w:t>CONCLUSION</w:t>
      </w:r>
    </w:p>
    <w:p w14:paraId="4EA9CAD9" w14:textId="77777777" w:rsidR="00117B66" w:rsidRDefault="000417EB">
      <w:pPr>
        <w:spacing w:line="360" w:lineRule="auto"/>
        <w:jc w:val="both"/>
      </w:pPr>
      <w:r>
        <w:rPr>
          <w:rFonts w:ascii="Book Antiqua" w:eastAsia="Book Antiqua" w:hAnsi="Book Antiqua" w:cs="Book Antiqua"/>
          <w:color w:val="000000"/>
        </w:rPr>
        <w:t>A multidisciplinary approach involving interventional endoscopists and surgeons was necessary to enable successful salvage management. Despite prior complications, operations and chronic infection, restoration and reconstruction of the esophagus was ultimately achieved (Figure 3). Thus, patients with chronic postoperative fistulas or stenoses of the esophagus should be referred to specialized centers in a timely manner.</w:t>
      </w:r>
    </w:p>
    <w:p w14:paraId="62D7D054" w14:textId="77777777" w:rsidR="00117B66" w:rsidRDefault="00117B66">
      <w:pPr>
        <w:spacing w:line="360" w:lineRule="auto"/>
        <w:jc w:val="both"/>
      </w:pPr>
    </w:p>
    <w:p w14:paraId="0C601D21" w14:textId="77777777" w:rsidR="00117B66" w:rsidRDefault="000417EB">
      <w:pPr>
        <w:spacing w:line="360" w:lineRule="auto"/>
        <w:jc w:val="both"/>
      </w:pPr>
      <w:r>
        <w:rPr>
          <w:rFonts w:ascii="Book Antiqua" w:eastAsia="Book Antiqua" w:hAnsi="Book Antiqua" w:cs="Book Antiqua"/>
          <w:b/>
          <w:caps/>
          <w:color w:val="000000"/>
          <w:u w:val="single"/>
        </w:rPr>
        <w:t>ACKNOWLEDGEMENTS</w:t>
      </w:r>
    </w:p>
    <w:p w14:paraId="5E4A4311" w14:textId="77777777" w:rsidR="00117B66" w:rsidRDefault="000417EB">
      <w:pPr>
        <w:spacing w:line="360" w:lineRule="auto"/>
        <w:jc w:val="both"/>
      </w:pPr>
      <w:r>
        <w:rPr>
          <w:rFonts w:ascii="Book Antiqua" w:eastAsia="Book Antiqua" w:hAnsi="Book Antiqua" w:cs="Book Antiqua"/>
          <w:color w:val="000000"/>
          <w:szCs w:val="21"/>
          <w:shd w:val="clear" w:color="auto" w:fill="FFFFFF"/>
        </w:rPr>
        <w:t>We would like to thank Mrs. Anna Maria Kellersmann for preparation of Figure 3 and Dr. Mohammed Hankir for proofreading the manuscript.</w:t>
      </w:r>
    </w:p>
    <w:p w14:paraId="61FBD956" w14:textId="77777777" w:rsidR="00117B66" w:rsidRDefault="00117B66">
      <w:pPr>
        <w:spacing w:line="360" w:lineRule="auto"/>
        <w:jc w:val="both"/>
      </w:pPr>
    </w:p>
    <w:p w14:paraId="15CDA33E" w14:textId="77777777" w:rsidR="00117B66" w:rsidRDefault="000417EB">
      <w:pPr>
        <w:spacing w:line="360" w:lineRule="auto"/>
        <w:jc w:val="both"/>
      </w:pPr>
      <w:r>
        <w:rPr>
          <w:rFonts w:ascii="Book Antiqua" w:eastAsia="Book Antiqua" w:hAnsi="Book Antiqua" w:cs="Book Antiqua"/>
          <w:b/>
          <w:color w:val="000000"/>
        </w:rPr>
        <w:t>REFERENCES</w:t>
      </w:r>
    </w:p>
    <w:p w14:paraId="0CFC43B0" w14:textId="77777777" w:rsidR="00117B66" w:rsidRDefault="000417E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Okazaki M</w:t>
      </w:r>
      <w:r>
        <w:rPr>
          <w:rFonts w:ascii="Book Antiqua" w:eastAsia="Book Antiqua" w:hAnsi="Book Antiqua" w:cs="Book Antiqua"/>
          <w:color w:val="000000"/>
        </w:rPr>
        <w:t xml:space="preserve">, Asato H, Takushima A, Nakatsuka T, Ueda K, Harii K. Secondary reconstruction of failed esophageal reconstruction. </w:t>
      </w:r>
      <w:r>
        <w:rPr>
          <w:rFonts w:ascii="Book Antiqua" w:eastAsia="Book Antiqua" w:hAnsi="Book Antiqua" w:cs="Book Antiqua"/>
          <w:i/>
          <w:iCs/>
          <w:color w:val="000000"/>
        </w:rPr>
        <w:t>Ann Plast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530-537 [PMID: 15838216 DOI: 10.1097/01.sap.0000155280.50178.fc]</w:t>
      </w:r>
    </w:p>
    <w:p w14:paraId="44BD7953" w14:textId="77777777" w:rsidR="00117B66" w:rsidRDefault="000417E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Scognamiglio P</w:t>
      </w:r>
      <w:r>
        <w:rPr>
          <w:rFonts w:ascii="Book Antiqua" w:eastAsia="Book Antiqua" w:hAnsi="Book Antiqua" w:cs="Book Antiqua"/>
          <w:color w:val="000000"/>
        </w:rPr>
        <w:t xml:space="preserve">, Reeh M, Karstens K, Bellon E, Kantowski M, Schön G, Zapf A, Chon SH, Izbicki JR, Tachezy M. Endoscopic vacuum 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stenting for postoperative esophago-enteric anastomotic leakage: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632-642 [PMID: 32316043 DOI: 10.1055/a-1149-1741]</w:t>
      </w:r>
    </w:p>
    <w:p w14:paraId="33E43C72" w14:textId="77777777" w:rsidR="00117B66" w:rsidRDefault="000417E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Moore JM</w:t>
      </w:r>
      <w:r>
        <w:rPr>
          <w:rFonts w:ascii="Book Antiqua" w:eastAsia="Book Antiqua" w:hAnsi="Book Antiqua" w:cs="Book Antiqua"/>
          <w:color w:val="000000"/>
        </w:rPr>
        <w:t xml:space="preserve">, Hooker CM, Molena D, Mungo B, Brock MV, Battafarano RJ, Yang SC. Complex Esophageal Reconstruction Procedures Have Acceptable Outcomes Compared With Routine Esophagectomy.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102</w:t>
      </w:r>
      <w:r>
        <w:rPr>
          <w:rFonts w:ascii="Book Antiqua" w:eastAsia="Book Antiqua" w:hAnsi="Book Antiqua" w:cs="Book Antiqua"/>
          <w:color w:val="000000"/>
        </w:rPr>
        <w:t>: 215-222 [PMID: 27217296 DOI: 10.1016/j.athoracsur.2016.02.039]</w:t>
      </w:r>
    </w:p>
    <w:p w14:paraId="55EFAC57" w14:textId="77777777" w:rsidR="00117B66" w:rsidRDefault="000417E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Ott K</w:t>
      </w:r>
      <w:r>
        <w:rPr>
          <w:rFonts w:ascii="Book Antiqua" w:eastAsia="Book Antiqua" w:hAnsi="Book Antiqua" w:cs="Book Antiqua"/>
          <w:color w:val="000000"/>
        </w:rPr>
        <w:t xml:space="preserve">, Lordick F, Molls M, Bartels H, Biemer E, Siewert JR. Limited resection and free jejunal graft interposition for squamous cell carcinoma of the cervical oesophagus.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96</w:t>
      </w:r>
      <w:r>
        <w:rPr>
          <w:rFonts w:ascii="Book Antiqua" w:eastAsia="Book Antiqua" w:hAnsi="Book Antiqua" w:cs="Book Antiqua"/>
          <w:color w:val="000000"/>
        </w:rPr>
        <w:t>: 258-266 [PMID: 19224522 DOI: 10.1002/bjs.6437]</w:t>
      </w:r>
    </w:p>
    <w:p w14:paraId="66B37805" w14:textId="77777777" w:rsidR="00117B66" w:rsidRDefault="000417E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DiPierro FV</w:t>
      </w:r>
      <w:r>
        <w:rPr>
          <w:rFonts w:ascii="Book Antiqua" w:eastAsia="Book Antiqua" w:hAnsi="Book Antiqua" w:cs="Book Antiqua"/>
          <w:color w:val="000000"/>
        </w:rPr>
        <w:t xml:space="preserve">, Rice TW, DeCamp MM, Rybicki LA, Blackstone EH. Esophagectomy and staged reconstruction. </w:t>
      </w:r>
      <w:r>
        <w:rPr>
          <w:rFonts w:ascii="Book Antiqua" w:eastAsia="Book Antiqua" w:hAnsi="Book Antiqua" w:cs="Book Antiqua"/>
          <w:i/>
          <w:iCs/>
          <w:color w:val="000000"/>
        </w:rPr>
        <w:t>Eur J Cardiothorac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17</w:t>
      </w:r>
      <w:r>
        <w:rPr>
          <w:rFonts w:ascii="Book Antiqua" w:eastAsia="Book Antiqua" w:hAnsi="Book Antiqua" w:cs="Book Antiqua"/>
          <w:color w:val="000000"/>
        </w:rPr>
        <w:t>: 702-709 [PMID: 10856863 DOI: 10.1016/s1010-7940(00)00408-5]</w:t>
      </w:r>
    </w:p>
    <w:p w14:paraId="0E103FAC" w14:textId="77777777" w:rsidR="00117B66" w:rsidRDefault="000417E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Butskiy O</w:t>
      </w:r>
      <w:r>
        <w:rPr>
          <w:rFonts w:ascii="Book Antiqua" w:eastAsia="Book Antiqua" w:hAnsi="Book Antiqua" w:cs="Book Antiqua"/>
          <w:color w:val="000000"/>
        </w:rPr>
        <w:t xml:space="preserve">, Rahmanian R, White RA, Durham S, Anderson DW, Prisman E. Revisiting the gastric pull-up for pharyngoesophageal reconstruction: A systematic review and meta-analysis of mortality and morbidity.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907-914 [PMID: 27774626 DOI: 10.1002/jso.24477]</w:t>
      </w:r>
    </w:p>
    <w:p w14:paraId="20675385" w14:textId="77777777" w:rsidR="00117B66" w:rsidRDefault="000417E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Suga H</w:t>
      </w:r>
      <w:r>
        <w:rPr>
          <w:rFonts w:ascii="Book Antiqua" w:eastAsia="Book Antiqua" w:hAnsi="Book Antiqua" w:cs="Book Antiqua"/>
          <w:color w:val="000000"/>
        </w:rPr>
        <w:t xml:space="preserve">, Okazaki M, Sarukawa S, Takushima A, Asato H. Free jejunal transfer for patients with a history of esophagectomy and gastric pull-up. </w:t>
      </w:r>
      <w:r>
        <w:rPr>
          <w:rFonts w:ascii="Book Antiqua" w:eastAsia="Book Antiqua" w:hAnsi="Book Antiqua" w:cs="Book Antiqua"/>
          <w:i/>
          <w:iCs/>
          <w:color w:val="000000"/>
        </w:rPr>
        <w:t>Ann Plast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58</w:t>
      </w:r>
      <w:r>
        <w:rPr>
          <w:rFonts w:ascii="Book Antiqua" w:eastAsia="Book Antiqua" w:hAnsi="Book Antiqua" w:cs="Book Antiqua"/>
          <w:color w:val="000000"/>
        </w:rPr>
        <w:t>: 182-185 [PMID: 17245146 DOI: 10.1097/01.sap.0000235432.09523.eb]</w:t>
      </w:r>
    </w:p>
    <w:p w14:paraId="36FBEB56" w14:textId="77777777" w:rsidR="00117B66" w:rsidRDefault="000417E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Laukoetter MG</w:t>
      </w:r>
      <w:r>
        <w:rPr>
          <w:rFonts w:ascii="Book Antiqua" w:eastAsia="Book Antiqua" w:hAnsi="Book Antiqua" w:cs="Book Antiqua"/>
          <w:color w:val="000000"/>
        </w:rPr>
        <w:t xml:space="preserve">, Mennigen R, Neumann PA, Dhayat S, Horst G, Palmes D, Senninger N, Vowinkel T. Successful closure of defects in the upper gastrointestinal tract by </w:t>
      </w:r>
      <w:r>
        <w:rPr>
          <w:rFonts w:ascii="Book Antiqua" w:eastAsia="Book Antiqua" w:hAnsi="Book Antiqua" w:cs="Book Antiqua"/>
          <w:color w:val="000000"/>
        </w:rPr>
        <w:lastRenderedPageBreak/>
        <w:t xml:space="preserve">endoscopic vacuum therapy (EVT): a prospective cohort study.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2687-2696 [PMID: 27709328 DOI: 10.1007/s00464-016-5265-3]</w:t>
      </w:r>
    </w:p>
    <w:p w14:paraId="798009CC" w14:textId="77777777" w:rsidR="00117B66" w:rsidRDefault="000417E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Seyfried F</w:t>
      </w:r>
      <w:r>
        <w:rPr>
          <w:rFonts w:ascii="Book Antiqua" w:eastAsia="Book Antiqua" w:hAnsi="Book Antiqua" w:cs="Book Antiqua"/>
          <w:color w:val="000000"/>
        </w:rPr>
        <w:t xml:space="preserve">, Reimer S, Miras AD, Kenn W, Germer CT, Scheurlen M, Jurowich C. Successful treatment of a gastric leak after bariatric surgery using endoluminal vacuum therapy.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 xml:space="preserve">45 </w:t>
      </w:r>
      <w:r>
        <w:rPr>
          <w:rFonts w:ascii="Book Antiqua" w:eastAsia="Book Antiqua" w:hAnsi="Book Antiqua" w:cs="Book Antiqua"/>
          <w:color w:val="000000"/>
        </w:rPr>
        <w:t>Suppl 2: E267-E268 [PMID: 24008459 DOI: 10.1055/s-0033-1344569]</w:t>
      </w:r>
    </w:p>
    <w:p w14:paraId="4004C2DB" w14:textId="77777777" w:rsidR="00117B66" w:rsidRDefault="000417E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w:t>
      </w:r>
      <w:r w:rsidR="00AD0341">
        <w:rPr>
          <w:rFonts w:ascii="Book Antiqua" w:eastAsia="Book Antiqua" w:hAnsi="Book Antiqua" w:cs="Book Antiqua"/>
          <w:b/>
          <w:bCs/>
          <w:color w:val="000000"/>
        </w:rPr>
        <w:t>eidenberg</w:t>
      </w:r>
      <w:r>
        <w:rPr>
          <w:rFonts w:ascii="Book Antiqua" w:eastAsia="Book Antiqua" w:hAnsi="Book Antiqua" w:cs="Book Antiqua"/>
          <w:b/>
          <w:bCs/>
          <w:color w:val="000000"/>
        </w:rPr>
        <w:t xml:space="preserve"> B</w:t>
      </w:r>
      <w:r>
        <w:rPr>
          <w:rFonts w:ascii="Book Antiqua" w:eastAsia="Book Antiqua" w:hAnsi="Book Antiqua" w:cs="Book Antiqua"/>
          <w:color w:val="000000"/>
        </w:rPr>
        <w:t>, R</w:t>
      </w:r>
      <w:r w:rsidR="00AD0341">
        <w:rPr>
          <w:rFonts w:ascii="Book Antiqua" w:eastAsia="Book Antiqua" w:hAnsi="Book Antiqua" w:cs="Book Antiqua"/>
          <w:color w:val="000000"/>
        </w:rPr>
        <w:t>osenak</w:t>
      </w:r>
      <w:r>
        <w:rPr>
          <w:rFonts w:ascii="Book Antiqua" w:eastAsia="Book Antiqua" w:hAnsi="Book Antiqua" w:cs="Book Antiqua"/>
          <w:color w:val="000000"/>
        </w:rPr>
        <w:t xml:space="preserve"> SS, H</w:t>
      </w:r>
      <w:r w:rsidR="00AD0341">
        <w:rPr>
          <w:rFonts w:ascii="Book Antiqua" w:eastAsia="Book Antiqua" w:hAnsi="Book Antiqua" w:cs="Book Antiqua"/>
          <w:color w:val="000000"/>
        </w:rPr>
        <w:t>urwitt</w:t>
      </w:r>
      <w:r>
        <w:rPr>
          <w:rFonts w:ascii="Book Antiqua" w:eastAsia="Book Antiqua" w:hAnsi="Book Antiqua" w:cs="Book Antiqua"/>
          <w:color w:val="000000"/>
        </w:rPr>
        <w:t xml:space="preserve"> ES, S</w:t>
      </w:r>
      <w:r w:rsidR="00AD0341">
        <w:rPr>
          <w:rFonts w:ascii="Book Antiqua" w:eastAsia="Book Antiqua" w:hAnsi="Book Antiqua" w:cs="Book Antiqua"/>
          <w:color w:val="000000"/>
        </w:rPr>
        <w:t>om</w:t>
      </w:r>
      <w:r>
        <w:rPr>
          <w:rFonts w:ascii="Book Antiqua" w:eastAsia="Book Antiqua" w:hAnsi="Book Antiqua" w:cs="Book Antiqua"/>
          <w:color w:val="000000"/>
        </w:rPr>
        <w:t xml:space="preserve"> ML. Immediate reconstruction of the cervical esophagus by a revascularized isolated jejunal segment.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1959; </w:t>
      </w:r>
      <w:r>
        <w:rPr>
          <w:rFonts w:ascii="Book Antiqua" w:eastAsia="Book Antiqua" w:hAnsi="Book Antiqua" w:cs="Book Antiqua"/>
          <w:b/>
          <w:bCs/>
          <w:color w:val="000000"/>
        </w:rPr>
        <w:t>149</w:t>
      </w:r>
      <w:r>
        <w:rPr>
          <w:rFonts w:ascii="Book Antiqua" w:eastAsia="Book Antiqua" w:hAnsi="Book Antiqua" w:cs="Book Antiqua"/>
          <w:color w:val="000000"/>
        </w:rPr>
        <w:t>: 162-171 [PMID: 13627972 DOI: 10.1097/00000658-195902000-00002]</w:t>
      </w:r>
    </w:p>
    <w:p w14:paraId="11B42D31" w14:textId="77777777" w:rsidR="00117B66" w:rsidRDefault="000417E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Sacak B</w:t>
      </w:r>
      <w:r>
        <w:rPr>
          <w:rFonts w:ascii="Book Antiqua" w:eastAsia="Book Antiqua" w:hAnsi="Book Antiqua" w:cs="Book Antiqua"/>
          <w:color w:val="000000"/>
        </w:rPr>
        <w:t xml:space="preserve">, Orfaniotis G, Nicoli F, Liu EW, Ciudad P, Chen SH, Chen HC. Back-up procedures following complicated gastric pull-up procedure for esophageal reconstruction: Salvage with intestinal flaps. </w:t>
      </w:r>
      <w:r>
        <w:rPr>
          <w:rFonts w:ascii="Book Antiqua" w:eastAsia="Book Antiqua" w:hAnsi="Book Antiqua" w:cs="Book Antiqua"/>
          <w:i/>
          <w:iCs/>
          <w:color w:val="000000"/>
        </w:rPr>
        <w:t>Microsurgery</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567-572 [PMID: 26679742 DOI: 10.1002/micr.22520]</w:t>
      </w:r>
    </w:p>
    <w:p w14:paraId="48367E47" w14:textId="77777777" w:rsidR="00117B66" w:rsidRDefault="000417E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Gaur P</w:t>
      </w:r>
      <w:r>
        <w:rPr>
          <w:rFonts w:ascii="Book Antiqua" w:eastAsia="Book Antiqua" w:hAnsi="Book Antiqua" w:cs="Book Antiqua"/>
          <w:color w:val="000000"/>
        </w:rPr>
        <w:t xml:space="preserve">, Blackmon SH. Jejunal graft conduits after esophagectomy. </w:t>
      </w:r>
      <w:r>
        <w:rPr>
          <w:rFonts w:ascii="Book Antiqua" w:eastAsia="Book Antiqua" w:hAnsi="Book Antiqua" w:cs="Book Antiqua"/>
          <w:i/>
          <w:iCs/>
          <w:color w:val="000000"/>
        </w:rPr>
        <w:t>J Thorac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6 </w:t>
      </w:r>
      <w:r>
        <w:rPr>
          <w:rFonts w:ascii="Book Antiqua" w:eastAsia="Book Antiqua" w:hAnsi="Book Antiqua" w:cs="Book Antiqua"/>
          <w:color w:val="000000"/>
        </w:rPr>
        <w:t>Suppl 3: S333-S340 [PMID: 24876939 DOI: 10.3978/j.issn.2072-1439.2014.05.07]</w:t>
      </w:r>
    </w:p>
    <w:p w14:paraId="6D973C96" w14:textId="77777777" w:rsidR="00117B66" w:rsidRDefault="00117B66">
      <w:pPr>
        <w:spacing w:line="360" w:lineRule="auto"/>
        <w:jc w:val="both"/>
        <w:sectPr w:rsidR="00117B66">
          <w:pgSz w:w="12240" w:h="15840"/>
          <w:pgMar w:top="1440" w:right="1440" w:bottom="1440" w:left="1440" w:header="720" w:footer="720" w:gutter="0"/>
          <w:cols w:space="720"/>
          <w:docGrid w:linePitch="360"/>
        </w:sectPr>
      </w:pPr>
    </w:p>
    <w:p w14:paraId="5DFC3BAE" w14:textId="77777777" w:rsidR="00117B66" w:rsidRDefault="000417EB">
      <w:pPr>
        <w:spacing w:line="360" w:lineRule="auto"/>
        <w:jc w:val="both"/>
      </w:pPr>
      <w:r>
        <w:rPr>
          <w:rFonts w:ascii="Book Antiqua" w:eastAsia="Book Antiqua" w:hAnsi="Book Antiqua" w:cs="Book Antiqua"/>
          <w:b/>
          <w:color w:val="000000"/>
        </w:rPr>
        <w:lastRenderedPageBreak/>
        <w:t>Footnotes</w:t>
      </w:r>
    </w:p>
    <w:p w14:paraId="308A5F59" w14:textId="77777777" w:rsidR="00117B66" w:rsidRDefault="000417E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A written consent for publication was obtained from the patient for all potentially identifiable clinical data and accompanying images. </w:t>
      </w:r>
    </w:p>
    <w:p w14:paraId="4778AAB4" w14:textId="77777777" w:rsidR="00117B66" w:rsidRDefault="00117B66">
      <w:pPr>
        <w:spacing w:line="360" w:lineRule="auto"/>
        <w:jc w:val="both"/>
      </w:pPr>
    </w:p>
    <w:p w14:paraId="7B399F44" w14:textId="77777777" w:rsidR="00117B66" w:rsidRDefault="000417E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C9FF8C6" w14:textId="77777777" w:rsidR="00117B66" w:rsidRDefault="00117B66">
      <w:pPr>
        <w:spacing w:line="360" w:lineRule="auto"/>
        <w:jc w:val="both"/>
      </w:pPr>
    </w:p>
    <w:p w14:paraId="5017B48C" w14:textId="77777777" w:rsidR="00117B66" w:rsidRDefault="000417E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763900" w14:textId="77777777" w:rsidR="00117B66" w:rsidRDefault="00117B66">
      <w:pPr>
        <w:spacing w:line="360" w:lineRule="auto"/>
        <w:jc w:val="both"/>
      </w:pPr>
    </w:p>
    <w:p w14:paraId="2A757C2F" w14:textId="77777777" w:rsidR="00117B66" w:rsidRDefault="000417E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29DFFA" w14:textId="77777777" w:rsidR="00117B66" w:rsidRDefault="00117B66">
      <w:pPr>
        <w:spacing w:line="360" w:lineRule="auto"/>
        <w:jc w:val="both"/>
      </w:pPr>
    </w:p>
    <w:p w14:paraId="79826FE7" w14:textId="77777777" w:rsidR="00117B66" w:rsidRDefault="000417E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F554B">
        <w:rPr>
          <w:rFonts w:ascii="Book Antiqua" w:eastAsia="Book Antiqua" w:hAnsi="Book Antiqua" w:cs="Book Antiqua"/>
          <w:color w:val="000000"/>
        </w:rPr>
        <w:t>m</w:t>
      </w:r>
      <w:r>
        <w:rPr>
          <w:rFonts w:ascii="Book Antiqua" w:eastAsia="Book Antiqua" w:hAnsi="Book Antiqua" w:cs="Book Antiqua"/>
          <w:color w:val="000000"/>
        </w:rPr>
        <w:t>anuscript</w:t>
      </w:r>
    </w:p>
    <w:p w14:paraId="1C0BFB50" w14:textId="77777777" w:rsidR="00117B66" w:rsidRDefault="00117B66">
      <w:pPr>
        <w:spacing w:line="360" w:lineRule="auto"/>
        <w:jc w:val="both"/>
      </w:pPr>
    </w:p>
    <w:p w14:paraId="12B4F26C" w14:textId="77777777" w:rsidR="00117B66" w:rsidRDefault="000417E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42C4E237" w14:textId="77777777" w:rsidR="00117B66" w:rsidRDefault="000417E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16272EAD" w14:textId="77777777" w:rsidR="00117B66" w:rsidRDefault="000417EB">
      <w:pPr>
        <w:spacing w:line="360" w:lineRule="auto"/>
        <w:jc w:val="both"/>
      </w:pPr>
      <w:r>
        <w:rPr>
          <w:rFonts w:ascii="Book Antiqua" w:eastAsia="Book Antiqua" w:hAnsi="Book Antiqua" w:cs="Book Antiqua"/>
          <w:b/>
          <w:color w:val="000000"/>
        </w:rPr>
        <w:t xml:space="preserve">Article in press: </w:t>
      </w:r>
    </w:p>
    <w:p w14:paraId="78365C64" w14:textId="77777777" w:rsidR="00117B66" w:rsidRDefault="00117B66">
      <w:pPr>
        <w:spacing w:line="360" w:lineRule="auto"/>
        <w:jc w:val="both"/>
      </w:pPr>
    </w:p>
    <w:p w14:paraId="58835559" w14:textId="77777777" w:rsidR="00117B66" w:rsidRDefault="000417E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16E1C43" w14:textId="77777777" w:rsidR="00117B66" w:rsidRDefault="000417E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383F0384" w14:textId="77777777" w:rsidR="00117B66" w:rsidRDefault="000417EB">
      <w:pPr>
        <w:spacing w:line="360" w:lineRule="auto"/>
        <w:jc w:val="both"/>
      </w:pPr>
      <w:r>
        <w:rPr>
          <w:rFonts w:ascii="Book Antiqua" w:eastAsia="Book Antiqua" w:hAnsi="Book Antiqua" w:cs="Book Antiqua"/>
          <w:b/>
          <w:color w:val="000000"/>
        </w:rPr>
        <w:t>Peer-review report’s scientific quality classification</w:t>
      </w:r>
    </w:p>
    <w:p w14:paraId="6476BC3D" w14:textId="77777777" w:rsidR="00117B66" w:rsidRDefault="000417EB">
      <w:pPr>
        <w:spacing w:line="360" w:lineRule="auto"/>
        <w:jc w:val="both"/>
      </w:pPr>
      <w:r>
        <w:rPr>
          <w:rFonts w:ascii="Book Antiqua" w:eastAsia="Book Antiqua" w:hAnsi="Book Antiqua" w:cs="Book Antiqua"/>
          <w:color w:val="000000"/>
        </w:rPr>
        <w:t>Grade A (Excellent): A</w:t>
      </w:r>
    </w:p>
    <w:p w14:paraId="3A204F78" w14:textId="77777777" w:rsidR="00117B66" w:rsidRDefault="000417EB">
      <w:pPr>
        <w:spacing w:line="360" w:lineRule="auto"/>
        <w:jc w:val="both"/>
      </w:pPr>
      <w:r>
        <w:rPr>
          <w:rFonts w:ascii="Book Antiqua" w:eastAsia="Book Antiqua" w:hAnsi="Book Antiqua" w:cs="Book Antiqua"/>
          <w:color w:val="000000"/>
        </w:rPr>
        <w:t>Grade B (Very good): B</w:t>
      </w:r>
    </w:p>
    <w:p w14:paraId="04958A3C" w14:textId="77777777" w:rsidR="00117B66" w:rsidRDefault="000417EB">
      <w:pPr>
        <w:spacing w:line="360" w:lineRule="auto"/>
        <w:jc w:val="both"/>
      </w:pPr>
      <w:r>
        <w:rPr>
          <w:rFonts w:ascii="Book Antiqua" w:eastAsia="Book Antiqua" w:hAnsi="Book Antiqua" w:cs="Book Antiqua"/>
          <w:color w:val="000000"/>
        </w:rPr>
        <w:lastRenderedPageBreak/>
        <w:t>Grade C (Good): 0</w:t>
      </w:r>
    </w:p>
    <w:p w14:paraId="77E4D8E4" w14:textId="77777777" w:rsidR="00117B66" w:rsidRDefault="000417EB">
      <w:pPr>
        <w:spacing w:line="360" w:lineRule="auto"/>
        <w:jc w:val="both"/>
      </w:pPr>
      <w:r>
        <w:rPr>
          <w:rFonts w:ascii="Book Antiqua" w:eastAsia="Book Antiqua" w:hAnsi="Book Antiqua" w:cs="Book Antiqua"/>
          <w:color w:val="000000"/>
        </w:rPr>
        <w:t>Grade D (Fair): 0</w:t>
      </w:r>
    </w:p>
    <w:p w14:paraId="21618C67" w14:textId="77777777" w:rsidR="00117B66" w:rsidRDefault="000417EB">
      <w:pPr>
        <w:spacing w:line="360" w:lineRule="auto"/>
        <w:jc w:val="both"/>
      </w:pPr>
      <w:r>
        <w:rPr>
          <w:rFonts w:ascii="Book Antiqua" w:eastAsia="Book Antiqua" w:hAnsi="Book Antiqua" w:cs="Book Antiqua"/>
          <w:color w:val="000000"/>
        </w:rPr>
        <w:t>Grade E (Poor): 0</w:t>
      </w:r>
    </w:p>
    <w:p w14:paraId="365422B6" w14:textId="77777777" w:rsidR="00117B66" w:rsidRDefault="00117B66">
      <w:pPr>
        <w:spacing w:line="360" w:lineRule="auto"/>
        <w:jc w:val="both"/>
      </w:pPr>
    </w:p>
    <w:p w14:paraId="54C46B0B" w14:textId="77D404E2" w:rsidR="00117B66" w:rsidRDefault="000417EB">
      <w:pPr>
        <w:spacing w:line="360" w:lineRule="auto"/>
        <w:jc w:val="both"/>
        <w:sectPr w:rsidR="00117B6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Couto-Worner I, Eysselein VE</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9D6E10">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0E4B776A" w14:textId="77777777" w:rsidR="00117B66" w:rsidRDefault="000417EB">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30DF00" w14:textId="77777777" w:rsidR="00117B66" w:rsidRDefault="000417EB">
      <w:pPr>
        <w:adjustRightInd w:val="0"/>
        <w:snapToGrid w:val="0"/>
        <w:spacing w:line="360" w:lineRule="auto"/>
        <w:jc w:val="both"/>
        <w:rPr>
          <w:rFonts w:ascii="Book Antiqua" w:hAnsi="Book Antiqua"/>
        </w:rPr>
      </w:pPr>
      <w:r>
        <w:rPr>
          <w:rFonts w:ascii="Book Antiqua" w:hAnsi="Book Antiqua"/>
          <w:noProof/>
          <w:lang w:val="en-GB" w:eastAsia="zh-CN"/>
        </w:rPr>
        <w:drawing>
          <wp:inline distT="0" distB="0" distL="0" distR="0" wp14:anchorId="0CFDFE6F" wp14:editId="0716A7A5">
            <wp:extent cx="4985385" cy="3638550"/>
            <wp:effectExtent l="0" t="0" r="1333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89332" cy="3641305"/>
                    </a:xfrm>
                    <a:prstGeom prst="rect">
                      <a:avLst/>
                    </a:prstGeom>
                    <a:noFill/>
                  </pic:spPr>
                </pic:pic>
              </a:graphicData>
            </a:graphic>
          </wp:inline>
        </w:drawing>
      </w:r>
    </w:p>
    <w:p w14:paraId="6DE7AD08" w14:textId="22FDB725" w:rsidR="00117B66" w:rsidRDefault="000417EB">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t xml:space="preserve">Figure 1 Preoperative findings. </w:t>
      </w:r>
      <w:r>
        <w:rPr>
          <w:rFonts w:ascii="Book Antiqua" w:eastAsia="Book Antiqua" w:hAnsi="Book Antiqua" w:cs="Book Antiqua"/>
          <w:color w:val="000000"/>
        </w:rPr>
        <w:t>A: Contrast</w:t>
      </w:r>
      <w:r w:rsidR="009D6E10">
        <w:rPr>
          <w:rFonts w:ascii="Book Antiqua" w:eastAsia="Book Antiqua" w:hAnsi="Book Antiqua" w:cs="Book Antiqua"/>
          <w:color w:val="000000"/>
        </w:rPr>
        <w:t>-</w:t>
      </w:r>
      <w:r>
        <w:rPr>
          <w:rFonts w:ascii="Book Antiqua" w:eastAsia="Book Antiqua" w:hAnsi="Book Antiqua" w:cs="Book Antiqua"/>
          <w:color w:val="000000"/>
        </w:rPr>
        <w:t>enhanced compute</w:t>
      </w:r>
      <w:r w:rsidR="009D6E10">
        <w:rPr>
          <w:rFonts w:ascii="Book Antiqua" w:eastAsia="Book Antiqua" w:hAnsi="Book Antiqua" w:cs="Book Antiqua"/>
          <w:color w:val="000000"/>
        </w:rPr>
        <w:t>d</w:t>
      </w:r>
      <w:r>
        <w:rPr>
          <w:rFonts w:ascii="Book Antiqua" w:eastAsia="Book Antiqua" w:hAnsi="Book Antiqua" w:cs="Book Antiqua"/>
          <w:color w:val="000000"/>
        </w:rPr>
        <w:t xml:space="preserve"> tomography with oral and intravenous contrast application showing the jugular abscess (indicated by white arrowheads) and the fully covered self-expandable metallic stent with its proximal end in the fistula (indicated by black arrowheads);</w:t>
      </w:r>
      <w:r>
        <w:rPr>
          <w:rFonts w:ascii="Book Antiqua" w:hAnsi="Book Antiqua"/>
          <w:b/>
          <w:bCs/>
          <w:lang w:eastAsia="zh-CN"/>
        </w:rPr>
        <w:t xml:space="preserve"> </w:t>
      </w:r>
      <w:r>
        <w:rPr>
          <w:rFonts w:ascii="Book Antiqua" w:eastAsia="Book Antiqua" w:hAnsi="Book Antiqua" w:cs="Book Antiqua"/>
          <w:color w:val="000000"/>
        </w:rPr>
        <w:t>B: Endoscopy showing fully covered self-expandable metallic stent placed in the distal stenotic esophagus with the esophagocutane</w:t>
      </w:r>
      <w:r w:rsidR="009D6E10">
        <w:rPr>
          <w:rFonts w:ascii="Book Antiqua" w:eastAsia="Book Antiqua" w:hAnsi="Book Antiqua" w:cs="Book Antiqua"/>
          <w:color w:val="000000"/>
        </w:rPr>
        <w:t>o</w:t>
      </w:r>
      <w:r>
        <w:rPr>
          <w:rFonts w:ascii="Book Antiqua" w:eastAsia="Book Antiqua" w:hAnsi="Book Antiqua" w:cs="Book Antiqua"/>
          <w:color w:val="000000"/>
        </w:rPr>
        <w:t>us fistula directly orally of the stent. The fistula orifice is partially covered by the stent flare</w:t>
      </w:r>
      <w:r>
        <w:rPr>
          <w:rFonts w:ascii="Book Antiqua" w:hAnsi="Book Antiqua"/>
          <w:b/>
          <w:bCs/>
          <w:lang w:eastAsia="zh-CN"/>
        </w:rPr>
        <w:t xml:space="preserve">; </w:t>
      </w:r>
      <w:r>
        <w:rPr>
          <w:rFonts w:ascii="Book Antiqua" w:eastAsia="Book Antiqua" w:hAnsi="Book Antiqua" w:cs="Book Antiqua"/>
          <w:color w:val="000000"/>
        </w:rPr>
        <w:t>C: Endoscopy after stent extraction with the large prestenotic fistula orifice (indicated by white arrowheads); fistula filled with pus; D: Endoscopy after endoscopic vacuum therapy with cleaned fistula (indicated by white arrowhead). The fistula is entirely epithelized. The distal esophagus segment remains stenotic (indicated by black arrowheads).</w:t>
      </w:r>
    </w:p>
    <w:p w14:paraId="6BE60849" w14:textId="77777777" w:rsidR="00117B66" w:rsidRDefault="000417EB">
      <w:pPr>
        <w:adjustRightInd w:val="0"/>
        <w:snapToGrid w:val="0"/>
        <w:spacing w:line="360" w:lineRule="auto"/>
        <w:jc w:val="both"/>
        <w:rPr>
          <w:rFonts w:ascii="Book Antiqua" w:eastAsia="Book Antiqua" w:hAnsi="Book Antiqua" w:cs="Book Antiqua"/>
          <w:b/>
          <w:bCs/>
          <w:color w:val="000000"/>
        </w:rPr>
      </w:pPr>
      <w:r>
        <w:rPr>
          <w:rFonts w:ascii="Book Antiqua" w:hAnsi="Book Antiqua"/>
        </w:rPr>
        <w:br w:type="page"/>
      </w:r>
      <w:r>
        <w:rPr>
          <w:rFonts w:ascii="Book Antiqua" w:eastAsia="Book Antiqua" w:hAnsi="Book Antiqua" w:cs="Book Antiqua"/>
          <w:b/>
          <w:bCs/>
          <w:noProof/>
          <w:color w:val="000000"/>
          <w:lang w:val="en-GB" w:eastAsia="zh-CN"/>
        </w:rPr>
        <w:lastRenderedPageBreak/>
        <w:drawing>
          <wp:inline distT="0" distB="0" distL="0" distR="0" wp14:anchorId="0B2A1BB5" wp14:editId="6975B0DE">
            <wp:extent cx="4660900" cy="2715260"/>
            <wp:effectExtent l="0" t="0" r="254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68630" cy="2719620"/>
                    </a:xfrm>
                    <a:prstGeom prst="rect">
                      <a:avLst/>
                    </a:prstGeom>
                    <a:noFill/>
                  </pic:spPr>
                </pic:pic>
              </a:graphicData>
            </a:graphic>
          </wp:inline>
        </w:drawing>
      </w:r>
    </w:p>
    <w:p w14:paraId="72D8D4D3" w14:textId="7C259212" w:rsidR="00117B66" w:rsidRDefault="000417E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Finding</w:t>
      </w:r>
      <w:r w:rsidR="009D6E10">
        <w:rPr>
          <w:rFonts w:ascii="Book Antiqua" w:eastAsia="Book Antiqua" w:hAnsi="Book Antiqua" w:cs="Book Antiqua"/>
          <w:b/>
          <w:bCs/>
          <w:color w:val="000000"/>
        </w:rPr>
        <w:t>s</w:t>
      </w:r>
      <w:r>
        <w:rPr>
          <w:rFonts w:ascii="Book Antiqua" w:eastAsia="Book Antiqua" w:hAnsi="Book Antiqua" w:cs="Book Antiqua"/>
          <w:b/>
          <w:bCs/>
          <w:color w:val="000000"/>
        </w:rPr>
        <w:t xml:space="preserve"> during surgery</w:t>
      </w:r>
      <w:r>
        <w:rPr>
          <w:rFonts w:ascii="Book Antiqua" w:hAnsi="Book Antiqua"/>
          <w:b/>
          <w:bCs/>
          <w:lang w:eastAsia="zh-CN"/>
        </w:rPr>
        <w:t xml:space="preserve">. </w:t>
      </w:r>
      <w:r>
        <w:rPr>
          <w:rFonts w:ascii="Book Antiqua" w:eastAsia="Book Antiqua" w:hAnsi="Book Antiqua" w:cs="Book Antiqua"/>
          <w:color w:val="000000"/>
        </w:rPr>
        <w:t>A: Free jejunal segment after reperfusion before intestinal anastomosis; white arrowheads indicat</w:t>
      </w:r>
      <w:r w:rsidR="009D6E10">
        <w:rPr>
          <w:rFonts w:ascii="Book Antiqua" w:eastAsia="Book Antiqua" w:hAnsi="Book Antiqua" w:cs="Book Antiqua"/>
          <w:color w:val="000000"/>
        </w:rPr>
        <w:t>ing</w:t>
      </w:r>
      <w:r>
        <w:rPr>
          <w:rFonts w:ascii="Book Antiqua" w:eastAsia="Book Antiqua" w:hAnsi="Book Antiqua" w:cs="Book Antiqua"/>
          <w:color w:val="000000"/>
        </w:rPr>
        <w:t xml:space="preserve"> the orifice of the gastric pull-up; black arrowheads indicating the stenotic distal esophagus;</w:t>
      </w:r>
      <w:r>
        <w:rPr>
          <w:rFonts w:ascii="Book Antiqua" w:hAnsi="Book Antiqua"/>
          <w:b/>
          <w:bCs/>
          <w:lang w:eastAsia="zh-CN"/>
        </w:rPr>
        <w:t xml:space="preserve"> </w:t>
      </w:r>
      <w:r>
        <w:rPr>
          <w:rFonts w:ascii="Book Antiqua" w:eastAsia="Book Antiqua" w:hAnsi="Book Antiqua" w:cs="Book Antiqua"/>
          <w:color w:val="000000"/>
        </w:rPr>
        <w:t xml:space="preserve">B: Free jejunal segment after intestinal anastomosis; white arrowheads at the mesentery of the free jejunal graft indicating the proximal esophago-jejunostomy; black arrowheads indicating distal jejuno-gastrostomy. </w:t>
      </w:r>
    </w:p>
    <w:p w14:paraId="036989AF" w14:textId="77777777" w:rsidR="00117B66" w:rsidRDefault="000417EB">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630F1DD6" wp14:editId="55F88C8F">
            <wp:extent cx="4598207" cy="26318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12569" cy="2640102"/>
                    </a:xfrm>
                    <a:prstGeom prst="rect">
                      <a:avLst/>
                    </a:prstGeom>
                    <a:noFill/>
                  </pic:spPr>
                </pic:pic>
              </a:graphicData>
            </a:graphic>
          </wp:inline>
        </w:drawing>
      </w:r>
    </w:p>
    <w:p w14:paraId="02D3A8C3" w14:textId="77777777" w:rsidR="00117B66" w:rsidRDefault="000417EB">
      <w:pPr>
        <w:spacing w:line="360" w:lineRule="auto"/>
        <w:jc w:val="both"/>
      </w:pPr>
      <w:r>
        <w:rPr>
          <w:rFonts w:ascii="Book Antiqua" w:eastAsia="Book Antiqua" w:hAnsi="Book Antiqua" w:cs="Book Antiqua"/>
          <w:b/>
          <w:bCs/>
          <w:color w:val="000000"/>
        </w:rPr>
        <w:t xml:space="preserve">Figure 3 Anatomic schemes. </w:t>
      </w:r>
      <w:r>
        <w:rPr>
          <w:rFonts w:ascii="Book Antiqua" w:eastAsia="Book Antiqua" w:hAnsi="Book Antiqua" w:cs="Book Antiqua"/>
          <w:color w:val="000000"/>
        </w:rPr>
        <w:t>A: Anatomy on admission</w:t>
      </w:r>
      <w:r>
        <w:rPr>
          <w:rFonts w:ascii="Book Antiqua" w:hAnsi="Book Antiqua"/>
          <w:b/>
          <w:bCs/>
          <w:lang w:eastAsia="zh-CN"/>
        </w:rPr>
        <w:t xml:space="preserve">; </w:t>
      </w:r>
      <w:r>
        <w:rPr>
          <w:rFonts w:ascii="Book Antiqua" w:eastAsia="Book Antiqua" w:hAnsi="Book Antiqua" w:cs="Book Antiqua"/>
          <w:color w:val="000000"/>
        </w:rPr>
        <w:t>B: Reconstruction after surgery.</w:t>
      </w:r>
    </w:p>
    <w:sectPr w:rsidR="00117B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8978F" w14:textId="77777777" w:rsidR="00F536C4" w:rsidRDefault="00F536C4">
      <w:r>
        <w:separator/>
      </w:r>
    </w:p>
  </w:endnote>
  <w:endnote w:type="continuationSeparator" w:id="0">
    <w:p w14:paraId="59C2ED6F" w14:textId="77777777" w:rsidR="00F536C4" w:rsidRDefault="00F5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6424D" w14:textId="77777777" w:rsidR="00117B66" w:rsidRDefault="007C143D">
    <w:pPr>
      <w:pStyle w:val="Footer"/>
    </w:pPr>
    <w:r>
      <w:rPr>
        <w:noProof/>
        <w:lang w:val="en-GB" w:eastAsia="zh-CN"/>
      </w:rPr>
      <mc:AlternateContent>
        <mc:Choice Requires="wps">
          <w:drawing>
            <wp:anchor distT="0" distB="0" distL="114300" distR="114300" simplePos="0" relativeHeight="251658240" behindDoc="0" locked="0" layoutInCell="1" allowOverlap="1" wp14:anchorId="4D3DC66A" wp14:editId="55F1A52D">
              <wp:simplePos x="0" y="0"/>
              <wp:positionH relativeFrom="margin">
                <wp:align>right</wp:align>
              </wp:positionH>
              <wp:positionV relativeFrom="paragraph">
                <wp:posOffset>0</wp:posOffset>
              </wp:positionV>
              <wp:extent cx="1828800" cy="1828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92EE" w14:textId="77777777" w:rsidR="00117B66" w:rsidRDefault="000417EB">
                          <w:pPr>
                            <w:pStyle w:val="Footer"/>
                            <w:jc w:val="right"/>
                            <w:rPr>
                              <w:rFonts w:ascii="Book Antiqua" w:eastAsia="SimSun" w:hAnsi="Book Antiqua" w:cs="Book Antiqua"/>
                              <w:sz w:val="24"/>
                              <w:lang w:eastAsia="zh-CN"/>
                            </w:rPr>
                          </w:pPr>
                          <w:r>
                            <w:rPr>
                              <w:rFonts w:ascii="Book Antiqua" w:eastAsia="SimSun" w:hAnsi="Book Antiqua" w:cs="Book Antiqua"/>
                              <w:sz w:val="24"/>
                              <w:lang w:eastAsia="zh-CN"/>
                            </w:rPr>
                            <w:fldChar w:fldCharType="begin"/>
                          </w:r>
                          <w:r>
                            <w:rPr>
                              <w:rFonts w:ascii="Book Antiqua" w:eastAsia="SimSun" w:hAnsi="Book Antiqua" w:cs="Book Antiqua"/>
                              <w:sz w:val="24"/>
                              <w:lang w:eastAsia="zh-CN"/>
                            </w:rPr>
                            <w:instrText xml:space="preserve"> PAGE  \* MERGEFORMAT </w:instrText>
                          </w:r>
                          <w:r>
                            <w:rPr>
                              <w:rFonts w:ascii="Book Antiqua" w:eastAsia="SimSun" w:hAnsi="Book Antiqua" w:cs="Book Antiqua"/>
                              <w:sz w:val="24"/>
                              <w:lang w:eastAsia="zh-CN"/>
                            </w:rPr>
                            <w:fldChar w:fldCharType="separate"/>
                          </w:r>
                          <w:r w:rsidR="009D5D0A">
                            <w:rPr>
                              <w:rFonts w:ascii="Book Antiqua" w:eastAsia="SimSun" w:hAnsi="Book Antiqua" w:cs="Book Antiqua"/>
                              <w:noProof/>
                              <w:sz w:val="24"/>
                              <w:lang w:eastAsia="zh-CN"/>
                            </w:rPr>
                            <w:t>9</w:t>
                          </w:r>
                          <w:r>
                            <w:rPr>
                              <w:rFonts w:ascii="Book Antiqua" w:eastAsia="SimSun" w:hAnsi="Book Antiqua" w:cs="Book Antiqua"/>
                              <w:sz w:val="24"/>
                              <w:lang w:eastAsia="zh-CN"/>
                            </w:rPr>
                            <w:fldChar w:fldCharType="end"/>
                          </w:r>
                          <w:r>
                            <w:rPr>
                              <w:rFonts w:ascii="Book Antiqua" w:eastAsia="SimSun" w:hAnsi="Book Antiqua" w:cs="Book Antiqua"/>
                              <w:sz w:val="24"/>
                              <w:lang w:eastAsia="zh-CN"/>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2.8pt;margin-top:0;width:2in;height:2in;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" filled="f" stroked="f">
              <v:path arrowok="t"/>
              <v:textbox style="mso-fit-shape-to-text:t" inset="0,0,0,0">
                <w:txbxContent>
                  <w:p w14:paraId="325A92EE" w14:textId="77777777" w:rsidR="00117B66" w:rsidRDefault="000417EB">
                    <w:pPr>
                      <w:pStyle w:val="Footer"/>
                      <w:jc w:val="right"/>
                      <w:rPr>
                        <w:rFonts w:ascii="Book Antiqua" w:eastAsia="SimSun" w:hAnsi="Book Antiqua" w:cs="Book Antiqua"/>
                        <w:sz w:val="24"/>
                        <w:lang w:eastAsia="zh-CN"/>
                      </w:rPr>
                    </w:pPr>
                    <w:r>
                      <w:rPr>
                        <w:rFonts w:ascii="Book Antiqua" w:eastAsia="SimSun" w:hAnsi="Book Antiqua" w:cs="Book Antiqua"/>
                        <w:sz w:val="24"/>
                        <w:lang w:eastAsia="zh-CN"/>
                      </w:rPr>
                      <w:fldChar w:fldCharType="begin"/>
                    </w:r>
                    <w:r>
                      <w:rPr>
                        <w:rFonts w:ascii="Book Antiqua" w:eastAsia="SimSun" w:hAnsi="Book Antiqua" w:cs="Book Antiqua"/>
                        <w:sz w:val="24"/>
                        <w:lang w:eastAsia="zh-CN"/>
                      </w:rPr>
                      <w:instrText xml:space="preserve"> PAGE  \* MERGEFORMAT </w:instrText>
                    </w:r>
                    <w:r>
                      <w:rPr>
                        <w:rFonts w:ascii="Book Antiqua" w:eastAsia="SimSun" w:hAnsi="Book Antiqua" w:cs="Book Antiqua"/>
                        <w:sz w:val="24"/>
                        <w:lang w:eastAsia="zh-CN"/>
                      </w:rPr>
                      <w:fldChar w:fldCharType="separate"/>
                    </w:r>
                    <w:r w:rsidR="009D5D0A">
                      <w:rPr>
                        <w:rFonts w:ascii="Book Antiqua" w:eastAsia="SimSun" w:hAnsi="Book Antiqua" w:cs="Book Antiqua"/>
                        <w:noProof/>
                        <w:sz w:val="24"/>
                        <w:lang w:eastAsia="zh-CN"/>
                      </w:rPr>
                      <w:t>9</w:t>
                    </w:r>
                    <w:r>
                      <w:rPr>
                        <w:rFonts w:ascii="Book Antiqua" w:eastAsia="SimSun" w:hAnsi="Book Antiqua" w:cs="Book Antiqua"/>
                        <w:sz w:val="24"/>
                        <w:lang w:eastAsia="zh-CN"/>
                      </w:rPr>
                      <w:fldChar w:fldCharType="end"/>
                    </w:r>
                    <w:r>
                      <w:rPr>
                        <w:rFonts w:ascii="Book Antiqua" w:eastAsia="SimSun" w:hAnsi="Book Antiqua" w:cs="Book Antiqua"/>
                        <w:sz w:val="24"/>
                        <w:lang w:eastAsia="zh-CN"/>
                      </w:rPr>
                      <w:t>/15</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F6F63" w14:textId="77777777" w:rsidR="00F536C4" w:rsidRDefault="00F536C4">
      <w:r>
        <w:separator/>
      </w:r>
    </w:p>
  </w:footnote>
  <w:footnote w:type="continuationSeparator" w:id="0">
    <w:p w14:paraId="4272803C" w14:textId="77777777" w:rsidR="00F536C4" w:rsidRDefault="00F53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7EB"/>
    <w:rsid w:val="000F554B"/>
    <w:rsid w:val="00117B66"/>
    <w:rsid w:val="00207E56"/>
    <w:rsid w:val="002A011F"/>
    <w:rsid w:val="003547BA"/>
    <w:rsid w:val="00443105"/>
    <w:rsid w:val="004C5C29"/>
    <w:rsid w:val="0058039C"/>
    <w:rsid w:val="005A022E"/>
    <w:rsid w:val="00640469"/>
    <w:rsid w:val="006B6B3D"/>
    <w:rsid w:val="006F5522"/>
    <w:rsid w:val="007C143D"/>
    <w:rsid w:val="008458A3"/>
    <w:rsid w:val="008855CA"/>
    <w:rsid w:val="008E118D"/>
    <w:rsid w:val="0094442A"/>
    <w:rsid w:val="009D5D0A"/>
    <w:rsid w:val="009D6E10"/>
    <w:rsid w:val="009F7221"/>
    <w:rsid w:val="00A77B3E"/>
    <w:rsid w:val="00AD0341"/>
    <w:rsid w:val="00BB45EF"/>
    <w:rsid w:val="00C90F61"/>
    <w:rsid w:val="00CA2A55"/>
    <w:rsid w:val="00E26451"/>
    <w:rsid w:val="00EC3A81"/>
    <w:rsid w:val="00EF6869"/>
    <w:rsid w:val="00F536C4"/>
    <w:rsid w:val="00F70478"/>
    <w:rsid w:val="00F94E4A"/>
    <w:rsid w:val="00FC7B1D"/>
    <w:rsid w:val="65603D1C"/>
    <w:rsid w:val="79842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1D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BalloonText">
    <w:name w:val="Balloon Text"/>
    <w:basedOn w:val="Normal"/>
    <w:link w:val="BalloonTextChar"/>
    <w:semiHidden/>
    <w:unhideWhenUsed/>
    <w:rsid w:val="006F5522"/>
    <w:rPr>
      <w:rFonts w:ascii="Tahoma" w:hAnsi="Tahoma" w:cs="Tahoma"/>
      <w:sz w:val="16"/>
      <w:szCs w:val="16"/>
    </w:rPr>
  </w:style>
  <w:style w:type="character" w:customStyle="1" w:styleId="BalloonTextChar">
    <w:name w:val="Balloon Text Char"/>
    <w:basedOn w:val="DefaultParagraphFont"/>
    <w:link w:val="BalloonText"/>
    <w:semiHidden/>
    <w:rsid w:val="006F5522"/>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BalloonText">
    <w:name w:val="Balloon Text"/>
    <w:basedOn w:val="Normal"/>
    <w:link w:val="BalloonTextChar"/>
    <w:semiHidden/>
    <w:unhideWhenUsed/>
    <w:rsid w:val="006F5522"/>
    <w:rPr>
      <w:rFonts w:ascii="Tahoma" w:hAnsi="Tahoma" w:cs="Tahoma"/>
      <w:sz w:val="16"/>
      <w:szCs w:val="16"/>
    </w:rPr>
  </w:style>
  <w:style w:type="character" w:customStyle="1" w:styleId="BalloonTextChar">
    <w:name w:val="Balloon Text Char"/>
    <w:basedOn w:val="DefaultParagraphFont"/>
    <w:link w:val="BalloonText"/>
    <w:semiHidden/>
    <w:rsid w:val="006F5522"/>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jrw</cp:lastModifiedBy>
  <cp:revision>2</cp:revision>
  <dcterms:created xsi:type="dcterms:W3CDTF">2021-04-04T17:50:00Z</dcterms:created>
  <dcterms:modified xsi:type="dcterms:W3CDTF">2021-04-04T17:50:00Z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