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B1E2C" w14:textId="77777777" w:rsidR="00A77B3E" w:rsidRDefault="00D25C5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6617965" w14:textId="77777777" w:rsidR="00A77B3E" w:rsidRDefault="00D25C5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61870</w:t>
      </w:r>
    </w:p>
    <w:p w14:paraId="347AD163" w14:textId="77777777" w:rsidR="00A77B3E" w:rsidRDefault="00D25C5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6BF978F" w14:textId="77777777" w:rsidR="00A77B3E" w:rsidRDefault="00A77B3E">
      <w:pPr>
        <w:spacing w:line="360" w:lineRule="auto"/>
        <w:jc w:val="both"/>
      </w:pPr>
    </w:p>
    <w:p w14:paraId="5F26258F" w14:textId="77777777" w:rsidR="00A77B3E" w:rsidRDefault="00D25C5E">
      <w:pPr>
        <w:spacing w:line="360" w:lineRule="auto"/>
        <w:jc w:val="both"/>
      </w:pPr>
      <w:r>
        <w:rPr>
          <w:rFonts w:ascii="Book Antiqua" w:eastAsia="Book Antiqua" w:hAnsi="Book Antiqua" w:cs="Book Antiqua"/>
          <w:b/>
          <w:i/>
          <w:color w:val="000000"/>
        </w:rPr>
        <w:t>Retrospective Study</w:t>
      </w:r>
    </w:p>
    <w:p w14:paraId="557BCC45" w14:textId="77777777" w:rsidR="00A77B3E" w:rsidRDefault="00D25C5E">
      <w:pPr>
        <w:spacing w:line="360" w:lineRule="auto"/>
        <w:jc w:val="both"/>
      </w:pPr>
      <w:r>
        <w:rPr>
          <w:rFonts w:ascii="Book Antiqua" w:eastAsia="Book Antiqua" w:hAnsi="Book Antiqua" w:cs="Book Antiqua"/>
          <w:b/>
          <w:bCs/>
          <w:color w:val="000000"/>
        </w:rPr>
        <w:t>Combination of type IV collagen 7S, albumin concentrations, and platelet count predicts prognosis of non-alcoholic fatty liver disease</w:t>
      </w:r>
    </w:p>
    <w:p w14:paraId="09584D6F" w14:textId="77777777" w:rsidR="00A77B3E" w:rsidRDefault="00A77B3E">
      <w:pPr>
        <w:spacing w:line="360" w:lineRule="auto"/>
        <w:jc w:val="both"/>
      </w:pPr>
    </w:p>
    <w:p w14:paraId="1B9F510D" w14:textId="1595B925" w:rsidR="00A77B3E" w:rsidRDefault="000B3385">
      <w:pPr>
        <w:spacing w:line="360" w:lineRule="auto"/>
        <w:jc w:val="both"/>
      </w:pP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M </w:t>
      </w:r>
      <w:r w:rsidRPr="000B338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25C5E">
        <w:rPr>
          <w:rFonts w:ascii="Book Antiqua" w:eastAsia="Book Antiqua" w:hAnsi="Book Antiqua" w:cs="Book Antiqua"/>
          <w:color w:val="000000"/>
        </w:rPr>
        <w:t>Combination of biomarkers predict NAFLD prognosis</w:t>
      </w:r>
    </w:p>
    <w:p w14:paraId="49F51C44" w14:textId="77777777" w:rsidR="00A77B3E" w:rsidRDefault="00A77B3E">
      <w:pPr>
        <w:spacing w:line="360" w:lineRule="auto"/>
        <w:jc w:val="both"/>
      </w:pPr>
    </w:p>
    <w:p w14:paraId="5B4A2D8D" w14:textId="77777777" w:rsidR="00A77B3E" w:rsidRDefault="00D25C5E">
      <w:pPr>
        <w:spacing w:line="360" w:lineRule="auto"/>
        <w:jc w:val="both"/>
      </w:pPr>
      <w:r>
        <w:rPr>
          <w:rFonts w:ascii="Book Antiqua" w:eastAsia="Book Antiqua" w:hAnsi="Book Antiqua" w:cs="Book Antiqua"/>
          <w:color w:val="000000"/>
        </w:rPr>
        <w:t xml:space="preserve">Miwa </w:t>
      </w: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Ken Nishino, </w:t>
      </w:r>
      <w:proofErr w:type="spellStart"/>
      <w:r>
        <w:rPr>
          <w:rFonts w:ascii="Book Antiqua" w:eastAsia="Book Antiqua" w:hAnsi="Book Antiqua" w:cs="Book Antiqua"/>
          <w:color w:val="000000"/>
        </w:rPr>
        <w:t>Katsunori</w:t>
      </w:r>
      <w:proofErr w:type="spellEnd"/>
      <w:r>
        <w:rPr>
          <w:rFonts w:ascii="Book Antiqua" w:eastAsia="Book Antiqua" w:hAnsi="Book Antiqua" w:cs="Book Antiqua"/>
          <w:color w:val="000000"/>
        </w:rPr>
        <w:t xml:space="preserve"> Ishii, Tomohiro </w:t>
      </w:r>
      <w:proofErr w:type="spellStart"/>
      <w:r>
        <w:rPr>
          <w:rFonts w:ascii="Book Antiqua" w:eastAsia="Book Antiqua" w:hAnsi="Book Antiqua" w:cs="Book Antiqua"/>
          <w:color w:val="000000"/>
        </w:rPr>
        <w:t>Tanikawa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Noriyo</w:t>
      </w:r>
      <w:proofErr w:type="spellEnd"/>
      <w:r>
        <w:rPr>
          <w:rFonts w:ascii="Book Antiqua" w:eastAsia="Book Antiqua" w:hAnsi="Book Antiqua" w:cs="Book Antiqua"/>
          <w:color w:val="000000"/>
        </w:rPr>
        <w:t xml:space="preserve"> Urata, </w:t>
      </w:r>
      <w:proofErr w:type="spellStart"/>
      <w:r>
        <w:rPr>
          <w:rFonts w:ascii="Book Antiqua" w:eastAsia="Book Antiqua" w:hAnsi="Book Antiqua" w:cs="Book Antiqua"/>
          <w:color w:val="000000"/>
        </w:rPr>
        <w:t>Mitsuhiko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Takako </w:t>
      </w:r>
      <w:proofErr w:type="spellStart"/>
      <w:r>
        <w:rPr>
          <w:rFonts w:ascii="Book Antiqua" w:eastAsia="Book Antiqua" w:hAnsi="Book Antiqua" w:cs="Book Antiqua"/>
          <w:color w:val="000000"/>
        </w:rPr>
        <w:t>Sasai</w:t>
      </w:r>
      <w:proofErr w:type="spellEnd"/>
      <w:r>
        <w:rPr>
          <w:rFonts w:ascii="Book Antiqua" w:eastAsia="Book Antiqua" w:hAnsi="Book Antiqua" w:cs="Book Antiqua"/>
          <w:color w:val="000000"/>
        </w:rPr>
        <w:t xml:space="preserve">, Ken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Hirofumi Kawamoto</w:t>
      </w:r>
    </w:p>
    <w:p w14:paraId="47C253B0" w14:textId="77777777" w:rsidR="00A77B3E" w:rsidRDefault="00A77B3E">
      <w:pPr>
        <w:spacing w:line="360" w:lineRule="auto"/>
        <w:jc w:val="both"/>
      </w:pPr>
    </w:p>
    <w:p w14:paraId="05115C23" w14:textId="77777777" w:rsidR="00A77B3E" w:rsidRDefault="00D25C5E">
      <w:pPr>
        <w:spacing w:line="360" w:lineRule="auto"/>
        <w:jc w:val="both"/>
      </w:pPr>
      <w:r>
        <w:rPr>
          <w:rFonts w:ascii="Book Antiqua" w:eastAsia="Book Antiqua" w:hAnsi="Book Antiqua" w:cs="Book Antiqua"/>
          <w:b/>
          <w:bCs/>
          <w:color w:val="000000"/>
        </w:rPr>
        <w:t xml:space="preserve">Miwa </w:t>
      </w:r>
      <w:proofErr w:type="spellStart"/>
      <w:r>
        <w:rPr>
          <w:rFonts w:ascii="Book Antiqua" w:eastAsia="Book Antiqua" w:hAnsi="Book Antiqua" w:cs="Book Antiqua"/>
          <w:b/>
          <w:bCs/>
          <w:color w:val="000000"/>
        </w:rPr>
        <w:t>Kawanaka</w:t>
      </w:r>
      <w:proofErr w:type="spellEnd"/>
      <w:r>
        <w:rPr>
          <w:rFonts w:ascii="Book Antiqua" w:eastAsia="Book Antiqua" w:hAnsi="Book Antiqua" w:cs="Book Antiqua"/>
          <w:b/>
          <w:bCs/>
          <w:color w:val="000000"/>
        </w:rPr>
        <w:t xml:space="preserve">, Ken Nishino, </w:t>
      </w:r>
      <w:proofErr w:type="spellStart"/>
      <w:r>
        <w:rPr>
          <w:rFonts w:ascii="Book Antiqua" w:eastAsia="Book Antiqua" w:hAnsi="Book Antiqua" w:cs="Book Antiqua"/>
          <w:b/>
          <w:bCs/>
          <w:color w:val="000000"/>
        </w:rPr>
        <w:t>Katsunori</w:t>
      </w:r>
      <w:proofErr w:type="spellEnd"/>
      <w:r>
        <w:rPr>
          <w:rFonts w:ascii="Book Antiqua" w:eastAsia="Book Antiqua" w:hAnsi="Book Antiqua" w:cs="Book Antiqua"/>
          <w:b/>
          <w:bCs/>
          <w:color w:val="000000"/>
        </w:rPr>
        <w:t xml:space="preserve"> Ishii, Tomohiro </w:t>
      </w:r>
      <w:proofErr w:type="spellStart"/>
      <w:r>
        <w:rPr>
          <w:rFonts w:ascii="Book Antiqua" w:eastAsia="Book Antiqua" w:hAnsi="Book Antiqua" w:cs="Book Antiqua"/>
          <w:b/>
          <w:bCs/>
          <w:color w:val="000000"/>
        </w:rPr>
        <w:t>Tanikawa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Noriyo</w:t>
      </w:r>
      <w:proofErr w:type="spellEnd"/>
      <w:r>
        <w:rPr>
          <w:rFonts w:ascii="Book Antiqua" w:eastAsia="Book Antiqua" w:hAnsi="Book Antiqua" w:cs="Book Antiqua"/>
          <w:b/>
          <w:bCs/>
          <w:color w:val="000000"/>
        </w:rPr>
        <w:t xml:space="preserve"> Urata, </w:t>
      </w:r>
      <w:proofErr w:type="spellStart"/>
      <w:r>
        <w:rPr>
          <w:rFonts w:ascii="Book Antiqua" w:eastAsia="Book Antiqua" w:hAnsi="Book Antiqua" w:cs="Book Antiqua"/>
          <w:b/>
          <w:bCs/>
          <w:color w:val="000000"/>
        </w:rPr>
        <w:t>Mitsuhiko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Suehiro</w:t>
      </w:r>
      <w:proofErr w:type="spellEnd"/>
      <w:r>
        <w:rPr>
          <w:rFonts w:ascii="Book Antiqua" w:eastAsia="Book Antiqua" w:hAnsi="Book Antiqua" w:cs="Book Antiqua"/>
          <w:b/>
          <w:bCs/>
          <w:color w:val="000000"/>
        </w:rPr>
        <w:t xml:space="preserve">, Takako </w:t>
      </w:r>
      <w:proofErr w:type="spellStart"/>
      <w:r>
        <w:rPr>
          <w:rFonts w:ascii="Book Antiqua" w:eastAsia="Book Antiqua" w:hAnsi="Book Antiqua" w:cs="Book Antiqua"/>
          <w:b/>
          <w:bCs/>
          <w:color w:val="000000"/>
        </w:rPr>
        <w:t>Sasai</w:t>
      </w:r>
      <w:proofErr w:type="spellEnd"/>
      <w:r>
        <w:rPr>
          <w:rFonts w:ascii="Book Antiqua" w:eastAsia="Book Antiqua" w:hAnsi="Book Antiqua" w:cs="Book Antiqua"/>
          <w:b/>
          <w:bCs/>
          <w:color w:val="000000"/>
        </w:rPr>
        <w:t xml:space="preserve">, Ken </w:t>
      </w:r>
      <w:proofErr w:type="spellStart"/>
      <w:r>
        <w:rPr>
          <w:rFonts w:ascii="Book Antiqua" w:eastAsia="Book Antiqua" w:hAnsi="Book Antiqua" w:cs="Book Antiqua"/>
          <w:b/>
          <w:bCs/>
          <w:color w:val="000000"/>
        </w:rPr>
        <w:t>Haruma</w:t>
      </w:r>
      <w:proofErr w:type="spellEnd"/>
      <w:r>
        <w:rPr>
          <w:rFonts w:ascii="Book Antiqua" w:eastAsia="Book Antiqua" w:hAnsi="Book Antiqua" w:cs="Book Antiqua"/>
          <w:b/>
          <w:bCs/>
          <w:color w:val="000000"/>
        </w:rPr>
        <w:t xml:space="preserve">, Hirofumi Kawamoto, </w:t>
      </w:r>
      <w:r>
        <w:rPr>
          <w:rFonts w:ascii="Book Antiqua" w:eastAsia="Book Antiqua" w:hAnsi="Book Antiqua" w:cs="Book Antiqua"/>
          <w:color w:val="000000"/>
        </w:rPr>
        <w:t>Department of General Internal Medicine, Kawasaki Medical School, Okayama 700-8505, Japan</w:t>
      </w:r>
    </w:p>
    <w:p w14:paraId="06084BFD" w14:textId="77777777" w:rsidR="00A77B3E" w:rsidRDefault="00A77B3E">
      <w:pPr>
        <w:spacing w:line="360" w:lineRule="auto"/>
        <w:jc w:val="both"/>
      </w:pPr>
    </w:p>
    <w:p w14:paraId="4EF61474" w14:textId="1DAB330E" w:rsidR="00A77B3E" w:rsidRDefault="00D25C5E" w:rsidP="000B3385">
      <w:pPr>
        <w:spacing w:line="360" w:lineRule="auto"/>
        <w:jc w:val="both"/>
      </w:pPr>
      <w:r>
        <w:rPr>
          <w:rFonts w:ascii="Book Antiqua" w:eastAsia="Book Antiqua" w:hAnsi="Book Antiqua" w:cs="Book Antiqua"/>
          <w:b/>
          <w:bCs/>
          <w:color w:val="000000"/>
        </w:rPr>
        <w:t xml:space="preserve">Author </w:t>
      </w:r>
      <w:bookmarkStart w:id="0" w:name="_Hlk68771444"/>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proofErr w:type="spellStart"/>
      <w:r w:rsidR="000B3385">
        <w:rPr>
          <w:rFonts w:ascii="Book Antiqua" w:eastAsia="Book Antiqua" w:hAnsi="Book Antiqua" w:cs="Book Antiqua"/>
          <w:color w:val="000000"/>
        </w:rPr>
        <w:t>Kawanaka</w:t>
      </w:r>
      <w:proofErr w:type="spellEnd"/>
      <w:r w:rsidR="000B3385">
        <w:rPr>
          <w:rFonts w:ascii="Book Antiqua" w:eastAsia="Book Antiqua" w:hAnsi="Book Antiqua" w:cs="Book Antiqua"/>
          <w:color w:val="000000"/>
        </w:rPr>
        <w:t xml:space="preserve"> M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ed c</w:t>
      </w:r>
      <w:r>
        <w:rPr>
          <w:rFonts w:ascii="Book Antiqua" w:eastAsia="Book Antiqua" w:hAnsi="Book Antiqua" w:cs="Book Antiqua"/>
          <w:color w:val="000000"/>
        </w:rPr>
        <w:t>onceptualization</w:t>
      </w:r>
      <w:r w:rsidR="000B3385">
        <w:rPr>
          <w:rFonts w:ascii="Book Antiqua" w:eastAsia="Book Antiqua" w:hAnsi="Book Antiqua" w:cs="Book Antiqua"/>
          <w:color w:val="000000"/>
        </w:rPr>
        <w:t>, d</w:t>
      </w:r>
      <w:r>
        <w:rPr>
          <w:rFonts w:ascii="Book Antiqua" w:eastAsia="Book Antiqua" w:hAnsi="Book Antiqua" w:cs="Book Antiqua"/>
          <w:color w:val="000000"/>
        </w:rPr>
        <w:t>ata curation</w:t>
      </w:r>
      <w:r w:rsidR="000B3385">
        <w:rPr>
          <w:rFonts w:ascii="Book Antiqua" w:eastAsia="Book Antiqua" w:hAnsi="Book Antiqua" w:cs="Book Antiqua"/>
          <w:color w:val="000000"/>
        </w:rPr>
        <w:t>, f</w:t>
      </w:r>
      <w:r>
        <w:rPr>
          <w:rFonts w:ascii="Book Antiqua" w:eastAsia="Book Antiqua" w:hAnsi="Book Antiqua" w:cs="Book Antiqua"/>
          <w:color w:val="000000"/>
        </w:rPr>
        <w:t>ormal analysis</w:t>
      </w:r>
      <w:r w:rsidR="000B3385">
        <w:rPr>
          <w:rFonts w:ascii="Book Antiqua" w:eastAsia="Book Antiqua" w:hAnsi="Book Antiqua" w:cs="Book Antiqua"/>
          <w:color w:val="000000"/>
        </w:rPr>
        <w:t>, resources, software, supervision, validation and visualization;</w:t>
      </w:r>
      <w:r w:rsidR="000B3385">
        <w:rPr>
          <w:rFonts w:hint="eastAsia"/>
          <w:lang w:eastAsia="zh-CN"/>
        </w:rPr>
        <w:t xml:space="preserve"> </w:t>
      </w:r>
      <w:r>
        <w:rPr>
          <w:rFonts w:ascii="Book Antiqua" w:eastAsia="Book Antiqua" w:hAnsi="Book Antiqua" w:cs="Book Antiqua"/>
          <w:color w:val="000000"/>
        </w:rPr>
        <w:t xml:space="preserve">Ishii K and Nishino </w:t>
      </w:r>
      <w:r w:rsidR="000B3385">
        <w:rPr>
          <w:rFonts w:ascii="Book Antiqua" w:eastAsia="Book Antiqua" w:hAnsi="Book Antiqua" w:cs="Book Antiqua"/>
          <w:color w:val="000000"/>
        </w:rPr>
        <w:t xml:space="preserve">K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ed funding acquisition;</w:t>
      </w:r>
      <w:r w:rsidR="000B3385">
        <w:rPr>
          <w:rFonts w:hint="eastAsia"/>
          <w:lang w:eastAsia="zh-CN"/>
        </w:rPr>
        <w:t xml:space="preserve"> </w:t>
      </w:r>
      <w:r>
        <w:rPr>
          <w:rFonts w:ascii="Book Antiqua" w:eastAsia="Book Antiqua" w:hAnsi="Book Antiqua" w:cs="Book Antiqua"/>
          <w:color w:val="000000"/>
        </w:rPr>
        <w:t>Tanikawa T and Urata N</w:t>
      </w:r>
      <w:r w:rsidR="000B3385">
        <w:rPr>
          <w:rFonts w:ascii="Book Antiqua" w:eastAsia="Book Antiqua" w:hAnsi="Book Antiqua" w:cs="Book Antiqua"/>
          <w:color w:val="000000"/>
        </w:rPr>
        <w:t xml:space="preserve">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 xml:space="preserve">ed investigation;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M</w:t>
      </w:r>
      <w:r w:rsidR="000B3385">
        <w:rPr>
          <w:rFonts w:ascii="Book Antiqua" w:eastAsia="Book Antiqua" w:hAnsi="Book Antiqua" w:cs="Book Antiqua"/>
          <w:color w:val="000000"/>
        </w:rPr>
        <w:t xml:space="preserve">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 xml:space="preserve">ed methodology; </w:t>
      </w:r>
      <w:proofErr w:type="spellStart"/>
      <w:r>
        <w:rPr>
          <w:rFonts w:ascii="Book Antiqua" w:eastAsia="Book Antiqua" w:hAnsi="Book Antiqua" w:cs="Book Antiqua"/>
          <w:color w:val="000000"/>
        </w:rPr>
        <w:t>Sasai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and Kawamoto H</w:t>
      </w:r>
      <w:r w:rsidR="000B3385">
        <w:rPr>
          <w:rFonts w:ascii="Book Antiqua" w:eastAsia="Book Antiqua" w:hAnsi="Book Antiqua" w:cs="Book Antiqua"/>
          <w:color w:val="000000"/>
        </w:rPr>
        <w:t xml:space="preserve">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 xml:space="preserve">ed project administration; </w:t>
      </w:r>
      <w:proofErr w:type="spellStart"/>
      <w:r w:rsidR="000B3385">
        <w:rPr>
          <w:rFonts w:ascii="Book Antiqua" w:eastAsia="Book Antiqua" w:hAnsi="Book Antiqua" w:cs="Book Antiqua"/>
          <w:color w:val="000000"/>
        </w:rPr>
        <w:t>Kawanaka</w:t>
      </w:r>
      <w:proofErr w:type="spellEnd"/>
      <w:r w:rsidR="000B3385">
        <w:rPr>
          <w:rFonts w:ascii="Book Antiqua" w:eastAsia="Book Antiqua" w:hAnsi="Book Antiqua" w:cs="Book Antiqua"/>
          <w:color w:val="000000"/>
        </w:rPr>
        <w:t xml:space="preserve"> M wrote original draft, reviewed and edited manuscript.</w:t>
      </w:r>
    </w:p>
    <w:p w14:paraId="517B96AF" w14:textId="77777777" w:rsidR="00A77B3E" w:rsidRDefault="00A77B3E">
      <w:pPr>
        <w:spacing w:line="360" w:lineRule="auto"/>
        <w:jc w:val="both"/>
      </w:pPr>
    </w:p>
    <w:p w14:paraId="0D508AAC" w14:textId="77777777" w:rsidR="00A77B3E" w:rsidRDefault="00D25C5E">
      <w:pPr>
        <w:spacing w:line="360" w:lineRule="auto"/>
        <w:jc w:val="both"/>
      </w:pPr>
      <w:r>
        <w:rPr>
          <w:rFonts w:ascii="Book Antiqua" w:eastAsia="Book Antiqua" w:hAnsi="Book Antiqua" w:cs="Book Antiqua"/>
          <w:b/>
          <w:bCs/>
          <w:color w:val="000000"/>
        </w:rPr>
        <w:t xml:space="preserve">Corresponding author: Miwa </w:t>
      </w:r>
      <w:proofErr w:type="spellStart"/>
      <w:r>
        <w:rPr>
          <w:rFonts w:ascii="Book Antiqua" w:eastAsia="Book Antiqua" w:hAnsi="Book Antiqua" w:cs="Book Antiqua"/>
          <w:b/>
          <w:bCs/>
          <w:color w:val="000000"/>
        </w:rPr>
        <w:t>Kawanaka</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General Internal Medicine, Kawasaki Medical School, 2-6-1, </w:t>
      </w:r>
      <w:proofErr w:type="spellStart"/>
      <w:r>
        <w:rPr>
          <w:rFonts w:ascii="Book Antiqua" w:eastAsia="Book Antiqua" w:hAnsi="Book Antiqua" w:cs="Book Antiqua"/>
          <w:color w:val="000000"/>
        </w:rPr>
        <w:t>Nakasange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Kitaku</w:t>
      </w:r>
      <w:proofErr w:type="spellEnd"/>
      <w:r>
        <w:rPr>
          <w:rFonts w:ascii="Book Antiqua" w:eastAsia="Book Antiqua" w:hAnsi="Book Antiqua" w:cs="Book Antiqua"/>
          <w:color w:val="000000"/>
        </w:rPr>
        <w:t>, Okayama 700-8505, Japan. m.kawanaka@med.kawasaki-m.ac.jp</w:t>
      </w:r>
    </w:p>
    <w:p w14:paraId="65E4ACD1" w14:textId="77777777" w:rsidR="00A77B3E" w:rsidRDefault="00A77B3E">
      <w:pPr>
        <w:spacing w:line="360" w:lineRule="auto"/>
        <w:jc w:val="both"/>
      </w:pPr>
    </w:p>
    <w:p w14:paraId="10C6C0F2" w14:textId="77777777" w:rsidR="00A77B3E" w:rsidRDefault="00D25C5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33E4B06C" w14:textId="77777777" w:rsidR="00A77B3E" w:rsidRDefault="00D25C5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25, 2021</w:t>
      </w:r>
    </w:p>
    <w:p w14:paraId="6750F506" w14:textId="15844FA8" w:rsidR="00A77B3E" w:rsidRDefault="00D25C5E">
      <w:pPr>
        <w:spacing w:line="360" w:lineRule="auto"/>
        <w:jc w:val="both"/>
      </w:pPr>
      <w:r>
        <w:rPr>
          <w:rFonts w:ascii="Book Antiqua" w:eastAsia="Book Antiqua" w:hAnsi="Book Antiqua" w:cs="Book Antiqua"/>
          <w:b/>
          <w:bCs/>
          <w:color w:val="000000"/>
        </w:rPr>
        <w:t xml:space="preserve">Accepted: </w:t>
      </w:r>
      <w:r w:rsidR="00BE0418" w:rsidRPr="00BE0418">
        <w:rPr>
          <w:rFonts w:ascii="Book Antiqua" w:eastAsia="Book Antiqua" w:hAnsi="Book Antiqua" w:cs="Book Antiqua"/>
          <w:bCs/>
          <w:color w:val="000000"/>
        </w:rPr>
        <w:t>April 22, 2021</w:t>
      </w:r>
    </w:p>
    <w:p w14:paraId="27D4E68F" w14:textId="77777777" w:rsidR="00A77B3E" w:rsidRDefault="00D25C5E">
      <w:pPr>
        <w:spacing w:line="360" w:lineRule="auto"/>
        <w:jc w:val="both"/>
      </w:pPr>
      <w:r>
        <w:rPr>
          <w:rFonts w:ascii="Book Antiqua" w:eastAsia="Book Antiqua" w:hAnsi="Book Antiqua" w:cs="Book Antiqua"/>
          <w:b/>
          <w:bCs/>
          <w:color w:val="000000"/>
        </w:rPr>
        <w:t xml:space="preserve">Published online: </w:t>
      </w:r>
    </w:p>
    <w:p w14:paraId="2D9DCDB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E90606" w14:textId="77777777" w:rsidR="00A77B3E" w:rsidRDefault="00D25C5E">
      <w:pPr>
        <w:spacing w:line="360" w:lineRule="auto"/>
        <w:jc w:val="both"/>
      </w:pPr>
      <w:r>
        <w:rPr>
          <w:rFonts w:ascii="Book Antiqua" w:eastAsia="Book Antiqua" w:hAnsi="Book Antiqua" w:cs="Book Antiqua"/>
          <w:b/>
          <w:color w:val="000000"/>
        </w:rPr>
        <w:lastRenderedPageBreak/>
        <w:t>Abstract</w:t>
      </w:r>
    </w:p>
    <w:p w14:paraId="1B98DE49" w14:textId="77777777" w:rsidR="00A77B3E" w:rsidRDefault="00D25C5E">
      <w:pPr>
        <w:spacing w:line="360" w:lineRule="auto"/>
        <w:jc w:val="both"/>
      </w:pPr>
      <w:r>
        <w:rPr>
          <w:rFonts w:ascii="Book Antiqua" w:eastAsia="Book Antiqua" w:hAnsi="Book Antiqua" w:cs="Book Antiqua"/>
          <w:color w:val="000000"/>
        </w:rPr>
        <w:t>BACKGROUND</w:t>
      </w:r>
    </w:p>
    <w:p w14:paraId="529462A5" w14:textId="77777777" w:rsidR="00A77B3E" w:rsidRDefault="00D25C5E">
      <w:pPr>
        <w:spacing w:line="360" w:lineRule="auto"/>
        <w:jc w:val="both"/>
      </w:pPr>
      <w:r>
        <w:rPr>
          <w:rFonts w:ascii="Book Antiqua" w:eastAsia="Book Antiqua" w:hAnsi="Book Antiqua" w:cs="Book Antiqua"/>
          <w:color w:val="000000"/>
        </w:rPr>
        <w:t>Non-alcoholic fatty liver disease (NAFLD) is the most common cause of chronic liver disease and affects approximately 25% of the general global adult population. The prognosis of NAFLD patients with advanced liver fibrosis is known to be poor. It is difficult to assess disease progression in all patients with NAFLD; thus, it is necessary to identify patients who will show poor prognosis.</w:t>
      </w:r>
    </w:p>
    <w:p w14:paraId="219942C3" w14:textId="77777777" w:rsidR="00A77B3E" w:rsidRDefault="00A77B3E">
      <w:pPr>
        <w:spacing w:line="360" w:lineRule="auto"/>
        <w:jc w:val="both"/>
      </w:pPr>
    </w:p>
    <w:p w14:paraId="0FA2FF1F" w14:textId="77777777" w:rsidR="00A77B3E" w:rsidRDefault="00D25C5E">
      <w:pPr>
        <w:spacing w:line="360" w:lineRule="auto"/>
        <w:jc w:val="both"/>
      </w:pPr>
      <w:r>
        <w:rPr>
          <w:rFonts w:ascii="Book Antiqua" w:eastAsia="Book Antiqua" w:hAnsi="Book Antiqua" w:cs="Book Antiqua"/>
          <w:color w:val="000000"/>
        </w:rPr>
        <w:t>AIM</w:t>
      </w:r>
    </w:p>
    <w:p w14:paraId="7B21F84A" w14:textId="77777777" w:rsidR="00A77B3E" w:rsidRDefault="00D25C5E">
      <w:pPr>
        <w:spacing w:line="360" w:lineRule="auto"/>
        <w:jc w:val="both"/>
      </w:pPr>
      <w:r>
        <w:rPr>
          <w:rFonts w:ascii="Book Antiqua" w:eastAsia="Book Antiqua" w:hAnsi="Book Antiqua" w:cs="Book Antiqua"/>
          <w:color w:val="000000"/>
        </w:rPr>
        <w:t>To investigate the efficacy of non-invasive biomarkers for predicting disease progression in patients with NAFLD.</w:t>
      </w:r>
    </w:p>
    <w:p w14:paraId="613F1947" w14:textId="77777777" w:rsidR="00A77B3E" w:rsidRDefault="00A77B3E">
      <w:pPr>
        <w:spacing w:line="360" w:lineRule="auto"/>
        <w:jc w:val="both"/>
      </w:pPr>
    </w:p>
    <w:p w14:paraId="4CB9B64C" w14:textId="77777777" w:rsidR="00A77B3E" w:rsidRDefault="00D25C5E">
      <w:pPr>
        <w:spacing w:line="360" w:lineRule="auto"/>
        <w:jc w:val="both"/>
      </w:pPr>
      <w:r>
        <w:rPr>
          <w:rFonts w:ascii="Book Antiqua" w:eastAsia="Book Antiqua" w:hAnsi="Book Antiqua" w:cs="Book Antiqua"/>
          <w:color w:val="000000"/>
        </w:rPr>
        <w:t>METHODS</w:t>
      </w:r>
    </w:p>
    <w:p w14:paraId="0B9364F8" w14:textId="28357072" w:rsidR="00A77B3E" w:rsidRDefault="00D25C5E">
      <w:pPr>
        <w:spacing w:line="360" w:lineRule="auto"/>
        <w:jc w:val="both"/>
      </w:pPr>
      <w:r>
        <w:rPr>
          <w:rFonts w:ascii="Book Antiqua" w:eastAsia="Book Antiqua" w:hAnsi="Book Antiqua" w:cs="Book Antiqua"/>
          <w:color w:val="000000"/>
        </w:rPr>
        <w:t>We investigated biomarkers associated with mortality in patients with NAFLD who visited the Kawasaki Medical School General Medical Center from 1996 to 2018 and underwent liver biopsy and had been followed-up for &gt; 1 year. Cumulative overall mortality and liver-related events during follow-up were calculated using the Kaplan</w:t>
      </w:r>
      <w:r w:rsidR="000B3385">
        <w:rPr>
          <w:rFonts w:ascii="Book Antiqua" w:eastAsia="Book Antiqua" w:hAnsi="Book Antiqua" w:cs="Book Antiqua"/>
          <w:color w:val="000000"/>
        </w:rPr>
        <w:t>-</w:t>
      </w:r>
      <w:r>
        <w:rPr>
          <w:rFonts w:ascii="Book Antiqua" w:eastAsia="Book Antiqua" w:hAnsi="Book Antiqua" w:cs="Book Antiqua"/>
          <w:color w:val="000000"/>
        </w:rPr>
        <w:t>Meier analysis and compared using log-rank testing. We calculated the odds ratio and performed receiver operating characteristic</w:t>
      </w:r>
      <w:r w:rsidR="000B3385">
        <w:rPr>
          <w:rFonts w:ascii="Book Antiqua" w:eastAsia="Book Antiqua" w:hAnsi="Book Antiqua" w:cs="Book Antiqua"/>
          <w:color w:val="000000"/>
        </w:rPr>
        <w:t xml:space="preserve"> </w:t>
      </w:r>
      <w:r>
        <w:rPr>
          <w:rFonts w:ascii="Book Antiqua" w:eastAsia="Book Antiqua" w:hAnsi="Book Antiqua" w:cs="Book Antiqua"/>
          <w:color w:val="000000"/>
        </w:rPr>
        <w:t>curve analysis with logistic regression analysis to determine the optimal cut-off value with the highest prognostic ability.</w:t>
      </w:r>
    </w:p>
    <w:p w14:paraId="30952C07" w14:textId="77777777" w:rsidR="00A77B3E" w:rsidRDefault="00A77B3E">
      <w:pPr>
        <w:spacing w:line="360" w:lineRule="auto"/>
        <w:jc w:val="both"/>
      </w:pPr>
    </w:p>
    <w:p w14:paraId="65C6C947" w14:textId="77777777" w:rsidR="00A77B3E" w:rsidRDefault="00D25C5E">
      <w:pPr>
        <w:spacing w:line="360" w:lineRule="auto"/>
        <w:jc w:val="both"/>
      </w:pPr>
      <w:r>
        <w:rPr>
          <w:rFonts w:ascii="Book Antiqua" w:eastAsia="Book Antiqua" w:hAnsi="Book Antiqua" w:cs="Book Antiqua"/>
          <w:color w:val="000000"/>
        </w:rPr>
        <w:t>RESULTS</w:t>
      </w:r>
    </w:p>
    <w:p w14:paraId="1624A69A" w14:textId="36C63F63" w:rsidR="00A77B3E" w:rsidRDefault="00D25C5E">
      <w:pPr>
        <w:spacing w:line="360" w:lineRule="auto"/>
        <w:jc w:val="both"/>
      </w:pPr>
      <w:r>
        <w:rPr>
          <w:rFonts w:ascii="Book Antiqua" w:eastAsia="Book Antiqua" w:hAnsi="Book Antiqua" w:cs="Book Antiqua"/>
          <w:color w:val="000000"/>
        </w:rPr>
        <w:t>We enrolled 489 patients who were followed-up for a period of 1</w:t>
      </w:r>
      <w:r w:rsidR="000B3385">
        <w:rPr>
          <w:rFonts w:ascii="Book Antiqua" w:eastAsia="Book Antiqua" w:hAnsi="Book Antiqua" w:cs="Book Antiqua"/>
          <w:color w:val="000000"/>
        </w:rPr>
        <w:t>-</w:t>
      </w:r>
      <w:r>
        <w:rPr>
          <w:rFonts w:ascii="Book Antiqua" w:eastAsia="Book Antiqua" w:hAnsi="Book Antiqua" w:cs="Book Antiqua"/>
          <w:color w:val="000000"/>
        </w:rPr>
        <w:t>22.2 years. In total, 13 patients died (2.7% of total patients enrolled); 7 patients died due to liver-related causes. Poor prognosis was associated with liver fibrosis on histological examination but not with inflammation or steatosis. Blood biomarkers associated with mortality were platelet counts, albumin levels, and type IV collagen 7S levels. The optimal cutoff index for predicting total mortality was a platelet count of 15</w:t>
      </w:r>
      <w:r w:rsidR="000B3385">
        <w:rPr>
          <w:rFonts w:ascii="Book Antiqua" w:eastAsia="Book Antiqua" w:hAnsi="Book Antiqua" w:cs="Book Antiqua"/>
          <w:color w:val="000000"/>
        </w:rPr>
        <w:t xml:space="preserve"> </w:t>
      </w:r>
      <w:r>
        <w:rPr>
          <w:rFonts w:ascii="Book Antiqua" w:eastAsia="Book Antiqua" w:hAnsi="Book Antiqua" w:cs="Book Antiqua"/>
          <w:color w:val="000000"/>
        </w:rPr>
        <w:t>×</w:t>
      </w:r>
      <w:r w:rsidR="000B3385">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albumin level of 3.5 g/dL, and type IV collagen 7S level of 5 mg/dL. In particular, only one-factor patients </w:t>
      </w:r>
      <w:r>
        <w:rPr>
          <w:rFonts w:ascii="Book Antiqua" w:eastAsia="Book Antiqua" w:hAnsi="Book Antiqua" w:cs="Book Antiqua"/>
          <w:color w:val="000000"/>
        </w:rPr>
        <w:lastRenderedPageBreak/>
        <w:t>with NAFLD presenting with platelet counts ≤</w:t>
      </w:r>
      <w:r w:rsidR="000B3385">
        <w:rPr>
          <w:rFonts w:ascii="Book Antiqua" w:eastAsia="Book Antiqua" w:hAnsi="Book Antiqua" w:cs="Book Antiqua"/>
          <w:color w:val="000000"/>
        </w:rPr>
        <w:t xml:space="preserve"> </w:t>
      </w:r>
      <w:r>
        <w:rPr>
          <w:rFonts w:ascii="Book Antiqua" w:eastAsia="Book Antiqua" w:hAnsi="Book Antiqua" w:cs="Book Antiqua"/>
          <w:color w:val="000000"/>
        </w:rPr>
        <w:t>15</w:t>
      </w:r>
      <w:r w:rsidR="000B3385">
        <w:rPr>
          <w:rFonts w:ascii="Book Antiqua" w:eastAsia="Book Antiqua" w:hAnsi="Book Antiqua" w:cs="Book Antiqua"/>
          <w:color w:val="000000"/>
        </w:rPr>
        <w:t xml:space="preserve"> </w:t>
      </w:r>
      <w:r>
        <w:rPr>
          <w:rFonts w:ascii="Book Antiqua" w:eastAsia="Book Antiqua" w:hAnsi="Book Antiqua" w:cs="Book Antiqua"/>
          <w:color w:val="000000"/>
        </w:rPr>
        <w:t>×</w:t>
      </w:r>
      <w:r w:rsidR="000B3385">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albumin levels ≤</w:t>
      </w:r>
      <w:r w:rsidR="000B3385">
        <w:rPr>
          <w:rFonts w:ascii="Book Antiqua" w:eastAsia="Book Antiqua" w:hAnsi="Book Antiqua" w:cs="Book Antiqua"/>
          <w:color w:val="000000"/>
        </w:rPr>
        <w:t xml:space="preserve"> </w:t>
      </w:r>
      <w:r>
        <w:rPr>
          <w:rFonts w:ascii="Book Antiqua" w:eastAsia="Book Antiqua" w:hAnsi="Book Antiqua" w:cs="Book Antiqua"/>
          <w:color w:val="000000"/>
        </w:rPr>
        <w:t>3.5 g/dL, or type IV collagen 7S &lt;</w:t>
      </w:r>
      <w:r w:rsidR="000B3385">
        <w:rPr>
          <w:rFonts w:ascii="Book Antiqua" w:eastAsia="Book Antiqua" w:hAnsi="Book Antiqua" w:cs="Book Antiqua"/>
          <w:color w:val="000000"/>
        </w:rPr>
        <w:t xml:space="preserve"> </w:t>
      </w:r>
      <w:r>
        <w:rPr>
          <w:rFonts w:ascii="Book Antiqua" w:eastAsia="Book Antiqua" w:hAnsi="Book Antiqua" w:cs="Book Antiqua"/>
          <w:color w:val="000000"/>
        </w:rPr>
        <w:t>5 mg/dL showed 5-year, 10-year, and 15-year survival rates of 99.7%, 98.3%, and 94%, respectively. However, patients with two factors had lower 5-year and 10-year survival rates of 98% and 43%, respectively. Similarly, patients with all three factors showed the lowest 5-year and 10-year survival rates of 53% and 26%, respectively.</w:t>
      </w:r>
    </w:p>
    <w:p w14:paraId="17181473" w14:textId="77777777" w:rsidR="00A77B3E" w:rsidRDefault="00A77B3E">
      <w:pPr>
        <w:spacing w:line="360" w:lineRule="auto"/>
        <w:jc w:val="both"/>
      </w:pPr>
    </w:p>
    <w:p w14:paraId="11D54397" w14:textId="77777777" w:rsidR="00A77B3E" w:rsidRDefault="00D25C5E">
      <w:pPr>
        <w:spacing w:line="360" w:lineRule="auto"/>
        <w:jc w:val="both"/>
      </w:pPr>
      <w:r>
        <w:rPr>
          <w:rFonts w:ascii="Book Antiqua" w:eastAsia="Book Antiqua" w:hAnsi="Book Antiqua" w:cs="Book Antiqua"/>
          <w:color w:val="000000"/>
        </w:rPr>
        <w:t>CONCLUSION</w:t>
      </w:r>
    </w:p>
    <w:p w14:paraId="3D8EBA18" w14:textId="77777777" w:rsidR="00A77B3E" w:rsidRDefault="00D25C5E">
      <w:pPr>
        <w:spacing w:line="360" w:lineRule="auto"/>
        <w:jc w:val="both"/>
      </w:pPr>
      <w:r>
        <w:rPr>
          <w:rFonts w:ascii="Book Antiqua" w:eastAsia="Book Antiqua" w:hAnsi="Book Antiqua" w:cs="Book Antiqua"/>
          <w:color w:val="000000"/>
        </w:rPr>
        <w:t>A combination of the three non-invasive biomarkers is a useful predictor of NAFLD prognosis and can help identify patients with NAFLD who are at a high risk of all-cause mortality.</w:t>
      </w:r>
    </w:p>
    <w:p w14:paraId="2785F413" w14:textId="77777777" w:rsidR="00A77B3E" w:rsidRDefault="00A77B3E">
      <w:pPr>
        <w:spacing w:line="360" w:lineRule="auto"/>
        <w:jc w:val="both"/>
      </w:pPr>
    </w:p>
    <w:p w14:paraId="58F15012" w14:textId="77777777" w:rsidR="00A77B3E" w:rsidRDefault="00D25C5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Non-alcoholic fatty liver disease; Non-alcoholic steatohepatitis; Platelet count; Albumin; Type IV collagen 7S; All-cause mortality</w:t>
      </w:r>
    </w:p>
    <w:p w14:paraId="3C99B435" w14:textId="77777777" w:rsidR="00A77B3E" w:rsidRDefault="00A77B3E">
      <w:pPr>
        <w:spacing w:line="360" w:lineRule="auto"/>
        <w:jc w:val="both"/>
      </w:pPr>
    </w:p>
    <w:p w14:paraId="6FA31DC8" w14:textId="77777777" w:rsidR="00A77B3E" w:rsidRDefault="00D25C5E">
      <w:pPr>
        <w:spacing w:line="360" w:lineRule="auto"/>
        <w:jc w:val="both"/>
      </w:pP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M, Nishino K, Ishii K, Tanikawa T, Urata N,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Kawamoto H. Combination of type IV collagen 7S, albumin concentrations, and platelet count predicts prognosis of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5FBA7B43" w14:textId="77777777" w:rsidR="00A77B3E" w:rsidRDefault="00A77B3E">
      <w:pPr>
        <w:spacing w:line="360" w:lineRule="auto"/>
        <w:jc w:val="both"/>
      </w:pPr>
    </w:p>
    <w:p w14:paraId="1017B20D" w14:textId="54C5FD52" w:rsidR="000B052E" w:rsidRDefault="00D25C5E">
      <w:pPr>
        <w:spacing w:line="360" w:lineRule="auto"/>
        <w:jc w:val="both"/>
        <w:rPr>
          <w:rStyle w:val="jlqj4b"/>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investigated biomarkers associated with mortality in </w:t>
      </w:r>
      <w:r w:rsidR="000B3385">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patients who underwent liver biopsy. </w:t>
      </w:r>
      <w:r>
        <w:rPr>
          <w:rStyle w:val="jlqj4b"/>
          <w:rFonts w:ascii="Book Antiqua" w:eastAsia="Book Antiqua" w:hAnsi="Book Antiqua" w:cs="Book Antiqua"/>
          <w:color w:val="000000"/>
        </w:rPr>
        <w:t>Blood biomarkers associated with mortality were platelet count, albumin levels, and type IV collagen 7S levels. In particular, 5-</w:t>
      </w:r>
      <w:r w:rsidR="000B3385">
        <w:rPr>
          <w:rStyle w:val="jlqj4b"/>
          <w:rFonts w:ascii="Book Antiqua" w:eastAsia="Book Antiqua" w:hAnsi="Book Antiqua" w:cs="Book Antiqua"/>
          <w:color w:val="000000"/>
        </w:rPr>
        <w:t>year</w:t>
      </w:r>
      <w:r>
        <w:rPr>
          <w:rStyle w:val="jlqj4b"/>
          <w:rFonts w:ascii="Book Antiqua" w:eastAsia="Book Antiqua" w:hAnsi="Book Antiqua" w:cs="Book Antiqua"/>
          <w:color w:val="000000"/>
        </w:rPr>
        <w:t xml:space="preserve"> and 10-year survival rates were reduced for patients with all three factors: platelet counts below 15 × 10</w:t>
      </w:r>
      <w:r>
        <w:rPr>
          <w:rStyle w:val="jlqj4b"/>
          <w:rFonts w:ascii="Book Antiqua" w:eastAsia="Book Antiqua" w:hAnsi="Book Antiqua" w:cs="Book Antiqua"/>
          <w:color w:val="000000"/>
          <w:szCs w:val="30"/>
          <w:vertAlign w:val="superscript"/>
        </w:rPr>
        <w:t>4</w:t>
      </w:r>
      <w:r>
        <w:rPr>
          <w:rStyle w:val="jlqj4b"/>
          <w:rFonts w:ascii="Book Antiqua" w:eastAsia="Book Antiqua" w:hAnsi="Book Antiqua" w:cs="Book Antiqua"/>
          <w:color w:val="000000"/>
        </w:rPr>
        <w:t>/</w:t>
      </w:r>
      <w:proofErr w:type="spellStart"/>
      <w:r>
        <w:rPr>
          <w:rStyle w:val="jlqj4b"/>
          <w:rFonts w:ascii="Book Antiqua" w:eastAsia="Book Antiqua" w:hAnsi="Book Antiqua" w:cs="Book Antiqua"/>
          <w:color w:val="000000"/>
        </w:rPr>
        <w:t>μL</w:t>
      </w:r>
      <w:proofErr w:type="spellEnd"/>
      <w:r>
        <w:rPr>
          <w:rStyle w:val="jlqj4b"/>
          <w:rFonts w:ascii="Book Antiqua" w:eastAsia="Book Antiqua" w:hAnsi="Book Antiqua" w:cs="Book Antiqua"/>
          <w:color w:val="000000"/>
        </w:rPr>
        <w:t>, albumin levels below 3.5 g/dL, and type IV collagen 7S levels. In summary, the combination of the three non-invasive biomarkers is a useful predictor of NAFLD prognosis and helps identify patients with NAFLD who are at high risk of death from all causes.</w:t>
      </w:r>
    </w:p>
    <w:p w14:paraId="0EA47CF3" w14:textId="4A9406A2" w:rsidR="00A77B3E" w:rsidRDefault="000B052E">
      <w:pPr>
        <w:spacing w:line="360" w:lineRule="auto"/>
        <w:jc w:val="both"/>
      </w:pPr>
      <w:r>
        <w:rPr>
          <w:rStyle w:val="jlqj4b"/>
          <w:rFonts w:ascii="Book Antiqua" w:eastAsia="Book Antiqua" w:hAnsi="Book Antiqua" w:cs="Book Antiqua"/>
          <w:color w:val="000000"/>
        </w:rPr>
        <w:br w:type="page"/>
      </w:r>
      <w:r w:rsidR="00D25C5E">
        <w:rPr>
          <w:rFonts w:ascii="Book Antiqua" w:eastAsia="Book Antiqua" w:hAnsi="Book Antiqua" w:cs="Book Antiqua"/>
          <w:b/>
          <w:caps/>
          <w:color w:val="000000"/>
          <w:u w:val="single"/>
        </w:rPr>
        <w:lastRenderedPageBreak/>
        <w:t>INTRODUCTION</w:t>
      </w:r>
    </w:p>
    <w:p w14:paraId="575A1F1D" w14:textId="018C28DA" w:rsidR="00A77B3E" w:rsidRDefault="00D25C5E">
      <w:pPr>
        <w:spacing w:line="360" w:lineRule="auto"/>
        <w:jc w:val="both"/>
      </w:pPr>
      <w:r>
        <w:rPr>
          <w:rFonts w:ascii="Book Antiqua" w:eastAsia="Book Antiqua" w:hAnsi="Book Antiqua" w:cs="Book Antiqua"/>
          <w:color w:val="000000"/>
        </w:rPr>
        <w:t xml:space="preserve">Non-alcoholic fatty liver disease (NAFLD) is the most common cause of chronic liver disease and affects approximately 25% of the general global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development of NAFLD is associated with lifestyle-related diseases, such as obesity, type 2 diabetes, hypertension, and dyslipidemia. Cardiovascular disease is the leading cause of death among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liver-related diseases are also a major cause of death among patients with NAFLD, and liver-specific and all-cause mortality rates are higher for these patients than for the general population</w:t>
      </w:r>
      <w:r w:rsidR="0084316F">
        <w:rPr>
          <w:rFonts w:ascii="Book Antiqua" w:eastAsia="Book Antiqua" w:hAnsi="Book Antiqua" w:cs="Book Antiqua"/>
          <w:color w:val="000000"/>
        </w:rPr>
        <w:t xml:space="preserve"> </w:t>
      </w:r>
      <w:r>
        <w:rPr>
          <w:rFonts w:ascii="Book Antiqua" w:eastAsia="Book Antiqua" w:hAnsi="Book Antiqua" w:cs="Book Antiqua"/>
          <w:color w:val="000000"/>
        </w:rPr>
        <w:t xml:space="preserve">NAFLD, and liver-specific and all-cause mortality rates are higher for these patients than for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of liver-specific and all-cause mortality among patients with NAFLD is generally 0.77 and 11.77 per 1000 years, respectively, while it is 15.44 and 25.56 per 1000 years, respectively, for patients with non-alcoholic steatohepatitis (NASH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7687526" w14:textId="77777777" w:rsidR="00A77B3E" w:rsidRDefault="00D25C5E" w:rsidP="000B052E">
      <w:pPr>
        <w:spacing w:line="360" w:lineRule="auto"/>
        <w:ind w:firstLineChars="100" w:firstLine="240"/>
        <w:jc w:val="both"/>
      </w:pPr>
      <w:r>
        <w:rPr>
          <w:rFonts w:ascii="Book Antiqua" w:eastAsia="Book Antiqua" w:hAnsi="Book Antiqua" w:cs="Book Antiqua"/>
          <w:color w:val="000000"/>
        </w:rPr>
        <w:t>The prognosis of NAFLD patients with advanced liver fibrosis is known to be poor</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Progression of liver fibrosis in patients with NAFLD is associated with mortality from various non-liver-related causes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D6315EF" w14:textId="3DADBEB8" w:rsidR="00A77B3E" w:rsidRDefault="00D25C5E" w:rsidP="000B052E">
      <w:pPr>
        <w:spacing w:line="360" w:lineRule="auto"/>
        <w:ind w:firstLineChars="100" w:firstLine="240"/>
        <w:jc w:val="both"/>
      </w:pPr>
      <w:r>
        <w:rPr>
          <w:rFonts w:ascii="Book Antiqua" w:eastAsia="Book Antiqua" w:hAnsi="Book Antiqua" w:cs="Book Antiqua"/>
          <w:color w:val="000000"/>
        </w:rPr>
        <w:t xml:space="preserve">Liver biopsy is typically performed for diagnosing advanced fibrosis in patients with other liver diseases, such as NASH; however, it is not a practical tool for the diagnosis of NAFLD. In addition, the limitations of liver biopsies, such as invasiveness, poor patient tolerance, sampling variability, and high costs, are well known. Thus, there is increasing interest in developing and validating non-invasive methods for measuring liver stiffness, such as imaging and elastography techniques based on ultrasonography or magnetic resonance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sidR="00A4516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4,9-</w:t>
      </w:r>
      <w:r w:rsidR="006A324E">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 limitation of these methods is that the images are visualized using an instrument that is not available in many institutions. Therefore, serum biomarkers that can assess the progression of liver fibrosis in patients with NAFLD may serve as important tools for identifying patients with advanced fibrosis. Some biomarkers of interest, such as procollagen type III N-terminal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type IV collagen 7S, hyaluronic acid, and Mac-2 binding protein </w:t>
      </w:r>
      <w:r w:rsidR="0084316F">
        <w:rPr>
          <w:rFonts w:ascii="Book Antiqua" w:eastAsia="Book Antiqua" w:hAnsi="Book Antiqua" w:cs="Book Antiqua"/>
          <w:color w:val="000000"/>
        </w:rPr>
        <w:t>[</w:t>
      </w:r>
      <w:r>
        <w:rPr>
          <w:rFonts w:ascii="Book Antiqua" w:eastAsia="Book Antiqua" w:hAnsi="Book Antiqua" w:cs="Book Antiqua"/>
          <w:color w:val="000000"/>
        </w:rPr>
        <w:t>WFA(+)-M2BP</w:t>
      </w:r>
      <w:r w:rsidR="0084316F">
        <w:rPr>
          <w:rFonts w:ascii="Book Antiqua" w:eastAsia="Book Antiqua" w:hAnsi="Book Antiqua" w:cs="Book Antiqua"/>
          <w:color w:val="000000"/>
        </w:rPr>
        <w:t>]</w:t>
      </w:r>
      <w:r>
        <w:rPr>
          <w:rFonts w:ascii="Book Antiqua" w:eastAsia="Book Antiqua" w:hAnsi="Book Antiqua" w:cs="Book Antiqua"/>
          <w:color w:val="000000"/>
        </w:rPr>
        <w:t xml:space="preserve"> levels, and cytokeratin</w:t>
      </w:r>
      <w:r w:rsidR="0084316F">
        <w:rPr>
          <w:rFonts w:ascii="Book Antiqua" w:eastAsia="Book Antiqua" w:hAnsi="Book Antiqua" w:cs="Book Antiqua"/>
          <w:color w:val="000000"/>
        </w:rPr>
        <w:t>-</w:t>
      </w:r>
      <w:r>
        <w:rPr>
          <w:rFonts w:ascii="Book Antiqua" w:eastAsia="Book Antiqua" w:hAnsi="Book Antiqua" w:cs="Book Antiqua"/>
          <w:color w:val="000000"/>
        </w:rPr>
        <w:t xml:space="preserve">18 have been used for identifying patients with NAFLD </w:t>
      </w:r>
      <w:r>
        <w:rPr>
          <w:rFonts w:ascii="Book Antiqua" w:eastAsia="Book Antiqua" w:hAnsi="Book Antiqua" w:cs="Book Antiqua"/>
          <w:color w:val="000000"/>
        </w:rPr>
        <w:lastRenderedPageBreak/>
        <w:t>with advanced fibrosis. Other studies have used different biomarker scores, such as the BARD score, NAFLD fibrosis score, FIB-4</w:t>
      </w:r>
      <w:r w:rsidR="0084316F">
        <w:rPr>
          <w:rFonts w:ascii="Book Antiqua" w:eastAsia="Book Antiqua" w:hAnsi="Book Antiqua" w:cs="Book Antiqua"/>
          <w:color w:val="000000"/>
        </w:rPr>
        <w:t xml:space="preserve"> (</w:t>
      </w:r>
      <w:r w:rsidR="0084316F" w:rsidRPr="0084316F">
        <w:rPr>
          <w:rFonts w:ascii="Book Antiqua" w:eastAsia="Book Antiqua" w:hAnsi="Book Antiqua" w:cs="Book Antiqua"/>
          <w:color w:val="000000"/>
        </w:rPr>
        <w:t>fibrosis-4</w:t>
      </w:r>
      <w:r w:rsidR="0084316F">
        <w:rPr>
          <w:rFonts w:ascii="Book Antiqua" w:eastAsia="Book Antiqua" w:hAnsi="Book Antiqua" w:cs="Book Antiqua"/>
          <w:color w:val="000000"/>
        </w:rPr>
        <w:t>)</w:t>
      </w:r>
      <w:r>
        <w:rPr>
          <w:rFonts w:ascii="Book Antiqua" w:eastAsia="Book Antiqua" w:hAnsi="Book Antiqua" w:cs="Book Antiqua"/>
          <w:color w:val="000000"/>
        </w:rPr>
        <w:t xml:space="preserve"> index, aspartate aminotransaminase (AST) to alanine aminotransaminase (ALT) ratio, AST to platelet ratio index,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and Enhanced Liver Fibrosis score, for the assessment of liver fibrosis</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4,11,</w:t>
      </w:r>
      <w:r w:rsidR="006A324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sidR="006A324E">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none of these scores predict the prognosis of NAFLD patients. Hence, we aimed to investigate the efficacy of non-invasive biomarkers for predicting disease progression in patients with NAFLD.</w:t>
      </w:r>
    </w:p>
    <w:p w14:paraId="1D4D5794" w14:textId="77777777" w:rsidR="00A77B3E" w:rsidRDefault="00A77B3E" w:rsidP="0084316F">
      <w:pPr>
        <w:spacing w:line="360" w:lineRule="auto"/>
        <w:jc w:val="both"/>
      </w:pPr>
    </w:p>
    <w:p w14:paraId="3B2595DE" w14:textId="77777777" w:rsidR="00A77B3E" w:rsidRDefault="00D25C5E">
      <w:pPr>
        <w:spacing w:line="360" w:lineRule="auto"/>
        <w:jc w:val="both"/>
      </w:pPr>
      <w:r>
        <w:rPr>
          <w:rFonts w:ascii="Book Antiqua" w:eastAsia="Book Antiqua" w:hAnsi="Book Antiqua" w:cs="Book Antiqua"/>
          <w:b/>
          <w:caps/>
          <w:color w:val="000000"/>
          <w:u w:val="single"/>
        </w:rPr>
        <w:t>MATERIALS AND METHODS</w:t>
      </w:r>
    </w:p>
    <w:p w14:paraId="2BF33BF8" w14:textId="77777777" w:rsidR="00A77B3E" w:rsidRDefault="00D25C5E">
      <w:pPr>
        <w:spacing w:line="360" w:lineRule="auto"/>
        <w:jc w:val="both"/>
      </w:pPr>
      <w:r>
        <w:rPr>
          <w:rFonts w:ascii="Book Antiqua" w:eastAsia="Book Antiqua" w:hAnsi="Book Antiqua" w:cs="Book Antiqua"/>
          <w:b/>
          <w:bCs/>
          <w:i/>
          <w:iCs/>
          <w:color w:val="000000"/>
        </w:rPr>
        <w:t>Patients</w:t>
      </w:r>
    </w:p>
    <w:p w14:paraId="2D505629" w14:textId="46900F33" w:rsidR="00A77B3E" w:rsidRDefault="00D25C5E">
      <w:pPr>
        <w:spacing w:line="360" w:lineRule="auto"/>
        <w:jc w:val="both"/>
      </w:pPr>
      <w:r>
        <w:rPr>
          <w:rFonts w:ascii="Book Antiqua" w:eastAsia="Book Antiqua" w:hAnsi="Book Antiqua" w:cs="Book Antiqua"/>
          <w:color w:val="000000"/>
        </w:rPr>
        <w:t>We retrospectively identified patients with NAFLD who underwent liver biopsy at the Kawasaki Medical School General Medical Center from 1996 to 2018 (Table 1). The exclusion criteria were as follows: history of other liver diseases including hepatitis B virus or hepatitis C virus infections, autoimmune liver diseases, drug-induced liver injury, metabolic liver diseases, or history of alcohol intake (men, ≥</w:t>
      </w:r>
      <w:r w:rsidR="0084316F">
        <w:rPr>
          <w:rFonts w:ascii="Book Antiqua" w:eastAsia="Book Antiqua" w:hAnsi="Book Antiqua" w:cs="Book Antiqua"/>
          <w:color w:val="000000"/>
        </w:rPr>
        <w:t xml:space="preserve"> </w:t>
      </w:r>
      <w:r>
        <w:rPr>
          <w:rFonts w:ascii="Book Antiqua" w:eastAsia="Book Antiqua" w:hAnsi="Book Antiqua" w:cs="Book Antiqua"/>
          <w:color w:val="000000"/>
        </w:rPr>
        <w:t>30 g/d and women, ≥</w:t>
      </w:r>
      <w:r w:rsidR="0084316F">
        <w:rPr>
          <w:rFonts w:ascii="Book Antiqua" w:eastAsia="Book Antiqua" w:hAnsi="Book Antiqua" w:cs="Book Antiqua"/>
          <w:color w:val="000000"/>
        </w:rPr>
        <w:t xml:space="preserve"> </w:t>
      </w:r>
      <w:r>
        <w:rPr>
          <w:rFonts w:ascii="Book Antiqua" w:eastAsia="Book Antiqua" w:hAnsi="Book Antiqua" w:cs="Book Antiqua"/>
          <w:color w:val="000000"/>
        </w:rPr>
        <w:t>20 g/d). Blood tests were performed before the liver biopsy, and we examined the prognostic factors based on the blood test results. The study protocol complied with the guidelines of the 1975 Helsinki Declaration and was approved by the Institutional Research Ethics Committee. Written informed consent was obtained from all the patients.</w:t>
      </w:r>
    </w:p>
    <w:p w14:paraId="7E063E27" w14:textId="77777777" w:rsidR="00A77B3E" w:rsidRDefault="00A77B3E">
      <w:pPr>
        <w:spacing w:line="360" w:lineRule="auto"/>
        <w:jc w:val="both"/>
      </w:pPr>
    </w:p>
    <w:p w14:paraId="508B6783" w14:textId="77777777" w:rsidR="00A77B3E" w:rsidRDefault="00D25C5E">
      <w:pPr>
        <w:spacing w:line="360" w:lineRule="auto"/>
        <w:jc w:val="both"/>
      </w:pPr>
      <w:r>
        <w:rPr>
          <w:rFonts w:ascii="Book Antiqua" w:eastAsia="Book Antiqua" w:hAnsi="Book Antiqua" w:cs="Book Antiqua"/>
          <w:b/>
          <w:bCs/>
          <w:i/>
          <w:iCs/>
          <w:color w:val="000000"/>
        </w:rPr>
        <w:t>Clinical, biochemical, and histological parameters</w:t>
      </w:r>
    </w:p>
    <w:p w14:paraId="0F0EE47C" w14:textId="4D7A7C93" w:rsidR="00A77B3E" w:rsidRDefault="00D25C5E">
      <w:pPr>
        <w:spacing w:line="360" w:lineRule="auto"/>
        <w:jc w:val="both"/>
      </w:pPr>
      <w:r>
        <w:rPr>
          <w:rFonts w:ascii="Book Antiqua" w:eastAsia="Book Antiqua" w:hAnsi="Book Antiqua" w:cs="Book Antiqua"/>
          <w:color w:val="000000"/>
        </w:rPr>
        <w:t>We investigated the mortality rate and causes of death among the enrolled patients. We also investigated the development of any complications during the follow-up period. The start date of the follow-up period was defined as the date of liver biopsy and the end date of the follow-up period was defined as the date of last follow-up for surviving patients or the date of death for patients who died during the follow-up period. All NAFLD patients visited our hospital once every 3</w:t>
      </w:r>
      <w:r w:rsidR="000B052E">
        <w:rPr>
          <w:rFonts w:ascii="Book Antiqua" w:eastAsia="Book Antiqua" w:hAnsi="Book Antiqua" w:cs="Book Antiqua"/>
          <w:color w:val="000000"/>
        </w:rPr>
        <w:t>-</w:t>
      </w:r>
      <w:r>
        <w:rPr>
          <w:rFonts w:ascii="Book Antiqua" w:eastAsia="Book Antiqua" w:hAnsi="Book Antiqua" w:cs="Book Antiqua"/>
          <w:color w:val="000000"/>
        </w:rPr>
        <w:t xml:space="preserve">6 mo. The following clinical parameters were included in the analysis: age at diagnosis of NAFLD; sex; body mass </w:t>
      </w:r>
      <w:r>
        <w:rPr>
          <w:rFonts w:ascii="Book Antiqua" w:eastAsia="Book Antiqua" w:hAnsi="Book Antiqua" w:cs="Book Antiqua"/>
          <w:color w:val="000000"/>
        </w:rPr>
        <w:lastRenderedPageBreak/>
        <w:t>index calculated as weight (in kg) divided by height (in meters squared); and the presence of diabetes mellitus, hyperlipidemia, and dyslipidemia. We also included the following biochemical parameters in the analysis: platelet count, levels of albumin, total bilirubin, AST, ALT, gamma glutamyl transpeptidase, total cholesterol, cholinesterase, serum iron, ferritin, leptin, adiponectin, and high-sensitivity C-reactive protein, and homeostasis model assessment insulin resistance. The FIB-4 index was calculated as follows: age (years) × AST (U/L)/platelet count (</w:t>
      </w:r>
      <w:r w:rsidR="000B052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 </w:t>
      </w:r>
      <w:r w:rsidR="000B052E" w:rsidRPr="000B052E">
        <w:rPr>
          <w:rFonts w:ascii="Book Antiqua" w:eastAsia="Book Antiqua" w:hAnsi="Book Antiqua" w:cs="Book Antiqua"/>
          <w:color w:val="000000"/>
        </w:rPr>
        <w:t>√</w:t>
      </w:r>
      <w:r>
        <w:rPr>
          <w:rFonts w:ascii="Book Antiqua" w:eastAsia="Book Antiqua" w:hAnsi="Book Antiqua" w:cs="Book Antiqua"/>
          <w:color w:val="000000"/>
        </w:rPr>
        <w:t>AST (U/L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Type IV collagen 7S and procollagen III peptide (P-III-P) were used as indicators of liver fibrosis.</w:t>
      </w:r>
    </w:p>
    <w:p w14:paraId="49601EFF" w14:textId="77777777" w:rsidR="00A77B3E" w:rsidRDefault="00A77B3E">
      <w:pPr>
        <w:spacing w:line="360" w:lineRule="auto"/>
        <w:jc w:val="both"/>
      </w:pPr>
    </w:p>
    <w:p w14:paraId="0791EE16" w14:textId="77777777" w:rsidR="00A77B3E" w:rsidRDefault="00D25C5E">
      <w:pPr>
        <w:spacing w:line="360" w:lineRule="auto"/>
        <w:jc w:val="both"/>
      </w:pPr>
      <w:r>
        <w:rPr>
          <w:rFonts w:ascii="Book Antiqua" w:eastAsia="Book Antiqua" w:hAnsi="Book Antiqua" w:cs="Book Antiqua"/>
          <w:b/>
          <w:bCs/>
          <w:i/>
          <w:iCs/>
          <w:color w:val="000000"/>
        </w:rPr>
        <w:t>Liver biopsy and histological analysis</w:t>
      </w:r>
    </w:p>
    <w:p w14:paraId="0467867B" w14:textId="70C08BDB" w:rsidR="00A77B3E" w:rsidRDefault="00D25C5E">
      <w:pPr>
        <w:spacing w:line="360" w:lineRule="auto"/>
        <w:jc w:val="both"/>
      </w:pPr>
      <w:r>
        <w:rPr>
          <w:rFonts w:ascii="Book Antiqua" w:eastAsia="Book Antiqua" w:hAnsi="Book Antiqua" w:cs="Book Antiqua"/>
          <w:color w:val="000000"/>
        </w:rPr>
        <w:t xml:space="preserve">All liver biopsies were performed using 16G or 17G biopsy needles with ultrasound guidance or using 14G needles with laparoscopic guidance. The histological examinations were performed by two experienced liver pathologists who were blinded to the patient details. The histological parameters included fibrosis, inflammation, steatosis, hepatocyte ballooning, and the </w:t>
      </w:r>
      <w:r w:rsidR="000B052E">
        <w:rPr>
          <w:rFonts w:ascii="Book Antiqua" w:eastAsia="Book Antiqua" w:hAnsi="Book Antiqua" w:cs="Book Antiqua"/>
          <w:color w:val="000000"/>
        </w:rPr>
        <w:t>NAFLD</w:t>
      </w:r>
      <w:r w:rsidR="000B052E" w:rsidRPr="000B052E">
        <w:rPr>
          <w:rFonts w:ascii="Book Antiqua" w:eastAsia="Book Antiqua" w:hAnsi="Book Antiqua" w:cs="Book Antiqua"/>
          <w:color w:val="000000"/>
        </w:rPr>
        <w:t xml:space="preserve"> activity score</w:t>
      </w:r>
      <w:r w:rsidR="000B052E">
        <w:rPr>
          <w:rFonts w:ascii="Book Antiqua" w:eastAsia="Book Antiqua" w:hAnsi="Book Antiqua" w:cs="Book Antiqua"/>
          <w:color w:val="000000"/>
        </w:rPr>
        <w:t xml:space="preserve"> (</w:t>
      </w:r>
      <w:r>
        <w:rPr>
          <w:rFonts w:ascii="Book Antiqua" w:eastAsia="Book Antiqua" w:hAnsi="Book Antiqua" w:cs="Book Antiqua"/>
          <w:color w:val="000000"/>
        </w:rPr>
        <w:t>NAS</w:t>
      </w:r>
      <w:r w:rsidR="000B052E">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individual histological features of NAFLD were assessed using the following NAS system proposed by the NASH Clinical Research Network (NASH CRN): lobular inflammation (0</w:t>
      </w:r>
      <w:r w:rsidR="000B052E">
        <w:rPr>
          <w:rFonts w:ascii="Book Antiqua" w:eastAsia="Book Antiqua" w:hAnsi="Book Antiqua" w:cs="Book Antiqua"/>
          <w:color w:val="000000"/>
        </w:rPr>
        <w:t>-</w:t>
      </w:r>
      <w:r>
        <w:rPr>
          <w:rFonts w:ascii="Book Antiqua" w:eastAsia="Book Antiqua" w:hAnsi="Book Antiqua" w:cs="Book Antiqua"/>
          <w:color w:val="000000"/>
        </w:rPr>
        <w:t>3), steatosis (0</w:t>
      </w:r>
      <w:r w:rsidR="000B052E">
        <w:rPr>
          <w:rFonts w:ascii="Book Antiqua" w:eastAsia="Book Antiqua" w:hAnsi="Book Antiqua" w:cs="Book Antiqua"/>
          <w:color w:val="000000"/>
        </w:rPr>
        <w:t>-</w:t>
      </w:r>
      <w:r>
        <w:rPr>
          <w:rFonts w:ascii="Book Antiqua" w:eastAsia="Book Antiqua" w:hAnsi="Book Antiqua" w:cs="Book Antiqua"/>
          <w:color w:val="000000"/>
        </w:rPr>
        <w:t>3), and hepatocellular ballooning (0</w:t>
      </w:r>
      <w:r w:rsidR="000B052E">
        <w:rPr>
          <w:rFonts w:ascii="Book Antiqua" w:eastAsia="Book Antiqua" w:hAnsi="Book Antiqua" w:cs="Book Antiqua"/>
          <w:color w:val="000000"/>
        </w:rPr>
        <w:t>-</w:t>
      </w:r>
      <w:r>
        <w:rPr>
          <w:rFonts w:ascii="Book Antiqua" w:eastAsia="Book Antiqua" w:hAnsi="Book Antiqua" w:cs="Book Antiqua"/>
          <w:color w:val="000000"/>
        </w:rPr>
        <w:t>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w:t>
      </w:r>
      <w:r w:rsidR="006A324E">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liver fibrosis stages were assessed according to Brunt’s criteria.</w:t>
      </w:r>
    </w:p>
    <w:p w14:paraId="129ED0E9" w14:textId="77777777" w:rsidR="00A77B3E" w:rsidRDefault="00A77B3E">
      <w:pPr>
        <w:spacing w:line="360" w:lineRule="auto"/>
        <w:jc w:val="both"/>
      </w:pPr>
    </w:p>
    <w:p w14:paraId="71C14545" w14:textId="77777777" w:rsidR="00A77B3E" w:rsidRDefault="00D25C5E">
      <w:pPr>
        <w:spacing w:line="360" w:lineRule="auto"/>
        <w:jc w:val="both"/>
      </w:pPr>
      <w:r>
        <w:rPr>
          <w:rFonts w:ascii="Book Antiqua" w:eastAsia="Book Antiqua" w:hAnsi="Book Antiqua" w:cs="Book Antiqua"/>
          <w:b/>
          <w:bCs/>
          <w:i/>
          <w:iCs/>
          <w:color w:val="000000"/>
        </w:rPr>
        <w:t>Statistical analysis</w:t>
      </w:r>
    </w:p>
    <w:p w14:paraId="1E8B64F9" w14:textId="41C21395" w:rsidR="00A77B3E" w:rsidRDefault="00D25C5E">
      <w:pPr>
        <w:spacing w:line="360" w:lineRule="auto"/>
        <w:jc w:val="both"/>
      </w:pPr>
      <w:r>
        <w:rPr>
          <w:rFonts w:ascii="Book Antiqua" w:eastAsia="Book Antiqua" w:hAnsi="Book Antiqua" w:cs="Book Antiqua"/>
          <w:color w:val="000000"/>
        </w:rPr>
        <w:t>The cumulative all-cause mortality and liver-related events during follow-up were assessed using the Kaplan</w:t>
      </w:r>
      <w:r w:rsidR="000B052E">
        <w:rPr>
          <w:rFonts w:ascii="Book Antiqua" w:eastAsia="Book Antiqua" w:hAnsi="Book Antiqua" w:cs="Book Antiqua"/>
          <w:color w:val="000000"/>
        </w:rPr>
        <w:t>-</w:t>
      </w:r>
      <w:r>
        <w:rPr>
          <w:rFonts w:ascii="Book Antiqua" w:eastAsia="Book Antiqua" w:hAnsi="Book Antiqua" w:cs="Book Antiqua"/>
          <w:color w:val="000000"/>
        </w:rPr>
        <w:t xml:space="preserve">Meier method and compared using the log-rank test. The Kaplan-Meier analysis included the following variables: steatosis grade, ballooning grade, NAS category, fibrosis stage, albumin, platelet counts, type IV collagen 7S levels, and FIB-4 index. We also calculated the odds ratio and performed receiver operating characteristic (ROC) curve analysis with logistic regression analysis to determine the cutoff values with the highest predictive ability. The optimal cut-off value was </w:t>
      </w:r>
      <w:r>
        <w:rPr>
          <w:rFonts w:ascii="Book Antiqua" w:eastAsia="Book Antiqua" w:hAnsi="Book Antiqua" w:cs="Book Antiqua"/>
          <w:color w:val="000000"/>
        </w:rPr>
        <w:lastRenderedPageBreak/>
        <w:t xml:space="preserve">determined based on the Youden index. The prognostic performance of the optimal cutoff value was expressed as the diagnostic specificity, sensitivity, positive predictive value, and negative predictive value, using area under the ROC (AUROC) curve analysis. In univariate (unadjusted) and multivariate (adjusted) analyses, the hazard rate ratio estimates (relative risk) for outcomes were calculated using Cox proportional hazard regression analysis to control for the effect of potential risk factors (confounders) while considering the different follow-up durations. A </w:t>
      </w:r>
      <w:r>
        <w:rPr>
          <w:rFonts w:ascii="Book Antiqua" w:eastAsia="Book Antiqua" w:hAnsi="Book Antiqua" w:cs="Book Antiqua"/>
          <w:i/>
          <w:iCs/>
          <w:color w:val="000000"/>
        </w:rPr>
        <w:t>P</w:t>
      </w:r>
      <w:r w:rsidR="00996197">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significant. All statistical analyses were performed using JMP (version 14.2, SAS system, U</w:t>
      </w:r>
      <w:r w:rsidR="00996197">
        <w:rPr>
          <w:rFonts w:ascii="Book Antiqua" w:eastAsia="Book Antiqua" w:hAnsi="Book Antiqua" w:cs="Book Antiqua"/>
          <w:color w:val="000000"/>
        </w:rPr>
        <w:t>nited States</w:t>
      </w:r>
      <w:r>
        <w:rPr>
          <w:rFonts w:ascii="Book Antiqua" w:eastAsia="Book Antiqua" w:hAnsi="Book Antiqua" w:cs="Book Antiqua"/>
          <w:color w:val="000000"/>
        </w:rPr>
        <w:t xml:space="preserve">). The statistical methods of this study were reviewed by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Izumi from </w:t>
      </w:r>
      <w:proofErr w:type="spellStart"/>
      <w:r>
        <w:rPr>
          <w:rFonts w:ascii="Book Antiqua" w:eastAsia="Book Antiqua" w:hAnsi="Book Antiqua" w:cs="Book Antiqua"/>
          <w:color w:val="000000"/>
        </w:rPr>
        <w:t>Asahigawaso</w:t>
      </w:r>
      <w:proofErr w:type="spellEnd"/>
      <w:r>
        <w:rPr>
          <w:rFonts w:ascii="Book Antiqua" w:eastAsia="Book Antiqua" w:hAnsi="Book Antiqua" w:cs="Book Antiqua"/>
          <w:color w:val="000000"/>
        </w:rPr>
        <w:t xml:space="preserve"> Rehabilitation and Medical Center, Okayama.</w:t>
      </w:r>
    </w:p>
    <w:p w14:paraId="64AD7680" w14:textId="77777777" w:rsidR="00A77B3E" w:rsidRDefault="00A77B3E">
      <w:pPr>
        <w:spacing w:line="360" w:lineRule="auto"/>
        <w:jc w:val="both"/>
      </w:pPr>
    </w:p>
    <w:p w14:paraId="6DA808BB" w14:textId="77777777" w:rsidR="00A77B3E" w:rsidRDefault="00D25C5E">
      <w:pPr>
        <w:spacing w:line="360" w:lineRule="auto"/>
        <w:jc w:val="both"/>
      </w:pPr>
      <w:r>
        <w:rPr>
          <w:rFonts w:ascii="Book Antiqua" w:eastAsia="Book Antiqua" w:hAnsi="Book Antiqua" w:cs="Book Antiqua"/>
          <w:b/>
          <w:caps/>
          <w:color w:val="000000"/>
          <w:u w:val="single"/>
        </w:rPr>
        <w:t>RESULTS</w:t>
      </w:r>
    </w:p>
    <w:p w14:paraId="6263CDEA" w14:textId="77777777" w:rsidR="00A77B3E" w:rsidRDefault="00D25C5E">
      <w:pPr>
        <w:spacing w:line="360" w:lineRule="auto"/>
        <w:jc w:val="both"/>
      </w:pPr>
      <w:r>
        <w:rPr>
          <w:rFonts w:ascii="Book Antiqua" w:eastAsia="Book Antiqua" w:hAnsi="Book Antiqua" w:cs="Book Antiqua"/>
          <w:b/>
          <w:bCs/>
          <w:i/>
          <w:iCs/>
          <w:color w:val="000000"/>
        </w:rPr>
        <w:t>Survival rate</w:t>
      </w:r>
    </w:p>
    <w:p w14:paraId="29DF7E13" w14:textId="6555851C" w:rsidR="00A77B3E" w:rsidRDefault="00D25C5E">
      <w:pPr>
        <w:spacing w:line="360" w:lineRule="auto"/>
        <w:jc w:val="both"/>
      </w:pPr>
      <w:r>
        <w:rPr>
          <w:rFonts w:ascii="Book Antiqua" w:eastAsia="Book Antiqua" w:hAnsi="Book Antiqua" w:cs="Book Antiqua"/>
          <w:color w:val="000000"/>
        </w:rPr>
        <w:t xml:space="preserve">In total, 489 patients were enrolled in the present study; the 5-year survival rate was 98.5%, and the 10-year, 15-year, and 20-year survival rates were 95.4%, 91.9%, and 91.9%, respectively. The follow-up period varied between 1 and 22.2 years (Figure 1). In total, 13 (2.7%) patients died; of these, 7 patients died of liver-related causes </w:t>
      </w:r>
      <w:r w:rsidR="00996197">
        <w:rPr>
          <w:rFonts w:ascii="Book Antiqua" w:eastAsia="Book Antiqua" w:hAnsi="Book Antiqua" w:cs="Book Antiqua"/>
          <w:color w:val="000000"/>
        </w:rPr>
        <w:t>[</w:t>
      </w:r>
      <w:r>
        <w:rPr>
          <w:rFonts w:ascii="Book Antiqua" w:eastAsia="Book Antiqua" w:hAnsi="Book Antiqua" w:cs="Book Antiqua"/>
          <w:color w:val="000000"/>
        </w:rPr>
        <w:t xml:space="preserve">hepatocellular carcinoma </w:t>
      </w:r>
      <w:r w:rsidR="00996197">
        <w:rPr>
          <w:rFonts w:ascii="Book Antiqua" w:eastAsia="Book Antiqua" w:hAnsi="Book Antiqua" w:cs="Book Antiqua"/>
          <w:color w:val="000000"/>
        </w:rPr>
        <w:t>(</w:t>
      </w:r>
      <w:r>
        <w:rPr>
          <w:rFonts w:ascii="Book Antiqua" w:eastAsia="Book Antiqua" w:hAnsi="Book Antiqua" w:cs="Book Antiqua"/>
          <w:color w:val="000000"/>
        </w:rPr>
        <w:t>HCC</w:t>
      </w:r>
      <w:r w:rsidR="00996197">
        <w:rPr>
          <w:rFonts w:ascii="Book Antiqua" w:eastAsia="Book Antiqua" w:hAnsi="Book Antiqua" w:cs="Book Antiqua"/>
          <w:color w:val="000000"/>
        </w:rPr>
        <w:t>)</w:t>
      </w:r>
      <w:r>
        <w:rPr>
          <w:rFonts w:ascii="Book Antiqua" w:eastAsia="Book Antiqua" w:hAnsi="Book Antiqua" w:cs="Book Antiqua"/>
          <w:color w:val="000000"/>
        </w:rPr>
        <w:t xml:space="preserve"> was observed in 1 patient; Table 2</w:t>
      </w:r>
      <w:r w:rsidR="00996197">
        <w:rPr>
          <w:rFonts w:ascii="Book Antiqua" w:eastAsia="Book Antiqua" w:hAnsi="Book Antiqua" w:cs="Book Antiqua"/>
          <w:color w:val="000000"/>
        </w:rPr>
        <w:t>]</w:t>
      </w:r>
      <w:r>
        <w:rPr>
          <w:rFonts w:ascii="Book Antiqua" w:eastAsia="Book Antiqua" w:hAnsi="Book Antiqua" w:cs="Book Antiqua"/>
          <w:color w:val="000000"/>
        </w:rPr>
        <w:t>. The complications that developed during the follow-up period were HCC (</w:t>
      </w:r>
      <w:r>
        <w:rPr>
          <w:rFonts w:ascii="Book Antiqua" w:eastAsia="Book Antiqua" w:hAnsi="Book Antiqua" w:cs="Book Antiqua"/>
          <w:i/>
          <w:iCs/>
          <w:color w:val="000000"/>
        </w:rPr>
        <w:t>n</w:t>
      </w:r>
      <w:r>
        <w:rPr>
          <w:rFonts w:ascii="Book Antiqua" w:eastAsia="Book Antiqua" w:hAnsi="Book Antiqua" w:cs="Book Antiqua"/>
          <w:color w:val="000000"/>
        </w:rPr>
        <w:t xml:space="preserve"> = 12), other organ cancers (</w:t>
      </w:r>
      <w:r>
        <w:rPr>
          <w:rFonts w:ascii="Book Antiqua" w:eastAsia="Book Antiqua" w:hAnsi="Book Antiqua" w:cs="Book Antiqua"/>
          <w:i/>
          <w:iCs/>
          <w:color w:val="000000"/>
        </w:rPr>
        <w:t>n</w:t>
      </w:r>
      <w:r>
        <w:rPr>
          <w:rFonts w:ascii="Book Antiqua" w:eastAsia="Book Antiqua" w:hAnsi="Book Antiqua" w:cs="Book Antiqua"/>
          <w:color w:val="000000"/>
        </w:rPr>
        <w:t xml:space="preserve"> = 13), and cerebrovascular disorders (</w:t>
      </w:r>
      <w:r>
        <w:rPr>
          <w:rFonts w:ascii="Book Antiqua" w:eastAsia="Book Antiqua" w:hAnsi="Book Antiqua" w:cs="Book Antiqua"/>
          <w:i/>
          <w:iCs/>
          <w:color w:val="000000"/>
        </w:rPr>
        <w:t>n</w:t>
      </w:r>
      <w:r>
        <w:rPr>
          <w:rFonts w:ascii="Book Antiqua" w:eastAsia="Book Antiqua" w:hAnsi="Book Antiqua" w:cs="Book Antiqua"/>
          <w:color w:val="000000"/>
        </w:rPr>
        <w:t xml:space="preserve"> = 9).</w:t>
      </w:r>
    </w:p>
    <w:p w14:paraId="7DF4603D" w14:textId="77777777" w:rsidR="00A77B3E" w:rsidRDefault="00A77B3E">
      <w:pPr>
        <w:spacing w:line="360" w:lineRule="auto"/>
        <w:jc w:val="both"/>
      </w:pPr>
    </w:p>
    <w:p w14:paraId="231CECFD" w14:textId="77777777" w:rsidR="00A77B3E" w:rsidRDefault="00D25C5E">
      <w:pPr>
        <w:spacing w:line="360" w:lineRule="auto"/>
        <w:jc w:val="both"/>
      </w:pPr>
      <w:r>
        <w:rPr>
          <w:rFonts w:ascii="Book Antiqua" w:eastAsia="Book Antiqua" w:hAnsi="Book Antiqua" w:cs="Book Antiqua"/>
          <w:b/>
          <w:bCs/>
          <w:i/>
          <w:iCs/>
          <w:color w:val="000000"/>
        </w:rPr>
        <w:t>Liver histological findings</w:t>
      </w:r>
    </w:p>
    <w:p w14:paraId="27BC5DE2" w14:textId="4D76236E" w:rsidR="00A77B3E" w:rsidRDefault="00D25C5E">
      <w:pPr>
        <w:spacing w:line="360" w:lineRule="auto"/>
        <w:jc w:val="both"/>
      </w:pPr>
      <w:r>
        <w:rPr>
          <w:rFonts w:ascii="Book Antiqua" w:eastAsia="Book Antiqua" w:hAnsi="Book Antiqua" w:cs="Book Antiqua"/>
          <w:color w:val="000000"/>
        </w:rPr>
        <w:t>Patients presenting with progression of advanced liver fibrosis after liver biopsy had increased mortality. The 5-year and 10-year survival rates of patients with NASH CRN Stage 4 disease were 81% and 41%, respectively. However, the degree of inflammation or steatosis was not associated with poor prognosis. The optimal area under the curve for albumin was 3.8 and 3.5 with specificities of 47% and 39%, sensitivities of 95% and 99%, positive predictive values of 98% and 98%, and negative predictive values of 21% and 56% (Figure 2).</w:t>
      </w:r>
    </w:p>
    <w:p w14:paraId="006A74E2" w14:textId="77777777" w:rsidR="00A77B3E" w:rsidRDefault="00A77B3E">
      <w:pPr>
        <w:spacing w:line="360" w:lineRule="auto"/>
        <w:jc w:val="both"/>
      </w:pPr>
    </w:p>
    <w:p w14:paraId="0F12A40C" w14:textId="77777777" w:rsidR="00A77B3E" w:rsidRDefault="00D25C5E">
      <w:pPr>
        <w:spacing w:line="360" w:lineRule="auto"/>
        <w:jc w:val="both"/>
      </w:pPr>
      <w:r>
        <w:rPr>
          <w:rFonts w:ascii="Book Antiqua" w:eastAsia="Book Antiqua" w:hAnsi="Book Antiqua" w:cs="Book Antiqua"/>
          <w:b/>
          <w:bCs/>
          <w:i/>
          <w:iCs/>
          <w:color w:val="000000"/>
        </w:rPr>
        <w:t>Blood test factors</w:t>
      </w:r>
    </w:p>
    <w:p w14:paraId="592C1EB3" w14:textId="77777777" w:rsidR="00A77B3E" w:rsidRDefault="00D25C5E">
      <w:pPr>
        <w:spacing w:line="360" w:lineRule="auto"/>
        <w:jc w:val="both"/>
      </w:pPr>
      <w:r>
        <w:rPr>
          <w:rFonts w:ascii="Book Antiqua" w:eastAsia="Book Antiqua" w:hAnsi="Book Antiqua" w:cs="Book Antiqua"/>
          <w:color w:val="000000"/>
        </w:rPr>
        <w:t>A univariate Cox hazard model was used for analyzing factors associated with mortality at the time of diagnosis of the NASH Clinical Research Network. We found that the ALT levels, platelet counts, albumin levels, and levels of liver fibrosis markers (P-III-P, type IV collagen 7S and FIB-4 index) were significantly associated with mortality (Table 3).</w:t>
      </w:r>
    </w:p>
    <w:p w14:paraId="0CA2A32B" w14:textId="7FC99833" w:rsidR="00A77B3E" w:rsidRDefault="00D25C5E" w:rsidP="00996197">
      <w:pPr>
        <w:spacing w:line="360" w:lineRule="auto"/>
        <w:ind w:firstLineChars="100" w:firstLine="240"/>
        <w:jc w:val="both"/>
      </w:pPr>
      <w:r>
        <w:rPr>
          <w:rFonts w:ascii="Book Antiqua" w:eastAsia="Book Antiqua" w:hAnsi="Book Antiqua" w:cs="Book Antiqua"/>
          <w:color w:val="000000"/>
        </w:rPr>
        <w:t>Survival curves were created using the following biomarkers: type IV collagen 7S, platelet count, albumin, and FIB-4 index. ALT was not included as a biomarker because the levels frequently varied. To investigate the predictive performance of these biomarkers with respect to NAFLD mortality, an optimal COI for type IV collagen 7S level, platelet count, albumin level, and FIB-4 index was determined based on the ROC curve analysis of all 489 patients with NAFLD. As shown in Figure 3</w:t>
      </w:r>
      <w:r w:rsidR="00996197">
        <w:rPr>
          <w:rFonts w:ascii="Book Antiqua" w:eastAsia="Book Antiqua" w:hAnsi="Book Antiqua" w:cs="Book Antiqua"/>
          <w:color w:val="000000"/>
        </w:rPr>
        <w:t>A-D</w:t>
      </w:r>
      <w:r>
        <w:rPr>
          <w:rFonts w:ascii="Book Antiqua" w:eastAsia="Book Antiqua" w:hAnsi="Book Antiqua" w:cs="Book Antiqua"/>
          <w:color w:val="000000"/>
        </w:rPr>
        <w:t>, the cutoff values for the platelet count, albumin level, type IV collagen 7S concentration and the FIB-4 index were set at 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3.8 g/dL, and 3.5 mg/dL, 5.0 ng/mL, and 1.3 and 2.61, respectively.</w:t>
      </w:r>
    </w:p>
    <w:p w14:paraId="565A543A" w14:textId="043D29F9" w:rsidR="00A77B3E" w:rsidRDefault="00D25C5E" w:rsidP="00996197">
      <w:pPr>
        <w:spacing w:line="360" w:lineRule="auto"/>
        <w:ind w:firstLineChars="100" w:firstLine="240"/>
        <w:jc w:val="both"/>
      </w:pPr>
      <w:r>
        <w:rPr>
          <w:rFonts w:ascii="Book Antiqua" w:eastAsia="Book Antiqua" w:hAnsi="Book Antiqua" w:cs="Book Antiqua"/>
          <w:color w:val="000000"/>
        </w:rPr>
        <w:t>At the time of NASH diagnosis, patients with albumin levels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3.5 mg/dL, platelet counts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type IV collagen 7S levels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5 ng/dL, and FIB-4 indexes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2.67 clearly showed reduced survival (Figure 4</w:t>
      </w:r>
      <w:r w:rsidR="00996197">
        <w:rPr>
          <w:rFonts w:ascii="Book Antiqua" w:eastAsia="Book Antiqua" w:hAnsi="Book Antiqua" w:cs="Book Antiqua"/>
          <w:color w:val="000000"/>
        </w:rPr>
        <w:t>A-D</w:t>
      </w:r>
      <w:r>
        <w:rPr>
          <w:rFonts w:ascii="Book Antiqua" w:eastAsia="Book Antiqua" w:hAnsi="Book Antiqua" w:cs="Book Antiqua"/>
          <w:color w:val="000000"/>
        </w:rPr>
        <w:t>). Furthermore, we investigated the prognosis by combining type IV collagen 7S, which had a high AUROC among liver fibrosis markers (type IV collagen 7S, P-III-P, and FIB-4 index), the albumin level, and platelet count. Albumin level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3.5 mg/dL, platelet count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and type IV collagen 7S levels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5 ng/dL were examined individually and in combination. The 5-year, 10-year, and 15-year survival rates for patients with only one factor were 99.7%, 98.3%, and 94%, respectively. However, survival rates were low for patients who presented with more than one factor. For these individuals, the 5-year and 10-year survival rates were 98% and 43%, respectively. For those who presented with two factors, the 5-</w:t>
      </w:r>
      <w:r w:rsidR="00996197">
        <w:rPr>
          <w:rFonts w:ascii="Book Antiqua" w:eastAsia="Book Antiqua" w:hAnsi="Book Antiqua" w:cs="Book Antiqua"/>
          <w:color w:val="000000"/>
        </w:rPr>
        <w:t>year</w:t>
      </w:r>
      <w:r>
        <w:rPr>
          <w:rFonts w:ascii="Book Antiqua" w:eastAsia="Book Antiqua" w:hAnsi="Book Antiqua" w:cs="Book Antiqua"/>
          <w:color w:val="000000"/>
        </w:rPr>
        <w:t xml:space="preserve"> and 10-year survival were 53% and 26%, respectively, and for those presenting with three factors (Figure 5).</w:t>
      </w:r>
    </w:p>
    <w:p w14:paraId="625E2A55" w14:textId="77777777" w:rsidR="00A77B3E" w:rsidRDefault="00A77B3E" w:rsidP="00996197">
      <w:pPr>
        <w:spacing w:line="360" w:lineRule="auto"/>
        <w:jc w:val="both"/>
      </w:pPr>
    </w:p>
    <w:p w14:paraId="518AE2FB" w14:textId="77777777" w:rsidR="00A77B3E" w:rsidRDefault="00D25C5E">
      <w:pPr>
        <w:spacing w:line="360" w:lineRule="auto"/>
        <w:jc w:val="both"/>
      </w:pPr>
      <w:r>
        <w:rPr>
          <w:rFonts w:ascii="Book Antiqua" w:eastAsia="Book Antiqua" w:hAnsi="Book Antiqua" w:cs="Book Antiqua"/>
          <w:b/>
          <w:caps/>
          <w:color w:val="000000"/>
          <w:u w:val="single"/>
        </w:rPr>
        <w:t>DISCUSSION</w:t>
      </w:r>
    </w:p>
    <w:p w14:paraId="5832AACC" w14:textId="25C24526" w:rsidR="00A77B3E" w:rsidRDefault="00D25C5E">
      <w:pPr>
        <w:spacing w:line="360" w:lineRule="auto"/>
        <w:jc w:val="both"/>
      </w:pPr>
      <w:r>
        <w:rPr>
          <w:rFonts w:ascii="Book Antiqua" w:eastAsia="Book Antiqua" w:hAnsi="Book Antiqua" w:cs="Book Antiqua"/>
          <w:color w:val="000000"/>
        </w:rPr>
        <w:t xml:space="preserve">To the best of our knowledge, this study is the first study to evaluate the predictors of the prognosis of NAFLD based on the results of a blood test. We found that a combination of three non-invasive biomarkers, namely, platelet count, albumin level, and type IV collagen 7S level, is a useful predictor of NAFLD prognosis. The major causes of death in patients with NAFLD are cardiovascular events, organ cancers other than liver cancer, and liver-related disease. Among Japanese patients with NAFLD, the reported mortality rates associated with NAFLD are low during the follow-up period. The causes of death are more likely to be cancers of other organs and cerebral cardiovascular events than liver-related </w:t>
      </w:r>
      <w:proofErr w:type="gramStart"/>
      <w:r>
        <w:rPr>
          <w:rFonts w:ascii="Book Antiqua" w:eastAsia="Book Antiqua" w:hAnsi="Book Antiqua" w:cs="Book Antiqua"/>
          <w:color w:val="000000"/>
        </w:rPr>
        <w:t>pathologies</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CF385D" w14:textId="39087FB2" w:rsidR="00A77B3E" w:rsidRDefault="00D25C5E" w:rsidP="00996197">
      <w:pPr>
        <w:spacing w:line="360" w:lineRule="auto"/>
        <w:ind w:firstLineChars="50" w:firstLine="120"/>
        <w:jc w:val="both"/>
      </w:pPr>
      <w:r>
        <w:rPr>
          <w:rFonts w:ascii="Book Antiqua" w:eastAsia="Book Antiqua" w:hAnsi="Book Antiqua" w:cs="Book Antiqua"/>
          <w:color w:val="000000"/>
        </w:rPr>
        <w:t>The most important predictor of outcomes among patients with NAFLD is the progression of liver fibrosis</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Angulo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6197">
        <w:rPr>
          <w:rFonts w:ascii="Book Antiqua" w:eastAsia="Book Antiqua" w:hAnsi="Book Antiqua" w:cs="Book Antiqua"/>
          <w:color w:val="000000"/>
          <w:szCs w:val="30"/>
          <w:vertAlign w:val="superscript"/>
        </w:rPr>
        <w:t>[</w:t>
      </w:r>
      <w:proofErr w:type="gramEnd"/>
      <w:r w:rsidR="00996197">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retrospectively analyzed the long-term outcomes of 619 patients diagnosed with NAFLD in the United States, Europe, and Thailand during 1975</w:t>
      </w:r>
      <w:r w:rsidR="00996197">
        <w:rPr>
          <w:rFonts w:ascii="Book Antiqua" w:eastAsia="Book Antiqua" w:hAnsi="Book Antiqua" w:cs="Book Antiqua"/>
          <w:color w:val="000000"/>
        </w:rPr>
        <w:t>-</w:t>
      </w:r>
      <w:r>
        <w:rPr>
          <w:rFonts w:ascii="Book Antiqua" w:eastAsia="Book Antiqua" w:hAnsi="Book Antiqua" w:cs="Book Antiqua"/>
          <w:color w:val="000000"/>
        </w:rPr>
        <w:t>2005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reported that only liver fibrosis, among various longitudinal histological features, was associated with disease prognosis. Only liver fibrosis was independently associated with long-term all-cause mortality, liver transplantation, and liver-related events. Meta-analyses have also reported that liver fibrosis is an important risk factor for liver-related mortality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Compared with NAFLD patients without fibrosis, NAFLD patients with fibrosis were at an increased risk of all-cause mortality, and the risk increased as fibrosis progressed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our study, patients with advanced liver fibrosis, especially cirrhosis, also showed poor prognosis; however, an association with inflammation, steatosis, or ballooning was not noted. Our findings further confirm that the progression of fibrosis markedly affects the prognosis of patients with NAFLD.</w:t>
      </w:r>
    </w:p>
    <w:p w14:paraId="6AB222F8" w14:textId="3CE0CFED" w:rsidR="00A77B3E" w:rsidRDefault="00D25C5E" w:rsidP="00996197">
      <w:pPr>
        <w:spacing w:line="360" w:lineRule="auto"/>
        <w:ind w:firstLineChars="100" w:firstLine="240"/>
        <w:jc w:val="both"/>
      </w:pPr>
      <w:r>
        <w:rPr>
          <w:rFonts w:ascii="Book Antiqua" w:eastAsia="Book Antiqua" w:hAnsi="Book Antiqua" w:cs="Book Antiqua"/>
          <w:color w:val="000000"/>
        </w:rPr>
        <w:t>Several biomarkers can be used to evaluate liver fibrosis in patients with NAFLD</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4,11,</w:t>
      </w:r>
      <w:r w:rsidR="006A324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sidR="00996197">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w:t>
      </w:r>
      <w:r w:rsidR="006A324E">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previous studies have not examined disease prognosis using blood biomarker levels recorded at the time of NAFLD diagnosis using liver biopsy.</w:t>
      </w:r>
    </w:p>
    <w:p w14:paraId="4EF48678" w14:textId="11EFF467" w:rsidR="00A77B3E" w:rsidRDefault="00D25C5E" w:rsidP="00996197">
      <w:pPr>
        <w:spacing w:line="360" w:lineRule="auto"/>
        <w:ind w:firstLineChars="100" w:firstLine="240"/>
        <w:jc w:val="both"/>
      </w:pPr>
      <w:r>
        <w:rPr>
          <w:rFonts w:ascii="Book Antiqua" w:eastAsia="Book Antiqua" w:hAnsi="Book Antiqua" w:cs="Book Antiqua"/>
          <w:color w:val="000000"/>
        </w:rPr>
        <w:lastRenderedPageBreak/>
        <w:t xml:space="preserve">NAFLD may progress rapidly in some patients and slowly in other patients.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performed a systematic review and meta-analysis of 11 paired biopsy cohort studies that included 411 patients with &gt;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2145 person-years of follow-up data and reported that approximately 30% of the patients developed advanced fibrosis and 70% of the patients remained stable or the stage of fibrosis in these patients improved. Furthermore, the annual fibrosis progression rates were 0.07 stages for patients with NAFLD and 0.14 stages for patients with NASH. Nasr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conducted a biochemical, clinical, and histological analysis of 129 patients with NAFLD who were enrolled between 1988 and 1993 in a prospective cohort study and followed them for 19.8 years. They reported that end-stage liver disease developed in 12 (9.3%) patients and advanced fibrosis developed in 34% of the patients. Furthermore, among the 113 patients with low baseline fibrosis (stage 3), 16% of the patients developed advanced fibrosis. No differences in clinical, histological, or biochemical variables were observed between patients who developed liver fibrosis and those who did not. These studies did not examine the association of </w:t>
      </w:r>
      <w:r w:rsidRPr="00996197">
        <w:rPr>
          <w:rFonts w:ascii="Book Antiqua" w:eastAsia="Book Antiqua" w:hAnsi="Book Antiqua" w:cs="Book Antiqua"/>
          <w:i/>
          <w:iCs/>
          <w:color w:val="000000"/>
        </w:rPr>
        <w:t>PNPLA3</w:t>
      </w:r>
      <w:r>
        <w:rPr>
          <w:rFonts w:ascii="Book Antiqua" w:eastAsia="Book Antiqua" w:hAnsi="Book Antiqua" w:cs="Book Antiqua"/>
          <w:color w:val="000000"/>
        </w:rPr>
        <w:t xml:space="preserve"> polymorphisms with menopause. Although the difference in the progression of NASH and NAFLD is not clear, racial differences and genetic factors, including </w:t>
      </w:r>
      <w:r w:rsidRPr="00996197">
        <w:rPr>
          <w:rFonts w:ascii="Book Antiqua" w:eastAsia="Book Antiqua" w:hAnsi="Book Antiqua" w:cs="Book Antiqua"/>
          <w:i/>
          <w:iCs/>
          <w:color w:val="000000"/>
        </w:rPr>
        <w:t>PNPLA3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3</w:t>
      </w:r>
      <w:r w:rsidR="00401BFF">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weight gain, onset and deterioration of diabetes</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3</w:t>
      </w:r>
      <w:r w:rsidR="00401BFF">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sex differences, and menopausal factors, affect prognosis</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3</w:t>
      </w:r>
      <w:r w:rsidR="00401BFF">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D78589" w14:textId="3D7FBE34" w:rsidR="00A77B3E" w:rsidRDefault="00D25C5E" w:rsidP="00996197">
      <w:pPr>
        <w:spacing w:line="360" w:lineRule="auto"/>
        <w:ind w:firstLineChars="100" w:firstLine="240"/>
        <w:jc w:val="both"/>
      </w:pPr>
      <w:r>
        <w:rPr>
          <w:rFonts w:ascii="Book Antiqua" w:eastAsia="Book Antiqua" w:hAnsi="Book Antiqua" w:cs="Book Antiqua"/>
          <w:color w:val="000000"/>
        </w:rPr>
        <w:t xml:space="preserve">It is necessary to consider the various factors that affect disease progress in each case of NAFLD. Although several studies have reported on the evaluation of biomarkers and elastography methods that can predict the progression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4,11,</w:t>
      </w:r>
      <w:r w:rsidR="006A324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sidR="00996197">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non-invasive biomarkers that can easily predict the prognosis of NAFLD have not been identified to date.</w:t>
      </w:r>
    </w:p>
    <w:p w14:paraId="082A8761" w14:textId="0939AE8E" w:rsidR="00A77B3E" w:rsidRDefault="00D25C5E" w:rsidP="00996197">
      <w:pPr>
        <w:spacing w:line="360" w:lineRule="auto"/>
        <w:ind w:firstLineChars="100" w:firstLine="240"/>
        <w:jc w:val="both"/>
      </w:pPr>
      <w:r>
        <w:rPr>
          <w:rFonts w:ascii="Book Antiqua" w:eastAsia="Book Antiqua" w:hAnsi="Book Antiqua" w:cs="Book Antiqua"/>
          <w:color w:val="000000"/>
        </w:rPr>
        <w:t>Our results indicate that patients with NAFLD who present with a combination of albumin level &lt; 3.5 g/dL, platelet count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and type IV collagen 7S level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5 ng/mL show poor prognosis. In particular, the 10-year survival rate was only 43% for patients who presented with all three factors. We observed that type IV collagen 7S was a more useful indicator of advanced liver fibrosis than other biomarkers (Table 3).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type IV collagen 7S level is a more useful marker of </w:t>
      </w:r>
      <w:r>
        <w:rPr>
          <w:rFonts w:ascii="Book Antiqua" w:eastAsia="Book Antiqua" w:hAnsi="Book Antiqua" w:cs="Book Antiqua"/>
          <w:color w:val="000000"/>
        </w:rPr>
        <w:lastRenderedPageBreak/>
        <w:t>prognosis for patients with advanced fibrosis associated with NASH than for patients with mild fibrosis. Furthermore, a scoring system that uses type IV collagen 7S and AST levels, named the CA index, has been reported to predict NASH and fibrosis associated with NAFLD with sufficient accuracy, thus allowing for convenient diagnosis and screening of NASH and associated fibrosis</w:t>
      </w:r>
      <w:r>
        <w:rPr>
          <w:rFonts w:ascii="Book Antiqua" w:eastAsia="Book Antiqua" w:hAnsi="Book Antiqua" w:cs="Book Antiqua"/>
          <w:color w:val="000000"/>
          <w:szCs w:val="30"/>
          <w:vertAlign w:val="superscript"/>
        </w:rPr>
        <w:t>[</w:t>
      </w:r>
      <w:r w:rsidR="00401BFF">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same index was found to be useful in 400 Japanese patients from 18 institutes with biopsy-proven NAFLD and advanced liver fibrosis due to CA or FA fibrosis. The CA index is a combination of AST and type IV collagen 7S levels, and the FM fiber index includes type IV collagen 7S and hyaluronic acid levels and vascular cell </w:t>
      </w:r>
      <w:proofErr w:type="gramStart"/>
      <w:r>
        <w:rPr>
          <w:rFonts w:ascii="Book Antiqua" w:eastAsia="Book Antiqua" w:hAnsi="Book Antiqua" w:cs="Book Antiqua"/>
          <w:color w:val="000000"/>
        </w:rPr>
        <w:t>adhesion</w:t>
      </w:r>
      <w:r>
        <w:rPr>
          <w:rFonts w:ascii="Book Antiqua" w:eastAsia="Book Antiqua" w:hAnsi="Book Antiqua" w:cs="Book Antiqua"/>
          <w:color w:val="000000"/>
          <w:szCs w:val="30"/>
          <w:vertAlign w:val="superscript"/>
        </w:rPr>
        <w:t>[</w:t>
      </w:r>
      <w:proofErr w:type="gramEnd"/>
      <w:r w:rsidR="00401BFF">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type IV collagen 7S level is useful for determining advanced fibrosis in patients with NASH and was found to be more sensitive and specific than other fibrosis markers assessed in our study.</w:t>
      </w:r>
    </w:p>
    <w:p w14:paraId="629846F7" w14:textId="04EA3BDB" w:rsidR="00A77B3E" w:rsidRDefault="00D25C5E" w:rsidP="00996197">
      <w:pPr>
        <w:spacing w:line="360" w:lineRule="auto"/>
        <w:ind w:firstLineChars="100" w:firstLine="240"/>
        <w:jc w:val="both"/>
      </w:pPr>
      <w:r>
        <w:rPr>
          <w:rFonts w:ascii="Book Antiqua" w:eastAsia="Book Antiqua" w:hAnsi="Book Antiqua" w:cs="Book Antiqua"/>
          <w:color w:val="000000"/>
        </w:rPr>
        <w:t xml:space="preserve">Albumin is also an important biomarker for predicting the prognosis of HCC in patients with NAFLD. Kawaguchi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6197">
        <w:rPr>
          <w:rFonts w:ascii="Book Antiqua" w:eastAsia="Book Antiqua" w:hAnsi="Book Antiqua" w:cs="Book Antiqua"/>
          <w:color w:val="000000"/>
          <w:szCs w:val="30"/>
          <w:vertAlign w:val="superscript"/>
        </w:rPr>
        <w:t>[</w:t>
      </w:r>
      <w:proofErr w:type="gramEnd"/>
      <w:r w:rsidR="00401BFF">
        <w:rPr>
          <w:rFonts w:ascii="Book Antiqua" w:eastAsia="Book Antiqua" w:hAnsi="Book Antiqua" w:cs="Book Antiqua"/>
          <w:color w:val="000000"/>
          <w:szCs w:val="20"/>
          <w:vertAlign w:val="superscript"/>
        </w:rPr>
        <w:t>34</w:t>
      </w:r>
      <w:r w:rsidR="009961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analyzed the factors affecting survival by performing a random forest analysis for 247 NAFLD-HCC patients diagnosed between 2000 and 2014 and recruited from 17 medical institutions in Japan. The results showed that the best prognostic profile for patients with NAFLD-HC comprised treatment for HCC and serum albumin levels &gt;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3.7 g/dL.</w:t>
      </w:r>
    </w:p>
    <w:p w14:paraId="06E74A73" w14:textId="77777777" w:rsidR="00A77B3E" w:rsidRDefault="00D25C5E" w:rsidP="00996197">
      <w:pPr>
        <w:spacing w:line="360" w:lineRule="auto"/>
        <w:ind w:firstLineChars="100" w:firstLine="240"/>
        <w:jc w:val="both"/>
      </w:pPr>
      <w:r>
        <w:rPr>
          <w:rFonts w:ascii="Book Antiqua" w:eastAsia="Book Antiqua" w:hAnsi="Book Antiqua" w:cs="Book Antiqua"/>
          <w:color w:val="000000"/>
        </w:rPr>
        <w:t>There are some limitations of this study. We did not classify prognosis according to all-cause mortality; moreover, the study population comprised patients from at a single center. Nevertheless, it is significant that the study followed a long-term course of up to 20 years.</w:t>
      </w:r>
    </w:p>
    <w:p w14:paraId="721FD3A6" w14:textId="77777777" w:rsidR="00A77B3E" w:rsidRDefault="00D25C5E" w:rsidP="00996197">
      <w:pPr>
        <w:spacing w:line="360" w:lineRule="auto"/>
        <w:ind w:firstLineChars="100" w:firstLine="240"/>
        <w:jc w:val="both"/>
      </w:pPr>
      <w:r>
        <w:rPr>
          <w:rFonts w:ascii="Book Antiqua" w:eastAsia="Book Antiqua" w:hAnsi="Book Antiqua" w:cs="Book Antiqua"/>
          <w:color w:val="000000"/>
        </w:rPr>
        <w:t>In our study, the platelet count, albumin level, type IV collagen 7S level, and the FIB-4 index were important prognostic factors at the time of diagnosis of NAFLD. Our findings suggest that these factors should be recorded in patients with NAFLD at the time of diagnosis to determine future treatment strategies.</w:t>
      </w:r>
    </w:p>
    <w:p w14:paraId="4A077825" w14:textId="77777777" w:rsidR="00A77B3E" w:rsidRDefault="00D25C5E" w:rsidP="00996197">
      <w:pPr>
        <w:spacing w:line="360" w:lineRule="auto"/>
        <w:ind w:firstLineChars="100" w:firstLine="240"/>
        <w:jc w:val="both"/>
      </w:pPr>
      <w:r>
        <w:rPr>
          <w:rFonts w:ascii="Book Antiqua" w:eastAsia="Book Antiqua" w:hAnsi="Book Antiqua" w:cs="Book Antiqua"/>
          <w:color w:val="000000"/>
        </w:rPr>
        <w:t xml:space="preserve">Studies conducted in the future should focus on assessing these biomarkers further and examining long-term prognosis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magnetic resonance elastography. Further research is also needed to confirm these findings in other populations.</w:t>
      </w:r>
    </w:p>
    <w:p w14:paraId="1B991290" w14:textId="77777777" w:rsidR="00A77B3E" w:rsidRDefault="00A77B3E" w:rsidP="00996197">
      <w:pPr>
        <w:spacing w:line="360" w:lineRule="auto"/>
        <w:jc w:val="both"/>
      </w:pPr>
    </w:p>
    <w:p w14:paraId="5A69E019" w14:textId="77777777" w:rsidR="00A77B3E" w:rsidRDefault="00D25C5E">
      <w:pPr>
        <w:spacing w:line="360" w:lineRule="auto"/>
        <w:jc w:val="both"/>
      </w:pPr>
      <w:r>
        <w:rPr>
          <w:rFonts w:ascii="Book Antiqua" w:eastAsia="Book Antiqua" w:hAnsi="Book Antiqua" w:cs="Book Antiqua"/>
          <w:b/>
          <w:caps/>
          <w:color w:val="000000"/>
          <w:u w:val="single"/>
        </w:rPr>
        <w:t>CONCLUSION</w:t>
      </w:r>
    </w:p>
    <w:p w14:paraId="2AC70B5B" w14:textId="77777777" w:rsidR="00A77B3E" w:rsidRDefault="00D25C5E">
      <w:pPr>
        <w:spacing w:line="360" w:lineRule="auto"/>
        <w:jc w:val="both"/>
      </w:pPr>
      <w:r>
        <w:rPr>
          <w:rFonts w:ascii="Book Antiqua" w:eastAsia="Book Antiqua" w:hAnsi="Book Antiqua" w:cs="Book Antiqua"/>
          <w:color w:val="000000"/>
        </w:rPr>
        <w:t>This study may prove useful in clinical practice because simple predictors of NAFLD progression, namely, albumin level, platelet count, and type IV collagen 7S level, were identified; all these parameters are can be easily assessed in daily practice.</w:t>
      </w:r>
    </w:p>
    <w:p w14:paraId="310B6798" w14:textId="77777777" w:rsidR="00A77B3E" w:rsidRDefault="00A77B3E">
      <w:pPr>
        <w:spacing w:line="360" w:lineRule="auto"/>
        <w:jc w:val="both"/>
      </w:pPr>
    </w:p>
    <w:p w14:paraId="1D91FB47" w14:textId="77777777" w:rsidR="00A77B3E" w:rsidRDefault="00D25C5E">
      <w:pPr>
        <w:spacing w:line="360" w:lineRule="auto"/>
        <w:jc w:val="both"/>
      </w:pPr>
      <w:r>
        <w:rPr>
          <w:rFonts w:ascii="Book Antiqua" w:eastAsia="Book Antiqua" w:hAnsi="Book Antiqua" w:cs="Book Antiqua"/>
          <w:b/>
          <w:caps/>
          <w:color w:val="000000"/>
          <w:u w:val="single"/>
        </w:rPr>
        <w:t>ARTICLE HIGHLIGHTS</w:t>
      </w:r>
    </w:p>
    <w:p w14:paraId="04618A18" w14:textId="77777777" w:rsidR="00A77B3E" w:rsidRDefault="00D25C5E">
      <w:pPr>
        <w:spacing w:line="360" w:lineRule="auto"/>
        <w:jc w:val="both"/>
      </w:pPr>
      <w:r>
        <w:rPr>
          <w:rFonts w:ascii="Book Antiqua" w:eastAsia="Book Antiqua" w:hAnsi="Book Antiqua" w:cs="Book Antiqua"/>
          <w:b/>
          <w:i/>
          <w:color w:val="000000"/>
        </w:rPr>
        <w:t>Research background</w:t>
      </w:r>
    </w:p>
    <w:p w14:paraId="2CFB7025" w14:textId="55746D05" w:rsidR="00A77B3E" w:rsidRDefault="00D25C5E">
      <w:pPr>
        <w:spacing w:line="360" w:lineRule="auto"/>
        <w:jc w:val="both"/>
      </w:pPr>
      <w:r>
        <w:rPr>
          <w:rFonts w:ascii="Book Antiqua" w:eastAsia="Book Antiqua" w:hAnsi="Book Antiqua" w:cs="Book Antiqua"/>
          <w:color w:val="000000"/>
        </w:rPr>
        <w:t>Non-alcoholic steatohepatitis</w:t>
      </w:r>
      <w:r w:rsidR="00996197">
        <w:rPr>
          <w:rFonts w:ascii="Book Antiqua" w:hAnsi="Book Antiqua" w:cs="Book Antiqua"/>
          <w:color w:val="000000"/>
          <w:lang w:eastAsia="zh-CN"/>
        </w:rPr>
        <w:t xml:space="preserve"> </w:t>
      </w:r>
      <w:r>
        <w:rPr>
          <w:rFonts w:ascii="Book Antiqua" w:eastAsia="Book Antiqua" w:hAnsi="Book Antiqua" w:cs="Book Antiqua"/>
          <w:color w:val="000000"/>
        </w:rPr>
        <w:t>has few symptoms until it progresses; thus, it is necessary to identify non-alcoholic fatty liver disease (NAFLD) patients who will show poor prognosis.</w:t>
      </w:r>
    </w:p>
    <w:p w14:paraId="450A0279" w14:textId="77777777" w:rsidR="00A77B3E" w:rsidRDefault="00A77B3E">
      <w:pPr>
        <w:spacing w:line="360" w:lineRule="auto"/>
        <w:jc w:val="both"/>
      </w:pPr>
    </w:p>
    <w:p w14:paraId="2C0DBD4A" w14:textId="77777777" w:rsidR="00A77B3E" w:rsidRDefault="00D25C5E">
      <w:pPr>
        <w:spacing w:line="360" w:lineRule="auto"/>
        <w:jc w:val="both"/>
      </w:pPr>
      <w:r>
        <w:rPr>
          <w:rFonts w:ascii="Book Antiqua" w:eastAsia="Book Antiqua" w:hAnsi="Book Antiqua" w:cs="Book Antiqua"/>
          <w:b/>
          <w:i/>
          <w:color w:val="000000"/>
        </w:rPr>
        <w:t>Research motivation</w:t>
      </w:r>
    </w:p>
    <w:p w14:paraId="262397DA" w14:textId="77777777" w:rsidR="00A77B3E" w:rsidRDefault="00D25C5E">
      <w:pPr>
        <w:spacing w:line="360" w:lineRule="auto"/>
        <w:jc w:val="both"/>
      </w:pPr>
      <w:r>
        <w:rPr>
          <w:rFonts w:ascii="Book Antiqua" w:eastAsia="Book Antiqua" w:hAnsi="Book Antiqua" w:cs="Book Antiqua"/>
          <w:color w:val="000000"/>
        </w:rPr>
        <w:t>The limitations of liver biopsies, such as invasiveness, poor patient tolerance, sampling variability, and high costs, are well known. Thus, there is increasing interest in developing and validating non-invasive methods for measuring liver stiffness. However, many current methods involve instruments that are not available in many institutions.</w:t>
      </w:r>
    </w:p>
    <w:p w14:paraId="3E85431D" w14:textId="77777777" w:rsidR="00A77B3E" w:rsidRDefault="00A77B3E">
      <w:pPr>
        <w:spacing w:line="360" w:lineRule="auto"/>
        <w:jc w:val="both"/>
      </w:pPr>
    </w:p>
    <w:p w14:paraId="196C7CDD" w14:textId="77777777" w:rsidR="00A77B3E" w:rsidRDefault="00D25C5E">
      <w:pPr>
        <w:spacing w:line="360" w:lineRule="auto"/>
        <w:jc w:val="both"/>
      </w:pPr>
      <w:r>
        <w:rPr>
          <w:rFonts w:ascii="Book Antiqua" w:eastAsia="Book Antiqua" w:hAnsi="Book Antiqua" w:cs="Book Antiqua"/>
          <w:b/>
          <w:i/>
          <w:color w:val="000000"/>
        </w:rPr>
        <w:t>Research objectives</w:t>
      </w:r>
    </w:p>
    <w:p w14:paraId="71FEEF24" w14:textId="77777777" w:rsidR="00A77B3E" w:rsidRDefault="00D25C5E">
      <w:pPr>
        <w:spacing w:line="360" w:lineRule="auto"/>
        <w:jc w:val="both"/>
      </w:pPr>
      <w:r>
        <w:rPr>
          <w:rFonts w:ascii="Book Antiqua" w:eastAsia="Book Antiqua" w:hAnsi="Book Antiqua" w:cs="Book Antiqua"/>
          <w:color w:val="000000"/>
        </w:rPr>
        <w:t>Serum biomarkers that can assess the progression of liver fibrosis in patients with NAFLD may serve as important tools for identifying patients with advanced fibrosis. We aimed to investigate the efficacy of non-invasive biomarkers for predicting disease progression in patients with NAFLD.</w:t>
      </w:r>
    </w:p>
    <w:p w14:paraId="5C293582" w14:textId="77777777" w:rsidR="00A77B3E" w:rsidRDefault="00A77B3E">
      <w:pPr>
        <w:spacing w:line="360" w:lineRule="auto"/>
        <w:jc w:val="both"/>
      </w:pPr>
    </w:p>
    <w:p w14:paraId="33F698C4" w14:textId="77777777" w:rsidR="00A77B3E" w:rsidRDefault="00D25C5E">
      <w:pPr>
        <w:spacing w:line="360" w:lineRule="auto"/>
        <w:jc w:val="both"/>
      </w:pPr>
      <w:r>
        <w:rPr>
          <w:rFonts w:ascii="Book Antiqua" w:eastAsia="Book Antiqua" w:hAnsi="Book Antiqua" w:cs="Book Antiqua"/>
          <w:b/>
          <w:i/>
          <w:color w:val="000000"/>
        </w:rPr>
        <w:t>Research methods</w:t>
      </w:r>
    </w:p>
    <w:p w14:paraId="164F5732" w14:textId="77777777" w:rsidR="00A77B3E" w:rsidRDefault="00D25C5E">
      <w:pPr>
        <w:spacing w:line="360" w:lineRule="auto"/>
        <w:jc w:val="both"/>
      </w:pPr>
      <w:r>
        <w:rPr>
          <w:rFonts w:ascii="Book Antiqua" w:eastAsia="Book Antiqua" w:hAnsi="Book Antiqua" w:cs="Book Antiqua"/>
          <w:color w:val="000000"/>
        </w:rPr>
        <w:t>We investigated biomarkers with predictable prognosis for NAFLD patients who underwent liver biopsy. All patients were followed-up for &gt; 1 year.</w:t>
      </w:r>
    </w:p>
    <w:p w14:paraId="7CD0D148" w14:textId="77777777" w:rsidR="00A77B3E" w:rsidRDefault="00A77B3E">
      <w:pPr>
        <w:spacing w:line="360" w:lineRule="auto"/>
        <w:jc w:val="both"/>
      </w:pPr>
    </w:p>
    <w:p w14:paraId="71F9B93B" w14:textId="77777777" w:rsidR="00A77B3E" w:rsidRDefault="00D25C5E">
      <w:pPr>
        <w:spacing w:line="360" w:lineRule="auto"/>
        <w:jc w:val="both"/>
      </w:pPr>
      <w:r>
        <w:rPr>
          <w:rFonts w:ascii="Book Antiqua" w:eastAsia="Book Antiqua" w:hAnsi="Book Antiqua" w:cs="Book Antiqua"/>
          <w:b/>
          <w:i/>
          <w:color w:val="000000"/>
        </w:rPr>
        <w:lastRenderedPageBreak/>
        <w:t>Research results</w:t>
      </w:r>
    </w:p>
    <w:p w14:paraId="1443F2DD" w14:textId="143F6D79" w:rsidR="00A77B3E" w:rsidRDefault="00D25C5E">
      <w:pPr>
        <w:spacing w:line="360" w:lineRule="auto"/>
        <w:jc w:val="both"/>
      </w:pPr>
      <w:r>
        <w:rPr>
          <w:rFonts w:ascii="Book Antiqua" w:eastAsia="Book Antiqua" w:hAnsi="Book Antiqua" w:cs="Book Antiqua"/>
          <w:color w:val="000000"/>
        </w:rPr>
        <w:t>The combination of three non-invasive biomarkers involved in NAFLD prognosis comprised platelet counts, albumin levels, and type IV collagen 7S. Our results indicate that patients with NAFLD who present with a combination of albumin levels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g/dL, platelet counts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and type IV collagen 7S levels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5 ng/mL show poor prognosis. In particular, the 10-year survival rate was only 43% for patients who presented with all three factors.</w:t>
      </w:r>
    </w:p>
    <w:p w14:paraId="0DC8C774" w14:textId="77777777" w:rsidR="00A77B3E" w:rsidRDefault="00A77B3E">
      <w:pPr>
        <w:spacing w:line="360" w:lineRule="auto"/>
        <w:jc w:val="both"/>
      </w:pPr>
    </w:p>
    <w:p w14:paraId="6A986556" w14:textId="77777777" w:rsidR="00A77B3E" w:rsidRDefault="00D25C5E">
      <w:pPr>
        <w:spacing w:line="360" w:lineRule="auto"/>
        <w:jc w:val="both"/>
      </w:pPr>
      <w:r>
        <w:rPr>
          <w:rFonts w:ascii="Book Antiqua" w:eastAsia="Book Antiqua" w:hAnsi="Book Antiqua" w:cs="Book Antiqua"/>
          <w:b/>
          <w:i/>
          <w:color w:val="000000"/>
        </w:rPr>
        <w:t>Research conclusions</w:t>
      </w:r>
    </w:p>
    <w:p w14:paraId="737476EC" w14:textId="77777777" w:rsidR="00A77B3E" w:rsidRDefault="00D25C5E">
      <w:pPr>
        <w:spacing w:line="360" w:lineRule="auto"/>
        <w:jc w:val="both"/>
      </w:pPr>
      <w:r>
        <w:rPr>
          <w:rFonts w:ascii="Book Antiqua" w:eastAsia="Book Antiqua" w:hAnsi="Book Antiqua" w:cs="Book Antiqua"/>
          <w:color w:val="000000"/>
        </w:rPr>
        <w:t>The combination of platelet count, albumin level, and type IV collagen 7S was useful in further predicting the prognosis of NAFLD.</w:t>
      </w:r>
    </w:p>
    <w:p w14:paraId="56031E0A" w14:textId="77777777" w:rsidR="00A77B3E" w:rsidRDefault="00A77B3E">
      <w:pPr>
        <w:spacing w:line="360" w:lineRule="auto"/>
        <w:jc w:val="both"/>
      </w:pPr>
    </w:p>
    <w:p w14:paraId="50A44B76" w14:textId="77777777" w:rsidR="00A77B3E" w:rsidRDefault="00D25C5E">
      <w:pPr>
        <w:spacing w:line="360" w:lineRule="auto"/>
        <w:jc w:val="both"/>
      </w:pPr>
      <w:r>
        <w:rPr>
          <w:rFonts w:ascii="Book Antiqua" w:eastAsia="Book Antiqua" w:hAnsi="Book Antiqua" w:cs="Book Antiqua"/>
          <w:b/>
          <w:i/>
          <w:color w:val="000000"/>
        </w:rPr>
        <w:t>Research perspectives</w:t>
      </w:r>
    </w:p>
    <w:p w14:paraId="49EFC1F0" w14:textId="77777777" w:rsidR="00A77B3E" w:rsidRDefault="00D25C5E">
      <w:pPr>
        <w:spacing w:line="360" w:lineRule="auto"/>
        <w:jc w:val="both"/>
      </w:pPr>
      <w:r>
        <w:rPr>
          <w:rFonts w:ascii="Book Antiqua" w:eastAsia="Book Antiqua" w:hAnsi="Book Antiqua" w:cs="Book Antiqua"/>
          <w:color w:val="000000"/>
        </w:rPr>
        <w:t>Studies conducted in the future should focus on assessing these biomarkers further and examining long-term prognosis.</w:t>
      </w:r>
    </w:p>
    <w:p w14:paraId="0DEFE663" w14:textId="77777777" w:rsidR="00A77B3E" w:rsidRDefault="00A77B3E">
      <w:pPr>
        <w:spacing w:line="360" w:lineRule="auto"/>
        <w:jc w:val="both"/>
      </w:pPr>
    </w:p>
    <w:p w14:paraId="5244A3C6" w14:textId="77777777" w:rsidR="00A77B3E" w:rsidRDefault="00D25C5E">
      <w:pPr>
        <w:spacing w:line="360" w:lineRule="auto"/>
        <w:jc w:val="both"/>
      </w:pPr>
      <w:r>
        <w:rPr>
          <w:rFonts w:ascii="Book Antiqua" w:eastAsia="Book Antiqua" w:hAnsi="Book Antiqua" w:cs="Book Antiqua"/>
          <w:b/>
          <w:color w:val="000000"/>
        </w:rPr>
        <w:t>REFERENCES</w:t>
      </w:r>
    </w:p>
    <w:p w14:paraId="2E4BCD08" w14:textId="77777777" w:rsidR="00A77B3E" w:rsidRDefault="00D25C5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Fazel</w:t>
      </w:r>
      <w:proofErr w:type="spellEnd"/>
      <w:r>
        <w:rPr>
          <w:rFonts w:ascii="Book Antiqua" w:eastAsia="Book Antiqua" w:hAnsi="Book Antiqua" w:cs="Book Antiqua"/>
          <w:color w:val="000000"/>
        </w:rPr>
        <w:t xml:space="preserve">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2D05672D" w14:textId="30260A9C" w:rsidR="00A77B3E" w:rsidRDefault="00D25C5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1121-1140 [PMID: 27053230 DOI: 10.1007/s00125-016-3902-y]</w:t>
      </w:r>
    </w:p>
    <w:p w14:paraId="4353F6D3" w14:textId="77777777" w:rsidR="00A77B3E" w:rsidRDefault="00D25C5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 Harrison SA, Brunt EM, Sanyal AJ. The diagnosis and management of nonalcoholic fatty liver disease: </w:t>
      </w:r>
      <w:r>
        <w:rPr>
          <w:rFonts w:ascii="Book Antiqua" w:eastAsia="Book Antiqua" w:hAnsi="Book Antiqua" w:cs="Book Antiqua"/>
          <w:color w:val="000000"/>
        </w:rPr>
        <w:lastRenderedPageBreak/>
        <w:t xml:space="preserve">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0730CF74" w14:textId="77777777" w:rsidR="00A77B3E" w:rsidRDefault="00D25C5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617-649 [PMID: 21039302 DOI: 10.3109/07853890.2010.518623]</w:t>
      </w:r>
    </w:p>
    <w:p w14:paraId="76933D99" w14:textId="77777777" w:rsidR="00A77B3E" w:rsidRDefault="00D25C5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Allen AM, Wang Z, Prokop LJ, Murad MH, Loomba R. Fibrosis progression in nonalcoholic fatty liver </w:t>
      </w:r>
      <w:r>
        <w:rPr>
          <w:rFonts w:ascii="Book Antiqua" w:eastAsia="Book Antiqua" w:hAnsi="Book Antiqua" w:cs="Book Antiqua"/>
          <w:i/>
          <w:iCs/>
          <w:color w:val="000000"/>
        </w:rPr>
        <w:t>vs</w:t>
      </w:r>
      <w:r>
        <w:rPr>
          <w:rFonts w:ascii="Book Antiqua" w:eastAsia="Book Antiqua" w:hAnsi="Book Antiqua" w:cs="Book Antiqua"/>
          <w:color w:val="000000"/>
        </w:rPr>
        <w:t xml:space="preserve"> nonalcoholic steatohepatitis: a systematic review and meta-analysis of paired-biopsy studies.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643-54.e1-9; quiz e39-40 [PMID: 24768810 DOI: 10.1016/j.cgh.2014.04.014]</w:t>
      </w:r>
    </w:p>
    <w:p w14:paraId="09AF1A16" w14:textId="77777777" w:rsidR="00A77B3E" w:rsidRDefault="00D25C5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Kleiner DE, Dam-Larsen S, Adams LA,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Charatcharoenwitthaya</w:t>
      </w:r>
      <w:proofErr w:type="spellEnd"/>
      <w:r>
        <w:rPr>
          <w:rFonts w:ascii="Book Antiqua" w:eastAsia="Book Antiqua" w:hAnsi="Book Antiqua" w:cs="Book Antiqua"/>
          <w:color w:val="000000"/>
        </w:rPr>
        <w:t xml:space="preserve"> P, Mills PR,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JC, Lafferty HD, </w:t>
      </w:r>
      <w:proofErr w:type="spellStart"/>
      <w:r>
        <w:rPr>
          <w:rFonts w:ascii="Book Antiqua" w:eastAsia="Book Antiqua" w:hAnsi="Book Antiqua" w:cs="Book Antiqua"/>
          <w:color w:val="000000"/>
        </w:rPr>
        <w:t>Stahler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Haflidadottir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Liver Fibrosis, but No Other Histologic Features, Is Associated With Long-term Outcomes of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389-97.e10 [PMID: 25935633 DOI: 10.1053/j.gastro.2015.04.043]</w:t>
      </w:r>
    </w:p>
    <w:p w14:paraId="1D886914" w14:textId="77777777" w:rsidR="00A77B3E" w:rsidRDefault="00D25C5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Dulai</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Singh S, Patel J,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M, Prokop LJ,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Hagstrom</w:t>
      </w:r>
      <w:proofErr w:type="spellEnd"/>
      <w:r>
        <w:rPr>
          <w:rFonts w:ascii="Book Antiqua" w:eastAsia="Book Antiqua" w:hAnsi="Book Antiqua" w:cs="Book Antiqua"/>
          <w:color w:val="000000"/>
        </w:rPr>
        <w:t xml:space="preserve"> H, Nasr P, </w:t>
      </w:r>
      <w:proofErr w:type="spellStart"/>
      <w:r>
        <w:rPr>
          <w:rFonts w:ascii="Book Antiqua" w:eastAsia="Book Antiqua" w:hAnsi="Book Antiqua" w:cs="Book Antiqua"/>
          <w:color w:val="000000"/>
        </w:rPr>
        <w:t>Stal</w:t>
      </w:r>
      <w:proofErr w:type="spellEnd"/>
      <w:r>
        <w:rPr>
          <w:rFonts w:ascii="Book Antiqua" w:eastAsia="Book Antiqua" w:hAnsi="Book Antiqua" w:cs="Book Antiqua"/>
          <w:color w:val="000000"/>
        </w:rPr>
        <w:t xml:space="preserve"> P, Wong VW,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Loomba R. Increased risk of mortality by fibrosis stage in nonalcoholic fatty liver disease: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1557-1565 [PMID: 28130788 DOI: 10.1002/hep.29085]</w:t>
      </w:r>
    </w:p>
    <w:p w14:paraId="1533E8C1" w14:textId="77777777" w:rsidR="00A77B3E" w:rsidRDefault="00D25C5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Hagström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Nasr P,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Fibrosis stage but not NASH predicts mortality and time to development of severe liver disease in biopsy-proven NAFLD.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1265-1273 [PMID: 28803953 DOI: 10.1016/j.jhep.2017.07.027]</w:t>
      </w:r>
    </w:p>
    <w:p w14:paraId="0374E858" w14:textId="77777777" w:rsidR="00A77B3E" w:rsidRDefault="00D25C5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Imajo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Kessoku</w:t>
      </w:r>
      <w:proofErr w:type="spellEnd"/>
      <w:r>
        <w:rPr>
          <w:rFonts w:ascii="Book Antiqua" w:eastAsia="Book Antiqua" w:hAnsi="Book Antiqua" w:cs="Book Antiqua"/>
          <w:color w:val="000000"/>
        </w:rPr>
        <w:t xml:space="preserve"> T, Honda Y, </w:t>
      </w:r>
      <w:proofErr w:type="spellStart"/>
      <w:r>
        <w:rPr>
          <w:rFonts w:ascii="Book Antiqua" w:eastAsia="Book Antiqua" w:hAnsi="Book Antiqua" w:cs="Book Antiqua"/>
          <w:color w:val="000000"/>
        </w:rPr>
        <w:t>Tomeno</w:t>
      </w:r>
      <w:proofErr w:type="spellEnd"/>
      <w:r>
        <w:rPr>
          <w:rFonts w:ascii="Book Antiqua" w:eastAsia="Book Antiqua" w:hAnsi="Book Antiqua" w:cs="Book Antiqua"/>
          <w:color w:val="000000"/>
        </w:rPr>
        <w:t xml:space="preserve"> W, Ogawa Y,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H, Fujita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Taguri M, Hyogo H, Sumida Y, Ono M,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Inoue T, Yamanaka T, Wada K, Saito S, Nakajima A. Magnetic Resonance Imaging More Accurately Classifies Steatosis and Fibrosis in Patients With Nonalcoholic Fatty Liver Disease Than Transient Elastography.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626-637.e7 [PMID: 26677985 DOI: 10.1053/j.gastro.2015.11.048]</w:t>
      </w:r>
    </w:p>
    <w:p w14:paraId="37021C3C" w14:textId="77777777" w:rsidR="00A77B3E" w:rsidRDefault="00D25C5E">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Ferraioli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Wong VW,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Dietrich CF, Choi BI, Wilson SR, Kudo M, Barr RG. Liver Ultrasound Elastography: An Update to the World Federation for Ultrasound in Medicine and Biology Guidelines and Recommendations.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2419-2440 [PMID: 30209008 DOI: 10.1016/j.ultrasmedbio.2018.07.008]</w:t>
      </w:r>
    </w:p>
    <w:p w14:paraId="67020056" w14:textId="77777777" w:rsidR="00A77B3E" w:rsidRDefault="00D25C5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Vilar</w:t>
      </w:r>
      <w:proofErr w:type="spellEnd"/>
      <w:r>
        <w:rPr>
          <w:rFonts w:ascii="Book Antiqua" w:eastAsia="Book Antiqua" w:hAnsi="Book Antiqua" w:cs="Book Antiqua"/>
          <w:b/>
          <w:bCs/>
          <w:color w:val="000000"/>
        </w:rPr>
        <w:t>-Gomez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Non-invasive assessment of non-alcoholic fatty liver disease: Clinical prediction rules and blood-based biomarkers.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305-315 [PMID: 29154965 DOI: 10.1016/j.jhep.2017.11.013]</w:t>
      </w:r>
    </w:p>
    <w:p w14:paraId="52D3DB94" w14:textId="77777777" w:rsidR="00A77B3E" w:rsidRDefault="00D25C5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Loomba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Marchesini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Neuschwander-Tetri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Negro F, Caldwell SH,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Corey KE, Friedman SL,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Harrison SA, Sanyal AJ, Lavine JE, Mathurin P, Charlton MR, Goodman ZD,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George J, Lindor K. Diagnostic modalities for nonalcoholic fatty liver disease, nonalcoholic steatohepatitis, and associated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349-360 [PMID: 29222917 DOI: 10.1002/hep.29721]</w:t>
      </w:r>
    </w:p>
    <w:p w14:paraId="249B8BAB" w14:textId="77777777" w:rsidR="00A77B3E" w:rsidRDefault="00D25C5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Xiao G</w:t>
      </w:r>
      <w:r>
        <w:rPr>
          <w:rFonts w:ascii="Book Antiqua" w:eastAsia="Book Antiqua" w:hAnsi="Book Antiqua" w:cs="Book Antiqua"/>
          <w:color w:val="000000"/>
        </w:rPr>
        <w:t xml:space="preserve">, Zhu S, Xiao X, Yan L, Yang J, Wu G. Comparison of laboratory tests, ultrasound, or magnetic resonance elastography to detect fibrosis in patients with nonalcoholic fatty liver disease: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1486-1501 [PMID: 28586172 DOI: 10.1002/hep.29302]</w:t>
      </w:r>
    </w:p>
    <w:p w14:paraId="72AAD789" w14:textId="140BEE31" w:rsidR="00A77B3E" w:rsidRDefault="006A324E">
      <w:pPr>
        <w:spacing w:line="360" w:lineRule="auto"/>
        <w:jc w:val="both"/>
      </w:pPr>
      <w:r>
        <w:rPr>
          <w:rFonts w:ascii="Book Antiqua" w:eastAsia="Book Antiqua" w:hAnsi="Book Antiqua" w:cs="Book Antiqua"/>
          <w:color w:val="000000"/>
        </w:rPr>
        <w:t xml:space="preserve">14 </w:t>
      </w:r>
      <w:proofErr w:type="spellStart"/>
      <w:r w:rsidR="00D25C5E">
        <w:rPr>
          <w:rFonts w:ascii="Book Antiqua" w:eastAsia="Book Antiqua" w:hAnsi="Book Antiqua" w:cs="Book Antiqua"/>
          <w:b/>
          <w:bCs/>
          <w:color w:val="000000"/>
        </w:rPr>
        <w:t>Kawanaka</w:t>
      </w:r>
      <w:proofErr w:type="spellEnd"/>
      <w:r w:rsidR="00D25C5E">
        <w:rPr>
          <w:rFonts w:ascii="Book Antiqua" w:eastAsia="Book Antiqua" w:hAnsi="Book Antiqua" w:cs="Book Antiqua"/>
          <w:b/>
          <w:bCs/>
          <w:color w:val="000000"/>
        </w:rPr>
        <w:t xml:space="preserve"> M</w:t>
      </w:r>
      <w:r w:rsidR="00D25C5E">
        <w:rPr>
          <w:rFonts w:ascii="Book Antiqua" w:eastAsia="Book Antiqua" w:hAnsi="Book Antiqua" w:cs="Book Antiqua"/>
          <w:color w:val="000000"/>
        </w:rPr>
        <w:t xml:space="preserve">, Nishino K, Nakamura J, Urata N, Oka T, </w:t>
      </w:r>
      <w:proofErr w:type="spellStart"/>
      <w:r w:rsidR="00D25C5E">
        <w:rPr>
          <w:rFonts w:ascii="Book Antiqua" w:eastAsia="Book Antiqua" w:hAnsi="Book Antiqua" w:cs="Book Antiqua"/>
          <w:color w:val="000000"/>
        </w:rPr>
        <w:t>Goto</w:t>
      </w:r>
      <w:proofErr w:type="spellEnd"/>
      <w:r w:rsidR="00D25C5E">
        <w:rPr>
          <w:rFonts w:ascii="Book Antiqua" w:eastAsia="Book Antiqua" w:hAnsi="Book Antiqua" w:cs="Book Antiqua"/>
          <w:color w:val="000000"/>
        </w:rPr>
        <w:t xml:space="preserve"> D, </w:t>
      </w:r>
      <w:proofErr w:type="spellStart"/>
      <w:r w:rsidR="00D25C5E">
        <w:rPr>
          <w:rFonts w:ascii="Book Antiqua" w:eastAsia="Book Antiqua" w:hAnsi="Book Antiqua" w:cs="Book Antiqua"/>
          <w:color w:val="000000"/>
        </w:rPr>
        <w:t>Suehiro</w:t>
      </w:r>
      <w:proofErr w:type="spellEnd"/>
      <w:r w:rsidR="00D25C5E">
        <w:rPr>
          <w:rFonts w:ascii="Book Antiqua" w:eastAsia="Book Antiqua" w:hAnsi="Book Antiqua" w:cs="Book Antiqua"/>
          <w:color w:val="000000"/>
        </w:rPr>
        <w:t xml:space="preserve"> M, Kawamoto H, Yamada G. Correlation between serum cytokeratin-18 and the progression or regression of non-alcoholic fatty liver disease. </w:t>
      </w:r>
      <w:r w:rsidR="00D25C5E">
        <w:rPr>
          <w:rFonts w:ascii="Book Antiqua" w:eastAsia="Book Antiqua" w:hAnsi="Book Antiqua" w:cs="Book Antiqua"/>
          <w:i/>
          <w:iCs/>
          <w:color w:val="000000"/>
        </w:rPr>
        <w:t>Ann Hepatol</w:t>
      </w:r>
      <w:r w:rsidR="00D25C5E">
        <w:rPr>
          <w:rFonts w:ascii="Book Antiqua" w:eastAsia="Book Antiqua" w:hAnsi="Book Antiqua" w:cs="Book Antiqua"/>
          <w:color w:val="000000"/>
        </w:rPr>
        <w:t xml:space="preserve"> 2015; </w:t>
      </w:r>
      <w:r w:rsidR="00D25C5E">
        <w:rPr>
          <w:rFonts w:ascii="Book Antiqua" w:eastAsia="Book Antiqua" w:hAnsi="Book Antiqua" w:cs="Book Antiqua"/>
          <w:b/>
          <w:bCs/>
          <w:color w:val="000000"/>
        </w:rPr>
        <w:t>14</w:t>
      </w:r>
      <w:r w:rsidR="00D25C5E">
        <w:rPr>
          <w:rFonts w:ascii="Book Antiqua" w:eastAsia="Book Antiqua" w:hAnsi="Book Antiqua" w:cs="Book Antiqua"/>
          <w:color w:val="000000"/>
        </w:rPr>
        <w:t>: 837-844 [PMID: 26436355 DOI: 10.5604/16652681.1171767]</w:t>
      </w:r>
    </w:p>
    <w:p w14:paraId="1F1B871A" w14:textId="28BD9882" w:rsidR="00A77B3E" w:rsidRDefault="006A324E">
      <w:pPr>
        <w:spacing w:line="360" w:lineRule="auto"/>
        <w:jc w:val="both"/>
      </w:pPr>
      <w:r>
        <w:rPr>
          <w:rFonts w:ascii="Book Antiqua" w:eastAsia="Book Antiqua" w:hAnsi="Book Antiqua" w:cs="Book Antiqua"/>
          <w:color w:val="000000"/>
        </w:rPr>
        <w:t xml:space="preserve">15 </w:t>
      </w:r>
      <w:r w:rsidR="00D25C5E">
        <w:rPr>
          <w:rFonts w:ascii="Book Antiqua" w:eastAsia="Book Antiqua" w:hAnsi="Book Antiqua" w:cs="Book Antiqua"/>
          <w:b/>
          <w:bCs/>
          <w:color w:val="000000"/>
        </w:rPr>
        <w:t>Angulo P</w:t>
      </w:r>
      <w:r w:rsidR="00D25C5E">
        <w:rPr>
          <w:rFonts w:ascii="Book Antiqua" w:eastAsia="Book Antiqua" w:hAnsi="Book Antiqua" w:cs="Book Antiqua"/>
          <w:color w:val="000000"/>
        </w:rPr>
        <w:t xml:space="preserve">, Hui JM, </w:t>
      </w:r>
      <w:proofErr w:type="spellStart"/>
      <w:r w:rsidR="00D25C5E">
        <w:rPr>
          <w:rFonts w:ascii="Book Antiqua" w:eastAsia="Book Antiqua" w:hAnsi="Book Antiqua" w:cs="Book Antiqua"/>
          <w:color w:val="000000"/>
        </w:rPr>
        <w:t>Marchesini</w:t>
      </w:r>
      <w:proofErr w:type="spellEnd"/>
      <w:r w:rsidR="00D25C5E">
        <w:rPr>
          <w:rFonts w:ascii="Book Antiqua" w:eastAsia="Book Antiqua" w:hAnsi="Book Antiqua" w:cs="Book Antiqua"/>
          <w:color w:val="000000"/>
        </w:rPr>
        <w:t xml:space="preserve"> G, </w:t>
      </w:r>
      <w:proofErr w:type="spellStart"/>
      <w:r w:rsidR="00D25C5E">
        <w:rPr>
          <w:rFonts w:ascii="Book Antiqua" w:eastAsia="Book Antiqua" w:hAnsi="Book Antiqua" w:cs="Book Antiqua"/>
          <w:color w:val="000000"/>
        </w:rPr>
        <w:t>Bugianesi</w:t>
      </w:r>
      <w:proofErr w:type="spellEnd"/>
      <w:r w:rsidR="00D25C5E">
        <w:rPr>
          <w:rFonts w:ascii="Book Antiqua" w:eastAsia="Book Antiqua" w:hAnsi="Book Antiqua" w:cs="Book Antiqua"/>
          <w:color w:val="000000"/>
        </w:rPr>
        <w:t xml:space="preserve"> E, George J, Farrell GC, Enders F, </w:t>
      </w:r>
      <w:proofErr w:type="spellStart"/>
      <w:r w:rsidR="00D25C5E">
        <w:rPr>
          <w:rFonts w:ascii="Book Antiqua" w:eastAsia="Book Antiqua" w:hAnsi="Book Antiqua" w:cs="Book Antiqua"/>
          <w:color w:val="000000"/>
        </w:rPr>
        <w:t>Saksena</w:t>
      </w:r>
      <w:proofErr w:type="spellEnd"/>
      <w:r w:rsidR="00D25C5E">
        <w:rPr>
          <w:rFonts w:ascii="Book Antiqua" w:eastAsia="Book Antiqua" w:hAnsi="Book Antiqua" w:cs="Book Antiqua"/>
          <w:color w:val="000000"/>
        </w:rPr>
        <w:t xml:space="preserve"> S, Burt AD, </w:t>
      </w:r>
      <w:proofErr w:type="spellStart"/>
      <w:r w:rsidR="00D25C5E">
        <w:rPr>
          <w:rFonts w:ascii="Book Antiqua" w:eastAsia="Book Antiqua" w:hAnsi="Book Antiqua" w:cs="Book Antiqua"/>
          <w:color w:val="000000"/>
        </w:rPr>
        <w:t>Bida</w:t>
      </w:r>
      <w:proofErr w:type="spellEnd"/>
      <w:r w:rsidR="00D25C5E">
        <w:rPr>
          <w:rFonts w:ascii="Book Antiqua" w:eastAsia="Book Antiqua" w:hAnsi="Book Antiqua" w:cs="Book Antiqua"/>
          <w:color w:val="000000"/>
        </w:rPr>
        <w:t xml:space="preserve"> JP, </w:t>
      </w:r>
      <w:proofErr w:type="spellStart"/>
      <w:r w:rsidR="00D25C5E">
        <w:rPr>
          <w:rFonts w:ascii="Book Antiqua" w:eastAsia="Book Antiqua" w:hAnsi="Book Antiqua" w:cs="Book Antiqua"/>
          <w:color w:val="000000"/>
        </w:rPr>
        <w:t>Lindor</w:t>
      </w:r>
      <w:proofErr w:type="spellEnd"/>
      <w:r w:rsidR="00D25C5E">
        <w:rPr>
          <w:rFonts w:ascii="Book Antiqua" w:eastAsia="Book Antiqua" w:hAnsi="Book Antiqua" w:cs="Book Antiqua"/>
          <w:color w:val="000000"/>
        </w:rPr>
        <w:t xml:space="preserve"> K, Sanderson SO, </w:t>
      </w:r>
      <w:proofErr w:type="spellStart"/>
      <w:r w:rsidR="00D25C5E">
        <w:rPr>
          <w:rFonts w:ascii="Book Antiqua" w:eastAsia="Book Antiqua" w:hAnsi="Book Antiqua" w:cs="Book Antiqua"/>
          <w:color w:val="000000"/>
        </w:rPr>
        <w:t>Lenzi</w:t>
      </w:r>
      <w:proofErr w:type="spellEnd"/>
      <w:r w:rsidR="00D25C5E">
        <w:rPr>
          <w:rFonts w:ascii="Book Antiqua" w:eastAsia="Book Antiqua" w:hAnsi="Book Antiqua" w:cs="Book Antiqua"/>
          <w:color w:val="000000"/>
        </w:rPr>
        <w:t xml:space="preserve"> M, Adams LA, Kench J, </w:t>
      </w:r>
      <w:proofErr w:type="spellStart"/>
      <w:r w:rsidR="00D25C5E">
        <w:rPr>
          <w:rFonts w:ascii="Book Antiqua" w:eastAsia="Book Antiqua" w:hAnsi="Book Antiqua" w:cs="Book Antiqua"/>
          <w:color w:val="000000"/>
        </w:rPr>
        <w:t>Therneau</w:t>
      </w:r>
      <w:proofErr w:type="spellEnd"/>
      <w:r w:rsidR="00D25C5E">
        <w:rPr>
          <w:rFonts w:ascii="Book Antiqua" w:eastAsia="Book Antiqua" w:hAnsi="Book Antiqua" w:cs="Book Antiqua"/>
          <w:color w:val="000000"/>
        </w:rPr>
        <w:t xml:space="preserve"> TM, Day CP. The NAFLD fibrosis score: a noninvasive system that identifies liver fibrosis in patients with NAFLD.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2007; </w:t>
      </w:r>
      <w:r w:rsidR="00D25C5E">
        <w:rPr>
          <w:rFonts w:ascii="Book Antiqua" w:eastAsia="Book Antiqua" w:hAnsi="Book Antiqua" w:cs="Book Antiqua"/>
          <w:b/>
          <w:bCs/>
          <w:color w:val="000000"/>
        </w:rPr>
        <w:t>45</w:t>
      </w:r>
      <w:r w:rsidR="00D25C5E">
        <w:rPr>
          <w:rFonts w:ascii="Book Antiqua" w:eastAsia="Book Antiqua" w:hAnsi="Book Antiqua" w:cs="Book Antiqua"/>
          <w:color w:val="000000"/>
        </w:rPr>
        <w:t>: 846-854 [PMID: 17393509 DOI: 10.1002/hep.21496]</w:t>
      </w:r>
    </w:p>
    <w:p w14:paraId="7E1AAC4F" w14:textId="0C906A61" w:rsidR="00A77B3E" w:rsidRDefault="006A324E">
      <w:pPr>
        <w:spacing w:line="360" w:lineRule="auto"/>
        <w:jc w:val="both"/>
      </w:pPr>
      <w:r>
        <w:rPr>
          <w:rFonts w:ascii="Book Antiqua" w:eastAsia="Book Antiqua" w:hAnsi="Book Antiqua" w:cs="Book Antiqua"/>
          <w:color w:val="000000"/>
        </w:rPr>
        <w:lastRenderedPageBreak/>
        <w:t xml:space="preserve">16 </w:t>
      </w:r>
      <w:r w:rsidR="00D25C5E">
        <w:rPr>
          <w:rFonts w:ascii="Book Antiqua" w:eastAsia="Book Antiqua" w:hAnsi="Book Antiqua" w:cs="Book Antiqua"/>
          <w:b/>
          <w:bCs/>
          <w:color w:val="000000"/>
        </w:rPr>
        <w:t>Sterling RK</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Lissen</w:t>
      </w:r>
      <w:proofErr w:type="spellEnd"/>
      <w:r w:rsidR="00D25C5E">
        <w:rPr>
          <w:rFonts w:ascii="Book Antiqua" w:eastAsia="Book Antiqua" w:hAnsi="Book Antiqua" w:cs="Book Antiqua"/>
          <w:color w:val="000000"/>
        </w:rPr>
        <w:t xml:space="preserve"> E, </w:t>
      </w:r>
      <w:proofErr w:type="spellStart"/>
      <w:r w:rsidR="00D25C5E">
        <w:rPr>
          <w:rFonts w:ascii="Book Antiqua" w:eastAsia="Book Antiqua" w:hAnsi="Book Antiqua" w:cs="Book Antiqua"/>
          <w:color w:val="000000"/>
        </w:rPr>
        <w:t>Clumeck</w:t>
      </w:r>
      <w:proofErr w:type="spellEnd"/>
      <w:r w:rsidR="00D25C5E">
        <w:rPr>
          <w:rFonts w:ascii="Book Antiqua" w:eastAsia="Book Antiqua" w:hAnsi="Book Antiqua" w:cs="Book Antiqua"/>
          <w:color w:val="000000"/>
        </w:rPr>
        <w:t xml:space="preserve"> N, Sola R, Correa MC, </w:t>
      </w:r>
      <w:proofErr w:type="spellStart"/>
      <w:r w:rsidR="00D25C5E">
        <w:rPr>
          <w:rFonts w:ascii="Book Antiqua" w:eastAsia="Book Antiqua" w:hAnsi="Book Antiqua" w:cs="Book Antiqua"/>
          <w:color w:val="000000"/>
        </w:rPr>
        <w:t>Montaner</w:t>
      </w:r>
      <w:proofErr w:type="spellEnd"/>
      <w:r w:rsidR="00D25C5E">
        <w:rPr>
          <w:rFonts w:ascii="Book Antiqua" w:eastAsia="Book Antiqua" w:hAnsi="Book Antiqua" w:cs="Book Antiqua"/>
          <w:color w:val="000000"/>
        </w:rPr>
        <w:t xml:space="preserve"> J, S </w:t>
      </w:r>
      <w:proofErr w:type="spellStart"/>
      <w:r w:rsidR="00D25C5E">
        <w:rPr>
          <w:rFonts w:ascii="Book Antiqua" w:eastAsia="Book Antiqua" w:hAnsi="Book Antiqua" w:cs="Book Antiqua"/>
          <w:color w:val="000000"/>
        </w:rPr>
        <w:t>Sulkowski</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Torriani</w:t>
      </w:r>
      <w:proofErr w:type="spellEnd"/>
      <w:r w:rsidR="00D25C5E">
        <w:rPr>
          <w:rFonts w:ascii="Book Antiqua" w:eastAsia="Book Antiqua" w:hAnsi="Book Antiqua" w:cs="Book Antiqua"/>
          <w:color w:val="000000"/>
        </w:rPr>
        <w:t xml:space="preserve"> FJ, Dieterich DT, Thomas DL, </w:t>
      </w:r>
      <w:proofErr w:type="spellStart"/>
      <w:r w:rsidR="00D25C5E">
        <w:rPr>
          <w:rFonts w:ascii="Book Antiqua" w:eastAsia="Book Antiqua" w:hAnsi="Book Antiqua" w:cs="Book Antiqua"/>
          <w:color w:val="000000"/>
        </w:rPr>
        <w:t>Messinger</w:t>
      </w:r>
      <w:proofErr w:type="spellEnd"/>
      <w:r w:rsidR="00D25C5E">
        <w:rPr>
          <w:rFonts w:ascii="Book Antiqua" w:eastAsia="Book Antiqua" w:hAnsi="Book Antiqua" w:cs="Book Antiqua"/>
          <w:color w:val="000000"/>
        </w:rPr>
        <w:t xml:space="preserve"> D, Nelson M; APRICOT Clinical Investigators. Development of a simple noninvasive index to predict significant fibrosis in patients with HIV/HCV coinfection.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2006; </w:t>
      </w:r>
      <w:r w:rsidR="00D25C5E">
        <w:rPr>
          <w:rFonts w:ascii="Book Antiqua" w:eastAsia="Book Antiqua" w:hAnsi="Book Antiqua" w:cs="Book Antiqua"/>
          <w:b/>
          <w:bCs/>
          <w:color w:val="000000"/>
        </w:rPr>
        <w:t>43</w:t>
      </w:r>
      <w:r w:rsidR="00D25C5E">
        <w:rPr>
          <w:rFonts w:ascii="Book Antiqua" w:eastAsia="Book Antiqua" w:hAnsi="Book Antiqua" w:cs="Book Antiqua"/>
          <w:color w:val="000000"/>
        </w:rPr>
        <w:t>: 1317-1325 [PMID: 16729309 DOI: 10.1002/hep.21178]</w:t>
      </w:r>
    </w:p>
    <w:p w14:paraId="605157EC" w14:textId="1B4DB2BA" w:rsidR="00A77B3E" w:rsidRDefault="006A324E">
      <w:pPr>
        <w:spacing w:line="360" w:lineRule="auto"/>
        <w:jc w:val="both"/>
      </w:pPr>
      <w:r>
        <w:rPr>
          <w:rFonts w:ascii="Book Antiqua" w:eastAsia="Book Antiqua" w:hAnsi="Book Antiqua" w:cs="Book Antiqua"/>
          <w:color w:val="000000"/>
        </w:rPr>
        <w:t xml:space="preserve">17 </w:t>
      </w:r>
      <w:r w:rsidR="00D25C5E">
        <w:rPr>
          <w:rFonts w:ascii="Book Antiqua" w:eastAsia="Book Antiqua" w:hAnsi="Book Antiqua" w:cs="Book Antiqua"/>
          <w:b/>
          <w:bCs/>
          <w:color w:val="000000"/>
        </w:rPr>
        <w:t>Wong VW</w:t>
      </w:r>
      <w:r w:rsidR="00D25C5E">
        <w:rPr>
          <w:rFonts w:ascii="Book Antiqua" w:eastAsia="Book Antiqua" w:hAnsi="Book Antiqua" w:cs="Book Antiqua"/>
          <w:color w:val="000000"/>
        </w:rPr>
        <w:t xml:space="preserve">, Adams LA, de </w:t>
      </w:r>
      <w:proofErr w:type="spellStart"/>
      <w:r w:rsidR="00D25C5E">
        <w:rPr>
          <w:rFonts w:ascii="Book Antiqua" w:eastAsia="Book Antiqua" w:hAnsi="Book Antiqua" w:cs="Book Antiqua"/>
          <w:color w:val="000000"/>
        </w:rPr>
        <w:t>Lédinghen</w:t>
      </w:r>
      <w:proofErr w:type="spellEnd"/>
      <w:r w:rsidR="00D25C5E">
        <w:rPr>
          <w:rFonts w:ascii="Book Antiqua" w:eastAsia="Book Antiqua" w:hAnsi="Book Antiqua" w:cs="Book Antiqua"/>
          <w:color w:val="000000"/>
        </w:rPr>
        <w:t xml:space="preserve"> V, Wong GL, </w:t>
      </w:r>
      <w:proofErr w:type="spellStart"/>
      <w:r w:rsidR="00D25C5E">
        <w:rPr>
          <w:rFonts w:ascii="Book Antiqua" w:eastAsia="Book Antiqua" w:hAnsi="Book Antiqua" w:cs="Book Antiqua"/>
          <w:color w:val="000000"/>
        </w:rPr>
        <w:t>Sookoian</w:t>
      </w:r>
      <w:proofErr w:type="spellEnd"/>
      <w:r w:rsidR="00D25C5E">
        <w:rPr>
          <w:rFonts w:ascii="Book Antiqua" w:eastAsia="Book Antiqua" w:hAnsi="Book Antiqua" w:cs="Book Antiqua"/>
          <w:color w:val="000000"/>
        </w:rPr>
        <w:t xml:space="preserve"> S. Noninvasive biomarkers in NAFLD and NASH - current progress and future promise. </w:t>
      </w:r>
      <w:r w:rsidR="00D25C5E">
        <w:rPr>
          <w:rFonts w:ascii="Book Antiqua" w:eastAsia="Book Antiqua" w:hAnsi="Book Antiqua" w:cs="Book Antiqua"/>
          <w:i/>
          <w:iCs/>
          <w:color w:val="000000"/>
        </w:rPr>
        <w:t>Nat Rev Gastroenterol Hepatol</w:t>
      </w:r>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15</w:t>
      </w:r>
      <w:r w:rsidR="00D25C5E">
        <w:rPr>
          <w:rFonts w:ascii="Book Antiqua" w:eastAsia="Book Antiqua" w:hAnsi="Book Antiqua" w:cs="Book Antiqua"/>
          <w:color w:val="000000"/>
        </w:rPr>
        <w:t>: 461-478 [PMID: 29844588 DOI: 10.1038/s41575-018-0014-9]</w:t>
      </w:r>
    </w:p>
    <w:p w14:paraId="39AFA5A9" w14:textId="3D0E4FF7" w:rsidR="00A77B3E" w:rsidRDefault="006A324E">
      <w:pPr>
        <w:spacing w:line="360" w:lineRule="auto"/>
        <w:jc w:val="both"/>
      </w:pPr>
      <w:r>
        <w:rPr>
          <w:rFonts w:ascii="Book Antiqua" w:eastAsia="Book Antiqua" w:hAnsi="Book Antiqua" w:cs="Book Antiqua"/>
          <w:color w:val="000000"/>
        </w:rPr>
        <w:t xml:space="preserve">18 </w:t>
      </w:r>
      <w:r w:rsidR="00D25C5E">
        <w:rPr>
          <w:rFonts w:ascii="Book Antiqua" w:eastAsia="Book Antiqua" w:hAnsi="Book Antiqua" w:cs="Book Antiqua"/>
          <w:b/>
          <w:bCs/>
          <w:color w:val="000000"/>
        </w:rPr>
        <w:t>Sumida Y</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Yoneda</w:t>
      </w:r>
      <w:proofErr w:type="spellEnd"/>
      <w:r w:rsidR="00D25C5E">
        <w:rPr>
          <w:rFonts w:ascii="Book Antiqua" w:eastAsia="Book Antiqua" w:hAnsi="Book Antiqua" w:cs="Book Antiqua"/>
          <w:color w:val="000000"/>
        </w:rPr>
        <w:t xml:space="preserve"> M, Hyogo H, Itoh Y, Ono M, </w:t>
      </w:r>
      <w:proofErr w:type="spellStart"/>
      <w:r w:rsidR="00D25C5E">
        <w:rPr>
          <w:rFonts w:ascii="Book Antiqua" w:eastAsia="Book Antiqua" w:hAnsi="Book Antiqua" w:cs="Book Antiqua"/>
          <w:color w:val="000000"/>
        </w:rPr>
        <w:t>Fujii</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Eguchi</w:t>
      </w:r>
      <w:proofErr w:type="spellEnd"/>
      <w:r w:rsidR="00D25C5E">
        <w:rPr>
          <w:rFonts w:ascii="Book Antiqua" w:eastAsia="Book Antiqua" w:hAnsi="Book Antiqua" w:cs="Book Antiqua"/>
          <w:color w:val="000000"/>
        </w:rPr>
        <w:t xml:space="preserve"> Y, Suzuki Y, Aoki N, </w:t>
      </w:r>
      <w:proofErr w:type="spellStart"/>
      <w:r w:rsidR="00D25C5E">
        <w:rPr>
          <w:rFonts w:ascii="Book Antiqua" w:eastAsia="Book Antiqua" w:hAnsi="Book Antiqua" w:cs="Book Antiqua"/>
          <w:color w:val="000000"/>
        </w:rPr>
        <w:t>Kanemasa</w:t>
      </w:r>
      <w:proofErr w:type="spellEnd"/>
      <w:r w:rsidR="00D25C5E">
        <w:rPr>
          <w:rFonts w:ascii="Book Antiqua" w:eastAsia="Book Antiqua" w:hAnsi="Book Antiqua" w:cs="Book Antiqua"/>
          <w:color w:val="000000"/>
        </w:rPr>
        <w:t xml:space="preserve"> K, Fujita K, </w:t>
      </w:r>
      <w:proofErr w:type="spellStart"/>
      <w:r w:rsidR="00D25C5E">
        <w:rPr>
          <w:rFonts w:ascii="Book Antiqua" w:eastAsia="Book Antiqua" w:hAnsi="Book Antiqua" w:cs="Book Antiqua"/>
          <w:color w:val="000000"/>
        </w:rPr>
        <w:t>Chayama</w:t>
      </w:r>
      <w:proofErr w:type="spellEnd"/>
      <w:r w:rsidR="00D25C5E">
        <w:rPr>
          <w:rFonts w:ascii="Book Antiqua" w:eastAsia="Book Antiqua" w:hAnsi="Book Antiqua" w:cs="Book Antiqua"/>
          <w:color w:val="000000"/>
        </w:rPr>
        <w:t xml:space="preserve"> K, </w:t>
      </w:r>
      <w:proofErr w:type="spellStart"/>
      <w:r w:rsidR="00D25C5E">
        <w:rPr>
          <w:rFonts w:ascii="Book Antiqua" w:eastAsia="Book Antiqua" w:hAnsi="Book Antiqua" w:cs="Book Antiqua"/>
          <w:color w:val="000000"/>
        </w:rPr>
        <w:t>Saibara</w:t>
      </w:r>
      <w:proofErr w:type="spellEnd"/>
      <w:r w:rsidR="00D25C5E">
        <w:rPr>
          <w:rFonts w:ascii="Book Antiqua" w:eastAsia="Book Antiqua" w:hAnsi="Book Antiqua" w:cs="Book Antiqua"/>
          <w:color w:val="000000"/>
        </w:rPr>
        <w:t xml:space="preserve"> T, Kawada N, Fujimoto K, </w:t>
      </w:r>
      <w:proofErr w:type="spellStart"/>
      <w:r w:rsidR="00D25C5E">
        <w:rPr>
          <w:rFonts w:ascii="Book Antiqua" w:eastAsia="Book Antiqua" w:hAnsi="Book Antiqua" w:cs="Book Antiqua"/>
          <w:color w:val="000000"/>
        </w:rPr>
        <w:t>Kohgo</w:t>
      </w:r>
      <w:proofErr w:type="spellEnd"/>
      <w:r w:rsidR="00D25C5E">
        <w:rPr>
          <w:rFonts w:ascii="Book Antiqua" w:eastAsia="Book Antiqua" w:hAnsi="Book Antiqua" w:cs="Book Antiqua"/>
          <w:color w:val="000000"/>
        </w:rPr>
        <w:t xml:space="preserve"> Y, Yoshikawa T, </w:t>
      </w:r>
      <w:proofErr w:type="spellStart"/>
      <w:r w:rsidR="00D25C5E">
        <w:rPr>
          <w:rFonts w:ascii="Book Antiqua" w:eastAsia="Book Antiqua" w:hAnsi="Book Antiqua" w:cs="Book Antiqua"/>
          <w:color w:val="000000"/>
        </w:rPr>
        <w:t>Okanoue</w:t>
      </w:r>
      <w:proofErr w:type="spellEnd"/>
      <w:r w:rsidR="00D25C5E">
        <w:rPr>
          <w:rFonts w:ascii="Book Antiqua" w:eastAsia="Book Antiqua" w:hAnsi="Book Antiqua" w:cs="Book Antiqua"/>
          <w:color w:val="000000"/>
        </w:rPr>
        <w:t xml:space="preserve"> T; Japan Study Group of Nonalcoholic Fatty Liver Disease (JSG-NAFLD). Validation of the FIB4 index in a Japanese nonalcoholic fatty liver disease population. </w:t>
      </w:r>
      <w:r w:rsidR="00D25C5E">
        <w:rPr>
          <w:rFonts w:ascii="Book Antiqua" w:eastAsia="Book Antiqua" w:hAnsi="Book Antiqua" w:cs="Book Antiqua"/>
          <w:i/>
          <w:iCs/>
          <w:color w:val="000000"/>
        </w:rPr>
        <w:t>BMC Gastroenterol</w:t>
      </w:r>
      <w:r w:rsidR="00D25C5E">
        <w:rPr>
          <w:rFonts w:ascii="Book Antiqua" w:eastAsia="Book Antiqua" w:hAnsi="Book Antiqua" w:cs="Book Antiqua"/>
          <w:color w:val="000000"/>
        </w:rPr>
        <w:t xml:space="preserve"> 2012; </w:t>
      </w:r>
      <w:r w:rsidR="00D25C5E">
        <w:rPr>
          <w:rFonts w:ascii="Book Antiqua" w:eastAsia="Book Antiqua" w:hAnsi="Book Antiqua" w:cs="Book Antiqua"/>
          <w:b/>
          <w:bCs/>
          <w:color w:val="000000"/>
        </w:rPr>
        <w:t>12</w:t>
      </w:r>
      <w:r w:rsidR="00D25C5E">
        <w:rPr>
          <w:rFonts w:ascii="Book Antiqua" w:eastAsia="Book Antiqua" w:hAnsi="Book Antiqua" w:cs="Book Antiqua"/>
          <w:color w:val="000000"/>
        </w:rPr>
        <w:t>: 2 [PMID: 22221544 DOI: 10.1186/1471-230X-12-2]</w:t>
      </w:r>
    </w:p>
    <w:p w14:paraId="2273237B" w14:textId="691E980F" w:rsidR="00A77B3E" w:rsidRDefault="006A324E">
      <w:pPr>
        <w:spacing w:line="360" w:lineRule="auto"/>
        <w:jc w:val="both"/>
      </w:pPr>
      <w:r>
        <w:rPr>
          <w:rFonts w:ascii="Book Antiqua" w:eastAsia="Book Antiqua" w:hAnsi="Book Antiqua" w:cs="Book Antiqua"/>
          <w:color w:val="000000"/>
        </w:rPr>
        <w:t xml:space="preserve">19 </w:t>
      </w:r>
      <w:r w:rsidR="00D25C5E">
        <w:rPr>
          <w:rFonts w:ascii="Book Antiqua" w:eastAsia="Book Antiqua" w:hAnsi="Book Antiqua" w:cs="Book Antiqua"/>
          <w:b/>
          <w:bCs/>
          <w:color w:val="000000"/>
        </w:rPr>
        <w:t>Shah AG</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Lydecker</w:t>
      </w:r>
      <w:proofErr w:type="spellEnd"/>
      <w:r w:rsidR="00D25C5E">
        <w:rPr>
          <w:rFonts w:ascii="Book Antiqua" w:eastAsia="Book Antiqua" w:hAnsi="Book Antiqua" w:cs="Book Antiqua"/>
          <w:color w:val="000000"/>
        </w:rPr>
        <w:t xml:space="preserve"> A, Murray K, </w:t>
      </w:r>
      <w:proofErr w:type="spellStart"/>
      <w:r w:rsidR="00D25C5E">
        <w:rPr>
          <w:rFonts w:ascii="Book Antiqua" w:eastAsia="Book Antiqua" w:hAnsi="Book Antiqua" w:cs="Book Antiqua"/>
          <w:color w:val="000000"/>
        </w:rPr>
        <w:t>Tetri</w:t>
      </w:r>
      <w:proofErr w:type="spellEnd"/>
      <w:r w:rsidR="00D25C5E">
        <w:rPr>
          <w:rFonts w:ascii="Book Antiqua" w:eastAsia="Book Antiqua" w:hAnsi="Book Antiqua" w:cs="Book Antiqua"/>
          <w:color w:val="000000"/>
        </w:rPr>
        <w:t xml:space="preserve"> BN, </w:t>
      </w:r>
      <w:proofErr w:type="spellStart"/>
      <w:r w:rsidR="00D25C5E">
        <w:rPr>
          <w:rFonts w:ascii="Book Antiqua" w:eastAsia="Book Antiqua" w:hAnsi="Book Antiqua" w:cs="Book Antiqua"/>
          <w:color w:val="000000"/>
        </w:rPr>
        <w:t>Contos</w:t>
      </w:r>
      <w:proofErr w:type="spellEnd"/>
      <w:r w:rsidR="00D25C5E">
        <w:rPr>
          <w:rFonts w:ascii="Book Antiqua" w:eastAsia="Book Antiqua" w:hAnsi="Book Antiqua" w:cs="Book Antiqua"/>
          <w:color w:val="000000"/>
        </w:rPr>
        <w:t xml:space="preserve"> MJ, </w:t>
      </w:r>
      <w:proofErr w:type="spellStart"/>
      <w:r w:rsidR="00D25C5E">
        <w:rPr>
          <w:rFonts w:ascii="Book Antiqua" w:eastAsia="Book Antiqua" w:hAnsi="Book Antiqua" w:cs="Book Antiqua"/>
          <w:color w:val="000000"/>
        </w:rPr>
        <w:t>Sanyal</w:t>
      </w:r>
      <w:proofErr w:type="spellEnd"/>
      <w:r w:rsidR="00D25C5E">
        <w:rPr>
          <w:rFonts w:ascii="Book Antiqua" w:eastAsia="Book Antiqua" w:hAnsi="Book Antiqua" w:cs="Book Antiqua"/>
          <w:color w:val="000000"/>
        </w:rPr>
        <w:t xml:space="preserve"> AJ; Nash Clinical Research Network. Comparison of noninvasive markers of fibrosis in patients with nonalcoholic fatty liver disease. </w:t>
      </w:r>
      <w:r w:rsidR="00D25C5E">
        <w:rPr>
          <w:rFonts w:ascii="Book Antiqua" w:eastAsia="Book Antiqua" w:hAnsi="Book Antiqua" w:cs="Book Antiqua"/>
          <w:i/>
          <w:iCs/>
          <w:color w:val="000000"/>
        </w:rPr>
        <w:t>Clin Gastroenterol Hepatol</w:t>
      </w:r>
      <w:r w:rsidR="00D25C5E">
        <w:rPr>
          <w:rFonts w:ascii="Book Antiqua" w:eastAsia="Book Antiqua" w:hAnsi="Book Antiqua" w:cs="Book Antiqua"/>
          <w:color w:val="000000"/>
        </w:rPr>
        <w:t xml:space="preserve"> 2009; </w:t>
      </w:r>
      <w:r w:rsidR="00D25C5E">
        <w:rPr>
          <w:rFonts w:ascii="Book Antiqua" w:eastAsia="Book Antiqua" w:hAnsi="Book Antiqua" w:cs="Book Antiqua"/>
          <w:b/>
          <w:bCs/>
          <w:color w:val="000000"/>
        </w:rPr>
        <w:t>7</w:t>
      </w:r>
      <w:r w:rsidR="00D25C5E">
        <w:rPr>
          <w:rFonts w:ascii="Book Antiqua" w:eastAsia="Book Antiqua" w:hAnsi="Book Antiqua" w:cs="Book Antiqua"/>
          <w:color w:val="000000"/>
        </w:rPr>
        <w:t>: 1104-1112 [PMID: 19523535 DOI: 10.1016/j.cgh.2009.05.033]</w:t>
      </w:r>
    </w:p>
    <w:p w14:paraId="3624EC6B" w14:textId="55BC75C7" w:rsidR="00A77B3E" w:rsidRDefault="006A324E">
      <w:pPr>
        <w:spacing w:line="360" w:lineRule="auto"/>
        <w:jc w:val="both"/>
      </w:pPr>
      <w:r>
        <w:rPr>
          <w:rFonts w:ascii="Book Antiqua" w:eastAsia="Book Antiqua" w:hAnsi="Book Antiqua" w:cs="Book Antiqua"/>
          <w:color w:val="000000"/>
        </w:rPr>
        <w:t xml:space="preserve">20 </w:t>
      </w:r>
      <w:r w:rsidR="00D25C5E">
        <w:rPr>
          <w:rFonts w:ascii="Book Antiqua" w:eastAsia="Book Antiqua" w:hAnsi="Book Antiqua" w:cs="Book Antiqua"/>
          <w:b/>
          <w:bCs/>
          <w:color w:val="000000"/>
        </w:rPr>
        <w:t>Srivastava A</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Gailer</w:t>
      </w:r>
      <w:proofErr w:type="spellEnd"/>
      <w:r w:rsidR="00D25C5E">
        <w:rPr>
          <w:rFonts w:ascii="Book Antiqua" w:eastAsia="Book Antiqua" w:hAnsi="Book Antiqua" w:cs="Book Antiqua"/>
          <w:color w:val="000000"/>
        </w:rPr>
        <w:t xml:space="preserve"> R, </w:t>
      </w:r>
      <w:proofErr w:type="spellStart"/>
      <w:r w:rsidR="00D25C5E">
        <w:rPr>
          <w:rFonts w:ascii="Book Antiqua" w:eastAsia="Book Antiqua" w:hAnsi="Book Antiqua" w:cs="Book Antiqua"/>
          <w:color w:val="000000"/>
        </w:rPr>
        <w:t>Tanwar</w:t>
      </w:r>
      <w:proofErr w:type="spellEnd"/>
      <w:r w:rsidR="00D25C5E">
        <w:rPr>
          <w:rFonts w:ascii="Book Antiqua" w:eastAsia="Book Antiqua" w:hAnsi="Book Antiqua" w:cs="Book Antiqua"/>
          <w:color w:val="000000"/>
        </w:rPr>
        <w:t xml:space="preserve"> S, Trembling P, Parkes J, Rodger A, Suri D, Thorburn D, Sennett K, Morgan S, </w:t>
      </w:r>
      <w:proofErr w:type="spellStart"/>
      <w:r w:rsidR="00D25C5E">
        <w:rPr>
          <w:rFonts w:ascii="Book Antiqua" w:eastAsia="Book Antiqua" w:hAnsi="Book Antiqua" w:cs="Book Antiqua"/>
          <w:color w:val="000000"/>
        </w:rPr>
        <w:t>Tsochatzis</w:t>
      </w:r>
      <w:proofErr w:type="spellEnd"/>
      <w:r w:rsidR="00D25C5E">
        <w:rPr>
          <w:rFonts w:ascii="Book Antiqua" w:eastAsia="Book Antiqua" w:hAnsi="Book Antiqua" w:cs="Book Antiqua"/>
          <w:color w:val="000000"/>
        </w:rPr>
        <w:t xml:space="preserve"> EA, Rosenberg W. Prospective evaluation of a primary care referral pathway for patients with non-alcoholic fatty liver disease. </w:t>
      </w:r>
      <w:r w:rsidR="00D25C5E">
        <w:rPr>
          <w:rFonts w:ascii="Book Antiqua" w:eastAsia="Book Antiqua" w:hAnsi="Book Antiqua" w:cs="Book Antiqua"/>
          <w:i/>
          <w:iCs/>
          <w:color w:val="000000"/>
        </w:rPr>
        <w:t>J Hepatol</w:t>
      </w:r>
      <w:r w:rsidR="00D25C5E">
        <w:rPr>
          <w:rFonts w:ascii="Book Antiqua" w:eastAsia="Book Antiqua" w:hAnsi="Book Antiqua" w:cs="Book Antiqua"/>
          <w:color w:val="000000"/>
        </w:rPr>
        <w:t xml:space="preserve"> 2019; </w:t>
      </w:r>
      <w:r w:rsidR="00D25C5E">
        <w:rPr>
          <w:rFonts w:ascii="Book Antiqua" w:eastAsia="Book Antiqua" w:hAnsi="Book Antiqua" w:cs="Book Antiqua"/>
          <w:b/>
          <w:bCs/>
          <w:color w:val="000000"/>
        </w:rPr>
        <w:t>71</w:t>
      </w:r>
      <w:r w:rsidR="00D25C5E">
        <w:rPr>
          <w:rFonts w:ascii="Book Antiqua" w:eastAsia="Book Antiqua" w:hAnsi="Book Antiqua" w:cs="Book Antiqua"/>
          <w:color w:val="000000"/>
        </w:rPr>
        <w:t>: 371-378 [PMID: 30965069 DOI: 10.1016/j.jhep.2019.03.033]</w:t>
      </w:r>
    </w:p>
    <w:p w14:paraId="418E8A54" w14:textId="39FF3693" w:rsidR="00A77B3E" w:rsidRDefault="006A324E">
      <w:pPr>
        <w:spacing w:line="360" w:lineRule="auto"/>
        <w:jc w:val="both"/>
      </w:pPr>
      <w:r>
        <w:rPr>
          <w:rFonts w:ascii="Book Antiqua" w:eastAsia="Book Antiqua" w:hAnsi="Book Antiqua" w:cs="Book Antiqua"/>
          <w:color w:val="000000"/>
        </w:rPr>
        <w:t xml:space="preserve">21 </w:t>
      </w:r>
      <w:proofErr w:type="spellStart"/>
      <w:r w:rsidR="00D25C5E">
        <w:rPr>
          <w:rFonts w:ascii="Book Antiqua" w:eastAsia="Book Antiqua" w:hAnsi="Book Antiqua" w:cs="Book Antiqua"/>
          <w:b/>
          <w:bCs/>
          <w:color w:val="000000"/>
        </w:rPr>
        <w:t>Okanoue</w:t>
      </w:r>
      <w:proofErr w:type="spellEnd"/>
      <w:r w:rsidR="00D25C5E">
        <w:rPr>
          <w:rFonts w:ascii="Book Antiqua" w:eastAsia="Book Antiqua" w:hAnsi="Book Antiqua" w:cs="Book Antiqua"/>
          <w:b/>
          <w:bCs/>
          <w:color w:val="000000"/>
        </w:rPr>
        <w:t xml:space="preserve"> T</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Ebise</w:t>
      </w:r>
      <w:proofErr w:type="spellEnd"/>
      <w:r w:rsidR="00D25C5E">
        <w:rPr>
          <w:rFonts w:ascii="Book Antiqua" w:eastAsia="Book Antiqua" w:hAnsi="Book Antiqua" w:cs="Book Antiqua"/>
          <w:color w:val="000000"/>
        </w:rPr>
        <w:t xml:space="preserve"> H, Kai T, Mizuno M, </w:t>
      </w:r>
      <w:proofErr w:type="spellStart"/>
      <w:r w:rsidR="00D25C5E">
        <w:rPr>
          <w:rFonts w:ascii="Book Antiqua" w:eastAsia="Book Antiqua" w:hAnsi="Book Antiqua" w:cs="Book Antiqua"/>
          <w:color w:val="000000"/>
        </w:rPr>
        <w:t>Shima</w:t>
      </w:r>
      <w:proofErr w:type="spellEnd"/>
      <w:r w:rsidR="00D25C5E">
        <w:rPr>
          <w:rFonts w:ascii="Book Antiqua" w:eastAsia="Book Antiqua" w:hAnsi="Book Antiqua" w:cs="Book Antiqua"/>
          <w:color w:val="000000"/>
        </w:rPr>
        <w:t xml:space="preserve"> T, Ichihara J, Aoki M. A simple scoring system using type IV collagen 7S and aspartate aminotransferase for diagnosing nonalcoholic steatohepatitis and related fibrosis. </w:t>
      </w:r>
      <w:r w:rsidR="00D25C5E">
        <w:rPr>
          <w:rFonts w:ascii="Book Antiqua" w:eastAsia="Book Antiqua" w:hAnsi="Book Antiqua" w:cs="Book Antiqua"/>
          <w:i/>
          <w:iCs/>
          <w:color w:val="000000"/>
        </w:rPr>
        <w:t>J Gastroenterol</w:t>
      </w:r>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53</w:t>
      </w:r>
      <w:r w:rsidR="00D25C5E">
        <w:rPr>
          <w:rFonts w:ascii="Book Antiqua" w:eastAsia="Book Antiqua" w:hAnsi="Book Antiqua" w:cs="Book Antiqua"/>
          <w:color w:val="000000"/>
        </w:rPr>
        <w:t>: 129-139 [PMID: 28589339 DOI: 10.1007/s00535-017-1355-9]</w:t>
      </w:r>
    </w:p>
    <w:p w14:paraId="145DA0F8" w14:textId="0EDD72BB" w:rsidR="00A77B3E" w:rsidRDefault="006A324E">
      <w:pPr>
        <w:spacing w:line="360" w:lineRule="auto"/>
        <w:jc w:val="both"/>
      </w:pPr>
      <w:r>
        <w:rPr>
          <w:rFonts w:ascii="Book Antiqua" w:eastAsia="Book Antiqua" w:hAnsi="Book Antiqua" w:cs="Book Antiqua"/>
          <w:color w:val="000000"/>
        </w:rPr>
        <w:t xml:space="preserve">22 </w:t>
      </w:r>
      <w:proofErr w:type="spellStart"/>
      <w:r w:rsidR="00D25C5E">
        <w:rPr>
          <w:rFonts w:ascii="Book Antiqua" w:eastAsia="Book Antiqua" w:hAnsi="Book Antiqua" w:cs="Book Antiqua"/>
          <w:b/>
          <w:bCs/>
          <w:color w:val="000000"/>
        </w:rPr>
        <w:t>Anstee</w:t>
      </w:r>
      <w:proofErr w:type="spellEnd"/>
      <w:r w:rsidR="00D25C5E">
        <w:rPr>
          <w:rFonts w:ascii="Book Antiqua" w:eastAsia="Book Antiqua" w:hAnsi="Book Antiqua" w:cs="Book Antiqua"/>
          <w:b/>
          <w:bCs/>
          <w:color w:val="000000"/>
        </w:rPr>
        <w:t xml:space="preserve"> QM</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Lawitz</w:t>
      </w:r>
      <w:proofErr w:type="spellEnd"/>
      <w:r w:rsidR="00D25C5E">
        <w:rPr>
          <w:rFonts w:ascii="Book Antiqua" w:eastAsia="Book Antiqua" w:hAnsi="Book Antiqua" w:cs="Book Antiqua"/>
          <w:color w:val="000000"/>
        </w:rPr>
        <w:t xml:space="preserve"> EJ, </w:t>
      </w:r>
      <w:proofErr w:type="spellStart"/>
      <w:r w:rsidR="00D25C5E">
        <w:rPr>
          <w:rFonts w:ascii="Book Antiqua" w:eastAsia="Book Antiqua" w:hAnsi="Book Antiqua" w:cs="Book Antiqua"/>
          <w:color w:val="000000"/>
        </w:rPr>
        <w:t>Alkhouri</w:t>
      </w:r>
      <w:proofErr w:type="spellEnd"/>
      <w:r w:rsidR="00D25C5E">
        <w:rPr>
          <w:rFonts w:ascii="Book Antiqua" w:eastAsia="Book Antiqua" w:hAnsi="Book Antiqua" w:cs="Book Antiqua"/>
          <w:color w:val="000000"/>
        </w:rPr>
        <w:t xml:space="preserve"> N, Wong VW, Romero-Gomez M, </w:t>
      </w:r>
      <w:proofErr w:type="spellStart"/>
      <w:r w:rsidR="00D25C5E">
        <w:rPr>
          <w:rFonts w:ascii="Book Antiqua" w:eastAsia="Book Antiqua" w:hAnsi="Book Antiqua" w:cs="Book Antiqua"/>
          <w:color w:val="000000"/>
        </w:rPr>
        <w:t>Okanoue</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Trauner</w:t>
      </w:r>
      <w:proofErr w:type="spellEnd"/>
      <w:r w:rsidR="00D25C5E">
        <w:rPr>
          <w:rFonts w:ascii="Book Antiqua" w:eastAsia="Book Antiqua" w:hAnsi="Book Antiqua" w:cs="Book Antiqua"/>
          <w:color w:val="000000"/>
        </w:rPr>
        <w:t xml:space="preserve"> M, Kersey K, Li G, Han L, Jia C, Wang L, Chen G, Subramanian GM, Myers RP, </w:t>
      </w:r>
      <w:proofErr w:type="spellStart"/>
      <w:r w:rsidR="00D25C5E">
        <w:rPr>
          <w:rFonts w:ascii="Book Antiqua" w:eastAsia="Book Antiqua" w:hAnsi="Book Antiqua" w:cs="Book Antiqua"/>
          <w:color w:val="000000"/>
        </w:rPr>
        <w:t>Djedjos</w:t>
      </w:r>
      <w:proofErr w:type="spellEnd"/>
      <w:r w:rsidR="00D25C5E">
        <w:rPr>
          <w:rFonts w:ascii="Book Antiqua" w:eastAsia="Book Antiqua" w:hAnsi="Book Antiqua" w:cs="Book Antiqua"/>
          <w:color w:val="000000"/>
        </w:rPr>
        <w:t xml:space="preserve"> CS, </w:t>
      </w:r>
      <w:proofErr w:type="spellStart"/>
      <w:r w:rsidR="00D25C5E">
        <w:rPr>
          <w:rFonts w:ascii="Book Antiqua" w:eastAsia="Book Antiqua" w:hAnsi="Book Antiqua" w:cs="Book Antiqua"/>
          <w:color w:val="000000"/>
        </w:rPr>
        <w:t>Kohli</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Bzowej</w:t>
      </w:r>
      <w:proofErr w:type="spellEnd"/>
      <w:r w:rsidR="00D25C5E">
        <w:rPr>
          <w:rFonts w:ascii="Book Antiqua" w:eastAsia="Book Antiqua" w:hAnsi="Book Antiqua" w:cs="Book Antiqua"/>
          <w:color w:val="000000"/>
        </w:rPr>
        <w:t xml:space="preserve"> N, </w:t>
      </w:r>
      <w:proofErr w:type="spellStart"/>
      <w:r w:rsidR="00D25C5E">
        <w:rPr>
          <w:rFonts w:ascii="Book Antiqua" w:eastAsia="Book Antiqua" w:hAnsi="Book Antiqua" w:cs="Book Antiqua"/>
          <w:color w:val="000000"/>
        </w:rPr>
        <w:t>Younes</w:t>
      </w:r>
      <w:proofErr w:type="spellEnd"/>
      <w:r w:rsidR="00D25C5E">
        <w:rPr>
          <w:rFonts w:ascii="Book Antiqua" w:eastAsia="Book Antiqua" w:hAnsi="Book Antiqua" w:cs="Book Antiqua"/>
          <w:color w:val="000000"/>
        </w:rPr>
        <w:t xml:space="preserve"> Z, Sarin S, </w:t>
      </w:r>
      <w:proofErr w:type="spellStart"/>
      <w:r w:rsidR="00D25C5E">
        <w:rPr>
          <w:rFonts w:ascii="Book Antiqua" w:eastAsia="Book Antiqua" w:hAnsi="Book Antiqua" w:cs="Book Antiqua"/>
          <w:color w:val="000000"/>
        </w:rPr>
        <w:t>Shiffman</w:t>
      </w:r>
      <w:proofErr w:type="spellEnd"/>
      <w:r w:rsidR="00D25C5E">
        <w:rPr>
          <w:rFonts w:ascii="Book Antiqua" w:eastAsia="Book Antiqua" w:hAnsi="Book Antiqua" w:cs="Book Antiqua"/>
          <w:color w:val="000000"/>
        </w:rPr>
        <w:t xml:space="preserve"> ML, Harrison SA, </w:t>
      </w:r>
      <w:proofErr w:type="spellStart"/>
      <w:r w:rsidR="00D25C5E">
        <w:rPr>
          <w:rFonts w:ascii="Book Antiqua" w:eastAsia="Book Antiqua" w:hAnsi="Book Antiqua" w:cs="Book Antiqua"/>
          <w:color w:val="000000"/>
        </w:rPr>
        <w:t>Afdhal</w:t>
      </w:r>
      <w:proofErr w:type="spellEnd"/>
      <w:r w:rsidR="00D25C5E">
        <w:rPr>
          <w:rFonts w:ascii="Book Antiqua" w:eastAsia="Book Antiqua" w:hAnsi="Book Antiqua" w:cs="Book Antiqua"/>
          <w:color w:val="000000"/>
        </w:rPr>
        <w:t xml:space="preserve"> </w:t>
      </w:r>
      <w:r w:rsidR="00D25C5E">
        <w:rPr>
          <w:rFonts w:ascii="Book Antiqua" w:eastAsia="Book Antiqua" w:hAnsi="Book Antiqua" w:cs="Book Antiqua"/>
          <w:color w:val="000000"/>
        </w:rPr>
        <w:lastRenderedPageBreak/>
        <w:t xml:space="preserve">NH, Goodman Z, </w:t>
      </w:r>
      <w:proofErr w:type="spellStart"/>
      <w:r w:rsidR="00D25C5E">
        <w:rPr>
          <w:rFonts w:ascii="Book Antiqua" w:eastAsia="Book Antiqua" w:hAnsi="Book Antiqua" w:cs="Book Antiqua"/>
          <w:color w:val="000000"/>
        </w:rPr>
        <w:t>Younossi</w:t>
      </w:r>
      <w:proofErr w:type="spellEnd"/>
      <w:r w:rsidR="00D25C5E">
        <w:rPr>
          <w:rFonts w:ascii="Book Antiqua" w:eastAsia="Book Antiqua" w:hAnsi="Book Antiqua" w:cs="Book Antiqua"/>
          <w:color w:val="000000"/>
        </w:rPr>
        <w:t xml:space="preserve"> ZM. Noninvasive Tests Accurately Identify Advanced Fibrosis due to NASH: Baseline Data From the STELLAR Trials.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2019; </w:t>
      </w:r>
      <w:r w:rsidR="00D25C5E">
        <w:rPr>
          <w:rFonts w:ascii="Book Antiqua" w:eastAsia="Book Antiqua" w:hAnsi="Book Antiqua" w:cs="Book Antiqua"/>
          <w:b/>
          <w:bCs/>
          <w:color w:val="000000"/>
        </w:rPr>
        <w:t>70</w:t>
      </w:r>
      <w:r w:rsidR="00D25C5E">
        <w:rPr>
          <w:rFonts w:ascii="Book Antiqua" w:eastAsia="Book Antiqua" w:hAnsi="Book Antiqua" w:cs="Book Antiqua"/>
          <w:color w:val="000000"/>
        </w:rPr>
        <w:t>: 1521-1530 [PMID: 31271665 DOI: 10.1002/hep.30842]</w:t>
      </w:r>
    </w:p>
    <w:p w14:paraId="66F50583" w14:textId="608734CB" w:rsidR="00A77B3E" w:rsidRDefault="006A324E">
      <w:pPr>
        <w:spacing w:line="360" w:lineRule="auto"/>
        <w:jc w:val="both"/>
      </w:pPr>
      <w:r>
        <w:rPr>
          <w:rFonts w:ascii="Book Antiqua" w:eastAsia="Book Antiqua" w:hAnsi="Book Antiqua" w:cs="Book Antiqua"/>
          <w:color w:val="000000"/>
        </w:rPr>
        <w:t xml:space="preserve">23 </w:t>
      </w:r>
      <w:proofErr w:type="spellStart"/>
      <w:r w:rsidR="00D25C5E">
        <w:rPr>
          <w:rFonts w:ascii="Book Antiqua" w:eastAsia="Book Antiqua" w:hAnsi="Book Antiqua" w:cs="Book Antiqua"/>
          <w:b/>
          <w:bCs/>
          <w:color w:val="000000"/>
        </w:rPr>
        <w:t>Kamada</w:t>
      </w:r>
      <w:proofErr w:type="spellEnd"/>
      <w:r w:rsidR="00D25C5E">
        <w:rPr>
          <w:rFonts w:ascii="Book Antiqua" w:eastAsia="Book Antiqua" w:hAnsi="Book Antiqua" w:cs="Book Antiqua"/>
          <w:b/>
          <w:bCs/>
          <w:color w:val="000000"/>
        </w:rPr>
        <w:t xml:space="preserve"> Y</w:t>
      </w:r>
      <w:r w:rsidR="00D25C5E">
        <w:rPr>
          <w:rFonts w:ascii="Book Antiqua" w:eastAsia="Book Antiqua" w:hAnsi="Book Antiqua" w:cs="Book Antiqua"/>
          <w:color w:val="000000"/>
        </w:rPr>
        <w:t xml:space="preserve">, Ono M, Hyogo H, </w:t>
      </w:r>
      <w:proofErr w:type="spellStart"/>
      <w:r w:rsidR="00D25C5E">
        <w:rPr>
          <w:rFonts w:ascii="Book Antiqua" w:eastAsia="Book Antiqua" w:hAnsi="Book Antiqua" w:cs="Book Antiqua"/>
          <w:color w:val="000000"/>
        </w:rPr>
        <w:t>Fujii</w:t>
      </w:r>
      <w:proofErr w:type="spellEnd"/>
      <w:r w:rsidR="00D25C5E">
        <w:rPr>
          <w:rFonts w:ascii="Book Antiqua" w:eastAsia="Book Antiqua" w:hAnsi="Book Antiqua" w:cs="Book Antiqua"/>
          <w:color w:val="000000"/>
        </w:rPr>
        <w:t xml:space="preserve"> H, Sumida Y, Yamada M, Mori K, Tanaka S, </w:t>
      </w:r>
      <w:proofErr w:type="spellStart"/>
      <w:r w:rsidR="00D25C5E">
        <w:rPr>
          <w:rFonts w:ascii="Book Antiqua" w:eastAsia="Book Antiqua" w:hAnsi="Book Antiqua" w:cs="Book Antiqua"/>
          <w:color w:val="000000"/>
        </w:rPr>
        <w:t>Maekawa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Ebisutani</w:t>
      </w:r>
      <w:proofErr w:type="spellEnd"/>
      <w:r w:rsidR="00D25C5E">
        <w:rPr>
          <w:rFonts w:ascii="Book Antiqua" w:eastAsia="Book Antiqua" w:hAnsi="Book Antiqua" w:cs="Book Antiqua"/>
          <w:color w:val="000000"/>
        </w:rPr>
        <w:t xml:space="preserve"> Y, Yamamoto A, Takamatsu S, </w:t>
      </w:r>
      <w:proofErr w:type="spellStart"/>
      <w:r w:rsidR="00D25C5E">
        <w:rPr>
          <w:rFonts w:ascii="Book Antiqua" w:eastAsia="Book Antiqua" w:hAnsi="Book Antiqua" w:cs="Book Antiqua"/>
          <w:color w:val="000000"/>
        </w:rPr>
        <w:t>Yoneda</w:t>
      </w:r>
      <w:proofErr w:type="spellEnd"/>
      <w:r w:rsidR="00D25C5E">
        <w:rPr>
          <w:rFonts w:ascii="Book Antiqua" w:eastAsia="Book Antiqua" w:hAnsi="Book Antiqua" w:cs="Book Antiqua"/>
          <w:color w:val="000000"/>
        </w:rPr>
        <w:t xml:space="preserve"> M, Kawada N, </w:t>
      </w:r>
      <w:proofErr w:type="spellStart"/>
      <w:r w:rsidR="00D25C5E">
        <w:rPr>
          <w:rFonts w:ascii="Book Antiqua" w:eastAsia="Book Antiqua" w:hAnsi="Book Antiqua" w:cs="Book Antiqua"/>
          <w:color w:val="000000"/>
        </w:rPr>
        <w:t>Chayama</w:t>
      </w:r>
      <w:proofErr w:type="spellEnd"/>
      <w:r w:rsidR="00D25C5E">
        <w:rPr>
          <w:rFonts w:ascii="Book Antiqua" w:eastAsia="Book Antiqua" w:hAnsi="Book Antiqua" w:cs="Book Antiqua"/>
          <w:color w:val="000000"/>
        </w:rPr>
        <w:t xml:space="preserve"> K, </w:t>
      </w:r>
      <w:proofErr w:type="spellStart"/>
      <w:r w:rsidR="00D25C5E">
        <w:rPr>
          <w:rFonts w:ascii="Book Antiqua" w:eastAsia="Book Antiqua" w:hAnsi="Book Antiqua" w:cs="Book Antiqua"/>
          <w:color w:val="000000"/>
        </w:rPr>
        <w:t>Saibara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Takehara</w:t>
      </w:r>
      <w:proofErr w:type="spellEnd"/>
      <w:r w:rsidR="00D25C5E">
        <w:rPr>
          <w:rFonts w:ascii="Book Antiqua" w:eastAsia="Book Antiqua" w:hAnsi="Book Antiqua" w:cs="Book Antiqua"/>
          <w:color w:val="000000"/>
        </w:rPr>
        <w:t xml:space="preserve"> T, Miyoshi E; Japan Study Group of Nonalcoholic Fatty Liver Disease (JSG‐NAFLD). Use of Mac-2 binding protein as a biomarker for nonalcoholic fatty liver disease diagnosis.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Commun</w:t>
      </w:r>
      <w:proofErr w:type="spellEnd"/>
      <w:r w:rsidR="00D25C5E">
        <w:rPr>
          <w:rFonts w:ascii="Book Antiqua" w:eastAsia="Book Antiqua" w:hAnsi="Book Antiqua" w:cs="Book Antiqua"/>
          <w:color w:val="000000"/>
        </w:rPr>
        <w:t xml:space="preserve"> 2017; </w:t>
      </w:r>
      <w:r w:rsidR="00D25C5E">
        <w:rPr>
          <w:rFonts w:ascii="Book Antiqua" w:eastAsia="Book Antiqua" w:hAnsi="Book Antiqua" w:cs="Book Antiqua"/>
          <w:b/>
          <w:bCs/>
          <w:color w:val="000000"/>
        </w:rPr>
        <w:t>1</w:t>
      </w:r>
      <w:r w:rsidR="00D25C5E">
        <w:rPr>
          <w:rFonts w:ascii="Book Antiqua" w:eastAsia="Book Antiqua" w:hAnsi="Book Antiqua" w:cs="Book Antiqua"/>
          <w:color w:val="000000"/>
        </w:rPr>
        <w:t>: 780-791 [PMID: 29404494 DOI: 10.1002/hep4.1080]</w:t>
      </w:r>
    </w:p>
    <w:p w14:paraId="60E14E00" w14:textId="3E0126D0" w:rsidR="00A77B3E" w:rsidRDefault="006A324E">
      <w:pPr>
        <w:spacing w:line="360" w:lineRule="auto"/>
        <w:jc w:val="both"/>
      </w:pPr>
      <w:r>
        <w:rPr>
          <w:rFonts w:ascii="Book Antiqua" w:eastAsia="Book Antiqua" w:hAnsi="Book Antiqua" w:cs="Book Antiqua"/>
          <w:color w:val="000000"/>
        </w:rPr>
        <w:t xml:space="preserve">24 </w:t>
      </w:r>
      <w:proofErr w:type="spellStart"/>
      <w:r w:rsidR="00D25C5E">
        <w:rPr>
          <w:rFonts w:ascii="Book Antiqua" w:eastAsia="Book Antiqua" w:hAnsi="Book Antiqua" w:cs="Book Antiqua"/>
          <w:b/>
          <w:bCs/>
          <w:color w:val="000000"/>
        </w:rPr>
        <w:t>Yoneda</w:t>
      </w:r>
      <w:proofErr w:type="spellEnd"/>
      <w:r w:rsidR="00D25C5E">
        <w:rPr>
          <w:rFonts w:ascii="Book Antiqua" w:eastAsia="Book Antiqua" w:hAnsi="Book Antiqua" w:cs="Book Antiqua"/>
          <w:b/>
          <w:bCs/>
          <w:color w:val="000000"/>
        </w:rPr>
        <w:t xml:space="preserve"> M</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Mawatari</w:t>
      </w:r>
      <w:proofErr w:type="spellEnd"/>
      <w:r w:rsidR="00D25C5E">
        <w:rPr>
          <w:rFonts w:ascii="Book Antiqua" w:eastAsia="Book Antiqua" w:hAnsi="Book Antiqua" w:cs="Book Antiqua"/>
          <w:color w:val="000000"/>
        </w:rPr>
        <w:t xml:space="preserve"> H, Fujita K, </w:t>
      </w:r>
      <w:proofErr w:type="spellStart"/>
      <w:r w:rsidR="00D25C5E">
        <w:rPr>
          <w:rFonts w:ascii="Book Antiqua" w:eastAsia="Book Antiqua" w:hAnsi="Book Antiqua" w:cs="Book Antiqua"/>
          <w:color w:val="000000"/>
        </w:rPr>
        <w:t>Yonemitsu</w:t>
      </w:r>
      <w:proofErr w:type="spellEnd"/>
      <w:r w:rsidR="00D25C5E">
        <w:rPr>
          <w:rFonts w:ascii="Book Antiqua" w:eastAsia="Book Antiqua" w:hAnsi="Book Antiqua" w:cs="Book Antiqua"/>
          <w:color w:val="000000"/>
        </w:rPr>
        <w:t xml:space="preserve"> K, Kato S, Takahashi H, </w:t>
      </w:r>
      <w:proofErr w:type="spellStart"/>
      <w:r w:rsidR="00D25C5E">
        <w:rPr>
          <w:rFonts w:ascii="Book Antiqua" w:eastAsia="Book Antiqua" w:hAnsi="Book Antiqua" w:cs="Book Antiqua"/>
          <w:color w:val="000000"/>
        </w:rPr>
        <w:t>Kirikoshi</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Inamori</w:t>
      </w:r>
      <w:proofErr w:type="spellEnd"/>
      <w:r w:rsidR="00D25C5E">
        <w:rPr>
          <w:rFonts w:ascii="Book Antiqua" w:eastAsia="Book Antiqua" w:hAnsi="Book Antiqua" w:cs="Book Antiqua"/>
          <w:color w:val="000000"/>
        </w:rPr>
        <w:t xml:space="preserve"> M, Nozaki Y, Abe Y, Kubota K, Saito S, Iwasaki T, Terauchi Y, Togo S, Maeyama S, Nakajima A. Type IV collagen 7s domain is an independent clinical marker of the severity of fibrosis in patients with nonalcoholic steatohepatitis before the cirrhotic stage. </w:t>
      </w:r>
      <w:r w:rsidR="00D25C5E">
        <w:rPr>
          <w:rFonts w:ascii="Book Antiqua" w:eastAsia="Book Antiqua" w:hAnsi="Book Antiqua" w:cs="Book Antiqua"/>
          <w:i/>
          <w:iCs/>
          <w:color w:val="000000"/>
        </w:rPr>
        <w:t>J Gastroenterol</w:t>
      </w:r>
      <w:r w:rsidR="00D25C5E">
        <w:rPr>
          <w:rFonts w:ascii="Book Antiqua" w:eastAsia="Book Antiqua" w:hAnsi="Book Antiqua" w:cs="Book Antiqua"/>
          <w:color w:val="000000"/>
        </w:rPr>
        <w:t xml:space="preserve"> 2007; </w:t>
      </w:r>
      <w:r w:rsidR="00D25C5E">
        <w:rPr>
          <w:rFonts w:ascii="Book Antiqua" w:eastAsia="Book Antiqua" w:hAnsi="Book Antiqua" w:cs="Book Antiqua"/>
          <w:b/>
          <w:bCs/>
          <w:color w:val="000000"/>
        </w:rPr>
        <w:t>42</w:t>
      </w:r>
      <w:r w:rsidR="00D25C5E">
        <w:rPr>
          <w:rFonts w:ascii="Book Antiqua" w:eastAsia="Book Antiqua" w:hAnsi="Book Antiqua" w:cs="Book Antiqua"/>
          <w:color w:val="000000"/>
        </w:rPr>
        <w:t>: 375-381 [PMID: 17530362 DOI: 10.1007/s00535-007-2014-3]</w:t>
      </w:r>
    </w:p>
    <w:p w14:paraId="3E7A46EB" w14:textId="4D3AD5F3" w:rsidR="00A77B3E" w:rsidRDefault="006A324E">
      <w:pPr>
        <w:spacing w:line="360" w:lineRule="auto"/>
        <w:jc w:val="both"/>
      </w:pPr>
      <w:r>
        <w:rPr>
          <w:rFonts w:ascii="Book Antiqua" w:eastAsia="Book Antiqua" w:hAnsi="Book Antiqua" w:cs="Book Antiqua"/>
          <w:color w:val="000000"/>
        </w:rPr>
        <w:t xml:space="preserve">25 </w:t>
      </w:r>
      <w:r w:rsidR="00D25C5E">
        <w:rPr>
          <w:rFonts w:ascii="Book Antiqua" w:eastAsia="Book Antiqua" w:hAnsi="Book Antiqua" w:cs="Book Antiqua"/>
          <w:b/>
          <w:bCs/>
          <w:color w:val="000000"/>
        </w:rPr>
        <w:t>Itoh Y</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Seko</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Shima</w:t>
      </w:r>
      <w:proofErr w:type="spellEnd"/>
      <w:r w:rsidR="00D25C5E">
        <w:rPr>
          <w:rFonts w:ascii="Book Antiqua" w:eastAsia="Book Antiqua" w:hAnsi="Book Antiqua" w:cs="Book Antiqua"/>
          <w:color w:val="000000"/>
        </w:rPr>
        <w:t xml:space="preserve"> T, Nakajima T, Mizuno K, Kawamura Y, </w:t>
      </w:r>
      <w:proofErr w:type="spellStart"/>
      <w:r w:rsidR="00D25C5E">
        <w:rPr>
          <w:rFonts w:ascii="Book Antiqua" w:eastAsia="Book Antiqua" w:hAnsi="Book Antiqua" w:cs="Book Antiqua"/>
          <w:color w:val="000000"/>
        </w:rPr>
        <w:t>Akuta</w:t>
      </w:r>
      <w:proofErr w:type="spellEnd"/>
      <w:r w:rsidR="00D25C5E">
        <w:rPr>
          <w:rFonts w:ascii="Book Antiqua" w:eastAsia="Book Antiqua" w:hAnsi="Book Antiqua" w:cs="Book Antiqua"/>
          <w:color w:val="000000"/>
        </w:rPr>
        <w:t xml:space="preserve"> N, Ito K, </w:t>
      </w:r>
      <w:proofErr w:type="spellStart"/>
      <w:r w:rsidR="00D25C5E">
        <w:rPr>
          <w:rFonts w:ascii="Book Antiqua" w:eastAsia="Book Antiqua" w:hAnsi="Book Antiqua" w:cs="Book Antiqua"/>
          <w:color w:val="000000"/>
        </w:rPr>
        <w:t>Kawanaka</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Hiramatsu</w:t>
      </w:r>
      <w:proofErr w:type="spellEnd"/>
      <w:r w:rsidR="00D25C5E">
        <w:rPr>
          <w:rFonts w:ascii="Book Antiqua" w:eastAsia="Book Antiqua" w:hAnsi="Book Antiqua" w:cs="Book Antiqua"/>
          <w:color w:val="000000"/>
        </w:rPr>
        <w:t xml:space="preserve"> A, Sakamoto M, Harada K, </w:t>
      </w:r>
      <w:proofErr w:type="spellStart"/>
      <w:r w:rsidR="00D25C5E">
        <w:rPr>
          <w:rFonts w:ascii="Book Antiqua" w:eastAsia="Book Antiqua" w:hAnsi="Book Antiqua" w:cs="Book Antiqua"/>
          <w:color w:val="000000"/>
        </w:rPr>
        <w:t>Goto</w:t>
      </w:r>
      <w:proofErr w:type="spellEnd"/>
      <w:r w:rsidR="00D25C5E">
        <w:rPr>
          <w:rFonts w:ascii="Book Antiqua" w:eastAsia="Book Antiqua" w:hAnsi="Book Antiqua" w:cs="Book Antiqua"/>
          <w:color w:val="000000"/>
        </w:rPr>
        <w:t xml:space="preserve"> Y, Nakayama T, </w:t>
      </w:r>
      <w:proofErr w:type="spellStart"/>
      <w:r w:rsidR="00D25C5E">
        <w:rPr>
          <w:rFonts w:ascii="Book Antiqua" w:eastAsia="Book Antiqua" w:hAnsi="Book Antiqua" w:cs="Book Antiqua"/>
          <w:color w:val="000000"/>
        </w:rPr>
        <w:t>Kumada</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Okanoue</w:t>
      </w:r>
      <w:proofErr w:type="spellEnd"/>
      <w:r w:rsidR="00D25C5E">
        <w:rPr>
          <w:rFonts w:ascii="Book Antiqua" w:eastAsia="Book Antiqua" w:hAnsi="Book Antiqua" w:cs="Book Antiqua"/>
          <w:color w:val="000000"/>
        </w:rPr>
        <w:t xml:space="preserve"> T. Accuracy of non-invasive scoring systems for diagnosing non-alcoholic steatohepatitis-related fibrosis: Multicenter validation study. </w:t>
      </w:r>
      <w:r w:rsidR="00D25C5E">
        <w:rPr>
          <w:rFonts w:ascii="Book Antiqua" w:eastAsia="Book Antiqua" w:hAnsi="Book Antiqua" w:cs="Book Antiqua"/>
          <w:i/>
          <w:iCs/>
          <w:color w:val="000000"/>
        </w:rPr>
        <w:t>Hepatol Res</w:t>
      </w:r>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48</w:t>
      </w:r>
      <w:r w:rsidR="00D25C5E">
        <w:rPr>
          <w:rFonts w:ascii="Book Antiqua" w:eastAsia="Book Antiqua" w:hAnsi="Book Antiqua" w:cs="Book Antiqua"/>
          <w:color w:val="000000"/>
        </w:rPr>
        <w:t>: 1099-1107 [PMID: 29974624 DOI: 10.1111/hepr.13226]</w:t>
      </w:r>
    </w:p>
    <w:p w14:paraId="73FF74F1" w14:textId="652EA3B1" w:rsidR="00A77B3E" w:rsidRDefault="006A324E">
      <w:pPr>
        <w:spacing w:line="360" w:lineRule="auto"/>
        <w:jc w:val="both"/>
      </w:pPr>
      <w:r>
        <w:rPr>
          <w:rFonts w:ascii="Book Antiqua" w:eastAsia="Book Antiqua" w:hAnsi="Book Antiqua" w:cs="Book Antiqua"/>
          <w:color w:val="000000"/>
        </w:rPr>
        <w:t xml:space="preserve">26 </w:t>
      </w:r>
      <w:r w:rsidR="00D25C5E">
        <w:rPr>
          <w:rFonts w:ascii="Book Antiqua" w:eastAsia="Book Antiqua" w:hAnsi="Book Antiqua" w:cs="Book Antiqua"/>
          <w:b/>
          <w:bCs/>
          <w:color w:val="000000"/>
        </w:rPr>
        <w:t>Brunt EM</w:t>
      </w:r>
      <w:r w:rsidR="00D25C5E">
        <w:rPr>
          <w:rFonts w:ascii="Book Antiqua" w:eastAsia="Book Antiqua" w:hAnsi="Book Antiqua" w:cs="Book Antiqua"/>
          <w:color w:val="000000"/>
        </w:rPr>
        <w:t xml:space="preserve">, Kleiner DE, Wilson LA, Belt P, </w:t>
      </w:r>
      <w:proofErr w:type="spellStart"/>
      <w:r w:rsidR="00D25C5E">
        <w:rPr>
          <w:rFonts w:ascii="Book Antiqua" w:eastAsia="Book Antiqua" w:hAnsi="Book Antiqua" w:cs="Book Antiqua"/>
          <w:color w:val="000000"/>
        </w:rPr>
        <w:t>Neuschwander-Tetri</w:t>
      </w:r>
      <w:proofErr w:type="spellEnd"/>
      <w:r w:rsidR="00D25C5E">
        <w:rPr>
          <w:rFonts w:ascii="Book Antiqua" w:eastAsia="Book Antiqua" w:hAnsi="Book Antiqua" w:cs="Book Antiqua"/>
          <w:color w:val="000000"/>
        </w:rPr>
        <w:t xml:space="preserve"> BA; NASH Clinical Research Network (CRN). Nonalcoholic fatty liver disease (NAFLD) activity score and the histopathologic diagnosis in NAFLD: distinct clinicopathologic meanings.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2011; </w:t>
      </w:r>
      <w:r w:rsidR="00D25C5E">
        <w:rPr>
          <w:rFonts w:ascii="Book Antiqua" w:eastAsia="Book Antiqua" w:hAnsi="Book Antiqua" w:cs="Book Antiqua"/>
          <w:b/>
          <w:bCs/>
          <w:color w:val="000000"/>
        </w:rPr>
        <w:t>53</w:t>
      </w:r>
      <w:r w:rsidR="00D25C5E">
        <w:rPr>
          <w:rFonts w:ascii="Book Antiqua" w:eastAsia="Book Antiqua" w:hAnsi="Book Antiqua" w:cs="Book Antiqua"/>
          <w:color w:val="000000"/>
        </w:rPr>
        <w:t>: 810-820 [PMID: 21319198 DOI: 10.1002/hep.24127]</w:t>
      </w:r>
    </w:p>
    <w:p w14:paraId="2A363E02" w14:textId="494AA407" w:rsidR="00A77B3E" w:rsidRDefault="006A324E">
      <w:pPr>
        <w:spacing w:line="360" w:lineRule="auto"/>
        <w:jc w:val="both"/>
      </w:pPr>
      <w:r>
        <w:rPr>
          <w:rFonts w:ascii="Book Antiqua" w:eastAsia="Book Antiqua" w:hAnsi="Book Antiqua" w:cs="Book Antiqua"/>
          <w:color w:val="000000"/>
        </w:rPr>
        <w:t xml:space="preserve">27 </w:t>
      </w:r>
      <w:r w:rsidR="00D25C5E">
        <w:rPr>
          <w:rFonts w:ascii="Book Antiqua" w:eastAsia="Book Antiqua" w:hAnsi="Book Antiqua" w:cs="Book Antiqua"/>
          <w:b/>
          <w:bCs/>
          <w:color w:val="000000"/>
        </w:rPr>
        <w:t>Kleiner DE</w:t>
      </w:r>
      <w:r w:rsidR="00D25C5E">
        <w:rPr>
          <w:rFonts w:ascii="Book Antiqua" w:eastAsia="Book Antiqua" w:hAnsi="Book Antiqua" w:cs="Book Antiqua"/>
          <w:color w:val="000000"/>
        </w:rPr>
        <w:t xml:space="preserve">, Brunt EM, Van Natta M, </w:t>
      </w:r>
      <w:proofErr w:type="spellStart"/>
      <w:r w:rsidR="00D25C5E">
        <w:rPr>
          <w:rFonts w:ascii="Book Antiqua" w:eastAsia="Book Antiqua" w:hAnsi="Book Antiqua" w:cs="Book Antiqua"/>
          <w:color w:val="000000"/>
        </w:rPr>
        <w:t>Behling</w:t>
      </w:r>
      <w:proofErr w:type="spellEnd"/>
      <w:r w:rsidR="00D25C5E">
        <w:rPr>
          <w:rFonts w:ascii="Book Antiqua" w:eastAsia="Book Antiqua" w:hAnsi="Book Antiqua" w:cs="Book Antiqua"/>
          <w:color w:val="000000"/>
        </w:rPr>
        <w:t xml:space="preserve"> C, </w:t>
      </w:r>
      <w:proofErr w:type="spellStart"/>
      <w:r w:rsidR="00D25C5E">
        <w:rPr>
          <w:rFonts w:ascii="Book Antiqua" w:eastAsia="Book Antiqua" w:hAnsi="Book Antiqua" w:cs="Book Antiqua"/>
          <w:color w:val="000000"/>
        </w:rPr>
        <w:t>Contos</w:t>
      </w:r>
      <w:proofErr w:type="spellEnd"/>
      <w:r w:rsidR="00D25C5E">
        <w:rPr>
          <w:rFonts w:ascii="Book Antiqua" w:eastAsia="Book Antiqua" w:hAnsi="Book Antiqua" w:cs="Book Antiqua"/>
          <w:color w:val="000000"/>
        </w:rPr>
        <w:t xml:space="preserve"> MJ, Cummings OW, Ferrell LD, Liu YC, </w:t>
      </w:r>
      <w:proofErr w:type="spellStart"/>
      <w:r w:rsidR="00D25C5E">
        <w:rPr>
          <w:rFonts w:ascii="Book Antiqua" w:eastAsia="Book Antiqua" w:hAnsi="Book Antiqua" w:cs="Book Antiqua"/>
          <w:color w:val="000000"/>
        </w:rPr>
        <w:t>Torbenson</w:t>
      </w:r>
      <w:proofErr w:type="spellEnd"/>
      <w:r w:rsidR="00D25C5E">
        <w:rPr>
          <w:rFonts w:ascii="Book Antiqua" w:eastAsia="Book Antiqua" w:hAnsi="Book Antiqua" w:cs="Book Antiqua"/>
          <w:color w:val="000000"/>
        </w:rPr>
        <w:t xml:space="preserve"> MS, </w:t>
      </w:r>
      <w:proofErr w:type="spellStart"/>
      <w:r w:rsidR="00D25C5E">
        <w:rPr>
          <w:rFonts w:ascii="Book Antiqua" w:eastAsia="Book Antiqua" w:hAnsi="Book Antiqua" w:cs="Book Antiqua"/>
          <w:color w:val="000000"/>
        </w:rPr>
        <w:t>Unalp-Arida</w:t>
      </w:r>
      <w:proofErr w:type="spellEnd"/>
      <w:r w:rsidR="00D25C5E">
        <w:rPr>
          <w:rFonts w:ascii="Book Antiqua" w:eastAsia="Book Antiqua" w:hAnsi="Book Antiqua" w:cs="Book Antiqua"/>
          <w:color w:val="000000"/>
        </w:rPr>
        <w:t xml:space="preserve"> A, Yeh M, McCullough AJ, Sanyal AJ; Nonalcoholic Steatohepatitis Clinical Research Network. Design and validation of a histological scoring system for nonalcoholic fatty liver disease.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2005; </w:t>
      </w:r>
      <w:r w:rsidR="00D25C5E">
        <w:rPr>
          <w:rFonts w:ascii="Book Antiqua" w:eastAsia="Book Antiqua" w:hAnsi="Book Antiqua" w:cs="Book Antiqua"/>
          <w:b/>
          <w:bCs/>
          <w:color w:val="000000"/>
        </w:rPr>
        <w:t>41</w:t>
      </w:r>
      <w:r w:rsidR="00D25C5E">
        <w:rPr>
          <w:rFonts w:ascii="Book Antiqua" w:eastAsia="Book Antiqua" w:hAnsi="Book Antiqua" w:cs="Book Antiqua"/>
          <w:color w:val="000000"/>
        </w:rPr>
        <w:t>: 1313-1321 [PMID: 15915461 DOI: 10.1002/hep.20701]</w:t>
      </w:r>
    </w:p>
    <w:p w14:paraId="7DF5A153" w14:textId="4F837B81" w:rsidR="00A77B3E" w:rsidRDefault="006A324E">
      <w:pPr>
        <w:spacing w:line="360" w:lineRule="auto"/>
        <w:jc w:val="both"/>
      </w:pPr>
      <w:r>
        <w:rPr>
          <w:rFonts w:ascii="Book Antiqua" w:eastAsia="Book Antiqua" w:hAnsi="Book Antiqua" w:cs="Book Antiqua"/>
          <w:color w:val="000000"/>
        </w:rPr>
        <w:lastRenderedPageBreak/>
        <w:t xml:space="preserve">28 </w:t>
      </w:r>
      <w:proofErr w:type="spellStart"/>
      <w:r w:rsidR="00D25C5E">
        <w:rPr>
          <w:rFonts w:ascii="Book Antiqua" w:eastAsia="Book Antiqua" w:hAnsi="Book Antiqua" w:cs="Book Antiqua"/>
          <w:b/>
          <w:bCs/>
          <w:color w:val="000000"/>
        </w:rPr>
        <w:t>Bedossa</w:t>
      </w:r>
      <w:proofErr w:type="spellEnd"/>
      <w:r w:rsidR="00D25C5E">
        <w:rPr>
          <w:rFonts w:ascii="Book Antiqua" w:eastAsia="Book Antiqua" w:hAnsi="Book Antiqua" w:cs="Book Antiqua"/>
          <w:b/>
          <w:bCs/>
          <w:color w:val="000000"/>
        </w:rPr>
        <w:t xml:space="preserve"> P</w:t>
      </w:r>
      <w:r w:rsidR="00D25C5E">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2014; </w:t>
      </w:r>
      <w:r w:rsidR="00D25C5E">
        <w:rPr>
          <w:rFonts w:ascii="Book Antiqua" w:eastAsia="Book Antiqua" w:hAnsi="Book Antiqua" w:cs="Book Antiqua"/>
          <w:b/>
          <w:bCs/>
          <w:color w:val="000000"/>
        </w:rPr>
        <w:t>60</w:t>
      </w:r>
      <w:r w:rsidR="00D25C5E">
        <w:rPr>
          <w:rFonts w:ascii="Book Antiqua" w:eastAsia="Book Antiqua" w:hAnsi="Book Antiqua" w:cs="Book Antiqua"/>
          <w:color w:val="000000"/>
        </w:rPr>
        <w:t>: 565-575 [PMID: 24753132 DOI: 10.1002/hep.27173]</w:t>
      </w:r>
    </w:p>
    <w:p w14:paraId="533ADBBF" w14:textId="0225F156" w:rsidR="00A77B3E" w:rsidRDefault="006A324E">
      <w:pPr>
        <w:spacing w:line="360" w:lineRule="auto"/>
        <w:jc w:val="both"/>
      </w:pPr>
      <w:r>
        <w:rPr>
          <w:rFonts w:ascii="Book Antiqua" w:eastAsia="Book Antiqua" w:hAnsi="Book Antiqua" w:cs="Book Antiqua"/>
          <w:color w:val="000000"/>
        </w:rPr>
        <w:t xml:space="preserve">29 </w:t>
      </w:r>
      <w:r w:rsidR="00D25C5E">
        <w:rPr>
          <w:rFonts w:ascii="Book Antiqua" w:eastAsia="Book Antiqua" w:hAnsi="Book Antiqua" w:cs="Book Antiqua"/>
          <w:b/>
          <w:bCs/>
          <w:color w:val="000000"/>
        </w:rPr>
        <w:t>Tada T</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Kumada</w:t>
      </w:r>
      <w:proofErr w:type="spellEnd"/>
      <w:r w:rsidR="00D25C5E">
        <w:rPr>
          <w:rFonts w:ascii="Book Antiqua" w:eastAsia="Book Antiqua" w:hAnsi="Book Antiqua" w:cs="Book Antiqua"/>
          <w:color w:val="000000"/>
        </w:rPr>
        <w:t xml:space="preserve"> T, Toyoda H, Mizuno K, Sone Y, Akita T, Tanaka J. Progression of liver fibrosis is associated with non-liver-related mortality in patients with nonalcoholic fatty liver disease.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Commun</w:t>
      </w:r>
      <w:proofErr w:type="spellEnd"/>
      <w:r w:rsidR="00D25C5E">
        <w:rPr>
          <w:rFonts w:ascii="Book Antiqua" w:eastAsia="Book Antiqua" w:hAnsi="Book Antiqua" w:cs="Book Antiqua"/>
          <w:color w:val="000000"/>
        </w:rPr>
        <w:t xml:space="preserve"> 2017; </w:t>
      </w:r>
      <w:r w:rsidR="00D25C5E">
        <w:rPr>
          <w:rFonts w:ascii="Book Antiqua" w:eastAsia="Book Antiqua" w:hAnsi="Book Antiqua" w:cs="Book Antiqua"/>
          <w:b/>
          <w:bCs/>
          <w:color w:val="000000"/>
        </w:rPr>
        <w:t>1</w:t>
      </w:r>
      <w:r w:rsidR="00D25C5E">
        <w:rPr>
          <w:rFonts w:ascii="Book Antiqua" w:eastAsia="Book Antiqua" w:hAnsi="Book Antiqua" w:cs="Book Antiqua"/>
          <w:color w:val="000000"/>
        </w:rPr>
        <w:t>: 899-910 [PMID: 29404500 DOI: 10.1002/hep4.1105]</w:t>
      </w:r>
    </w:p>
    <w:p w14:paraId="140D0C20" w14:textId="04A8322F" w:rsidR="00A77B3E" w:rsidRDefault="006A324E">
      <w:pPr>
        <w:spacing w:line="360" w:lineRule="auto"/>
        <w:jc w:val="both"/>
      </w:pPr>
      <w:r>
        <w:rPr>
          <w:rFonts w:ascii="Book Antiqua" w:eastAsia="Book Antiqua" w:hAnsi="Book Antiqua" w:cs="Book Antiqua"/>
          <w:color w:val="000000"/>
        </w:rPr>
        <w:t xml:space="preserve">30 </w:t>
      </w:r>
      <w:r w:rsidR="00D25C5E">
        <w:rPr>
          <w:rFonts w:ascii="Book Antiqua" w:eastAsia="Book Antiqua" w:hAnsi="Book Antiqua" w:cs="Book Antiqua"/>
          <w:b/>
          <w:bCs/>
          <w:color w:val="000000"/>
        </w:rPr>
        <w:t>Nasr P</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Ignatova</w:t>
      </w:r>
      <w:proofErr w:type="spellEnd"/>
      <w:r w:rsidR="00D25C5E">
        <w:rPr>
          <w:rFonts w:ascii="Book Antiqua" w:eastAsia="Book Antiqua" w:hAnsi="Book Antiqua" w:cs="Book Antiqua"/>
          <w:color w:val="000000"/>
        </w:rPr>
        <w:t xml:space="preserve"> S, </w:t>
      </w:r>
      <w:proofErr w:type="spellStart"/>
      <w:r w:rsidR="00D25C5E">
        <w:rPr>
          <w:rFonts w:ascii="Book Antiqua" w:eastAsia="Book Antiqua" w:hAnsi="Book Antiqua" w:cs="Book Antiqua"/>
          <w:color w:val="000000"/>
        </w:rPr>
        <w:t>Kechagias</w:t>
      </w:r>
      <w:proofErr w:type="spellEnd"/>
      <w:r w:rsidR="00D25C5E">
        <w:rPr>
          <w:rFonts w:ascii="Book Antiqua" w:eastAsia="Book Antiqua" w:hAnsi="Book Antiqua" w:cs="Book Antiqua"/>
          <w:color w:val="000000"/>
        </w:rPr>
        <w:t xml:space="preserve"> S, </w:t>
      </w:r>
      <w:proofErr w:type="spellStart"/>
      <w:r w:rsidR="00D25C5E">
        <w:rPr>
          <w:rFonts w:ascii="Book Antiqua" w:eastAsia="Book Antiqua" w:hAnsi="Book Antiqua" w:cs="Book Antiqua"/>
          <w:color w:val="000000"/>
        </w:rPr>
        <w:t>Ekstedt</w:t>
      </w:r>
      <w:proofErr w:type="spellEnd"/>
      <w:r w:rsidR="00D25C5E">
        <w:rPr>
          <w:rFonts w:ascii="Book Antiqua" w:eastAsia="Book Antiqua" w:hAnsi="Book Antiqua" w:cs="Book Antiqua"/>
          <w:color w:val="000000"/>
        </w:rPr>
        <w:t xml:space="preserve"> M. Natural history of nonalcoholic fatty liver disease: A prospective follow-up study with serial biopsies.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Commun</w:t>
      </w:r>
      <w:proofErr w:type="spellEnd"/>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2</w:t>
      </w:r>
      <w:r w:rsidR="00D25C5E">
        <w:rPr>
          <w:rFonts w:ascii="Book Antiqua" w:eastAsia="Book Antiqua" w:hAnsi="Book Antiqua" w:cs="Book Antiqua"/>
          <w:color w:val="000000"/>
        </w:rPr>
        <w:t>: 199-210 [PMID: 29404527 DOI: 10.1002/hep4.1134]</w:t>
      </w:r>
    </w:p>
    <w:p w14:paraId="5EB656BA" w14:textId="17CBC68B" w:rsidR="00A77B3E" w:rsidRDefault="006A324E">
      <w:pPr>
        <w:spacing w:line="360" w:lineRule="auto"/>
        <w:jc w:val="both"/>
      </w:pPr>
      <w:r>
        <w:rPr>
          <w:rFonts w:ascii="Book Antiqua" w:eastAsia="Book Antiqua" w:hAnsi="Book Antiqua" w:cs="Book Antiqua"/>
          <w:color w:val="000000"/>
        </w:rPr>
        <w:t>3</w:t>
      </w:r>
      <w:r w:rsidR="00401BFF">
        <w:rPr>
          <w:rFonts w:ascii="Book Antiqua" w:eastAsia="Book Antiqua" w:hAnsi="Book Antiqua" w:cs="Book Antiqua"/>
          <w:color w:val="000000"/>
        </w:rPr>
        <w:t>1</w:t>
      </w:r>
      <w:r>
        <w:rPr>
          <w:rFonts w:ascii="Book Antiqua" w:eastAsia="Book Antiqua" w:hAnsi="Book Antiqua" w:cs="Book Antiqua"/>
          <w:color w:val="000000"/>
        </w:rPr>
        <w:t xml:space="preserve"> </w:t>
      </w:r>
      <w:r w:rsidR="00D25C5E">
        <w:rPr>
          <w:rFonts w:ascii="Book Antiqua" w:eastAsia="Book Antiqua" w:hAnsi="Book Antiqua" w:cs="Book Antiqua"/>
          <w:b/>
          <w:bCs/>
          <w:color w:val="000000"/>
        </w:rPr>
        <w:t>Seko Y</w:t>
      </w:r>
      <w:r w:rsidR="00D25C5E">
        <w:rPr>
          <w:rFonts w:ascii="Book Antiqua" w:eastAsia="Book Antiqua" w:hAnsi="Book Antiqua" w:cs="Book Antiqua"/>
          <w:color w:val="000000"/>
        </w:rPr>
        <w:t xml:space="preserve">, Sumida Y, Tanaka S, Mori K, </w:t>
      </w:r>
      <w:proofErr w:type="spellStart"/>
      <w:r w:rsidR="00D25C5E">
        <w:rPr>
          <w:rFonts w:ascii="Book Antiqua" w:eastAsia="Book Antiqua" w:hAnsi="Book Antiqua" w:cs="Book Antiqua"/>
          <w:color w:val="000000"/>
        </w:rPr>
        <w:t>Taketani</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Ishiba</w:t>
      </w:r>
      <w:proofErr w:type="spellEnd"/>
      <w:r w:rsidR="00D25C5E">
        <w:rPr>
          <w:rFonts w:ascii="Book Antiqua" w:eastAsia="Book Antiqua" w:hAnsi="Book Antiqua" w:cs="Book Antiqua"/>
          <w:color w:val="000000"/>
        </w:rPr>
        <w:t xml:space="preserve"> H, Hara T, </w:t>
      </w:r>
      <w:proofErr w:type="spellStart"/>
      <w:r w:rsidR="00D25C5E">
        <w:rPr>
          <w:rFonts w:ascii="Book Antiqua" w:eastAsia="Book Antiqua" w:hAnsi="Book Antiqua" w:cs="Book Antiqua"/>
          <w:color w:val="000000"/>
        </w:rPr>
        <w:t>Okajima</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Umemura</w:t>
      </w:r>
      <w:proofErr w:type="spellEnd"/>
      <w:r w:rsidR="00D25C5E">
        <w:rPr>
          <w:rFonts w:ascii="Book Antiqua" w:eastAsia="Book Antiqua" w:hAnsi="Book Antiqua" w:cs="Book Antiqua"/>
          <w:color w:val="000000"/>
        </w:rPr>
        <w:t xml:space="preserve"> A, Nishikawa T, Yamaguchi K, </w:t>
      </w:r>
      <w:proofErr w:type="spellStart"/>
      <w:r w:rsidR="00D25C5E">
        <w:rPr>
          <w:rFonts w:ascii="Book Antiqua" w:eastAsia="Book Antiqua" w:hAnsi="Book Antiqua" w:cs="Book Antiqua"/>
          <w:color w:val="000000"/>
        </w:rPr>
        <w:t>Moriguchi</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Kanemasa</w:t>
      </w:r>
      <w:proofErr w:type="spellEnd"/>
      <w:r w:rsidR="00D25C5E">
        <w:rPr>
          <w:rFonts w:ascii="Book Antiqua" w:eastAsia="Book Antiqua" w:hAnsi="Book Antiqua" w:cs="Book Antiqua"/>
          <w:color w:val="000000"/>
        </w:rPr>
        <w:t xml:space="preserve"> K, </w:t>
      </w:r>
      <w:proofErr w:type="spellStart"/>
      <w:r w:rsidR="00D25C5E">
        <w:rPr>
          <w:rFonts w:ascii="Book Antiqua" w:eastAsia="Book Antiqua" w:hAnsi="Book Antiqua" w:cs="Book Antiqua"/>
          <w:color w:val="000000"/>
        </w:rPr>
        <w:t>Yasui</w:t>
      </w:r>
      <w:proofErr w:type="spellEnd"/>
      <w:r w:rsidR="00D25C5E">
        <w:rPr>
          <w:rFonts w:ascii="Book Antiqua" w:eastAsia="Book Antiqua" w:hAnsi="Book Antiqua" w:cs="Book Antiqua"/>
          <w:color w:val="000000"/>
        </w:rPr>
        <w:t xml:space="preserve"> K, Imai S, Shimada K, Itoh Y. Development of hepatocellular carcinoma in Japanese patients with biopsy-proven non-alcoholic fatty liver disease: Association between PNPLA3 genotype and hepatocarcinogenesis/fibrosis progression. </w:t>
      </w:r>
      <w:r w:rsidR="00D25C5E">
        <w:rPr>
          <w:rFonts w:ascii="Book Antiqua" w:eastAsia="Book Antiqua" w:hAnsi="Book Antiqua" w:cs="Book Antiqua"/>
          <w:i/>
          <w:iCs/>
          <w:color w:val="000000"/>
        </w:rPr>
        <w:t>Hepatol Res</w:t>
      </w:r>
      <w:r w:rsidR="00D25C5E">
        <w:rPr>
          <w:rFonts w:ascii="Book Antiqua" w:eastAsia="Book Antiqua" w:hAnsi="Book Antiqua" w:cs="Book Antiqua"/>
          <w:color w:val="000000"/>
        </w:rPr>
        <w:t xml:space="preserve"> 2017; </w:t>
      </w:r>
      <w:r w:rsidR="00D25C5E">
        <w:rPr>
          <w:rFonts w:ascii="Book Antiqua" w:eastAsia="Book Antiqua" w:hAnsi="Book Antiqua" w:cs="Book Antiqua"/>
          <w:b/>
          <w:bCs/>
          <w:color w:val="000000"/>
        </w:rPr>
        <w:t>47</w:t>
      </w:r>
      <w:r w:rsidR="00D25C5E">
        <w:rPr>
          <w:rFonts w:ascii="Book Antiqua" w:eastAsia="Book Antiqua" w:hAnsi="Book Antiqua" w:cs="Book Antiqua"/>
          <w:color w:val="000000"/>
        </w:rPr>
        <w:t>: 1083-1092 [PMID: 27862719 DOI: 10.1111/hepr.12840]</w:t>
      </w:r>
    </w:p>
    <w:p w14:paraId="1429FF48" w14:textId="7F8C7106" w:rsidR="00A77B3E" w:rsidRDefault="006A324E">
      <w:pPr>
        <w:spacing w:line="360" w:lineRule="auto"/>
        <w:jc w:val="both"/>
      </w:pPr>
      <w:r>
        <w:rPr>
          <w:rFonts w:ascii="Book Antiqua" w:eastAsia="Book Antiqua" w:hAnsi="Book Antiqua" w:cs="Book Antiqua"/>
          <w:color w:val="000000"/>
        </w:rPr>
        <w:t>3</w:t>
      </w:r>
      <w:r w:rsidR="00401BFF">
        <w:rPr>
          <w:rFonts w:ascii="Book Antiqua" w:eastAsia="Book Antiqua" w:hAnsi="Book Antiqua" w:cs="Book Antiqua"/>
          <w:color w:val="000000"/>
        </w:rPr>
        <w:t>2</w:t>
      </w:r>
      <w:r>
        <w:rPr>
          <w:rFonts w:ascii="Book Antiqua" w:eastAsia="Book Antiqua" w:hAnsi="Book Antiqua" w:cs="Book Antiqua"/>
          <w:color w:val="000000"/>
        </w:rPr>
        <w:t xml:space="preserve"> </w:t>
      </w:r>
      <w:r w:rsidR="00D25C5E">
        <w:rPr>
          <w:rFonts w:ascii="Book Antiqua" w:eastAsia="Book Antiqua" w:hAnsi="Book Antiqua" w:cs="Book Antiqua"/>
          <w:b/>
          <w:bCs/>
          <w:color w:val="000000"/>
        </w:rPr>
        <w:t>Jarvis H</w:t>
      </w:r>
      <w:r w:rsidR="00D25C5E">
        <w:rPr>
          <w:rFonts w:ascii="Book Antiqua" w:eastAsia="Book Antiqua" w:hAnsi="Book Antiqua" w:cs="Book Antiqua"/>
          <w:color w:val="000000"/>
        </w:rPr>
        <w:t xml:space="preserve">, Craig D, Barker R, Spiers G, Stow D, </w:t>
      </w:r>
      <w:proofErr w:type="spellStart"/>
      <w:r w:rsidR="00D25C5E">
        <w:rPr>
          <w:rFonts w:ascii="Book Antiqua" w:eastAsia="Book Antiqua" w:hAnsi="Book Antiqua" w:cs="Book Antiqua"/>
          <w:color w:val="000000"/>
        </w:rPr>
        <w:t>Anstee</w:t>
      </w:r>
      <w:proofErr w:type="spellEnd"/>
      <w:r w:rsidR="00D25C5E">
        <w:rPr>
          <w:rFonts w:ascii="Book Antiqua" w:eastAsia="Book Antiqua" w:hAnsi="Book Antiqua" w:cs="Book Antiqua"/>
          <w:color w:val="000000"/>
        </w:rPr>
        <w:t xml:space="preserve"> QM, </w:t>
      </w:r>
      <w:proofErr w:type="spellStart"/>
      <w:r w:rsidR="00D25C5E">
        <w:rPr>
          <w:rFonts w:ascii="Book Antiqua" w:eastAsia="Book Antiqua" w:hAnsi="Book Antiqua" w:cs="Book Antiqua"/>
          <w:color w:val="000000"/>
        </w:rPr>
        <w:t>Hanratty</w:t>
      </w:r>
      <w:proofErr w:type="spellEnd"/>
      <w:r w:rsidR="00D25C5E">
        <w:rPr>
          <w:rFonts w:ascii="Book Antiqua" w:eastAsia="Book Antiqua" w:hAnsi="Book Antiqua" w:cs="Book Antiqua"/>
          <w:color w:val="000000"/>
        </w:rPr>
        <w:t xml:space="preserve"> B. Metabolic risk factors and incident advanced liver disease in non-alcoholic fatty liver disease (NAFLD): A systematic review and meta-analysis of population-based observational studies. </w:t>
      </w:r>
      <w:proofErr w:type="spellStart"/>
      <w:r w:rsidR="00D25C5E">
        <w:rPr>
          <w:rFonts w:ascii="Book Antiqua" w:eastAsia="Book Antiqua" w:hAnsi="Book Antiqua" w:cs="Book Antiqua"/>
          <w:i/>
          <w:iCs/>
          <w:color w:val="000000"/>
        </w:rPr>
        <w:t>PLoS</w:t>
      </w:r>
      <w:proofErr w:type="spellEnd"/>
      <w:r w:rsidR="00D25C5E">
        <w:rPr>
          <w:rFonts w:ascii="Book Antiqua" w:eastAsia="Book Antiqua" w:hAnsi="Book Antiqua" w:cs="Book Antiqua"/>
          <w:i/>
          <w:iCs/>
          <w:color w:val="000000"/>
        </w:rPr>
        <w:t xml:space="preserve"> Med</w:t>
      </w:r>
      <w:r w:rsidR="00D25C5E">
        <w:rPr>
          <w:rFonts w:ascii="Book Antiqua" w:eastAsia="Book Antiqua" w:hAnsi="Book Antiqua" w:cs="Book Antiqua"/>
          <w:color w:val="000000"/>
        </w:rPr>
        <w:t xml:space="preserve"> 2020; </w:t>
      </w:r>
      <w:r w:rsidR="00D25C5E">
        <w:rPr>
          <w:rFonts w:ascii="Book Antiqua" w:eastAsia="Book Antiqua" w:hAnsi="Book Antiqua" w:cs="Book Antiqua"/>
          <w:b/>
          <w:bCs/>
          <w:color w:val="000000"/>
        </w:rPr>
        <w:t>17</w:t>
      </w:r>
      <w:r w:rsidR="00D25C5E">
        <w:rPr>
          <w:rFonts w:ascii="Book Antiqua" w:eastAsia="Book Antiqua" w:hAnsi="Book Antiqua" w:cs="Book Antiqua"/>
          <w:color w:val="000000"/>
        </w:rPr>
        <w:t>: e1003100 [PMID: 32353039 DOI: 10.1371/journal.pmed.1003100]</w:t>
      </w:r>
    </w:p>
    <w:p w14:paraId="2A331B3D" w14:textId="49D8EBAA" w:rsidR="00A77B3E" w:rsidRDefault="006A324E">
      <w:pPr>
        <w:spacing w:line="360" w:lineRule="auto"/>
        <w:jc w:val="both"/>
      </w:pPr>
      <w:r>
        <w:rPr>
          <w:rFonts w:ascii="Book Antiqua" w:eastAsia="Book Antiqua" w:hAnsi="Book Antiqua" w:cs="Book Antiqua"/>
          <w:color w:val="000000"/>
        </w:rPr>
        <w:t>3</w:t>
      </w:r>
      <w:r w:rsidR="00401BFF">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sidR="00D25C5E">
        <w:rPr>
          <w:rFonts w:ascii="Book Antiqua" w:eastAsia="Book Antiqua" w:hAnsi="Book Antiqua" w:cs="Book Antiqua"/>
          <w:b/>
          <w:bCs/>
          <w:color w:val="000000"/>
        </w:rPr>
        <w:t>Klair</w:t>
      </w:r>
      <w:proofErr w:type="spellEnd"/>
      <w:r w:rsidR="00D25C5E">
        <w:rPr>
          <w:rFonts w:ascii="Book Antiqua" w:eastAsia="Book Antiqua" w:hAnsi="Book Antiqua" w:cs="Book Antiqua"/>
          <w:b/>
          <w:bCs/>
          <w:color w:val="000000"/>
        </w:rPr>
        <w:t xml:space="preserve"> JS</w:t>
      </w:r>
      <w:r w:rsidR="00D25C5E">
        <w:rPr>
          <w:rFonts w:ascii="Book Antiqua" w:eastAsia="Book Antiqua" w:hAnsi="Book Antiqua" w:cs="Book Antiqua"/>
          <w:color w:val="000000"/>
        </w:rPr>
        <w:t xml:space="preserve">, Yang JD, </w:t>
      </w:r>
      <w:proofErr w:type="spellStart"/>
      <w:r w:rsidR="00D25C5E">
        <w:rPr>
          <w:rFonts w:ascii="Book Antiqua" w:eastAsia="Book Antiqua" w:hAnsi="Book Antiqua" w:cs="Book Antiqua"/>
          <w:color w:val="000000"/>
        </w:rPr>
        <w:t>Abdelmalek</w:t>
      </w:r>
      <w:proofErr w:type="spellEnd"/>
      <w:r w:rsidR="00D25C5E">
        <w:rPr>
          <w:rFonts w:ascii="Book Antiqua" w:eastAsia="Book Antiqua" w:hAnsi="Book Antiqua" w:cs="Book Antiqua"/>
          <w:color w:val="000000"/>
        </w:rPr>
        <w:t xml:space="preserve"> MF, Guy CD, Gill RM, Yates K, </w:t>
      </w:r>
      <w:proofErr w:type="spellStart"/>
      <w:r w:rsidR="00D25C5E">
        <w:rPr>
          <w:rFonts w:ascii="Book Antiqua" w:eastAsia="Book Antiqua" w:hAnsi="Book Antiqua" w:cs="Book Antiqua"/>
          <w:color w:val="000000"/>
        </w:rPr>
        <w:t>Unalp-Arida</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Lavine</w:t>
      </w:r>
      <w:proofErr w:type="spellEnd"/>
      <w:r w:rsidR="00D25C5E">
        <w:rPr>
          <w:rFonts w:ascii="Book Antiqua" w:eastAsia="Book Antiqua" w:hAnsi="Book Antiqua" w:cs="Book Antiqua"/>
          <w:color w:val="000000"/>
        </w:rPr>
        <w:t xml:space="preserve"> JE, Clark JM, Diehl AM, Suzuki A; Nonalcoholic Steatohepatitis Clinical Research Network. A longer duration of estrogen deficiency increases fibrosis risk among postmenopausal women with nonalcoholic fatty liver disease. </w:t>
      </w:r>
      <w:r w:rsidR="00D25C5E">
        <w:rPr>
          <w:rFonts w:ascii="Book Antiqua" w:eastAsia="Book Antiqua" w:hAnsi="Book Antiqua" w:cs="Book Antiqua"/>
          <w:i/>
          <w:iCs/>
          <w:color w:val="000000"/>
        </w:rPr>
        <w:t>Hepatology</w:t>
      </w:r>
      <w:r w:rsidR="00D25C5E">
        <w:rPr>
          <w:rFonts w:ascii="Book Antiqua" w:eastAsia="Book Antiqua" w:hAnsi="Book Antiqua" w:cs="Book Antiqua"/>
          <w:color w:val="000000"/>
        </w:rPr>
        <w:t xml:space="preserve"> 2016; </w:t>
      </w:r>
      <w:r w:rsidR="00D25C5E">
        <w:rPr>
          <w:rFonts w:ascii="Book Antiqua" w:eastAsia="Book Antiqua" w:hAnsi="Book Antiqua" w:cs="Book Antiqua"/>
          <w:b/>
          <w:bCs/>
          <w:color w:val="000000"/>
        </w:rPr>
        <w:t>64</w:t>
      </w:r>
      <w:r w:rsidR="00D25C5E">
        <w:rPr>
          <w:rFonts w:ascii="Book Antiqua" w:eastAsia="Book Antiqua" w:hAnsi="Book Antiqua" w:cs="Book Antiqua"/>
          <w:color w:val="000000"/>
        </w:rPr>
        <w:t>: 85-91 [PMID: 26919573 DOI: 10.1002/hep.28514]</w:t>
      </w:r>
    </w:p>
    <w:p w14:paraId="05A8C1D7" w14:textId="21D5B599" w:rsidR="00A77B3E" w:rsidRDefault="00401BFF">
      <w:pPr>
        <w:spacing w:line="360" w:lineRule="auto"/>
        <w:jc w:val="both"/>
      </w:pPr>
      <w:r>
        <w:rPr>
          <w:rFonts w:ascii="Book Antiqua" w:eastAsia="Book Antiqua" w:hAnsi="Book Antiqua" w:cs="Book Antiqua"/>
          <w:color w:val="000000"/>
        </w:rPr>
        <w:t xml:space="preserve">34 </w:t>
      </w:r>
      <w:r w:rsidR="00D25C5E">
        <w:rPr>
          <w:rFonts w:ascii="Book Antiqua" w:eastAsia="Book Antiqua" w:hAnsi="Book Antiqua" w:cs="Book Antiqua"/>
          <w:b/>
          <w:bCs/>
          <w:color w:val="000000"/>
        </w:rPr>
        <w:t>Kawaguchi T</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Tokushige</w:t>
      </w:r>
      <w:proofErr w:type="spellEnd"/>
      <w:r w:rsidR="00D25C5E">
        <w:rPr>
          <w:rFonts w:ascii="Book Antiqua" w:eastAsia="Book Antiqua" w:hAnsi="Book Antiqua" w:cs="Book Antiqua"/>
          <w:color w:val="000000"/>
        </w:rPr>
        <w:t xml:space="preserve"> K, Hyogo H, </w:t>
      </w:r>
      <w:proofErr w:type="spellStart"/>
      <w:r w:rsidR="00D25C5E">
        <w:rPr>
          <w:rFonts w:ascii="Book Antiqua" w:eastAsia="Book Antiqua" w:hAnsi="Book Antiqua" w:cs="Book Antiqua"/>
          <w:color w:val="000000"/>
        </w:rPr>
        <w:t>Aikata</w:t>
      </w:r>
      <w:proofErr w:type="spellEnd"/>
      <w:r w:rsidR="00D25C5E">
        <w:rPr>
          <w:rFonts w:ascii="Book Antiqua" w:eastAsia="Book Antiqua" w:hAnsi="Book Antiqua" w:cs="Book Antiqua"/>
          <w:color w:val="000000"/>
        </w:rPr>
        <w:t xml:space="preserve"> H, Nakajima T, Ono M, </w:t>
      </w:r>
      <w:proofErr w:type="spellStart"/>
      <w:r w:rsidR="00D25C5E">
        <w:rPr>
          <w:rFonts w:ascii="Book Antiqua" w:eastAsia="Book Antiqua" w:hAnsi="Book Antiqua" w:cs="Book Antiqua"/>
          <w:color w:val="000000"/>
        </w:rPr>
        <w:t>Kawanaka</w:t>
      </w:r>
      <w:proofErr w:type="spellEnd"/>
      <w:r w:rsidR="00D25C5E">
        <w:rPr>
          <w:rFonts w:ascii="Book Antiqua" w:eastAsia="Book Antiqua" w:hAnsi="Book Antiqua" w:cs="Book Antiqua"/>
          <w:color w:val="000000"/>
        </w:rPr>
        <w:t xml:space="preserve"> M, Sawada K, </w:t>
      </w:r>
      <w:proofErr w:type="spellStart"/>
      <w:r w:rsidR="00D25C5E">
        <w:rPr>
          <w:rFonts w:ascii="Book Antiqua" w:eastAsia="Book Antiqua" w:hAnsi="Book Antiqua" w:cs="Book Antiqua"/>
          <w:color w:val="000000"/>
        </w:rPr>
        <w:t>Imajo</w:t>
      </w:r>
      <w:proofErr w:type="spellEnd"/>
      <w:r w:rsidR="00D25C5E">
        <w:rPr>
          <w:rFonts w:ascii="Book Antiqua" w:eastAsia="Book Antiqua" w:hAnsi="Book Antiqua" w:cs="Book Antiqua"/>
          <w:color w:val="000000"/>
        </w:rPr>
        <w:t xml:space="preserve"> K, Honda K, Takahashi H, Mori K, Tanaka S, Seko Y, Nozaki Y, </w:t>
      </w:r>
      <w:proofErr w:type="spellStart"/>
      <w:r w:rsidR="00D25C5E">
        <w:rPr>
          <w:rFonts w:ascii="Book Antiqua" w:eastAsia="Book Antiqua" w:hAnsi="Book Antiqua" w:cs="Book Antiqua"/>
          <w:color w:val="000000"/>
        </w:rPr>
        <w:t>Kamada</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Fujii</w:t>
      </w:r>
      <w:proofErr w:type="spellEnd"/>
      <w:r w:rsidR="00D25C5E">
        <w:rPr>
          <w:rFonts w:ascii="Book Antiqua" w:eastAsia="Book Antiqua" w:hAnsi="Book Antiqua" w:cs="Book Antiqua"/>
          <w:color w:val="000000"/>
        </w:rPr>
        <w:t xml:space="preserve"> H, Kawaguchi A, </w:t>
      </w:r>
      <w:proofErr w:type="spellStart"/>
      <w:r w:rsidR="00D25C5E">
        <w:rPr>
          <w:rFonts w:ascii="Book Antiqua" w:eastAsia="Book Antiqua" w:hAnsi="Book Antiqua" w:cs="Book Antiqua"/>
          <w:color w:val="000000"/>
        </w:rPr>
        <w:t>Takehara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Yanase</w:t>
      </w:r>
      <w:proofErr w:type="spellEnd"/>
      <w:r w:rsidR="00D25C5E">
        <w:rPr>
          <w:rFonts w:ascii="Book Antiqua" w:eastAsia="Book Antiqua" w:hAnsi="Book Antiqua" w:cs="Book Antiqua"/>
          <w:color w:val="000000"/>
        </w:rPr>
        <w:t xml:space="preserve"> M, Sumida Y, </w:t>
      </w:r>
      <w:proofErr w:type="spellStart"/>
      <w:r w:rsidR="00D25C5E">
        <w:rPr>
          <w:rFonts w:ascii="Book Antiqua" w:eastAsia="Book Antiqua" w:hAnsi="Book Antiqua" w:cs="Book Antiqua"/>
          <w:color w:val="000000"/>
        </w:rPr>
        <w:t>Eguchi</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Seike</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lastRenderedPageBreak/>
        <w:t>Yoneda</w:t>
      </w:r>
      <w:proofErr w:type="spellEnd"/>
      <w:r w:rsidR="00D25C5E">
        <w:rPr>
          <w:rFonts w:ascii="Book Antiqua" w:eastAsia="Book Antiqua" w:hAnsi="Book Antiqua" w:cs="Book Antiqua"/>
          <w:color w:val="000000"/>
        </w:rPr>
        <w:t xml:space="preserve"> M, Suzuki Y, </w:t>
      </w:r>
      <w:proofErr w:type="spellStart"/>
      <w:r w:rsidR="00D25C5E">
        <w:rPr>
          <w:rFonts w:ascii="Book Antiqua" w:eastAsia="Book Antiqua" w:hAnsi="Book Antiqua" w:cs="Book Antiqua"/>
          <w:color w:val="000000"/>
        </w:rPr>
        <w:t>Saibara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Karino</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Chayama</w:t>
      </w:r>
      <w:proofErr w:type="spellEnd"/>
      <w:r w:rsidR="00D25C5E">
        <w:rPr>
          <w:rFonts w:ascii="Book Antiqua" w:eastAsia="Book Antiqua" w:hAnsi="Book Antiqua" w:cs="Book Antiqua"/>
          <w:color w:val="000000"/>
        </w:rPr>
        <w:t xml:space="preserve"> K, Hashimoto E, George J, </w:t>
      </w:r>
      <w:proofErr w:type="spellStart"/>
      <w:r w:rsidR="00D25C5E">
        <w:rPr>
          <w:rFonts w:ascii="Book Antiqua" w:eastAsia="Book Antiqua" w:hAnsi="Book Antiqua" w:cs="Book Antiqua"/>
          <w:color w:val="000000"/>
        </w:rPr>
        <w:t>Torimura</w:t>
      </w:r>
      <w:proofErr w:type="spellEnd"/>
      <w:r w:rsidR="00D25C5E">
        <w:rPr>
          <w:rFonts w:ascii="Book Antiqua" w:eastAsia="Book Antiqua" w:hAnsi="Book Antiqua" w:cs="Book Antiqua"/>
          <w:color w:val="000000"/>
        </w:rPr>
        <w:t xml:space="preserve"> T. A Data Mining-based Prognostic Algorithm for NAFLD-related Hepatoma Patients: A Nationwide Study by the Japan Study Group of NAFLD. </w:t>
      </w:r>
      <w:r w:rsidR="00D25C5E">
        <w:rPr>
          <w:rFonts w:ascii="Book Antiqua" w:eastAsia="Book Antiqua" w:hAnsi="Book Antiqua" w:cs="Book Antiqua"/>
          <w:i/>
          <w:iCs/>
          <w:color w:val="000000"/>
        </w:rPr>
        <w:t>Sci Rep</w:t>
      </w:r>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8</w:t>
      </w:r>
      <w:r w:rsidR="00D25C5E">
        <w:rPr>
          <w:rFonts w:ascii="Book Antiqua" w:eastAsia="Book Antiqua" w:hAnsi="Book Antiqua" w:cs="Book Antiqua"/>
          <w:color w:val="000000"/>
        </w:rPr>
        <w:t>: 10434 [PMID: 29992975 DOI: 10.1038/s41598-018-28650-0]</w:t>
      </w:r>
    </w:p>
    <w:p w14:paraId="3620FD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BAE02B" w14:textId="77777777" w:rsidR="00A77B3E" w:rsidRDefault="00D25C5E">
      <w:pPr>
        <w:spacing w:line="360" w:lineRule="auto"/>
        <w:jc w:val="both"/>
      </w:pPr>
      <w:r>
        <w:rPr>
          <w:rFonts w:ascii="Book Antiqua" w:eastAsia="Book Antiqua" w:hAnsi="Book Antiqua" w:cs="Book Antiqua"/>
          <w:b/>
          <w:color w:val="000000"/>
        </w:rPr>
        <w:lastRenderedPageBreak/>
        <w:t>Footnotes</w:t>
      </w:r>
    </w:p>
    <w:p w14:paraId="5E368E63" w14:textId="77777777" w:rsidR="00A77B3E" w:rsidRDefault="00D25C5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complied with guidelines of the 1975 Helsinki Declaration and was approved by the Institutional Research Ethics Committee (approval No. 3027).</w:t>
      </w:r>
    </w:p>
    <w:p w14:paraId="6E0151B7" w14:textId="77777777" w:rsidR="00A77B3E" w:rsidRDefault="00A77B3E">
      <w:pPr>
        <w:spacing w:line="360" w:lineRule="auto"/>
        <w:jc w:val="both"/>
      </w:pPr>
    </w:p>
    <w:p w14:paraId="43A8CCF2" w14:textId="77777777" w:rsidR="00A77B3E" w:rsidRDefault="00D25C5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the patients.</w:t>
      </w:r>
    </w:p>
    <w:p w14:paraId="3DCB364F" w14:textId="77777777" w:rsidR="00A77B3E" w:rsidRDefault="00A77B3E">
      <w:pPr>
        <w:spacing w:line="360" w:lineRule="auto"/>
        <w:jc w:val="both"/>
      </w:pPr>
    </w:p>
    <w:p w14:paraId="37EF38BC" w14:textId="77777777" w:rsidR="00A77B3E" w:rsidRDefault="00D25C5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6F605B70" w14:textId="77777777" w:rsidR="00A77B3E" w:rsidRDefault="00A77B3E">
      <w:pPr>
        <w:spacing w:line="360" w:lineRule="auto"/>
        <w:jc w:val="both"/>
      </w:pPr>
    </w:p>
    <w:p w14:paraId="5EA0BB0A" w14:textId="77777777" w:rsidR="00A77B3E" w:rsidRDefault="00D25C5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57346970" w14:textId="77777777" w:rsidR="00A77B3E" w:rsidRDefault="00A77B3E">
      <w:pPr>
        <w:spacing w:line="360" w:lineRule="auto"/>
        <w:jc w:val="both"/>
      </w:pPr>
    </w:p>
    <w:p w14:paraId="10BDE2BB" w14:textId="77777777" w:rsidR="00A77B3E" w:rsidRDefault="00D25C5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AFC8C5" w14:textId="77777777" w:rsidR="00A77B3E" w:rsidRDefault="00A77B3E">
      <w:pPr>
        <w:spacing w:line="360" w:lineRule="auto"/>
        <w:jc w:val="both"/>
      </w:pPr>
    </w:p>
    <w:p w14:paraId="75B6072D" w14:textId="5D3AB26C" w:rsidR="00A77B3E" w:rsidRDefault="00D25C5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34623">
        <w:rPr>
          <w:rFonts w:ascii="Book Antiqua" w:eastAsia="Book Antiqua" w:hAnsi="Book Antiqua" w:cs="Book Antiqua"/>
          <w:color w:val="000000"/>
        </w:rPr>
        <w:t>m</w:t>
      </w:r>
      <w:r>
        <w:rPr>
          <w:rFonts w:ascii="Book Antiqua" w:eastAsia="Book Antiqua" w:hAnsi="Book Antiqua" w:cs="Book Antiqua"/>
          <w:color w:val="000000"/>
        </w:rPr>
        <w:t>anuscript</w:t>
      </w:r>
    </w:p>
    <w:p w14:paraId="633E52D7" w14:textId="77777777" w:rsidR="00A77B3E" w:rsidRDefault="00A77B3E">
      <w:pPr>
        <w:spacing w:line="360" w:lineRule="auto"/>
        <w:jc w:val="both"/>
      </w:pPr>
    </w:p>
    <w:p w14:paraId="68FCE7EE" w14:textId="77777777" w:rsidR="00A77B3E" w:rsidRDefault="00D25C5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495A8FE5" w14:textId="77777777" w:rsidR="00A77B3E" w:rsidRDefault="00D25C5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13, 2021</w:t>
      </w:r>
    </w:p>
    <w:p w14:paraId="324F1664" w14:textId="77777777" w:rsidR="00A77B3E" w:rsidRDefault="00D25C5E">
      <w:pPr>
        <w:spacing w:line="360" w:lineRule="auto"/>
        <w:jc w:val="both"/>
      </w:pPr>
      <w:r>
        <w:rPr>
          <w:rFonts w:ascii="Book Antiqua" w:eastAsia="Book Antiqua" w:hAnsi="Book Antiqua" w:cs="Book Antiqua"/>
          <w:b/>
          <w:color w:val="000000"/>
        </w:rPr>
        <w:t xml:space="preserve">Article in press: </w:t>
      </w:r>
    </w:p>
    <w:p w14:paraId="1F1AB7C6" w14:textId="77777777" w:rsidR="00A77B3E" w:rsidRDefault="00A77B3E">
      <w:pPr>
        <w:spacing w:line="360" w:lineRule="auto"/>
        <w:jc w:val="both"/>
      </w:pPr>
    </w:p>
    <w:p w14:paraId="5F08D84E" w14:textId="21C8FE01" w:rsidR="00A77B3E" w:rsidRDefault="00D25C5E">
      <w:pPr>
        <w:spacing w:line="360" w:lineRule="auto"/>
        <w:jc w:val="both"/>
      </w:pPr>
      <w:r>
        <w:rPr>
          <w:rFonts w:ascii="Book Antiqua" w:eastAsia="Book Antiqua" w:hAnsi="Book Antiqua" w:cs="Book Antiqua"/>
          <w:b/>
          <w:color w:val="000000"/>
        </w:rPr>
        <w:t xml:space="preserve">Specialty type: </w:t>
      </w:r>
      <w:r w:rsidR="00734623" w:rsidRPr="00E700C2">
        <w:rPr>
          <w:rFonts w:ascii="Book Antiqua" w:eastAsia="微软雅黑" w:hAnsi="Book Antiqua" w:cs="宋体"/>
        </w:rPr>
        <w:t>Gastroenterology and hepatology</w:t>
      </w:r>
    </w:p>
    <w:p w14:paraId="715F1D12" w14:textId="77777777" w:rsidR="00A77B3E" w:rsidRDefault="00D25C5E">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Japan</w:t>
      </w:r>
    </w:p>
    <w:p w14:paraId="68EB3B97" w14:textId="77777777" w:rsidR="00A77B3E" w:rsidRDefault="00D25C5E">
      <w:pPr>
        <w:spacing w:line="360" w:lineRule="auto"/>
        <w:jc w:val="both"/>
      </w:pPr>
      <w:r>
        <w:rPr>
          <w:rFonts w:ascii="Book Antiqua" w:eastAsia="Book Antiqua" w:hAnsi="Book Antiqua" w:cs="Book Antiqua"/>
          <w:b/>
          <w:color w:val="000000"/>
        </w:rPr>
        <w:t>Peer-review report’s scientific quality classification</w:t>
      </w:r>
    </w:p>
    <w:p w14:paraId="2359FA08" w14:textId="77777777" w:rsidR="00A77B3E" w:rsidRDefault="00D25C5E">
      <w:pPr>
        <w:spacing w:line="360" w:lineRule="auto"/>
        <w:jc w:val="both"/>
      </w:pPr>
      <w:r>
        <w:rPr>
          <w:rFonts w:ascii="Book Antiqua" w:eastAsia="Book Antiqua" w:hAnsi="Book Antiqua" w:cs="Book Antiqua"/>
          <w:color w:val="000000"/>
        </w:rPr>
        <w:t>Grade A (Excellent): 0</w:t>
      </w:r>
    </w:p>
    <w:p w14:paraId="4DD9C724" w14:textId="77777777" w:rsidR="00A77B3E" w:rsidRDefault="00D25C5E">
      <w:pPr>
        <w:spacing w:line="360" w:lineRule="auto"/>
        <w:jc w:val="both"/>
      </w:pPr>
      <w:r>
        <w:rPr>
          <w:rFonts w:ascii="Book Antiqua" w:eastAsia="Book Antiqua" w:hAnsi="Book Antiqua" w:cs="Book Antiqua"/>
          <w:color w:val="000000"/>
        </w:rPr>
        <w:t>Grade B (Very good): B</w:t>
      </w:r>
    </w:p>
    <w:p w14:paraId="36B99FCC" w14:textId="77777777" w:rsidR="00A77B3E" w:rsidRDefault="00D25C5E">
      <w:pPr>
        <w:spacing w:line="360" w:lineRule="auto"/>
        <w:jc w:val="both"/>
      </w:pPr>
      <w:r>
        <w:rPr>
          <w:rFonts w:ascii="Book Antiqua" w:eastAsia="Book Antiqua" w:hAnsi="Book Antiqua" w:cs="Book Antiqua"/>
          <w:color w:val="000000"/>
        </w:rPr>
        <w:t>Grade C (Good): 0</w:t>
      </w:r>
    </w:p>
    <w:p w14:paraId="0A342849" w14:textId="77777777" w:rsidR="00A77B3E" w:rsidRDefault="00D25C5E">
      <w:pPr>
        <w:spacing w:line="360" w:lineRule="auto"/>
        <w:jc w:val="both"/>
      </w:pPr>
      <w:r>
        <w:rPr>
          <w:rFonts w:ascii="Book Antiqua" w:eastAsia="Book Antiqua" w:hAnsi="Book Antiqua" w:cs="Book Antiqua"/>
          <w:color w:val="000000"/>
        </w:rPr>
        <w:t>Grade D (Fair): 0</w:t>
      </w:r>
    </w:p>
    <w:p w14:paraId="0DFA1D76" w14:textId="77777777" w:rsidR="00A77B3E" w:rsidRDefault="00D25C5E">
      <w:pPr>
        <w:spacing w:line="360" w:lineRule="auto"/>
        <w:jc w:val="both"/>
      </w:pPr>
      <w:r>
        <w:rPr>
          <w:rFonts w:ascii="Book Antiqua" w:eastAsia="Book Antiqua" w:hAnsi="Book Antiqua" w:cs="Book Antiqua"/>
          <w:color w:val="000000"/>
        </w:rPr>
        <w:t>Grade E (Poor): 0</w:t>
      </w:r>
    </w:p>
    <w:p w14:paraId="4F490066" w14:textId="77777777" w:rsidR="00A77B3E" w:rsidRDefault="00A77B3E">
      <w:pPr>
        <w:spacing w:line="360" w:lineRule="auto"/>
        <w:jc w:val="both"/>
      </w:pPr>
    </w:p>
    <w:p w14:paraId="3EA11C4D" w14:textId="77777777" w:rsidR="00A77B3E" w:rsidRDefault="00D25C5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Chai 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6BA69E2F" w14:textId="77777777" w:rsidR="00ED74D9" w:rsidRDefault="00ED74D9">
      <w:pPr>
        <w:spacing w:line="360" w:lineRule="auto"/>
        <w:jc w:val="both"/>
        <w:sectPr w:rsidR="00ED74D9">
          <w:pgSz w:w="12240" w:h="15840"/>
          <w:pgMar w:top="1440" w:right="1440" w:bottom="1440" w:left="1440" w:header="720" w:footer="720" w:gutter="0"/>
          <w:cols w:space="720"/>
          <w:docGrid w:linePitch="360"/>
        </w:sectPr>
      </w:pPr>
    </w:p>
    <w:p w14:paraId="45C7883E" w14:textId="60577314" w:rsidR="00A77B3E" w:rsidRDefault="00D25C5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68294C" w14:textId="77777777" w:rsidR="00345C62" w:rsidRDefault="00996197">
      <w:pPr>
        <w:spacing w:line="360" w:lineRule="auto"/>
        <w:jc w:val="both"/>
        <w:rPr>
          <w:rFonts w:ascii="Book Antiqua" w:eastAsia="Book Antiqua" w:hAnsi="Book Antiqua" w:cs="Book Antiqua"/>
          <w:b/>
          <w:bCs/>
          <w:color w:val="000000"/>
        </w:rPr>
      </w:pPr>
      <w:r>
        <w:rPr>
          <w:noProof/>
          <w:lang w:eastAsia="zh-CN"/>
        </w:rPr>
        <w:drawing>
          <wp:inline distT="0" distB="0" distL="0" distR="0" wp14:anchorId="62A2E880" wp14:editId="5763ACC8">
            <wp:extent cx="5838227" cy="35540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4550" cy="3564020"/>
                    </a:xfrm>
                    <a:prstGeom prst="rect">
                      <a:avLst/>
                    </a:prstGeom>
                  </pic:spPr>
                </pic:pic>
              </a:graphicData>
            </a:graphic>
          </wp:inline>
        </w:drawing>
      </w:r>
    </w:p>
    <w:p w14:paraId="12C29D4D" w14:textId="05FEA03C" w:rsidR="00345C6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345C62">
        <w:rPr>
          <w:rFonts w:ascii="Book Antiqua" w:eastAsia="Book Antiqua" w:hAnsi="Book Antiqua" w:cs="Book Antiqua"/>
          <w:color w:val="000000"/>
        </w:rPr>
        <w:t xml:space="preserve"> </w:t>
      </w:r>
      <w:r>
        <w:rPr>
          <w:rFonts w:ascii="Book Antiqua" w:eastAsia="Book Antiqua" w:hAnsi="Book Antiqua" w:cs="Book Antiqua"/>
          <w:b/>
          <w:bCs/>
          <w:color w:val="000000"/>
        </w:rPr>
        <w:t>Survival of the 489 patients with non-alcoholic fatty liver disease.</w:t>
      </w:r>
      <w:r>
        <w:rPr>
          <w:rFonts w:ascii="Book Antiqua" w:eastAsia="Book Antiqua" w:hAnsi="Book Antiqua" w:cs="Book Antiqua"/>
          <w:color w:val="000000"/>
        </w:rPr>
        <w:t xml:space="preserve"> The follow-up period varied between 1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21.2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all-cause mortality was considered. The survival rates are 98.5% at 5 </w:t>
      </w:r>
      <w:proofErr w:type="spellStart"/>
      <w:r>
        <w:rPr>
          <w:rFonts w:ascii="Book Antiqua" w:eastAsia="Book Antiqua" w:hAnsi="Book Antiqua" w:cs="Book Antiqua"/>
          <w:color w:val="000000"/>
        </w:rPr>
        <w:t>y</w:t>
      </w:r>
      <w:r w:rsidR="00345C62">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95.4% at 10 </w:t>
      </w:r>
      <w:proofErr w:type="spellStart"/>
      <w:r>
        <w:rPr>
          <w:rFonts w:ascii="Book Antiqua" w:eastAsia="Book Antiqua" w:hAnsi="Book Antiqua" w:cs="Book Antiqua"/>
          <w:color w:val="000000"/>
        </w:rPr>
        <w:t>y</w:t>
      </w:r>
      <w:r w:rsidR="00345C62">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91.9% at 15 </w:t>
      </w:r>
      <w:proofErr w:type="spellStart"/>
      <w:r>
        <w:rPr>
          <w:rFonts w:ascii="Book Antiqua" w:eastAsia="Book Antiqua" w:hAnsi="Book Antiqua" w:cs="Book Antiqua"/>
          <w:color w:val="000000"/>
        </w:rPr>
        <w:t>y</w:t>
      </w:r>
      <w:r w:rsidR="00345C62">
        <w:rPr>
          <w:rFonts w:ascii="Book Antiqua" w:eastAsia="Book Antiqua" w:hAnsi="Book Antiqua" w:cs="Book Antiqua"/>
          <w:color w:val="000000"/>
        </w:rPr>
        <w:t>r</w:t>
      </w:r>
      <w:proofErr w:type="spellEnd"/>
      <w:r>
        <w:rPr>
          <w:rFonts w:ascii="Book Antiqua" w:eastAsia="Book Antiqua" w:hAnsi="Book Antiqua" w:cs="Book Antiqua"/>
          <w:color w:val="000000"/>
        </w:rPr>
        <w:t>, and 91.9% at 20 y</w:t>
      </w:r>
      <w:r w:rsidR="00345C62">
        <w:rPr>
          <w:rFonts w:ascii="Book Antiqua" w:eastAsia="Book Antiqua" w:hAnsi="Book Antiqua" w:cs="Book Antiqua"/>
          <w:color w:val="000000"/>
        </w:rPr>
        <w:t>r</w:t>
      </w:r>
      <w:r>
        <w:rPr>
          <w:rFonts w:ascii="Book Antiqua" w:eastAsia="Book Antiqua" w:hAnsi="Book Antiqua" w:cs="Book Antiqua"/>
          <w:color w:val="000000"/>
        </w:rPr>
        <w:t>.</w:t>
      </w:r>
    </w:p>
    <w:p w14:paraId="05AAD6C9" w14:textId="1DDD72CA" w:rsidR="00A77B3E" w:rsidRDefault="00345C6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3897045" wp14:editId="44E9970F">
            <wp:extent cx="5943600" cy="39295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494"/>
                    <a:stretch/>
                  </pic:blipFill>
                  <pic:spPr bwMode="auto">
                    <a:xfrm>
                      <a:off x="0" y="0"/>
                      <a:ext cx="5943600" cy="3929541"/>
                    </a:xfrm>
                    <a:prstGeom prst="rect">
                      <a:avLst/>
                    </a:prstGeom>
                    <a:ln>
                      <a:noFill/>
                    </a:ln>
                    <a:extLst>
                      <a:ext uri="{53640926-AAD7-44D8-BBD7-CCE9431645EC}">
                        <a14:shadowObscured xmlns:a14="http://schemas.microsoft.com/office/drawing/2010/main"/>
                      </a:ext>
                    </a:extLst>
                  </pic:spPr>
                </pic:pic>
              </a:graphicData>
            </a:graphic>
          </wp:inline>
        </w:drawing>
      </w:r>
    </w:p>
    <w:p w14:paraId="4F19403B" w14:textId="4ED5D4CC" w:rsidR="00345C6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345C62">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Survival rates according to the grading of fibrosis, inflammation, and </w:t>
      </w:r>
      <w:bookmarkStart w:id="1" w:name="_Hlk69217098"/>
      <w:r>
        <w:rPr>
          <w:rFonts w:ascii="Book Antiqua" w:eastAsia="Book Antiqua" w:hAnsi="Book Antiqua" w:cs="Book Antiqua"/>
          <w:b/>
          <w:bCs/>
          <w:color w:val="000000"/>
        </w:rPr>
        <w:t>steatosis</w:t>
      </w:r>
      <w:bookmarkEnd w:id="1"/>
      <w:r>
        <w:rPr>
          <w:rFonts w:ascii="Book Antiqua" w:eastAsia="Book Antiqua" w:hAnsi="Book Antiqua" w:cs="Book Antiqua"/>
          <w:b/>
          <w:bCs/>
          <w:color w:val="000000"/>
        </w:rPr>
        <w:t>.</w:t>
      </w:r>
      <w:r>
        <w:rPr>
          <w:rFonts w:ascii="Book Antiqua" w:eastAsia="Book Antiqua" w:hAnsi="Book Antiqua" w:cs="Book Antiqua"/>
          <w:color w:val="000000"/>
        </w:rPr>
        <w:t xml:space="preserve"> The overall survival rates for stage 4 </w:t>
      </w:r>
      <w:r w:rsidR="00345C62">
        <w:rPr>
          <w:rFonts w:ascii="Book Antiqua" w:eastAsia="Book Antiqua" w:hAnsi="Book Antiqua" w:cs="Book Antiqua"/>
          <w:color w:val="000000"/>
        </w:rPr>
        <w:t>l</w:t>
      </w:r>
      <w:r>
        <w:rPr>
          <w:rFonts w:ascii="Book Antiqua" w:eastAsia="Book Antiqua" w:hAnsi="Book Antiqua" w:cs="Book Antiqua"/>
          <w:color w:val="000000"/>
        </w:rPr>
        <w:t xml:space="preserve">iver fibrosis are 81% at 5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41% at 10 yr.</w:t>
      </w:r>
      <w:r w:rsidR="00345C62">
        <w:rPr>
          <w:rFonts w:ascii="Book Antiqua" w:eastAsia="Book Antiqua" w:hAnsi="Book Antiqua" w:cs="Book Antiqua"/>
          <w:color w:val="000000"/>
        </w:rPr>
        <w:t xml:space="preserve"> A: F</w:t>
      </w:r>
      <w:r w:rsidR="00345C62" w:rsidRPr="00345C62">
        <w:rPr>
          <w:rFonts w:ascii="Book Antiqua" w:eastAsia="Book Antiqua" w:hAnsi="Book Antiqua" w:cs="Book Antiqua"/>
          <w:color w:val="000000"/>
        </w:rPr>
        <w:t>ibrosis (F0</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4)</w:t>
      </w:r>
      <w:r w:rsidR="00345C62">
        <w:rPr>
          <w:rFonts w:ascii="Book Antiqua" w:eastAsia="Book Antiqua" w:hAnsi="Book Antiqua" w:cs="Book Antiqua"/>
          <w:color w:val="000000"/>
        </w:rPr>
        <w:t>; B: I</w:t>
      </w:r>
      <w:r w:rsidR="00345C62" w:rsidRPr="00345C62">
        <w:rPr>
          <w:rFonts w:ascii="Book Antiqua" w:eastAsia="Book Antiqua" w:hAnsi="Book Antiqua" w:cs="Book Antiqua"/>
          <w:color w:val="000000"/>
        </w:rPr>
        <w:t>nflammation (A0</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3)</w:t>
      </w:r>
      <w:r w:rsidR="00345C62">
        <w:rPr>
          <w:rFonts w:ascii="Book Antiqua" w:eastAsia="Book Antiqua" w:hAnsi="Book Antiqua" w:cs="Book Antiqua"/>
          <w:color w:val="000000"/>
        </w:rPr>
        <w:t>; C: S</w:t>
      </w:r>
      <w:r w:rsidR="00345C62" w:rsidRPr="00345C62">
        <w:rPr>
          <w:rFonts w:ascii="Book Antiqua" w:eastAsia="Book Antiqua" w:hAnsi="Book Antiqua" w:cs="Book Antiqua"/>
          <w:color w:val="000000"/>
        </w:rPr>
        <w:t>teatosis (S1</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3)</w:t>
      </w:r>
      <w:r w:rsidR="00345C62">
        <w:rPr>
          <w:rFonts w:ascii="Book Antiqua" w:eastAsia="Book Antiqua" w:hAnsi="Book Antiqua" w:cs="Book Antiqua"/>
          <w:color w:val="000000"/>
        </w:rPr>
        <w:t>.</w:t>
      </w:r>
    </w:p>
    <w:p w14:paraId="537BC8DE" w14:textId="173042AA" w:rsidR="00A77B3E" w:rsidRPr="00345C62" w:rsidRDefault="00345C6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17A417F" wp14:editId="56B6BF31">
            <wp:extent cx="5943600" cy="5328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328920"/>
                    </a:xfrm>
                    <a:prstGeom prst="rect">
                      <a:avLst/>
                    </a:prstGeom>
                  </pic:spPr>
                </pic:pic>
              </a:graphicData>
            </a:graphic>
          </wp:inline>
        </w:drawing>
      </w:r>
    </w:p>
    <w:p w14:paraId="16C1E630" w14:textId="12F948CB" w:rsidR="00345C6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345C62">
        <w:rPr>
          <w:rFonts w:ascii="Book Antiqua" w:eastAsia="Book Antiqua" w:hAnsi="Book Antiqua" w:cs="Book Antiqua"/>
          <w:color w:val="000000"/>
        </w:rPr>
        <w:t xml:space="preserve"> </w:t>
      </w:r>
      <w:r>
        <w:rPr>
          <w:rFonts w:ascii="Book Antiqua" w:eastAsia="Book Antiqua" w:hAnsi="Book Antiqua" w:cs="Book Antiqua"/>
          <w:b/>
          <w:bCs/>
          <w:color w:val="000000"/>
        </w:rPr>
        <w:t>Receiver-operating characteristic curves for survival among patients with non-alcoholic fatty liver disease.</w:t>
      </w:r>
      <w:r>
        <w:rPr>
          <w:rFonts w:ascii="Book Antiqua" w:eastAsia="Book Antiqua" w:hAnsi="Book Antiqua" w:cs="Book Antiqua"/>
          <w:color w:val="000000"/>
        </w:rPr>
        <w:t xml:space="preserve"> </w:t>
      </w:r>
      <w:r w:rsidR="00345C62">
        <w:rPr>
          <w:rFonts w:ascii="Book Antiqua" w:eastAsia="Book Antiqua" w:hAnsi="Book Antiqua" w:cs="Book Antiqua"/>
          <w:color w:val="000000"/>
        </w:rPr>
        <w:t>A: A</w:t>
      </w:r>
      <w:r w:rsidR="00345C62" w:rsidRPr="00345C62">
        <w:rPr>
          <w:rFonts w:ascii="Book Antiqua" w:eastAsia="Book Antiqua" w:hAnsi="Book Antiqua" w:cs="Book Antiqua"/>
          <w:color w:val="000000"/>
        </w:rPr>
        <w:t>lbumin concentration</w:t>
      </w:r>
      <w:r w:rsidR="00345C62">
        <w:rPr>
          <w:rFonts w:ascii="Book Antiqua" w:eastAsia="Book Antiqua" w:hAnsi="Book Antiqua" w:cs="Book Antiqua"/>
          <w:color w:val="000000"/>
        </w:rPr>
        <w:t>; B:</w:t>
      </w:r>
      <w:r w:rsidR="00345C62" w:rsidRPr="00345C62">
        <w:rPr>
          <w:rFonts w:ascii="Book Antiqua" w:eastAsia="Book Antiqua" w:hAnsi="Book Antiqua" w:cs="Book Antiqua"/>
          <w:color w:val="000000"/>
        </w:rPr>
        <w:t xml:space="preserve"> </w:t>
      </w:r>
      <w:r w:rsidR="00345C62">
        <w:rPr>
          <w:rFonts w:ascii="Book Antiqua" w:eastAsia="Book Antiqua" w:hAnsi="Book Antiqua" w:cs="Book Antiqua"/>
          <w:color w:val="000000"/>
        </w:rPr>
        <w:t>P</w:t>
      </w:r>
      <w:r w:rsidR="00345C62" w:rsidRPr="00345C62">
        <w:rPr>
          <w:rFonts w:ascii="Book Antiqua" w:eastAsia="Book Antiqua" w:hAnsi="Book Antiqua" w:cs="Book Antiqua"/>
          <w:color w:val="000000"/>
        </w:rPr>
        <w:t>latelet count</w:t>
      </w:r>
      <w:r w:rsidR="00345C62">
        <w:rPr>
          <w:rFonts w:ascii="Book Antiqua" w:eastAsia="Book Antiqua" w:hAnsi="Book Antiqua" w:cs="Book Antiqua"/>
          <w:color w:val="000000"/>
        </w:rPr>
        <w:t>; C: T</w:t>
      </w:r>
      <w:r w:rsidR="00345C62" w:rsidRPr="00345C62">
        <w:rPr>
          <w:rFonts w:ascii="Book Antiqua" w:eastAsia="Book Antiqua" w:hAnsi="Book Antiqua" w:cs="Book Antiqua"/>
          <w:color w:val="000000"/>
        </w:rPr>
        <w:t>ype IV collagen 7S concentration</w:t>
      </w:r>
      <w:r w:rsidR="00345C62">
        <w:rPr>
          <w:rFonts w:ascii="Book Antiqua" w:eastAsia="Book Antiqua" w:hAnsi="Book Antiqua" w:cs="Book Antiqua"/>
          <w:color w:val="000000"/>
        </w:rPr>
        <w:t>; D:</w:t>
      </w:r>
      <w:r w:rsidR="00345C62" w:rsidRPr="00345C62">
        <w:rPr>
          <w:rFonts w:ascii="Book Antiqua" w:eastAsia="Book Antiqua" w:hAnsi="Book Antiqua" w:cs="Book Antiqua"/>
          <w:color w:val="000000"/>
        </w:rPr>
        <w:t xml:space="preserve"> </w:t>
      </w:r>
      <w:r w:rsidR="00345C62">
        <w:rPr>
          <w:rFonts w:ascii="Book Antiqua" w:eastAsia="Book Antiqua" w:hAnsi="Book Antiqua" w:cs="Book Antiqua"/>
          <w:color w:val="000000"/>
        </w:rPr>
        <w:t>F</w:t>
      </w:r>
      <w:r w:rsidR="00345C62" w:rsidRPr="00345C62">
        <w:rPr>
          <w:rFonts w:ascii="Book Antiqua" w:eastAsia="Book Antiqua" w:hAnsi="Book Antiqua" w:cs="Book Antiqua"/>
          <w:color w:val="000000"/>
        </w:rPr>
        <w:t>ibrosis-4 index</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 xml:space="preserve"> </w:t>
      </w:r>
      <w:r>
        <w:rPr>
          <w:rFonts w:ascii="Book Antiqua" w:eastAsia="Book Antiqua" w:hAnsi="Book Antiqua" w:cs="Book Antiqua"/>
          <w:color w:val="000000"/>
        </w:rPr>
        <w:t xml:space="preserve">AUROC: </w:t>
      </w:r>
      <w:r w:rsidR="00345C62">
        <w:rPr>
          <w:rFonts w:ascii="Book Antiqua" w:eastAsia="Book Antiqua" w:hAnsi="Book Antiqua" w:cs="Book Antiqua"/>
          <w:color w:val="000000"/>
        </w:rPr>
        <w:t>A</w:t>
      </w:r>
      <w:r>
        <w:rPr>
          <w:rFonts w:ascii="Book Antiqua" w:eastAsia="Book Antiqua" w:hAnsi="Book Antiqua" w:cs="Book Antiqua"/>
          <w:color w:val="000000"/>
        </w:rPr>
        <w:t xml:space="preserve">rea under the receiver operating characteristic curve, PPV: </w:t>
      </w:r>
      <w:r w:rsidR="00345C62">
        <w:rPr>
          <w:rFonts w:ascii="Book Antiqua" w:eastAsia="Book Antiqua" w:hAnsi="Book Antiqua" w:cs="Book Antiqua"/>
          <w:color w:val="000000"/>
        </w:rPr>
        <w:t>P</w:t>
      </w:r>
      <w:r>
        <w:rPr>
          <w:rFonts w:ascii="Book Antiqua" w:eastAsia="Book Antiqua" w:hAnsi="Book Antiqua" w:cs="Book Antiqua"/>
          <w:color w:val="000000"/>
        </w:rPr>
        <w:t xml:space="preserve">ositive predictive value, NPV: </w:t>
      </w:r>
      <w:r w:rsidR="00345C62">
        <w:rPr>
          <w:rFonts w:ascii="Book Antiqua" w:eastAsia="Book Antiqua" w:hAnsi="Book Antiqua" w:cs="Book Antiqua"/>
          <w:color w:val="000000"/>
        </w:rPr>
        <w:t>N</w:t>
      </w:r>
      <w:r>
        <w:rPr>
          <w:rFonts w:ascii="Book Antiqua" w:eastAsia="Book Antiqua" w:hAnsi="Book Antiqua" w:cs="Book Antiqua"/>
          <w:color w:val="000000"/>
        </w:rPr>
        <w:t>egative predictive value.</w:t>
      </w:r>
    </w:p>
    <w:p w14:paraId="7DCF40E3" w14:textId="51219730" w:rsidR="00A77B3E" w:rsidRDefault="00345C62">
      <w:pPr>
        <w:spacing w:line="360" w:lineRule="auto"/>
        <w:jc w:val="both"/>
      </w:pPr>
      <w:r>
        <w:rPr>
          <w:rFonts w:ascii="Book Antiqua" w:eastAsia="Book Antiqua" w:hAnsi="Book Antiqua" w:cs="Book Antiqua"/>
          <w:color w:val="000000"/>
        </w:rPr>
        <w:br w:type="page"/>
      </w:r>
      <w:r w:rsidR="004C705A">
        <w:rPr>
          <w:rFonts w:ascii="Book Antiqua" w:eastAsia="Book Antiqua" w:hAnsi="Book Antiqua" w:cs="Book Antiqua"/>
          <w:noProof/>
          <w:color w:val="000000"/>
          <w:lang w:eastAsia="zh-CN"/>
        </w:rPr>
        <w:lastRenderedPageBreak/>
        <w:drawing>
          <wp:inline distT="0" distB="0" distL="0" distR="0" wp14:anchorId="6989C6D3" wp14:editId="1412A103">
            <wp:extent cx="5867066" cy="3366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066" cy="3366000"/>
                    </a:xfrm>
                    <a:prstGeom prst="rect">
                      <a:avLst/>
                    </a:prstGeom>
                    <a:noFill/>
                  </pic:spPr>
                </pic:pic>
              </a:graphicData>
            </a:graphic>
          </wp:inline>
        </w:drawing>
      </w:r>
    </w:p>
    <w:p w14:paraId="27A86F3E" w14:textId="430C1ADA" w:rsidR="004C705A"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514C51">
        <w:rPr>
          <w:rFonts w:ascii="Book Antiqua" w:eastAsia="Book Antiqua" w:hAnsi="Book Antiqua" w:cs="Book Antiqua"/>
          <w:color w:val="000000"/>
        </w:rPr>
        <w:t xml:space="preserve"> </w:t>
      </w:r>
      <w:r>
        <w:rPr>
          <w:rFonts w:ascii="Book Antiqua" w:eastAsia="Book Antiqua" w:hAnsi="Book Antiqua" w:cs="Book Antiqua"/>
          <w:b/>
          <w:bCs/>
          <w:color w:val="000000"/>
        </w:rPr>
        <w:t>Survival rates</w:t>
      </w:r>
      <w:r w:rsidR="00514C51">
        <w:rPr>
          <w:rFonts w:ascii="Book Antiqua" w:eastAsia="Book Antiqua" w:hAnsi="Book Antiqua" w:cs="Book Antiqua"/>
          <w:b/>
          <w:bCs/>
          <w:color w:val="000000"/>
        </w:rPr>
        <w:t>.</w:t>
      </w:r>
      <w:r w:rsidRPr="00514C51">
        <w:rPr>
          <w:rFonts w:ascii="Book Antiqua" w:eastAsia="Book Antiqua" w:hAnsi="Book Antiqua" w:cs="Book Antiqua"/>
          <w:color w:val="000000"/>
        </w:rPr>
        <w:t xml:space="preserve"> </w:t>
      </w:r>
      <w:r w:rsidR="00514C51" w:rsidRPr="00514C51">
        <w:rPr>
          <w:rFonts w:ascii="Book Antiqua" w:eastAsia="Book Antiqua" w:hAnsi="Book Antiqua" w:cs="Book Antiqua"/>
          <w:color w:val="000000"/>
        </w:rPr>
        <w:t xml:space="preserve">A: </w:t>
      </w:r>
      <w:r w:rsidR="00514C51">
        <w:rPr>
          <w:rFonts w:ascii="Book Antiqua" w:eastAsia="Book Antiqua" w:hAnsi="Book Antiqua" w:cs="Book Antiqua"/>
          <w:color w:val="000000"/>
        </w:rPr>
        <w:t>A</w:t>
      </w:r>
      <w:r w:rsidRPr="00514C51">
        <w:rPr>
          <w:rFonts w:ascii="Book Antiqua" w:eastAsia="Book Antiqua" w:hAnsi="Book Antiqua" w:cs="Book Antiqua"/>
          <w:color w:val="000000"/>
        </w:rPr>
        <w:t>lbumin concentration</w:t>
      </w:r>
      <w:r w:rsidR="00514C51">
        <w:rPr>
          <w:rFonts w:ascii="Book Antiqua" w:eastAsia="Book Antiqua" w:hAnsi="Book Antiqua" w:cs="Book Antiqua"/>
          <w:color w:val="000000"/>
        </w:rPr>
        <w:t xml:space="preserve"> </w:t>
      </w:r>
      <w:r>
        <w:rPr>
          <w:rFonts w:ascii="Book Antiqua" w:eastAsia="Book Antiqua" w:hAnsi="Book Antiqua" w:cs="Book Antiqua"/>
          <w:color w:val="000000"/>
        </w:rPr>
        <w:t>(albumin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3.8 g/dL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3.5-3.7 g/dL;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0.001, albumin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3.8 g/dL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3.5 g/dL;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0.0001, albumin 3.5-3.7 g/dL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3.5;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w:t>
      </w:r>
      <w:r>
        <w:rPr>
          <w:rFonts w:ascii="Book Antiqua" w:eastAsia="Book Antiqua" w:hAnsi="Book Antiqua" w:cs="Book Antiqua"/>
          <w:color w:val="000000"/>
        </w:rPr>
        <w:t xml:space="preserve"> </w:t>
      </w:r>
      <w:r w:rsidR="00514C51">
        <w:rPr>
          <w:rFonts w:ascii="Book Antiqua" w:eastAsia="Book Antiqua" w:hAnsi="Book Antiqua" w:cs="Book Antiqua"/>
          <w:color w:val="000000"/>
        </w:rPr>
        <w:t>B: P</w:t>
      </w:r>
      <w:r>
        <w:rPr>
          <w:rFonts w:ascii="Book Antiqua" w:eastAsia="Book Antiqua" w:hAnsi="Book Antiqua" w:cs="Book Antiqua"/>
          <w:color w:val="000000"/>
        </w:rPr>
        <w:t>latelet count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(platelet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15</w:t>
      </w:r>
      <w:r w:rsidR="00514C51">
        <w:rPr>
          <w:rFonts w:ascii="Book Antiqua" w:eastAsia="Book Antiqua" w:hAnsi="Book Antiqua" w:cs="Book Antiqua"/>
          <w:color w:val="000000"/>
        </w:rPr>
        <w:t xml:space="preserve"> </w:t>
      </w:r>
      <w:r>
        <w:rPr>
          <w:rFonts w:ascii="Book Antiqua" w:eastAsia="Book Antiqua" w:hAnsi="Book Antiqua" w:cs="Book Antiqua"/>
          <w:color w:val="000000"/>
        </w:rPr>
        <w: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15</w:t>
      </w:r>
      <w:r w:rsidR="00514C51">
        <w:rPr>
          <w:rFonts w:ascii="Book Antiqua" w:eastAsia="Book Antiqua" w:hAnsi="Book Antiqua" w:cs="Book Antiqua"/>
          <w:color w:val="000000"/>
        </w:rPr>
        <w:t xml:space="preserve"> </w:t>
      </w:r>
      <w:r>
        <w:rPr>
          <w:rFonts w:ascii="Book Antiqua" w:eastAsia="Book Antiqua" w:hAnsi="Book Antiqua" w:cs="Book Antiqua"/>
          <w:color w:val="000000"/>
        </w:rPr>
        <w: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 C:</w:t>
      </w:r>
      <w:r>
        <w:rPr>
          <w:rFonts w:ascii="Book Antiqua" w:eastAsia="Book Antiqua" w:hAnsi="Book Antiqua" w:cs="Book Antiqua"/>
          <w:color w:val="000000"/>
        </w:rPr>
        <w:t xml:space="preserve"> </w:t>
      </w:r>
      <w:r w:rsidR="00514C51">
        <w:rPr>
          <w:rFonts w:ascii="Book Antiqua" w:eastAsia="Book Antiqua" w:hAnsi="Book Antiqua" w:cs="Book Antiqua"/>
          <w:color w:val="000000"/>
        </w:rPr>
        <w:t>T</w:t>
      </w:r>
      <w:r>
        <w:rPr>
          <w:rFonts w:ascii="Book Antiqua" w:eastAsia="Book Antiqua" w:hAnsi="Book Antiqua" w:cs="Book Antiqua"/>
          <w:color w:val="000000"/>
        </w:rPr>
        <w:t>ype IV collagen 7S concentration</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(type IV collagen 7S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5 ng/mL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5 ng/mL;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w:t>
      </w:r>
      <w:r>
        <w:rPr>
          <w:rFonts w:ascii="Book Antiqua" w:eastAsia="Book Antiqua" w:hAnsi="Book Antiqua" w:cs="Book Antiqua"/>
          <w:color w:val="000000"/>
        </w:rPr>
        <w:t xml:space="preserve"> </w:t>
      </w:r>
      <w:r w:rsidR="00514C51">
        <w:rPr>
          <w:rFonts w:ascii="Book Antiqua" w:eastAsia="Book Antiqua" w:hAnsi="Book Antiqua" w:cs="Book Antiqua"/>
          <w:color w:val="000000"/>
        </w:rPr>
        <w:t>D:</w:t>
      </w:r>
      <w:r>
        <w:rPr>
          <w:rFonts w:ascii="Book Antiqua" w:eastAsia="Book Antiqua" w:hAnsi="Book Antiqua" w:cs="Book Antiqua"/>
          <w:color w:val="000000"/>
        </w:rPr>
        <w:t xml:space="preserve"> </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w:t>
      </w:r>
      <w:r w:rsidR="00514C51">
        <w:rPr>
          <w:rFonts w:ascii="Book Antiqua" w:eastAsia="Book Antiqua" w:hAnsi="Book Antiqua" w:cs="Book Antiqua"/>
          <w:color w:val="000000"/>
        </w:rPr>
        <w:t xml:space="preserve"> </w:t>
      </w:r>
      <w:r>
        <w:rPr>
          <w:rFonts w:ascii="Book Antiqua" w:eastAsia="Book Antiqua" w:hAnsi="Book Antiqua" w:cs="Book Antiqua"/>
          <w:color w:val="000000"/>
        </w:rPr>
        <w:t>(</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2.67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1.3-2.67;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 </w:t>
      </w:r>
      <w:r w:rsidR="00514C51">
        <w:rPr>
          <w:rFonts w:ascii="Book Antiqua" w:eastAsia="Book Antiqua" w:hAnsi="Book Antiqua" w:cs="Book Antiqua"/>
          <w:color w:val="000000"/>
        </w:rPr>
        <w:t>C</w:t>
      </w:r>
      <w:r>
        <w:rPr>
          <w:rFonts w:ascii="Book Antiqua" w:eastAsia="Book Antiqua" w:hAnsi="Book Antiqua" w:cs="Book Antiqua"/>
          <w:color w:val="000000"/>
        </w:rPr>
        <w:t xml:space="preserve">1.3-2.67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1.3;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0.0001, </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2.67 </w:t>
      </w:r>
      <w:r w:rsidRPr="00514C51">
        <w:rPr>
          <w:rFonts w:ascii="Book Antiqua" w:eastAsia="Book Antiqua" w:hAnsi="Book Antiqua" w:cs="Book Antiqua"/>
          <w:i/>
          <w:iCs/>
          <w:color w:val="000000"/>
        </w:rPr>
        <w:t>vs</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2.67;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 xml:space="preserve"> FIB: F</w:t>
      </w:r>
      <w:r w:rsidR="00514C51" w:rsidRPr="00345C62">
        <w:rPr>
          <w:rFonts w:ascii="Book Antiqua" w:eastAsia="Book Antiqua" w:hAnsi="Book Antiqua" w:cs="Book Antiqua"/>
          <w:color w:val="000000"/>
        </w:rPr>
        <w:t>ibrosis</w:t>
      </w:r>
      <w:r w:rsidR="00514C51">
        <w:rPr>
          <w:rFonts w:ascii="Book Antiqua" w:eastAsia="Book Antiqua" w:hAnsi="Book Antiqua" w:cs="Book Antiqua"/>
          <w:color w:val="000000"/>
        </w:rPr>
        <w:t>.</w:t>
      </w:r>
    </w:p>
    <w:p w14:paraId="26D135DD" w14:textId="7ECC8D3B" w:rsidR="00A77B3E" w:rsidRDefault="004C705A">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8531A61" wp14:editId="7ADD6025">
            <wp:extent cx="5870543" cy="32607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9876" cy="3265969"/>
                    </a:xfrm>
                    <a:prstGeom prst="rect">
                      <a:avLst/>
                    </a:prstGeom>
                  </pic:spPr>
                </pic:pic>
              </a:graphicData>
            </a:graphic>
          </wp:inline>
        </w:drawing>
      </w:r>
    </w:p>
    <w:p w14:paraId="03C07305" w14:textId="22BEAE08" w:rsidR="00735F2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4C705A">
        <w:rPr>
          <w:rFonts w:ascii="Book Antiqua" w:eastAsia="Book Antiqua" w:hAnsi="Book Antiqua" w:cs="Book Antiqua"/>
          <w:color w:val="000000"/>
        </w:rPr>
        <w:t xml:space="preserve"> </w:t>
      </w:r>
      <w:r>
        <w:rPr>
          <w:rFonts w:ascii="Book Antiqua" w:eastAsia="Book Antiqua" w:hAnsi="Book Antiqua" w:cs="Book Antiqua"/>
          <w:b/>
          <w:bCs/>
          <w:color w:val="000000"/>
        </w:rPr>
        <w:t>Survival rates according to positivity for the different biomarkers.</w:t>
      </w:r>
      <w:r>
        <w:rPr>
          <w:rFonts w:ascii="Book Antiqua" w:eastAsia="Book Antiqua" w:hAnsi="Book Antiqua" w:cs="Book Antiqua"/>
          <w:color w:val="000000"/>
        </w:rPr>
        <w:t xml:space="preserve"> Patients with only one risk factor have relatively good survival rates at 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(99.7%), 10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(98.3%), and 15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(94%). However, patients with two risk factors have lower survival rates at 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(98%) and 10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(43%), and patients with all three risk factors have even lower survival rates at 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(53%) and 10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(26%) (1 </w:t>
      </w:r>
      <w:r w:rsidR="004C705A">
        <w:rPr>
          <w:rFonts w:ascii="Book Antiqua" w:eastAsia="Book Antiqua" w:hAnsi="Book Antiqua" w:cs="Book Antiqua"/>
          <w:color w:val="000000"/>
        </w:rPr>
        <w:t xml:space="preserve">factor </w:t>
      </w:r>
      <w:r w:rsidR="004C705A" w:rsidRPr="004C705A">
        <w:rPr>
          <w:rFonts w:ascii="Book Antiqua" w:eastAsia="Book Antiqua" w:hAnsi="Book Antiqua" w:cs="Book Antiqua"/>
          <w:i/>
          <w:iCs/>
          <w:color w:val="000000"/>
        </w:rPr>
        <w:t>vs</w:t>
      </w:r>
      <w:r w:rsidR="004C705A">
        <w:rPr>
          <w:rFonts w:ascii="Book Antiqua" w:eastAsia="Book Antiqua" w:hAnsi="Book Antiqua" w:cs="Book Antiqua"/>
          <w:color w:val="000000"/>
        </w:rPr>
        <w:t xml:space="preserve"> 2 f</w:t>
      </w:r>
      <w:r>
        <w:rPr>
          <w:rFonts w:ascii="Book Antiqua" w:eastAsia="Book Antiqua" w:hAnsi="Book Antiqua" w:cs="Book Antiqua"/>
          <w:color w:val="000000"/>
        </w:rPr>
        <w:t xml:space="preserve">actors, </w:t>
      </w:r>
      <w:r w:rsidRPr="004C705A">
        <w:rPr>
          <w:rFonts w:ascii="Book Antiqua" w:eastAsia="Book Antiqua" w:hAnsi="Book Antiqua" w:cs="Book Antiqua"/>
          <w:i/>
          <w:iCs/>
          <w:color w:val="000000"/>
        </w:rPr>
        <w:t>P</w:t>
      </w:r>
      <w:r w:rsidR="004C705A">
        <w:rPr>
          <w:rFonts w:ascii="Book Antiqua" w:eastAsia="Book Antiqua" w:hAnsi="Book Antiqua" w:cs="Book Antiqua"/>
          <w:color w:val="000000"/>
        </w:rPr>
        <w:t xml:space="preserve"> </w:t>
      </w:r>
      <w:r>
        <w:rPr>
          <w:rFonts w:ascii="Book Antiqua" w:eastAsia="Book Antiqua" w:hAnsi="Book Antiqua" w:cs="Book Antiqua"/>
          <w:color w:val="000000"/>
        </w:rPr>
        <w:t>&lt;</w:t>
      </w:r>
      <w:r w:rsidR="004C705A">
        <w:rPr>
          <w:rFonts w:ascii="Book Antiqua" w:eastAsia="Book Antiqua" w:hAnsi="Book Antiqua" w:cs="Book Antiqua"/>
          <w:color w:val="000000"/>
        </w:rPr>
        <w:t xml:space="preserve"> </w:t>
      </w:r>
      <w:r>
        <w:rPr>
          <w:rFonts w:ascii="Book Antiqua" w:eastAsia="Book Antiqua" w:hAnsi="Book Antiqua" w:cs="Book Antiqua"/>
          <w:color w:val="000000"/>
        </w:rPr>
        <w:t xml:space="preserve">0.0001; 1 </w:t>
      </w:r>
      <w:r w:rsidR="004C705A">
        <w:rPr>
          <w:rFonts w:ascii="Book Antiqua" w:eastAsia="Book Antiqua" w:hAnsi="Book Antiqua" w:cs="Book Antiqua"/>
          <w:color w:val="000000"/>
        </w:rPr>
        <w:t xml:space="preserve">factor </w:t>
      </w:r>
      <w:r w:rsidR="004C705A" w:rsidRPr="004C705A">
        <w:rPr>
          <w:rFonts w:ascii="Book Antiqua" w:eastAsia="Book Antiqua" w:hAnsi="Book Antiqua" w:cs="Book Antiqua"/>
          <w:i/>
          <w:iCs/>
          <w:color w:val="000000"/>
        </w:rPr>
        <w:t>vs</w:t>
      </w:r>
      <w:r w:rsidR="004C705A">
        <w:rPr>
          <w:rFonts w:ascii="Book Antiqua" w:eastAsia="Book Antiqua" w:hAnsi="Book Antiqua" w:cs="Book Antiqua"/>
          <w:color w:val="000000"/>
        </w:rPr>
        <w:t xml:space="preserve"> 3 fa</w:t>
      </w:r>
      <w:r>
        <w:rPr>
          <w:rFonts w:ascii="Book Antiqua" w:eastAsia="Book Antiqua" w:hAnsi="Book Antiqua" w:cs="Book Antiqua"/>
          <w:color w:val="000000"/>
        </w:rPr>
        <w:t xml:space="preserve">ctors, </w:t>
      </w:r>
      <w:r w:rsidRPr="004C705A">
        <w:rPr>
          <w:rFonts w:ascii="Book Antiqua" w:eastAsia="Book Antiqua" w:hAnsi="Book Antiqua" w:cs="Book Antiqua"/>
          <w:i/>
          <w:iCs/>
          <w:color w:val="000000"/>
        </w:rPr>
        <w:t>P</w:t>
      </w:r>
      <w:r w:rsidR="004C705A">
        <w:rPr>
          <w:rFonts w:ascii="Book Antiqua" w:eastAsia="Book Antiqua" w:hAnsi="Book Antiqua" w:cs="Book Antiqua"/>
          <w:color w:val="000000"/>
        </w:rPr>
        <w:t xml:space="preserve"> </w:t>
      </w:r>
      <w:r>
        <w:rPr>
          <w:rFonts w:ascii="Book Antiqua" w:eastAsia="Book Antiqua" w:hAnsi="Book Antiqua" w:cs="Book Antiqua"/>
          <w:color w:val="000000"/>
        </w:rPr>
        <w:t>&lt;</w:t>
      </w:r>
      <w:r w:rsidR="004C705A">
        <w:rPr>
          <w:rFonts w:ascii="Book Antiqua" w:eastAsia="Book Antiqua" w:hAnsi="Book Antiqua" w:cs="Book Antiqua"/>
          <w:color w:val="000000"/>
        </w:rPr>
        <w:t xml:space="preserve"> </w:t>
      </w:r>
      <w:r>
        <w:rPr>
          <w:rFonts w:ascii="Book Antiqua" w:eastAsia="Book Antiqua" w:hAnsi="Book Antiqua" w:cs="Book Antiqua"/>
          <w:color w:val="000000"/>
        </w:rPr>
        <w:t xml:space="preserve">0.0001; 2 </w:t>
      </w:r>
      <w:r w:rsidR="004C705A">
        <w:rPr>
          <w:rFonts w:ascii="Book Antiqua" w:eastAsia="Book Antiqua" w:hAnsi="Book Antiqua" w:cs="Book Antiqua"/>
          <w:color w:val="000000"/>
        </w:rPr>
        <w:t xml:space="preserve">factors </w:t>
      </w:r>
      <w:r w:rsidR="004C705A" w:rsidRPr="004C705A">
        <w:rPr>
          <w:rFonts w:ascii="Book Antiqua" w:eastAsia="Book Antiqua" w:hAnsi="Book Antiqua" w:cs="Book Antiqua"/>
          <w:i/>
          <w:iCs/>
          <w:color w:val="000000"/>
        </w:rPr>
        <w:t>vs</w:t>
      </w:r>
      <w:r w:rsidR="004C705A">
        <w:rPr>
          <w:rFonts w:ascii="Book Antiqua" w:eastAsia="Book Antiqua" w:hAnsi="Book Antiqua" w:cs="Book Antiqua"/>
          <w:color w:val="000000"/>
        </w:rPr>
        <w:t xml:space="preserve"> 3 f</w:t>
      </w:r>
      <w:r>
        <w:rPr>
          <w:rFonts w:ascii="Book Antiqua" w:eastAsia="Book Antiqua" w:hAnsi="Book Antiqua" w:cs="Book Antiqua"/>
          <w:color w:val="000000"/>
        </w:rPr>
        <w:t xml:space="preserve">actors; </w:t>
      </w:r>
      <w:r w:rsidRPr="004C705A">
        <w:rPr>
          <w:rFonts w:ascii="Book Antiqua" w:eastAsia="Book Antiqua" w:hAnsi="Book Antiqua" w:cs="Book Antiqua"/>
          <w:i/>
          <w:iCs/>
          <w:color w:val="000000"/>
        </w:rPr>
        <w:t>P</w:t>
      </w:r>
      <w:r w:rsidR="004C705A">
        <w:rPr>
          <w:rFonts w:ascii="Book Antiqua" w:eastAsia="Book Antiqua" w:hAnsi="Book Antiqua" w:cs="Book Antiqua"/>
          <w:color w:val="000000"/>
        </w:rPr>
        <w:t xml:space="preserve"> </w:t>
      </w:r>
      <w:r>
        <w:rPr>
          <w:rFonts w:ascii="Book Antiqua" w:eastAsia="Book Antiqua" w:hAnsi="Book Antiqua" w:cs="Book Antiqua"/>
          <w:color w:val="000000"/>
        </w:rPr>
        <w:t>&lt;</w:t>
      </w:r>
      <w:r w:rsidR="004C705A">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69950D3" w14:textId="266DCCA0" w:rsidR="00A77B3E" w:rsidRDefault="00735F2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35F22">
        <w:rPr>
          <w:rFonts w:ascii="Book Antiqua" w:eastAsia="Book Antiqua" w:hAnsi="Book Antiqua" w:cs="Book Antiqua"/>
          <w:b/>
          <w:bCs/>
          <w:color w:val="000000"/>
        </w:rPr>
        <w:lastRenderedPageBreak/>
        <w:t>Table 1 Clinical and histological characteristics of the patient population (</w:t>
      </w:r>
      <w:r w:rsidRPr="00735F22">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w:t>
      </w:r>
      <w:r w:rsidRPr="00735F22">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735F22">
        <w:rPr>
          <w:rFonts w:ascii="Book Antiqua" w:eastAsia="Book Antiqua" w:hAnsi="Book Antiqua" w:cs="Book Antiqua"/>
          <w:b/>
          <w:bCs/>
          <w:color w:val="000000"/>
        </w:rPr>
        <w:t>489)</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5108"/>
        <w:gridCol w:w="4468"/>
      </w:tblGrid>
      <w:tr w:rsidR="00735F22" w:rsidRPr="00735F22" w14:paraId="58039F83" w14:textId="77777777" w:rsidTr="007529D4">
        <w:tc>
          <w:tcPr>
            <w:tcW w:w="2667" w:type="pct"/>
            <w:tcBorders>
              <w:top w:val="single" w:sz="4" w:space="0" w:color="auto"/>
              <w:bottom w:val="single" w:sz="4" w:space="0" w:color="auto"/>
            </w:tcBorders>
            <w:shd w:val="clear" w:color="auto" w:fill="FFFFFF" w:themeFill="background1"/>
          </w:tcPr>
          <w:p w14:paraId="041751A3"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
                <w:bCs/>
              </w:rPr>
              <w:t>Characteristics</w:t>
            </w:r>
          </w:p>
        </w:tc>
        <w:tc>
          <w:tcPr>
            <w:tcW w:w="2333" w:type="pct"/>
            <w:tcBorders>
              <w:top w:val="single" w:sz="4" w:space="0" w:color="auto"/>
              <w:bottom w:val="single" w:sz="4" w:space="0" w:color="auto"/>
            </w:tcBorders>
            <w:shd w:val="clear" w:color="auto" w:fill="FFFFFF" w:themeFill="background1"/>
          </w:tcPr>
          <w:p w14:paraId="0DA397CF"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
                <w:bCs/>
              </w:rPr>
              <w:t>Values</w:t>
            </w:r>
          </w:p>
        </w:tc>
      </w:tr>
      <w:tr w:rsidR="00735F22" w:rsidRPr="00735F22" w14:paraId="74D20361" w14:textId="77777777" w:rsidTr="007529D4">
        <w:tc>
          <w:tcPr>
            <w:tcW w:w="2667" w:type="pct"/>
            <w:tcBorders>
              <w:top w:val="single" w:sz="4" w:space="0" w:color="auto"/>
            </w:tcBorders>
            <w:hideMark/>
          </w:tcPr>
          <w:p w14:paraId="3332936F" w14:textId="0F3CAF5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Age</w:t>
            </w:r>
          </w:p>
        </w:tc>
        <w:tc>
          <w:tcPr>
            <w:tcW w:w="2333" w:type="pct"/>
            <w:tcBorders>
              <w:top w:val="single" w:sz="4" w:space="0" w:color="auto"/>
            </w:tcBorders>
            <w:hideMark/>
          </w:tcPr>
          <w:p w14:paraId="070F663E" w14:textId="451C0ED0"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50.1 (14</w:t>
            </w:r>
            <w:r>
              <w:rPr>
                <w:rFonts w:ascii="Book Antiqua" w:hAnsi="Book Antiqua" w:cs="Times New Roman"/>
                <w:bCs/>
              </w:rPr>
              <w:t>-</w:t>
            </w:r>
            <w:r w:rsidRPr="00735F22">
              <w:rPr>
                <w:rFonts w:ascii="Book Antiqua" w:hAnsi="Book Antiqua" w:cs="Times New Roman"/>
                <w:bCs/>
              </w:rPr>
              <w:t>82)</w:t>
            </w:r>
          </w:p>
        </w:tc>
      </w:tr>
      <w:tr w:rsidR="00735F22" w:rsidRPr="00735F22" w14:paraId="4517BA83" w14:textId="77777777" w:rsidTr="007529D4">
        <w:tc>
          <w:tcPr>
            <w:tcW w:w="2667" w:type="pct"/>
          </w:tcPr>
          <w:p w14:paraId="00367218" w14:textId="3BCA91F2"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Male sex</w:t>
            </w:r>
            <w:r w:rsidR="007529D4">
              <w:rPr>
                <w:rFonts w:ascii="Book Antiqua" w:hAnsi="Book Antiqua" w:cs="Times New Roman"/>
                <w:bCs/>
              </w:rPr>
              <w:t>, %</w:t>
            </w:r>
          </w:p>
        </w:tc>
        <w:tc>
          <w:tcPr>
            <w:tcW w:w="2333" w:type="pct"/>
          </w:tcPr>
          <w:p w14:paraId="43C3AEDA" w14:textId="654DB4B9"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54.6</w:t>
            </w:r>
          </w:p>
        </w:tc>
      </w:tr>
      <w:tr w:rsidR="00735F22" w:rsidRPr="00735F22" w14:paraId="20625028" w14:textId="77777777" w:rsidTr="007529D4">
        <w:tc>
          <w:tcPr>
            <w:tcW w:w="2667" w:type="pct"/>
            <w:hideMark/>
          </w:tcPr>
          <w:p w14:paraId="37D89C8C"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Body mass index, kg/m</w:t>
            </w:r>
            <w:r w:rsidRPr="00735F22">
              <w:rPr>
                <w:rFonts w:ascii="Book Antiqua" w:hAnsi="Book Antiqua" w:cs="Times New Roman"/>
                <w:bCs/>
                <w:vertAlign w:val="superscript"/>
              </w:rPr>
              <w:t>2</w:t>
            </w:r>
          </w:p>
        </w:tc>
        <w:tc>
          <w:tcPr>
            <w:tcW w:w="2333" w:type="pct"/>
            <w:hideMark/>
          </w:tcPr>
          <w:p w14:paraId="0BFA6787" w14:textId="619815CC"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26.9 (20.8</w:t>
            </w:r>
            <w:r>
              <w:rPr>
                <w:rFonts w:ascii="Book Antiqua" w:hAnsi="Book Antiqua" w:cs="Times New Roman"/>
                <w:bCs/>
              </w:rPr>
              <w:t>-</w:t>
            </w:r>
            <w:r w:rsidRPr="00735F22">
              <w:rPr>
                <w:rFonts w:ascii="Book Antiqua" w:hAnsi="Book Antiqua" w:cs="Times New Roman"/>
                <w:bCs/>
              </w:rPr>
              <w:t>49.5)</w:t>
            </w:r>
          </w:p>
        </w:tc>
      </w:tr>
      <w:tr w:rsidR="00735F22" w:rsidRPr="00735F22" w14:paraId="3664B9DA" w14:textId="77777777" w:rsidTr="007529D4">
        <w:tc>
          <w:tcPr>
            <w:tcW w:w="2667" w:type="pct"/>
            <w:hideMark/>
          </w:tcPr>
          <w:p w14:paraId="76A9C527" w14:textId="1D86127B"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Fibrosis stage, 0/1/2/3/4</w:t>
            </w:r>
          </w:p>
        </w:tc>
        <w:tc>
          <w:tcPr>
            <w:tcW w:w="2333" w:type="pct"/>
            <w:hideMark/>
          </w:tcPr>
          <w:p w14:paraId="69FD52F7" w14:textId="5604DBC5"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65/173/111/122/18</w:t>
            </w:r>
          </w:p>
        </w:tc>
      </w:tr>
      <w:tr w:rsidR="00735F22" w:rsidRPr="00735F22" w14:paraId="232102EE" w14:textId="77777777" w:rsidTr="007529D4">
        <w:tc>
          <w:tcPr>
            <w:tcW w:w="2667" w:type="pct"/>
            <w:hideMark/>
          </w:tcPr>
          <w:p w14:paraId="513ABE28" w14:textId="72B0BC5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Grade, 0/1/2/3</w:t>
            </w:r>
          </w:p>
        </w:tc>
        <w:tc>
          <w:tcPr>
            <w:tcW w:w="2333" w:type="pct"/>
            <w:hideMark/>
          </w:tcPr>
          <w:p w14:paraId="559DD5D4" w14:textId="4D45165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45/204/178/62</w:t>
            </w:r>
          </w:p>
        </w:tc>
      </w:tr>
      <w:tr w:rsidR="00735F22" w:rsidRPr="00735F22" w14:paraId="7A6F2B30" w14:textId="77777777" w:rsidTr="007529D4">
        <w:tc>
          <w:tcPr>
            <w:tcW w:w="2667" w:type="pct"/>
            <w:hideMark/>
          </w:tcPr>
          <w:p w14:paraId="447A20EE" w14:textId="22ACAD1C"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Steatosis, 0/1/2/3</w:t>
            </w:r>
          </w:p>
        </w:tc>
        <w:tc>
          <w:tcPr>
            <w:tcW w:w="2333" w:type="pct"/>
            <w:hideMark/>
          </w:tcPr>
          <w:p w14:paraId="1C4E1458" w14:textId="454A719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13/158/228/90</w:t>
            </w:r>
          </w:p>
        </w:tc>
      </w:tr>
      <w:tr w:rsidR="00735F22" w:rsidRPr="00735F22" w14:paraId="1107BAF8" w14:textId="77777777" w:rsidTr="007529D4">
        <w:tc>
          <w:tcPr>
            <w:tcW w:w="2667" w:type="pct"/>
            <w:hideMark/>
          </w:tcPr>
          <w:p w14:paraId="15D8CB9F" w14:textId="15C5984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NAFLD activity score, &lt;</w:t>
            </w:r>
            <w:r>
              <w:rPr>
                <w:rFonts w:ascii="Book Antiqua" w:hAnsi="Book Antiqua" w:cs="Times New Roman"/>
                <w:bCs/>
              </w:rPr>
              <w:t xml:space="preserve"> </w:t>
            </w:r>
            <w:r w:rsidRPr="00735F22">
              <w:rPr>
                <w:rFonts w:ascii="Book Antiqua" w:hAnsi="Book Antiqua" w:cs="Times New Roman"/>
                <w:bCs/>
              </w:rPr>
              <w:t>4/≥</w:t>
            </w:r>
            <w:r>
              <w:rPr>
                <w:rFonts w:ascii="Book Antiqua" w:hAnsi="Book Antiqua" w:cs="Times New Roman"/>
                <w:bCs/>
              </w:rPr>
              <w:t xml:space="preserve"> </w:t>
            </w:r>
            <w:r w:rsidRPr="00735F22">
              <w:rPr>
                <w:rFonts w:ascii="Book Antiqua" w:hAnsi="Book Antiqua" w:cs="Times New Roman"/>
                <w:bCs/>
              </w:rPr>
              <w:t>5</w:t>
            </w:r>
          </w:p>
        </w:tc>
        <w:tc>
          <w:tcPr>
            <w:tcW w:w="2333" w:type="pct"/>
            <w:hideMark/>
          </w:tcPr>
          <w:p w14:paraId="39085DEA" w14:textId="4E78042C"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265/224</w:t>
            </w:r>
          </w:p>
        </w:tc>
      </w:tr>
      <w:tr w:rsidR="00735F22" w:rsidRPr="00735F22" w14:paraId="51020A1A" w14:textId="77777777" w:rsidTr="007529D4">
        <w:tc>
          <w:tcPr>
            <w:tcW w:w="2667" w:type="pct"/>
            <w:hideMark/>
          </w:tcPr>
          <w:p w14:paraId="709C7137"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ALT, IU/L</w:t>
            </w:r>
          </w:p>
        </w:tc>
        <w:tc>
          <w:tcPr>
            <w:tcW w:w="2333" w:type="pct"/>
            <w:hideMark/>
          </w:tcPr>
          <w:p w14:paraId="3CB042DE" w14:textId="52414662"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69 (2</w:t>
            </w:r>
            <w:r>
              <w:rPr>
                <w:rFonts w:ascii="Book Antiqua" w:hAnsi="Book Antiqua" w:cs="Times New Roman"/>
                <w:bCs/>
              </w:rPr>
              <w:t>-</w:t>
            </w:r>
            <w:r w:rsidRPr="00735F22">
              <w:rPr>
                <w:rFonts w:ascii="Book Antiqua" w:hAnsi="Book Antiqua" w:cs="Times New Roman"/>
                <w:bCs/>
              </w:rPr>
              <w:t>563)</w:t>
            </w:r>
          </w:p>
        </w:tc>
      </w:tr>
      <w:tr w:rsidR="00735F22" w:rsidRPr="00735F22" w14:paraId="2024371D" w14:textId="77777777" w:rsidTr="007529D4">
        <w:tc>
          <w:tcPr>
            <w:tcW w:w="2667" w:type="pct"/>
            <w:hideMark/>
          </w:tcPr>
          <w:p w14:paraId="564A5DE9"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AST, IU/L</w:t>
            </w:r>
          </w:p>
        </w:tc>
        <w:tc>
          <w:tcPr>
            <w:tcW w:w="2333" w:type="pct"/>
            <w:hideMark/>
          </w:tcPr>
          <w:p w14:paraId="7E01A502" w14:textId="0AE6B5C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43 (13</w:t>
            </w:r>
            <w:r>
              <w:rPr>
                <w:rFonts w:ascii="Book Antiqua" w:hAnsi="Book Antiqua" w:cs="Times New Roman"/>
                <w:bCs/>
              </w:rPr>
              <w:t>-</w:t>
            </w:r>
            <w:r w:rsidRPr="00735F22">
              <w:rPr>
                <w:rFonts w:ascii="Book Antiqua" w:hAnsi="Book Antiqua" w:cs="Times New Roman"/>
                <w:bCs/>
              </w:rPr>
              <w:t>312)</w:t>
            </w:r>
          </w:p>
        </w:tc>
      </w:tr>
      <w:tr w:rsidR="00735F22" w:rsidRPr="00735F22" w14:paraId="4E4DDECC" w14:textId="77777777" w:rsidTr="007529D4">
        <w:tc>
          <w:tcPr>
            <w:tcW w:w="2667" w:type="pct"/>
            <w:hideMark/>
          </w:tcPr>
          <w:p w14:paraId="286310E7"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γ-GTP, IU/L</w:t>
            </w:r>
          </w:p>
        </w:tc>
        <w:tc>
          <w:tcPr>
            <w:tcW w:w="2333" w:type="pct"/>
            <w:hideMark/>
          </w:tcPr>
          <w:p w14:paraId="7B8C3EB0" w14:textId="3764C22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60 (12</w:t>
            </w:r>
            <w:r>
              <w:rPr>
                <w:rFonts w:ascii="Book Antiqua" w:hAnsi="Book Antiqua" w:cs="Times New Roman"/>
                <w:bCs/>
              </w:rPr>
              <w:t>-</w:t>
            </w:r>
            <w:r w:rsidRPr="00735F22">
              <w:rPr>
                <w:rFonts w:ascii="Book Antiqua" w:hAnsi="Book Antiqua" w:cs="Times New Roman"/>
                <w:bCs/>
              </w:rPr>
              <w:t>736)</w:t>
            </w:r>
          </w:p>
        </w:tc>
      </w:tr>
      <w:tr w:rsidR="00735F22" w:rsidRPr="00735F22" w14:paraId="443A9053" w14:textId="77777777" w:rsidTr="007529D4">
        <w:tc>
          <w:tcPr>
            <w:tcW w:w="2667" w:type="pct"/>
            <w:hideMark/>
          </w:tcPr>
          <w:p w14:paraId="1C691180"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Total bilirubin, mg/dL</w:t>
            </w:r>
          </w:p>
        </w:tc>
        <w:tc>
          <w:tcPr>
            <w:tcW w:w="2333" w:type="pct"/>
            <w:hideMark/>
          </w:tcPr>
          <w:p w14:paraId="05D129BB" w14:textId="3C370A51"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0.8 (0.04</w:t>
            </w:r>
            <w:r>
              <w:rPr>
                <w:rFonts w:ascii="Book Antiqua" w:hAnsi="Book Antiqua" w:cs="Times New Roman"/>
                <w:bCs/>
              </w:rPr>
              <w:t>-</w:t>
            </w:r>
            <w:r w:rsidRPr="00735F22">
              <w:rPr>
                <w:rFonts w:ascii="Book Antiqua" w:hAnsi="Book Antiqua" w:cs="Times New Roman"/>
                <w:bCs/>
              </w:rPr>
              <w:t>2.7)</w:t>
            </w:r>
          </w:p>
        </w:tc>
      </w:tr>
      <w:tr w:rsidR="00735F22" w:rsidRPr="00735F22" w14:paraId="07947589" w14:textId="77777777" w:rsidTr="007529D4">
        <w:tc>
          <w:tcPr>
            <w:tcW w:w="2667" w:type="pct"/>
            <w:hideMark/>
          </w:tcPr>
          <w:p w14:paraId="15BF8C22"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Total cholesterol, ng/dL</w:t>
            </w:r>
          </w:p>
        </w:tc>
        <w:tc>
          <w:tcPr>
            <w:tcW w:w="2333" w:type="pct"/>
            <w:hideMark/>
          </w:tcPr>
          <w:p w14:paraId="706FAEDE" w14:textId="050A6B24"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198 (102</w:t>
            </w:r>
            <w:r>
              <w:rPr>
                <w:rFonts w:ascii="Book Antiqua" w:hAnsi="Book Antiqua" w:cs="Times New Roman"/>
                <w:bCs/>
              </w:rPr>
              <w:t>-</w:t>
            </w:r>
            <w:r w:rsidRPr="00735F22">
              <w:rPr>
                <w:rFonts w:ascii="Book Antiqua" w:hAnsi="Book Antiqua" w:cs="Times New Roman"/>
                <w:bCs/>
              </w:rPr>
              <w:t>317)</w:t>
            </w:r>
          </w:p>
        </w:tc>
      </w:tr>
      <w:tr w:rsidR="00735F22" w:rsidRPr="00735F22" w14:paraId="0B91B377" w14:textId="77777777" w:rsidTr="007529D4">
        <w:tc>
          <w:tcPr>
            <w:tcW w:w="2667" w:type="pct"/>
            <w:hideMark/>
          </w:tcPr>
          <w:p w14:paraId="656DB80C"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Cholinesterase, IU/L</w:t>
            </w:r>
          </w:p>
        </w:tc>
        <w:tc>
          <w:tcPr>
            <w:tcW w:w="2333" w:type="pct"/>
            <w:hideMark/>
          </w:tcPr>
          <w:p w14:paraId="3D3A95CD" w14:textId="1D7CFCB9"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205 (90</w:t>
            </w:r>
            <w:r>
              <w:rPr>
                <w:rFonts w:ascii="Book Antiqua" w:hAnsi="Book Antiqua" w:cs="Times New Roman"/>
                <w:bCs/>
              </w:rPr>
              <w:t>-</w:t>
            </w:r>
            <w:r w:rsidRPr="00735F22">
              <w:rPr>
                <w:rFonts w:ascii="Book Antiqua" w:hAnsi="Book Antiqua" w:cs="Times New Roman"/>
                <w:bCs/>
              </w:rPr>
              <w:t>337)</w:t>
            </w:r>
          </w:p>
        </w:tc>
      </w:tr>
      <w:tr w:rsidR="00735F22" w:rsidRPr="00735F22" w14:paraId="75A4DCA4" w14:textId="77777777" w:rsidTr="007529D4">
        <w:tc>
          <w:tcPr>
            <w:tcW w:w="2667" w:type="pct"/>
            <w:hideMark/>
          </w:tcPr>
          <w:p w14:paraId="6F9E9579" w14:textId="4DC6F8F9"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Platelet count, ×</w:t>
            </w:r>
            <w:r>
              <w:rPr>
                <w:rFonts w:ascii="Book Antiqua" w:hAnsi="Book Antiqua" w:cs="Times New Roman"/>
                <w:bCs/>
              </w:rPr>
              <w:t xml:space="preserve"> </w:t>
            </w:r>
            <w:r w:rsidRPr="00735F22">
              <w:rPr>
                <w:rFonts w:ascii="Book Antiqua" w:hAnsi="Book Antiqua" w:cs="Times New Roman"/>
                <w:bCs/>
              </w:rPr>
              <w:t>10</w:t>
            </w:r>
            <w:r w:rsidRPr="00735F22">
              <w:rPr>
                <w:rFonts w:ascii="Book Antiqua" w:hAnsi="Book Antiqua" w:cs="Times New Roman"/>
                <w:bCs/>
                <w:vertAlign w:val="superscript"/>
              </w:rPr>
              <w:t>4</w:t>
            </w:r>
            <w:r w:rsidRPr="00735F22">
              <w:rPr>
                <w:rFonts w:ascii="Book Antiqua" w:hAnsi="Book Antiqua" w:cs="Times New Roman"/>
                <w:bCs/>
              </w:rPr>
              <w:t>/</w:t>
            </w:r>
            <w:proofErr w:type="spellStart"/>
            <w:r w:rsidRPr="00735F22">
              <w:rPr>
                <w:rFonts w:ascii="Book Antiqua" w:hAnsi="Book Antiqua" w:cs="Times New Roman"/>
                <w:bCs/>
              </w:rPr>
              <w:t>μL</w:t>
            </w:r>
            <w:proofErr w:type="spellEnd"/>
          </w:p>
        </w:tc>
        <w:tc>
          <w:tcPr>
            <w:tcW w:w="2333" w:type="pct"/>
            <w:hideMark/>
          </w:tcPr>
          <w:p w14:paraId="31D93A78" w14:textId="6C900646"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20.8 (6.6</w:t>
            </w:r>
            <w:r>
              <w:rPr>
                <w:rFonts w:ascii="Book Antiqua" w:hAnsi="Book Antiqua" w:cs="Times New Roman"/>
                <w:bCs/>
              </w:rPr>
              <w:t>-</w:t>
            </w:r>
            <w:r w:rsidRPr="00735F22">
              <w:rPr>
                <w:rFonts w:ascii="Book Antiqua" w:hAnsi="Book Antiqua" w:cs="Times New Roman"/>
                <w:bCs/>
              </w:rPr>
              <w:t>44.7)</w:t>
            </w:r>
          </w:p>
        </w:tc>
      </w:tr>
      <w:tr w:rsidR="00735F22" w:rsidRPr="00735F22" w14:paraId="10CA1B50" w14:textId="77777777" w:rsidTr="007529D4">
        <w:tc>
          <w:tcPr>
            <w:tcW w:w="2667" w:type="pct"/>
            <w:hideMark/>
          </w:tcPr>
          <w:p w14:paraId="50B1719E"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Albumin, g/dL</w:t>
            </w:r>
          </w:p>
        </w:tc>
        <w:tc>
          <w:tcPr>
            <w:tcW w:w="2333" w:type="pct"/>
            <w:hideMark/>
          </w:tcPr>
          <w:p w14:paraId="4260A5EC" w14:textId="7A50FC82"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4.5 (2.5</w:t>
            </w:r>
            <w:r>
              <w:rPr>
                <w:rFonts w:ascii="Book Antiqua" w:hAnsi="Book Antiqua" w:cs="Times New Roman"/>
                <w:bCs/>
              </w:rPr>
              <w:t>-</w:t>
            </w:r>
            <w:r w:rsidRPr="00735F22">
              <w:rPr>
                <w:rFonts w:ascii="Book Antiqua" w:hAnsi="Book Antiqua" w:cs="Times New Roman"/>
                <w:bCs/>
              </w:rPr>
              <w:t>5.4)</w:t>
            </w:r>
          </w:p>
        </w:tc>
      </w:tr>
      <w:tr w:rsidR="00735F22" w:rsidRPr="00735F22" w14:paraId="27386A95" w14:textId="77777777" w:rsidTr="007529D4">
        <w:tc>
          <w:tcPr>
            <w:tcW w:w="2667" w:type="pct"/>
            <w:hideMark/>
          </w:tcPr>
          <w:p w14:paraId="348697F7"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HOMA-IR</w:t>
            </w:r>
          </w:p>
        </w:tc>
        <w:tc>
          <w:tcPr>
            <w:tcW w:w="2333" w:type="pct"/>
            <w:hideMark/>
          </w:tcPr>
          <w:p w14:paraId="2A80B8A5" w14:textId="214387E6"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2.9 (0.7</w:t>
            </w:r>
            <w:r>
              <w:rPr>
                <w:rFonts w:ascii="Book Antiqua" w:hAnsi="Book Antiqua" w:cs="Times New Roman"/>
                <w:bCs/>
              </w:rPr>
              <w:t>-</w:t>
            </w:r>
            <w:r w:rsidRPr="00735F22">
              <w:rPr>
                <w:rFonts w:ascii="Book Antiqua" w:hAnsi="Book Antiqua" w:cs="Times New Roman"/>
                <w:bCs/>
              </w:rPr>
              <w:t>22.4)</w:t>
            </w:r>
          </w:p>
        </w:tc>
      </w:tr>
      <w:tr w:rsidR="00735F22" w:rsidRPr="00735F22" w14:paraId="2F8E9343" w14:textId="77777777" w:rsidTr="007529D4">
        <w:tc>
          <w:tcPr>
            <w:tcW w:w="2667" w:type="pct"/>
            <w:hideMark/>
          </w:tcPr>
          <w:p w14:paraId="3A5DAB66"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Iron, </w:t>
            </w:r>
            <w:proofErr w:type="spellStart"/>
            <w:r w:rsidRPr="00735F22">
              <w:rPr>
                <w:rFonts w:ascii="Book Antiqua" w:hAnsi="Book Antiqua" w:cs="Times New Roman"/>
                <w:bCs/>
              </w:rPr>
              <w:t>μg</w:t>
            </w:r>
            <w:proofErr w:type="spellEnd"/>
            <w:r w:rsidRPr="00735F22">
              <w:rPr>
                <w:rFonts w:ascii="Book Antiqua" w:hAnsi="Book Antiqua" w:cs="Times New Roman"/>
                <w:bCs/>
              </w:rPr>
              <w:t>/</w:t>
            </w:r>
            <w:proofErr w:type="spellStart"/>
            <w:r w:rsidRPr="00735F22">
              <w:rPr>
                <w:rFonts w:ascii="Book Antiqua" w:hAnsi="Book Antiqua" w:cs="Times New Roman"/>
                <w:bCs/>
              </w:rPr>
              <w:t>dL</w:t>
            </w:r>
            <w:proofErr w:type="spellEnd"/>
          </w:p>
        </w:tc>
        <w:tc>
          <w:tcPr>
            <w:tcW w:w="2333" w:type="pct"/>
            <w:hideMark/>
          </w:tcPr>
          <w:p w14:paraId="368536A8" w14:textId="2E707500"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119 (13</w:t>
            </w:r>
            <w:r>
              <w:rPr>
                <w:rFonts w:ascii="Book Antiqua" w:hAnsi="Book Antiqua" w:cs="Times New Roman"/>
                <w:bCs/>
              </w:rPr>
              <w:t>-</w:t>
            </w:r>
            <w:r w:rsidRPr="00735F22">
              <w:rPr>
                <w:rFonts w:ascii="Book Antiqua" w:hAnsi="Book Antiqua" w:cs="Times New Roman"/>
                <w:bCs/>
              </w:rPr>
              <w:t>295)</w:t>
            </w:r>
          </w:p>
        </w:tc>
      </w:tr>
      <w:tr w:rsidR="00735F22" w:rsidRPr="00735F22" w14:paraId="05840C4F" w14:textId="77777777" w:rsidTr="007529D4">
        <w:tc>
          <w:tcPr>
            <w:tcW w:w="2667" w:type="pct"/>
            <w:hideMark/>
          </w:tcPr>
          <w:p w14:paraId="0BB44F14"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Ferritin, ng/dL</w:t>
            </w:r>
          </w:p>
        </w:tc>
        <w:tc>
          <w:tcPr>
            <w:tcW w:w="2333" w:type="pct"/>
            <w:hideMark/>
          </w:tcPr>
          <w:p w14:paraId="1F4A6EA9" w14:textId="1D0E6F0D"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149 (3.9</w:t>
            </w:r>
            <w:r>
              <w:rPr>
                <w:rFonts w:ascii="Book Antiqua" w:hAnsi="Book Antiqua" w:cs="Times New Roman"/>
                <w:bCs/>
              </w:rPr>
              <w:t>-</w:t>
            </w:r>
            <w:r w:rsidRPr="00735F22">
              <w:rPr>
                <w:rFonts w:ascii="Book Antiqua" w:hAnsi="Book Antiqua" w:cs="Times New Roman"/>
                <w:bCs/>
              </w:rPr>
              <w:t>983)</w:t>
            </w:r>
          </w:p>
        </w:tc>
      </w:tr>
      <w:tr w:rsidR="00735F22" w:rsidRPr="00735F22" w14:paraId="1684EDBA" w14:textId="77777777" w:rsidTr="007529D4">
        <w:tc>
          <w:tcPr>
            <w:tcW w:w="2667" w:type="pct"/>
            <w:hideMark/>
          </w:tcPr>
          <w:p w14:paraId="35D8EE0B"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Leptin, ng/dL</w:t>
            </w:r>
          </w:p>
        </w:tc>
        <w:tc>
          <w:tcPr>
            <w:tcW w:w="2333" w:type="pct"/>
            <w:hideMark/>
          </w:tcPr>
          <w:p w14:paraId="5E30F070" w14:textId="6E429F3E"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9.3 (1.1</w:t>
            </w:r>
            <w:r>
              <w:rPr>
                <w:rFonts w:ascii="Book Antiqua" w:hAnsi="Book Antiqua" w:cs="Times New Roman"/>
                <w:bCs/>
              </w:rPr>
              <w:t>-</w:t>
            </w:r>
            <w:r w:rsidRPr="00735F22">
              <w:rPr>
                <w:rFonts w:ascii="Book Antiqua" w:hAnsi="Book Antiqua" w:cs="Times New Roman"/>
                <w:bCs/>
              </w:rPr>
              <w:t>59.3)</w:t>
            </w:r>
          </w:p>
        </w:tc>
      </w:tr>
      <w:tr w:rsidR="00735F22" w:rsidRPr="00735F22" w14:paraId="11B989D8" w14:textId="77777777" w:rsidTr="007529D4">
        <w:tc>
          <w:tcPr>
            <w:tcW w:w="2667" w:type="pct"/>
            <w:hideMark/>
          </w:tcPr>
          <w:p w14:paraId="04A0C7C6"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Adiponectin, </w:t>
            </w:r>
            <w:proofErr w:type="spellStart"/>
            <w:r w:rsidRPr="00735F22">
              <w:rPr>
                <w:rFonts w:ascii="Book Antiqua" w:hAnsi="Book Antiqua" w:cs="Times New Roman"/>
                <w:bCs/>
              </w:rPr>
              <w:t>μg</w:t>
            </w:r>
            <w:proofErr w:type="spellEnd"/>
            <w:r w:rsidRPr="00735F22">
              <w:rPr>
                <w:rFonts w:ascii="Book Antiqua" w:hAnsi="Book Antiqua" w:cs="Times New Roman"/>
                <w:bCs/>
              </w:rPr>
              <w:t>/mL</w:t>
            </w:r>
          </w:p>
        </w:tc>
        <w:tc>
          <w:tcPr>
            <w:tcW w:w="2333" w:type="pct"/>
            <w:hideMark/>
          </w:tcPr>
          <w:p w14:paraId="271CAA2F" w14:textId="2206C04E"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5.5 (2.0</w:t>
            </w:r>
            <w:r>
              <w:rPr>
                <w:rFonts w:ascii="Book Antiqua" w:hAnsi="Book Antiqua" w:cs="Times New Roman"/>
                <w:bCs/>
              </w:rPr>
              <w:t>-</w:t>
            </w:r>
            <w:r w:rsidRPr="00735F22">
              <w:rPr>
                <w:rFonts w:ascii="Book Antiqua" w:hAnsi="Book Antiqua" w:cs="Times New Roman"/>
                <w:bCs/>
              </w:rPr>
              <w:t>27.5)</w:t>
            </w:r>
          </w:p>
        </w:tc>
      </w:tr>
      <w:tr w:rsidR="00735F22" w:rsidRPr="00735F22" w14:paraId="4468BF7F" w14:textId="77777777" w:rsidTr="007529D4">
        <w:tc>
          <w:tcPr>
            <w:tcW w:w="2667" w:type="pct"/>
            <w:hideMark/>
          </w:tcPr>
          <w:p w14:paraId="15E9E2DC"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High-sensitivity CRP, mg/dL</w:t>
            </w:r>
          </w:p>
        </w:tc>
        <w:tc>
          <w:tcPr>
            <w:tcW w:w="2333" w:type="pct"/>
            <w:hideMark/>
          </w:tcPr>
          <w:p w14:paraId="48B0DF06" w14:textId="0741F7A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0.117 (0.01</w:t>
            </w:r>
            <w:r>
              <w:rPr>
                <w:rFonts w:ascii="Book Antiqua" w:hAnsi="Book Antiqua" w:cs="Times New Roman"/>
                <w:bCs/>
              </w:rPr>
              <w:t>-</w:t>
            </w:r>
            <w:r w:rsidRPr="00735F22">
              <w:rPr>
                <w:rFonts w:ascii="Book Antiqua" w:hAnsi="Book Antiqua" w:cs="Times New Roman"/>
                <w:bCs/>
              </w:rPr>
              <w:t>1.92)</w:t>
            </w:r>
          </w:p>
        </w:tc>
      </w:tr>
      <w:tr w:rsidR="00735F22" w:rsidRPr="00735F22" w14:paraId="62B1392B" w14:textId="77777777" w:rsidTr="007529D4">
        <w:tc>
          <w:tcPr>
            <w:tcW w:w="2667" w:type="pct"/>
            <w:hideMark/>
          </w:tcPr>
          <w:p w14:paraId="01874E92"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P-III-P, U/mL</w:t>
            </w:r>
          </w:p>
        </w:tc>
        <w:tc>
          <w:tcPr>
            <w:tcW w:w="2333" w:type="pct"/>
            <w:hideMark/>
          </w:tcPr>
          <w:p w14:paraId="3EDDEBF0" w14:textId="47B88B5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0.7 (0.28</w:t>
            </w:r>
            <w:r>
              <w:rPr>
                <w:rFonts w:ascii="Book Antiqua" w:hAnsi="Book Antiqua" w:cs="Times New Roman"/>
                <w:bCs/>
              </w:rPr>
              <w:t>-</w:t>
            </w:r>
            <w:r w:rsidRPr="00735F22">
              <w:rPr>
                <w:rFonts w:ascii="Book Antiqua" w:hAnsi="Book Antiqua" w:cs="Times New Roman"/>
                <w:bCs/>
              </w:rPr>
              <w:t>3.8)</w:t>
            </w:r>
          </w:p>
        </w:tc>
      </w:tr>
      <w:tr w:rsidR="00735F22" w:rsidRPr="00735F22" w14:paraId="156125C0" w14:textId="77777777" w:rsidTr="007529D4">
        <w:tc>
          <w:tcPr>
            <w:tcW w:w="2667" w:type="pct"/>
            <w:hideMark/>
          </w:tcPr>
          <w:p w14:paraId="43EB09E7" w14:textId="435F973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Type </w:t>
            </w:r>
            <w:r w:rsidR="00583A7F">
              <w:rPr>
                <w:rFonts w:ascii="Book Antiqua" w:hAnsi="Book Antiqua" w:cs="Times New Roman"/>
                <w:bCs/>
              </w:rPr>
              <w:t>IV</w:t>
            </w:r>
            <w:r w:rsidRPr="00735F22">
              <w:rPr>
                <w:rFonts w:ascii="Book Antiqua" w:hAnsi="Book Antiqua" w:cs="Times New Roman"/>
                <w:bCs/>
              </w:rPr>
              <w:t xml:space="preserve"> collagen 7S, ng/mL</w:t>
            </w:r>
          </w:p>
        </w:tc>
        <w:tc>
          <w:tcPr>
            <w:tcW w:w="2333" w:type="pct"/>
            <w:hideMark/>
          </w:tcPr>
          <w:p w14:paraId="2AE7B03F" w14:textId="15D9EF19"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4.1 (1.9</w:t>
            </w:r>
            <w:r>
              <w:rPr>
                <w:rFonts w:ascii="Book Antiqua" w:hAnsi="Book Antiqua" w:cs="Times New Roman"/>
                <w:bCs/>
              </w:rPr>
              <w:t>-</w:t>
            </w:r>
            <w:r w:rsidRPr="00735F22">
              <w:rPr>
                <w:rFonts w:ascii="Book Antiqua" w:hAnsi="Book Antiqua" w:cs="Times New Roman"/>
                <w:bCs/>
              </w:rPr>
              <w:t>15)</w:t>
            </w:r>
          </w:p>
        </w:tc>
      </w:tr>
      <w:tr w:rsidR="00735F22" w:rsidRPr="00735F22" w14:paraId="0412BD67" w14:textId="77777777" w:rsidTr="007529D4">
        <w:tc>
          <w:tcPr>
            <w:tcW w:w="2667" w:type="pct"/>
            <w:hideMark/>
          </w:tcPr>
          <w:p w14:paraId="3D492987" w14:textId="104D6924"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Hyaluronic acid, ng/mL</w:t>
            </w:r>
          </w:p>
        </w:tc>
        <w:tc>
          <w:tcPr>
            <w:tcW w:w="2333" w:type="pct"/>
            <w:hideMark/>
          </w:tcPr>
          <w:p w14:paraId="17AA873C" w14:textId="6C23B026"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28 (9</w:t>
            </w:r>
            <w:r>
              <w:rPr>
                <w:rFonts w:ascii="Book Antiqua" w:hAnsi="Book Antiqua" w:cs="Times New Roman"/>
                <w:bCs/>
              </w:rPr>
              <w:t>-</w:t>
            </w:r>
            <w:r w:rsidRPr="00735F22">
              <w:rPr>
                <w:rFonts w:ascii="Book Antiqua" w:hAnsi="Book Antiqua" w:cs="Times New Roman"/>
                <w:bCs/>
              </w:rPr>
              <w:t>619)</w:t>
            </w:r>
          </w:p>
        </w:tc>
      </w:tr>
      <w:tr w:rsidR="00735F22" w:rsidRPr="00735F22" w14:paraId="600D17FC" w14:textId="77777777" w:rsidTr="007529D4">
        <w:tc>
          <w:tcPr>
            <w:tcW w:w="2667" w:type="pct"/>
            <w:tcBorders>
              <w:bottom w:val="single" w:sz="4" w:space="0" w:color="auto"/>
            </w:tcBorders>
          </w:tcPr>
          <w:p w14:paraId="5894D9D1" w14:textId="321A857F"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Fibrosis-4 index</w:t>
            </w:r>
          </w:p>
        </w:tc>
        <w:tc>
          <w:tcPr>
            <w:tcW w:w="2333" w:type="pct"/>
            <w:tcBorders>
              <w:bottom w:val="single" w:sz="4" w:space="0" w:color="auto"/>
            </w:tcBorders>
          </w:tcPr>
          <w:p w14:paraId="6174FCA4" w14:textId="1CB3E2EB"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1.29 (0.17</w:t>
            </w:r>
            <w:r>
              <w:rPr>
                <w:rFonts w:ascii="Book Antiqua" w:hAnsi="Book Antiqua" w:cs="Times New Roman"/>
                <w:bCs/>
              </w:rPr>
              <w:t>-</w:t>
            </w:r>
            <w:r w:rsidRPr="00735F22">
              <w:rPr>
                <w:rFonts w:ascii="Book Antiqua" w:hAnsi="Book Antiqua" w:cs="Times New Roman"/>
                <w:bCs/>
              </w:rPr>
              <w:t>1.29)</w:t>
            </w:r>
          </w:p>
        </w:tc>
      </w:tr>
    </w:tbl>
    <w:p w14:paraId="5D4FD849" w14:textId="6F800D66" w:rsidR="007529D4" w:rsidRDefault="007529D4">
      <w:pPr>
        <w:spacing w:line="360" w:lineRule="auto"/>
        <w:jc w:val="both"/>
        <w:rPr>
          <w:rFonts w:ascii="Book Antiqua" w:hAnsi="Book Antiqua"/>
        </w:rPr>
      </w:pPr>
      <w:r w:rsidRPr="007529D4">
        <w:rPr>
          <w:rFonts w:ascii="Book Antiqua" w:hAnsi="Book Antiqua"/>
        </w:rPr>
        <w:t xml:space="preserve">NAFLD: </w:t>
      </w:r>
      <w:r>
        <w:rPr>
          <w:rFonts w:ascii="Book Antiqua" w:hAnsi="Book Antiqua"/>
        </w:rPr>
        <w:t>N</w:t>
      </w:r>
      <w:r w:rsidRPr="007529D4">
        <w:rPr>
          <w:rFonts w:ascii="Book Antiqua" w:hAnsi="Book Antiqua"/>
        </w:rPr>
        <w:t>on-alcoholic fatty liver disease</w:t>
      </w:r>
      <w:r>
        <w:rPr>
          <w:rFonts w:ascii="Book Antiqua" w:hAnsi="Book Antiqua"/>
        </w:rPr>
        <w:t>;</w:t>
      </w:r>
      <w:r w:rsidRPr="007529D4">
        <w:rPr>
          <w:rFonts w:ascii="Book Antiqua" w:hAnsi="Book Antiqua"/>
        </w:rPr>
        <w:t xml:space="preserve"> ALT: </w:t>
      </w:r>
      <w:r>
        <w:rPr>
          <w:rFonts w:ascii="Book Antiqua" w:hAnsi="Book Antiqua"/>
        </w:rPr>
        <w:t>A</w:t>
      </w:r>
      <w:r w:rsidRPr="007529D4">
        <w:rPr>
          <w:rFonts w:ascii="Book Antiqua" w:hAnsi="Book Antiqua"/>
        </w:rPr>
        <w:t>lanine aminotransferase</w:t>
      </w:r>
      <w:r>
        <w:rPr>
          <w:rFonts w:ascii="Book Antiqua" w:hAnsi="Book Antiqua"/>
        </w:rPr>
        <w:t>;</w:t>
      </w:r>
      <w:r w:rsidRPr="007529D4">
        <w:rPr>
          <w:rFonts w:ascii="Book Antiqua" w:hAnsi="Book Antiqua"/>
        </w:rPr>
        <w:t xml:space="preserve"> AST: </w:t>
      </w:r>
      <w:r>
        <w:rPr>
          <w:rFonts w:ascii="Book Antiqua" w:hAnsi="Book Antiqua"/>
        </w:rPr>
        <w:t>A</w:t>
      </w:r>
      <w:r w:rsidRPr="007529D4">
        <w:rPr>
          <w:rFonts w:ascii="Book Antiqua" w:hAnsi="Book Antiqua"/>
        </w:rPr>
        <w:t>spartate aminotransferase</w:t>
      </w:r>
      <w:r>
        <w:rPr>
          <w:rFonts w:ascii="Book Antiqua" w:hAnsi="Book Antiqua"/>
        </w:rPr>
        <w:t>;</w:t>
      </w:r>
      <w:r w:rsidRPr="007529D4">
        <w:rPr>
          <w:rFonts w:ascii="Book Antiqua" w:hAnsi="Book Antiqua"/>
        </w:rPr>
        <w:t xml:space="preserve"> γ-GTP: </w:t>
      </w:r>
      <w:r>
        <w:rPr>
          <w:rFonts w:ascii="Book Antiqua" w:hAnsi="Book Antiqua"/>
        </w:rPr>
        <w:t>G</w:t>
      </w:r>
      <w:r w:rsidRPr="007529D4">
        <w:rPr>
          <w:rFonts w:ascii="Book Antiqua" w:hAnsi="Book Antiqua"/>
        </w:rPr>
        <w:t>amma-glutamyl transpeptidase</w:t>
      </w:r>
      <w:r>
        <w:rPr>
          <w:rFonts w:ascii="Book Antiqua" w:hAnsi="Book Antiqua"/>
        </w:rPr>
        <w:t>;</w:t>
      </w:r>
      <w:r w:rsidRPr="007529D4">
        <w:rPr>
          <w:rFonts w:ascii="Book Antiqua" w:hAnsi="Book Antiqua"/>
        </w:rPr>
        <w:t xml:space="preserve"> HOMA-IR: </w:t>
      </w:r>
      <w:r>
        <w:rPr>
          <w:rFonts w:ascii="Book Antiqua" w:hAnsi="Book Antiqua"/>
        </w:rPr>
        <w:lastRenderedPageBreak/>
        <w:t>H</w:t>
      </w:r>
      <w:r w:rsidRPr="007529D4">
        <w:rPr>
          <w:rFonts w:ascii="Book Antiqua" w:hAnsi="Book Antiqua"/>
        </w:rPr>
        <w:t>omeostatic model assessment of insulin resistance</w:t>
      </w:r>
      <w:r>
        <w:rPr>
          <w:rFonts w:ascii="Book Antiqua" w:hAnsi="Book Antiqua"/>
        </w:rPr>
        <w:t>;</w:t>
      </w:r>
      <w:r w:rsidRPr="007529D4">
        <w:rPr>
          <w:rFonts w:ascii="Book Antiqua" w:hAnsi="Book Antiqua"/>
        </w:rPr>
        <w:t xml:space="preserve"> CRP: C-reactive protein</w:t>
      </w:r>
      <w:r>
        <w:rPr>
          <w:rFonts w:ascii="Book Antiqua" w:hAnsi="Book Antiqua"/>
        </w:rPr>
        <w:t>;</w:t>
      </w:r>
      <w:r w:rsidRPr="007529D4">
        <w:rPr>
          <w:rFonts w:ascii="Book Antiqua" w:hAnsi="Book Antiqua"/>
        </w:rPr>
        <w:t xml:space="preserve"> P-III-P: </w:t>
      </w:r>
      <w:r>
        <w:rPr>
          <w:rFonts w:ascii="Book Antiqua" w:hAnsi="Book Antiqua"/>
        </w:rPr>
        <w:t>P</w:t>
      </w:r>
      <w:r w:rsidRPr="007529D4">
        <w:rPr>
          <w:rFonts w:ascii="Book Antiqua" w:hAnsi="Book Antiqua"/>
        </w:rPr>
        <w:t>rocollagen-III peptide.</w:t>
      </w:r>
    </w:p>
    <w:p w14:paraId="759BA7C4" w14:textId="5AAE6EFA" w:rsidR="00735F22" w:rsidRDefault="007529D4">
      <w:pPr>
        <w:spacing w:line="360" w:lineRule="auto"/>
        <w:jc w:val="both"/>
        <w:rPr>
          <w:rFonts w:ascii="Book Antiqua" w:hAnsi="Book Antiqua"/>
          <w:b/>
          <w:bCs/>
        </w:rPr>
      </w:pPr>
      <w:r>
        <w:rPr>
          <w:rFonts w:ascii="Book Antiqua" w:hAnsi="Book Antiqua"/>
        </w:rPr>
        <w:br w:type="page"/>
      </w:r>
      <w:r w:rsidRPr="007529D4">
        <w:rPr>
          <w:rFonts w:ascii="Book Antiqua" w:hAnsi="Book Antiqua"/>
          <w:b/>
          <w:bCs/>
        </w:rPr>
        <w:lastRenderedPageBreak/>
        <w:t>Table 2 Summary of the causes of death</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7529D4" w:rsidRPr="00F10834" w14:paraId="0CF7F662" w14:textId="77777777" w:rsidTr="00556F0C">
        <w:tc>
          <w:tcPr>
            <w:tcW w:w="4360" w:type="dxa"/>
            <w:tcBorders>
              <w:top w:val="single" w:sz="4" w:space="0" w:color="auto"/>
              <w:bottom w:val="single" w:sz="4" w:space="0" w:color="auto"/>
            </w:tcBorders>
          </w:tcPr>
          <w:p w14:paraId="466EBAF0" w14:textId="77777777" w:rsidR="007529D4" w:rsidRPr="00F10834" w:rsidRDefault="007529D4" w:rsidP="007529D4">
            <w:pPr>
              <w:spacing w:line="360" w:lineRule="auto"/>
              <w:jc w:val="both"/>
              <w:rPr>
                <w:rFonts w:ascii="Book Antiqua" w:hAnsi="Book Antiqua" w:cs="Times New Roman"/>
                <w:b/>
              </w:rPr>
            </w:pPr>
          </w:p>
        </w:tc>
        <w:tc>
          <w:tcPr>
            <w:tcW w:w="4360" w:type="dxa"/>
            <w:tcBorders>
              <w:top w:val="single" w:sz="4" w:space="0" w:color="auto"/>
              <w:bottom w:val="single" w:sz="4" w:space="0" w:color="auto"/>
            </w:tcBorders>
          </w:tcPr>
          <w:p w14:paraId="2106625B" w14:textId="49B20923" w:rsidR="007529D4" w:rsidRPr="00F10834" w:rsidRDefault="00BC3925" w:rsidP="00BC3925">
            <w:pPr>
              <w:spacing w:line="360" w:lineRule="auto"/>
              <w:jc w:val="both"/>
              <w:rPr>
                <w:rFonts w:ascii="Book Antiqua" w:hAnsi="Book Antiqua" w:cs="Times New Roman"/>
                <w:b/>
              </w:rPr>
            </w:pPr>
            <w:bookmarkStart w:id="2" w:name="_GoBack"/>
            <w:proofErr w:type="gramStart"/>
            <w:r w:rsidRPr="00BC3925">
              <w:rPr>
                <w:rFonts w:ascii="Book Antiqua" w:hAnsi="Book Antiqua" w:cs="Times New Roman"/>
                <w:b/>
                <w:bCs/>
                <w:i/>
              </w:rPr>
              <w:t>n</w:t>
            </w:r>
            <w:proofErr w:type="gramEnd"/>
            <w:r w:rsidRPr="00BC3925">
              <w:rPr>
                <w:rFonts w:ascii="Book Antiqua" w:hAnsi="Book Antiqua" w:cs="Times New Roman"/>
                <w:b/>
                <w:bCs/>
                <w:i/>
              </w:rPr>
              <w:t xml:space="preserve"> </w:t>
            </w:r>
            <w:bookmarkEnd w:id="2"/>
            <w:r w:rsidR="007529D4">
              <w:rPr>
                <w:rFonts w:ascii="Book Antiqua" w:hAnsi="Book Antiqua" w:cs="Times New Roman"/>
                <w:b/>
                <w:bCs/>
              </w:rPr>
              <w:t>(%)</w:t>
            </w:r>
          </w:p>
        </w:tc>
      </w:tr>
      <w:tr w:rsidR="007529D4" w:rsidRPr="00F10834" w14:paraId="791B6617" w14:textId="77777777" w:rsidTr="00556F0C">
        <w:trPr>
          <w:trHeight w:val="70"/>
        </w:trPr>
        <w:tc>
          <w:tcPr>
            <w:tcW w:w="4360" w:type="dxa"/>
            <w:tcBorders>
              <w:top w:val="single" w:sz="4" w:space="0" w:color="auto"/>
            </w:tcBorders>
            <w:hideMark/>
          </w:tcPr>
          <w:p w14:paraId="1FB3BF5B"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All deaths</w:t>
            </w:r>
          </w:p>
        </w:tc>
        <w:tc>
          <w:tcPr>
            <w:tcW w:w="4360" w:type="dxa"/>
            <w:tcBorders>
              <w:top w:val="single" w:sz="4" w:space="0" w:color="auto"/>
            </w:tcBorders>
            <w:hideMark/>
          </w:tcPr>
          <w:p w14:paraId="4DC0D0E9" w14:textId="696E7E66"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13 (2.7)</w:t>
            </w:r>
          </w:p>
        </w:tc>
      </w:tr>
      <w:tr w:rsidR="007529D4" w:rsidRPr="00F10834" w14:paraId="06FB418C" w14:textId="77777777" w:rsidTr="00556F0C">
        <w:trPr>
          <w:trHeight w:val="483"/>
        </w:trPr>
        <w:tc>
          <w:tcPr>
            <w:tcW w:w="4360" w:type="dxa"/>
            <w:hideMark/>
          </w:tcPr>
          <w:p w14:paraId="2B286C54"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Liver-related events</w:t>
            </w:r>
          </w:p>
        </w:tc>
        <w:tc>
          <w:tcPr>
            <w:tcW w:w="4360" w:type="dxa"/>
            <w:hideMark/>
          </w:tcPr>
          <w:p w14:paraId="48D0A29D" w14:textId="4EF40045"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7 (1.4)</w:t>
            </w:r>
          </w:p>
        </w:tc>
      </w:tr>
      <w:tr w:rsidR="007529D4" w:rsidRPr="00F10834" w14:paraId="6B3C442B" w14:textId="77777777" w:rsidTr="00556F0C">
        <w:trPr>
          <w:trHeight w:val="483"/>
        </w:trPr>
        <w:tc>
          <w:tcPr>
            <w:tcW w:w="4360" w:type="dxa"/>
            <w:hideMark/>
          </w:tcPr>
          <w:p w14:paraId="700E4989" w14:textId="77777777"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HCC + liver failure</w:t>
            </w:r>
          </w:p>
        </w:tc>
        <w:tc>
          <w:tcPr>
            <w:tcW w:w="4360" w:type="dxa"/>
            <w:hideMark/>
          </w:tcPr>
          <w:p w14:paraId="6F27F704"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3</w:t>
            </w:r>
          </w:p>
        </w:tc>
      </w:tr>
      <w:tr w:rsidR="007529D4" w:rsidRPr="00F10834" w14:paraId="4FAA8009" w14:textId="77777777" w:rsidTr="00556F0C">
        <w:trPr>
          <w:trHeight w:val="483"/>
        </w:trPr>
        <w:tc>
          <w:tcPr>
            <w:tcW w:w="4360" w:type="dxa"/>
            <w:hideMark/>
          </w:tcPr>
          <w:p w14:paraId="02101F3C" w14:textId="77777777"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HCC only</w:t>
            </w:r>
          </w:p>
        </w:tc>
        <w:tc>
          <w:tcPr>
            <w:tcW w:w="4360" w:type="dxa"/>
            <w:hideMark/>
          </w:tcPr>
          <w:p w14:paraId="3F8AECC8"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w:t>
            </w:r>
          </w:p>
        </w:tc>
      </w:tr>
      <w:tr w:rsidR="007529D4" w:rsidRPr="00F10834" w14:paraId="4C6AC161" w14:textId="77777777" w:rsidTr="00556F0C">
        <w:trPr>
          <w:trHeight w:val="483"/>
        </w:trPr>
        <w:tc>
          <w:tcPr>
            <w:tcW w:w="4360" w:type="dxa"/>
            <w:hideMark/>
          </w:tcPr>
          <w:p w14:paraId="5AFEBFC5" w14:textId="77777777"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Liver failure</w:t>
            </w:r>
          </w:p>
        </w:tc>
        <w:tc>
          <w:tcPr>
            <w:tcW w:w="4360" w:type="dxa"/>
            <w:hideMark/>
          </w:tcPr>
          <w:p w14:paraId="7A0FD4FC"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3</w:t>
            </w:r>
          </w:p>
        </w:tc>
      </w:tr>
      <w:tr w:rsidR="007529D4" w:rsidRPr="00F10834" w14:paraId="27C754E6" w14:textId="77777777" w:rsidTr="00556F0C">
        <w:trPr>
          <w:trHeight w:val="483"/>
        </w:trPr>
        <w:tc>
          <w:tcPr>
            <w:tcW w:w="4360" w:type="dxa"/>
            <w:hideMark/>
          </w:tcPr>
          <w:p w14:paraId="36898D91"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Cerebrovascular disease</w:t>
            </w:r>
          </w:p>
        </w:tc>
        <w:tc>
          <w:tcPr>
            <w:tcW w:w="4360" w:type="dxa"/>
            <w:hideMark/>
          </w:tcPr>
          <w:p w14:paraId="5608B9A8" w14:textId="01BB4285"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 (0.2)</w:t>
            </w:r>
          </w:p>
        </w:tc>
      </w:tr>
      <w:tr w:rsidR="007529D4" w:rsidRPr="00F10834" w14:paraId="5E3542AE" w14:textId="77777777" w:rsidTr="00556F0C">
        <w:trPr>
          <w:trHeight w:val="483"/>
        </w:trPr>
        <w:tc>
          <w:tcPr>
            <w:tcW w:w="4360" w:type="dxa"/>
            <w:hideMark/>
          </w:tcPr>
          <w:p w14:paraId="2510C07E"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Non-liver cancers</w:t>
            </w:r>
          </w:p>
        </w:tc>
        <w:tc>
          <w:tcPr>
            <w:tcW w:w="4360" w:type="dxa"/>
            <w:hideMark/>
          </w:tcPr>
          <w:p w14:paraId="0EB55973" w14:textId="07F38791"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4 (0.8)</w:t>
            </w:r>
          </w:p>
        </w:tc>
      </w:tr>
      <w:tr w:rsidR="007529D4" w:rsidRPr="00F10834" w14:paraId="52DAC49C" w14:textId="77777777" w:rsidTr="00556F0C">
        <w:trPr>
          <w:trHeight w:val="483"/>
        </w:trPr>
        <w:tc>
          <w:tcPr>
            <w:tcW w:w="4360" w:type="dxa"/>
            <w:hideMark/>
          </w:tcPr>
          <w:p w14:paraId="3C4BE600" w14:textId="3649C720"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Pancreatic cancer</w:t>
            </w:r>
          </w:p>
        </w:tc>
        <w:tc>
          <w:tcPr>
            <w:tcW w:w="4360" w:type="dxa"/>
            <w:hideMark/>
          </w:tcPr>
          <w:p w14:paraId="46C37134"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2</w:t>
            </w:r>
          </w:p>
        </w:tc>
      </w:tr>
      <w:tr w:rsidR="007529D4" w:rsidRPr="00F10834" w14:paraId="4F8CBF59" w14:textId="77777777" w:rsidTr="00556F0C">
        <w:trPr>
          <w:trHeight w:val="483"/>
        </w:trPr>
        <w:tc>
          <w:tcPr>
            <w:tcW w:w="4360" w:type="dxa"/>
            <w:hideMark/>
          </w:tcPr>
          <w:p w14:paraId="2DB58404" w14:textId="06E3B9F8"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Bile duct cancer</w:t>
            </w:r>
          </w:p>
        </w:tc>
        <w:tc>
          <w:tcPr>
            <w:tcW w:w="4360" w:type="dxa"/>
            <w:hideMark/>
          </w:tcPr>
          <w:p w14:paraId="27966426"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2</w:t>
            </w:r>
          </w:p>
        </w:tc>
      </w:tr>
      <w:tr w:rsidR="007529D4" w:rsidRPr="00F10834" w14:paraId="762A7A6D" w14:textId="77777777" w:rsidTr="00556F0C">
        <w:trPr>
          <w:trHeight w:val="520"/>
        </w:trPr>
        <w:tc>
          <w:tcPr>
            <w:tcW w:w="4360" w:type="dxa"/>
            <w:tcBorders>
              <w:bottom w:val="single" w:sz="4" w:space="0" w:color="auto"/>
            </w:tcBorders>
            <w:hideMark/>
          </w:tcPr>
          <w:p w14:paraId="6595A65A"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Infection</w:t>
            </w:r>
          </w:p>
        </w:tc>
        <w:tc>
          <w:tcPr>
            <w:tcW w:w="4360" w:type="dxa"/>
            <w:tcBorders>
              <w:bottom w:val="single" w:sz="4" w:space="0" w:color="auto"/>
            </w:tcBorders>
            <w:hideMark/>
          </w:tcPr>
          <w:p w14:paraId="391BAF8D" w14:textId="24A46F5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 (0.2)</w:t>
            </w:r>
          </w:p>
        </w:tc>
      </w:tr>
    </w:tbl>
    <w:p w14:paraId="70E456C4" w14:textId="752CA455" w:rsidR="005A1B0D" w:rsidRDefault="00556F0C">
      <w:pPr>
        <w:spacing w:line="360" w:lineRule="auto"/>
        <w:jc w:val="both"/>
        <w:rPr>
          <w:rFonts w:ascii="Book Antiqua" w:hAnsi="Book Antiqua"/>
        </w:rPr>
      </w:pPr>
      <w:r w:rsidRPr="00556F0C">
        <w:rPr>
          <w:rFonts w:ascii="Book Antiqua" w:hAnsi="Book Antiqua"/>
        </w:rPr>
        <w:t xml:space="preserve">HCC: </w:t>
      </w:r>
      <w:r>
        <w:rPr>
          <w:rFonts w:ascii="Book Antiqua" w:hAnsi="Book Antiqua"/>
        </w:rPr>
        <w:t>H</w:t>
      </w:r>
      <w:r w:rsidRPr="00556F0C">
        <w:rPr>
          <w:rFonts w:ascii="Book Antiqua" w:hAnsi="Book Antiqua"/>
        </w:rPr>
        <w:t>epatocellular carcinoma</w:t>
      </w:r>
      <w:r>
        <w:rPr>
          <w:rFonts w:ascii="Book Antiqua" w:hAnsi="Book Antiqua"/>
        </w:rPr>
        <w:t>.</w:t>
      </w:r>
    </w:p>
    <w:p w14:paraId="780BBBB2" w14:textId="54A05755" w:rsidR="007529D4" w:rsidRDefault="005A1B0D">
      <w:pPr>
        <w:spacing w:line="360" w:lineRule="auto"/>
        <w:jc w:val="both"/>
        <w:rPr>
          <w:rFonts w:ascii="Book Antiqua" w:hAnsi="Book Antiqua"/>
          <w:b/>
          <w:bCs/>
        </w:rPr>
      </w:pPr>
      <w:r>
        <w:rPr>
          <w:rFonts w:ascii="Book Antiqua" w:hAnsi="Book Antiqua"/>
        </w:rPr>
        <w:br w:type="page"/>
      </w:r>
      <w:r w:rsidRPr="00FF3060">
        <w:rPr>
          <w:rFonts w:ascii="Book Antiqua" w:hAnsi="Book Antiqua"/>
          <w:b/>
          <w:bCs/>
        </w:rPr>
        <w:lastRenderedPageBreak/>
        <w:t>Table 3 Factors associated with mortality among the patients with non-alcoholic fatty liver disease (</w:t>
      </w:r>
      <w:r w:rsidRPr="00FF3060">
        <w:rPr>
          <w:rFonts w:ascii="Book Antiqua" w:hAnsi="Book Antiqua"/>
          <w:b/>
          <w:bCs/>
          <w:i/>
          <w:iCs/>
        </w:rPr>
        <w:t>n</w:t>
      </w:r>
      <w:r w:rsidR="00FF3060" w:rsidRPr="00FF3060">
        <w:rPr>
          <w:rFonts w:ascii="Book Antiqua" w:hAnsi="Book Antiqua"/>
          <w:b/>
          <w:bCs/>
        </w:rPr>
        <w:t xml:space="preserve"> </w:t>
      </w:r>
      <w:r w:rsidRPr="00FF3060">
        <w:rPr>
          <w:rFonts w:ascii="Book Antiqua" w:hAnsi="Book Antiqua"/>
          <w:b/>
          <w:bCs/>
        </w:rPr>
        <w:t>=</w:t>
      </w:r>
      <w:r w:rsidR="00FF3060" w:rsidRPr="00FF3060">
        <w:rPr>
          <w:rFonts w:ascii="Book Antiqua" w:hAnsi="Book Antiqua"/>
          <w:b/>
          <w:bCs/>
        </w:rPr>
        <w:t xml:space="preserve"> </w:t>
      </w:r>
      <w:r w:rsidRPr="00FF3060">
        <w:rPr>
          <w:rFonts w:ascii="Book Antiqua" w:hAnsi="Book Antiqua"/>
          <w:b/>
          <w:bCs/>
        </w:rPr>
        <w:t>489)</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1688"/>
        <w:gridCol w:w="1688"/>
        <w:gridCol w:w="1957"/>
        <w:gridCol w:w="1377"/>
      </w:tblGrid>
      <w:tr w:rsidR="00FF3060" w:rsidRPr="00FF3060" w14:paraId="4DB47E13" w14:textId="77777777" w:rsidTr="00FF3060">
        <w:tc>
          <w:tcPr>
            <w:tcW w:w="1496" w:type="pct"/>
            <w:tcBorders>
              <w:top w:val="single" w:sz="4" w:space="0" w:color="auto"/>
              <w:bottom w:val="single" w:sz="4" w:space="0" w:color="auto"/>
            </w:tcBorders>
            <w:shd w:val="clear" w:color="auto" w:fill="auto"/>
          </w:tcPr>
          <w:p w14:paraId="6B84FB3B" w14:textId="77777777" w:rsidR="00FF3060" w:rsidRPr="00FF3060" w:rsidRDefault="00FF3060" w:rsidP="00FF3060">
            <w:pPr>
              <w:spacing w:line="360" w:lineRule="auto"/>
              <w:jc w:val="both"/>
              <w:rPr>
                <w:rFonts w:ascii="Book Antiqua" w:hAnsi="Book Antiqua" w:cs="Times New Roman"/>
                <w:b/>
              </w:rPr>
            </w:pPr>
          </w:p>
        </w:tc>
        <w:tc>
          <w:tcPr>
            <w:tcW w:w="881" w:type="pct"/>
            <w:tcBorders>
              <w:top w:val="single" w:sz="4" w:space="0" w:color="auto"/>
              <w:bottom w:val="single" w:sz="4" w:space="0" w:color="auto"/>
            </w:tcBorders>
            <w:shd w:val="clear" w:color="auto" w:fill="auto"/>
          </w:tcPr>
          <w:p w14:paraId="67A6FF24" w14:textId="77777777" w:rsidR="00FF3060" w:rsidRPr="00FF3060" w:rsidRDefault="00FF3060" w:rsidP="00FF3060">
            <w:pPr>
              <w:spacing w:line="360" w:lineRule="auto"/>
              <w:jc w:val="both"/>
              <w:rPr>
                <w:rFonts w:ascii="Book Antiqua" w:hAnsi="Book Antiqua" w:cs="Times New Roman"/>
                <w:b/>
                <w:bCs/>
              </w:rPr>
            </w:pPr>
            <w:r w:rsidRPr="00FF3060">
              <w:rPr>
                <w:rFonts w:ascii="Book Antiqua" w:hAnsi="Book Antiqua" w:cs="Times New Roman"/>
                <w:b/>
                <w:bCs/>
              </w:rPr>
              <w:t>AUROC</w:t>
            </w:r>
          </w:p>
        </w:tc>
        <w:tc>
          <w:tcPr>
            <w:tcW w:w="881" w:type="pct"/>
            <w:tcBorders>
              <w:top w:val="single" w:sz="4" w:space="0" w:color="auto"/>
              <w:bottom w:val="single" w:sz="4" w:space="0" w:color="auto"/>
            </w:tcBorders>
            <w:shd w:val="clear" w:color="auto" w:fill="auto"/>
          </w:tcPr>
          <w:p w14:paraId="0C96F9E6" w14:textId="77777777" w:rsidR="00FF3060" w:rsidRPr="00FF3060" w:rsidRDefault="00FF3060" w:rsidP="00FF3060">
            <w:pPr>
              <w:spacing w:line="360" w:lineRule="auto"/>
              <w:jc w:val="both"/>
              <w:rPr>
                <w:rFonts w:ascii="Book Antiqua" w:hAnsi="Book Antiqua" w:cs="Times New Roman"/>
                <w:b/>
              </w:rPr>
            </w:pPr>
            <w:r w:rsidRPr="00FF3060">
              <w:rPr>
                <w:rFonts w:ascii="Book Antiqua" w:hAnsi="Book Antiqua" w:cs="Times New Roman"/>
                <w:b/>
                <w:bCs/>
              </w:rPr>
              <w:t>Odds ratio</w:t>
            </w:r>
          </w:p>
        </w:tc>
        <w:tc>
          <w:tcPr>
            <w:tcW w:w="1022" w:type="pct"/>
            <w:tcBorders>
              <w:top w:val="single" w:sz="4" w:space="0" w:color="auto"/>
              <w:bottom w:val="single" w:sz="4" w:space="0" w:color="auto"/>
            </w:tcBorders>
            <w:shd w:val="clear" w:color="auto" w:fill="auto"/>
          </w:tcPr>
          <w:p w14:paraId="16FD9CA9" w14:textId="0C28CEE0" w:rsidR="00FF3060" w:rsidRPr="00FF3060" w:rsidRDefault="00FF3060" w:rsidP="00FF3060">
            <w:pPr>
              <w:spacing w:line="360" w:lineRule="auto"/>
              <w:jc w:val="both"/>
              <w:rPr>
                <w:rFonts w:ascii="Book Antiqua" w:hAnsi="Book Antiqua" w:cs="Times New Roman"/>
                <w:b/>
              </w:rPr>
            </w:pPr>
            <w:r w:rsidRPr="00FF3060">
              <w:rPr>
                <w:rFonts w:ascii="Book Antiqua" w:hAnsi="Book Antiqua" w:cs="Times New Roman"/>
                <w:b/>
                <w:bCs/>
              </w:rPr>
              <w:t>95%CI</w:t>
            </w:r>
          </w:p>
        </w:tc>
        <w:tc>
          <w:tcPr>
            <w:tcW w:w="719" w:type="pct"/>
            <w:tcBorders>
              <w:top w:val="single" w:sz="4" w:space="0" w:color="auto"/>
              <w:bottom w:val="single" w:sz="4" w:space="0" w:color="auto"/>
            </w:tcBorders>
            <w:shd w:val="clear" w:color="auto" w:fill="auto"/>
          </w:tcPr>
          <w:p w14:paraId="1A6FCA66" w14:textId="399DF310" w:rsidR="00FF3060" w:rsidRPr="00FF3060" w:rsidRDefault="00FF3060" w:rsidP="00FF3060">
            <w:pPr>
              <w:spacing w:line="360" w:lineRule="auto"/>
              <w:jc w:val="both"/>
              <w:rPr>
                <w:rFonts w:ascii="Book Antiqua" w:hAnsi="Book Antiqua" w:cs="Times New Roman"/>
                <w:b/>
              </w:rPr>
            </w:pPr>
            <w:r w:rsidRPr="00FF3060">
              <w:rPr>
                <w:rFonts w:ascii="Book Antiqua" w:hAnsi="Book Antiqua" w:cs="Times New Roman"/>
                <w:b/>
                <w:bCs/>
                <w:i/>
                <w:iCs/>
              </w:rPr>
              <w:t>P</w:t>
            </w:r>
            <w:r>
              <w:rPr>
                <w:rFonts w:ascii="Book Antiqua" w:hAnsi="Book Antiqua" w:cs="Times New Roman"/>
                <w:b/>
                <w:bCs/>
              </w:rPr>
              <w:t xml:space="preserve"> </w:t>
            </w:r>
            <w:r w:rsidRPr="00FF3060">
              <w:rPr>
                <w:rFonts w:ascii="Book Antiqua" w:hAnsi="Book Antiqua" w:cs="Times New Roman"/>
                <w:b/>
                <w:bCs/>
              </w:rPr>
              <w:t>value</w:t>
            </w:r>
          </w:p>
        </w:tc>
      </w:tr>
      <w:tr w:rsidR="00FF3060" w:rsidRPr="00FF3060" w14:paraId="5FAF4730" w14:textId="77777777" w:rsidTr="00FF3060">
        <w:trPr>
          <w:trHeight w:val="501"/>
        </w:trPr>
        <w:tc>
          <w:tcPr>
            <w:tcW w:w="1496" w:type="pct"/>
            <w:tcBorders>
              <w:top w:val="single" w:sz="4" w:space="0" w:color="auto"/>
            </w:tcBorders>
            <w:shd w:val="clear" w:color="auto" w:fill="auto"/>
            <w:hideMark/>
          </w:tcPr>
          <w:p w14:paraId="205582A2"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AST</w:t>
            </w:r>
          </w:p>
        </w:tc>
        <w:tc>
          <w:tcPr>
            <w:tcW w:w="881" w:type="pct"/>
            <w:tcBorders>
              <w:top w:val="single" w:sz="4" w:space="0" w:color="auto"/>
            </w:tcBorders>
            <w:shd w:val="clear" w:color="auto" w:fill="auto"/>
          </w:tcPr>
          <w:p w14:paraId="0B8151A1"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0.57</w:t>
            </w:r>
          </w:p>
        </w:tc>
        <w:tc>
          <w:tcPr>
            <w:tcW w:w="881" w:type="pct"/>
            <w:tcBorders>
              <w:top w:val="single" w:sz="4" w:space="0" w:color="auto"/>
            </w:tcBorders>
            <w:shd w:val="clear" w:color="auto" w:fill="auto"/>
            <w:hideMark/>
          </w:tcPr>
          <w:p w14:paraId="7B25399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1022" w:type="pct"/>
            <w:tcBorders>
              <w:top w:val="single" w:sz="4" w:space="0" w:color="auto"/>
            </w:tcBorders>
            <w:shd w:val="clear" w:color="auto" w:fill="auto"/>
            <w:hideMark/>
          </w:tcPr>
          <w:p w14:paraId="1B5F6086" w14:textId="6ECBE0BC"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0.99-1.02</w:t>
            </w:r>
          </w:p>
        </w:tc>
        <w:tc>
          <w:tcPr>
            <w:tcW w:w="719" w:type="pct"/>
            <w:tcBorders>
              <w:top w:val="single" w:sz="4" w:space="0" w:color="auto"/>
            </w:tcBorders>
            <w:shd w:val="clear" w:color="auto" w:fill="auto"/>
            <w:hideMark/>
          </w:tcPr>
          <w:p w14:paraId="3506C48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0.9841</w:t>
            </w:r>
          </w:p>
        </w:tc>
      </w:tr>
      <w:tr w:rsidR="00FF3060" w:rsidRPr="00FF3060" w14:paraId="3A22267A" w14:textId="77777777" w:rsidTr="00FF3060">
        <w:trPr>
          <w:trHeight w:val="483"/>
        </w:trPr>
        <w:tc>
          <w:tcPr>
            <w:tcW w:w="1496" w:type="pct"/>
            <w:shd w:val="clear" w:color="auto" w:fill="auto"/>
            <w:hideMark/>
          </w:tcPr>
          <w:p w14:paraId="624AE0D7"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ALT</w:t>
            </w:r>
          </w:p>
        </w:tc>
        <w:tc>
          <w:tcPr>
            <w:tcW w:w="881" w:type="pct"/>
            <w:shd w:val="clear" w:color="auto" w:fill="auto"/>
          </w:tcPr>
          <w:p w14:paraId="6DA0813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0.71</w:t>
            </w:r>
          </w:p>
        </w:tc>
        <w:tc>
          <w:tcPr>
            <w:tcW w:w="881" w:type="pct"/>
            <w:shd w:val="clear" w:color="auto" w:fill="auto"/>
            <w:hideMark/>
          </w:tcPr>
          <w:p w14:paraId="418A883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0.97</w:t>
            </w:r>
          </w:p>
        </w:tc>
        <w:tc>
          <w:tcPr>
            <w:tcW w:w="1022" w:type="pct"/>
            <w:shd w:val="clear" w:color="auto" w:fill="auto"/>
            <w:hideMark/>
          </w:tcPr>
          <w:p w14:paraId="7A980FB9" w14:textId="567B9C4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0.95</w:t>
            </w:r>
            <w:r>
              <w:rPr>
                <w:rFonts w:ascii="Book Antiqua" w:hAnsi="Book Antiqua" w:cs="Times New Roman"/>
                <w:bCs/>
              </w:rPr>
              <w:t>-</w:t>
            </w:r>
            <w:r w:rsidRPr="00FF3060">
              <w:rPr>
                <w:rFonts w:ascii="Book Antiqua" w:hAnsi="Book Antiqua" w:cs="Times New Roman"/>
                <w:bCs/>
              </w:rPr>
              <w:t>0.99</w:t>
            </w:r>
          </w:p>
        </w:tc>
        <w:tc>
          <w:tcPr>
            <w:tcW w:w="719" w:type="pct"/>
            <w:shd w:val="clear" w:color="auto" w:fill="auto"/>
            <w:hideMark/>
          </w:tcPr>
          <w:p w14:paraId="36A02E6F"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0.0026</w:t>
            </w:r>
          </w:p>
        </w:tc>
      </w:tr>
      <w:tr w:rsidR="00FF3060" w:rsidRPr="00FF3060" w14:paraId="2BF24AE4" w14:textId="77777777" w:rsidTr="00FF3060">
        <w:trPr>
          <w:trHeight w:val="483"/>
        </w:trPr>
        <w:tc>
          <w:tcPr>
            <w:tcW w:w="1496" w:type="pct"/>
            <w:shd w:val="clear" w:color="auto" w:fill="auto"/>
            <w:hideMark/>
          </w:tcPr>
          <w:p w14:paraId="4B2ADB1B"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γ-GTP</w:t>
            </w:r>
          </w:p>
        </w:tc>
        <w:tc>
          <w:tcPr>
            <w:tcW w:w="881" w:type="pct"/>
            <w:shd w:val="clear" w:color="auto" w:fill="auto"/>
          </w:tcPr>
          <w:p w14:paraId="46246AE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0.521</w:t>
            </w:r>
          </w:p>
        </w:tc>
        <w:tc>
          <w:tcPr>
            <w:tcW w:w="881" w:type="pct"/>
            <w:shd w:val="clear" w:color="auto" w:fill="auto"/>
            <w:hideMark/>
          </w:tcPr>
          <w:p w14:paraId="7E2626C9"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1022" w:type="pct"/>
            <w:shd w:val="clear" w:color="auto" w:fill="auto"/>
            <w:hideMark/>
          </w:tcPr>
          <w:p w14:paraId="7016788E" w14:textId="293EEF1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0.99-1.01</w:t>
            </w:r>
          </w:p>
        </w:tc>
        <w:tc>
          <w:tcPr>
            <w:tcW w:w="719" w:type="pct"/>
            <w:shd w:val="clear" w:color="auto" w:fill="auto"/>
            <w:hideMark/>
          </w:tcPr>
          <w:p w14:paraId="291BD620"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0.4259</w:t>
            </w:r>
          </w:p>
        </w:tc>
      </w:tr>
      <w:tr w:rsidR="00FF3060" w:rsidRPr="00FF3060" w14:paraId="358C3C35" w14:textId="77777777" w:rsidTr="00FF3060">
        <w:trPr>
          <w:trHeight w:val="483"/>
        </w:trPr>
        <w:tc>
          <w:tcPr>
            <w:tcW w:w="1496" w:type="pct"/>
            <w:shd w:val="clear" w:color="auto" w:fill="auto"/>
            <w:hideMark/>
          </w:tcPr>
          <w:p w14:paraId="092FC853" w14:textId="33C61A3D"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Platelet count</w:t>
            </w:r>
          </w:p>
        </w:tc>
        <w:tc>
          <w:tcPr>
            <w:tcW w:w="881" w:type="pct"/>
            <w:shd w:val="clear" w:color="auto" w:fill="auto"/>
          </w:tcPr>
          <w:p w14:paraId="0924D42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0.748</w:t>
            </w:r>
          </w:p>
        </w:tc>
        <w:tc>
          <w:tcPr>
            <w:tcW w:w="881" w:type="pct"/>
            <w:shd w:val="clear" w:color="auto" w:fill="auto"/>
            <w:hideMark/>
          </w:tcPr>
          <w:p w14:paraId="64EC626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0.78</w:t>
            </w:r>
          </w:p>
        </w:tc>
        <w:tc>
          <w:tcPr>
            <w:tcW w:w="1022" w:type="pct"/>
            <w:shd w:val="clear" w:color="auto" w:fill="auto"/>
            <w:hideMark/>
          </w:tcPr>
          <w:p w14:paraId="5B8872D1" w14:textId="6EEA597D"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0.69</w:t>
            </w:r>
            <w:r>
              <w:rPr>
                <w:rFonts w:ascii="Book Antiqua" w:hAnsi="Book Antiqua" w:cs="Times New Roman"/>
                <w:bCs/>
              </w:rPr>
              <w:t>-</w:t>
            </w:r>
            <w:r w:rsidRPr="00FF3060">
              <w:rPr>
                <w:rFonts w:ascii="Book Antiqua" w:hAnsi="Book Antiqua" w:cs="Times New Roman"/>
                <w:bCs/>
              </w:rPr>
              <w:t>0.88</w:t>
            </w:r>
          </w:p>
        </w:tc>
        <w:tc>
          <w:tcPr>
            <w:tcW w:w="719" w:type="pct"/>
            <w:shd w:val="clear" w:color="auto" w:fill="auto"/>
            <w:hideMark/>
          </w:tcPr>
          <w:p w14:paraId="1CA9B4DD" w14:textId="49D9E1A2"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r w:rsidR="00FF3060" w:rsidRPr="00FF3060" w14:paraId="451244AE" w14:textId="77777777" w:rsidTr="00FF3060">
        <w:trPr>
          <w:trHeight w:val="483"/>
        </w:trPr>
        <w:tc>
          <w:tcPr>
            <w:tcW w:w="1496" w:type="pct"/>
            <w:shd w:val="clear" w:color="auto" w:fill="auto"/>
            <w:hideMark/>
          </w:tcPr>
          <w:p w14:paraId="5FEE8063"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Total bilirubin</w:t>
            </w:r>
          </w:p>
        </w:tc>
        <w:tc>
          <w:tcPr>
            <w:tcW w:w="881" w:type="pct"/>
            <w:shd w:val="clear" w:color="auto" w:fill="auto"/>
          </w:tcPr>
          <w:p w14:paraId="5BC04C93"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0.588</w:t>
            </w:r>
          </w:p>
        </w:tc>
        <w:tc>
          <w:tcPr>
            <w:tcW w:w="881" w:type="pct"/>
            <w:shd w:val="clear" w:color="auto" w:fill="auto"/>
            <w:hideMark/>
          </w:tcPr>
          <w:p w14:paraId="7B4691D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1.10</w:t>
            </w:r>
          </w:p>
        </w:tc>
        <w:tc>
          <w:tcPr>
            <w:tcW w:w="1022" w:type="pct"/>
            <w:shd w:val="clear" w:color="auto" w:fill="auto"/>
            <w:hideMark/>
          </w:tcPr>
          <w:p w14:paraId="47896890" w14:textId="2507FB72"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0.55-1.39</w:t>
            </w:r>
          </w:p>
        </w:tc>
        <w:tc>
          <w:tcPr>
            <w:tcW w:w="719" w:type="pct"/>
            <w:shd w:val="clear" w:color="auto" w:fill="auto"/>
            <w:hideMark/>
          </w:tcPr>
          <w:p w14:paraId="7D7D2570"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0.3208</w:t>
            </w:r>
          </w:p>
        </w:tc>
      </w:tr>
      <w:tr w:rsidR="00FF3060" w:rsidRPr="00FF3060" w14:paraId="4E324E31" w14:textId="77777777" w:rsidTr="00FF3060">
        <w:trPr>
          <w:trHeight w:val="483"/>
        </w:trPr>
        <w:tc>
          <w:tcPr>
            <w:tcW w:w="1496" w:type="pct"/>
            <w:shd w:val="clear" w:color="auto" w:fill="auto"/>
            <w:hideMark/>
          </w:tcPr>
          <w:p w14:paraId="68E19EF3"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Total cholesterol</w:t>
            </w:r>
          </w:p>
        </w:tc>
        <w:tc>
          <w:tcPr>
            <w:tcW w:w="881" w:type="pct"/>
            <w:shd w:val="clear" w:color="auto" w:fill="auto"/>
          </w:tcPr>
          <w:p w14:paraId="329BC50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0.580</w:t>
            </w:r>
          </w:p>
        </w:tc>
        <w:tc>
          <w:tcPr>
            <w:tcW w:w="881" w:type="pct"/>
            <w:shd w:val="clear" w:color="auto" w:fill="auto"/>
            <w:hideMark/>
          </w:tcPr>
          <w:p w14:paraId="1CE20425"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0.99</w:t>
            </w:r>
          </w:p>
        </w:tc>
        <w:tc>
          <w:tcPr>
            <w:tcW w:w="1022" w:type="pct"/>
            <w:shd w:val="clear" w:color="auto" w:fill="auto"/>
            <w:hideMark/>
          </w:tcPr>
          <w:p w14:paraId="2EDD76FB" w14:textId="37100420"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0.98-1.01</w:t>
            </w:r>
          </w:p>
        </w:tc>
        <w:tc>
          <w:tcPr>
            <w:tcW w:w="719" w:type="pct"/>
            <w:shd w:val="clear" w:color="auto" w:fill="auto"/>
            <w:hideMark/>
          </w:tcPr>
          <w:p w14:paraId="012A48A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0.2</w:t>
            </w:r>
          </w:p>
        </w:tc>
      </w:tr>
      <w:tr w:rsidR="00FF3060" w:rsidRPr="00FF3060" w14:paraId="3BBB2D3E" w14:textId="77777777" w:rsidTr="00FF3060">
        <w:trPr>
          <w:trHeight w:val="483"/>
        </w:trPr>
        <w:tc>
          <w:tcPr>
            <w:tcW w:w="1496" w:type="pct"/>
            <w:shd w:val="clear" w:color="auto" w:fill="auto"/>
            <w:hideMark/>
          </w:tcPr>
          <w:p w14:paraId="7AEE7CA0"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Iron</w:t>
            </w:r>
          </w:p>
        </w:tc>
        <w:tc>
          <w:tcPr>
            <w:tcW w:w="881" w:type="pct"/>
            <w:shd w:val="clear" w:color="auto" w:fill="auto"/>
          </w:tcPr>
          <w:p w14:paraId="2A2FEEB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0.553</w:t>
            </w:r>
          </w:p>
        </w:tc>
        <w:tc>
          <w:tcPr>
            <w:tcW w:w="881" w:type="pct"/>
            <w:shd w:val="clear" w:color="auto" w:fill="auto"/>
            <w:hideMark/>
          </w:tcPr>
          <w:p w14:paraId="0BE61EE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1.01</w:t>
            </w:r>
          </w:p>
        </w:tc>
        <w:tc>
          <w:tcPr>
            <w:tcW w:w="1022" w:type="pct"/>
            <w:shd w:val="clear" w:color="auto" w:fill="auto"/>
            <w:hideMark/>
          </w:tcPr>
          <w:p w14:paraId="46644B5F" w14:textId="17AEBBC0"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1.02</w:t>
            </w:r>
          </w:p>
        </w:tc>
        <w:tc>
          <w:tcPr>
            <w:tcW w:w="719" w:type="pct"/>
            <w:shd w:val="clear" w:color="auto" w:fill="auto"/>
            <w:hideMark/>
          </w:tcPr>
          <w:p w14:paraId="10AC440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0.1801</w:t>
            </w:r>
          </w:p>
        </w:tc>
      </w:tr>
      <w:tr w:rsidR="00FF3060" w:rsidRPr="00FF3060" w14:paraId="4244EA8D" w14:textId="77777777" w:rsidTr="00FF3060">
        <w:trPr>
          <w:trHeight w:val="483"/>
        </w:trPr>
        <w:tc>
          <w:tcPr>
            <w:tcW w:w="1496" w:type="pct"/>
            <w:shd w:val="clear" w:color="auto" w:fill="auto"/>
            <w:hideMark/>
          </w:tcPr>
          <w:p w14:paraId="16C375CC"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Albumin</w:t>
            </w:r>
          </w:p>
        </w:tc>
        <w:tc>
          <w:tcPr>
            <w:tcW w:w="881" w:type="pct"/>
            <w:shd w:val="clear" w:color="auto" w:fill="auto"/>
          </w:tcPr>
          <w:p w14:paraId="638AD78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0.815</w:t>
            </w:r>
          </w:p>
        </w:tc>
        <w:tc>
          <w:tcPr>
            <w:tcW w:w="881" w:type="pct"/>
            <w:shd w:val="clear" w:color="auto" w:fill="auto"/>
            <w:hideMark/>
          </w:tcPr>
          <w:p w14:paraId="607ADCEF"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0.093</w:t>
            </w:r>
          </w:p>
        </w:tc>
        <w:tc>
          <w:tcPr>
            <w:tcW w:w="1022" w:type="pct"/>
            <w:shd w:val="clear" w:color="auto" w:fill="auto"/>
            <w:hideMark/>
          </w:tcPr>
          <w:p w14:paraId="647AB1EF" w14:textId="297BC74E"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0.04</w:t>
            </w:r>
            <w:r>
              <w:rPr>
                <w:rFonts w:ascii="Book Antiqua" w:hAnsi="Book Antiqua" w:cs="Times New Roman"/>
                <w:bCs/>
              </w:rPr>
              <w:t>-</w:t>
            </w:r>
            <w:r w:rsidRPr="00FF3060">
              <w:rPr>
                <w:rFonts w:ascii="Book Antiqua" w:hAnsi="Book Antiqua" w:cs="Times New Roman"/>
                <w:bCs/>
              </w:rPr>
              <w:t>0.20</w:t>
            </w:r>
          </w:p>
        </w:tc>
        <w:tc>
          <w:tcPr>
            <w:tcW w:w="719" w:type="pct"/>
            <w:shd w:val="clear" w:color="auto" w:fill="auto"/>
            <w:hideMark/>
          </w:tcPr>
          <w:p w14:paraId="52091A5B" w14:textId="46B1D706"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r w:rsidR="00FF3060" w:rsidRPr="00FF3060" w14:paraId="15348F2B" w14:textId="77777777" w:rsidTr="00FF3060">
        <w:trPr>
          <w:trHeight w:val="483"/>
        </w:trPr>
        <w:tc>
          <w:tcPr>
            <w:tcW w:w="1496" w:type="pct"/>
            <w:shd w:val="clear" w:color="auto" w:fill="auto"/>
            <w:hideMark/>
          </w:tcPr>
          <w:p w14:paraId="68E706BA"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Ferritin</w:t>
            </w:r>
          </w:p>
        </w:tc>
        <w:tc>
          <w:tcPr>
            <w:tcW w:w="881" w:type="pct"/>
            <w:shd w:val="clear" w:color="auto" w:fill="auto"/>
          </w:tcPr>
          <w:p w14:paraId="01F9EFC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0.527</w:t>
            </w:r>
          </w:p>
        </w:tc>
        <w:tc>
          <w:tcPr>
            <w:tcW w:w="881" w:type="pct"/>
            <w:shd w:val="clear" w:color="auto" w:fill="auto"/>
            <w:hideMark/>
          </w:tcPr>
          <w:p w14:paraId="6C716A5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1022" w:type="pct"/>
            <w:shd w:val="clear" w:color="auto" w:fill="auto"/>
            <w:hideMark/>
          </w:tcPr>
          <w:p w14:paraId="35C6F65D" w14:textId="5599637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1.00-1.00</w:t>
            </w:r>
          </w:p>
        </w:tc>
        <w:tc>
          <w:tcPr>
            <w:tcW w:w="719" w:type="pct"/>
            <w:shd w:val="clear" w:color="auto" w:fill="auto"/>
            <w:hideMark/>
          </w:tcPr>
          <w:p w14:paraId="2CE62C0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0.7651</w:t>
            </w:r>
          </w:p>
        </w:tc>
      </w:tr>
      <w:tr w:rsidR="00FF3060" w:rsidRPr="00FF3060" w14:paraId="26DA4688" w14:textId="77777777" w:rsidTr="00FF3060">
        <w:trPr>
          <w:trHeight w:val="483"/>
        </w:trPr>
        <w:tc>
          <w:tcPr>
            <w:tcW w:w="1496" w:type="pct"/>
            <w:shd w:val="clear" w:color="auto" w:fill="auto"/>
            <w:hideMark/>
          </w:tcPr>
          <w:p w14:paraId="1C65310D"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Leptin</w:t>
            </w:r>
          </w:p>
        </w:tc>
        <w:tc>
          <w:tcPr>
            <w:tcW w:w="881" w:type="pct"/>
            <w:shd w:val="clear" w:color="auto" w:fill="auto"/>
          </w:tcPr>
          <w:p w14:paraId="71177DB0"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0.565</w:t>
            </w:r>
          </w:p>
        </w:tc>
        <w:tc>
          <w:tcPr>
            <w:tcW w:w="881" w:type="pct"/>
            <w:shd w:val="clear" w:color="auto" w:fill="auto"/>
            <w:hideMark/>
          </w:tcPr>
          <w:p w14:paraId="2D3DAB1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1022" w:type="pct"/>
            <w:shd w:val="clear" w:color="auto" w:fill="auto"/>
            <w:hideMark/>
          </w:tcPr>
          <w:p w14:paraId="026CEFBB" w14:textId="761C2F9D"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0.94-1.06</w:t>
            </w:r>
          </w:p>
        </w:tc>
        <w:tc>
          <w:tcPr>
            <w:tcW w:w="719" w:type="pct"/>
            <w:shd w:val="clear" w:color="auto" w:fill="auto"/>
            <w:hideMark/>
          </w:tcPr>
          <w:p w14:paraId="28357BC7"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0.7441</w:t>
            </w:r>
          </w:p>
        </w:tc>
      </w:tr>
      <w:tr w:rsidR="00FF3060" w:rsidRPr="00FF3060" w14:paraId="6D33605D" w14:textId="77777777" w:rsidTr="00FF3060">
        <w:trPr>
          <w:trHeight w:val="483"/>
        </w:trPr>
        <w:tc>
          <w:tcPr>
            <w:tcW w:w="1496" w:type="pct"/>
            <w:shd w:val="clear" w:color="auto" w:fill="auto"/>
            <w:hideMark/>
          </w:tcPr>
          <w:p w14:paraId="1ED09398"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HOMA-IR</w:t>
            </w:r>
          </w:p>
        </w:tc>
        <w:tc>
          <w:tcPr>
            <w:tcW w:w="881" w:type="pct"/>
            <w:shd w:val="clear" w:color="auto" w:fill="auto"/>
          </w:tcPr>
          <w:p w14:paraId="42BAECEF"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0.731</w:t>
            </w:r>
          </w:p>
        </w:tc>
        <w:tc>
          <w:tcPr>
            <w:tcW w:w="881" w:type="pct"/>
            <w:shd w:val="clear" w:color="auto" w:fill="auto"/>
            <w:hideMark/>
          </w:tcPr>
          <w:p w14:paraId="182067F1"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1.04</w:t>
            </w:r>
          </w:p>
        </w:tc>
        <w:tc>
          <w:tcPr>
            <w:tcW w:w="1022" w:type="pct"/>
            <w:shd w:val="clear" w:color="auto" w:fill="auto"/>
            <w:hideMark/>
          </w:tcPr>
          <w:p w14:paraId="2E40373C" w14:textId="01D3B0B5"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1.009</w:t>
            </w:r>
            <w:r>
              <w:rPr>
                <w:rFonts w:ascii="Book Antiqua" w:hAnsi="Book Antiqua" w:cs="Times New Roman"/>
                <w:bCs/>
              </w:rPr>
              <w:t>-</w:t>
            </w:r>
            <w:r w:rsidRPr="00FF3060">
              <w:rPr>
                <w:rFonts w:ascii="Book Antiqua" w:hAnsi="Book Antiqua" w:cs="Times New Roman"/>
                <w:bCs/>
              </w:rPr>
              <w:t>1.06</w:t>
            </w:r>
          </w:p>
        </w:tc>
        <w:tc>
          <w:tcPr>
            <w:tcW w:w="719" w:type="pct"/>
            <w:shd w:val="clear" w:color="auto" w:fill="auto"/>
            <w:hideMark/>
          </w:tcPr>
          <w:p w14:paraId="7093B27D"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0.0182</w:t>
            </w:r>
          </w:p>
        </w:tc>
      </w:tr>
      <w:tr w:rsidR="00FF3060" w:rsidRPr="00FF3060" w14:paraId="2653140B" w14:textId="77777777" w:rsidTr="00FF3060">
        <w:trPr>
          <w:trHeight w:val="483"/>
        </w:trPr>
        <w:tc>
          <w:tcPr>
            <w:tcW w:w="1496" w:type="pct"/>
            <w:shd w:val="clear" w:color="auto" w:fill="auto"/>
            <w:hideMark/>
          </w:tcPr>
          <w:p w14:paraId="6704D2D5"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P-III-P</w:t>
            </w:r>
          </w:p>
        </w:tc>
        <w:tc>
          <w:tcPr>
            <w:tcW w:w="881" w:type="pct"/>
            <w:shd w:val="clear" w:color="auto" w:fill="auto"/>
          </w:tcPr>
          <w:p w14:paraId="3F1929B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0.786</w:t>
            </w:r>
          </w:p>
        </w:tc>
        <w:tc>
          <w:tcPr>
            <w:tcW w:w="881" w:type="pct"/>
            <w:shd w:val="clear" w:color="auto" w:fill="auto"/>
            <w:hideMark/>
          </w:tcPr>
          <w:p w14:paraId="43633B3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5.58</w:t>
            </w:r>
          </w:p>
        </w:tc>
        <w:tc>
          <w:tcPr>
            <w:tcW w:w="1022" w:type="pct"/>
            <w:shd w:val="clear" w:color="auto" w:fill="auto"/>
            <w:hideMark/>
          </w:tcPr>
          <w:p w14:paraId="50E44523" w14:textId="6BC7CBCD"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2.27</w:t>
            </w:r>
            <w:r>
              <w:rPr>
                <w:rFonts w:ascii="Book Antiqua" w:hAnsi="Book Antiqua" w:cs="Times New Roman"/>
                <w:bCs/>
              </w:rPr>
              <w:t>-</w:t>
            </w:r>
            <w:r w:rsidRPr="00FF3060">
              <w:rPr>
                <w:rFonts w:ascii="Book Antiqua" w:hAnsi="Book Antiqua" w:cs="Times New Roman"/>
                <w:bCs/>
              </w:rPr>
              <w:t>11.6</w:t>
            </w:r>
          </w:p>
        </w:tc>
        <w:tc>
          <w:tcPr>
            <w:tcW w:w="719" w:type="pct"/>
            <w:shd w:val="clear" w:color="auto" w:fill="auto"/>
            <w:hideMark/>
          </w:tcPr>
          <w:p w14:paraId="603D2F79"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0.0014</w:t>
            </w:r>
          </w:p>
        </w:tc>
      </w:tr>
      <w:tr w:rsidR="00FF3060" w:rsidRPr="00FF3060" w14:paraId="2A2A98C3" w14:textId="77777777" w:rsidTr="00FF3060">
        <w:trPr>
          <w:trHeight w:val="483"/>
        </w:trPr>
        <w:tc>
          <w:tcPr>
            <w:tcW w:w="1496" w:type="pct"/>
            <w:shd w:val="clear" w:color="auto" w:fill="auto"/>
            <w:hideMark/>
          </w:tcPr>
          <w:p w14:paraId="5C34B0BA" w14:textId="51E97744"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 xml:space="preserve">Type </w:t>
            </w:r>
            <w:r>
              <w:rPr>
                <w:rFonts w:ascii="Book Antiqua" w:hAnsi="Book Antiqua" w:cs="Times New Roman"/>
              </w:rPr>
              <w:t>IV</w:t>
            </w:r>
            <w:r w:rsidRPr="00FF3060">
              <w:rPr>
                <w:rFonts w:ascii="Book Antiqua" w:hAnsi="Book Antiqua" w:cs="Times New Roman"/>
              </w:rPr>
              <w:t xml:space="preserve"> collagen 7S</w:t>
            </w:r>
          </w:p>
        </w:tc>
        <w:tc>
          <w:tcPr>
            <w:tcW w:w="881" w:type="pct"/>
            <w:shd w:val="clear" w:color="auto" w:fill="auto"/>
          </w:tcPr>
          <w:p w14:paraId="6C6CBB6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0.863</w:t>
            </w:r>
          </w:p>
        </w:tc>
        <w:tc>
          <w:tcPr>
            <w:tcW w:w="881" w:type="pct"/>
            <w:shd w:val="clear" w:color="auto" w:fill="auto"/>
            <w:hideMark/>
          </w:tcPr>
          <w:p w14:paraId="225DD3C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1.48</w:t>
            </w:r>
          </w:p>
        </w:tc>
        <w:tc>
          <w:tcPr>
            <w:tcW w:w="1022" w:type="pct"/>
            <w:shd w:val="clear" w:color="auto" w:fill="auto"/>
            <w:hideMark/>
          </w:tcPr>
          <w:p w14:paraId="04925B3A" w14:textId="0B7DCBF6"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1.28</w:t>
            </w:r>
            <w:r>
              <w:rPr>
                <w:rFonts w:ascii="Book Antiqua" w:hAnsi="Book Antiqua" w:cs="Times New Roman"/>
                <w:bCs/>
              </w:rPr>
              <w:t>-</w:t>
            </w:r>
            <w:r w:rsidRPr="00FF3060">
              <w:rPr>
                <w:rFonts w:ascii="Book Antiqua" w:hAnsi="Book Antiqua" w:cs="Times New Roman"/>
                <w:bCs/>
              </w:rPr>
              <w:t>1.67</w:t>
            </w:r>
          </w:p>
        </w:tc>
        <w:tc>
          <w:tcPr>
            <w:tcW w:w="719" w:type="pct"/>
            <w:shd w:val="clear" w:color="auto" w:fill="auto"/>
            <w:hideMark/>
          </w:tcPr>
          <w:p w14:paraId="7DC2830E" w14:textId="2F92CC7C"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r w:rsidR="00FF3060" w:rsidRPr="00FF3060" w14:paraId="589EF1E1" w14:textId="77777777" w:rsidTr="00FF3060">
        <w:trPr>
          <w:trHeight w:val="483"/>
        </w:trPr>
        <w:tc>
          <w:tcPr>
            <w:tcW w:w="1496" w:type="pct"/>
            <w:tcBorders>
              <w:bottom w:val="single" w:sz="4" w:space="0" w:color="auto"/>
            </w:tcBorders>
            <w:shd w:val="clear" w:color="auto" w:fill="auto"/>
            <w:hideMark/>
          </w:tcPr>
          <w:p w14:paraId="3F33413D"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Fibrosis-4 index</w:t>
            </w:r>
          </w:p>
        </w:tc>
        <w:tc>
          <w:tcPr>
            <w:tcW w:w="881" w:type="pct"/>
            <w:tcBorders>
              <w:bottom w:val="single" w:sz="4" w:space="0" w:color="auto"/>
            </w:tcBorders>
            <w:shd w:val="clear" w:color="auto" w:fill="auto"/>
          </w:tcPr>
          <w:p w14:paraId="2C5A972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0.914</w:t>
            </w:r>
          </w:p>
        </w:tc>
        <w:tc>
          <w:tcPr>
            <w:tcW w:w="881" w:type="pct"/>
            <w:tcBorders>
              <w:bottom w:val="single" w:sz="4" w:space="0" w:color="auto"/>
            </w:tcBorders>
            <w:shd w:val="clear" w:color="auto" w:fill="auto"/>
            <w:hideMark/>
          </w:tcPr>
          <w:p w14:paraId="2A668745"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1.799</w:t>
            </w:r>
          </w:p>
        </w:tc>
        <w:tc>
          <w:tcPr>
            <w:tcW w:w="1022" w:type="pct"/>
            <w:tcBorders>
              <w:bottom w:val="single" w:sz="4" w:space="0" w:color="auto"/>
            </w:tcBorders>
            <w:shd w:val="clear" w:color="auto" w:fill="auto"/>
            <w:hideMark/>
          </w:tcPr>
          <w:p w14:paraId="3A602773" w14:textId="33A486F3"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1.44</w:t>
            </w:r>
            <w:r>
              <w:rPr>
                <w:rFonts w:ascii="Book Antiqua" w:hAnsi="Book Antiqua" w:cs="Times New Roman"/>
                <w:bCs/>
              </w:rPr>
              <w:t>-</w:t>
            </w:r>
            <w:r w:rsidRPr="00FF3060">
              <w:rPr>
                <w:rFonts w:ascii="Book Antiqua" w:hAnsi="Book Antiqua" w:cs="Times New Roman"/>
                <w:bCs/>
              </w:rPr>
              <w:t>2.23</w:t>
            </w:r>
          </w:p>
        </w:tc>
        <w:tc>
          <w:tcPr>
            <w:tcW w:w="719" w:type="pct"/>
            <w:tcBorders>
              <w:bottom w:val="single" w:sz="4" w:space="0" w:color="auto"/>
            </w:tcBorders>
            <w:shd w:val="clear" w:color="auto" w:fill="auto"/>
            <w:hideMark/>
          </w:tcPr>
          <w:p w14:paraId="15D64843" w14:textId="2DBB799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bl>
    <w:p w14:paraId="700477AB" w14:textId="2963BE68" w:rsidR="00FF3060" w:rsidRPr="00FF3060" w:rsidRDefault="00FF3060">
      <w:pPr>
        <w:spacing w:line="360" w:lineRule="auto"/>
        <w:jc w:val="both"/>
        <w:rPr>
          <w:rFonts w:ascii="Book Antiqua" w:hAnsi="Book Antiqua"/>
        </w:rPr>
      </w:pPr>
      <w:r w:rsidRPr="00FF3060">
        <w:rPr>
          <w:rFonts w:ascii="Book Antiqua" w:hAnsi="Book Antiqua"/>
        </w:rPr>
        <w:t xml:space="preserve">ALT: </w:t>
      </w:r>
      <w:r>
        <w:rPr>
          <w:rFonts w:ascii="Book Antiqua" w:hAnsi="Book Antiqua"/>
        </w:rPr>
        <w:t>A</w:t>
      </w:r>
      <w:r w:rsidRPr="00FF3060">
        <w:rPr>
          <w:rFonts w:ascii="Book Antiqua" w:hAnsi="Book Antiqua"/>
        </w:rPr>
        <w:t>lanine aminotransferase</w:t>
      </w:r>
      <w:r>
        <w:rPr>
          <w:rFonts w:ascii="Book Antiqua" w:hAnsi="Book Antiqua"/>
        </w:rPr>
        <w:t>;</w:t>
      </w:r>
      <w:r w:rsidRPr="00FF3060">
        <w:rPr>
          <w:rFonts w:ascii="Book Antiqua" w:hAnsi="Book Antiqua"/>
        </w:rPr>
        <w:t xml:space="preserve"> AST: </w:t>
      </w:r>
      <w:r>
        <w:rPr>
          <w:rFonts w:ascii="Book Antiqua" w:hAnsi="Book Antiqua"/>
        </w:rPr>
        <w:t>A</w:t>
      </w:r>
      <w:r w:rsidRPr="00FF3060">
        <w:rPr>
          <w:rFonts w:ascii="Book Antiqua" w:hAnsi="Book Antiqua"/>
        </w:rPr>
        <w:t>spartate aminotransferase</w:t>
      </w:r>
      <w:r>
        <w:rPr>
          <w:rFonts w:ascii="Book Antiqua" w:hAnsi="Book Antiqua"/>
        </w:rPr>
        <w:t>;</w:t>
      </w:r>
      <w:r w:rsidRPr="00FF3060">
        <w:rPr>
          <w:rFonts w:ascii="Book Antiqua" w:hAnsi="Book Antiqua"/>
        </w:rPr>
        <w:t xml:space="preserve"> CI: </w:t>
      </w:r>
      <w:r>
        <w:rPr>
          <w:rFonts w:ascii="Book Antiqua" w:hAnsi="Book Antiqua"/>
        </w:rPr>
        <w:t>C</w:t>
      </w:r>
      <w:r w:rsidRPr="00FF3060">
        <w:rPr>
          <w:rFonts w:ascii="Book Antiqua" w:hAnsi="Book Antiqua"/>
        </w:rPr>
        <w:t>onfidence interval</w:t>
      </w:r>
      <w:r>
        <w:rPr>
          <w:rFonts w:ascii="Book Antiqua" w:hAnsi="Book Antiqua"/>
        </w:rPr>
        <w:t>;</w:t>
      </w:r>
      <w:r w:rsidRPr="00FF3060">
        <w:rPr>
          <w:rFonts w:ascii="Book Antiqua" w:hAnsi="Book Antiqua"/>
        </w:rPr>
        <w:t xml:space="preserve"> γ-GTP: </w:t>
      </w:r>
      <w:r>
        <w:rPr>
          <w:rFonts w:ascii="Book Antiqua" w:hAnsi="Book Antiqua"/>
        </w:rPr>
        <w:t>G</w:t>
      </w:r>
      <w:r w:rsidRPr="00FF3060">
        <w:rPr>
          <w:rFonts w:ascii="Book Antiqua" w:hAnsi="Book Antiqua"/>
        </w:rPr>
        <w:t>amma-glutamyl transpeptidase</w:t>
      </w:r>
      <w:r>
        <w:rPr>
          <w:rFonts w:ascii="Book Antiqua" w:hAnsi="Book Antiqua"/>
        </w:rPr>
        <w:t>;</w:t>
      </w:r>
      <w:r w:rsidRPr="00FF3060">
        <w:rPr>
          <w:rFonts w:ascii="Book Antiqua" w:hAnsi="Book Antiqua"/>
        </w:rPr>
        <w:t xml:space="preserve"> HOMA-IR: </w:t>
      </w:r>
      <w:r>
        <w:rPr>
          <w:rFonts w:ascii="Book Antiqua" w:hAnsi="Book Antiqua"/>
        </w:rPr>
        <w:t>H</w:t>
      </w:r>
      <w:r w:rsidRPr="00FF3060">
        <w:rPr>
          <w:rFonts w:ascii="Book Antiqua" w:hAnsi="Book Antiqua"/>
        </w:rPr>
        <w:t>omeostatic model assessment of insulin resistance</w:t>
      </w:r>
      <w:r>
        <w:rPr>
          <w:rFonts w:ascii="Book Antiqua" w:hAnsi="Book Antiqua"/>
        </w:rPr>
        <w:t>;</w:t>
      </w:r>
      <w:r w:rsidRPr="00FF3060">
        <w:rPr>
          <w:rFonts w:ascii="Book Antiqua" w:hAnsi="Book Antiqua"/>
        </w:rPr>
        <w:t xml:space="preserve"> P-III-P: </w:t>
      </w:r>
      <w:r>
        <w:rPr>
          <w:rFonts w:ascii="Book Antiqua" w:hAnsi="Book Antiqua"/>
        </w:rPr>
        <w:t>P</w:t>
      </w:r>
      <w:r w:rsidRPr="00FF3060">
        <w:rPr>
          <w:rFonts w:ascii="Book Antiqua" w:hAnsi="Book Antiqua"/>
        </w:rPr>
        <w:t>rocollagen-III peptide</w:t>
      </w:r>
      <w:r>
        <w:rPr>
          <w:rFonts w:ascii="Book Antiqua" w:hAnsi="Book Antiqua"/>
        </w:rPr>
        <w:t>;</w:t>
      </w:r>
      <w:r w:rsidRPr="00FF3060">
        <w:rPr>
          <w:rFonts w:ascii="Book Antiqua" w:hAnsi="Book Antiqua"/>
        </w:rPr>
        <w:t xml:space="preserve"> AUROC: </w:t>
      </w:r>
      <w:r>
        <w:rPr>
          <w:rFonts w:ascii="Book Antiqua" w:hAnsi="Book Antiqua"/>
        </w:rPr>
        <w:t>A</w:t>
      </w:r>
      <w:r w:rsidRPr="00FF3060">
        <w:rPr>
          <w:rFonts w:ascii="Book Antiqua" w:hAnsi="Book Antiqua"/>
        </w:rPr>
        <w:t>rea under the receiver operating characteristic curve</w:t>
      </w:r>
      <w:r>
        <w:rPr>
          <w:rFonts w:ascii="Book Antiqua" w:hAnsi="Book Antiqua"/>
        </w:rPr>
        <w:t>.</w:t>
      </w:r>
    </w:p>
    <w:sectPr w:rsidR="00FF3060" w:rsidRPr="00FF3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4649" w14:textId="77777777" w:rsidR="008619F0" w:rsidRDefault="008619F0" w:rsidP="000B052E">
      <w:r>
        <w:separator/>
      </w:r>
    </w:p>
  </w:endnote>
  <w:endnote w:type="continuationSeparator" w:id="0">
    <w:p w14:paraId="0BA3EB07" w14:textId="77777777" w:rsidR="008619F0" w:rsidRDefault="008619F0" w:rsidP="000B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100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CA21F48" w14:textId="1695236F" w:rsidR="00E47B0C" w:rsidRPr="00E47B0C" w:rsidRDefault="00E47B0C" w:rsidP="00E47B0C">
            <w:pPr>
              <w:pStyle w:val="a7"/>
              <w:jc w:val="right"/>
              <w:rPr>
                <w:rFonts w:ascii="Book Antiqua" w:hAnsi="Book Antiqua"/>
                <w:sz w:val="24"/>
                <w:szCs w:val="24"/>
              </w:rPr>
            </w:pPr>
            <w:r w:rsidRPr="00E47B0C">
              <w:rPr>
                <w:rFonts w:ascii="Book Antiqua" w:hAnsi="Book Antiqua"/>
                <w:sz w:val="24"/>
                <w:szCs w:val="24"/>
                <w:lang w:val="zh-CN" w:eastAsia="zh-CN"/>
              </w:rPr>
              <w:t xml:space="preserve"> </w:t>
            </w:r>
            <w:r w:rsidRPr="00E47B0C">
              <w:rPr>
                <w:rFonts w:ascii="Book Antiqua" w:hAnsi="Book Antiqua"/>
                <w:sz w:val="24"/>
                <w:szCs w:val="24"/>
              </w:rPr>
              <w:fldChar w:fldCharType="begin"/>
            </w:r>
            <w:r w:rsidRPr="00E47B0C">
              <w:rPr>
                <w:rFonts w:ascii="Book Antiqua" w:hAnsi="Book Antiqua"/>
                <w:sz w:val="24"/>
                <w:szCs w:val="24"/>
              </w:rPr>
              <w:instrText>PAGE</w:instrText>
            </w:r>
            <w:r w:rsidRPr="00E47B0C">
              <w:rPr>
                <w:rFonts w:ascii="Book Antiqua" w:hAnsi="Book Antiqua"/>
                <w:sz w:val="24"/>
                <w:szCs w:val="24"/>
              </w:rPr>
              <w:fldChar w:fldCharType="separate"/>
            </w:r>
            <w:r w:rsidR="00BC3925">
              <w:rPr>
                <w:rFonts w:ascii="Book Antiqua" w:hAnsi="Book Antiqua"/>
                <w:noProof/>
                <w:sz w:val="24"/>
                <w:szCs w:val="24"/>
              </w:rPr>
              <w:t>31</w:t>
            </w:r>
            <w:r w:rsidRPr="00E47B0C">
              <w:rPr>
                <w:rFonts w:ascii="Book Antiqua" w:hAnsi="Book Antiqua"/>
                <w:sz w:val="24"/>
                <w:szCs w:val="24"/>
              </w:rPr>
              <w:fldChar w:fldCharType="end"/>
            </w:r>
            <w:r w:rsidRPr="00E47B0C">
              <w:rPr>
                <w:rFonts w:ascii="Book Antiqua" w:hAnsi="Book Antiqua"/>
                <w:sz w:val="24"/>
                <w:szCs w:val="24"/>
                <w:lang w:val="zh-CN" w:eastAsia="zh-CN"/>
              </w:rPr>
              <w:t xml:space="preserve"> / </w:t>
            </w:r>
            <w:r w:rsidRPr="00E47B0C">
              <w:rPr>
                <w:rFonts w:ascii="Book Antiqua" w:hAnsi="Book Antiqua"/>
                <w:sz w:val="24"/>
                <w:szCs w:val="24"/>
              </w:rPr>
              <w:fldChar w:fldCharType="begin"/>
            </w:r>
            <w:r w:rsidRPr="00E47B0C">
              <w:rPr>
                <w:rFonts w:ascii="Book Antiqua" w:hAnsi="Book Antiqua"/>
                <w:sz w:val="24"/>
                <w:szCs w:val="24"/>
              </w:rPr>
              <w:instrText>NUMPAGES</w:instrText>
            </w:r>
            <w:r w:rsidRPr="00E47B0C">
              <w:rPr>
                <w:rFonts w:ascii="Book Antiqua" w:hAnsi="Book Antiqua"/>
                <w:sz w:val="24"/>
                <w:szCs w:val="24"/>
              </w:rPr>
              <w:fldChar w:fldCharType="separate"/>
            </w:r>
            <w:r w:rsidR="00BC3925">
              <w:rPr>
                <w:rFonts w:ascii="Book Antiqua" w:hAnsi="Book Antiqua"/>
                <w:noProof/>
                <w:sz w:val="24"/>
                <w:szCs w:val="24"/>
              </w:rPr>
              <w:t>31</w:t>
            </w:r>
            <w:r w:rsidRPr="00E47B0C">
              <w:rPr>
                <w:rFonts w:ascii="Book Antiqua" w:hAnsi="Book Antiqua"/>
                <w:sz w:val="24"/>
                <w:szCs w:val="24"/>
              </w:rPr>
              <w:fldChar w:fldCharType="end"/>
            </w:r>
          </w:p>
        </w:sdtContent>
      </w:sdt>
    </w:sdtContent>
  </w:sdt>
  <w:p w14:paraId="6AEEF1B0" w14:textId="77777777" w:rsidR="00E47B0C" w:rsidRPr="00E47B0C" w:rsidRDefault="00E47B0C" w:rsidP="00E47B0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105D" w14:textId="77777777" w:rsidR="008619F0" w:rsidRDefault="008619F0" w:rsidP="000B052E">
      <w:r>
        <w:separator/>
      </w:r>
    </w:p>
  </w:footnote>
  <w:footnote w:type="continuationSeparator" w:id="0">
    <w:p w14:paraId="051EEFDC" w14:textId="77777777" w:rsidR="008619F0" w:rsidRDefault="008619F0" w:rsidP="000B0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1426"/>
    <w:rsid w:val="000A1466"/>
    <w:rsid w:val="000B052E"/>
    <w:rsid w:val="000B3385"/>
    <w:rsid w:val="00345C62"/>
    <w:rsid w:val="00401BFF"/>
    <w:rsid w:val="004C705A"/>
    <w:rsid w:val="00514C51"/>
    <w:rsid w:val="00556F0C"/>
    <w:rsid w:val="00583A7F"/>
    <w:rsid w:val="005A1B0D"/>
    <w:rsid w:val="006A324E"/>
    <w:rsid w:val="006E19E4"/>
    <w:rsid w:val="00734623"/>
    <w:rsid w:val="00735F22"/>
    <w:rsid w:val="007529D4"/>
    <w:rsid w:val="00810E1F"/>
    <w:rsid w:val="0084316F"/>
    <w:rsid w:val="008619F0"/>
    <w:rsid w:val="00996197"/>
    <w:rsid w:val="00A4516F"/>
    <w:rsid w:val="00A77B3E"/>
    <w:rsid w:val="00B311AE"/>
    <w:rsid w:val="00BC3925"/>
    <w:rsid w:val="00BE0418"/>
    <w:rsid w:val="00CA2A55"/>
    <w:rsid w:val="00D25C5E"/>
    <w:rsid w:val="00E47B0C"/>
    <w:rsid w:val="00E56D16"/>
    <w:rsid w:val="00ED74D9"/>
    <w:rsid w:val="00F0530D"/>
    <w:rsid w:val="00F51880"/>
    <w:rsid w:val="00F86262"/>
    <w:rsid w:val="00FB3201"/>
    <w:rsid w:val="00FF3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0F03C"/>
  <w15:docId w15:val="{88D37C8C-44BB-43A0-888E-0BBB9A9D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semiHidden/>
    <w:unhideWhenUsed/>
    <w:rsid w:val="00734623"/>
    <w:rPr>
      <w:sz w:val="21"/>
      <w:szCs w:val="21"/>
    </w:rPr>
  </w:style>
  <w:style w:type="paragraph" w:styleId="a4">
    <w:name w:val="annotation text"/>
    <w:basedOn w:val="a"/>
    <w:link w:val="Char"/>
    <w:semiHidden/>
    <w:unhideWhenUsed/>
    <w:rsid w:val="00734623"/>
  </w:style>
  <w:style w:type="character" w:customStyle="1" w:styleId="Char">
    <w:name w:val="批注文字 Char"/>
    <w:basedOn w:val="a0"/>
    <w:link w:val="a4"/>
    <w:semiHidden/>
    <w:rsid w:val="00734623"/>
    <w:rPr>
      <w:sz w:val="24"/>
      <w:szCs w:val="24"/>
    </w:rPr>
  </w:style>
  <w:style w:type="paragraph" w:styleId="a5">
    <w:name w:val="annotation subject"/>
    <w:basedOn w:val="a4"/>
    <w:next w:val="a4"/>
    <w:link w:val="Char0"/>
    <w:semiHidden/>
    <w:unhideWhenUsed/>
    <w:rsid w:val="00734623"/>
    <w:rPr>
      <w:b/>
      <w:bCs/>
    </w:rPr>
  </w:style>
  <w:style w:type="character" w:customStyle="1" w:styleId="Char0">
    <w:name w:val="批注主题 Char"/>
    <w:basedOn w:val="Char"/>
    <w:link w:val="a5"/>
    <w:semiHidden/>
    <w:rsid w:val="00734623"/>
    <w:rPr>
      <w:b/>
      <w:bCs/>
      <w:sz w:val="24"/>
      <w:szCs w:val="24"/>
    </w:rPr>
  </w:style>
  <w:style w:type="paragraph" w:styleId="a6">
    <w:name w:val="header"/>
    <w:basedOn w:val="a"/>
    <w:link w:val="Char1"/>
    <w:unhideWhenUsed/>
    <w:rsid w:val="000B05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B052E"/>
    <w:rPr>
      <w:sz w:val="18"/>
      <w:szCs w:val="18"/>
    </w:rPr>
  </w:style>
  <w:style w:type="paragraph" w:styleId="a7">
    <w:name w:val="footer"/>
    <w:basedOn w:val="a"/>
    <w:link w:val="Char2"/>
    <w:uiPriority w:val="99"/>
    <w:unhideWhenUsed/>
    <w:rsid w:val="000B052E"/>
    <w:pPr>
      <w:tabs>
        <w:tab w:val="center" w:pos="4153"/>
        <w:tab w:val="right" w:pos="8306"/>
      </w:tabs>
      <w:snapToGrid w:val="0"/>
    </w:pPr>
    <w:rPr>
      <w:sz w:val="18"/>
      <w:szCs w:val="18"/>
    </w:rPr>
  </w:style>
  <w:style w:type="character" w:customStyle="1" w:styleId="Char2">
    <w:name w:val="页脚 Char"/>
    <w:basedOn w:val="a0"/>
    <w:link w:val="a7"/>
    <w:uiPriority w:val="99"/>
    <w:rsid w:val="000B052E"/>
    <w:rPr>
      <w:sz w:val="18"/>
      <w:szCs w:val="18"/>
    </w:rPr>
  </w:style>
  <w:style w:type="table" w:styleId="a8">
    <w:name w:val="Table Grid"/>
    <w:basedOn w:val="a1"/>
    <w:uiPriority w:val="39"/>
    <w:rsid w:val="00735F2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7</cp:revision>
  <dcterms:created xsi:type="dcterms:W3CDTF">2021-04-22T01:54:00Z</dcterms:created>
  <dcterms:modified xsi:type="dcterms:W3CDTF">2021-04-22T09:06:00Z</dcterms:modified>
</cp:coreProperties>
</file>